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6D51A" w14:textId="3AC4F40A" w:rsidR="003016BF" w:rsidRPr="00E30279" w:rsidRDefault="003016BF" w:rsidP="003016BF">
      <w:pPr>
        <w:spacing w:line="480" w:lineRule="auto"/>
        <w:jc w:val="center"/>
        <w:rPr>
          <w:rFonts w:ascii="Times New Roman" w:hAnsi="Times New Roman"/>
          <w:b/>
          <w:sz w:val="24"/>
        </w:rPr>
      </w:pPr>
      <w:r w:rsidRPr="00E30279">
        <w:rPr>
          <w:rFonts w:ascii="Times New Roman" w:hAnsi="Times New Roman"/>
          <w:b/>
          <w:bCs/>
          <w:sz w:val="24"/>
          <w:szCs w:val="24"/>
          <w:lang w:val="en"/>
        </w:rPr>
        <w:t xml:space="preserve">GC-MS Profile, </w:t>
      </w:r>
      <w:r w:rsidRPr="00E30279">
        <w:rPr>
          <w:rFonts w:ascii="Times New Roman" w:hAnsi="Times New Roman"/>
          <w:b/>
          <w:bCs/>
          <w:sz w:val="24"/>
          <w:szCs w:val="24"/>
          <w:lang w:val="en-GB"/>
        </w:rPr>
        <w:t xml:space="preserve">Antimicrobial </w:t>
      </w:r>
      <w:r w:rsidRPr="00E30279">
        <w:rPr>
          <w:rFonts w:ascii="Times New Roman" w:hAnsi="Times New Roman"/>
          <w:b/>
          <w:bCs/>
          <w:sz w:val="24"/>
          <w:szCs w:val="24"/>
          <w:lang w:val="en"/>
        </w:rPr>
        <w:t>Properties and Spectra Characterization of the Ethanol Extract of</w:t>
      </w:r>
      <w:r w:rsidRPr="00E30279">
        <w:rPr>
          <w:rFonts w:ascii="Times New Roman" w:hAnsi="Times New Roman"/>
          <w:b/>
          <w:bCs/>
          <w:color w:val="000000"/>
          <w:sz w:val="24"/>
          <w:szCs w:val="24"/>
          <w:lang w:val="en"/>
        </w:rPr>
        <w:t xml:space="preserve"> </w:t>
      </w:r>
      <w:hyperlink r:id="rId7" w:tooltip="Theobroma cacao" w:history="1">
        <w:r w:rsidRPr="00E30279">
          <w:rPr>
            <w:rStyle w:val="Hyperlink"/>
            <w:rFonts w:ascii="Times New Roman" w:hAnsi="Times New Roman"/>
            <w:b/>
            <w:i/>
            <w:iCs/>
            <w:color w:val="000000"/>
            <w:sz w:val="24"/>
            <w:szCs w:val="24"/>
            <w:u w:val="none"/>
            <w:shd w:val="clear" w:color="auto" w:fill="FFFFFF"/>
          </w:rPr>
          <w:t>Theobroma Cacao</w:t>
        </w:r>
      </w:hyperlink>
      <w:r w:rsidRPr="00E30279">
        <w:rPr>
          <w:rFonts w:ascii="Times New Roman" w:hAnsi="Times New Roman"/>
          <w:b/>
          <w:i/>
          <w:iCs/>
          <w:sz w:val="24"/>
          <w:szCs w:val="24"/>
          <w:shd w:val="clear" w:color="auto" w:fill="FFFFFF"/>
        </w:rPr>
        <w:t xml:space="preserve"> Beans</w:t>
      </w:r>
      <w:r w:rsidRPr="00E30279">
        <w:rPr>
          <w:rFonts w:ascii="Times New Roman" w:hAnsi="Times New Roman"/>
          <w:b/>
          <w:sz w:val="24"/>
          <w:szCs w:val="24"/>
          <w:shd w:val="clear" w:color="auto" w:fill="FFFFFF"/>
        </w:rPr>
        <w:t xml:space="preserve"> grown in Nigeria</w:t>
      </w:r>
    </w:p>
    <w:p w14:paraId="3E7A0383" w14:textId="77777777" w:rsidR="00793199" w:rsidRPr="00E30279" w:rsidRDefault="003016BF" w:rsidP="004D7107">
      <w:pPr>
        <w:spacing w:after="200" w:line="276" w:lineRule="auto"/>
        <w:rPr>
          <w:rFonts w:ascii="Times New Roman" w:hAnsi="Times New Roman"/>
          <w:sz w:val="24"/>
          <w:szCs w:val="24"/>
        </w:rPr>
      </w:pPr>
      <w:r w:rsidRPr="00E30279">
        <w:rPr>
          <w:rFonts w:ascii="Times New Roman" w:eastAsia="Times New Roman" w:hAnsi="Times New Roman"/>
          <w:b/>
          <w:sz w:val="24"/>
          <w:szCs w:val="24"/>
        </w:rPr>
        <w:t xml:space="preserve"> </w:t>
      </w:r>
      <w:r w:rsidR="005A4BAA" w:rsidRPr="00E30279">
        <w:rPr>
          <w:rFonts w:ascii="Times New Roman" w:eastAsia="Times New Roman" w:hAnsi="Times New Roman"/>
          <w:b/>
          <w:sz w:val="24"/>
          <w:szCs w:val="24"/>
          <w:vertAlign w:val="superscript"/>
        </w:rPr>
        <w:t xml:space="preserve"> </w:t>
      </w:r>
    </w:p>
    <w:p w14:paraId="69E593DA" w14:textId="77777777" w:rsidR="00DC0CC9" w:rsidRPr="00E30279" w:rsidRDefault="00DC0CC9" w:rsidP="002801C2">
      <w:pPr>
        <w:shd w:val="clear" w:color="auto" w:fill="FFFFFF"/>
        <w:spacing w:after="0" w:line="240" w:lineRule="auto"/>
        <w:jc w:val="both"/>
        <w:textAlignment w:val="baseline"/>
        <w:rPr>
          <w:rFonts w:ascii="Segoe UI" w:eastAsia="Times New Roman" w:hAnsi="Segoe UI" w:cs="Segoe UI"/>
          <w:sz w:val="24"/>
          <w:szCs w:val="24"/>
        </w:rPr>
      </w:pPr>
      <w:r w:rsidRPr="00E30279">
        <w:rPr>
          <w:rFonts w:ascii="inherit" w:eastAsia="Times New Roman" w:hAnsi="inherit" w:cs="Segoe UI"/>
          <w:b/>
          <w:bCs/>
          <w:sz w:val="24"/>
          <w:szCs w:val="24"/>
        </w:rPr>
        <w:t>Abstract</w:t>
      </w:r>
    </w:p>
    <w:p w14:paraId="0D7B972B" w14:textId="1A153DDC" w:rsidR="00982720" w:rsidRPr="00E30279" w:rsidRDefault="00E30279" w:rsidP="007B31B3">
      <w:pPr>
        <w:spacing w:line="360" w:lineRule="auto"/>
        <w:jc w:val="both"/>
        <w:rPr>
          <w:rFonts w:ascii="Times New Roman" w:hAnsi="Times New Roman"/>
          <w:b/>
          <w:bCs/>
          <w:sz w:val="24"/>
          <w:szCs w:val="24"/>
        </w:rPr>
      </w:pPr>
      <w:r>
        <w:t>Cocoa (</w:t>
      </w:r>
      <w:r>
        <w:rPr>
          <w:rStyle w:val="Emphasis"/>
        </w:rPr>
        <w:t>Theobroma cacao</w:t>
      </w:r>
      <w:r>
        <w:t xml:space="preserve">) contains several classes of bioactive compounds that may contribute to biological activity. This study characterised an ethanol extract of cocoa bean powder sourced from Nigeria and evaluated its antimicrobial activity against </w:t>
      </w:r>
      <w:r>
        <w:rPr>
          <w:rStyle w:val="Emphasis"/>
        </w:rPr>
        <w:t>Klebsiella pneumoniae</w:t>
      </w:r>
      <w:r>
        <w:t xml:space="preserve"> and </w:t>
      </w:r>
      <w:r>
        <w:rPr>
          <w:rStyle w:val="Emphasis"/>
        </w:rPr>
        <w:t>Escherichia coli</w:t>
      </w:r>
      <w:r>
        <w:t xml:space="preserve">. Qualitative phytochemical screening was used to assess secondary metabolites, while Fourier transform infrared spectroscopy (FT-IR) and gas chromatography-mass spectrometry (GC-MS) were applied for chemical characterisation. Alkaloids, tannins, and phenols were detected, whereas saponins, flavonoids, glycosides, terpenoids, steroids, anthraquinones, and phlobatannins were not detected. FT-IR analysis showed prominent absorption bands at 3398.67, 2920.32, 2850.88, 1689.70, and 1288.49 cm⁻¹, corresponding to functional groups associated with O-H, C-H, carbonyl, and C-O vibrations. GC-MS analysis indicated multiple chemical constituents in the ethanol extract. In the antimicrobial assay, the extract produced inhibition zones of 10.50 ± 0.5 mm and 8.00 ± 1.0 mm against </w:t>
      </w:r>
      <w:r>
        <w:rPr>
          <w:rStyle w:val="Emphasis"/>
        </w:rPr>
        <w:t>K. pneumoniae</w:t>
      </w:r>
      <w:r>
        <w:t xml:space="preserve"> at 100 and 50 mg/mL, respectively, while no inhibition was observed against </w:t>
      </w:r>
      <w:r>
        <w:rPr>
          <w:rStyle w:val="Emphasis"/>
        </w:rPr>
        <w:t>E. coli</w:t>
      </w:r>
      <w:r>
        <w:t xml:space="preserve"> at the tested concentrations. Ceftriaxone showed greater activity than the extract. Overall, the findings indicate that Nigerian cocoa bean ethanol extract contains several phytochemical constituents and exhibits measurable antimicrobial activity against </w:t>
      </w:r>
      <w:r>
        <w:rPr>
          <w:rStyle w:val="Emphasis"/>
        </w:rPr>
        <w:t>K. pneumoniae</w:t>
      </w:r>
      <w:r>
        <w:t xml:space="preserve"> under the conditions of this study. The study therefore provides a combined chemical and biological profile of the locally sourced cocoa material.</w:t>
      </w:r>
    </w:p>
    <w:p w14:paraId="5962FB9A" w14:textId="5C625AF6" w:rsidR="00072ABA" w:rsidRPr="00E30279" w:rsidRDefault="007B31B3" w:rsidP="00072ABA">
      <w:pPr>
        <w:spacing w:line="360" w:lineRule="auto"/>
        <w:jc w:val="both"/>
        <w:rPr>
          <w:rFonts w:ascii="Times New Roman" w:hAnsi="Times New Roman"/>
          <w:i/>
          <w:sz w:val="24"/>
          <w:szCs w:val="24"/>
        </w:rPr>
      </w:pPr>
      <w:r w:rsidRPr="00E30279">
        <w:rPr>
          <w:rFonts w:ascii="Times New Roman" w:hAnsi="Times New Roman"/>
          <w:bCs/>
          <w:i/>
          <w:sz w:val="24"/>
          <w:szCs w:val="24"/>
        </w:rPr>
        <w:t>Keywords</w:t>
      </w:r>
      <w:r w:rsidRPr="00D00120">
        <w:rPr>
          <w:rFonts w:ascii="Times New Roman" w:hAnsi="Times New Roman"/>
          <w:i/>
          <w:sz w:val="24"/>
          <w:szCs w:val="24"/>
        </w:rPr>
        <w:t xml:space="preserve">: </w:t>
      </w:r>
      <w:bookmarkStart w:id="0" w:name="_Hlk238229493"/>
      <w:r w:rsidR="00225C51" w:rsidRPr="00D00120">
        <w:rPr>
          <w:rStyle w:val="Strong"/>
          <w:b w:val="0"/>
          <w:bCs w:val="0"/>
          <w:i/>
          <w:iCs/>
        </w:rPr>
        <w:t>Theobroma cacao</w:t>
      </w:r>
      <w:r w:rsidR="00225C51" w:rsidRPr="00D00120">
        <w:rPr>
          <w:b/>
          <w:bCs/>
        </w:rPr>
        <w:t>;</w:t>
      </w:r>
      <w:r w:rsidR="00225C51" w:rsidRPr="00D00120">
        <w:t xml:space="preserve"> cocoa beans; ethanol extract; phytochemical screening; antimicrobial activity; </w:t>
      </w:r>
      <w:r w:rsidR="00225C51" w:rsidRPr="00D00120">
        <w:rPr>
          <w:rStyle w:val="Strong"/>
          <w:b w:val="0"/>
          <w:bCs w:val="0"/>
          <w:i/>
          <w:iCs/>
        </w:rPr>
        <w:t>Klebsiella pneumoniae</w:t>
      </w:r>
      <w:r w:rsidR="00225C51" w:rsidRPr="00D00120">
        <w:rPr>
          <w:b/>
          <w:bCs/>
        </w:rPr>
        <w:t>;</w:t>
      </w:r>
      <w:r w:rsidR="00225C51" w:rsidRPr="00D00120">
        <w:t xml:space="preserve"> </w:t>
      </w:r>
      <w:r w:rsidR="00225C51" w:rsidRPr="00D00120">
        <w:rPr>
          <w:rStyle w:val="Strong"/>
          <w:b w:val="0"/>
          <w:bCs w:val="0"/>
          <w:i/>
          <w:iCs/>
        </w:rPr>
        <w:t>Escherichia coli</w:t>
      </w:r>
      <w:r w:rsidR="00225C51" w:rsidRPr="00D00120">
        <w:t>;</w:t>
      </w:r>
      <w:r w:rsidR="00225C51" w:rsidRPr="00E30279">
        <w:t xml:space="preserve"> </w:t>
      </w:r>
      <w:r w:rsidR="007E4ADD" w:rsidRPr="008C52AD">
        <w:rPr>
          <w:rFonts w:ascii="Times New Roman" w:hAnsi="Times New Roman"/>
          <w:i/>
          <w:sz w:val="24"/>
          <w:szCs w:val="24"/>
          <w:highlight w:val="yellow"/>
        </w:rPr>
        <w:t>FTIR, GC</w:t>
      </w:r>
      <w:r w:rsidR="007E4ADD">
        <w:rPr>
          <w:rFonts w:ascii="Times New Roman" w:hAnsi="Times New Roman"/>
          <w:i/>
          <w:sz w:val="24"/>
          <w:szCs w:val="24"/>
          <w:highlight w:val="yellow"/>
        </w:rPr>
        <w:t>-</w:t>
      </w:r>
      <w:r w:rsidR="007E4ADD" w:rsidRPr="008C52AD">
        <w:rPr>
          <w:rFonts w:ascii="Times New Roman" w:hAnsi="Times New Roman"/>
          <w:i/>
          <w:sz w:val="24"/>
          <w:szCs w:val="24"/>
          <w:highlight w:val="yellow"/>
        </w:rPr>
        <w:t>MS</w:t>
      </w:r>
      <w:r w:rsidR="007E4ADD">
        <w:rPr>
          <w:rFonts w:ascii="Times New Roman" w:hAnsi="Times New Roman"/>
          <w:i/>
          <w:sz w:val="24"/>
          <w:szCs w:val="24"/>
        </w:rPr>
        <w:t>.</w:t>
      </w:r>
    </w:p>
    <w:p w14:paraId="455B1883" w14:textId="77777777" w:rsidR="00861D3F" w:rsidRPr="00E30279" w:rsidRDefault="00072ABA" w:rsidP="00072ABA">
      <w:pPr>
        <w:spacing w:line="360" w:lineRule="auto"/>
        <w:jc w:val="both"/>
        <w:rPr>
          <w:rFonts w:ascii="Times New Roman" w:hAnsi="Times New Roman"/>
          <w:sz w:val="24"/>
          <w:szCs w:val="24"/>
        </w:rPr>
      </w:pPr>
      <w:r w:rsidRPr="00E30279">
        <w:rPr>
          <w:rFonts w:ascii="Times New Roman" w:hAnsi="Times New Roman"/>
          <w:sz w:val="24"/>
          <w:szCs w:val="24"/>
        </w:rPr>
        <w:t xml:space="preserve">1. </w:t>
      </w:r>
      <w:r w:rsidR="007203B9" w:rsidRPr="00E30279">
        <w:rPr>
          <w:rFonts w:ascii="Times New Roman" w:hAnsi="Times New Roman"/>
          <w:b/>
          <w:sz w:val="24"/>
          <w:szCs w:val="24"/>
        </w:rPr>
        <w:t>Introduction</w:t>
      </w:r>
    </w:p>
    <w:p w14:paraId="52C84410" w14:textId="2BDFEDD3" w:rsidR="00EB2662" w:rsidRPr="00E30279" w:rsidRDefault="005E371B" w:rsidP="00C05623">
      <w:pPr>
        <w:spacing w:after="0" w:line="360" w:lineRule="auto"/>
        <w:jc w:val="both"/>
        <w:rPr>
          <w:rFonts w:ascii="Times New Roman" w:eastAsia="Times New Roman" w:hAnsi="Times New Roman"/>
          <w:sz w:val="24"/>
          <w:szCs w:val="24"/>
        </w:rPr>
      </w:pPr>
      <w:r w:rsidRPr="00E30279">
        <w:t xml:space="preserve">Cocoa beans, a tropical crop derived from the </w:t>
      </w:r>
      <w:r w:rsidRPr="00E30279">
        <w:rPr>
          <w:i/>
        </w:rPr>
        <w:t>Theobroma cacao</w:t>
      </w:r>
      <w:r w:rsidRPr="00E30279">
        <w:t xml:space="preserve"> plant, are used in the manufacture of cocoa powder, chocolate, and various other edible products. Cocoa has received increasing scientific attention because of the wide range of bioactive substances it contains, in addition to its nutritional and industrial value. Along with methylxanthines such as theobromine and caffeine, fatty acids, and other phytochemicals, cocoa is rich in polyphenols, including catechin, epicatechin, and procyanidins (Wollgast &amp; Anklam, 2000; Rusconi &amp; Conti, 2010; Ackar </w:t>
      </w:r>
      <w:r w:rsidRPr="00E30279">
        <w:rPr>
          <w:i/>
        </w:rPr>
        <w:t>et al.</w:t>
      </w:r>
      <w:r w:rsidRPr="00E30279">
        <w:t xml:space="preserve">, 2013). The genotype of cocoa, its geographical origin, and post-harvest conditions, including fermentation, drying, and roasting, all influence the amount and </w:t>
      </w:r>
      <w:r w:rsidRPr="00E30279">
        <w:lastRenderedPageBreak/>
        <w:t xml:space="preserve">composition of these constituents (Wollgast &amp; Anklam, 2000; Ackar </w:t>
      </w:r>
      <w:r w:rsidRPr="00E30279">
        <w:rPr>
          <w:i/>
        </w:rPr>
        <w:t>et al.</w:t>
      </w:r>
      <w:r w:rsidRPr="00E30279">
        <w:t xml:space="preserve">, 2013; Hurst </w:t>
      </w:r>
      <w:r w:rsidRPr="00E30279">
        <w:rPr>
          <w:i/>
        </w:rPr>
        <w:t>et al.</w:t>
      </w:r>
      <w:r w:rsidRPr="00E30279">
        <w:t xml:space="preserve">, 2011). The potential health-related effects of cocoa are thought to arise from its abundance of phytochemicals. The type of cocoa material, extraction procedures, and biological evaluation may determine the nature and extent of antioxidant, anti-inflammatory, and antimicrobial effects, while previous research has associated cocoa constituents with these activities (Rusconi &amp; Conti, 2010; Fideles </w:t>
      </w:r>
      <w:r w:rsidRPr="00E30279">
        <w:rPr>
          <w:i/>
        </w:rPr>
        <w:t>et al.</w:t>
      </w:r>
      <w:r w:rsidRPr="00E30279">
        <w:t xml:space="preserve">, 2023; </w:t>
      </w:r>
      <w:r w:rsidR="00EB263A" w:rsidRPr="00EB263A">
        <w:t>Cinar</w:t>
      </w:r>
      <w:r w:rsidRPr="00E30279">
        <w:t xml:space="preserve"> </w:t>
      </w:r>
      <w:r w:rsidRPr="00E30279">
        <w:rPr>
          <w:i/>
        </w:rPr>
        <w:t>et al.</w:t>
      </w:r>
      <w:r w:rsidRPr="00E30279">
        <w:t xml:space="preserve">, 2021). As resistance to commonly used antimicrobial drugs remains a major challenge in the treatment of infectious diseases, interest in plant-derived bioactive molecules as potential antimicrobial substances is increasing (Cowan, 1999; Daglia, 2012). Plant extracts may contain a wide range of compounds that can affect microorganisms through different mechanisms. For example, polyphenols and related compounds may interfere with microbial membranes, proteins, enzymes, and other biological processes (Daglia, 2012; Cushnie &amp; Lamb, 2005). Antimicrobial activity may also depend on the microorganism studied, the concentration of the extract, and its chemical composition. Therefore, experimental testing of the antimicrobial properties of natural compounds remains important. Several studies have reported antimicrobial properties of cocoa and its derivatives (Santos </w:t>
      </w:r>
      <w:r w:rsidRPr="00E30279">
        <w:rPr>
          <w:i/>
        </w:rPr>
        <w:t>et al.</w:t>
      </w:r>
      <w:r w:rsidRPr="00E30279">
        <w:t>, 2014). Cocoa extracts have been reported to suppress the growth, adhesion, and biofilm formation of bacteria associated with oral and other diseases (</w:t>
      </w:r>
      <w:r w:rsidR="00EB263A" w:rsidRPr="00EB263A">
        <w:t>Cinar</w:t>
      </w:r>
      <w:r w:rsidRPr="00E30279">
        <w:t xml:space="preserve"> </w:t>
      </w:r>
      <w:r w:rsidRPr="00E30279">
        <w:rPr>
          <w:i/>
        </w:rPr>
        <w:t>et al.</w:t>
      </w:r>
      <w:r w:rsidRPr="00E30279">
        <w:t xml:space="preserve">, 2021). Evidence also suggests that cocoa extracts can affect </w:t>
      </w:r>
      <w:r w:rsidRPr="00E30279">
        <w:rPr>
          <w:i/>
        </w:rPr>
        <w:t>Fusobacterium nucleatum</w:t>
      </w:r>
      <w:r w:rsidRPr="00E30279">
        <w:t xml:space="preserve"> by reducing its proliferation, biofilm formation, and surface attachment (Ben Lagha </w:t>
      </w:r>
      <w:r w:rsidRPr="00E30279">
        <w:rPr>
          <w:i/>
        </w:rPr>
        <w:t>et al.</w:t>
      </w:r>
      <w:r w:rsidRPr="00E30279">
        <w:t xml:space="preserve">, 2021). Studies of cocoa bean-derived substances have also shown antimicrobial activity against several bacterial species; however, the extent of this activity varies with the extraction solvent and test organism. The relevance of ethanol-recovered cocoa constituents in antimicrobial studies has been further supported by a recent report showing that an ethanol extract of cocoa beans exhibited antibacterial activity against </w:t>
      </w:r>
      <w:r w:rsidRPr="00E30279">
        <w:rPr>
          <w:i/>
        </w:rPr>
        <w:t>Streptococcus mutans</w:t>
      </w:r>
      <w:r w:rsidRPr="00E30279">
        <w:t xml:space="preserve"> (Joelijanto &amp; Sutjiati, 2025). Fermentation has also been reported to alter the phytochemical profile of Nigerian cocoa beans, further supporting the importance of post-harvest conditions when comparing cocoa materials (Ibitoye </w:t>
      </w:r>
      <w:r w:rsidRPr="00E30279">
        <w:rPr>
          <w:i/>
        </w:rPr>
        <w:t>et al.</w:t>
      </w:r>
      <w:r w:rsidRPr="00E30279">
        <w:t xml:space="preserve">, 2020). Recent studies further indicate that the chemical composition and analytical fingerprints of cocoa can vary with geographical origin, genetic background, and production conditions (Sari </w:t>
      </w:r>
      <w:r w:rsidRPr="00E30279">
        <w:rPr>
          <w:i/>
        </w:rPr>
        <w:t>et al.</w:t>
      </w:r>
      <w:r w:rsidRPr="00E30279">
        <w:t>, 2024; Dinh &amp; Hoang, 2025).</w:t>
      </w:r>
    </w:p>
    <w:p w14:paraId="558A3A92" w14:textId="77777777" w:rsidR="00601CA8" w:rsidRDefault="005E371B" w:rsidP="005E371B">
      <w:pPr>
        <w:spacing w:after="0" w:line="360" w:lineRule="auto"/>
        <w:jc w:val="both"/>
      </w:pPr>
      <w:r w:rsidRPr="00E30279">
        <w:t xml:space="preserve">Ethanol can recover a wide range of phytochemicals and is therefore useful for extracting bioactive compounds from plant sources. Because the choice of extraction solvent affects the composition and biological activity of the final extract, results from one cocoa extract study may not be generalisable to another study that used a different extraction method or cocoa material from a different geographical location (Rusconi &amp; Conti, 2010; Daglia, 2012; Nsor-Atindana, 2012). Accordingly, extraction, phytochemical characterisation, and susceptibility-testing conditions should be interpreted together </w:t>
      </w:r>
      <w:r w:rsidRPr="00E30279">
        <w:lastRenderedPageBreak/>
        <w:t xml:space="preserve">when evaluating antimicrobial activity in medicinal-plant extracts (Das </w:t>
      </w:r>
      <w:r w:rsidRPr="00E30279">
        <w:rPr>
          <w:i/>
        </w:rPr>
        <w:t>et al.</w:t>
      </w:r>
      <w:r w:rsidRPr="00E30279">
        <w:t>, 2026).</w:t>
      </w:r>
      <w:r w:rsidR="00601CA8">
        <w:t xml:space="preserve"> </w:t>
      </w:r>
      <w:r w:rsidRPr="00E30279">
        <w:t>However, despite the available evidence on cocoa phytochemicals and antimicrobial activity, limited context-specific information is available on ethanol-extracted cocoa bean powder sourced from Nigeria and characterised alongside antimicrobial testing under the conditions used in this study. A combined assessment of its phytochemical profile, FT-IR/GC-MS characteristics, and activity against the selected bacteria was therefore needed to address this study-specific gap.</w:t>
      </w:r>
      <w:r w:rsidR="00601CA8">
        <w:t xml:space="preserve"> </w:t>
      </w:r>
    </w:p>
    <w:p w14:paraId="57B8C2FF" w14:textId="77777777" w:rsidR="00CB2028" w:rsidRPr="005E371B" w:rsidRDefault="00CB2028" w:rsidP="00CB2028">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 xml:space="preserve">Research in Nigeria, a major cocoa producer, has a lot of promise for discovering cocoa's worth beyond its conventional commercial use. Since the composition of plant materials can be impacted by environmental conditions, geographical origin, and processing processes, studying cocoa that is sourced locally could offer valuable insights into its biological features and potential uses. </w:t>
      </w:r>
      <w:r w:rsidRPr="00B908EF">
        <w:rPr>
          <w:rFonts w:ascii="Times New Roman" w:eastAsia="Times New Roman" w:hAnsi="Times New Roman"/>
          <w:sz w:val="24"/>
          <w:szCs w:val="24"/>
          <w:highlight w:val="yellow"/>
        </w:rPr>
        <w:t>This research aimed to investigate the bioactive constituents of Nigerian cocoa bean powder, with particular emphasis on alkaloids, tannins, and phenolic compounds, and to evaluate the antimicrobial activity of its ethanol extract against selected microorganisms. It was hypothesized that these phytochemical constituents may contribute to the observed antibacterial activity of the cocoa extract.</w:t>
      </w:r>
      <w:r w:rsidRPr="00B908EF">
        <w:rPr>
          <w:rFonts w:ascii="Times New Roman" w:eastAsia="Times New Roman" w:hAnsi="Times New Roman"/>
          <w:sz w:val="24"/>
          <w:szCs w:val="24"/>
        </w:rPr>
        <w:t xml:space="preserve"> </w:t>
      </w:r>
      <w:r w:rsidRPr="005E371B">
        <w:rPr>
          <w:rFonts w:ascii="Times New Roman" w:eastAsia="Times New Roman" w:hAnsi="Times New Roman"/>
          <w:sz w:val="24"/>
          <w:szCs w:val="24"/>
        </w:rPr>
        <w:t>This research adds to the increasing amount of data showing that T. cacao has biological potential and sheds light on how microbes react to components of cocoa bean powder from Nigeria that have been extracted using ethanol.</w:t>
      </w:r>
    </w:p>
    <w:p w14:paraId="76B2516B" w14:textId="77777777" w:rsidR="00D04FE9" w:rsidRPr="00E30279" w:rsidRDefault="00000000">
      <w:r w:rsidRPr="00E30279">
        <w:rPr>
          <w:b/>
        </w:rPr>
        <w:t>Objective</w:t>
      </w:r>
    </w:p>
    <w:p w14:paraId="31EA5F12" w14:textId="77777777" w:rsidR="00D04FE9" w:rsidRPr="00E30279" w:rsidRDefault="00000000">
      <w:r w:rsidRPr="00E30279">
        <w:t xml:space="preserve">The objective of this study was to characterise the ethanol extract of Nigerian </w:t>
      </w:r>
      <w:r w:rsidRPr="00E30279">
        <w:rPr>
          <w:i/>
        </w:rPr>
        <w:t>Theobroma cacao</w:t>
      </w:r>
      <w:r w:rsidRPr="00E30279">
        <w:t xml:space="preserve"> bean powder using phytochemical screening, FT-IR, and GC-MS analyses and to evaluate its antimicrobial activity against </w:t>
      </w:r>
      <w:r w:rsidRPr="00E30279">
        <w:rPr>
          <w:i/>
        </w:rPr>
        <w:t>Klebsiella pneumoniae</w:t>
      </w:r>
      <w:r w:rsidRPr="00E30279">
        <w:t xml:space="preserve"> and </w:t>
      </w:r>
      <w:r w:rsidRPr="00E30279">
        <w:rPr>
          <w:i/>
        </w:rPr>
        <w:t>Escherichia coli</w:t>
      </w:r>
      <w:r w:rsidRPr="00E30279">
        <w:t>.</w:t>
      </w:r>
    </w:p>
    <w:p w14:paraId="074E1048" w14:textId="77777777" w:rsidR="00EA5DA4" w:rsidRPr="00E30279" w:rsidRDefault="00692153" w:rsidP="00692153">
      <w:pPr>
        <w:spacing w:after="0" w:line="360" w:lineRule="auto"/>
        <w:jc w:val="both"/>
        <w:rPr>
          <w:rFonts w:ascii="Times New Roman" w:eastAsia="SimSun" w:hAnsi="Times New Roman"/>
          <w:b/>
          <w:sz w:val="24"/>
          <w:szCs w:val="24"/>
        </w:rPr>
      </w:pPr>
      <w:r w:rsidRPr="00E30279">
        <w:rPr>
          <w:rFonts w:ascii="Times New Roman" w:eastAsia="SimSun" w:hAnsi="Times New Roman"/>
          <w:b/>
          <w:sz w:val="24"/>
          <w:szCs w:val="24"/>
        </w:rPr>
        <w:t xml:space="preserve">2. </w:t>
      </w:r>
      <w:r w:rsidR="002619A6" w:rsidRPr="00E30279">
        <w:rPr>
          <w:rFonts w:ascii="Times New Roman" w:eastAsia="SimSun" w:hAnsi="Times New Roman"/>
          <w:b/>
          <w:sz w:val="24"/>
          <w:szCs w:val="24"/>
        </w:rPr>
        <w:t xml:space="preserve">Material and methods </w:t>
      </w:r>
    </w:p>
    <w:p w14:paraId="58D34C5B" w14:textId="77777777" w:rsidR="005E4D64" w:rsidRPr="00E30279" w:rsidRDefault="002619A6" w:rsidP="005E371B">
      <w:pPr>
        <w:widowControl w:val="0"/>
        <w:tabs>
          <w:tab w:val="left" w:pos="4131"/>
        </w:tabs>
        <w:autoSpaceDE w:val="0"/>
        <w:autoSpaceDN w:val="0"/>
        <w:adjustRightInd w:val="0"/>
        <w:spacing w:after="0" w:line="360" w:lineRule="auto"/>
        <w:jc w:val="both"/>
        <w:rPr>
          <w:rFonts w:ascii="Times New Roman" w:hAnsi="Times New Roman"/>
          <w:b/>
          <w:i/>
          <w:iCs/>
          <w:sz w:val="24"/>
          <w:szCs w:val="24"/>
          <w:lang w:val="en-GB"/>
        </w:rPr>
      </w:pPr>
      <w:r w:rsidRPr="00E30279">
        <w:rPr>
          <w:rFonts w:ascii="Times New Roman" w:hAnsi="Times New Roman"/>
          <w:b/>
          <w:iCs/>
          <w:sz w:val="24"/>
          <w:szCs w:val="24"/>
          <w:lang w:val="en-GB"/>
        </w:rPr>
        <w:t xml:space="preserve">2.1 </w:t>
      </w:r>
      <w:r w:rsidR="005E4D64" w:rsidRPr="00E30279">
        <w:rPr>
          <w:rFonts w:ascii="Times New Roman" w:hAnsi="Times New Roman"/>
          <w:b/>
          <w:i/>
          <w:iCs/>
          <w:sz w:val="24"/>
          <w:szCs w:val="24"/>
          <w:lang w:val="en-GB"/>
        </w:rPr>
        <w:t>Preparation of Water Used</w:t>
      </w:r>
    </w:p>
    <w:p w14:paraId="3D2533B9" w14:textId="77777777" w:rsidR="00B77380" w:rsidRPr="00E30279" w:rsidRDefault="005E371B" w:rsidP="005E371B">
      <w:pPr>
        <w:spacing w:after="0" w:line="360" w:lineRule="auto"/>
        <w:jc w:val="both"/>
        <w:rPr>
          <w:rFonts w:ascii="Times New Roman" w:eastAsia="Times New Roman" w:hAnsi="Times New Roman"/>
          <w:sz w:val="24"/>
          <w:szCs w:val="24"/>
        </w:rPr>
      </w:pPr>
      <w:r w:rsidRPr="00E30279">
        <w:t>Distilled water was used to prepare the reagents. The distilled water was prepared using a distiller and was used to help keep the samples and extracts free from contaminants.</w:t>
      </w:r>
    </w:p>
    <w:p w14:paraId="573E12ED" w14:textId="77777777" w:rsidR="005E4D64" w:rsidRPr="00E30279" w:rsidRDefault="002619A6"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30279">
        <w:rPr>
          <w:rFonts w:ascii="Times New Roman" w:hAnsi="Times New Roman"/>
          <w:b/>
          <w:iCs/>
          <w:sz w:val="24"/>
          <w:szCs w:val="24"/>
          <w:lang w:val="en"/>
        </w:rPr>
        <w:t xml:space="preserve">2.2 </w:t>
      </w:r>
      <w:r w:rsidR="005E4D64" w:rsidRPr="00E30279">
        <w:rPr>
          <w:rFonts w:ascii="Times New Roman" w:hAnsi="Times New Roman"/>
          <w:b/>
          <w:i/>
          <w:iCs/>
          <w:sz w:val="24"/>
          <w:szCs w:val="24"/>
          <w:lang w:val="en"/>
        </w:rPr>
        <w:t>P</w:t>
      </w:r>
      <w:r w:rsidR="005E4D64" w:rsidRPr="00E30279">
        <w:rPr>
          <w:rFonts w:ascii="Times New Roman" w:hAnsi="Times New Roman"/>
          <w:b/>
          <w:i/>
          <w:iCs/>
          <w:sz w:val="24"/>
          <w:szCs w:val="24"/>
          <w:lang w:val="en-GB"/>
        </w:rPr>
        <w:t>lant Collection and Authentication.</w:t>
      </w:r>
    </w:p>
    <w:p w14:paraId="0368FC52" w14:textId="77777777" w:rsidR="005E4D64" w:rsidRPr="00E30279" w:rsidRDefault="005E371B" w:rsidP="005E371B">
      <w:pPr>
        <w:spacing w:after="0" w:line="360" w:lineRule="auto"/>
        <w:jc w:val="both"/>
        <w:rPr>
          <w:rFonts w:ascii="Times New Roman" w:eastAsia="Times New Roman" w:hAnsi="Times New Roman"/>
          <w:sz w:val="24"/>
          <w:szCs w:val="24"/>
        </w:rPr>
      </w:pPr>
      <w:r w:rsidRPr="00E30279">
        <w:t>Cocoa beans were harvested in 2025 from Ilesa East Local Government Area, Osun State, southwestern Nigeria.</w:t>
      </w:r>
    </w:p>
    <w:p w14:paraId="6DA490AE" w14:textId="77777777" w:rsidR="005E4D64" w:rsidRPr="00E30279" w:rsidRDefault="002619A6" w:rsidP="005E371B">
      <w:pPr>
        <w:spacing w:after="0" w:line="360" w:lineRule="auto"/>
        <w:jc w:val="both"/>
        <w:rPr>
          <w:rFonts w:ascii="Times New Roman" w:hAnsi="Times New Roman"/>
          <w:b/>
          <w:i/>
          <w:iCs/>
          <w:sz w:val="24"/>
        </w:rPr>
      </w:pPr>
      <w:r w:rsidRPr="00E30279">
        <w:rPr>
          <w:rFonts w:ascii="Times New Roman" w:hAnsi="Times New Roman"/>
          <w:b/>
          <w:iCs/>
          <w:sz w:val="24"/>
          <w:szCs w:val="24"/>
          <w:lang w:val="en"/>
        </w:rPr>
        <w:t xml:space="preserve">2.3 </w:t>
      </w:r>
      <w:r w:rsidR="005E4D64" w:rsidRPr="00E30279">
        <w:rPr>
          <w:rFonts w:ascii="Times New Roman" w:hAnsi="Times New Roman"/>
          <w:b/>
          <w:i/>
          <w:iCs/>
          <w:sz w:val="24"/>
          <w:szCs w:val="24"/>
          <w:lang w:val="en"/>
        </w:rPr>
        <w:t>P</w:t>
      </w:r>
      <w:r w:rsidR="005E4D64" w:rsidRPr="00E30279">
        <w:rPr>
          <w:rFonts w:ascii="Times New Roman" w:hAnsi="Times New Roman"/>
          <w:b/>
          <w:i/>
          <w:iCs/>
          <w:sz w:val="24"/>
          <w:szCs w:val="24"/>
          <w:lang w:val="en-GB"/>
        </w:rPr>
        <w:t>lant Sample Preparation and Extraction</w:t>
      </w:r>
    </w:p>
    <w:p w14:paraId="5D4F5A92" w14:textId="77777777" w:rsidR="005E4D64" w:rsidRPr="00E30279" w:rsidRDefault="005E371B" w:rsidP="005E371B">
      <w:pPr>
        <w:spacing w:after="0" w:line="360" w:lineRule="auto"/>
        <w:jc w:val="both"/>
        <w:rPr>
          <w:rFonts w:ascii="Times New Roman" w:eastAsia="Times New Roman" w:hAnsi="Times New Roman"/>
          <w:sz w:val="24"/>
          <w:szCs w:val="24"/>
        </w:rPr>
      </w:pPr>
      <w:r w:rsidRPr="00E30279">
        <w:t>The cocoa seeds were first wetted and then dried. The dried seeds were ground to prepare a powdered sample for further testing.</w:t>
      </w:r>
    </w:p>
    <w:p w14:paraId="48527A84" w14:textId="77777777" w:rsidR="006D3523" w:rsidRPr="00E30279" w:rsidRDefault="006D3523" w:rsidP="005E371B">
      <w:pPr>
        <w:widowControl w:val="0"/>
        <w:tabs>
          <w:tab w:val="left" w:pos="4131"/>
        </w:tabs>
        <w:autoSpaceDE w:val="0"/>
        <w:autoSpaceDN w:val="0"/>
        <w:adjustRightInd w:val="0"/>
        <w:spacing w:after="200" w:line="360" w:lineRule="auto"/>
        <w:jc w:val="both"/>
        <w:rPr>
          <w:rFonts w:ascii="Times New Roman" w:hAnsi="Times New Roman"/>
          <w:b/>
          <w:iCs/>
          <w:sz w:val="24"/>
          <w:szCs w:val="24"/>
          <w:lang w:val="en-GB"/>
        </w:rPr>
      </w:pPr>
    </w:p>
    <w:p w14:paraId="1F32EDE0" w14:textId="77777777" w:rsidR="006D3523" w:rsidRPr="00E30279" w:rsidRDefault="006D3523" w:rsidP="005E371B">
      <w:pPr>
        <w:widowControl w:val="0"/>
        <w:tabs>
          <w:tab w:val="left" w:pos="4131"/>
        </w:tabs>
        <w:autoSpaceDE w:val="0"/>
        <w:autoSpaceDN w:val="0"/>
        <w:adjustRightInd w:val="0"/>
        <w:spacing w:after="200" w:line="360" w:lineRule="auto"/>
        <w:jc w:val="both"/>
        <w:rPr>
          <w:rFonts w:ascii="Times New Roman" w:hAnsi="Times New Roman"/>
          <w:b/>
          <w:iCs/>
          <w:sz w:val="24"/>
          <w:szCs w:val="24"/>
          <w:lang w:val="en-GB"/>
        </w:rPr>
      </w:pPr>
    </w:p>
    <w:p w14:paraId="7FDC6EA2" w14:textId="77777777" w:rsidR="005E4D64" w:rsidRPr="00E30279" w:rsidRDefault="002619A6"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30279">
        <w:rPr>
          <w:rFonts w:ascii="Times New Roman" w:hAnsi="Times New Roman"/>
          <w:b/>
          <w:iCs/>
          <w:sz w:val="24"/>
          <w:szCs w:val="24"/>
          <w:lang w:val="en-GB"/>
        </w:rPr>
        <w:t xml:space="preserve">2.4 </w:t>
      </w:r>
      <w:r w:rsidR="005E4D64" w:rsidRPr="00E30279">
        <w:rPr>
          <w:rFonts w:ascii="Times New Roman" w:hAnsi="Times New Roman"/>
          <w:b/>
          <w:i/>
          <w:iCs/>
          <w:sz w:val="24"/>
          <w:szCs w:val="24"/>
          <w:lang w:val="en-GB"/>
        </w:rPr>
        <w:t>Reagent Used</w:t>
      </w:r>
    </w:p>
    <w:p w14:paraId="468D28E6" w14:textId="77777777" w:rsidR="005E4D64" w:rsidRPr="00E30279" w:rsidRDefault="005E371B" w:rsidP="005E371B">
      <w:pPr>
        <w:spacing w:after="0" w:line="360" w:lineRule="auto"/>
        <w:jc w:val="both"/>
        <w:rPr>
          <w:rFonts w:ascii="Times New Roman" w:eastAsia="Times New Roman" w:hAnsi="Times New Roman"/>
          <w:sz w:val="24"/>
          <w:szCs w:val="24"/>
        </w:rPr>
      </w:pPr>
      <w:r w:rsidRPr="00E30279">
        <w:t>The reagents used were sodium hydroxide (NaOH), ferric chloride (FeCl</w:t>
      </w:r>
      <w:r w:rsidRPr="00E30279">
        <w:rPr>
          <w:vertAlign w:val="subscript"/>
        </w:rPr>
        <w:t>3</w:t>
      </w:r>
      <w:r w:rsidRPr="00E30279">
        <w:t>), 10% ammonia, CHCl</w:t>
      </w:r>
      <w:r w:rsidRPr="00E30279">
        <w:rPr>
          <w:vertAlign w:val="subscript"/>
        </w:rPr>
        <w:t>3</w:t>
      </w:r>
      <w:r w:rsidRPr="00E30279">
        <w:t>, 50% sulphuric acid, Fehling's reagent, Meyer's reagent, Dragendorff's reagent, and Wagner's reagent.</w:t>
      </w:r>
    </w:p>
    <w:p w14:paraId="3066D6B3" w14:textId="77777777" w:rsidR="005E4D64" w:rsidRPr="00E30279" w:rsidRDefault="002619A6"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
        </w:rPr>
      </w:pPr>
      <w:r w:rsidRPr="00E30279">
        <w:rPr>
          <w:rFonts w:ascii="Times New Roman" w:hAnsi="Times New Roman"/>
          <w:b/>
          <w:iCs/>
          <w:sz w:val="24"/>
          <w:szCs w:val="24"/>
          <w:lang w:val="en-GB"/>
        </w:rPr>
        <w:t xml:space="preserve">2.5 </w:t>
      </w:r>
      <w:r w:rsidR="005E4D64" w:rsidRPr="00E30279">
        <w:rPr>
          <w:rFonts w:ascii="Times New Roman" w:hAnsi="Times New Roman"/>
          <w:b/>
          <w:i/>
          <w:iCs/>
          <w:sz w:val="24"/>
          <w:szCs w:val="24"/>
          <w:lang w:val="en-GB"/>
        </w:rPr>
        <w:t>Qualitative Phytochemical Screening of Plant Extracts</w:t>
      </w:r>
    </w:p>
    <w:p w14:paraId="74474E04" w14:textId="19816521" w:rsidR="005E4D64" w:rsidRPr="00E30279" w:rsidRDefault="005E371B" w:rsidP="005E371B">
      <w:pPr>
        <w:spacing w:after="0" w:line="360" w:lineRule="auto"/>
        <w:jc w:val="both"/>
        <w:rPr>
          <w:rFonts w:ascii="Times New Roman" w:hAnsi="Times New Roman"/>
          <w:sz w:val="24"/>
          <w:szCs w:val="24"/>
          <w:lang w:val="en-GB"/>
        </w:rPr>
      </w:pPr>
      <w:r w:rsidRPr="00E30279">
        <w:t xml:space="preserve">To screen for the presence of several classes of plant secondary metabolites, the cocoa extracts were subjected to phytochemical analysis according to the standardised methods described by Sofowora (1982), Harborne (1984), and </w:t>
      </w:r>
      <w:r w:rsidR="00EB263A" w:rsidRPr="00EB263A">
        <w:t>Evans</w:t>
      </w:r>
      <w:r w:rsidRPr="00E30279">
        <w:t xml:space="preserve"> (1989).</w:t>
      </w:r>
    </w:p>
    <w:p w14:paraId="6E88EA1C" w14:textId="77777777" w:rsidR="005E4D64" w:rsidRPr="00E30279" w:rsidRDefault="002619A6"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30279">
        <w:rPr>
          <w:rFonts w:ascii="Times New Roman" w:hAnsi="Times New Roman"/>
          <w:b/>
          <w:iCs/>
          <w:sz w:val="24"/>
          <w:szCs w:val="24"/>
          <w:lang w:val="en-GB"/>
        </w:rPr>
        <w:t xml:space="preserve">2.5.1 </w:t>
      </w:r>
      <w:r w:rsidR="005E4D64" w:rsidRPr="00E30279">
        <w:rPr>
          <w:rFonts w:ascii="Times New Roman" w:hAnsi="Times New Roman"/>
          <w:b/>
          <w:i/>
          <w:iCs/>
          <w:sz w:val="24"/>
          <w:szCs w:val="24"/>
          <w:lang w:val="en-GB"/>
        </w:rPr>
        <w:t>Alkaloids</w:t>
      </w:r>
    </w:p>
    <w:p w14:paraId="158A1B5A" w14:textId="77777777" w:rsidR="005E4D64" w:rsidRPr="00E30279" w:rsidRDefault="005E371B" w:rsidP="005E371B">
      <w:pPr>
        <w:spacing w:after="0" w:line="360" w:lineRule="auto"/>
        <w:jc w:val="both"/>
        <w:rPr>
          <w:rFonts w:ascii="Times New Roman" w:eastAsia="Times New Roman" w:hAnsi="Times New Roman"/>
          <w:sz w:val="24"/>
          <w:szCs w:val="24"/>
        </w:rPr>
      </w:pPr>
      <w:r w:rsidRPr="00E30279">
        <w:t>The test extracts were acidified in a steam bath with four (4) millilitres of 1% aqueous hydrochloric acid (HCl). A few drops of Meyer's reagent were then added separately to 1 mL of the acidified solution. The presence of alkaloids was indicated by a creamy-white precipitate. An orange precipitate was also used as an indication in the test procedure (Sofowora, 1982).</w:t>
      </w:r>
    </w:p>
    <w:p w14:paraId="6E4803D0" w14:textId="77777777" w:rsidR="005E4D64" w:rsidRPr="00E30279" w:rsidRDefault="008235CF"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30279">
        <w:rPr>
          <w:rFonts w:ascii="Times New Roman" w:hAnsi="Times New Roman"/>
          <w:b/>
          <w:iCs/>
          <w:sz w:val="24"/>
          <w:szCs w:val="24"/>
          <w:lang w:val="en-GB"/>
        </w:rPr>
        <w:t xml:space="preserve">2.5.2 </w:t>
      </w:r>
      <w:r w:rsidR="005E4D64" w:rsidRPr="00E30279">
        <w:rPr>
          <w:rFonts w:ascii="Times New Roman" w:hAnsi="Times New Roman"/>
          <w:b/>
          <w:i/>
          <w:iCs/>
          <w:sz w:val="24"/>
          <w:szCs w:val="24"/>
          <w:lang w:val="en-GB"/>
        </w:rPr>
        <w:t>Tannins</w:t>
      </w:r>
    </w:p>
    <w:p w14:paraId="5BC744A3" w14:textId="77777777" w:rsidR="005E4D64" w:rsidRPr="00E30279" w:rsidRDefault="005E371B" w:rsidP="005E371B">
      <w:pPr>
        <w:spacing w:after="0" w:line="360" w:lineRule="auto"/>
        <w:jc w:val="both"/>
        <w:rPr>
          <w:rFonts w:ascii="Times New Roman" w:eastAsia="Times New Roman" w:hAnsi="Times New Roman"/>
          <w:sz w:val="24"/>
          <w:szCs w:val="24"/>
        </w:rPr>
      </w:pPr>
      <w:r w:rsidRPr="00E30279">
        <w:t>Five drops of ferric chloride (FeCl</w:t>
      </w:r>
      <w:r w:rsidRPr="00E30279">
        <w:rPr>
          <w:vertAlign w:val="subscript"/>
        </w:rPr>
        <w:t>3</w:t>
      </w:r>
      <w:r w:rsidRPr="00E30279">
        <w:t>) were added to 2 millilitres of the extract solution. The presence of tannins was indicated by a dirty-green or greenish-black precipitate (Sofowora, 1982).</w:t>
      </w:r>
    </w:p>
    <w:p w14:paraId="06A107A5" w14:textId="77777777" w:rsidR="005E4D64" w:rsidRPr="00E30279" w:rsidRDefault="008235CF"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30279">
        <w:rPr>
          <w:rFonts w:ascii="Times New Roman" w:hAnsi="Times New Roman"/>
          <w:b/>
          <w:iCs/>
          <w:sz w:val="24"/>
          <w:szCs w:val="24"/>
          <w:lang w:val="en-GB"/>
        </w:rPr>
        <w:t xml:space="preserve">2.5.3 </w:t>
      </w:r>
      <w:r w:rsidR="005E4D64" w:rsidRPr="00E30279">
        <w:rPr>
          <w:rFonts w:ascii="Times New Roman" w:hAnsi="Times New Roman"/>
          <w:b/>
          <w:i/>
          <w:iCs/>
          <w:sz w:val="24"/>
          <w:szCs w:val="24"/>
          <w:lang w:val="en-GB"/>
        </w:rPr>
        <w:t>Saponins</w:t>
      </w:r>
    </w:p>
    <w:p w14:paraId="6AAF0407" w14:textId="77777777" w:rsidR="005E4D64" w:rsidRPr="00E30279" w:rsidRDefault="005E371B" w:rsidP="005E371B">
      <w:pPr>
        <w:spacing w:after="0" w:line="360" w:lineRule="auto"/>
        <w:jc w:val="both"/>
        <w:rPr>
          <w:rFonts w:ascii="Times New Roman" w:eastAsia="Times New Roman" w:hAnsi="Times New Roman"/>
          <w:sz w:val="24"/>
          <w:szCs w:val="24"/>
        </w:rPr>
      </w:pPr>
      <w:r w:rsidRPr="00E30279">
        <w:t>Five (5) millilitres of distilled water were added to two (2) millilitres of the extracts, followed by rapid shaking and heating to boiling. The presence of a frothy layer and a creamy-milk precipitate would indicate saponins; however, these were not observed (Sofowora, 1982).</w:t>
      </w:r>
    </w:p>
    <w:p w14:paraId="573A7E7F" w14:textId="77777777" w:rsidR="005E4D64" w:rsidRPr="00E30279" w:rsidRDefault="008235CF"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30279">
        <w:rPr>
          <w:rFonts w:ascii="Times New Roman" w:hAnsi="Times New Roman"/>
          <w:b/>
          <w:iCs/>
          <w:sz w:val="24"/>
          <w:szCs w:val="24"/>
          <w:lang w:val="en-GB"/>
        </w:rPr>
        <w:t xml:space="preserve">2.5.4 </w:t>
      </w:r>
      <w:r w:rsidR="005E4D64" w:rsidRPr="00E30279">
        <w:rPr>
          <w:rFonts w:ascii="Times New Roman" w:hAnsi="Times New Roman"/>
          <w:b/>
          <w:i/>
          <w:iCs/>
          <w:sz w:val="24"/>
          <w:szCs w:val="24"/>
          <w:lang w:val="en-GB"/>
        </w:rPr>
        <w:t>Flavonoids</w:t>
      </w:r>
    </w:p>
    <w:p w14:paraId="7A13B4EF" w14:textId="77777777" w:rsidR="005E4D64" w:rsidRPr="00E30279" w:rsidRDefault="005E371B" w:rsidP="005E371B">
      <w:pPr>
        <w:spacing w:after="0" w:line="360" w:lineRule="auto"/>
        <w:jc w:val="both"/>
        <w:rPr>
          <w:rFonts w:ascii="Times New Roman" w:eastAsia="Times New Roman" w:hAnsi="Times New Roman"/>
          <w:sz w:val="24"/>
          <w:szCs w:val="24"/>
        </w:rPr>
      </w:pPr>
      <w:r w:rsidRPr="00E30279">
        <w:t>Two millilitres of the extract solution were mixed with four millilitres of aqueous sodium hydroxide (NaOH). Flavonoids were not detected, although a yellow solution would be expected to become colourless after the addition of hydrochloric acid (HCl) (Harborne, 1984).</w:t>
      </w:r>
    </w:p>
    <w:p w14:paraId="61113D1E" w14:textId="77777777" w:rsidR="005E4D64" w:rsidRPr="00E30279" w:rsidRDefault="008235CF"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30279">
        <w:rPr>
          <w:rFonts w:ascii="Times New Roman" w:hAnsi="Times New Roman"/>
          <w:b/>
          <w:iCs/>
          <w:sz w:val="24"/>
          <w:szCs w:val="24"/>
          <w:lang w:val="en-GB"/>
        </w:rPr>
        <w:t xml:space="preserve">2.5.5 </w:t>
      </w:r>
      <w:r w:rsidR="005E4D64" w:rsidRPr="00E30279">
        <w:rPr>
          <w:rFonts w:ascii="Times New Roman" w:hAnsi="Times New Roman"/>
          <w:b/>
          <w:i/>
          <w:iCs/>
          <w:sz w:val="24"/>
          <w:szCs w:val="24"/>
          <w:lang w:val="en-GB"/>
        </w:rPr>
        <w:t>Glycosides</w:t>
      </w:r>
    </w:p>
    <w:p w14:paraId="6D629152" w14:textId="3E854EF1" w:rsidR="005E4D64" w:rsidRPr="00E30279" w:rsidRDefault="005E371B" w:rsidP="005E371B">
      <w:pPr>
        <w:spacing w:after="0" w:line="360" w:lineRule="auto"/>
        <w:jc w:val="both"/>
        <w:rPr>
          <w:rFonts w:ascii="Times New Roman" w:eastAsia="Times New Roman" w:hAnsi="Times New Roman"/>
          <w:sz w:val="24"/>
          <w:szCs w:val="24"/>
        </w:rPr>
      </w:pPr>
      <w:r w:rsidRPr="00E30279">
        <w:lastRenderedPageBreak/>
        <w:t>The test extract was mixed with five (5) millilitres of 50% sulphuric acid. The mixture was heated in boiling water for fifteen minutes, after which Fehling's solution was added and the mixture was brought to the boil. The expected brick-red precipitate indicating the presence of glycosides was not observed (</w:t>
      </w:r>
      <w:r w:rsidR="00EB263A" w:rsidRPr="00EB263A">
        <w:t>Evans</w:t>
      </w:r>
      <w:r w:rsidRPr="00E30279">
        <w:t>, 1989).</w:t>
      </w:r>
    </w:p>
    <w:p w14:paraId="796DE66E" w14:textId="77777777" w:rsidR="005E4D64" w:rsidRPr="00E30279" w:rsidRDefault="008235CF"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30279">
        <w:rPr>
          <w:rFonts w:ascii="Times New Roman" w:hAnsi="Times New Roman"/>
          <w:b/>
          <w:iCs/>
          <w:sz w:val="24"/>
          <w:szCs w:val="24"/>
          <w:lang w:val="en-GB"/>
        </w:rPr>
        <w:t xml:space="preserve">2.5.6 </w:t>
      </w:r>
      <w:r w:rsidR="005E4D64" w:rsidRPr="00E30279">
        <w:rPr>
          <w:rFonts w:ascii="Times New Roman" w:hAnsi="Times New Roman"/>
          <w:b/>
          <w:i/>
          <w:iCs/>
          <w:sz w:val="24"/>
          <w:szCs w:val="24"/>
          <w:lang w:val="en-GB"/>
        </w:rPr>
        <w:t>Terpenoids (Salkowski test)</w:t>
      </w:r>
    </w:p>
    <w:p w14:paraId="082DFCAE" w14:textId="77777777" w:rsidR="008235CF" w:rsidRPr="00E30279" w:rsidRDefault="005E371B" w:rsidP="003315DF">
      <w:pPr>
        <w:spacing w:after="0" w:line="360" w:lineRule="auto"/>
        <w:jc w:val="both"/>
        <w:rPr>
          <w:rFonts w:ascii="Times New Roman" w:eastAsia="Times New Roman" w:hAnsi="Times New Roman"/>
          <w:sz w:val="24"/>
          <w:szCs w:val="24"/>
        </w:rPr>
      </w:pPr>
      <w:r w:rsidRPr="00E30279">
        <w:t>Two millilitres of the extract were combined with two millilitres of chloroform (CHCl</w:t>
      </w:r>
      <w:r w:rsidRPr="00E30279">
        <w:rPr>
          <w:vertAlign w:val="subscript"/>
        </w:rPr>
        <w:t>3</w:t>
      </w:r>
      <w:r w:rsidRPr="00E30279">
        <w:t>), followed by the slow addition of three millilitres of concentrated sulphuric acid (H</w:t>
      </w:r>
      <w:r w:rsidRPr="00E30279">
        <w:rPr>
          <w:vertAlign w:val="subscript"/>
        </w:rPr>
        <w:t>2</w:t>
      </w:r>
      <w:r w:rsidRPr="00E30279">
        <w:t>SO</w:t>
      </w:r>
      <w:r w:rsidRPr="00E30279">
        <w:rPr>
          <w:vertAlign w:val="subscript"/>
        </w:rPr>
        <w:t>4</w:t>
      </w:r>
      <w:r w:rsidRPr="00E30279">
        <w:t>) to form a layer. The reddish-brown colouration of the interface that would indicate the presence of terpenoids was not observed (Sofowora, 1982).</w:t>
      </w:r>
    </w:p>
    <w:p w14:paraId="67435648" w14:textId="77777777" w:rsidR="005E4D64" w:rsidRPr="00E30279" w:rsidRDefault="008235CF"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30279">
        <w:rPr>
          <w:rFonts w:ascii="Times New Roman" w:hAnsi="Times New Roman"/>
          <w:b/>
          <w:iCs/>
          <w:sz w:val="24"/>
          <w:szCs w:val="24"/>
          <w:lang w:val="en-GB"/>
        </w:rPr>
        <w:t xml:space="preserve">2.5.7 </w:t>
      </w:r>
      <w:r w:rsidR="005E4D64" w:rsidRPr="00E30279">
        <w:rPr>
          <w:rFonts w:ascii="Times New Roman" w:hAnsi="Times New Roman"/>
          <w:b/>
          <w:i/>
          <w:iCs/>
          <w:sz w:val="24"/>
          <w:szCs w:val="24"/>
          <w:lang w:val="en-GB"/>
        </w:rPr>
        <w:t>Phenol</w:t>
      </w:r>
    </w:p>
    <w:p w14:paraId="1D51F567" w14:textId="77777777" w:rsidR="005E4D64" w:rsidRPr="00E30279" w:rsidRDefault="005E371B" w:rsidP="005E371B">
      <w:pPr>
        <w:spacing w:after="0" w:line="360" w:lineRule="auto"/>
        <w:jc w:val="both"/>
        <w:rPr>
          <w:rFonts w:ascii="Times New Roman" w:eastAsia="Times New Roman" w:hAnsi="Times New Roman"/>
          <w:sz w:val="24"/>
          <w:szCs w:val="24"/>
        </w:rPr>
      </w:pPr>
      <w:r w:rsidRPr="00E30279">
        <w:t>Four drops of ferric chloride solution were added to 5 millilitres of the extracts. The presence of phenols was indicated by the formation of a bluish-black colour (Harborne, 1984).</w:t>
      </w:r>
    </w:p>
    <w:p w14:paraId="6C4043D0" w14:textId="77777777" w:rsidR="005E4D64" w:rsidRPr="00E30279" w:rsidRDefault="008235CF"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30279">
        <w:rPr>
          <w:rFonts w:ascii="Times New Roman" w:hAnsi="Times New Roman"/>
          <w:b/>
          <w:iCs/>
          <w:sz w:val="24"/>
          <w:szCs w:val="24"/>
          <w:lang w:val="en-GB"/>
        </w:rPr>
        <w:t xml:space="preserve">2.5.8 </w:t>
      </w:r>
      <w:r w:rsidR="005E4D64" w:rsidRPr="00E30279">
        <w:rPr>
          <w:rFonts w:ascii="Times New Roman" w:hAnsi="Times New Roman"/>
          <w:b/>
          <w:i/>
          <w:iCs/>
          <w:sz w:val="24"/>
          <w:szCs w:val="24"/>
          <w:lang w:val="en-GB"/>
        </w:rPr>
        <w:t>Steroids</w:t>
      </w:r>
    </w:p>
    <w:p w14:paraId="787662C4" w14:textId="77777777" w:rsidR="005E4D64" w:rsidRPr="00E30279" w:rsidRDefault="005E371B" w:rsidP="005E371B">
      <w:pPr>
        <w:spacing w:after="0" w:line="360" w:lineRule="auto"/>
        <w:jc w:val="both"/>
        <w:rPr>
          <w:rFonts w:ascii="Times New Roman" w:eastAsia="Times New Roman" w:hAnsi="Times New Roman"/>
          <w:sz w:val="24"/>
          <w:szCs w:val="24"/>
        </w:rPr>
      </w:pPr>
      <w:r w:rsidRPr="00E30279">
        <w:t>Five drops of concentrated sulphuric acid (H</w:t>
      </w:r>
      <w:r w:rsidRPr="00E30279">
        <w:rPr>
          <w:vertAlign w:val="subscript"/>
        </w:rPr>
        <w:t>2</w:t>
      </w:r>
      <w:r w:rsidRPr="00E30279">
        <w:t>SO</w:t>
      </w:r>
      <w:r w:rsidRPr="00E30279">
        <w:rPr>
          <w:vertAlign w:val="subscript"/>
        </w:rPr>
        <w:t>4</w:t>
      </w:r>
      <w:r w:rsidRPr="00E30279">
        <w:t>) were added to 1 millilitre of the extract solution. The brownish-red colour that would indicate the presence of steroids was not observed (Sofowora, 1982).</w:t>
      </w:r>
    </w:p>
    <w:p w14:paraId="70B80218" w14:textId="77777777" w:rsidR="005E4D64" w:rsidRPr="00E30279" w:rsidRDefault="008235CF"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30279">
        <w:rPr>
          <w:rFonts w:ascii="Times New Roman" w:hAnsi="Times New Roman"/>
          <w:b/>
          <w:iCs/>
          <w:sz w:val="24"/>
          <w:szCs w:val="24"/>
          <w:lang w:val="en-GB"/>
        </w:rPr>
        <w:t xml:space="preserve">2.5.9 </w:t>
      </w:r>
      <w:r w:rsidR="005E4D64" w:rsidRPr="00E30279">
        <w:rPr>
          <w:rFonts w:ascii="Times New Roman" w:hAnsi="Times New Roman"/>
          <w:b/>
          <w:i/>
          <w:iCs/>
          <w:sz w:val="24"/>
          <w:szCs w:val="24"/>
          <w:lang w:val="en-GB"/>
        </w:rPr>
        <w:t>Anthraquinone</w:t>
      </w:r>
    </w:p>
    <w:p w14:paraId="5E354D86" w14:textId="77777777" w:rsidR="005E4D64" w:rsidRPr="00E30279" w:rsidRDefault="005E371B" w:rsidP="005E371B">
      <w:pPr>
        <w:spacing w:after="0" w:line="360" w:lineRule="auto"/>
        <w:jc w:val="both"/>
        <w:rPr>
          <w:rFonts w:ascii="Times New Roman" w:eastAsia="Times New Roman" w:hAnsi="Times New Roman"/>
          <w:sz w:val="24"/>
          <w:szCs w:val="24"/>
        </w:rPr>
      </w:pPr>
      <w:r w:rsidRPr="00E30279">
        <w:t>Five (5) millilitres of the extract were boiled with 10% hydrochloric acid (HCl) in a water bath at 100°C for 10 minutes. After cooling, the filtrate was combined with an equal volume of trichloromethane (CHCl</w:t>
      </w:r>
      <w:r w:rsidRPr="00E30279">
        <w:rPr>
          <w:vertAlign w:val="subscript"/>
        </w:rPr>
        <w:t>3</w:t>
      </w:r>
      <w:r w:rsidRPr="00E30279">
        <w:t>) and treated with 10% ammonia (NH</w:t>
      </w:r>
      <w:r w:rsidRPr="00E30279">
        <w:rPr>
          <w:vertAlign w:val="subscript"/>
        </w:rPr>
        <w:t>3</w:t>
      </w:r>
      <w:r w:rsidRPr="00E30279">
        <w:t>) solution. The rose-pink colour that would indicate the presence of anthraquinone was not observed (Sofowora, 1982).</w:t>
      </w:r>
    </w:p>
    <w:p w14:paraId="3DEC02CB" w14:textId="77777777" w:rsidR="005E4D64" w:rsidRPr="00E30279" w:rsidRDefault="006964C7"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30279">
        <w:rPr>
          <w:rFonts w:ascii="Times New Roman" w:hAnsi="Times New Roman"/>
          <w:b/>
          <w:iCs/>
          <w:sz w:val="24"/>
          <w:szCs w:val="24"/>
          <w:lang w:val="en-GB"/>
        </w:rPr>
        <w:t xml:space="preserve">2.5.10 </w:t>
      </w:r>
      <w:r w:rsidRPr="00E30279">
        <w:rPr>
          <w:rFonts w:ascii="Times New Roman" w:hAnsi="Times New Roman"/>
          <w:b/>
          <w:i/>
          <w:iCs/>
          <w:sz w:val="24"/>
          <w:szCs w:val="24"/>
          <w:lang w:val="en-GB"/>
        </w:rPr>
        <w:t>Phlobatanins</w:t>
      </w:r>
    </w:p>
    <w:p w14:paraId="2233FBEA" w14:textId="77777777" w:rsidR="006D3523" w:rsidRPr="00E30279" w:rsidRDefault="005E371B" w:rsidP="002F67C5">
      <w:pPr>
        <w:spacing w:after="0" w:line="360" w:lineRule="auto"/>
        <w:jc w:val="both"/>
        <w:rPr>
          <w:rFonts w:ascii="Times New Roman" w:eastAsia="Times New Roman" w:hAnsi="Times New Roman"/>
          <w:sz w:val="24"/>
          <w:szCs w:val="24"/>
        </w:rPr>
      </w:pPr>
      <w:r w:rsidRPr="00E30279">
        <w:t>Five (5) millilitres of the extract were dissolved in distilled water and filtered. The filtrate was then boiled in 2% hydrochloric acid (HCl). The crimson precipitate that would support the presence of phlobatannins was not observed (Sofowora, 1982).</w:t>
      </w:r>
    </w:p>
    <w:p w14:paraId="3F541580" w14:textId="77777777" w:rsidR="002F67C5" w:rsidRPr="00E30279" w:rsidRDefault="002F67C5" w:rsidP="002F67C5">
      <w:pPr>
        <w:spacing w:after="0" w:line="360" w:lineRule="auto"/>
        <w:jc w:val="both"/>
        <w:rPr>
          <w:rFonts w:ascii="Times New Roman" w:eastAsia="Times New Roman" w:hAnsi="Times New Roman"/>
          <w:sz w:val="24"/>
          <w:szCs w:val="24"/>
        </w:rPr>
      </w:pPr>
    </w:p>
    <w:p w14:paraId="17C9B302" w14:textId="77777777" w:rsidR="002F67C5" w:rsidRPr="00E30279" w:rsidRDefault="002F67C5" w:rsidP="002F67C5">
      <w:pPr>
        <w:spacing w:after="0" w:line="360" w:lineRule="auto"/>
        <w:jc w:val="both"/>
        <w:rPr>
          <w:rFonts w:ascii="Times New Roman" w:eastAsia="Times New Roman" w:hAnsi="Times New Roman"/>
          <w:sz w:val="24"/>
          <w:szCs w:val="24"/>
        </w:rPr>
      </w:pPr>
    </w:p>
    <w:p w14:paraId="2FE50F98" w14:textId="77777777" w:rsidR="002F67C5" w:rsidRPr="00E30279" w:rsidRDefault="002F67C5" w:rsidP="002F67C5">
      <w:pPr>
        <w:spacing w:after="0" w:line="360" w:lineRule="auto"/>
        <w:jc w:val="both"/>
        <w:rPr>
          <w:rFonts w:ascii="Times New Roman" w:eastAsia="Times New Roman" w:hAnsi="Times New Roman"/>
          <w:sz w:val="24"/>
          <w:szCs w:val="24"/>
        </w:rPr>
      </w:pPr>
    </w:p>
    <w:p w14:paraId="01941915" w14:textId="77777777" w:rsidR="002F67C5" w:rsidRPr="00E30279" w:rsidRDefault="002F67C5" w:rsidP="002F67C5">
      <w:pPr>
        <w:spacing w:after="0" w:line="360" w:lineRule="auto"/>
        <w:jc w:val="both"/>
        <w:rPr>
          <w:rFonts w:ascii="Times New Roman" w:eastAsia="Times New Roman" w:hAnsi="Times New Roman"/>
          <w:sz w:val="24"/>
          <w:szCs w:val="24"/>
        </w:rPr>
      </w:pPr>
    </w:p>
    <w:p w14:paraId="2992EC75" w14:textId="77777777" w:rsidR="005E4D64" w:rsidRPr="00E30279" w:rsidRDefault="006964C7" w:rsidP="005E371B">
      <w:pPr>
        <w:widowControl w:val="0"/>
        <w:tabs>
          <w:tab w:val="left" w:pos="4131"/>
        </w:tabs>
        <w:autoSpaceDE w:val="0"/>
        <w:autoSpaceDN w:val="0"/>
        <w:adjustRightInd w:val="0"/>
        <w:spacing w:after="200" w:line="360" w:lineRule="auto"/>
        <w:jc w:val="both"/>
        <w:rPr>
          <w:rFonts w:ascii="Times New Roman" w:hAnsi="Times New Roman"/>
          <w:b/>
          <w:bCs/>
          <w:i/>
          <w:iCs/>
          <w:sz w:val="24"/>
          <w:szCs w:val="24"/>
          <w:lang w:val="en-GB"/>
        </w:rPr>
      </w:pPr>
      <w:r w:rsidRPr="00E30279">
        <w:rPr>
          <w:rFonts w:ascii="Times New Roman" w:hAnsi="Times New Roman"/>
          <w:b/>
          <w:bCs/>
          <w:iCs/>
          <w:sz w:val="24"/>
        </w:rPr>
        <w:t xml:space="preserve">2.5.11 </w:t>
      </w:r>
      <w:r w:rsidR="005E4D64" w:rsidRPr="00E30279">
        <w:rPr>
          <w:rFonts w:ascii="Times New Roman" w:hAnsi="Times New Roman"/>
          <w:b/>
          <w:bCs/>
          <w:i/>
          <w:iCs/>
          <w:sz w:val="24"/>
        </w:rPr>
        <w:t>Antimicrobial Activity Test</w:t>
      </w:r>
      <w:r w:rsidR="005E4D64" w:rsidRPr="00E30279">
        <w:rPr>
          <w:rFonts w:ascii="Times New Roman" w:hAnsi="Times New Roman"/>
          <w:b/>
          <w:bCs/>
          <w:i/>
          <w:iCs/>
          <w:sz w:val="24"/>
          <w:szCs w:val="24"/>
          <w:lang w:val="en-GB"/>
        </w:rPr>
        <w:t xml:space="preserve"> </w:t>
      </w:r>
    </w:p>
    <w:p w14:paraId="04861655" w14:textId="77777777" w:rsidR="005E4D64" w:rsidRPr="00E30279" w:rsidRDefault="008235CF" w:rsidP="005E371B">
      <w:pPr>
        <w:widowControl w:val="0"/>
        <w:tabs>
          <w:tab w:val="left" w:pos="4131"/>
        </w:tabs>
        <w:autoSpaceDE w:val="0"/>
        <w:autoSpaceDN w:val="0"/>
        <w:adjustRightInd w:val="0"/>
        <w:spacing w:after="200" w:line="360" w:lineRule="auto"/>
        <w:jc w:val="both"/>
        <w:rPr>
          <w:rFonts w:ascii="Times New Roman" w:hAnsi="Times New Roman"/>
          <w:b/>
          <w:bCs/>
          <w:i/>
          <w:iCs/>
          <w:sz w:val="24"/>
          <w:szCs w:val="24"/>
          <w:lang w:val="en-GB"/>
        </w:rPr>
      </w:pPr>
      <w:r w:rsidRPr="00E30279">
        <w:rPr>
          <w:rFonts w:ascii="Times New Roman" w:hAnsi="Times New Roman"/>
          <w:b/>
          <w:bCs/>
          <w:iCs/>
          <w:sz w:val="24"/>
        </w:rPr>
        <w:lastRenderedPageBreak/>
        <w:t>2.6</w:t>
      </w:r>
      <w:r w:rsidRPr="00E30279">
        <w:rPr>
          <w:rFonts w:ascii="Times New Roman" w:hAnsi="Times New Roman"/>
          <w:b/>
          <w:bCs/>
          <w:i/>
          <w:iCs/>
          <w:sz w:val="24"/>
        </w:rPr>
        <w:t xml:space="preserve"> </w:t>
      </w:r>
      <w:r w:rsidR="005E4D64" w:rsidRPr="00E30279">
        <w:rPr>
          <w:rFonts w:ascii="Times New Roman" w:hAnsi="Times New Roman"/>
          <w:b/>
          <w:bCs/>
          <w:i/>
          <w:iCs/>
          <w:sz w:val="24"/>
        </w:rPr>
        <w:t>Preparation of Agar Plates</w:t>
      </w:r>
    </w:p>
    <w:p w14:paraId="271360FB" w14:textId="77777777" w:rsidR="005D34FE" w:rsidRPr="00E30279" w:rsidRDefault="005E371B" w:rsidP="005E371B">
      <w:pPr>
        <w:spacing w:after="0" w:line="360" w:lineRule="auto"/>
        <w:jc w:val="both"/>
        <w:rPr>
          <w:rFonts w:ascii="Times New Roman" w:eastAsia="Times New Roman" w:hAnsi="Times New Roman"/>
          <w:bCs/>
          <w:sz w:val="24"/>
          <w:szCs w:val="24"/>
        </w:rPr>
      </w:pPr>
      <w:r w:rsidRPr="00E30279">
        <w:t xml:space="preserve">Following the manufacturer's instructions, Muller-Hinton agar was prepared to test the antimicrobial activity of the extract against </w:t>
      </w:r>
      <w:r w:rsidRPr="00E30279">
        <w:rPr>
          <w:i/>
        </w:rPr>
        <w:t>Klebsiella pneumoniae</w:t>
      </w:r>
      <w:r w:rsidRPr="00E30279">
        <w:t xml:space="preserve"> and </w:t>
      </w:r>
      <w:r w:rsidRPr="00E30279">
        <w:rPr>
          <w:i/>
        </w:rPr>
        <w:t>Escherichia coli</w:t>
      </w:r>
      <w:r w:rsidRPr="00E30279">
        <w:t>. Approximately 19 grams of dried agar were weighed and transferred to a flask, and 500 millilitres of distilled water were added. The mixture was then autoclaved at 121°C for 20 minutes. After autoclaving, it was cooled to approximately 45°C before being transferred to several Petri dishes. Once the agar had solidified, the surface was inoculated with a 0.5 McFarland standard bacterial suspension using a sterile swab stick. The bacterial plates were incubated at 35°C for 24 hours (Clinical and Laboratory Standards Institute, 2018).</w:t>
      </w:r>
    </w:p>
    <w:p w14:paraId="2D7C51D1" w14:textId="77777777" w:rsidR="005E4D64" w:rsidRPr="00E30279" w:rsidRDefault="008235CF" w:rsidP="005E371B">
      <w:pPr>
        <w:spacing w:after="0" w:line="360" w:lineRule="auto"/>
        <w:jc w:val="both"/>
        <w:rPr>
          <w:rFonts w:ascii="Times New Roman" w:hAnsi="Times New Roman"/>
          <w:b/>
          <w:bCs/>
          <w:i/>
          <w:iCs/>
          <w:sz w:val="24"/>
        </w:rPr>
      </w:pPr>
      <w:r w:rsidRPr="00E30279">
        <w:rPr>
          <w:rFonts w:ascii="Times New Roman" w:hAnsi="Times New Roman"/>
          <w:b/>
          <w:bCs/>
          <w:iCs/>
          <w:sz w:val="24"/>
        </w:rPr>
        <w:t xml:space="preserve">2.7 </w:t>
      </w:r>
      <w:r w:rsidR="005E4D64" w:rsidRPr="00E30279">
        <w:rPr>
          <w:rFonts w:ascii="Times New Roman" w:hAnsi="Times New Roman"/>
          <w:b/>
          <w:bCs/>
          <w:i/>
          <w:iCs/>
          <w:sz w:val="24"/>
        </w:rPr>
        <w:t>Antibiotic Sensitivity Test</w:t>
      </w:r>
    </w:p>
    <w:p w14:paraId="155B8BD8" w14:textId="77777777" w:rsidR="005D34FE" w:rsidRPr="00E30279" w:rsidRDefault="005E371B" w:rsidP="005E371B">
      <w:pPr>
        <w:spacing w:after="0" w:line="360" w:lineRule="auto"/>
        <w:jc w:val="both"/>
        <w:rPr>
          <w:rFonts w:ascii="Times New Roman" w:eastAsia="Times New Roman" w:hAnsi="Times New Roman"/>
          <w:sz w:val="24"/>
          <w:szCs w:val="24"/>
        </w:rPr>
      </w:pPr>
      <w:r w:rsidRPr="00E30279">
        <w:t>A 100 mg/mL stock solution was prepared by dissolving 1 gram of ceftriaxone in 10 millilitres of sterile saline water. Serial dilution of the stock solution produced concentrations of 50 mg/mL, 25 mg/mL, 12.5 mg/mL, 6.5 mg/mL, and 3.125 mg/mL, which were used to compare the antimicrobial activity of the extract with that of a clinically used antibiotic. Five separate wells were bored in each organism-containing agar plate. Twenty microlitres of the ceftriaxone solutions at the respective concentrations were added to the wells. Each test was performed in triplicate, and the zones of inhibition were measured after 24 hours of incubation.</w:t>
      </w:r>
    </w:p>
    <w:p w14:paraId="74108F2E" w14:textId="77777777" w:rsidR="006964C7" w:rsidRPr="00E30279" w:rsidRDefault="006964C7" w:rsidP="005E371B">
      <w:pPr>
        <w:spacing w:after="0" w:line="360" w:lineRule="auto"/>
        <w:jc w:val="both"/>
        <w:rPr>
          <w:rFonts w:ascii="Times New Roman" w:hAnsi="Times New Roman"/>
          <w:bCs/>
          <w:i/>
          <w:iCs/>
          <w:sz w:val="24"/>
        </w:rPr>
      </w:pPr>
    </w:p>
    <w:p w14:paraId="3A51D8A0" w14:textId="77777777" w:rsidR="005E4D64" w:rsidRPr="00E30279" w:rsidRDefault="008235CF" w:rsidP="005E371B">
      <w:pPr>
        <w:spacing w:after="0" w:line="360" w:lineRule="auto"/>
        <w:jc w:val="both"/>
        <w:rPr>
          <w:rFonts w:ascii="Times New Roman" w:hAnsi="Times New Roman"/>
          <w:b/>
          <w:bCs/>
          <w:i/>
          <w:iCs/>
          <w:sz w:val="24"/>
        </w:rPr>
      </w:pPr>
      <w:r w:rsidRPr="00E30279">
        <w:rPr>
          <w:rFonts w:ascii="Times New Roman" w:hAnsi="Times New Roman"/>
          <w:b/>
          <w:bCs/>
          <w:iCs/>
          <w:sz w:val="24"/>
        </w:rPr>
        <w:t xml:space="preserve">2.8 </w:t>
      </w:r>
      <w:r w:rsidR="005E4D64" w:rsidRPr="00E30279">
        <w:rPr>
          <w:rFonts w:ascii="Times New Roman" w:hAnsi="Times New Roman"/>
          <w:b/>
          <w:bCs/>
          <w:i/>
          <w:iCs/>
          <w:sz w:val="24"/>
        </w:rPr>
        <w:t xml:space="preserve">Antimicrobial Test of the Extract </w:t>
      </w:r>
    </w:p>
    <w:p w14:paraId="70F04C90" w14:textId="77777777" w:rsidR="009E24EE" w:rsidRPr="00E30279" w:rsidRDefault="005E371B" w:rsidP="005E371B">
      <w:pPr>
        <w:spacing w:after="0" w:line="360" w:lineRule="auto"/>
        <w:jc w:val="both"/>
        <w:rPr>
          <w:rFonts w:ascii="Times New Roman" w:eastAsia="Times New Roman" w:hAnsi="Times New Roman"/>
          <w:sz w:val="24"/>
          <w:szCs w:val="24"/>
        </w:rPr>
      </w:pPr>
      <w:r w:rsidRPr="00E30279">
        <w:t>Approximately 10 mL of the extract were collected in a pre-weighed Bijou bottle and dried in an oven at 45°C to remove the ethanol used for extraction. The combined weight of the bottle and dried extract indicated that 0.13 g of dried extract was obtained. A 100 mg/mL stock solution was prepared by dissolving the dried extract in 1.3 mL of dimethyl sulfoxide (DMSO). The stock solution was serially diluted with sterile saline water to obtain extract concentrations of 50 mg/mL, 25 mg/mL, 12.5 mg/mL, 6.25 mg/mL, and 3.125 mg/mL. Each well received 20 µL of the extract solution at the relevant concentration. Each test was performed in triplicate and incubated for 24 hours before the zones of inhibition were measured.</w:t>
      </w:r>
    </w:p>
    <w:p w14:paraId="4DB6135E" w14:textId="77777777" w:rsidR="006964C7" w:rsidRPr="00E30279" w:rsidRDefault="006964C7" w:rsidP="005E371B">
      <w:pPr>
        <w:spacing w:after="0" w:line="360" w:lineRule="auto"/>
        <w:jc w:val="both"/>
        <w:rPr>
          <w:rFonts w:ascii="Times New Roman" w:hAnsi="Times New Roman"/>
          <w:bCs/>
          <w:i/>
          <w:iCs/>
          <w:sz w:val="24"/>
        </w:rPr>
      </w:pPr>
    </w:p>
    <w:p w14:paraId="5D11DC15" w14:textId="77777777" w:rsidR="006D3523" w:rsidRPr="00E30279" w:rsidRDefault="006D3523" w:rsidP="005E371B">
      <w:pPr>
        <w:spacing w:after="0" w:line="360" w:lineRule="auto"/>
        <w:jc w:val="both"/>
        <w:rPr>
          <w:rFonts w:ascii="Times New Roman" w:hAnsi="Times New Roman"/>
          <w:b/>
          <w:bCs/>
          <w:iCs/>
          <w:sz w:val="24"/>
        </w:rPr>
      </w:pPr>
    </w:p>
    <w:p w14:paraId="1134F0CB" w14:textId="77777777" w:rsidR="005E4D64" w:rsidRPr="00E30279" w:rsidRDefault="006964C7" w:rsidP="005E371B">
      <w:pPr>
        <w:spacing w:after="0" w:line="360" w:lineRule="auto"/>
        <w:jc w:val="both"/>
        <w:rPr>
          <w:rFonts w:ascii="Times New Roman" w:hAnsi="Times New Roman"/>
          <w:b/>
          <w:bCs/>
          <w:i/>
          <w:iCs/>
          <w:sz w:val="24"/>
        </w:rPr>
      </w:pPr>
      <w:r w:rsidRPr="00E30279">
        <w:rPr>
          <w:rFonts w:ascii="Times New Roman" w:hAnsi="Times New Roman"/>
          <w:b/>
          <w:bCs/>
          <w:iCs/>
          <w:sz w:val="24"/>
        </w:rPr>
        <w:t xml:space="preserve">2.9 </w:t>
      </w:r>
      <w:r w:rsidR="005E4D64" w:rsidRPr="00E30279">
        <w:rPr>
          <w:rFonts w:ascii="Times New Roman" w:hAnsi="Times New Roman"/>
          <w:b/>
          <w:bCs/>
          <w:i/>
          <w:iCs/>
          <w:sz w:val="24"/>
        </w:rPr>
        <w:t xml:space="preserve">GC-MS analysis of Extract </w:t>
      </w:r>
    </w:p>
    <w:p w14:paraId="37064316" w14:textId="77777777" w:rsidR="009E24EE" w:rsidRPr="00E30279" w:rsidRDefault="005E371B" w:rsidP="005E371B">
      <w:pPr>
        <w:spacing w:after="0" w:line="360" w:lineRule="auto"/>
        <w:jc w:val="both"/>
        <w:rPr>
          <w:rFonts w:ascii="Times New Roman" w:eastAsia="Times New Roman" w:hAnsi="Times New Roman"/>
          <w:sz w:val="24"/>
          <w:szCs w:val="24"/>
        </w:rPr>
      </w:pPr>
      <w:r w:rsidRPr="00E30279">
        <w:t xml:space="preserve">The plant material was transferred into an empty tube containing pure ethanol, sonicated for five minutes, centrifuged for five minutes, and 100 microlitres of the supernatant were then collected for gas chromatography-mass spectrometry. GC-MS analysis of the ethanolic plant extracts was performed using </w:t>
      </w:r>
      <w:r w:rsidRPr="00E30279">
        <w:lastRenderedPageBreak/>
        <w:t>a gas chromatograph coupled to a mass spectrometer with an Elite-5MS (5% diphenyl/95% dimethyl polysiloxane) fused capillary column (30 × 0.25 μm ID × 0.25 μm df). The system comprised an Agilent 5977B GC/MSD with an Agilent 8860 autosampler. GC-MS detection was performed in electron-impact mode using an electron-ionisation energy of 70 eV. Helium (99.999%) was used as the carrier gas at a constant flow rate of 1 mL/min, with an injection volume of 1 μL and a split ratio of 10:1. Mass spectra were recorded at 70 eV with a scanning interval of 0.5 s over a fragment range of 45-450 Da. The injector temperature was maintained at 300°C and the ion-source temperature at 250°C, while the oven temperature was programmed to increase from 100°C (isothermal for 0.5 min) to 280°C (2.5 min). The typical delay was one to three minutes.</w:t>
      </w:r>
    </w:p>
    <w:p w14:paraId="06486455" w14:textId="77777777" w:rsidR="005E4D64" w:rsidRPr="00E30279" w:rsidRDefault="006964C7" w:rsidP="005E371B">
      <w:pPr>
        <w:spacing w:after="0" w:line="360" w:lineRule="auto"/>
        <w:jc w:val="both"/>
        <w:rPr>
          <w:rFonts w:ascii="Times New Roman" w:hAnsi="Times New Roman"/>
          <w:b/>
          <w:bCs/>
          <w:i/>
          <w:iCs/>
          <w:sz w:val="24"/>
        </w:rPr>
      </w:pPr>
      <w:r w:rsidRPr="00E30279">
        <w:rPr>
          <w:rFonts w:ascii="Times New Roman" w:hAnsi="Times New Roman"/>
          <w:b/>
          <w:bCs/>
          <w:iCs/>
          <w:sz w:val="24"/>
        </w:rPr>
        <w:t xml:space="preserve">2.10 </w:t>
      </w:r>
      <w:r w:rsidRPr="00E30279">
        <w:rPr>
          <w:rFonts w:ascii="Times New Roman" w:hAnsi="Times New Roman"/>
          <w:b/>
          <w:bCs/>
          <w:i/>
          <w:iCs/>
          <w:sz w:val="24"/>
        </w:rPr>
        <w:t>Statistical</w:t>
      </w:r>
      <w:r w:rsidR="005E4D64" w:rsidRPr="00E30279">
        <w:rPr>
          <w:rFonts w:ascii="Times New Roman" w:hAnsi="Times New Roman"/>
          <w:b/>
          <w:bCs/>
          <w:i/>
          <w:iCs/>
          <w:sz w:val="24"/>
        </w:rPr>
        <w:t xml:space="preserve"> Analysis </w:t>
      </w:r>
    </w:p>
    <w:p w14:paraId="223DD358" w14:textId="77777777" w:rsidR="00861D3F" w:rsidRPr="00E30279" w:rsidRDefault="005E371B" w:rsidP="005E371B">
      <w:pPr>
        <w:spacing w:after="0" w:line="360" w:lineRule="auto"/>
        <w:jc w:val="both"/>
        <w:rPr>
          <w:rFonts w:ascii="Times New Roman" w:eastAsia="Times New Roman" w:hAnsi="Times New Roman"/>
          <w:sz w:val="24"/>
          <w:szCs w:val="24"/>
        </w:rPr>
      </w:pPr>
      <w:r w:rsidRPr="00E30279">
        <w:t xml:space="preserve">The zones of inhibition of </w:t>
      </w:r>
      <w:r w:rsidRPr="00E30279">
        <w:rPr>
          <w:i/>
        </w:rPr>
        <w:t>K. pneumoniae</w:t>
      </w:r>
      <w:r w:rsidRPr="00E30279">
        <w:t xml:space="preserve"> and </w:t>
      </w:r>
      <w:r w:rsidRPr="00E30279">
        <w:rPr>
          <w:i/>
        </w:rPr>
        <w:t>E. coli</w:t>
      </w:r>
      <w:r w:rsidRPr="00E30279">
        <w:t xml:space="preserve"> were measured for the different extract and ceftriaxone concentrations. The mean values from the three tests were expressed as the mean ± standard error of the mean (SEM). As a benchmark for antimicrobial activity, the acquired data were compared with the CLSI threshold. One-way ANOVA in GraphPad Prism 9.0 indicated a statistically significant difference between the activities of the extract and ceftriaxone at the same concentrations. Statistical significance was set at p &lt; 0.05.</w:t>
      </w:r>
    </w:p>
    <w:p w14:paraId="38E18EDE" w14:textId="77777777" w:rsidR="005E4D64" w:rsidRPr="00E30279" w:rsidRDefault="006964C7"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30279">
        <w:rPr>
          <w:rFonts w:ascii="Times New Roman" w:hAnsi="Times New Roman"/>
          <w:b/>
          <w:iCs/>
          <w:sz w:val="24"/>
          <w:szCs w:val="24"/>
          <w:lang w:val="en-GB"/>
        </w:rPr>
        <w:t>2.11</w:t>
      </w:r>
      <w:r w:rsidR="008235CF" w:rsidRPr="00E30279">
        <w:rPr>
          <w:rFonts w:ascii="Times New Roman" w:hAnsi="Times New Roman"/>
          <w:b/>
          <w:i/>
          <w:iCs/>
          <w:sz w:val="24"/>
          <w:szCs w:val="24"/>
          <w:lang w:val="en-GB"/>
        </w:rPr>
        <w:t xml:space="preserve"> </w:t>
      </w:r>
      <w:r w:rsidR="005E4D64" w:rsidRPr="00E30279">
        <w:rPr>
          <w:rFonts w:ascii="Times New Roman" w:hAnsi="Times New Roman"/>
          <w:b/>
          <w:i/>
          <w:iCs/>
          <w:sz w:val="24"/>
          <w:szCs w:val="24"/>
          <w:lang w:val="en-GB"/>
        </w:rPr>
        <w:t>Fourier Transform Infrared Analysis</w:t>
      </w:r>
    </w:p>
    <w:p w14:paraId="4032A175" w14:textId="77777777" w:rsidR="00B77380" w:rsidRPr="00E30279" w:rsidRDefault="005E371B" w:rsidP="005E371B">
      <w:pPr>
        <w:spacing w:after="0" w:line="360" w:lineRule="auto"/>
        <w:jc w:val="both"/>
        <w:rPr>
          <w:rFonts w:ascii="Times New Roman" w:eastAsia="Times New Roman" w:hAnsi="Times New Roman"/>
          <w:sz w:val="24"/>
          <w:szCs w:val="24"/>
        </w:rPr>
      </w:pPr>
      <w:r w:rsidRPr="00E30279">
        <w:t>Infrared (IR) spectra were acquired using a PerkinElmer Spectrum 100 Fourier transform infrared spectrophotometer (FT-IR) equipped with a universal attenuated total reflectance (ATR) sampling accessory. Functional groups in the isolated samples were identified using Fourier transform infrared spectroscopy (FTIR) with the Spectrum 100 instrument.</w:t>
      </w:r>
    </w:p>
    <w:bookmarkEnd w:id="0"/>
    <w:p w14:paraId="7168D1EE" w14:textId="77777777" w:rsidR="00A3293D" w:rsidRPr="00E30279" w:rsidRDefault="00A3293D" w:rsidP="005E371B">
      <w:pPr>
        <w:widowControl w:val="0"/>
        <w:tabs>
          <w:tab w:val="left" w:pos="4131"/>
        </w:tabs>
        <w:autoSpaceDE w:val="0"/>
        <w:autoSpaceDN w:val="0"/>
        <w:adjustRightInd w:val="0"/>
        <w:spacing w:after="200" w:line="360" w:lineRule="auto"/>
        <w:jc w:val="both"/>
        <w:rPr>
          <w:rFonts w:ascii="Times New Roman" w:hAnsi="Times New Roman"/>
          <w:b/>
          <w:bCs/>
          <w:sz w:val="24"/>
          <w:szCs w:val="24"/>
          <w:lang w:val="en-GB"/>
        </w:rPr>
      </w:pPr>
    </w:p>
    <w:p w14:paraId="5D4A7BCA" w14:textId="77777777" w:rsidR="00E93CA9" w:rsidRPr="00E30279" w:rsidRDefault="002F67C5" w:rsidP="002F67C5">
      <w:pPr>
        <w:widowControl w:val="0"/>
        <w:tabs>
          <w:tab w:val="left" w:pos="4131"/>
        </w:tabs>
        <w:autoSpaceDE w:val="0"/>
        <w:autoSpaceDN w:val="0"/>
        <w:adjustRightInd w:val="0"/>
        <w:spacing w:after="200" w:line="360" w:lineRule="auto"/>
        <w:jc w:val="both"/>
        <w:rPr>
          <w:rFonts w:ascii="Times New Roman" w:hAnsi="Times New Roman"/>
          <w:b/>
          <w:bCs/>
          <w:sz w:val="24"/>
          <w:szCs w:val="24"/>
          <w:lang w:val="en-GB"/>
        </w:rPr>
      </w:pPr>
      <w:r w:rsidRPr="00E30279">
        <w:rPr>
          <w:rFonts w:ascii="Times New Roman" w:hAnsi="Times New Roman"/>
          <w:b/>
          <w:bCs/>
          <w:sz w:val="24"/>
          <w:szCs w:val="24"/>
          <w:lang w:val="en-GB"/>
        </w:rPr>
        <w:t xml:space="preserve">3. </w:t>
      </w:r>
      <w:r w:rsidR="00A3293D" w:rsidRPr="00E30279">
        <w:rPr>
          <w:rFonts w:ascii="Times New Roman" w:hAnsi="Times New Roman"/>
          <w:b/>
          <w:bCs/>
          <w:sz w:val="24"/>
          <w:szCs w:val="24"/>
          <w:lang w:val="en-GB"/>
        </w:rPr>
        <w:t xml:space="preserve">Results and discussion </w:t>
      </w:r>
    </w:p>
    <w:p w14:paraId="0D7BD69E" w14:textId="77777777" w:rsidR="00E93CA9" w:rsidRPr="00E30279" w:rsidRDefault="00677AE6" w:rsidP="005E371B">
      <w:pPr>
        <w:widowControl w:val="0"/>
        <w:tabs>
          <w:tab w:val="left" w:pos="4131"/>
        </w:tabs>
        <w:autoSpaceDE w:val="0"/>
        <w:autoSpaceDN w:val="0"/>
        <w:adjustRightInd w:val="0"/>
        <w:spacing w:after="200" w:line="360" w:lineRule="auto"/>
        <w:jc w:val="both"/>
        <w:rPr>
          <w:rFonts w:ascii="Times New Roman" w:hAnsi="Times New Roman"/>
          <w:b/>
          <w:iCs/>
          <w:sz w:val="24"/>
          <w:szCs w:val="24"/>
          <w:lang w:val="en-GB"/>
        </w:rPr>
      </w:pPr>
      <w:r w:rsidRPr="00E30279">
        <w:rPr>
          <w:rFonts w:ascii="Times New Roman" w:hAnsi="Times New Roman"/>
          <w:b/>
          <w:iCs/>
          <w:sz w:val="24"/>
          <w:szCs w:val="24"/>
          <w:lang w:val="en-GB"/>
        </w:rPr>
        <w:t xml:space="preserve">3.1 </w:t>
      </w:r>
      <w:r w:rsidR="00E93CA9" w:rsidRPr="00E30279">
        <w:rPr>
          <w:rFonts w:ascii="Times New Roman" w:hAnsi="Times New Roman"/>
          <w:b/>
          <w:iCs/>
          <w:sz w:val="24"/>
          <w:szCs w:val="24"/>
          <w:lang w:val="en-GB"/>
        </w:rPr>
        <w:t>Qualitative Phytochemical Screening of Phyto Constituents in Alkaloids, Tannins, Saponins, Flavonoids, Glycosides, Terpenoids, Phenols, Steroids, Anthraquinones, Phlobatanins</w:t>
      </w:r>
      <w:r w:rsidR="0004295B" w:rsidRPr="00E30279">
        <w:rPr>
          <w:rFonts w:ascii="Times New Roman" w:hAnsi="Times New Roman"/>
          <w:b/>
          <w:iCs/>
          <w:sz w:val="24"/>
          <w:szCs w:val="24"/>
          <w:lang w:val="en-GB"/>
        </w:rPr>
        <w:t xml:space="preserve"> </w:t>
      </w:r>
      <w:proofErr w:type="gramStart"/>
      <w:r w:rsidR="0004295B" w:rsidRPr="00E30279">
        <w:rPr>
          <w:rFonts w:ascii="Times New Roman" w:hAnsi="Times New Roman"/>
          <w:b/>
          <w:iCs/>
          <w:sz w:val="24"/>
          <w:szCs w:val="24"/>
          <w:lang w:val="en-GB"/>
        </w:rPr>
        <w:t xml:space="preserve">of </w:t>
      </w:r>
      <w:r w:rsidR="0004295B" w:rsidRPr="00E30279">
        <w:rPr>
          <w:rFonts w:ascii="Times New Roman" w:hAnsi="Times New Roman"/>
          <w:b/>
          <w:iCs/>
          <w:sz w:val="24"/>
        </w:rPr>
        <w:t xml:space="preserve"> </w:t>
      </w:r>
      <w:r w:rsidR="0018188C" w:rsidRPr="00E30279">
        <w:rPr>
          <w:rFonts w:ascii="Times New Roman" w:hAnsi="Times New Roman"/>
          <w:b/>
          <w:iCs/>
          <w:sz w:val="24"/>
          <w:szCs w:val="24"/>
          <w:lang w:val="en"/>
        </w:rPr>
        <w:t>Ethanolic</w:t>
      </w:r>
      <w:proofErr w:type="gramEnd"/>
      <w:r w:rsidR="0018188C" w:rsidRPr="00E30279">
        <w:rPr>
          <w:rFonts w:ascii="Times New Roman" w:hAnsi="Times New Roman"/>
          <w:b/>
          <w:iCs/>
          <w:sz w:val="24"/>
          <w:szCs w:val="24"/>
          <w:lang w:val="en"/>
        </w:rPr>
        <w:t xml:space="preserve"> Extract of</w:t>
      </w:r>
      <w:r w:rsidR="0018188C" w:rsidRPr="00E30279">
        <w:rPr>
          <w:rFonts w:ascii="Times New Roman" w:hAnsi="Times New Roman"/>
          <w:b/>
          <w:iCs/>
          <w:color w:val="000000"/>
          <w:sz w:val="24"/>
          <w:szCs w:val="24"/>
          <w:lang w:val="en"/>
        </w:rPr>
        <w:t xml:space="preserve"> </w:t>
      </w:r>
      <w:hyperlink r:id="rId8" w:tooltip="Theobroma cacao" w:history="1">
        <w:r w:rsidR="0018188C" w:rsidRPr="00E30279">
          <w:rPr>
            <w:rStyle w:val="Hyperlink"/>
            <w:rFonts w:ascii="Times New Roman" w:hAnsi="Times New Roman"/>
            <w:b/>
            <w:iCs/>
            <w:color w:val="000000"/>
            <w:sz w:val="24"/>
            <w:szCs w:val="24"/>
            <w:u w:val="none"/>
            <w:shd w:val="clear" w:color="auto" w:fill="FFFFFF"/>
          </w:rPr>
          <w:t>Theobroma Cacao</w:t>
        </w:r>
      </w:hyperlink>
      <w:r w:rsidR="0018188C" w:rsidRPr="00E30279">
        <w:rPr>
          <w:rFonts w:ascii="Times New Roman" w:hAnsi="Times New Roman"/>
          <w:b/>
          <w:iCs/>
          <w:sz w:val="24"/>
          <w:szCs w:val="24"/>
          <w:shd w:val="clear" w:color="auto" w:fill="FFFFFF"/>
        </w:rPr>
        <w:t xml:space="preserve"> Beans </w:t>
      </w:r>
    </w:p>
    <w:p w14:paraId="62E523E4" w14:textId="77777777" w:rsidR="00E93CA9" w:rsidRPr="00E30279" w:rsidRDefault="005E371B" w:rsidP="005E371B">
      <w:pPr>
        <w:spacing w:after="0" w:line="360" w:lineRule="auto"/>
        <w:jc w:val="both"/>
        <w:rPr>
          <w:rFonts w:ascii="Times New Roman" w:eastAsia="Times New Roman" w:hAnsi="Times New Roman"/>
          <w:sz w:val="24"/>
          <w:szCs w:val="24"/>
        </w:rPr>
      </w:pPr>
      <w:r w:rsidRPr="00E30279">
        <w:t>No discernible effect on the medicinal properties or potency of the plant material was observed when ethanol was used as the extraction solvent, and the results indicated that cocoa contained abundant phytoconstituents. This finding was associated with the presence of polar secondary metabolites in the plant material.</w:t>
      </w:r>
    </w:p>
    <w:p w14:paraId="0B9EE063" w14:textId="77777777" w:rsidR="00677AE6" w:rsidRPr="00E30279" w:rsidRDefault="00677AE6" w:rsidP="00EB2662">
      <w:pPr>
        <w:widowControl w:val="0"/>
        <w:tabs>
          <w:tab w:val="left" w:pos="4131"/>
        </w:tabs>
        <w:autoSpaceDE w:val="0"/>
        <w:autoSpaceDN w:val="0"/>
        <w:adjustRightInd w:val="0"/>
        <w:spacing w:after="200" w:line="240" w:lineRule="auto"/>
        <w:jc w:val="both"/>
        <w:rPr>
          <w:rFonts w:ascii="Times New Roman" w:hAnsi="Times New Roman"/>
          <w:b/>
          <w:color w:val="000000"/>
          <w:sz w:val="24"/>
          <w:szCs w:val="24"/>
          <w:lang w:val="en-GB"/>
        </w:rPr>
      </w:pPr>
    </w:p>
    <w:p w14:paraId="6912E16C" w14:textId="77777777" w:rsidR="00E93CA9" w:rsidRPr="00E30279" w:rsidRDefault="00CE245F" w:rsidP="00EB2662">
      <w:pPr>
        <w:widowControl w:val="0"/>
        <w:tabs>
          <w:tab w:val="left" w:pos="4131"/>
        </w:tabs>
        <w:autoSpaceDE w:val="0"/>
        <w:autoSpaceDN w:val="0"/>
        <w:adjustRightInd w:val="0"/>
        <w:spacing w:after="200" w:line="240" w:lineRule="auto"/>
        <w:jc w:val="both"/>
        <w:rPr>
          <w:rFonts w:ascii="Times New Roman" w:hAnsi="Times New Roman"/>
          <w:b/>
          <w:sz w:val="24"/>
          <w:szCs w:val="24"/>
          <w:shd w:val="clear" w:color="auto" w:fill="FFFFFF"/>
        </w:rPr>
      </w:pPr>
      <w:r w:rsidRPr="00E30279">
        <w:rPr>
          <w:rFonts w:ascii="Times New Roman" w:hAnsi="Times New Roman"/>
          <w:b/>
          <w:color w:val="000000"/>
          <w:sz w:val="24"/>
          <w:szCs w:val="24"/>
          <w:lang w:val="en-GB"/>
        </w:rPr>
        <w:t xml:space="preserve">Table 1. </w:t>
      </w:r>
      <w:r w:rsidR="00E93CA9" w:rsidRPr="00E30279">
        <w:rPr>
          <w:rFonts w:ascii="Times New Roman" w:hAnsi="Times New Roman"/>
          <w:b/>
          <w:color w:val="000000"/>
          <w:sz w:val="24"/>
          <w:szCs w:val="24"/>
          <w:lang w:val="en-GB"/>
        </w:rPr>
        <w:t xml:space="preserve"> Results of Phytochemical Screening of the crude extracts </w:t>
      </w:r>
      <w:r w:rsidR="005F0C42" w:rsidRPr="00E30279">
        <w:rPr>
          <w:rFonts w:ascii="Times New Roman" w:hAnsi="Times New Roman"/>
          <w:b/>
          <w:color w:val="000000"/>
          <w:sz w:val="24"/>
          <w:szCs w:val="24"/>
          <w:lang w:val="en-GB"/>
        </w:rPr>
        <w:t xml:space="preserve">of </w:t>
      </w:r>
      <w:r w:rsidR="00AC21C4" w:rsidRPr="00E30279">
        <w:rPr>
          <w:rFonts w:ascii="Times New Roman" w:hAnsi="Times New Roman"/>
          <w:b/>
          <w:sz w:val="24"/>
          <w:szCs w:val="24"/>
          <w:lang w:val="en"/>
        </w:rPr>
        <w:t>Ethanolic Extract of</w:t>
      </w:r>
      <w:r w:rsidR="00AC21C4" w:rsidRPr="00E30279">
        <w:rPr>
          <w:rFonts w:ascii="Times New Roman" w:hAnsi="Times New Roman"/>
          <w:b/>
          <w:color w:val="000000"/>
          <w:sz w:val="24"/>
          <w:szCs w:val="24"/>
          <w:lang w:val="en"/>
        </w:rPr>
        <w:t xml:space="preserve"> </w:t>
      </w:r>
      <w:hyperlink r:id="rId9" w:tooltip="Theobroma cacao" w:history="1">
        <w:r w:rsidR="00AC21C4" w:rsidRPr="00E30279">
          <w:rPr>
            <w:rStyle w:val="Hyperlink"/>
            <w:rFonts w:ascii="Times New Roman" w:hAnsi="Times New Roman"/>
            <w:b/>
            <w:i/>
            <w:iCs/>
            <w:color w:val="000000"/>
            <w:sz w:val="24"/>
            <w:szCs w:val="24"/>
            <w:u w:val="none"/>
            <w:shd w:val="clear" w:color="auto" w:fill="FFFFFF"/>
          </w:rPr>
          <w:t>Theobroma Cacao</w:t>
        </w:r>
      </w:hyperlink>
      <w:r w:rsidR="00AC21C4" w:rsidRPr="00E30279">
        <w:rPr>
          <w:rFonts w:ascii="Times New Roman" w:hAnsi="Times New Roman"/>
          <w:b/>
          <w:sz w:val="24"/>
          <w:szCs w:val="24"/>
          <w:shd w:val="clear" w:color="auto" w:fill="FFFFFF"/>
        </w:rPr>
        <w:t xml:space="preserve"> Beans </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6160"/>
      </w:tblGrid>
      <w:tr w:rsidR="007016F4" w:rsidRPr="00E30279" w14:paraId="14E7014C" w14:textId="77777777" w:rsidTr="00FD1AD9">
        <w:trPr>
          <w:trHeight w:val="291"/>
        </w:trPr>
        <w:tc>
          <w:tcPr>
            <w:tcW w:w="6160" w:type="dxa"/>
          </w:tcPr>
          <w:p w14:paraId="145ED390" w14:textId="77777777" w:rsidR="007016F4" w:rsidRPr="00E30279" w:rsidRDefault="00FD1AD9" w:rsidP="00EB2662">
            <w:pPr>
              <w:spacing w:beforeAutospacing="0" w:after="0" w:afterAutospacing="0" w:line="240" w:lineRule="auto"/>
              <w:rPr>
                <w:b/>
              </w:rPr>
            </w:pPr>
            <w:r w:rsidRPr="00E30279">
              <w:rPr>
                <w:b/>
                <w:bCs/>
                <w:i/>
                <w:iCs/>
              </w:rPr>
              <w:t xml:space="preserve">Phytoconstituents                                   </w:t>
            </w:r>
            <w:r w:rsidR="007016F4" w:rsidRPr="00E30279">
              <w:rPr>
                <w:b/>
              </w:rPr>
              <w:t xml:space="preserve">      </w:t>
            </w:r>
            <w:r w:rsidRPr="00E30279">
              <w:rPr>
                <w:b/>
              </w:rPr>
              <w:t>Ethanol Extract</w:t>
            </w:r>
            <w:r w:rsidR="007016F4" w:rsidRPr="00E30279">
              <w:rPr>
                <w:b/>
                <w:bCs/>
                <w:i/>
                <w:iCs/>
              </w:rPr>
              <w:t>s</w:t>
            </w:r>
          </w:p>
        </w:tc>
      </w:tr>
      <w:tr w:rsidR="007016F4" w:rsidRPr="00E30279" w14:paraId="346FBDD8" w14:textId="77777777" w:rsidTr="00FD1AD9">
        <w:trPr>
          <w:trHeight w:val="1595"/>
        </w:trPr>
        <w:tc>
          <w:tcPr>
            <w:tcW w:w="6160" w:type="dxa"/>
          </w:tcPr>
          <w:p w14:paraId="7D298D1C" w14:textId="77777777" w:rsidR="007016F4" w:rsidRPr="00E30279" w:rsidRDefault="007016F4" w:rsidP="00EB2662">
            <w:pPr>
              <w:spacing w:beforeAutospacing="0" w:after="0" w:afterAutospacing="0" w:line="240" w:lineRule="auto"/>
              <w:rPr>
                <w:bCs/>
                <w:iCs/>
              </w:rPr>
            </w:pPr>
            <w:r w:rsidRPr="00E30279">
              <w:rPr>
                <w:bCs/>
                <w:iCs/>
              </w:rPr>
              <w:t xml:space="preserve">Alkaloids             </w:t>
            </w:r>
            <w:r w:rsidR="00FD1AD9" w:rsidRPr="00E30279">
              <w:rPr>
                <w:bCs/>
                <w:iCs/>
              </w:rPr>
              <w:t xml:space="preserve"> </w:t>
            </w:r>
            <w:r w:rsidRPr="00E30279">
              <w:rPr>
                <w:bCs/>
                <w:iCs/>
              </w:rPr>
              <w:t xml:space="preserve">                                                 ++</w:t>
            </w:r>
          </w:p>
          <w:p w14:paraId="3E175678" w14:textId="77777777" w:rsidR="007016F4" w:rsidRPr="00E30279" w:rsidRDefault="007016F4" w:rsidP="00EB2662">
            <w:pPr>
              <w:spacing w:beforeAutospacing="0" w:after="0" w:afterAutospacing="0" w:line="240" w:lineRule="auto"/>
              <w:rPr>
                <w:bCs/>
                <w:iCs/>
              </w:rPr>
            </w:pPr>
            <w:r w:rsidRPr="00E30279">
              <w:rPr>
                <w:bCs/>
                <w:iCs/>
              </w:rPr>
              <w:t>Tannins                                                                  ++</w:t>
            </w:r>
          </w:p>
          <w:p w14:paraId="205D17A2" w14:textId="77777777" w:rsidR="007016F4" w:rsidRPr="00E30279" w:rsidRDefault="007016F4" w:rsidP="00EB2662">
            <w:pPr>
              <w:spacing w:beforeAutospacing="0" w:after="0" w:afterAutospacing="0" w:line="240" w:lineRule="auto"/>
              <w:rPr>
                <w:bCs/>
                <w:iCs/>
              </w:rPr>
            </w:pPr>
            <w:r w:rsidRPr="00E30279">
              <w:rPr>
                <w:bCs/>
                <w:iCs/>
              </w:rPr>
              <w:t>Saponins                                                                – –</w:t>
            </w:r>
          </w:p>
          <w:p w14:paraId="2E6053C1" w14:textId="77777777" w:rsidR="007016F4" w:rsidRPr="00E30279" w:rsidRDefault="007016F4" w:rsidP="00EB2662">
            <w:pPr>
              <w:spacing w:beforeAutospacing="0" w:after="0" w:afterAutospacing="0" w:line="240" w:lineRule="auto"/>
              <w:rPr>
                <w:bCs/>
                <w:iCs/>
              </w:rPr>
            </w:pPr>
            <w:r w:rsidRPr="00E30279">
              <w:rPr>
                <w:bCs/>
                <w:iCs/>
              </w:rPr>
              <w:t>Flavonoids                                                             – –</w:t>
            </w:r>
          </w:p>
          <w:p w14:paraId="4079EBE7" w14:textId="77777777" w:rsidR="007016F4" w:rsidRPr="00E30279" w:rsidRDefault="007016F4" w:rsidP="00EB2662">
            <w:pPr>
              <w:spacing w:beforeAutospacing="0" w:after="0" w:afterAutospacing="0" w:line="240" w:lineRule="auto"/>
              <w:rPr>
                <w:bCs/>
                <w:iCs/>
              </w:rPr>
            </w:pPr>
            <w:r w:rsidRPr="00E30279">
              <w:rPr>
                <w:bCs/>
                <w:iCs/>
              </w:rPr>
              <w:t>Glycosides                                                             – –</w:t>
            </w:r>
          </w:p>
          <w:p w14:paraId="205BE020" w14:textId="77777777" w:rsidR="007016F4" w:rsidRPr="00E30279" w:rsidRDefault="007016F4" w:rsidP="00EB2662">
            <w:pPr>
              <w:spacing w:beforeAutospacing="0" w:after="0" w:afterAutospacing="0" w:line="240" w:lineRule="auto"/>
            </w:pPr>
            <w:r w:rsidRPr="00E30279">
              <w:t>Terpenoids                                                             – –</w:t>
            </w:r>
          </w:p>
          <w:p w14:paraId="7FB1F1FB" w14:textId="77777777" w:rsidR="007016F4" w:rsidRPr="00E30279" w:rsidRDefault="007016F4" w:rsidP="00EB2662">
            <w:pPr>
              <w:spacing w:beforeAutospacing="0" w:after="0" w:afterAutospacing="0" w:line="240" w:lineRule="auto"/>
            </w:pPr>
            <w:r w:rsidRPr="00E30279">
              <w:t>Phenols                                                                  ++</w:t>
            </w:r>
          </w:p>
          <w:p w14:paraId="689D1986" w14:textId="77777777" w:rsidR="007016F4" w:rsidRPr="00E30279" w:rsidRDefault="007016F4" w:rsidP="00EB2662">
            <w:pPr>
              <w:spacing w:beforeAutospacing="0" w:after="0" w:afterAutospacing="0" w:line="240" w:lineRule="auto"/>
            </w:pPr>
            <w:r w:rsidRPr="00E30279">
              <w:t xml:space="preserve">Steroids                 </w:t>
            </w:r>
            <w:r w:rsidR="00FD1AD9" w:rsidRPr="00E30279">
              <w:t xml:space="preserve"> </w:t>
            </w:r>
            <w:r w:rsidRPr="00E30279">
              <w:t xml:space="preserve">                                                – –</w:t>
            </w:r>
          </w:p>
          <w:p w14:paraId="6DE926E2" w14:textId="77777777" w:rsidR="007016F4" w:rsidRPr="00E30279" w:rsidRDefault="007016F4" w:rsidP="00EB2662">
            <w:pPr>
              <w:spacing w:beforeAutospacing="0" w:after="0" w:afterAutospacing="0" w:line="240" w:lineRule="auto"/>
            </w:pPr>
            <w:r w:rsidRPr="00E30279">
              <w:t xml:space="preserve">Anthraquinones      </w:t>
            </w:r>
            <w:r w:rsidR="00FD1AD9" w:rsidRPr="00E30279">
              <w:t xml:space="preserve"> </w:t>
            </w:r>
            <w:r w:rsidRPr="00E30279">
              <w:t xml:space="preserve">                                               – –</w:t>
            </w:r>
          </w:p>
          <w:p w14:paraId="248599F3" w14:textId="77777777" w:rsidR="007016F4" w:rsidRPr="00E30279" w:rsidRDefault="007016F4" w:rsidP="00EB2662">
            <w:pPr>
              <w:spacing w:beforeAutospacing="0" w:after="0" w:afterAutospacing="0" w:line="240" w:lineRule="auto"/>
            </w:pPr>
            <w:r w:rsidRPr="00E30279">
              <w:t xml:space="preserve">Phlobatanins            </w:t>
            </w:r>
            <w:r w:rsidR="00FD1AD9" w:rsidRPr="00E30279">
              <w:t xml:space="preserve"> </w:t>
            </w:r>
            <w:r w:rsidRPr="00E30279">
              <w:t xml:space="preserve">                                              – –</w:t>
            </w:r>
          </w:p>
        </w:tc>
      </w:tr>
    </w:tbl>
    <w:p w14:paraId="3DD2D4A5" w14:textId="77777777" w:rsidR="00FD1AD9" w:rsidRPr="00E30279" w:rsidRDefault="00FD1AD9" w:rsidP="00EB2662">
      <w:pPr>
        <w:widowControl w:val="0"/>
        <w:tabs>
          <w:tab w:val="left" w:pos="4131"/>
        </w:tabs>
        <w:autoSpaceDE w:val="0"/>
        <w:autoSpaceDN w:val="0"/>
        <w:adjustRightInd w:val="0"/>
        <w:spacing w:before="240" w:after="0" w:line="240" w:lineRule="auto"/>
        <w:jc w:val="both"/>
        <w:rPr>
          <w:rFonts w:ascii="Times New Roman" w:hAnsi="Times New Roman"/>
          <w:sz w:val="24"/>
          <w:szCs w:val="24"/>
          <w:lang w:val="en-GB"/>
        </w:rPr>
      </w:pPr>
      <w:r w:rsidRPr="00E30279">
        <w:rPr>
          <w:rFonts w:ascii="Times New Roman" w:hAnsi="Times New Roman"/>
          <w:b/>
          <w:bCs/>
          <w:sz w:val="24"/>
          <w:szCs w:val="24"/>
          <w:lang w:val="en-GB"/>
        </w:rPr>
        <w:t xml:space="preserve">+       =   </w:t>
      </w:r>
      <w:r w:rsidRPr="00E30279">
        <w:rPr>
          <w:rFonts w:ascii="Times New Roman" w:hAnsi="Times New Roman"/>
          <w:sz w:val="24"/>
          <w:szCs w:val="24"/>
          <w:lang w:val="en-GB"/>
        </w:rPr>
        <w:t xml:space="preserve">   Rich in Phytoconstituents </w:t>
      </w:r>
    </w:p>
    <w:p w14:paraId="5C349B3A" w14:textId="77777777" w:rsidR="00FD1AD9" w:rsidRPr="00E30279" w:rsidRDefault="00FD1AD9" w:rsidP="00EB2662">
      <w:pPr>
        <w:widowControl w:val="0"/>
        <w:tabs>
          <w:tab w:val="left" w:pos="4131"/>
        </w:tabs>
        <w:autoSpaceDE w:val="0"/>
        <w:autoSpaceDN w:val="0"/>
        <w:adjustRightInd w:val="0"/>
        <w:spacing w:after="0" w:line="240" w:lineRule="auto"/>
        <w:jc w:val="both"/>
        <w:rPr>
          <w:rFonts w:ascii="Times New Roman" w:hAnsi="Times New Roman"/>
          <w:sz w:val="24"/>
          <w:szCs w:val="24"/>
          <w:lang w:val="en-GB"/>
        </w:rPr>
      </w:pPr>
      <w:r w:rsidRPr="00E30279">
        <w:rPr>
          <w:rFonts w:ascii="Times New Roman" w:hAnsi="Times New Roman"/>
          <w:sz w:val="24"/>
          <w:szCs w:val="24"/>
          <w:lang w:val="en-GB"/>
        </w:rPr>
        <w:t>++     =      Very Rich in Phytoconstituents</w:t>
      </w:r>
    </w:p>
    <w:p w14:paraId="6933DF60" w14:textId="77777777" w:rsidR="00FD1AD9" w:rsidRPr="00E30279" w:rsidRDefault="00FD1AD9" w:rsidP="00EB2662">
      <w:pPr>
        <w:widowControl w:val="0"/>
        <w:tabs>
          <w:tab w:val="left" w:pos="4131"/>
        </w:tabs>
        <w:autoSpaceDE w:val="0"/>
        <w:autoSpaceDN w:val="0"/>
        <w:adjustRightInd w:val="0"/>
        <w:spacing w:after="0" w:line="240" w:lineRule="auto"/>
        <w:jc w:val="both"/>
        <w:rPr>
          <w:rFonts w:ascii="Times New Roman" w:hAnsi="Times New Roman"/>
          <w:sz w:val="24"/>
          <w:szCs w:val="24"/>
          <w:lang w:val="en-GB"/>
        </w:rPr>
      </w:pPr>
      <w:r w:rsidRPr="00E30279">
        <w:rPr>
          <w:rFonts w:ascii="Times New Roman" w:hAnsi="Times New Roman"/>
          <w:sz w:val="24"/>
          <w:szCs w:val="24"/>
          <w:lang w:val="en-GB"/>
        </w:rPr>
        <w:t xml:space="preserve"> –      =      Not Detected </w:t>
      </w:r>
    </w:p>
    <w:p w14:paraId="060D67E1" w14:textId="77777777" w:rsidR="00E93CA9" w:rsidRPr="00E30279" w:rsidRDefault="001E29CA" w:rsidP="00EB2662">
      <w:pPr>
        <w:widowControl w:val="0"/>
        <w:tabs>
          <w:tab w:val="left" w:pos="4131"/>
        </w:tabs>
        <w:autoSpaceDE w:val="0"/>
        <w:autoSpaceDN w:val="0"/>
        <w:adjustRightInd w:val="0"/>
        <w:spacing w:before="240" w:after="200" w:line="240" w:lineRule="auto"/>
        <w:jc w:val="both"/>
        <w:rPr>
          <w:rFonts w:ascii="Times New Roman" w:hAnsi="Times New Roman"/>
          <w:b/>
          <w:sz w:val="24"/>
        </w:rPr>
      </w:pPr>
      <w:r w:rsidRPr="00E30279">
        <w:rPr>
          <w:rFonts w:ascii="Times New Roman" w:hAnsi="Times New Roman"/>
          <w:b/>
          <w:sz w:val="24"/>
          <w:szCs w:val="24"/>
          <w:lang w:val="en-GB"/>
        </w:rPr>
        <w:t xml:space="preserve">Table </w:t>
      </w:r>
      <w:r w:rsidR="00E93CA9" w:rsidRPr="00E30279">
        <w:rPr>
          <w:rFonts w:ascii="Times New Roman" w:hAnsi="Times New Roman"/>
          <w:b/>
          <w:sz w:val="24"/>
          <w:szCs w:val="24"/>
          <w:lang w:val="en-GB"/>
        </w:rPr>
        <w:t>2</w:t>
      </w:r>
      <w:r w:rsidR="0055626B" w:rsidRPr="00E30279">
        <w:rPr>
          <w:rFonts w:ascii="Times New Roman" w:hAnsi="Times New Roman"/>
          <w:b/>
          <w:sz w:val="24"/>
          <w:szCs w:val="24"/>
          <w:lang w:val="en-GB"/>
        </w:rPr>
        <w:t xml:space="preserve">. </w:t>
      </w:r>
      <w:r w:rsidR="00E93CA9" w:rsidRPr="00E30279">
        <w:rPr>
          <w:rFonts w:ascii="Times New Roman" w:hAnsi="Times New Roman"/>
          <w:b/>
          <w:sz w:val="24"/>
          <w:szCs w:val="24"/>
          <w:lang w:val="en-GB"/>
        </w:rPr>
        <w:t xml:space="preserve"> Antimicrob</w:t>
      </w:r>
      <w:r w:rsidR="001360C5" w:rsidRPr="00E30279">
        <w:rPr>
          <w:rFonts w:ascii="Times New Roman" w:hAnsi="Times New Roman"/>
          <w:b/>
          <w:sz w:val="24"/>
          <w:szCs w:val="24"/>
          <w:lang w:val="en-GB"/>
        </w:rPr>
        <w:t xml:space="preserve">ial Analysis of </w:t>
      </w:r>
      <w:r w:rsidR="001360C5" w:rsidRPr="00E30279">
        <w:rPr>
          <w:rFonts w:ascii="Times New Roman" w:hAnsi="Times New Roman"/>
          <w:b/>
          <w:sz w:val="24"/>
          <w:szCs w:val="24"/>
          <w:lang w:val="en"/>
        </w:rPr>
        <w:t>Ethanolic Extract of</w:t>
      </w:r>
      <w:r w:rsidR="001360C5" w:rsidRPr="00E30279">
        <w:rPr>
          <w:rFonts w:ascii="Times New Roman" w:hAnsi="Times New Roman"/>
          <w:b/>
          <w:color w:val="000000"/>
          <w:sz w:val="24"/>
          <w:szCs w:val="24"/>
          <w:lang w:val="en"/>
        </w:rPr>
        <w:t xml:space="preserve"> </w:t>
      </w:r>
      <w:hyperlink r:id="rId10" w:tooltip="Theobroma cacao" w:history="1">
        <w:r w:rsidR="001360C5" w:rsidRPr="00E30279">
          <w:rPr>
            <w:rStyle w:val="Hyperlink"/>
            <w:rFonts w:ascii="Times New Roman" w:hAnsi="Times New Roman"/>
            <w:b/>
            <w:i/>
            <w:iCs/>
            <w:color w:val="000000"/>
            <w:sz w:val="24"/>
            <w:szCs w:val="24"/>
            <w:u w:val="none"/>
            <w:shd w:val="clear" w:color="auto" w:fill="FFFFFF"/>
          </w:rPr>
          <w:t>Theobroma Cacao</w:t>
        </w:r>
      </w:hyperlink>
      <w:r w:rsidR="001360C5" w:rsidRPr="00E30279">
        <w:rPr>
          <w:rFonts w:ascii="Times New Roman" w:hAnsi="Times New Roman"/>
          <w:b/>
          <w:i/>
          <w:iCs/>
          <w:sz w:val="24"/>
          <w:szCs w:val="24"/>
          <w:shd w:val="clear" w:color="auto" w:fill="FFFFFF"/>
        </w:rPr>
        <w:t xml:space="preserve"> Beans</w:t>
      </w:r>
      <w:r w:rsidR="001360C5" w:rsidRPr="00E30279">
        <w:rPr>
          <w:rFonts w:ascii="Times New Roman" w:hAnsi="Times New Roman"/>
          <w:b/>
          <w:sz w:val="24"/>
          <w:szCs w:val="24"/>
          <w:shd w:val="clear" w:color="auto" w:fill="FFFFFF"/>
        </w:rPr>
        <w:t xml:space="preserve"> </w:t>
      </w:r>
      <w:r w:rsidR="006A19A6" w:rsidRPr="00E30279">
        <w:rPr>
          <w:rFonts w:ascii="Times New Roman" w:hAnsi="Times New Roman"/>
          <w:b/>
          <w:sz w:val="24"/>
        </w:rPr>
        <w:t xml:space="preserve">and Ceftriaxone against </w:t>
      </w:r>
      <w:r w:rsidR="006A19A6" w:rsidRPr="00E30279">
        <w:rPr>
          <w:rFonts w:ascii="Times New Roman" w:hAnsi="Times New Roman"/>
          <w:b/>
          <w:i/>
          <w:iCs/>
          <w:sz w:val="24"/>
        </w:rPr>
        <w:t>K. pneumoniae</w:t>
      </w:r>
      <w:r w:rsidR="006A19A6" w:rsidRPr="00E30279">
        <w:rPr>
          <w:rFonts w:ascii="Times New Roman" w:hAnsi="Times New Roman"/>
          <w:b/>
          <w:sz w:val="24"/>
        </w:rPr>
        <w:t xml:space="preserve"> and </w:t>
      </w:r>
      <w:r w:rsidR="006A19A6" w:rsidRPr="00E30279">
        <w:rPr>
          <w:rFonts w:ascii="Times New Roman" w:hAnsi="Times New Roman"/>
          <w:b/>
          <w:i/>
          <w:iCs/>
          <w:sz w:val="24"/>
        </w:rPr>
        <w:t>E. coli</w:t>
      </w:r>
    </w:p>
    <w:tbl>
      <w:tblPr>
        <w:tblStyle w:val="TableGrid"/>
        <w:tblW w:w="0" w:type="auto"/>
        <w:tblInd w:w="-108" w:type="dxa"/>
        <w:tblBorders>
          <w:left w:val="none" w:sz="0" w:space="0" w:color="auto"/>
          <w:right w:val="none" w:sz="0" w:space="0" w:color="auto"/>
        </w:tblBorders>
        <w:tblLook w:val="04A0" w:firstRow="1" w:lastRow="0" w:firstColumn="1" w:lastColumn="0" w:noHBand="0" w:noVBand="1"/>
      </w:tblPr>
      <w:tblGrid>
        <w:gridCol w:w="8293"/>
      </w:tblGrid>
      <w:tr w:rsidR="001E6CF6" w:rsidRPr="00E30279" w14:paraId="0DE86B47" w14:textId="77777777" w:rsidTr="00FE36D9">
        <w:trPr>
          <w:trHeight w:val="51"/>
        </w:trPr>
        <w:tc>
          <w:tcPr>
            <w:tcW w:w="8293" w:type="dxa"/>
          </w:tcPr>
          <w:p w14:paraId="4B56DBD5" w14:textId="77777777" w:rsidR="001E6CF6" w:rsidRPr="00E30279" w:rsidRDefault="001E6CF6" w:rsidP="00EB2662">
            <w:pPr>
              <w:spacing w:beforeAutospacing="0" w:after="0" w:afterAutospacing="0" w:line="240" w:lineRule="auto"/>
              <w:rPr>
                <w:bCs/>
                <w:iCs/>
              </w:rPr>
            </w:pPr>
            <w:r w:rsidRPr="00E30279">
              <w:tab/>
            </w:r>
            <w:r w:rsidRPr="00E30279">
              <w:tab/>
            </w:r>
            <w:r w:rsidRPr="00E30279">
              <w:tab/>
            </w:r>
            <w:r w:rsidRPr="00E30279">
              <w:tab/>
              <w:t xml:space="preserve">     </w:t>
            </w:r>
            <w:r w:rsidR="00FE36D9" w:rsidRPr="00E30279">
              <w:rPr>
                <w:bCs/>
                <w:iCs/>
              </w:rPr>
              <w:t xml:space="preserve">Zone of Inhibition </w:t>
            </w:r>
            <w:r w:rsidRPr="00E30279">
              <w:rPr>
                <w:bCs/>
                <w:iCs/>
              </w:rPr>
              <w:t>(mm)</w:t>
            </w:r>
          </w:p>
          <w:p w14:paraId="5E3C63F4" w14:textId="77777777" w:rsidR="001E6CF6" w:rsidRPr="00E30279" w:rsidRDefault="001E6CF6" w:rsidP="00EB2662">
            <w:pPr>
              <w:spacing w:beforeAutospacing="0" w:after="0" w:afterAutospacing="0" w:line="240" w:lineRule="auto"/>
            </w:pPr>
            <w:r w:rsidRPr="00E30279">
              <w:t xml:space="preserve">Test Concentration  </w:t>
            </w:r>
            <w:r w:rsidR="001A22A1" w:rsidRPr="00E30279">
              <w:t xml:space="preserve">                             Extract                                    Ceftriaxone</w:t>
            </w:r>
          </w:p>
          <w:p w14:paraId="4DD35EDB" w14:textId="77777777" w:rsidR="001E6CF6" w:rsidRPr="00E30279" w:rsidRDefault="001E6CF6" w:rsidP="00EB2662">
            <w:pPr>
              <w:spacing w:beforeAutospacing="0" w:after="0" w:afterAutospacing="0" w:line="240" w:lineRule="auto"/>
            </w:pPr>
            <w:r w:rsidRPr="00E30279">
              <w:t xml:space="preserve">(mg/mL)     </w:t>
            </w:r>
            <w:r w:rsidR="001A22A1" w:rsidRPr="00E30279">
              <w:t xml:space="preserve">         </w:t>
            </w:r>
            <w:r w:rsidRPr="00E30279">
              <w:t xml:space="preserve">       </w:t>
            </w:r>
            <w:r w:rsidR="001A22A1" w:rsidRPr="00E30279">
              <w:t xml:space="preserve">   </w:t>
            </w:r>
            <w:r w:rsidRPr="00E30279">
              <w:t xml:space="preserve">  </w:t>
            </w:r>
            <w:r w:rsidR="001A22A1" w:rsidRPr="00E30279">
              <w:rPr>
                <w:i/>
                <w:iCs/>
              </w:rPr>
              <w:t>K. pneumoniae</w:t>
            </w:r>
            <w:r w:rsidRPr="00E30279">
              <w:rPr>
                <w:i/>
                <w:iCs/>
              </w:rPr>
              <w:tab/>
              <w:t xml:space="preserve">     </w:t>
            </w:r>
            <w:r w:rsidR="001A22A1" w:rsidRPr="00E30279">
              <w:rPr>
                <w:i/>
                <w:iCs/>
              </w:rPr>
              <w:t xml:space="preserve">    E. coli</w:t>
            </w:r>
            <w:r w:rsidRPr="00E30279">
              <w:rPr>
                <w:i/>
                <w:iCs/>
              </w:rPr>
              <w:tab/>
            </w:r>
            <w:r w:rsidR="001A22A1" w:rsidRPr="00E30279">
              <w:rPr>
                <w:i/>
                <w:iCs/>
              </w:rPr>
              <w:t xml:space="preserve">   </w:t>
            </w:r>
            <w:r w:rsidRPr="00E30279">
              <w:rPr>
                <w:i/>
                <w:iCs/>
              </w:rPr>
              <w:t xml:space="preserve"> </w:t>
            </w:r>
            <w:r w:rsidR="001A22A1" w:rsidRPr="00E30279">
              <w:rPr>
                <w:i/>
                <w:iCs/>
              </w:rPr>
              <w:t>K. pneumoniae        E. coli</w:t>
            </w:r>
          </w:p>
          <w:p w14:paraId="40EAE1E2" w14:textId="77777777" w:rsidR="001E6CF6" w:rsidRPr="00E30279" w:rsidRDefault="001E6CF6" w:rsidP="00EB2662">
            <w:pPr>
              <w:spacing w:beforeAutospacing="0" w:after="0" w:afterAutospacing="0" w:line="240" w:lineRule="auto"/>
            </w:pPr>
            <w:r w:rsidRPr="00E30279">
              <w:tab/>
            </w:r>
            <w:r w:rsidRPr="00E30279">
              <w:tab/>
              <w:t xml:space="preserve">        </w:t>
            </w:r>
          </w:p>
        </w:tc>
      </w:tr>
      <w:tr w:rsidR="001E6CF6" w:rsidRPr="00E30279" w14:paraId="78B20118" w14:textId="77777777" w:rsidTr="00FE36D9">
        <w:trPr>
          <w:trHeight w:val="280"/>
        </w:trPr>
        <w:tc>
          <w:tcPr>
            <w:tcW w:w="8293" w:type="dxa"/>
          </w:tcPr>
          <w:p w14:paraId="286843E8" w14:textId="77777777" w:rsidR="001E6CF6" w:rsidRPr="00E30279" w:rsidRDefault="001A22A1" w:rsidP="00EB2662">
            <w:pPr>
              <w:spacing w:beforeAutospacing="0" w:after="0" w:afterAutospacing="0" w:line="240" w:lineRule="auto"/>
            </w:pPr>
            <w:r w:rsidRPr="00E30279">
              <w:rPr>
                <w:bCs/>
                <w:iCs/>
              </w:rPr>
              <w:t>100</w:t>
            </w:r>
            <w:r w:rsidR="001E6CF6" w:rsidRPr="00E30279">
              <w:tab/>
            </w:r>
            <w:r w:rsidR="001E6CF6" w:rsidRPr="00E30279">
              <w:tab/>
            </w:r>
            <w:r w:rsidRPr="00E30279">
              <w:t xml:space="preserve">               10.50 ± 0.5</w:t>
            </w:r>
            <w:r w:rsidR="001E6CF6" w:rsidRPr="00E30279">
              <w:tab/>
            </w:r>
            <w:r w:rsidRPr="00E30279">
              <w:t xml:space="preserve">            </w:t>
            </w:r>
            <w:r w:rsidRPr="00E30279">
              <w:rPr>
                <w:bCs/>
                <w:iCs/>
              </w:rPr>
              <w:t>0</w:t>
            </w:r>
            <w:r w:rsidR="001E6CF6" w:rsidRPr="00E30279">
              <w:tab/>
            </w:r>
            <w:r w:rsidRPr="00E30279">
              <w:rPr>
                <w:bCs/>
                <w:iCs/>
              </w:rPr>
              <w:t xml:space="preserve">23.00 ± </w:t>
            </w:r>
            <w:proofErr w:type="gramStart"/>
            <w:r w:rsidRPr="00E30279">
              <w:rPr>
                <w:bCs/>
                <w:iCs/>
              </w:rPr>
              <w:t>1.0</w:t>
            </w:r>
            <w:r w:rsidRPr="00E30279">
              <w:rPr>
                <w:bCs/>
                <w:iCs/>
                <w:vertAlign w:val="superscript"/>
              </w:rPr>
              <w:t>a,b</w:t>
            </w:r>
            <w:proofErr w:type="gramEnd"/>
            <w:r w:rsidR="001E6CF6" w:rsidRPr="00E30279">
              <w:tab/>
              <w:t xml:space="preserve"> </w:t>
            </w:r>
            <w:r w:rsidRPr="00E30279">
              <w:t xml:space="preserve">     18.00 ± 1.0</w:t>
            </w:r>
            <w:r w:rsidRPr="00E30279">
              <w:rPr>
                <w:vertAlign w:val="superscript"/>
              </w:rPr>
              <w:t>a</w:t>
            </w:r>
            <w:r w:rsidR="001E6CF6" w:rsidRPr="00E30279">
              <w:tab/>
            </w:r>
          </w:p>
          <w:p w14:paraId="4301EF33" w14:textId="77777777" w:rsidR="001E6CF6" w:rsidRPr="00E30279" w:rsidRDefault="001A22A1" w:rsidP="00EB2662">
            <w:pPr>
              <w:spacing w:beforeAutospacing="0" w:after="0" w:afterAutospacing="0" w:line="240" w:lineRule="auto"/>
            </w:pPr>
            <w:r w:rsidRPr="00E30279">
              <w:rPr>
                <w:bCs/>
                <w:iCs/>
              </w:rPr>
              <w:t>50</w:t>
            </w:r>
            <w:r w:rsidR="001E6CF6" w:rsidRPr="00E30279">
              <w:tab/>
            </w:r>
            <w:r w:rsidR="001E6CF6" w:rsidRPr="00E30279">
              <w:tab/>
            </w:r>
            <w:r w:rsidRPr="00E30279">
              <w:t xml:space="preserve">                8.00 ± 1.0</w:t>
            </w:r>
            <w:r w:rsidR="001E6CF6" w:rsidRPr="00E30279">
              <w:tab/>
            </w:r>
            <w:r w:rsidRPr="00E30279">
              <w:t xml:space="preserve">            0</w:t>
            </w:r>
            <w:r w:rsidR="001E6CF6" w:rsidRPr="00E30279">
              <w:tab/>
            </w:r>
            <w:r w:rsidRPr="00E30279">
              <w:t>23.50 ± 0.5</w:t>
            </w:r>
            <w:r w:rsidRPr="00E30279">
              <w:rPr>
                <w:vertAlign w:val="superscript"/>
              </w:rPr>
              <w:t>a.c</w:t>
            </w:r>
            <w:r w:rsidR="001E6CF6" w:rsidRPr="00E30279">
              <w:tab/>
            </w:r>
            <w:r w:rsidR="00FE36D9" w:rsidRPr="00E30279">
              <w:t xml:space="preserve">      12.50 ± 0.5</w:t>
            </w:r>
            <w:r w:rsidR="00FE36D9" w:rsidRPr="00E30279">
              <w:rPr>
                <w:vertAlign w:val="superscript"/>
              </w:rPr>
              <w:t>a</w:t>
            </w:r>
          </w:p>
          <w:p w14:paraId="3C426227" w14:textId="77777777" w:rsidR="001E6CF6" w:rsidRPr="00E30279" w:rsidRDefault="001A22A1" w:rsidP="00EB2662">
            <w:pPr>
              <w:spacing w:beforeAutospacing="0" w:after="0" w:afterAutospacing="0" w:line="240" w:lineRule="auto"/>
            </w:pPr>
            <w:r w:rsidRPr="00E30279">
              <w:rPr>
                <w:bCs/>
                <w:iCs/>
              </w:rPr>
              <w:t>25</w:t>
            </w:r>
            <w:r w:rsidR="001E6CF6" w:rsidRPr="00E30279">
              <w:tab/>
            </w:r>
            <w:r w:rsidR="001E6CF6" w:rsidRPr="00E30279">
              <w:tab/>
              <w:t xml:space="preserve">            </w:t>
            </w:r>
            <w:r w:rsidRPr="00E30279">
              <w:t xml:space="preserve">            </w:t>
            </w:r>
            <w:r w:rsidR="001E6CF6" w:rsidRPr="00E30279">
              <w:t xml:space="preserve"> </w:t>
            </w:r>
            <w:r w:rsidRPr="00E30279">
              <w:t>0</w:t>
            </w:r>
            <w:r w:rsidR="001E6CF6" w:rsidRPr="00E30279">
              <w:tab/>
            </w:r>
            <w:r w:rsidRPr="00E30279">
              <w:t xml:space="preserve">            0</w:t>
            </w:r>
            <w:r w:rsidR="001E6CF6" w:rsidRPr="00E30279">
              <w:tab/>
            </w:r>
            <w:r w:rsidRPr="00E30279">
              <w:t xml:space="preserve">21.50 ± </w:t>
            </w:r>
            <w:proofErr w:type="gramStart"/>
            <w:r w:rsidRPr="00E30279">
              <w:t>1.5</w:t>
            </w:r>
            <w:r w:rsidRPr="00E30279">
              <w:rPr>
                <w:vertAlign w:val="superscript"/>
              </w:rPr>
              <w:t>a,c</w:t>
            </w:r>
            <w:proofErr w:type="gramEnd"/>
            <w:r w:rsidR="001E6CF6" w:rsidRPr="00E30279">
              <w:tab/>
            </w:r>
            <w:r w:rsidR="00FE36D9" w:rsidRPr="00E30279">
              <w:t xml:space="preserve">      11.50 ± 0.5</w:t>
            </w:r>
            <w:r w:rsidR="00FE36D9" w:rsidRPr="00E30279">
              <w:rPr>
                <w:vertAlign w:val="superscript"/>
              </w:rPr>
              <w:t>a</w:t>
            </w:r>
          </w:p>
          <w:p w14:paraId="59BC37DA" w14:textId="77777777" w:rsidR="001E6CF6" w:rsidRPr="00E30279" w:rsidRDefault="001A22A1" w:rsidP="00EB2662">
            <w:pPr>
              <w:spacing w:beforeAutospacing="0" w:after="0" w:afterAutospacing="0" w:line="240" w:lineRule="auto"/>
            </w:pPr>
            <w:r w:rsidRPr="00E30279">
              <w:rPr>
                <w:bCs/>
                <w:iCs/>
              </w:rPr>
              <w:t>12.5</w:t>
            </w:r>
            <w:r w:rsidR="001E6CF6" w:rsidRPr="00E30279">
              <w:tab/>
            </w:r>
            <w:r w:rsidR="001E6CF6" w:rsidRPr="00E30279">
              <w:tab/>
            </w:r>
            <w:r w:rsidRPr="00E30279">
              <w:t xml:space="preserve">                         0</w:t>
            </w:r>
            <w:r w:rsidR="001E6CF6" w:rsidRPr="00E30279">
              <w:tab/>
            </w:r>
            <w:r w:rsidRPr="00E30279">
              <w:t xml:space="preserve">            0</w:t>
            </w:r>
            <w:r w:rsidR="001E6CF6" w:rsidRPr="00E30279">
              <w:tab/>
            </w:r>
            <w:r w:rsidR="00FE36D9" w:rsidRPr="00E30279">
              <w:rPr>
                <w:bCs/>
                <w:iCs/>
              </w:rPr>
              <w:t xml:space="preserve">22.50 ± </w:t>
            </w:r>
            <w:proofErr w:type="gramStart"/>
            <w:r w:rsidR="00FE36D9" w:rsidRPr="00E30279">
              <w:rPr>
                <w:bCs/>
                <w:iCs/>
              </w:rPr>
              <w:t>0.5</w:t>
            </w:r>
            <w:r w:rsidR="00FE36D9" w:rsidRPr="00E30279">
              <w:rPr>
                <w:bCs/>
                <w:iCs/>
                <w:vertAlign w:val="superscript"/>
              </w:rPr>
              <w:t>a,c</w:t>
            </w:r>
            <w:proofErr w:type="gramEnd"/>
            <w:r w:rsidR="001E6CF6" w:rsidRPr="00E30279">
              <w:tab/>
            </w:r>
            <w:r w:rsidR="00FE36D9" w:rsidRPr="00E30279">
              <w:t xml:space="preserve">      12.00 ± 1.0</w:t>
            </w:r>
            <w:r w:rsidR="00FE36D9" w:rsidRPr="00E30279">
              <w:rPr>
                <w:vertAlign w:val="superscript"/>
              </w:rPr>
              <w:t>a</w:t>
            </w:r>
          </w:p>
          <w:p w14:paraId="24B77D30" w14:textId="77777777" w:rsidR="001E6CF6" w:rsidRPr="00E30279" w:rsidRDefault="001A22A1" w:rsidP="00EB2662">
            <w:pPr>
              <w:spacing w:beforeAutospacing="0" w:after="0" w:afterAutospacing="0" w:line="240" w:lineRule="auto"/>
            </w:pPr>
            <w:r w:rsidRPr="00E30279">
              <w:rPr>
                <w:bCs/>
                <w:iCs/>
              </w:rPr>
              <w:t>6.25</w:t>
            </w:r>
            <w:r w:rsidR="001E6CF6" w:rsidRPr="00E30279">
              <w:tab/>
            </w:r>
            <w:r w:rsidR="001E6CF6" w:rsidRPr="00E30279">
              <w:tab/>
            </w:r>
            <w:r w:rsidRPr="00E30279">
              <w:t xml:space="preserve">                         0</w:t>
            </w:r>
            <w:r w:rsidR="001E6CF6" w:rsidRPr="00E30279">
              <w:tab/>
            </w:r>
            <w:r w:rsidRPr="00E30279">
              <w:t xml:space="preserve">            0</w:t>
            </w:r>
            <w:r w:rsidR="001E6CF6" w:rsidRPr="00E30279">
              <w:tab/>
            </w:r>
            <w:r w:rsidR="00FE36D9" w:rsidRPr="00E30279">
              <w:t>14.50 ± 0.5</w:t>
            </w:r>
            <w:r w:rsidR="00FE36D9" w:rsidRPr="00E30279">
              <w:rPr>
                <w:vertAlign w:val="superscript"/>
              </w:rPr>
              <w:t>a</w:t>
            </w:r>
            <w:r w:rsidR="001E6CF6" w:rsidRPr="00E30279">
              <w:tab/>
            </w:r>
            <w:r w:rsidR="00FE36D9" w:rsidRPr="00E30279">
              <w:t xml:space="preserve">      11.50 ± 0.5</w:t>
            </w:r>
            <w:r w:rsidR="00FE36D9" w:rsidRPr="00E30279">
              <w:rPr>
                <w:vertAlign w:val="superscript"/>
              </w:rPr>
              <w:t>a</w:t>
            </w:r>
          </w:p>
          <w:p w14:paraId="2E4A6FDB" w14:textId="77777777" w:rsidR="001A22A1" w:rsidRPr="00E30279" w:rsidRDefault="001A22A1" w:rsidP="00EB2662">
            <w:pPr>
              <w:spacing w:beforeAutospacing="0" w:after="0" w:afterAutospacing="0" w:line="240" w:lineRule="auto"/>
            </w:pPr>
            <w:r w:rsidRPr="00E30279">
              <w:t>3.125</w:t>
            </w:r>
            <w:r w:rsidRPr="00E30279">
              <w:tab/>
            </w:r>
            <w:r w:rsidRPr="00E30279">
              <w:tab/>
              <w:t xml:space="preserve">                         0</w:t>
            </w:r>
            <w:r w:rsidRPr="00E30279">
              <w:tab/>
              <w:t xml:space="preserve">            0</w:t>
            </w:r>
            <w:r w:rsidRPr="00E30279">
              <w:tab/>
            </w:r>
            <w:r w:rsidR="00FE36D9" w:rsidRPr="00E30279">
              <w:t>4.50 ± 2.5</w:t>
            </w:r>
            <w:r w:rsidR="00FE36D9" w:rsidRPr="00E30279">
              <w:rPr>
                <w:vertAlign w:val="superscript"/>
              </w:rPr>
              <w:t>d</w:t>
            </w:r>
            <w:r w:rsidRPr="00E30279">
              <w:tab/>
            </w:r>
            <w:r w:rsidR="00FE36D9" w:rsidRPr="00E30279">
              <w:t xml:space="preserve">      11.50 ± 0.5</w:t>
            </w:r>
            <w:r w:rsidR="00FE36D9" w:rsidRPr="00E30279">
              <w:rPr>
                <w:vertAlign w:val="superscript"/>
              </w:rPr>
              <w:t>a</w:t>
            </w:r>
          </w:p>
        </w:tc>
      </w:tr>
    </w:tbl>
    <w:p w14:paraId="5FE0DC12" w14:textId="77777777" w:rsidR="009521DB" w:rsidRPr="00E30279" w:rsidRDefault="009521DB" w:rsidP="00EB2662">
      <w:pPr>
        <w:spacing w:after="0" w:line="240" w:lineRule="auto"/>
        <w:jc w:val="both"/>
        <w:rPr>
          <w:rFonts w:ascii="Times New Roman" w:hAnsi="Times New Roman"/>
          <w:sz w:val="24"/>
        </w:rPr>
      </w:pPr>
    </w:p>
    <w:p w14:paraId="50677D2C" w14:textId="77777777" w:rsidR="00E93CA9" w:rsidRPr="00E30279" w:rsidRDefault="005E371B" w:rsidP="005E371B">
      <w:pPr>
        <w:spacing w:after="0" w:line="480" w:lineRule="auto"/>
        <w:jc w:val="both"/>
        <w:rPr>
          <w:rFonts w:ascii="Times New Roman" w:eastAsia="Times New Roman" w:hAnsi="Times New Roman"/>
          <w:sz w:val="24"/>
          <w:szCs w:val="24"/>
        </w:rPr>
      </w:pPr>
      <w:r w:rsidRPr="00E30279">
        <w:t xml:space="preserve">For each concentration and both bacteria, superscript a indicates a significant difference (p &lt; 0.001) between the zones of inhibition produced by ceftriaxone and the extract. For the indicated treatment concentrations, superscript b indicates a significant difference (p &lt; 0.01) between the zones of inhibition produced by ceftriaxone against </w:t>
      </w:r>
      <w:r w:rsidRPr="00E30279">
        <w:rPr>
          <w:i/>
        </w:rPr>
        <w:t>K. pneumoniae</w:t>
      </w:r>
      <w:r w:rsidRPr="00E30279">
        <w:t xml:space="preserve"> and </w:t>
      </w:r>
      <w:r w:rsidRPr="00E30279">
        <w:rPr>
          <w:i/>
        </w:rPr>
        <w:t>E. coli</w:t>
      </w:r>
      <w:r w:rsidRPr="00E30279">
        <w:t xml:space="preserve">. At the indicated treatment concentrations, superscript c indicates a significant difference (p &lt; 0.001) between the zones of inhibition produced by ceftriaxone against </w:t>
      </w:r>
      <w:r w:rsidRPr="00E30279">
        <w:rPr>
          <w:i/>
        </w:rPr>
        <w:t>K. pneumoniae</w:t>
      </w:r>
      <w:r w:rsidRPr="00E30279">
        <w:t xml:space="preserve"> and </w:t>
      </w:r>
      <w:r w:rsidRPr="00E30279">
        <w:rPr>
          <w:i/>
        </w:rPr>
        <w:t>E. coli</w:t>
      </w:r>
      <w:r w:rsidRPr="00E30279">
        <w:t xml:space="preserve">. At the stated treatment concentration, superscript d </w:t>
      </w:r>
      <w:r w:rsidRPr="00E30279">
        <w:lastRenderedPageBreak/>
        <w:t xml:space="preserve">indicates a significant difference (p &lt; 0.01) between the zones of inhibition produced by ceftriaxone and the extract against </w:t>
      </w:r>
      <w:r w:rsidRPr="00E30279">
        <w:rPr>
          <w:i/>
        </w:rPr>
        <w:t>K. pneumoniae</w:t>
      </w:r>
      <w:r w:rsidRPr="00E30279">
        <w:t>.</w:t>
      </w:r>
    </w:p>
    <w:p w14:paraId="2D39EAA2" w14:textId="77777777" w:rsidR="00E93CA9" w:rsidRPr="00E30279" w:rsidRDefault="00E93CA9" w:rsidP="005E371B">
      <w:pPr>
        <w:spacing w:after="0" w:line="480" w:lineRule="auto"/>
        <w:jc w:val="both"/>
        <w:rPr>
          <w:rFonts w:ascii="Times New Roman" w:hAnsi="Times New Roman"/>
          <w:sz w:val="24"/>
        </w:rPr>
      </w:pPr>
    </w:p>
    <w:p w14:paraId="21EB270A" w14:textId="77777777" w:rsidR="00E93CA9" w:rsidRPr="00E30279" w:rsidRDefault="00A06E53" w:rsidP="005E371B">
      <w:pPr>
        <w:spacing w:after="0" w:line="480" w:lineRule="auto"/>
        <w:jc w:val="both"/>
        <w:rPr>
          <w:rFonts w:ascii="Times New Roman" w:hAnsi="Times New Roman"/>
          <w:sz w:val="24"/>
        </w:rPr>
      </w:pPr>
      <w:r w:rsidRPr="00E30279">
        <w:rPr>
          <w:rFonts w:ascii="Times New Roman" w:hAnsi="Times New Roman"/>
          <w:noProof/>
          <w:sz w:val="24"/>
        </w:rPr>
        <w:drawing>
          <wp:inline distT="0" distB="0" distL="0" distR="0" wp14:anchorId="73F0EBAC" wp14:editId="1EDA1122">
            <wp:extent cx="4206240" cy="4197708"/>
            <wp:effectExtent l="0" t="0" r="3810"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10816" cy="4202274"/>
                    </a:xfrm>
                    <a:prstGeom prst="rect">
                      <a:avLst/>
                    </a:prstGeom>
                    <a:noFill/>
                    <a:ln>
                      <a:noFill/>
                    </a:ln>
                  </pic:spPr>
                </pic:pic>
              </a:graphicData>
            </a:graphic>
          </wp:inline>
        </w:drawing>
      </w:r>
    </w:p>
    <w:p w14:paraId="55456A79" w14:textId="77777777" w:rsidR="005E371B" w:rsidRPr="00E30279" w:rsidRDefault="002F67C5" w:rsidP="005E371B">
      <w:pPr>
        <w:spacing w:after="0" w:line="480" w:lineRule="auto"/>
        <w:jc w:val="both"/>
        <w:rPr>
          <w:rFonts w:ascii="Times New Roman" w:eastAsia="Times New Roman" w:hAnsi="Times New Roman"/>
          <w:sz w:val="24"/>
          <w:szCs w:val="24"/>
        </w:rPr>
      </w:pPr>
      <w:r w:rsidRPr="00E30279">
        <w:rPr>
          <w:rFonts w:ascii="Times New Roman" w:eastAsia="Times New Roman" w:hAnsi="Times New Roman"/>
          <w:sz w:val="24"/>
          <w:szCs w:val="24"/>
        </w:rPr>
        <w:t xml:space="preserve">Fig. 1 </w:t>
      </w:r>
      <w:r w:rsidR="005E371B" w:rsidRPr="00E30279">
        <w:rPr>
          <w:rFonts w:ascii="Times New Roman" w:eastAsia="Times New Roman" w:hAnsi="Times New Roman"/>
          <w:sz w:val="24"/>
          <w:szCs w:val="24"/>
        </w:rPr>
        <w:t>(A) Ceftriaxone treatment of E. coli (B) Cocoa powder extract treatment of E. coli (C) Ceftriaxone treatment of K. pneumoniae (D) Cocoa powder extract treatment of K. pneumoniae (E): Images of the zones of inhibition of the treatment of E. coli and K. pneumoniae with Ceftriaxone and cocoa powder extract, respectively, are shown in Fig 1. The therapies are available in concentrations of 100, 50, 25, 12.5, 6.25, and 3.125 mg/mL.</w:t>
      </w:r>
    </w:p>
    <w:p w14:paraId="63127481" w14:textId="77777777" w:rsidR="00E93CA9" w:rsidRPr="00E30279" w:rsidRDefault="00E93CA9" w:rsidP="005E371B">
      <w:pPr>
        <w:spacing w:after="0" w:line="480" w:lineRule="auto"/>
        <w:jc w:val="both"/>
        <w:rPr>
          <w:rFonts w:ascii="Times New Roman" w:hAnsi="Times New Roman"/>
          <w:sz w:val="24"/>
        </w:rPr>
      </w:pPr>
    </w:p>
    <w:p w14:paraId="560C5CD1" w14:textId="77777777" w:rsidR="00D73639" w:rsidRPr="00E30279" w:rsidRDefault="00D73639" w:rsidP="005E371B">
      <w:pPr>
        <w:autoSpaceDE w:val="0"/>
        <w:autoSpaceDN w:val="0"/>
        <w:adjustRightInd w:val="0"/>
        <w:spacing w:after="0" w:line="480" w:lineRule="auto"/>
        <w:jc w:val="both"/>
        <w:rPr>
          <w:rFonts w:ascii="Times New Roman" w:hAnsi="Times New Roman"/>
          <w:b/>
          <w:bCs/>
          <w:sz w:val="24"/>
          <w:szCs w:val="24"/>
        </w:rPr>
      </w:pPr>
    </w:p>
    <w:p w14:paraId="3351A39B" w14:textId="77777777" w:rsidR="00533E03" w:rsidRPr="00E30279" w:rsidRDefault="00BF092B" w:rsidP="005E371B">
      <w:pPr>
        <w:autoSpaceDE w:val="0"/>
        <w:autoSpaceDN w:val="0"/>
        <w:adjustRightInd w:val="0"/>
        <w:spacing w:after="0" w:line="480" w:lineRule="auto"/>
        <w:jc w:val="both"/>
        <w:rPr>
          <w:rFonts w:ascii="Times New Roman" w:hAnsi="Times New Roman"/>
          <w:b/>
          <w:bCs/>
          <w:sz w:val="24"/>
          <w:szCs w:val="24"/>
          <w:lang w:val="en-GB"/>
        </w:rPr>
      </w:pPr>
      <w:r w:rsidRPr="00E30279">
        <w:object w:dxaOrig="5871" w:dyaOrig="4238" w14:anchorId="11DD28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7.45pt;height:315.15pt" o:ole="">
            <v:imagedata r:id="rId12" o:title=""/>
          </v:shape>
          <o:OLEObject Type="Embed" ProgID="Prism10.Document" ShapeID="_x0000_i1025" DrawAspect="Content" ObjectID="_1851833818" r:id="rId13"/>
        </w:object>
      </w:r>
    </w:p>
    <w:p w14:paraId="5DFE3771" w14:textId="77777777" w:rsidR="000500B9" w:rsidRPr="00E30279" w:rsidRDefault="00B92EF0" w:rsidP="005E371B">
      <w:pPr>
        <w:widowControl w:val="0"/>
        <w:tabs>
          <w:tab w:val="left" w:pos="4131"/>
        </w:tabs>
        <w:autoSpaceDE w:val="0"/>
        <w:autoSpaceDN w:val="0"/>
        <w:adjustRightInd w:val="0"/>
        <w:spacing w:after="200" w:line="480" w:lineRule="auto"/>
        <w:jc w:val="both"/>
        <w:rPr>
          <w:rFonts w:ascii="Times New Roman" w:hAnsi="Times New Roman"/>
          <w:bCs/>
          <w:sz w:val="24"/>
          <w:szCs w:val="24"/>
        </w:rPr>
      </w:pPr>
      <w:r w:rsidRPr="00E30279">
        <w:rPr>
          <w:rFonts w:ascii="Times New Roman" w:hAnsi="Times New Roman"/>
          <w:bCs/>
          <w:sz w:val="24"/>
          <w:szCs w:val="24"/>
          <w:lang w:val="en-GB"/>
        </w:rPr>
        <w:t xml:space="preserve">Fig 2: FTIR </w:t>
      </w:r>
      <w:r w:rsidRPr="00E30279">
        <w:rPr>
          <w:rFonts w:ascii="Times New Roman" w:hAnsi="Times New Roman"/>
          <w:bCs/>
          <w:sz w:val="24"/>
          <w:szCs w:val="24"/>
        </w:rPr>
        <w:t xml:space="preserve">spectral of isolated compounds from the plants of </w:t>
      </w:r>
      <w:r w:rsidR="00727D3B" w:rsidRPr="00E30279">
        <w:rPr>
          <w:rFonts w:ascii="Times New Roman" w:hAnsi="Times New Roman"/>
          <w:bCs/>
          <w:sz w:val="24"/>
          <w:szCs w:val="24"/>
        </w:rPr>
        <w:t xml:space="preserve">study </w:t>
      </w:r>
    </w:p>
    <w:p w14:paraId="7CA1C47C" w14:textId="77777777" w:rsidR="000500B9" w:rsidRPr="00E30279" w:rsidRDefault="000500B9" w:rsidP="005E371B">
      <w:pPr>
        <w:widowControl w:val="0"/>
        <w:tabs>
          <w:tab w:val="left" w:pos="4131"/>
        </w:tabs>
        <w:autoSpaceDE w:val="0"/>
        <w:autoSpaceDN w:val="0"/>
        <w:adjustRightInd w:val="0"/>
        <w:spacing w:after="200" w:line="480" w:lineRule="auto"/>
        <w:jc w:val="both"/>
        <w:rPr>
          <w:rFonts w:ascii="Times New Roman" w:hAnsi="Times New Roman"/>
          <w:bCs/>
          <w:sz w:val="24"/>
          <w:szCs w:val="24"/>
        </w:rPr>
      </w:pPr>
    </w:p>
    <w:p w14:paraId="64FBD277" w14:textId="77777777" w:rsidR="004E29CC" w:rsidRPr="00E30279" w:rsidRDefault="00727D3B" w:rsidP="005E371B">
      <w:pPr>
        <w:widowControl w:val="0"/>
        <w:tabs>
          <w:tab w:val="left" w:pos="4131"/>
        </w:tabs>
        <w:autoSpaceDE w:val="0"/>
        <w:autoSpaceDN w:val="0"/>
        <w:adjustRightInd w:val="0"/>
        <w:spacing w:after="200" w:line="480" w:lineRule="auto"/>
        <w:jc w:val="both"/>
        <w:rPr>
          <w:rFonts w:ascii="Times New Roman" w:hAnsi="Times New Roman"/>
          <w:bCs/>
          <w:sz w:val="24"/>
          <w:szCs w:val="24"/>
        </w:rPr>
      </w:pPr>
      <w:r w:rsidRPr="00E30279">
        <w:rPr>
          <w:rFonts w:ascii="Times New Roman" w:hAnsi="Times New Roman"/>
          <w:bCs/>
          <w:sz w:val="24"/>
          <w:szCs w:val="24"/>
        </w:rPr>
        <w:t>Table</w:t>
      </w:r>
      <w:r w:rsidR="004E29CC" w:rsidRPr="00E30279">
        <w:rPr>
          <w:rFonts w:ascii="Times New Roman" w:hAnsi="Times New Roman"/>
          <w:bCs/>
          <w:sz w:val="24"/>
          <w:szCs w:val="24"/>
        </w:rPr>
        <w:t xml:space="preserve"> 3</w:t>
      </w:r>
      <w:r w:rsidR="00B92EF0" w:rsidRPr="00E30279">
        <w:rPr>
          <w:rFonts w:ascii="Times New Roman" w:hAnsi="Times New Roman"/>
          <w:bCs/>
          <w:sz w:val="24"/>
          <w:szCs w:val="24"/>
        </w:rPr>
        <w:t>:</w:t>
      </w:r>
      <w:r w:rsidR="004E29CC" w:rsidRPr="00E30279">
        <w:rPr>
          <w:rFonts w:ascii="Times New Roman" w:hAnsi="Times New Roman"/>
          <w:bCs/>
          <w:sz w:val="24"/>
          <w:szCs w:val="24"/>
        </w:rPr>
        <w:t xml:space="preserve">  Interpretation of spectra</w:t>
      </w:r>
      <w:r w:rsidR="00435254" w:rsidRPr="00E30279">
        <w:rPr>
          <w:rFonts w:ascii="Times New Roman" w:hAnsi="Times New Roman"/>
          <w:bCs/>
          <w:sz w:val="24"/>
          <w:szCs w:val="24"/>
        </w:rPr>
        <w:t xml:space="preserve"> of prominent peaks </w:t>
      </w:r>
      <w:r w:rsidR="004E29CC" w:rsidRPr="00E30279">
        <w:rPr>
          <w:rFonts w:ascii="Times New Roman" w:hAnsi="Times New Roman"/>
          <w:bCs/>
          <w:sz w:val="24"/>
          <w:szCs w:val="24"/>
        </w:rPr>
        <w:t>for the Cocoa beans extracts</w:t>
      </w:r>
    </w:p>
    <w:tbl>
      <w:tblPr>
        <w:tblStyle w:val="TableGrid"/>
        <w:tblW w:w="0" w:type="auto"/>
        <w:tblBorders>
          <w:left w:val="none" w:sz="0" w:space="0" w:color="auto"/>
          <w:right w:val="none" w:sz="0" w:space="0" w:color="auto"/>
        </w:tblBorders>
        <w:tblLayout w:type="fixed"/>
        <w:tblLook w:val="04A0" w:firstRow="1" w:lastRow="0" w:firstColumn="1" w:lastColumn="0" w:noHBand="0" w:noVBand="1"/>
      </w:tblPr>
      <w:tblGrid>
        <w:gridCol w:w="7829"/>
      </w:tblGrid>
      <w:tr w:rsidR="00FE36D9" w:rsidRPr="00E30279" w14:paraId="65B4706A" w14:textId="77777777" w:rsidTr="007016F4">
        <w:trPr>
          <w:trHeight w:val="261"/>
        </w:trPr>
        <w:tc>
          <w:tcPr>
            <w:tcW w:w="7829" w:type="dxa"/>
          </w:tcPr>
          <w:p w14:paraId="2BC5FE2B" w14:textId="77777777" w:rsidR="00FE36D9" w:rsidRPr="00E30279" w:rsidRDefault="00FE36D9" w:rsidP="00EB2662">
            <w:pPr>
              <w:spacing w:beforeAutospacing="0" w:after="0" w:afterAutospacing="0" w:line="240" w:lineRule="auto"/>
            </w:pPr>
            <w:r w:rsidRPr="00E30279">
              <w:rPr>
                <w:sz w:val="24"/>
                <w:szCs w:val="24"/>
                <w:lang w:val="en-GB"/>
              </w:rPr>
              <w:t>Absorption Band                   Type of Vibration              Frequency of Vibration</w:t>
            </w:r>
          </w:p>
        </w:tc>
      </w:tr>
      <w:tr w:rsidR="001E6CF6" w:rsidRPr="00E30279" w14:paraId="643418A7" w14:textId="77777777" w:rsidTr="007016F4">
        <w:trPr>
          <w:trHeight w:val="1430"/>
        </w:trPr>
        <w:tc>
          <w:tcPr>
            <w:tcW w:w="7829" w:type="dxa"/>
          </w:tcPr>
          <w:p w14:paraId="56498692" w14:textId="77777777" w:rsidR="00FE36D9" w:rsidRPr="00E30279" w:rsidRDefault="00FE36D9" w:rsidP="00EB2662">
            <w:pPr>
              <w:spacing w:beforeAutospacing="0" w:after="0" w:afterAutospacing="0" w:line="240" w:lineRule="auto"/>
              <w:rPr>
                <w:bCs/>
                <w:iCs/>
              </w:rPr>
            </w:pPr>
            <w:r w:rsidRPr="00E30279">
              <w:rPr>
                <w:bCs/>
                <w:iCs/>
              </w:rPr>
              <w:t xml:space="preserve">OH (hydrogen </w:t>
            </w:r>
            <w:proofErr w:type="gramStart"/>
            <w:r w:rsidRPr="00E30279">
              <w:rPr>
                <w:bCs/>
                <w:iCs/>
              </w:rPr>
              <w:t xml:space="preserve">bonded)   </w:t>
            </w:r>
            <w:proofErr w:type="gramEnd"/>
            <w:r w:rsidRPr="00E30279">
              <w:rPr>
                <w:bCs/>
                <w:iCs/>
              </w:rPr>
              <w:t xml:space="preserve">                     Stretching                           3398.67cm</w:t>
            </w:r>
            <w:r w:rsidRPr="00E30279">
              <w:rPr>
                <w:bCs/>
                <w:iCs/>
                <w:vertAlign w:val="superscript"/>
              </w:rPr>
              <w:t>-1</w:t>
            </w:r>
          </w:p>
          <w:p w14:paraId="5DBC76BD" w14:textId="77777777" w:rsidR="007016F4" w:rsidRPr="00E30279" w:rsidRDefault="001E6CF6" w:rsidP="00EB2662">
            <w:pPr>
              <w:spacing w:beforeAutospacing="0" w:after="0" w:afterAutospacing="0" w:line="240" w:lineRule="auto"/>
            </w:pPr>
            <w:r w:rsidRPr="00E30279">
              <w:rPr>
                <w:bCs/>
                <w:iCs/>
              </w:rPr>
              <w:t>C–</w:t>
            </w:r>
            <w:r w:rsidR="007016F4" w:rsidRPr="00E30279">
              <w:rPr>
                <w:bCs/>
                <w:iCs/>
              </w:rPr>
              <w:t>H                                                      Stretching                           2920.32cm</w:t>
            </w:r>
            <w:r w:rsidR="007016F4" w:rsidRPr="00E30279">
              <w:rPr>
                <w:bCs/>
                <w:iCs/>
                <w:vertAlign w:val="superscript"/>
              </w:rPr>
              <w:t>-1</w:t>
            </w:r>
            <w:r w:rsidRPr="00E30279">
              <w:tab/>
            </w:r>
          </w:p>
          <w:p w14:paraId="2224197D" w14:textId="77777777" w:rsidR="001E6CF6" w:rsidRPr="00E30279" w:rsidRDefault="007016F4" w:rsidP="00EB2662">
            <w:pPr>
              <w:spacing w:beforeAutospacing="0" w:after="0" w:afterAutospacing="0" w:line="240" w:lineRule="auto"/>
            </w:pPr>
            <w:r w:rsidRPr="00E30279">
              <w:t>C–H (</w:t>
            </w:r>
            <w:proofErr w:type="gramStart"/>
            <w:r w:rsidRPr="00E30279">
              <w:t xml:space="preserve">Alkanes)   </w:t>
            </w:r>
            <w:proofErr w:type="gramEnd"/>
            <w:r w:rsidRPr="00E30279">
              <w:t xml:space="preserve">                                  Stretching                           2850.88cm</w:t>
            </w:r>
            <w:r w:rsidRPr="00E30279">
              <w:rPr>
                <w:vertAlign w:val="superscript"/>
              </w:rPr>
              <w:t>-1</w:t>
            </w:r>
            <w:r w:rsidR="001E6CF6" w:rsidRPr="00E30279">
              <w:tab/>
            </w:r>
          </w:p>
          <w:p w14:paraId="5DF2884E" w14:textId="77777777" w:rsidR="007016F4" w:rsidRPr="00E30279" w:rsidRDefault="007016F4" w:rsidP="00EB2662">
            <w:pPr>
              <w:spacing w:beforeAutospacing="0" w:after="0" w:afterAutospacing="0" w:line="240" w:lineRule="auto"/>
              <w:rPr>
                <w:bCs/>
                <w:iCs/>
              </w:rPr>
            </w:pPr>
            <w:r w:rsidRPr="00E30279">
              <w:rPr>
                <w:bCs/>
                <w:iCs/>
              </w:rPr>
              <w:t>C=O of Ester                                        Stretching                           1689.70cm</w:t>
            </w:r>
            <w:r w:rsidRPr="00E30279">
              <w:rPr>
                <w:bCs/>
                <w:iCs/>
                <w:vertAlign w:val="superscript"/>
              </w:rPr>
              <w:t>-1</w:t>
            </w:r>
          </w:p>
          <w:p w14:paraId="3C640582" w14:textId="77777777" w:rsidR="001E6CF6" w:rsidRPr="00E30279" w:rsidRDefault="007016F4" w:rsidP="00EB2662">
            <w:pPr>
              <w:spacing w:beforeAutospacing="0" w:after="0" w:afterAutospacing="0" w:line="240" w:lineRule="auto"/>
            </w:pPr>
            <w:r w:rsidRPr="00E30279">
              <w:t>C-O.                                                     Stretching                            1288.49cm</w:t>
            </w:r>
            <w:r w:rsidRPr="00E30279">
              <w:rPr>
                <w:u w:val="single"/>
              </w:rPr>
              <w:t>-1</w:t>
            </w:r>
          </w:p>
        </w:tc>
      </w:tr>
    </w:tbl>
    <w:p w14:paraId="3DA2A2FF" w14:textId="77777777" w:rsidR="009521DB" w:rsidRPr="00E30279" w:rsidRDefault="009521DB" w:rsidP="005E371B">
      <w:pPr>
        <w:widowControl w:val="0"/>
        <w:tabs>
          <w:tab w:val="left" w:pos="4131"/>
        </w:tabs>
        <w:autoSpaceDE w:val="0"/>
        <w:autoSpaceDN w:val="0"/>
        <w:adjustRightInd w:val="0"/>
        <w:spacing w:after="200" w:line="480" w:lineRule="auto"/>
        <w:jc w:val="both"/>
        <w:rPr>
          <w:rFonts w:ascii="Times New Roman" w:hAnsi="Times New Roman"/>
          <w:b/>
          <w:bCs/>
          <w:sz w:val="24"/>
          <w:szCs w:val="24"/>
          <w:lang w:val="en-GB"/>
        </w:rPr>
      </w:pPr>
    </w:p>
    <w:p w14:paraId="2353F2CB" w14:textId="77777777" w:rsidR="00B92EF0" w:rsidRPr="00E30279" w:rsidRDefault="00A06E53" w:rsidP="005E371B">
      <w:pPr>
        <w:widowControl w:val="0"/>
        <w:tabs>
          <w:tab w:val="left" w:pos="4131"/>
        </w:tabs>
        <w:autoSpaceDE w:val="0"/>
        <w:autoSpaceDN w:val="0"/>
        <w:adjustRightInd w:val="0"/>
        <w:spacing w:after="200" w:line="480" w:lineRule="auto"/>
        <w:jc w:val="both"/>
        <w:rPr>
          <w:rFonts w:ascii="Times New Roman" w:hAnsi="Times New Roman"/>
          <w:sz w:val="24"/>
          <w:szCs w:val="24"/>
        </w:rPr>
      </w:pPr>
      <w:r w:rsidRPr="00E30279">
        <w:rPr>
          <w:noProof/>
        </w:rPr>
        <w:lastRenderedPageBreak/>
        <w:drawing>
          <wp:inline distT="0" distB="0" distL="0" distR="0" wp14:anchorId="6CB304BC" wp14:editId="2EDEA989">
            <wp:extent cx="5688838" cy="4696097"/>
            <wp:effectExtent l="0" t="0" r="7620" b="0"/>
            <wp:docPr id="2" name="Picture 248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38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95363" cy="4701483"/>
                    </a:xfrm>
                    <a:prstGeom prst="rect">
                      <a:avLst/>
                    </a:prstGeom>
                    <a:noFill/>
                    <a:ln>
                      <a:noFill/>
                    </a:ln>
                  </pic:spPr>
                </pic:pic>
              </a:graphicData>
            </a:graphic>
          </wp:inline>
        </w:drawing>
      </w:r>
    </w:p>
    <w:p w14:paraId="66962DA3" w14:textId="77777777" w:rsidR="00B92EF0" w:rsidRPr="00E30279" w:rsidRDefault="00DD163E" w:rsidP="005E371B">
      <w:pPr>
        <w:autoSpaceDE w:val="0"/>
        <w:autoSpaceDN w:val="0"/>
        <w:adjustRightInd w:val="0"/>
        <w:spacing w:after="0" w:line="480" w:lineRule="auto"/>
        <w:jc w:val="both"/>
        <w:rPr>
          <w:rFonts w:ascii="Times New Roman" w:hAnsi="Times New Roman"/>
          <w:bCs/>
          <w:sz w:val="24"/>
          <w:szCs w:val="24"/>
        </w:rPr>
      </w:pPr>
      <w:r w:rsidRPr="00E30279">
        <w:rPr>
          <w:rFonts w:ascii="Times New Roman" w:hAnsi="Times New Roman"/>
          <w:bCs/>
          <w:sz w:val="24"/>
          <w:szCs w:val="24"/>
        </w:rPr>
        <w:t xml:space="preserve">Fig 3: </w:t>
      </w:r>
      <w:r w:rsidR="00B92EF0" w:rsidRPr="00E30279">
        <w:rPr>
          <w:rFonts w:ascii="Times New Roman" w:hAnsi="Times New Roman"/>
          <w:bCs/>
          <w:sz w:val="24"/>
          <w:szCs w:val="24"/>
        </w:rPr>
        <w:t xml:space="preserve"> GC/MS spectral of crude extracts of ethanolic extracts of cocoa beans </w:t>
      </w:r>
    </w:p>
    <w:p w14:paraId="2A61A287" w14:textId="77777777" w:rsidR="00F07415" w:rsidRPr="00E30279" w:rsidRDefault="005A21F8" w:rsidP="00EB2662">
      <w:pPr>
        <w:widowControl w:val="0"/>
        <w:tabs>
          <w:tab w:val="left" w:pos="4131"/>
        </w:tabs>
        <w:autoSpaceDE w:val="0"/>
        <w:autoSpaceDN w:val="0"/>
        <w:adjustRightInd w:val="0"/>
        <w:spacing w:after="200" w:line="360" w:lineRule="auto"/>
        <w:jc w:val="both"/>
        <w:rPr>
          <w:rFonts w:ascii="Times New Roman" w:hAnsi="Times New Roman"/>
          <w:b/>
          <w:bCs/>
          <w:sz w:val="24"/>
          <w:szCs w:val="24"/>
        </w:rPr>
      </w:pPr>
      <w:r w:rsidRPr="00E30279">
        <w:rPr>
          <w:rFonts w:ascii="Times New Roman" w:hAnsi="Times New Roman"/>
          <w:b/>
          <w:bCs/>
          <w:sz w:val="24"/>
          <w:szCs w:val="24"/>
        </w:rPr>
        <w:t xml:space="preserve">3.2 </w:t>
      </w:r>
      <w:r w:rsidR="00F07415" w:rsidRPr="00E30279">
        <w:rPr>
          <w:rFonts w:ascii="Times New Roman" w:hAnsi="Times New Roman"/>
          <w:b/>
          <w:bCs/>
          <w:sz w:val="24"/>
          <w:szCs w:val="24"/>
        </w:rPr>
        <w:t>Discussion</w:t>
      </w:r>
    </w:p>
    <w:p w14:paraId="7EA4E67D" w14:textId="77777777" w:rsidR="00EB2662" w:rsidRPr="00E30279" w:rsidRDefault="005E371B" w:rsidP="00EB2662">
      <w:pPr>
        <w:spacing w:after="0" w:line="360" w:lineRule="auto"/>
        <w:jc w:val="both"/>
        <w:rPr>
          <w:rFonts w:ascii="Times New Roman" w:eastAsia="Times New Roman" w:hAnsi="Times New Roman"/>
          <w:sz w:val="24"/>
          <w:szCs w:val="24"/>
        </w:rPr>
      </w:pPr>
      <w:r w:rsidRPr="00E30279">
        <w:t xml:space="preserve">Qualitative phytochemical analysis of the cocoa samples was conducted using ethanol as the extraction solvent. Only alkaloids, tannins, and phenols were detected in the secondary-metabolite analysis; phlobatannins, saponins, terpenoids, and steroids were not detected. These findings indicate that cocoa contains several phytoconstituents. Polyphenols, methylxanthines, procyanidins, catechins, and caffeine are among the bioactive components reported in cocoa and are associated with various biological activities (Kim </w:t>
      </w:r>
      <w:r w:rsidRPr="00E30279">
        <w:rPr>
          <w:i/>
        </w:rPr>
        <w:t>et al.</w:t>
      </w:r>
      <w:r w:rsidRPr="00E30279">
        <w:t xml:space="preserve">, 2014; Oracz </w:t>
      </w:r>
      <w:r w:rsidRPr="00E30279">
        <w:rPr>
          <w:i/>
        </w:rPr>
        <w:t>et al.</w:t>
      </w:r>
      <w:r w:rsidRPr="00E30279">
        <w:t xml:space="preserve">, 2020; Reis de Araujo </w:t>
      </w:r>
      <w:r w:rsidRPr="00E30279">
        <w:rPr>
          <w:i/>
        </w:rPr>
        <w:t>et al.</w:t>
      </w:r>
      <w:r w:rsidRPr="00E30279">
        <w:t>, 2016). The present investigation detected phenols, tannins, and alkaloids, which may be related to the polyphenolic composition of cocoa. The FTIR spectrum of the crude cocoa extract showed prominent peaks at 3398.67 cm</w:t>
      </w:r>
      <w:r w:rsidRPr="00E30279">
        <w:rPr>
          <w:vertAlign w:val="superscript"/>
        </w:rPr>
        <w:t>-1</w:t>
      </w:r>
      <w:r w:rsidRPr="00E30279">
        <w:t>, 2920.32 cm</w:t>
      </w:r>
      <w:r w:rsidRPr="00E30279">
        <w:rPr>
          <w:vertAlign w:val="superscript"/>
        </w:rPr>
        <w:t>-1</w:t>
      </w:r>
      <w:r w:rsidRPr="00E30279">
        <w:t>, 2850.88 cm</w:t>
      </w:r>
      <w:r w:rsidRPr="00E30279">
        <w:rPr>
          <w:vertAlign w:val="superscript"/>
        </w:rPr>
        <w:t>-1</w:t>
      </w:r>
      <w:r w:rsidRPr="00E30279">
        <w:t>, 1689.70 cm</w:t>
      </w:r>
      <w:r w:rsidRPr="00E30279">
        <w:rPr>
          <w:vertAlign w:val="superscript"/>
        </w:rPr>
        <w:t>-1</w:t>
      </w:r>
      <w:r w:rsidRPr="00E30279">
        <w:t>, and 1288.49 cm</w:t>
      </w:r>
      <w:r w:rsidRPr="00E30279">
        <w:rPr>
          <w:vertAlign w:val="superscript"/>
        </w:rPr>
        <w:t>-1</w:t>
      </w:r>
      <w:r w:rsidRPr="00E30279">
        <w:t>. The peak at 3398.67 cm</w:t>
      </w:r>
      <w:r w:rsidRPr="00E30279">
        <w:rPr>
          <w:vertAlign w:val="superscript"/>
        </w:rPr>
        <w:t>-1</w:t>
      </w:r>
      <w:r w:rsidRPr="00E30279">
        <w:t xml:space="preserve"> could be attributed to O-H stretching vibrations, suggesting the presence of alcohols and phenols. The peaks at 2920.32 and 2850.88 </w:t>
      </w:r>
      <w:r w:rsidRPr="00E30279">
        <w:lastRenderedPageBreak/>
        <w:t>cm</w:t>
      </w:r>
      <w:r w:rsidRPr="00E30279">
        <w:rPr>
          <w:vertAlign w:val="superscript"/>
        </w:rPr>
        <w:t>-1</w:t>
      </w:r>
      <w:r w:rsidRPr="00E30279">
        <w:t xml:space="preserve"> are consistent with aliphatic C-H stretching vibrations, particularly those of CH</w:t>
      </w:r>
      <w:r w:rsidRPr="00E30279">
        <w:rPr>
          <w:vertAlign w:val="subscript"/>
        </w:rPr>
        <w:t>2</w:t>
      </w:r>
      <w:r w:rsidRPr="00E30279">
        <w:t xml:space="preserve"> and CH</w:t>
      </w:r>
      <w:r w:rsidRPr="00E30279">
        <w:rPr>
          <w:vertAlign w:val="subscript"/>
        </w:rPr>
        <w:t>3</w:t>
      </w:r>
      <w:r w:rsidRPr="00E30279">
        <w:t xml:space="preserve"> groups, rather than terminal alkyne or C≡C stretching, which typically occurs at lower frequencies of approximately 2100-2260 cm</w:t>
      </w:r>
      <w:r w:rsidRPr="00E30279">
        <w:rPr>
          <w:vertAlign w:val="superscript"/>
        </w:rPr>
        <w:t>-1</w:t>
      </w:r>
      <w:r w:rsidRPr="00E30279">
        <w:t xml:space="preserve"> (Nandiyanto </w:t>
      </w:r>
      <w:r w:rsidRPr="00E30279">
        <w:rPr>
          <w:i/>
        </w:rPr>
        <w:t>et al.</w:t>
      </w:r>
      <w:r w:rsidRPr="00E30279">
        <w:t>, 2019; Stuart, 2004). Although FTIR cannot definitively differentiate among all potential carbonyl compounds, the absorption at 1689.70 cm</w:t>
      </w:r>
      <w:r w:rsidRPr="00E30279">
        <w:rPr>
          <w:vertAlign w:val="superscript"/>
        </w:rPr>
        <w:t>-1</w:t>
      </w:r>
      <w:r w:rsidRPr="00E30279">
        <w:t xml:space="preserve"> suggests the presence of carbonyl-containing functional groups. Alcohols, phenols, ethers, and esters may exhibit C-O stretching vibrations, which could explain the band at 1288.49 cm</w:t>
      </w:r>
      <w:r w:rsidRPr="00E30279">
        <w:rPr>
          <w:vertAlign w:val="superscript"/>
        </w:rPr>
        <w:t>-1</w:t>
      </w:r>
      <w:r w:rsidRPr="00E30279">
        <w:t xml:space="preserve"> (Nandiyanto </w:t>
      </w:r>
      <w:r w:rsidRPr="00E30279">
        <w:rPr>
          <w:i/>
        </w:rPr>
        <w:t>et al.</w:t>
      </w:r>
      <w:r w:rsidRPr="00E30279">
        <w:t>, 2019; Stuart, 2004). The different functional groups and chemical bonds detected in the extract may be associated with the various bioactive constituents present in cocoa.</w:t>
      </w:r>
    </w:p>
    <w:p w14:paraId="172B3443" w14:textId="77777777" w:rsidR="00EB2662" w:rsidRPr="00E30279" w:rsidRDefault="005E371B" w:rsidP="00EB2662">
      <w:pPr>
        <w:spacing w:after="0" w:line="360" w:lineRule="auto"/>
        <w:jc w:val="both"/>
        <w:rPr>
          <w:rFonts w:ascii="Times New Roman" w:eastAsia="Times New Roman" w:hAnsi="Times New Roman"/>
          <w:sz w:val="24"/>
          <w:szCs w:val="24"/>
        </w:rPr>
      </w:pPr>
      <w:r w:rsidRPr="00E30279">
        <w:t xml:space="preserve">The antimicrobial activity of the cocoa extract against </w:t>
      </w:r>
      <w:r w:rsidRPr="00E30279">
        <w:rPr>
          <w:i/>
        </w:rPr>
        <w:t>Klebsiella pneumoniae</w:t>
      </w:r>
      <w:r w:rsidRPr="00E30279">
        <w:t xml:space="preserve"> and </w:t>
      </w:r>
      <w:r w:rsidRPr="00E30279">
        <w:rPr>
          <w:i/>
        </w:rPr>
        <w:t>Escherichia coli</w:t>
      </w:r>
      <w:r w:rsidRPr="00E30279">
        <w:t xml:space="preserve">, both Gram-negative bacteria, was investigated. Ceftriaxone was used as the control, as shown in Table 2. The level of inhibition of the tested organisms was expressed as the mean ± SEM of three independent tests. Although the extract showed some activity against </w:t>
      </w:r>
      <w:r w:rsidRPr="00E30279">
        <w:rPr>
          <w:i/>
        </w:rPr>
        <w:t>Klebsiella pneumoniae</w:t>
      </w:r>
      <w:r w:rsidRPr="00E30279">
        <w:t xml:space="preserve">, its activity was lower than that of the positive control. This difference may reflect the concentration of antimicrobial constituents in the crude extract and differences in microbial susceptibility to the extract and the standard antibiotic. The observed antimicrobial activity may be associated with cocoa phytochemicals and phenolic compounds that have been linked to various biological activities, including antimicrobial activity (Oracz </w:t>
      </w:r>
      <w:r w:rsidRPr="00E30279">
        <w:rPr>
          <w:i/>
        </w:rPr>
        <w:t>et al.</w:t>
      </w:r>
      <w:r w:rsidRPr="00E30279">
        <w:t xml:space="preserve">, 2020; Reis de Araujo </w:t>
      </w:r>
      <w:r w:rsidRPr="00E30279">
        <w:rPr>
          <w:i/>
        </w:rPr>
        <w:t>et al.</w:t>
      </w:r>
      <w:r w:rsidRPr="00E30279">
        <w:t>, 2016).</w:t>
      </w:r>
    </w:p>
    <w:p w14:paraId="6F80A2B6" w14:textId="77777777" w:rsidR="005E371B" w:rsidRPr="00E30279" w:rsidRDefault="005E371B" w:rsidP="00EB2662">
      <w:pPr>
        <w:spacing w:after="0" w:line="360" w:lineRule="auto"/>
        <w:jc w:val="both"/>
        <w:rPr>
          <w:rFonts w:ascii="Times New Roman" w:eastAsia="Times New Roman" w:hAnsi="Times New Roman"/>
          <w:sz w:val="24"/>
          <w:szCs w:val="24"/>
        </w:rPr>
      </w:pPr>
      <w:r w:rsidRPr="00E30279">
        <w:t xml:space="preserve">GC-MS analysis of the ethanol extract in this investigation, with caffeine identification, revealed fourteen compounds belonging to six recognised chemical families. The reported compounds included isobutyl nonyl ester (5.45%), 1-heptadecanamine (2.75%), 6-deoxy-2-O-methyl-pentanoic acid (1.80%), 1,1-dimethyl thiirane (9.81%), 1-heptadecanamine (2.75%), and 2-methyl-2-isopropyl (62.06%). The results indicate that the extract contained multiple chemical constituents. However, the relative abundance of individual compounds detected by GC-MS cannot, by itself, establish their identity without appropriate standards or spectral confirmation; therefore, interpretation of caffeine identification should rely primarily on the chromatographic and mass-spectral identification criteria used in the study. Even when present in small quantities, phenolic and tannin constituents indicate that other phytochemicals were co-extracted and may contribute to the observed biological activity. Polyphenols and methylxanthines reported in cocoa have several biological functions, including antioxidant activity (Kim </w:t>
      </w:r>
      <w:r w:rsidRPr="00E30279">
        <w:rPr>
          <w:i/>
        </w:rPr>
        <w:t>et al.</w:t>
      </w:r>
      <w:r w:rsidRPr="00E30279">
        <w:t xml:space="preserve">, 2014; Oracz </w:t>
      </w:r>
      <w:r w:rsidRPr="00E30279">
        <w:rPr>
          <w:i/>
        </w:rPr>
        <w:t>et al.</w:t>
      </w:r>
      <w:r w:rsidRPr="00E30279">
        <w:t xml:space="preserve">, 2020; Reis de Araujo </w:t>
      </w:r>
      <w:r w:rsidRPr="00E30279">
        <w:rPr>
          <w:i/>
        </w:rPr>
        <w:t>et al.</w:t>
      </w:r>
      <w:r w:rsidRPr="00E30279">
        <w:t xml:space="preserve">, 2016). However, in the absence of direct testing in these areas, it would be premature to attribute antioxidant or neuroprotective effects of the present extract solely to caffeine. Such effects, if investigated, could also involve caffeine together with other co-extracted phytochemicals. The relationship between the phytochemical and FTIR findings indicates that the extract contains multiple </w:t>
      </w:r>
      <w:r w:rsidRPr="00E30279">
        <w:lastRenderedPageBreak/>
        <w:t xml:space="preserve">classes of bioactive chemicals and functional groups. Nevertheless, FTIR cannot independently determine compound identity, purity, or biological activity; it primarily provides information on functional groups (Nandiyanto </w:t>
      </w:r>
      <w:r w:rsidRPr="00E30279">
        <w:rPr>
          <w:i/>
        </w:rPr>
        <w:t>et al.</w:t>
      </w:r>
      <w:r w:rsidRPr="00E30279">
        <w:t xml:space="preserve">, 2019; Stuart, 2004). The FTIR findings should therefore be interpreted as complementary to the GC-MS and phytochemical analyses rather than as conclusive evidence for a single constituent. Overall, the findings indicate that the cocoa ethanol extract had antimicrobial activity against </w:t>
      </w:r>
      <w:r w:rsidRPr="00E30279">
        <w:rPr>
          <w:i/>
        </w:rPr>
        <w:t>K. pneumoniae</w:t>
      </w:r>
      <w:r w:rsidRPr="00E30279">
        <w:t xml:space="preserve"> and contained phytochemicals of potential biological relevance.</w:t>
      </w:r>
    </w:p>
    <w:p w14:paraId="34EF1F0C" w14:textId="77777777" w:rsidR="00F07415" w:rsidRPr="00E30279" w:rsidRDefault="000500B9" w:rsidP="000500B9">
      <w:pPr>
        <w:widowControl w:val="0"/>
        <w:tabs>
          <w:tab w:val="left" w:pos="4131"/>
        </w:tabs>
        <w:autoSpaceDE w:val="0"/>
        <w:autoSpaceDN w:val="0"/>
        <w:adjustRightInd w:val="0"/>
        <w:spacing w:after="200" w:line="360" w:lineRule="auto"/>
        <w:jc w:val="both"/>
        <w:rPr>
          <w:rFonts w:ascii="Times New Roman" w:hAnsi="Times New Roman"/>
          <w:b/>
          <w:bCs/>
          <w:sz w:val="24"/>
          <w:szCs w:val="24"/>
        </w:rPr>
      </w:pPr>
      <w:r w:rsidRPr="00E30279">
        <w:rPr>
          <w:rFonts w:ascii="Times New Roman" w:hAnsi="Times New Roman"/>
          <w:b/>
          <w:bCs/>
          <w:sz w:val="24"/>
          <w:szCs w:val="24"/>
        </w:rPr>
        <w:t xml:space="preserve">4. </w:t>
      </w:r>
      <w:r w:rsidR="00F07415" w:rsidRPr="00E30279">
        <w:rPr>
          <w:rFonts w:ascii="Times New Roman" w:hAnsi="Times New Roman"/>
          <w:b/>
          <w:bCs/>
          <w:sz w:val="24"/>
          <w:szCs w:val="24"/>
        </w:rPr>
        <w:t>Conclusion</w:t>
      </w:r>
    </w:p>
    <w:p w14:paraId="5486DDCF" w14:textId="77777777" w:rsidR="00EB2662" w:rsidRPr="00E30279" w:rsidRDefault="005E371B" w:rsidP="00EB2662">
      <w:pPr>
        <w:spacing w:after="0" w:line="360" w:lineRule="auto"/>
        <w:jc w:val="both"/>
        <w:rPr>
          <w:rFonts w:ascii="Times New Roman" w:eastAsia="Times New Roman" w:hAnsi="Times New Roman"/>
          <w:sz w:val="24"/>
          <w:szCs w:val="24"/>
        </w:rPr>
      </w:pPr>
      <w:r w:rsidRPr="00E30279">
        <w:t>This study indicated that an ethanol extract of Nigerian cocoa bean powder (</w:t>
      </w:r>
      <w:r w:rsidRPr="00E30279">
        <w:rPr>
          <w:i/>
        </w:rPr>
        <w:t>Theobroma cacao</w:t>
      </w:r>
      <w:r w:rsidRPr="00E30279">
        <w:t xml:space="preserve">) contained bioactive constituents and exhibited antimicrobial activity against </w:t>
      </w:r>
      <w:r w:rsidRPr="00E30279">
        <w:rPr>
          <w:i/>
        </w:rPr>
        <w:t>K. pneumoniae</w:t>
      </w:r>
      <w:r w:rsidRPr="00E30279">
        <w:t xml:space="preserve">. The findings suggest that cocoa may have biological properties in addition to its established nutritional and industrial uses and that locally sourced Nigerian cocoa may warrant further investigation in studies of natural products and antimicrobial activity. FTIR analysis of the cocoa ethanol extract indicated the presence of hydroxyl, aliphatic C-H, carbonyl, and C-O functional groups. The extract showed lower antimicrobial activity than ceftriaxone but demonstrated measurable activity against </w:t>
      </w:r>
      <w:r w:rsidRPr="00E30279">
        <w:rPr>
          <w:i/>
        </w:rPr>
        <w:t>Klebsiella pneumoniae</w:t>
      </w:r>
      <w:r w:rsidRPr="00E30279">
        <w:t>.</w:t>
      </w:r>
    </w:p>
    <w:p w14:paraId="54F82EDB" w14:textId="77777777" w:rsidR="00F64379" w:rsidRPr="00E30279" w:rsidRDefault="005E371B" w:rsidP="00EB2662">
      <w:pPr>
        <w:spacing w:after="0" w:line="360" w:lineRule="auto"/>
        <w:jc w:val="both"/>
        <w:rPr>
          <w:rFonts w:ascii="Times New Roman" w:eastAsia="Times New Roman" w:hAnsi="Times New Roman"/>
          <w:sz w:val="24"/>
          <w:szCs w:val="24"/>
        </w:rPr>
      </w:pPr>
      <w:r w:rsidRPr="00E30279">
        <w:t>The chemical profile of the extract was considered by combining the phytochemical, FTIR, and GC-MS findings. These analyses provide evidence of phytochemical constituents and associated functional groups but do not, by themselves, establish the biological activity of individual compounds. Conclusions drawn from qualitative phytochemical and FTIR analyses should therefore be supported by appropriate chromatographic and spectrometric evidence. Future biological investigations of this extract should consider its overall chemical composition rather than attributing observed effects to caffeine alone.</w:t>
      </w:r>
    </w:p>
    <w:p w14:paraId="502A6D89" w14:textId="77777777" w:rsidR="008E632C" w:rsidRPr="00E30279" w:rsidRDefault="008E632C" w:rsidP="00821364">
      <w:pPr>
        <w:pStyle w:val="Default"/>
        <w:spacing w:line="360" w:lineRule="auto"/>
        <w:jc w:val="both"/>
        <w:rPr>
          <w:b/>
          <w:bCs/>
        </w:rPr>
      </w:pPr>
    </w:p>
    <w:p w14:paraId="06B902C8" w14:textId="77777777" w:rsidR="008E632C" w:rsidRPr="00E30279" w:rsidRDefault="008E632C" w:rsidP="00821364">
      <w:pPr>
        <w:pStyle w:val="Default"/>
        <w:spacing w:line="360" w:lineRule="auto"/>
        <w:jc w:val="both"/>
        <w:rPr>
          <w:b/>
          <w:bCs/>
        </w:rPr>
      </w:pPr>
    </w:p>
    <w:p w14:paraId="7BAFA53A" w14:textId="77777777" w:rsidR="00723BE9" w:rsidRDefault="008E632C" w:rsidP="00FC360A">
      <w:pPr>
        <w:spacing w:line="276" w:lineRule="auto"/>
        <w:jc w:val="both"/>
      </w:pPr>
      <w:r w:rsidRPr="00E30279">
        <w:t xml:space="preserve">5. Limitation of the Study: </w:t>
      </w:r>
    </w:p>
    <w:p w14:paraId="02AC5640" w14:textId="25FD2636" w:rsidR="008E632C" w:rsidRPr="00E30279" w:rsidRDefault="008E632C" w:rsidP="00FC360A">
      <w:pPr>
        <w:spacing w:line="276" w:lineRule="auto"/>
        <w:jc w:val="both"/>
        <w:rPr>
          <w:rFonts w:ascii="Times New Roman" w:hAnsi="Times New Roman"/>
          <w:sz w:val="24"/>
          <w:szCs w:val="24"/>
        </w:rPr>
      </w:pPr>
      <w:r w:rsidRPr="00E30279">
        <w:t xml:space="preserve">This study was limited to a crude ethanol extract of </w:t>
      </w:r>
      <w:r w:rsidRPr="00E30279">
        <w:rPr>
          <w:i/>
        </w:rPr>
        <w:t>Theobroma cacao</w:t>
      </w:r>
      <w:r w:rsidRPr="00E30279">
        <w:t xml:space="preserve"> beans and focused on phytochemical screening, antimicrobial activity, and the identification of bioactive compounds using Fourier transform infrared spectroscopy (FT-IR) and gas chromatography coupled with mass spectrometry (GC-MS). The compounds responsible for the observed activities were not isolated or characterised individually. In addition, the antimicrobial evaluation involved a limited number of bacterial species, and in vivo studies were not conducted to confirm efficacy and safety. Further work should include compound isolation, toxicity assessment, and in vivo validation.</w:t>
      </w:r>
    </w:p>
    <w:p w14:paraId="28759371" w14:textId="77777777" w:rsidR="00E945DB" w:rsidRPr="00E30279" w:rsidRDefault="00E945DB" w:rsidP="00E945DB">
      <w:pPr>
        <w:spacing w:after="0" w:line="240" w:lineRule="auto"/>
        <w:rPr>
          <w:rFonts w:ascii="Times New Roman" w:hAnsi="Times New Roman"/>
          <w:b/>
        </w:rPr>
      </w:pPr>
      <w:r w:rsidRPr="00E30279">
        <w:rPr>
          <w:rFonts w:ascii="Times New Roman" w:hAnsi="Times New Roman"/>
          <w:b/>
        </w:rPr>
        <w:t>Declaration of AI Use</w:t>
      </w:r>
    </w:p>
    <w:p w14:paraId="41A626C0" w14:textId="77777777" w:rsidR="00E945DB" w:rsidRPr="00E30279" w:rsidRDefault="00E945DB" w:rsidP="00E945DB">
      <w:pPr>
        <w:spacing w:after="0" w:line="240" w:lineRule="auto"/>
        <w:rPr>
          <w:rFonts w:ascii="Times New Roman" w:hAnsi="Times New Roman"/>
          <w:b/>
        </w:rPr>
      </w:pPr>
    </w:p>
    <w:p w14:paraId="1E297648" w14:textId="77777777" w:rsidR="00E945DB" w:rsidRPr="00E30279" w:rsidRDefault="00E945DB" w:rsidP="00E945DB">
      <w:pPr>
        <w:spacing w:after="0" w:line="240" w:lineRule="auto"/>
        <w:rPr>
          <w:rFonts w:ascii="Times New Roman" w:hAnsi="Times New Roman"/>
          <w:b/>
        </w:rPr>
      </w:pPr>
    </w:p>
    <w:p w14:paraId="37AB7C87" w14:textId="77777777" w:rsidR="00E945DB" w:rsidRPr="00E30279" w:rsidRDefault="00E945DB" w:rsidP="00E945DB">
      <w:pPr>
        <w:spacing w:after="0" w:line="240" w:lineRule="auto"/>
        <w:rPr>
          <w:rFonts w:ascii="Times New Roman" w:hAnsi="Times New Roman"/>
          <w:b/>
        </w:rPr>
      </w:pPr>
    </w:p>
    <w:p w14:paraId="48D50EC0" w14:textId="77777777" w:rsidR="00E945DB" w:rsidRPr="00E30279" w:rsidRDefault="00E945DB" w:rsidP="00E945DB">
      <w:pPr>
        <w:spacing w:after="0" w:line="240" w:lineRule="auto"/>
        <w:rPr>
          <w:rFonts w:ascii="Arial" w:hAnsi="Arial" w:cs="Arial"/>
          <w:sz w:val="20"/>
          <w:szCs w:val="20"/>
        </w:rPr>
      </w:pPr>
      <w:r w:rsidRPr="00E30279">
        <w:rPr>
          <w:rFonts w:ascii="Arial" w:hAnsi="Arial" w:cs="Arial"/>
          <w:sz w:val="20"/>
          <w:szCs w:val="20"/>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0A3AF12" w14:textId="77777777" w:rsidR="008E632C" w:rsidRPr="00E30279" w:rsidRDefault="008E632C" w:rsidP="00FC360A">
      <w:pPr>
        <w:spacing w:line="276" w:lineRule="auto"/>
        <w:jc w:val="both"/>
        <w:rPr>
          <w:rFonts w:ascii="Times New Roman" w:hAnsi="Times New Roman"/>
          <w:b/>
          <w:sz w:val="24"/>
          <w:szCs w:val="24"/>
        </w:rPr>
      </w:pPr>
      <w:r w:rsidRPr="00E30279">
        <w:rPr>
          <w:rFonts w:ascii="Times New Roman" w:hAnsi="Times New Roman"/>
          <w:b/>
          <w:sz w:val="24"/>
          <w:szCs w:val="24"/>
        </w:rPr>
        <w:t>Competing Interests</w:t>
      </w:r>
    </w:p>
    <w:p w14:paraId="12801EC8" w14:textId="77777777" w:rsidR="008E632C" w:rsidRPr="00E30279" w:rsidRDefault="008E632C" w:rsidP="00FC360A">
      <w:pPr>
        <w:spacing w:line="276" w:lineRule="auto"/>
        <w:jc w:val="both"/>
        <w:rPr>
          <w:rFonts w:ascii="Times New Roman" w:hAnsi="Times New Roman"/>
          <w:sz w:val="24"/>
          <w:szCs w:val="24"/>
        </w:rPr>
      </w:pPr>
      <w:r w:rsidRPr="00E30279">
        <w:rPr>
          <w:rFonts w:ascii="Times New Roman" w:hAnsi="Times New Roman"/>
          <w:sz w:val="24"/>
          <w:szCs w:val="24"/>
        </w:rPr>
        <w:t xml:space="preserve"> Authors have declared that no competing interests exist. </w:t>
      </w:r>
    </w:p>
    <w:p w14:paraId="58299EF2" w14:textId="77777777" w:rsidR="008E632C" w:rsidRPr="00E30279" w:rsidRDefault="008E632C" w:rsidP="00FC360A">
      <w:pPr>
        <w:pStyle w:val="NormalWeb"/>
        <w:spacing w:before="0" w:beforeAutospacing="0" w:after="0" w:line="276" w:lineRule="auto"/>
        <w:jc w:val="both"/>
        <w:rPr>
          <w:b/>
        </w:rPr>
      </w:pPr>
      <w:r w:rsidRPr="00E30279">
        <w:rPr>
          <w:b/>
        </w:rPr>
        <w:t>References</w:t>
      </w:r>
    </w:p>
    <w:p w14:paraId="43868FEB"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rPr>
        <w:t xml:space="preserve">Ackar, D., Lendić, K. V., Valek, M., Šubarić, D., Miličević, B., Babić, J., &amp; Nedić, I. (2013). Cocoa polyphenols: Can we consider cocoa and chocolate as potential functional food? </w:t>
      </w:r>
      <w:r w:rsidRPr="00EB263A">
        <w:rPr>
          <w:rFonts w:ascii="Times New Roman" w:eastAsia="Times New Roman" w:hAnsi="Times New Roman"/>
          <w:i/>
          <w:iCs/>
          <w:sz w:val="24"/>
          <w:szCs w:val="24"/>
        </w:rPr>
        <w:t>Journal of Chemistry, 2013</w:t>
      </w:r>
      <w:r w:rsidRPr="00EB263A">
        <w:rPr>
          <w:rFonts w:ascii="Times New Roman" w:eastAsia="Times New Roman" w:hAnsi="Times New Roman"/>
          <w:sz w:val="24"/>
          <w:szCs w:val="24"/>
        </w:rPr>
        <w:t xml:space="preserve">, Article 289392. </w:t>
      </w:r>
      <w:hyperlink r:id="rId15" w:history="1">
        <w:r w:rsidRPr="00EB263A">
          <w:rPr>
            <w:rFonts w:ascii="Times New Roman" w:eastAsia="Times New Roman" w:hAnsi="Times New Roman"/>
            <w:color w:val="0000FF"/>
            <w:sz w:val="24"/>
            <w:szCs w:val="24"/>
            <w:u w:val="single"/>
          </w:rPr>
          <w:t>https://doi.org/10.1155/2013/289392</w:t>
        </w:r>
      </w:hyperlink>
    </w:p>
    <w:p w14:paraId="1C4C0AF5"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rPr>
        <w:t>Ben Lagha, A., Maquera Huacho, P., &amp; Grenier, D. (2021). A cocoa (</w:t>
      </w:r>
      <w:r w:rsidRPr="00EB263A">
        <w:rPr>
          <w:rFonts w:ascii="Times New Roman" w:eastAsia="Times New Roman" w:hAnsi="Times New Roman"/>
          <w:i/>
          <w:iCs/>
          <w:sz w:val="24"/>
          <w:szCs w:val="24"/>
        </w:rPr>
        <w:t>Theobroma cacao</w:t>
      </w:r>
      <w:r w:rsidRPr="00EB263A">
        <w:rPr>
          <w:rFonts w:ascii="Times New Roman" w:eastAsia="Times New Roman" w:hAnsi="Times New Roman"/>
          <w:sz w:val="24"/>
          <w:szCs w:val="24"/>
        </w:rPr>
        <w:t xml:space="preserve"> L.) extract impairs the growth, virulence properties, and inflammatory potential of </w:t>
      </w:r>
      <w:r w:rsidRPr="00EB263A">
        <w:rPr>
          <w:rFonts w:ascii="Times New Roman" w:eastAsia="Times New Roman" w:hAnsi="Times New Roman"/>
          <w:i/>
          <w:iCs/>
          <w:sz w:val="24"/>
          <w:szCs w:val="24"/>
        </w:rPr>
        <w:t>Fusobacterium nucleatum</w:t>
      </w:r>
      <w:r w:rsidRPr="00EB263A">
        <w:rPr>
          <w:rFonts w:ascii="Times New Roman" w:eastAsia="Times New Roman" w:hAnsi="Times New Roman"/>
          <w:sz w:val="24"/>
          <w:szCs w:val="24"/>
        </w:rPr>
        <w:t xml:space="preserve"> and improves oral epithelial barrier function. </w:t>
      </w:r>
      <w:r w:rsidRPr="00EB263A">
        <w:rPr>
          <w:rFonts w:ascii="Times New Roman" w:eastAsia="Times New Roman" w:hAnsi="Times New Roman"/>
          <w:i/>
          <w:iCs/>
          <w:sz w:val="24"/>
          <w:szCs w:val="24"/>
        </w:rPr>
        <w:t>PLOS ONE, 16</w:t>
      </w:r>
      <w:r w:rsidRPr="00EB263A">
        <w:rPr>
          <w:rFonts w:ascii="Times New Roman" w:eastAsia="Times New Roman" w:hAnsi="Times New Roman"/>
          <w:sz w:val="24"/>
          <w:szCs w:val="24"/>
        </w:rPr>
        <w:t xml:space="preserve">(5), Article e0252029. </w:t>
      </w:r>
      <w:hyperlink r:id="rId16" w:history="1">
        <w:r w:rsidRPr="00EB263A">
          <w:rPr>
            <w:rFonts w:ascii="Times New Roman" w:eastAsia="Times New Roman" w:hAnsi="Times New Roman"/>
            <w:color w:val="0000FF"/>
            <w:sz w:val="24"/>
            <w:szCs w:val="24"/>
            <w:u w:val="single"/>
          </w:rPr>
          <w:t>https://doi.org/10.1371/journal.pone.0252029</w:t>
        </w:r>
      </w:hyperlink>
    </w:p>
    <w:p w14:paraId="2C4D11A7"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rPr>
        <w:t xml:space="preserve">Clinical and Laboratory Standards Institute. (2018). </w:t>
      </w:r>
      <w:r w:rsidRPr="00EB263A">
        <w:rPr>
          <w:rFonts w:ascii="Times New Roman" w:eastAsia="Times New Roman" w:hAnsi="Times New Roman"/>
          <w:i/>
          <w:iCs/>
          <w:sz w:val="24"/>
          <w:szCs w:val="24"/>
        </w:rPr>
        <w:t>M07: Methods for dilution antimicrobial susceptibility tests for bacteria that grow aerobically</w:t>
      </w:r>
      <w:r w:rsidRPr="00EB263A">
        <w:rPr>
          <w:rFonts w:ascii="Times New Roman" w:eastAsia="Times New Roman" w:hAnsi="Times New Roman"/>
          <w:sz w:val="24"/>
          <w:szCs w:val="24"/>
        </w:rPr>
        <w:t xml:space="preserve"> (11th ed.). </w:t>
      </w:r>
      <w:hyperlink r:id="rId17" w:history="1">
        <w:r w:rsidRPr="00EB263A">
          <w:rPr>
            <w:rFonts w:ascii="Times New Roman" w:eastAsia="Times New Roman" w:hAnsi="Times New Roman"/>
            <w:color w:val="0000FF"/>
            <w:sz w:val="24"/>
            <w:szCs w:val="24"/>
            <w:u w:val="single"/>
          </w:rPr>
          <w:t>https://clsi.org/media/1928/m07ed11_sample.pdf</w:t>
        </w:r>
      </w:hyperlink>
    </w:p>
    <w:p w14:paraId="23AAF36F"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rPr>
        <w:t xml:space="preserve">Cowan, M. M. (1999). Plant products as antimicrobial agents. </w:t>
      </w:r>
      <w:r w:rsidRPr="00EB263A">
        <w:rPr>
          <w:rFonts w:ascii="Times New Roman" w:eastAsia="Times New Roman" w:hAnsi="Times New Roman"/>
          <w:i/>
          <w:iCs/>
          <w:sz w:val="24"/>
          <w:szCs w:val="24"/>
        </w:rPr>
        <w:t>Clinical Microbiology Reviews, 12</w:t>
      </w:r>
      <w:r w:rsidRPr="00EB263A">
        <w:rPr>
          <w:rFonts w:ascii="Times New Roman" w:eastAsia="Times New Roman" w:hAnsi="Times New Roman"/>
          <w:sz w:val="24"/>
          <w:szCs w:val="24"/>
        </w:rPr>
        <w:t xml:space="preserve">(4), 564–582. </w:t>
      </w:r>
      <w:hyperlink r:id="rId18" w:history="1">
        <w:r w:rsidRPr="00EB263A">
          <w:rPr>
            <w:rFonts w:ascii="Times New Roman" w:eastAsia="Times New Roman" w:hAnsi="Times New Roman"/>
            <w:color w:val="0000FF"/>
            <w:sz w:val="24"/>
            <w:szCs w:val="24"/>
            <w:u w:val="single"/>
          </w:rPr>
          <w:t>https://doi.org/10.1128/CMR.12.4.564</w:t>
        </w:r>
      </w:hyperlink>
    </w:p>
    <w:p w14:paraId="7049B2E7"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rPr>
        <w:t xml:space="preserve">Cushnie, T. P. T., &amp; Lamb, A. J. (2005). Antimicrobial activity of flavonoids. </w:t>
      </w:r>
      <w:r w:rsidRPr="00EB263A">
        <w:rPr>
          <w:rFonts w:ascii="Times New Roman" w:eastAsia="Times New Roman" w:hAnsi="Times New Roman"/>
          <w:i/>
          <w:iCs/>
          <w:sz w:val="24"/>
          <w:szCs w:val="24"/>
        </w:rPr>
        <w:t>International Journal of Antimicrobial Agents, 26</w:t>
      </w:r>
      <w:r w:rsidRPr="00EB263A">
        <w:rPr>
          <w:rFonts w:ascii="Times New Roman" w:eastAsia="Times New Roman" w:hAnsi="Times New Roman"/>
          <w:sz w:val="24"/>
          <w:szCs w:val="24"/>
        </w:rPr>
        <w:t xml:space="preserve">(5), 343–356. </w:t>
      </w:r>
      <w:hyperlink r:id="rId19" w:history="1">
        <w:r w:rsidRPr="00EB263A">
          <w:rPr>
            <w:rFonts w:ascii="Times New Roman" w:eastAsia="Times New Roman" w:hAnsi="Times New Roman"/>
            <w:color w:val="0000FF"/>
            <w:sz w:val="24"/>
            <w:szCs w:val="24"/>
            <w:u w:val="single"/>
          </w:rPr>
          <w:t>https://doi.org/10.1016/j.ijantimicag.2005.09.002</w:t>
        </w:r>
      </w:hyperlink>
    </w:p>
    <w:p w14:paraId="56612FFE"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rPr>
        <w:t xml:space="preserve">Daglia, M. (2012). Polyphenols as antimicrobial agents. </w:t>
      </w:r>
      <w:r w:rsidRPr="00EB263A">
        <w:rPr>
          <w:rFonts w:ascii="Times New Roman" w:eastAsia="Times New Roman" w:hAnsi="Times New Roman"/>
          <w:i/>
          <w:iCs/>
          <w:sz w:val="24"/>
          <w:szCs w:val="24"/>
        </w:rPr>
        <w:t>Current Opinion in Biotechnology, 23</w:t>
      </w:r>
      <w:r w:rsidRPr="00EB263A">
        <w:rPr>
          <w:rFonts w:ascii="Times New Roman" w:eastAsia="Times New Roman" w:hAnsi="Times New Roman"/>
          <w:sz w:val="24"/>
          <w:szCs w:val="24"/>
        </w:rPr>
        <w:t xml:space="preserve">(2), 174–181. </w:t>
      </w:r>
      <w:hyperlink r:id="rId20" w:history="1">
        <w:r w:rsidRPr="00EB263A">
          <w:rPr>
            <w:rFonts w:ascii="Times New Roman" w:eastAsia="Times New Roman" w:hAnsi="Times New Roman"/>
            <w:color w:val="0000FF"/>
            <w:sz w:val="24"/>
            <w:szCs w:val="24"/>
            <w:u w:val="single"/>
          </w:rPr>
          <w:t>https://doi.org/10.1016/j.copbio.2011.08.007</w:t>
        </w:r>
      </w:hyperlink>
    </w:p>
    <w:p w14:paraId="697B08A6"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rPr>
        <w:t xml:space="preserve">Das, K., Manjula, S., Kumar, N. A., Sharma, B. P., Agrahari, D., Majhi, S., Mishra, S., Kumar, S., &amp; Malwal, M. (2026). Experimental methodology for antimicrobial screening of medicinal plants: A critical review of extraction, phytochemical characterisation and susceptibility testing approaches. </w:t>
      </w:r>
      <w:r w:rsidRPr="00EB263A">
        <w:rPr>
          <w:rFonts w:ascii="Times New Roman" w:eastAsia="Times New Roman" w:hAnsi="Times New Roman"/>
          <w:i/>
          <w:iCs/>
          <w:sz w:val="24"/>
          <w:szCs w:val="24"/>
        </w:rPr>
        <w:t>Asian Journal of Microbiology and Biotechnology, 11</w:t>
      </w:r>
      <w:r w:rsidRPr="00EB263A">
        <w:rPr>
          <w:rFonts w:ascii="Times New Roman" w:eastAsia="Times New Roman" w:hAnsi="Times New Roman"/>
          <w:sz w:val="24"/>
          <w:szCs w:val="24"/>
        </w:rPr>
        <w:t xml:space="preserve">(2), 118–131. </w:t>
      </w:r>
      <w:hyperlink r:id="rId21" w:history="1">
        <w:r w:rsidRPr="00EB263A">
          <w:rPr>
            <w:rFonts w:ascii="Times New Roman" w:eastAsia="Times New Roman" w:hAnsi="Times New Roman"/>
            <w:color w:val="0000FF"/>
            <w:sz w:val="24"/>
            <w:szCs w:val="24"/>
            <w:u w:val="single"/>
          </w:rPr>
          <w:t>https://doi.org/10.56557/ajmab/2026/v11i210873</w:t>
        </w:r>
      </w:hyperlink>
    </w:p>
    <w:p w14:paraId="3007BF4B"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rPr>
        <w:t xml:space="preserve">Dinh, A. H., &amp; Hoang, A. Q. (2025). An updated review on chemical compositions of cocoa products and by-products with a focus on toxic elements and organic pollutants. </w:t>
      </w:r>
      <w:r w:rsidRPr="00EB263A">
        <w:rPr>
          <w:rFonts w:ascii="Times New Roman" w:eastAsia="Times New Roman" w:hAnsi="Times New Roman"/>
          <w:i/>
          <w:iCs/>
          <w:sz w:val="24"/>
          <w:szCs w:val="24"/>
        </w:rPr>
        <w:t>Food Chemistry, 489</w:t>
      </w:r>
      <w:r w:rsidRPr="00EB263A">
        <w:rPr>
          <w:rFonts w:ascii="Times New Roman" w:eastAsia="Times New Roman" w:hAnsi="Times New Roman"/>
          <w:sz w:val="24"/>
          <w:szCs w:val="24"/>
        </w:rPr>
        <w:t xml:space="preserve">, Article 145001. </w:t>
      </w:r>
      <w:hyperlink r:id="rId22" w:history="1">
        <w:r w:rsidRPr="00EB263A">
          <w:rPr>
            <w:rFonts w:ascii="Times New Roman" w:eastAsia="Times New Roman" w:hAnsi="Times New Roman"/>
            <w:color w:val="0000FF"/>
            <w:sz w:val="24"/>
            <w:szCs w:val="24"/>
            <w:u w:val="single"/>
          </w:rPr>
          <w:t>https://doi.org/10.1016/j.foodchem.2025.145001</w:t>
        </w:r>
      </w:hyperlink>
    </w:p>
    <w:p w14:paraId="344264CE"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rPr>
        <w:t xml:space="preserve">Fideles, S. O. M., Ortiz, A. de C., Reis, C. H. B., Buchaim, D. V., &amp; Buchaim, R. L. (2023). Biological properties and antimicrobial potential of cocoa and its effects on systemic and oral health. </w:t>
      </w:r>
      <w:r w:rsidRPr="00EB263A">
        <w:rPr>
          <w:rFonts w:ascii="Times New Roman" w:eastAsia="Times New Roman" w:hAnsi="Times New Roman"/>
          <w:i/>
          <w:iCs/>
          <w:sz w:val="24"/>
          <w:szCs w:val="24"/>
        </w:rPr>
        <w:t>Nutrients, 15</w:t>
      </w:r>
      <w:r w:rsidRPr="00EB263A">
        <w:rPr>
          <w:rFonts w:ascii="Times New Roman" w:eastAsia="Times New Roman" w:hAnsi="Times New Roman"/>
          <w:sz w:val="24"/>
          <w:szCs w:val="24"/>
        </w:rPr>
        <w:t xml:space="preserve">(18), Article 3927. </w:t>
      </w:r>
      <w:hyperlink r:id="rId23" w:history="1">
        <w:r w:rsidRPr="00EB263A">
          <w:rPr>
            <w:rFonts w:ascii="Times New Roman" w:eastAsia="Times New Roman" w:hAnsi="Times New Roman"/>
            <w:color w:val="0000FF"/>
            <w:sz w:val="24"/>
            <w:szCs w:val="24"/>
            <w:u w:val="single"/>
          </w:rPr>
          <w:t>https://doi.org/10.3390/nu15183927</w:t>
        </w:r>
      </w:hyperlink>
    </w:p>
    <w:p w14:paraId="72221464"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rPr>
        <w:lastRenderedPageBreak/>
        <w:t xml:space="preserve">Harborne, J. B. (1984). </w:t>
      </w:r>
      <w:r w:rsidRPr="00EB263A">
        <w:rPr>
          <w:rFonts w:ascii="Times New Roman" w:eastAsia="Times New Roman" w:hAnsi="Times New Roman"/>
          <w:i/>
          <w:iCs/>
          <w:sz w:val="24"/>
          <w:szCs w:val="24"/>
        </w:rPr>
        <w:t>Phytochemical methods: A guide to modern techniques of plant analysis</w:t>
      </w:r>
      <w:r w:rsidRPr="00EB263A">
        <w:rPr>
          <w:rFonts w:ascii="Times New Roman" w:eastAsia="Times New Roman" w:hAnsi="Times New Roman"/>
          <w:sz w:val="24"/>
          <w:szCs w:val="24"/>
        </w:rPr>
        <w:t xml:space="preserve"> (2nd ed.). Chapman and Hall. </w:t>
      </w:r>
      <w:hyperlink r:id="rId24" w:history="1">
        <w:r w:rsidRPr="00EB263A">
          <w:rPr>
            <w:rFonts w:ascii="Times New Roman" w:eastAsia="Times New Roman" w:hAnsi="Times New Roman"/>
            <w:color w:val="0000FF"/>
            <w:sz w:val="24"/>
            <w:szCs w:val="24"/>
            <w:u w:val="single"/>
          </w:rPr>
          <w:t>https://doi.org/10.1007/978-94-009-5570-7</w:t>
        </w:r>
      </w:hyperlink>
    </w:p>
    <w:p w14:paraId="20752D34"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rPr>
        <w:t xml:space="preserve">Hurst, W. J., Krake, S. H., Bergmeier, S. C., Payne, M. J., Miller, K. B., &amp; Stuart, D. A. (2011). Impact of fermentation, drying, roasting and Dutch processing on flavan-3-ol stereochemistry in cacao beans and cocoa ingredients. </w:t>
      </w:r>
      <w:r w:rsidRPr="00EB263A">
        <w:rPr>
          <w:rFonts w:ascii="Times New Roman" w:eastAsia="Times New Roman" w:hAnsi="Times New Roman"/>
          <w:i/>
          <w:iCs/>
          <w:sz w:val="24"/>
          <w:szCs w:val="24"/>
        </w:rPr>
        <w:t>Chemistry Central Journal, 5</w:t>
      </w:r>
      <w:r w:rsidRPr="00EB263A">
        <w:rPr>
          <w:rFonts w:ascii="Times New Roman" w:eastAsia="Times New Roman" w:hAnsi="Times New Roman"/>
          <w:sz w:val="24"/>
          <w:szCs w:val="24"/>
        </w:rPr>
        <w:t xml:space="preserve">, Article 53. </w:t>
      </w:r>
      <w:hyperlink r:id="rId25" w:history="1">
        <w:r w:rsidRPr="00EB263A">
          <w:rPr>
            <w:rFonts w:ascii="Times New Roman" w:eastAsia="Times New Roman" w:hAnsi="Times New Roman"/>
            <w:color w:val="0000FF"/>
            <w:sz w:val="24"/>
            <w:szCs w:val="24"/>
            <w:u w:val="single"/>
          </w:rPr>
          <w:t>https://doi.org/10.1186/1752-153X-5-53</w:t>
        </w:r>
      </w:hyperlink>
    </w:p>
    <w:p w14:paraId="4A53D485"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rPr>
        <w:t>Ibitoye, F. O., Osaloni, A. R., &amp; Adebote, V. T. (2020). Effect of fermentation on bacteria isolates and phytochemical properties of cocoa (</w:t>
      </w:r>
      <w:r w:rsidRPr="00EB263A">
        <w:rPr>
          <w:rFonts w:ascii="Times New Roman" w:eastAsia="Times New Roman" w:hAnsi="Times New Roman"/>
          <w:i/>
          <w:iCs/>
          <w:sz w:val="24"/>
          <w:szCs w:val="24"/>
        </w:rPr>
        <w:t>Theobroma cacao</w:t>
      </w:r>
      <w:r w:rsidRPr="00EB263A">
        <w:rPr>
          <w:rFonts w:ascii="Times New Roman" w:eastAsia="Times New Roman" w:hAnsi="Times New Roman"/>
          <w:sz w:val="24"/>
          <w:szCs w:val="24"/>
        </w:rPr>
        <w:t xml:space="preserve">) beans. </w:t>
      </w:r>
      <w:r w:rsidRPr="00EB263A">
        <w:rPr>
          <w:rFonts w:ascii="Times New Roman" w:eastAsia="Times New Roman" w:hAnsi="Times New Roman"/>
          <w:i/>
          <w:iCs/>
          <w:sz w:val="24"/>
          <w:szCs w:val="24"/>
        </w:rPr>
        <w:t>South Asian Journal of Research in Microbiology, 7</w:t>
      </w:r>
      <w:r w:rsidRPr="00EB263A">
        <w:rPr>
          <w:rFonts w:ascii="Times New Roman" w:eastAsia="Times New Roman" w:hAnsi="Times New Roman"/>
          <w:sz w:val="24"/>
          <w:szCs w:val="24"/>
        </w:rPr>
        <w:t xml:space="preserve">(4), 1–8. </w:t>
      </w:r>
      <w:hyperlink r:id="rId26" w:history="1">
        <w:r w:rsidRPr="00EB263A">
          <w:rPr>
            <w:rFonts w:ascii="Times New Roman" w:eastAsia="Times New Roman" w:hAnsi="Times New Roman"/>
            <w:color w:val="0000FF"/>
            <w:sz w:val="24"/>
            <w:szCs w:val="24"/>
            <w:u w:val="single"/>
          </w:rPr>
          <w:t>https://doi.org/10.9734/sajrm/2020/v7i430176</w:t>
        </w:r>
      </w:hyperlink>
    </w:p>
    <w:p w14:paraId="0D0CC7BD"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rPr>
        <w:t>Joelijanto, R., &amp; Sutjiati, R. (2025). Antibacterial activity of ethanol extract of cocoa beans (</w:t>
      </w:r>
      <w:r w:rsidRPr="00EB263A">
        <w:rPr>
          <w:rFonts w:ascii="Times New Roman" w:eastAsia="Times New Roman" w:hAnsi="Times New Roman"/>
          <w:i/>
          <w:iCs/>
          <w:sz w:val="24"/>
          <w:szCs w:val="24"/>
        </w:rPr>
        <w:t>Theobroma cacao</w:t>
      </w:r>
      <w:r w:rsidRPr="00EB263A">
        <w:rPr>
          <w:rFonts w:ascii="Times New Roman" w:eastAsia="Times New Roman" w:hAnsi="Times New Roman"/>
          <w:sz w:val="24"/>
          <w:szCs w:val="24"/>
        </w:rPr>
        <w:t xml:space="preserve"> L.): In silico and in vitro study. </w:t>
      </w:r>
      <w:r w:rsidRPr="00EB263A">
        <w:rPr>
          <w:rFonts w:ascii="Times New Roman" w:eastAsia="Times New Roman" w:hAnsi="Times New Roman"/>
          <w:i/>
          <w:iCs/>
          <w:sz w:val="24"/>
          <w:szCs w:val="24"/>
        </w:rPr>
        <w:t>Journal of Dentomaxillofacial Science, 10</w:t>
      </w:r>
      <w:r w:rsidRPr="00EB263A">
        <w:rPr>
          <w:rFonts w:ascii="Times New Roman" w:eastAsia="Times New Roman" w:hAnsi="Times New Roman"/>
          <w:sz w:val="24"/>
          <w:szCs w:val="24"/>
        </w:rPr>
        <w:t xml:space="preserve">(4), 198–202. </w:t>
      </w:r>
      <w:hyperlink r:id="rId27" w:history="1">
        <w:r w:rsidRPr="00EB263A">
          <w:rPr>
            <w:rFonts w:ascii="Times New Roman" w:eastAsia="Times New Roman" w:hAnsi="Times New Roman"/>
            <w:color w:val="0000FF"/>
            <w:sz w:val="24"/>
            <w:szCs w:val="24"/>
            <w:u w:val="single"/>
          </w:rPr>
          <w:t>https://doi.org/10.15562/jdmfs.v10i4.1884</w:t>
        </w:r>
      </w:hyperlink>
    </w:p>
    <w:p w14:paraId="3E5753D5"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lang w:val="nl-BE"/>
        </w:rPr>
      </w:pPr>
      <w:r w:rsidRPr="00EB263A">
        <w:rPr>
          <w:rFonts w:ascii="Times New Roman" w:eastAsia="Times New Roman" w:hAnsi="Times New Roman"/>
          <w:sz w:val="24"/>
          <w:szCs w:val="24"/>
        </w:rPr>
        <w:t xml:space="preserve">Kim, J., Kim, J., Shim, J., Lee, C. Y., Lee, K. W., &amp; Lee, H. J. (2014). Cocoa phytochemicals: Recent advances in molecular mechanisms on health. </w:t>
      </w:r>
      <w:r w:rsidRPr="00EB263A">
        <w:rPr>
          <w:rFonts w:ascii="Times New Roman" w:eastAsia="Times New Roman" w:hAnsi="Times New Roman"/>
          <w:i/>
          <w:iCs/>
          <w:sz w:val="24"/>
          <w:szCs w:val="24"/>
        </w:rPr>
        <w:t>Critical Reviews in Food Science and Nutrition, 54</w:t>
      </w:r>
      <w:r w:rsidRPr="00EB263A">
        <w:rPr>
          <w:rFonts w:ascii="Times New Roman" w:eastAsia="Times New Roman" w:hAnsi="Times New Roman"/>
          <w:sz w:val="24"/>
          <w:szCs w:val="24"/>
        </w:rPr>
        <w:t xml:space="preserve">(11), 1458–1472. </w:t>
      </w:r>
      <w:hyperlink r:id="rId28" w:history="1">
        <w:r w:rsidRPr="00EB263A">
          <w:rPr>
            <w:rFonts w:ascii="Times New Roman" w:eastAsia="Times New Roman" w:hAnsi="Times New Roman"/>
            <w:color w:val="0000FF"/>
            <w:sz w:val="24"/>
            <w:szCs w:val="24"/>
            <w:u w:val="single"/>
            <w:lang w:val="nl-BE"/>
          </w:rPr>
          <w:t>https://doi.org/10.1080/10408398.2011.641041</w:t>
        </w:r>
      </w:hyperlink>
    </w:p>
    <w:p w14:paraId="3737F8BB"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lang w:val="nl-BE"/>
        </w:rPr>
        <w:t xml:space="preserve">Nandiyanto, A. B. D., Oktiani, R., &amp; Ragadhita, R. (2019). </w:t>
      </w:r>
      <w:r w:rsidRPr="00EB263A">
        <w:rPr>
          <w:rFonts w:ascii="Times New Roman" w:eastAsia="Times New Roman" w:hAnsi="Times New Roman"/>
          <w:sz w:val="24"/>
          <w:szCs w:val="24"/>
        </w:rPr>
        <w:t xml:space="preserve">How to read and interpret FTIR spectroscope of organic material. </w:t>
      </w:r>
      <w:r w:rsidRPr="00EB263A">
        <w:rPr>
          <w:rFonts w:ascii="Times New Roman" w:eastAsia="Times New Roman" w:hAnsi="Times New Roman"/>
          <w:i/>
          <w:iCs/>
          <w:sz w:val="24"/>
          <w:szCs w:val="24"/>
        </w:rPr>
        <w:t>Indonesian Journal of Science and Technology, 4</w:t>
      </w:r>
      <w:r w:rsidRPr="00EB263A">
        <w:rPr>
          <w:rFonts w:ascii="Times New Roman" w:eastAsia="Times New Roman" w:hAnsi="Times New Roman"/>
          <w:sz w:val="24"/>
          <w:szCs w:val="24"/>
        </w:rPr>
        <w:t xml:space="preserve">(1), 97–118. </w:t>
      </w:r>
      <w:hyperlink r:id="rId29" w:history="1">
        <w:r w:rsidRPr="00EB263A">
          <w:rPr>
            <w:rFonts w:ascii="Times New Roman" w:eastAsia="Times New Roman" w:hAnsi="Times New Roman"/>
            <w:color w:val="0000FF"/>
            <w:sz w:val="24"/>
            <w:szCs w:val="24"/>
            <w:u w:val="single"/>
          </w:rPr>
          <w:t>https://doi.org/10.17509/ijost.v4i1.15806</w:t>
        </w:r>
      </w:hyperlink>
    </w:p>
    <w:p w14:paraId="794DFC6A"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rPr>
        <w:t>Nsor-Atindana, J., Zhong, F., Mothibe, K. J., Bangoura, M. L., &amp; Lagnika, C. (2012). Quantification of total polyphenolic content and antimicrobial activity of cocoa (</w:t>
      </w:r>
      <w:r w:rsidRPr="00EB263A">
        <w:rPr>
          <w:rFonts w:ascii="Times New Roman" w:eastAsia="Times New Roman" w:hAnsi="Times New Roman"/>
          <w:i/>
          <w:iCs/>
          <w:sz w:val="24"/>
          <w:szCs w:val="24"/>
        </w:rPr>
        <w:t>Theobroma cacao</w:t>
      </w:r>
      <w:r w:rsidRPr="00EB263A">
        <w:rPr>
          <w:rFonts w:ascii="Times New Roman" w:eastAsia="Times New Roman" w:hAnsi="Times New Roman"/>
          <w:sz w:val="24"/>
          <w:szCs w:val="24"/>
        </w:rPr>
        <w:t xml:space="preserve"> L.) bean shells. </w:t>
      </w:r>
      <w:r w:rsidRPr="00EB263A">
        <w:rPr>
          <w:rFonts w:ascii="Times New Roman" w:eastAsia="Times New Roman" w:hAnsi="Times New Roman"/>
          <w:i/>
          <w:iCs/>
          <w:sz w:val="24"/>
          <w:szCs w:val="24"/>
        </w:rPr>
        <w:t>Pakistan Journal of Nutrition, 11</w:t>
      </w:r>
      <w:r w:rsidRPr="00EB263A">
        <w:rPr>
          <w:rFonts w:ascii="Times New Roman" w:eastAsia="Times New Roman" w:hAnsi="Times New Roman"/>
          <w:sz w:val="24"/>
          <w:szCs w:val="24"/>
        </w:rPr>
        <w:t xml:space="preserve">(7), 672–677. </w:t>
      </w:r>
      <w:hyperlink r:id="rId30" w:history="1">
        <w:r w:rsidRPr="00EB263A">
          <w:rPr>
            <w:rFonts w:ascii="Times New Roman" w:eastAsia="Times New Roman" w:hAnsi="Times New Roman"/>
            <w:color w:val="0000FF"/>
            <w:sz w:val="24"/>
            <w:szCs w:val="24"/>
            <w:u w:val="single"/>
          </w:rPr>
          <w:t>https://doi.org/10.3923/pjn.2012.672.677</w:t>
        </w:r>
      </w:hyperlink>
    </w:p>
    <w:p w14:paraId="3FD97095"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rPr>
        <w:t xml:space="preserve">Oracz, J., Nebesny, E., Żyżelewicz, D., Budryn, G., &amp; Luzak, B. (2020). Bioavailability and metabolism of selected cocoa bioactive compounds: A comprehensive review. </w:t>
      </w:r>
      <w:r w:rsidRPr="00EB263A">
        <w:rPr>
          <w:rFonts w:ascii="Times New Roman" w:eastAsia="Times New Roman" w:hAnsi="Times New Roman"/>
          <w:i/>
          <w:iCs/>
          <w:sz w:val="24"/>
          <w:szCs w:val="24"/>
        </w:rPr>
        <w:t>Critical Reviews in Food Science and Nutrition, 60</w:t>
      </w:r>
      <w:r w:rsidRPr="00EB263A">
        <w:rPr>
          <w:rFonts w:ascii="Times New Roman" w:eastAsia="Times New Roman" w:hAnsi="Times New Roman"/>
          <w:sz w:val="24"/>
          <w:szCs w:val="24"/>
        </w:rPr>
        <w:t xml:space="preserve">(12), 1947–1985. </w:t>
      </w:r>
      <w:hyperlink r:id="rId31" w:history="1">
        <w:r w:rsidRPr="00EB263A">
          <w:rPr>
            <w:rFonts w:ascii="Times New Roman" w:eastAsia="Times New Roman" w:hAnsi="Times New Roman"/>
            <w:color w:val="0000FF"/>
            <w:sz w:val="24"/>
            <w:szCs w:val="24"/>
            <w:u w:val="single"/>
          </w:rPr>
          <w:t>https://doi.org/10.1080/10408398.2019.1619160</w:t>
        </w:r>
      </w:hyperlink>
    </w:p>
    <w:p w14:paraId="13C0EA8F"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lang w:val="nl-BE"/>
        </w:rPr>
        <w:t xml:space="preserve">Reis de Araujo, Q., Gattward, J. N., Almoosawi, S., Silva, M. das G. C. P. C., Dantas, P. A. de S., &amp; Reis de Araujo Júnior, Q. (2016). </w:t>
      </w:r>
      <w:r w:rsidRPr="00EB263A">
        <w:rPr>
          <w:rFonts w:ascii="Times New Roman" w:eastAsia="Times New Roman" w:hAnsi="Times New Roman"/>
          <w:sz w:val="24"/>
          <w:szCs w:val="24"/>
        </w:rPr>
        <w:t xml:space="preserve">Cocoa and human health: From head to foot—A review. </w:t>
      </w:r>
      <w:r w:rsidRPr="00EB263A">
        <w:rPr>
          <w:rFonts w:ascii="Times New Roman" w:eastAsia="Times New Roman" w:hAnsi="Times New Roman"/>
          <w:i/>
          <w:iCs/>
          <w:sz w:val="24"/>
          <w:szCs w:val="24"/>
        </w:rPr>
        <w:t>Critical Reviews in Food Science and Nutrition, 56</w:t>
      </w:r>
      <w:r w:rsidRPr="00EB263A">
        <w:rPr>
          <w:rFonts w:ascii="Times New Roman" w:eastAsia="Times New Roman" w:hAnsi="Times New Roman"/>
          <w:sz w:val="24"/>
          <w:szCs w:val="24"/>
        </w:rPr>
        <w:t xml:space="preserve">(1), 1–12. </w:t>
      </w:r>
      <w:hyperlink r:id="rId32" w:history="1">
        <w:r w:rsidRPr="00EB263A">
          <w:rPr>
            <w:rFonts w:ascii="Times New Roman" w:eastAsia="Times New Roman" w:hAnsi="Times New Roman"/>
            <w:color w:val="0000FF"/>
            <w:sz w:val="24"/>
            <w:szCs w:val="24"/>
            <w:u w:val="single"/>
          </w:rPr>
          <w:t>https://doi.org/10.1080/10408398.2012.657921</w:t>
        </w:r>
      </w:hyperlink>
    </w:p>
    <w:p w14:paraId="6AF32F09"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rPr>
        <w:t xml:space="preserve">Rusconi, M., &amp; Conti, A. (2010). </w:t>
      </w:r>
      <w:r w:rsidRPr="00EB263A">
        <w:rPr>
          <w:rFonts w:ascii="Times New Roman" w:eastAsia="Times New Roman" w:hAnsi="Times New Roman"/>
          <w:i/>
          <w:iCs/>
          <w:sz w:val="24"/>
          <w:szCs w:val="24"/>
        </w:rPr>
        <w:t>Theobroma cacao</w:t>
      </w:r>
      <w:r w:rsidRPr="00EB263A">
        <w:rPr>
          <w:rFonts w:ascii="Times New Roman" w:eastAsia="Times New Roman" w:hAnsi="Times New Roman"/>
          <w:sz w:val="24"/>
          <w:szCs w:val="24"/>
        </w:rPr>
        <w:t xml:space="preserve"> L., the food of the gods: A scientific approach beyond myths and claims. </w:t>
      </w:r>
      <w:r w:rsidRPr="00EB263A">
        <w:rPr>
          <w:rFonts w:ascii="Times New Roman" w:eastAsia="Times New Roman" w:hAnsi="Times New Roman"/>
          <w:i/>
          <w:iCs/>
          <w:sz w:val="24"/>
          <w:szCs w:val="24"/>
        </w:rPr>
        <w:t>Pharmacological Research, 61</w:t>
      </w:r>
      <w:r w:rsidRPr="00EB263A">
        <w:rPr>
          <w:rFonts w:ascii="Times New Roman" w:eastAsia="Times New Roman" w:hAnsi="Times New Roman"/>
          <w:sz w:val="24"/>
          <w:szCs w:val="24"/>
        </w:rPr>
        <w:t xml:space="preserve">(1), 5–13. </w:t>
      </w:r>
      <w:hyperlink r:id="rId33" w:history="1">
        <w:r w:rsidRPr="00EB263A">
          <w:rPr>
            <w:rFonts w:ascii="Times New Roman" w:eastAsia="Times New Roman" w:hAnsi="Times New Roman"/>
            <w:color w:val="0000FF"/>
            <w:sz w:val="24"/>
            <w:szCs w:val="24"/>
            <w:u w:val="single"/>
          </w:rPr>
          <w:t>https://doi.org/10.1016/j.phrs.2009.08.008</w:t>
        </w:r>
      </w:hyperlink>
    </w:p>
    <w:p w14:paraId="0E606A3A"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rPr>
        <w:t xml:space="preserve">Santos, R. X., Oliveira, D. A., Sodré, G. A., Gosmann, G., Brendel, M., &amp; Pungartnik, C. (2014). Antimicrobial activity of fermented </w:t>
      </w:r>
      <w:r w:rsidRPr="00EB263A">
        <w:rPr>
          <w:rFonts w:ascii="Times New Roman" w:eastAsia="Times New Roman" w:hAnsi="Times New Roman"/>
          <w:i/>
          <w:iCs/>
          <w:sz w:val="24"/>
          <w:szCs w:val="24"/>
        </w:rPr>
        <w:t>Theobroma cacao</w:t>
      </w:r>
      <w:r w:rsidRPr="00EB263A">
        <w:rPr>
          <w:rFonts w:ascii="Times New Roman" w:eastAsia="Times New Roman" w:hAnsi="Times New Roman"/>
          <w:sz w:val="24"/>
          <w:szCs w:val="24"/>
        </w:rPr>
        <w:t xml:space="preserve"> pod husk extract. </w:t>
      </w:r>
      <w:r w:rsidRPr="00EB263A">
        <w:rPr>
          <w:rFonts w:ascii="Times New Roman" w:eastAsia="Times New Roman" w:hAnsi="Times New Roman"/>
          <w:i/>
          <w:iCs/>
          <w:sz w:val="24"/>
          <w:szCs w:val="24"/>
        </w:rPr>
        <w:t>Genetics and Molecular Research, 13</w:t>
      </w:r>
      <w:r w:rsidRPr="00EB263A">
        <w:rPr>
          <w:rFonts w:ascii="Times New Roman" w:eastAsia="Times New Roman" w:hAnsi="Times New Roman"/>
          <w:sz w:val="24"/>
          <w:szCs w:val="24"/>
        </w:rPr>
        <w:t xml:space="preserve">(3), 7725–7735. </w:t>
      </w:r>
      <w:hyperlink r:id="rId34" w:history="1">
        <w:r w:rsidRPr="00EB263A">
          <w:rPr>
            <w:rFonts w:ascii="Times New Roman" w:eastAsia="Times New Roman" w:hAnsi="Times New Roman"/>
            <w:color w:val="0000FF"/>
            <w:sz w:val="24"/>
            <w:szCs w:val="24"/>
            <w:u w:val="single"/>
          </w:rPr>
          <w:t>https://doi.org/10.4238/2014.September.26.10</w:t>
        </w:r>
      </w:hyperlink>
    </w:p>
    <w:p w14:paraId="23D7F396"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rPr>
        <w:lastRenderedPageBreak/>
        <w:t>Sari, A. B. T., Andriana, Y., Abdurrahman, M. F., Kurnianto, D., Sefrienda, A. R., Setiyoningrum, F., Wibowo, D. S., &amp; Minh, T. N. (2024). Differentiation of Indonesian specialty cocoa (</w:t>
      </w:r>
      <w:r w:rsidRPr="00EB263A">
        <w:rPr>
          <w:rFonts w:ascii="Times New Roman" w:eastAsia="Times New Roman" w:hAnsi="Times New Roman"/>
          <w:i/>
          <w:iCs/>
          <w:sz w:val="24"/>
          <w:szCs w:val="24"/>
        </w:rPr>
        <w:t>Theobroma cacao</w:t>
      </w:r>
      <w:r w:rsidRPr="00EB263A">
        <w:rPr>
          <w:rFonts w:ascii="Times New Roman" w:eastAsia="Times New Roman" w:hAnsi="Times New Roman"/>
          <w:sz w:val="24"/>
          <w:szCs w:val="24"/>
        </w:rPr>
        <w:t xml:space="preserve">) varieties and origins using phenolic contents, antioxidant activities, and spectrometric fingerprints for traceability. </w:t>
      </w:r>
      <w:r w:rsidRPr="00EB263A">
        <w:rPr>
          <w:rFonts w:ascii="Times New Roman" w:eastAsia="Times New Roman" w:hAnsi="Times New Roman"/>
          <w:i/>
          <w:iCs/>
          <w:sz w:val="24"/>
          <w:szCs w:val="24"/>
        </w:rPr>
        <w:t>Food Bioscience, 62</w:t>
      </w:r>
      <w:r w:rsidRPr="00EB263A">
        <w:rPr>
          <w:rFonts w:ascii="Times New Roman" w:eastAsia="Times New Roman" w:hAnsi="Times New Roman"/>
          <w:sz w:val="24"/>
          <w:szCs w:val="24"/>
        </w:rPr>
        <w:t xml:space="preserve">, Article 105434. </w:t>
      </w:r>
      <w:hyperlink r:id="rId35" w:history="1">
        <w:r w:rsidRPr="00EB263A">
          <w:rPr>
            <w:rFonts w:ascii="Times New Roman" w:eastAsia="Times New Roman" w:hAnsi="Times New Roman"/>
            <w:color w:val="0000FF"/>
            <w:sz w:val="24"/>
            <w:szCs w:val="24"/>
            <w:u w:val="single"/>
          </w:rPr>
          <w:t>https://doi.org/10.1016/j.fbio.2024.105434</w:t>
        </w:r>
      </w:hyperlink>
    </w:p>
    <w:p w14:paraId="2EA88408"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rPr>
        <w:t xml:space="preserve">Sofowora, A. (1982). </w:t>
      </w:r>
      <w:r w:rsidRPr="00EB263A">
        <w:rPr>
          <w:rFonts w:ascii="Times New Roman" w:eastAsia="Times New Roman" w:hAnsi="Times New Roman"/>
          <w:i/>
          <w:iCs/>
          <w:sz w:val="24"/>
          <w:szCs w:val="24"/>
        </w:rPr>
        <w:t>Medicinal plants and traditional medicine in Africa</w:t>
      </w:r>
      <w:r w:rsidRPr="00EB263A">
        <w:rPr>
          <w:rFonts w:ascii="Times New Roman" w:eastAsia="Times New Roman" w:hAnsi="Times New Roman"/>
          <w:sz w:val="24"/>
          <w:szCs w:val="24"/>
        </w:rPr>
        <w:t xml:space="preserve">. John Wiley &amp; Sons. </w:t>
      </w:r>
      <w:hyperlink r:id="rId36" w:history="1">
        <w:r w:rsidRPr="00EB263A">
          <w:rPr>
            <w:rFonts w:ascii="Times New Roman" w:eastAsia="Times New Roman" w:hAnsi="Times New Roman"/>
            <w:color w:val="0000FF"/>
            <w:sz w:val="24"/>
            <w:szCs w:val="24"/>
            <w:u w:val="single"/>
          </w:rPr>
          <w:t>https://agris.fao.org/search/en/providers/122535/records/65dde2f50f3e94b9e5c6cf26</w:t>
        </w:r>
      </w:hyperlink>
    </w:p>
    <w:p w14:paraId="11DDE5C6"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rPr>
        <w:t xml:space="preserve">Stuart, B. H. (2004). </w:t>
      </w:r>
      <w:r w:rsidRPr="00EB263A">
        <w:rPr>
          <w:rFonts w:ascii="Times New Roman" w:eastAsia="Times New Roman" w:hAnsi="Times New Roman"/>
          <w:i/>
          <w:iCs/>
          <w:sz w:val="24"/>
          <w:szCs w:val="24"/>
        </w:rPr>
        <w:t>Infrared spectroscopy: Fundamentals and applications</w:t>
      </w:r>
      <w:r w:rsidRPr="00EB263A">
        <w:rPr>
          <w:rFonts w:ascii="Times New Roman" w:eastAsia="Times New Roman" w:hAnsi="Times New Roman"/>
          <w:sz w:val="24"/>
          <w:szCs w:val="24"/>
        </w:rPr>
        <w:t xml:space="preserve">. John Wiley &amp; Sons. </w:t>
      </w:r>
      <w:hyperlink r:id="rId37" w:history="1">
        <w:r w:rsidRPr="00EB263A">
          <w:rPr>
            <w:rFonts w:ascii="Times New Roman" w:eastAsia="Times New Roman" w:hAnsi="Times New Roman"/>
            <w:color w:val="0000FF"/>
            <w:sz w:val="24"/>
            <w:szCs w:val="24"/>
            <w:u w:val="single"/>
          </w:rPr>
          <w:t>https://doi.org/10.1002/0470011149</w:t>
        </w:r>
      </w:hyperlink>
    </w:p>
    <w:p w14:paraId="08C49F9F"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rPr>
        <w:t xml:space="preserve">Evans, W. C. (1989). </w:t>
      </w:r>
      <w:r w:rsidRPr="00EB263A">
        <w:rPr>
          <w:rFonts w:ascii="Times New Roman" w:eastAsia="Times New Roman" w:hAnsi="Times New Roman"/>
          <w:i/>
          <w:iCs/>
          <w:sz w:val="24"/>
          <w:szCs w:val="24"/>
        </w:rPr>
        <w:t>Trease and Evans' pharmacognosy</w:t>
      </w:r>
      <w:r w:rsidRPr="00EB263A">
        <w:rPr>
          <w:rFonts w:ascii="Times New Roman" w:eastAsia="Times New Roman" w:hAnsi="Times New Roman"/>
          <w:sz w:val="24"/>
          <w:szCs w:val="24"/>
        </w:rPr>
        <w:t xml:space="preserve"> (13th ed.). Baillière Tindall. </w:t>
      </w:r>
      <w:hyperlink r:id="rId38" w:history="1">
        <w:r w:rsidRPr="00EB263A">
          <w:rPr>
            <w:rFonts w:ascii="Times New Roman" w:eastAsia="Times New Roman" w:hAnsi="Times New Roman"/>
            <w:color w:val="0000FF"/>
            <w:sz w:val="24"/>
            <w:szCs w:val="24"/>
            <w:u w:val="single"/>
          </w:rPr>
          <w:t>https://www1.lib.kanazawa-u.ac.jp/recordID/catalog.bib/BA07137029</w:t>
        </w:r>
      </w:hyperlink>
    </w:p>
    <w:p w14:paraId="0E34AE57"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rPr>
        <w:t xml:space="preserve">Wollgast, J., &amp; Anklam, E. (2000). Review on polyphenols in </w:t>
      </w:r>
      <w:r w:rsidRPr="00EB263A">
        <w:rPr>
          <w:rFonts w:ascii="Times New Roman" w:eastAsia="Times New Roman" w:hAnsi="Times New Roman"/>
          <w:i/>
          <w:iCs/>
          <w:sz w:val="24"/>
          <w:szCs w:val="24"/>
        </w:rPr>
        <w:t>Theobroma cacao</w:t>
      </w:r>
      <w:r w:rsidRPr="00EB263A">
        <w:rPr>
          <w:rFonts w:ascii="Times New Roman" w:eastAsia="Times New Roman" w:hAnsi="Times New Roman"/>
          <w:sz w:val="24"/>
          <w:szCs w:val="24"/>
        </w:rPr>
        <w:t xml:space="preserve">: Changes in composition during the manufacture of chocolate and methodology for identification and quantification. </w:t>
      </w:r>
      <w:r w:rsidRPr="00EB263A">
        <w:rPr>
          <w:rFonts w:ascii="Times New Roman" w:eastAsia="Times New Roman" w:hAnsi="Times New Roman"/>
          <w:i/>
          <w:iCs/>
          <w:sz w:val="24"/>
          <w:szCs w:val="24"/>
        </w:rPr>
        <w:t>Food Research International, 33</w:t>
      </w:r>
      <w:r w:rsidRPr="00EB263A">
        <w:rPr>
          <w:rFonts w:ascii="Times New Roman" w:eastAsia="Times New Roman" w:hAnsi="Times New Roman"/>
          <w:sz w:val="24"/>
          <w:szCs w:val="24"/>
        </w:rPr>
        <w:t xml:space="preserve">(6), 423–447. </w:t>
      </w:r>
      <w:hyperlink r:id="rId39" w:history="1">
        <w:r w:rsidRPr="00EB263A">
          <w:rPr>
            <w:rFonts w:ascii="Times New Roman" w:eastAsia="Times New Roman" w:hAnsi="Times New Roman"/>
            <w:color w:val="0000FF"/>
            <w:sz w:val="24"/>
            <w:szCs w:val="24"/>
            <w:u w:val="single"/>
          </w:rPr>
          <w:t>https://doi.org/10.1016/S0963-9969(00)00068-5</w:t>
        </w:r>
      </w:hyperlink>
    </w:p>
    <w:p w14:paraId="1610E6CC" w14:textId="77777777" w:rsidR="00EB263A" w:rsidRPr="00EB263A" w:rsidRDefault="00EB263A" w:rsidP="00EB263A">
      <w:pPr>
        <w:spacing w:before="100" w:beforeAutospacing="1" w:after="100" w:afterAutospacing="1" w:line="240" w:lineRule="auto"/>
        <w:ind w:left="540" w:hanging="540"/>
        <w:jc w:val="both"/>
        <w:rPr>
          <w:rFonts w:ascii="Times New Roman" w:eastAsia="Times New Roman" w:hAnsi="Times New Roman"/>
          <w:sz w:val="24"/>
          <w:szCs w:val="24"/>
        </w:rPr>
      </w:pPr>
      <w:r w:rsidRPr="00EB263A">
        <w:rPr>
          <w:rFonts w:ascii="Times New Roman" w:eastAsia="Times New Roman" w:hAnsi="Times New Roman"/>
          <w:sz w:val="24"/>
          <w:szCs w:val="24"/>
        </w:rPr>
        <w:t xml:space="preserve">Cinar, Z. Ö., Atanassova, M., Tumer, T. B., Caruso, G., Antika, G., Sharma, S., Sharifi-Rad, J., &amp; Pezzani, R. (2021). Cocoa and cocoa bean </w:t>
      </w:r>
      <w:proofErr w:type="gramStart"/>
      <w:r w:rsidRPr="00EB263A">
        <w:rPr>
          <w:rFonts w:ascii="Times New Roman" w:eastAsia="Times New Roman" w:hAnsi="Times New Roman"/>
          <w:sz w:val="24"/>
          <w:szCs w:val="24"/>
        </w:rPr>
        <w:t>shells</w:t>
      </w:r>
      <w:proofErr w:type="gramEnd"/>
      <w:r w:rsidRPr="00EB263A">
        <w:rPr>
          <w:rFonts w:ascii="Times New Roman" w:eastAsia="Times New Roman" w:hAnsi="Times New Roman"/>
          <w:sz w:val="24"/>
          <w:szCs w:val="24"/>
        </w:rPr>
        <w:t xml:space="preserve"> role in human health: An updated review. </w:t>
      </w:r>
      <w:r w:rsidRPr="00EB263A">
        <w:rPr>
          <w:rFonts w:ascii="Times New Roman" w:eastAsia="Times New Roman" w:hAnsi="Times New Roman"/>
          <w:i/>
          <w:iCs/>
          <w:sz w:val="24"/>
          <w:szCs w:val="24"/>
        </w:rPr>
        <w:t>Journal of Food Composition and Analysis, 103</w:t>
      </w:r>
      <w:r w:rsidRPr="00EB263A">
        <w:rPr>
          <w:rFonts w:ascii="Times New Roman" w:eastAsia="Times New Roman" w:hAnsi="Times New Roman"/>
          <w:sz w:val="24"/>
          <w:szCs w:val="24"/>
        </w:rPr>
        <w:t xml:space="preserve">, Article 104115. </w:t>
      </w:r>
      <w:hyperlink r:id="rId40" w:history="1">
        <w:r w:rsidRPr="00EB263A">
          <w:rPr>
            <w:rFonts w:ascii="Times New Roman" w:eastAsia="Times New Roman" w:hAnsi="Times New Roman"/>
            <w:color w:val="0000FF"/>
            <w:sz w:val="24"/>
            <w:szCs w:val="24"/>
            <w:u w:val="single"/>
          </w:rPr>
          <w:t>https://doi.org/10.1016/j.jfca.2021.104115</w:t>
        </w:r>
      </w:hyperlink>
    </w:p>
    <w:p w14:paraId="6D8AF602" w14:textId="77777777" w:rsidR="008A6BA4" w:rsidRPr="00EB2662" w:rsidRDefault="008A6BA4" w:rsidP="00B30FB7">
      <w:pPr>
        <w:pStyle w:val="NormalWeb"/>
        <w:spacing w:before="0" w:beforeAutospacing="0" w:after="0" w:line="480" w:lineRule="auto"/>
        <w:jc w:val="both"/>
      </w:pPr>
    </w:p>
    <w:sectPr w:rsidR="008A6BA4" w:rsidRPr="00EB2662">
      <w:headerReference w:type="even" r:id="rId41"/>
      <w:headerReference w:type="default" r:id="rId42"/>
      <w:footerReference w:type="even" r:id="rId43"/>
      <w:footerReference w:type="default" r:id="rId44"/>
      <w:headerReference w:type="first" r:id="rId45"/>
      <w:footerReference w:type="first" r:id="rId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62CA7" w14:textId="77777777" w:rsidR="00B070E4" w:rsidRDefault="00B070E4" w:rsidP="004D7107">
      <w:pPr>
        <w:spacing w:after="0" w:line="240" w:lineRule="auto"/>
      </w:pPr>
      <w:r>
        <w:separator/>
      </w:r>
    </w:p>
  </w:endnote>
  <w:endnote w:type="continuationSeparator" w:id="0">
    <w:p w14:paraId="2EAEF675" w14:textId="77777777" w:rsidR="00B070E4" w:rsidRDefault="00B070E4" w:rsidP="004D7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14CFF" w14:textId="77777777" w:rsidR="004D7107" w:rsidRDefault="004D71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B1674" w14:textId="77777777" w:rsidR="004D7107" w:rsidRDefault="004D71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6B060" w14:textId="77777777" w:rsidR="004D7107" w:rsidRDefault="004D71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E4D0F" w14:textId="77777777" w:rsidR="00B070E4" w:rsidRDefault="00B070E4" w:rsidP="004D7107">
      <w:pPr>
        <w:spacing w:after="0" w:line="240" w:lineRule="auto"/>
      </w:pPr>
      <w:r>
        <w:separator/>
      </w:r>
    </w:p>
  </w:footnote>
  <w:footnote w:type="continuationSeparator" w:id="0">
    <w:p w14:paraId="57B197CD" w14:textId="77777777" w:rsidR="00B070E4" w:rsidRDefault="00B070E4" w:rsidP="004D71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54B14" w14:textId="77777777" w:rsidR="004D7107" w:rsidRDefault="00000000">
    <w:pPr>
      <w:pStyle w:val="Header"/>
    </w:pPr>
    <w:r>
      <w:rPr>
        <w:noProof/>
      </w:rPr>
      <w:pict w14:anchorId="485404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84251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45650" w14:textId="77777777" w:rsidR="004D7107" w:rsidRDefault="00000000">
    <w:pPr>
      <w:pStyle w:val="Header"/>
    </w:pPr>
    <w:r>
      <w:rPr>
        <w:noProof/>
      </w:rPr>
      <w:pict w14:anchorId="5C789B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84251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D26F6" w14:textId="77777777" w:rsidR="004D7107" w:rsidRDefault="00000000">
    <w:pPr>
      <w:pStyle w:val="Header"/>
    </w:pPr>
    <w:r>
      <w:rPr>
        <w:noProof/>
      </w:rPr>
      <w:pict w14:anchorId="356EB0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84251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73C"/>
    <w:multiLevelType w:val="hybridMultilevel"/>
    <w:tmpl w:val="FFFFFFFF"/>
    <w:lvl w:ilvl="0" w:tplc="E5B28DB4">
      <w:start w:val="1"/>
      <w:numFmt w:val="decimal"/>
      <w:lvlText w:val="%1"/>
      <w:lvlJc w:val="left"/>
      <w:pPr>
        <w:ind w:left="6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09A483A">
      <w:start w:val="1"/>
      <w:numFmt w:val="lowerLetter"/>
      <w:lvlText w:val="%2"/>
      <w:lvlJc w:val="left"/>
      <w:pPr>
        <w:ind w:left="158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71EE01E">
      <w:start w:val="1"/>
      <w:numFmt w:val="lowerRoman"/>
      <w:lvlText w:val="%3"/>
      <w:lvlJc w:val="left"/>
      <w:pPr>
        <w:ind w:left="230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624E460">
      <w:start w:val="1"/>
      <w:numFmt w:val="decimal"/>
      <w:lvlText w:val="%4"/>
      <w:lvlJc w:val="left"/>
      <w:pPr>
        <w:ind w:left="302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ED8A63F4">
      <w:start w:val="1"/>
      <w:numFmt w:val="lowerLetter"/>
      <w:lvlText w:val="%5"/>
      <w:lvlJc w:val="left"/>
      <w:pPr>
        <w:ind w:left="374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688CC5A">
      <w:start w:val="1"/>
      <w:numFmt w:val="lowerRoman"/>
      <w:lvlText w:val="%6"/>
      <w:lvlJc w:val="left"/>
      <w:pPr>
        <w:ind w:left="446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372AC2CA">
      <w:start w:val="1"/>
      <w:numFmt w:val="decimal"/>
      <w:lvlText w:val="%7"/>
      <w:lvlJc w:val="left"/>
      <w:pPr>
        <w:ind w:left="518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8FACD56">
      <w:start w:val="1"/>
      <w:numFmt w:val="lowerLetter"/>
      <w:lvlText w:val="%8"/>
      <w:lvlJc w:val="left"/>
      <w:pPr>
        <w:ind w:left="590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AC43E8E">
      <w:start w:val="1"/>
      <w:numFmt w:val="lowerRoman"/>
      <w:lvlText w:val="%9"/>
      <w:lvlJc w:val="left"/>
      <w:pPr>
        <w:ind w:left="662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FA73794"/>
    <w:multiLevelType w:val="hybridMultilevel"/>
    <w:tmpl w:val="EAAED2E4"/>
    <w:lvl w:ilvl="0" w:tplc="50FA1340">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E566BB"/>
    <w:multiLevelType w:val="hybridMultilevel"/>
    <w:tmpl w:val="C24C63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4F3544"/>
    <w:multiLevelType w:val="hybridMultilevel"/>
    <w:tmpl w:val="D53C1A7E"/>
    <w:lvl w:ilvl="0" w:tplc="892246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C45EF0"/>
    <w:multiLevelType w:val="hybridMultilevel"/>
    <w:tmpl w:val="AEF2EF76"/>
    <w:lvl w:ilvl="0" w:tplc="EC586DB2">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D77792"/>
    <w:multiLevelType w:val="hybridMultilevel"/>
    <w:tmpl w:val="AE28C246"/>
    <w:lvl w:ilvl="0" w:tplc="829E58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642367"/>
    <w:multiLevelType w:val="hybridMultilevel"/>
    <w:tmpl w:val="EE002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147797"/>
    <w:multiLevelType w:val="hybridMultilevel"/>
    <w:tmpl w:val="9A2ADA42"/>
    <w:lvl w:ilvl="0" w:tplc="95E282DC">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C9488C"/>
    <w:multiLevelType w:val="hybridMultilevel"/>
    <w:tmpl w:val="63CAA0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9B68A8"/>
    <w:multiLevelType w:val="singleLevel"/>
    <w:tmpl w:val="7F9B68A8"/>
    <w:lvl w:ilvl="0">
      <w:start w:val="3"/>
      <w:numFmt w:val="upperLetter"/>
      <w:suff w:val="nothing"/>
      <w:lvlText w:val="%1-"/>
      <w:lvlJc w:val="left"/>
    </w:lvl>
  </w:abstractNum>
  <w:num w:numId="1" w16cid:durableId="254363690">
    <w:abstractNumId w:val="2"/>
  </w:num>
  <w:num w:numId="2" w16cid:durableId="1197279692">
    <w:abstractNumId w:val="3"/>
  </w:num>
  <w:num w:numId="3" w16cid:durableId="780610344">
    <w:abstractNumId w:val="9"/>
  </w:num>
  <w:num w:numId="4" w16cid:durableId="1942760288">
    <w:abstractNumId w:val="5"/>
  </w:num>
  <w:num w:numId="5" w16cid:durableId="1519351073">
    <w:abstractNumId w:val="7"/>
  </w:num>
  <w:num w:numId="6" w16cid:durableId="1874032103">
    <w:abstractNumId w:val="0"/>
  </w:num>
  <w:num w:numId="7" w16cid:durableId="1946576704">
    <w:abstractNumId w:val="1"/>
  </w:num>
  <w:num w:numId="8" w16cid:durableId="1997221577">
    <w:abstractNumId w:val="4"/>
  </w:num>
  <w:num w:numId="9" w16cid:durableId="203831164">
    <w:abstractNumId w:val="6"/>
  </w:num>
  <w:num w:numId="10" w16cid:durableId="4591485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zMTUxNTMwsbS0sDBQ0lEKTi0uzszPAykwrAUAFZaGPCwAAAA="/>
  </w:docVars>
  <w:rsids>
    <w:rsidRoot w:val="00C511D2"/>
    <w:rsid w:val="000427ED"/>
    <w:rsid w:val="0004295B"/>
    <w:rsid w:val="000500B9"/>
    <w:rsid w:val="00064DE8"/>
    <w:rsid w:val="00072ABA"/>
    <w:rsid w:val="00090206"/>
    <w:rsid w:val="000A4FF8"/>
    <w:rsid w:val="000A6C77"/>
    <w:rsid w:val="000B79CA"/>
    <w:rsid w:val="000F42D9"/>
    <w:rsid w:val="00127BD8"/>
    <w:rsid w:val="001360C5"/>
    <w:rsid w:val="0016000F"/>
    <w:rsid w:val="00162EE8"/>
    <w:rsid w:val="001720E6"/>
    <w:rsid w:val="0018188C"/>
    <w:rsid w:val="00181BDC"/>
    <w:rsid w:val="00190626"/>
    <w:rsid w:val="001A22A1"/>
    <w:rsid w:val="001B34D8"/>
    <w:rsid w:val="001D333B"/>
    <w:rsid w:val="001E29CA"/>
    <w:rsid w:val="001E6CF6"/>
    <w:rsid w:val="001E7605"/>
    <w:rsid w:val="001F4E20"/>
    <w:rsid w:val="00225C51"/>
    <w:rsid w:val="0023158E"/>
    <w:rsid w:val="002619A6"/>
    <w:rsid w:val="002635C0"/>
    <w:rsid w:val="002769DA"/>
    <w:rsid w:val="002801C2"/>
    <w:rsid w:val="00286E45"/>
    <w:rsid w:val="002A387B"/>
    <w:rsid w:val="002A453E"/>
    <w:rsid w:val="002C6EA0"/>
    <w:rsid w:val="002D104C"/>
    <w:rsid w:val="002E6DC5"/>
    <w:rsid w:val="002F67C5"/>
    <w:rsid w:val="003016BF"/>
    <w:rsid w:val="00315B7E"/>
    <w:rsid w:val="0033068D"/>
    <w:rsid w:val="003315DF"/>
    <w:rsid w:val="00336302"/>
    <w:rsid w:val="0034682E"/>
    <w:rsid w:val="0035572F"/>
    <w:rsid w:val="00362EF4"/>
    <w:rsid w:val="0036493E"/>
    <w:rsid w:val="00364C6A"/>
    <w:rsid w:val="00377A43"/>
    <w:rsid w:val="00387302"/>
    <w:rsid w:val="003965DF"/>
    <w:rsid w:val="003A45FB"/>
    <w:rsid w:val="003D4101"/>
    <w:rsid w:val="003E0B65"/>
    <w:rsid w:val="00406BC3"/>
    <w:rsid w:val="0043269D"/>
    <w:rsid w:val="00435254"/>
    <w:rsid w:val="0044204C"/>
    <w:rsid w:val="0045642C"/>
    <w:rsid w:val="0047186E"/>
    <w:rsid w:val="004A091E"/>
    <w:rsid w:val="004C7EE9"/>
    <w:rsid w:val="004D7107"/>
    <w:rsid w:val="004E29CC"/>
    <w:rsid w:val="004E3CD4"/>
    <w:rsid w:val="004E66C6"/>
    <w:rsid w:val="004F1AAA"/>
    <w:rsid w:val="004F3C70"/>
    <w:rsid w:val="00517FBD"/>
    <w:rsid w:val="00522B19"/>
    <w:rsid w:val="00527B95"/>
    <w:rsid w:val="005335FA"/>
    <w:rsid w:val="00533E03"/>
    <w:rsid w:val="0055626B"/>
    <w:rsid w:val="00562A4A"/>
    <w:rsid w:val="005A05BB"/>
    <w:rsid w:val="005A21F8"/>
    <w:rsid w:val="005A4BAA"/>
    <w:rsid w:val="005D34FE"/>
    <w:rsid w:val="005E371B"/>
    <w:rsid w:val="005E45A8"/>
    <w:rsid w:val="005E4D64"/>
    <w:rsid w:val="005E7097"/>
    <w:rsid w:val="005F0C42"/>
    <w:rsid w:val="005F7362"/>
    <w:rsid w:val="00601CA8"/>
    <w:rsid w:val="00620D14"/>
    <w:rsid w:val="00677AE6"/>
    <w:rsid w:val="00692153"/>
    <w:rsid w:val="006964C7"/>
    <w:rsid w:val="006A19A6"/>
    <w:rsid w:val="006B5E0D"/>
    <w:rsid w:val="006D3523"/>
    <w:rsid w:val="007016F4"/>
    <w:rsid w:val="00707F87"/>
    <w:rsid w:val="00714BF9"/>
    <w:rsid w:val="007203B9"/>
    <w:rsid w:val="00723BE9"/>
    <w:rsid w:val="007241C8"/>
    <w:rsid w:val="00727D3B"/>
    <w:rsid w:val="00735EAD"/>
    <w:rsid w:val="00751EBC"/>
    <w:rsid w:val="00754728"/>
    <w:rsid w:val="007577BC"/>
    <w:rsid w:val="00783529"/>
    <w:rsid w:val="00793199"/>
    <w:rsid w:val="00795048"/>
    <w:rsid w:val="007A0907"/>
    <w:rsid w:val="007B31B3"/>
    <w:rsid w:val="007B7583"/>
    <w:rsid w:val="007E4ADD"/>
    <w:rsid w:val="007E5714"/>
    <w:rsid w:val="007E6F08"/>
    <w:rsid w:val="007F672C"/>
    <w:rsid w:val="007F7B12"/>
    <w:rsid w:val="00807135"/>
    <w:rsid w:val="00821364"/>
    <w:rsid w:val="008235CF"/>
    <w:rsid w:val="00825349"/>
    <w:rsid w:val="008379A0"/>
    <w:rsid w:val="00837A81"/>
    <w:rsid w:val="0084231A"/>
    <w:rsid w:val="008433D9"/>
    <w:rsid w:val="008512CE"/>
    <w:rsid w:val="00861D3F"/>
    <w:rsid w:val="00870A5C"/>
    <w:rsid w:val="00873B42"/>
    <w:rsid w:val="00884B86"/>
    <w:rsid w:val="00896C2B"/>
    <w:rsid w:val="008A6BA4"/>
    <w:rsid w:val="008B2A5A"/>
    <w:rsid w:val="008D652B"/>
    <w:rsid w:val="008E05D1"/>
    <w:rsid w:val="008E632C"/>
    <w:rsid w:val="008E6A53"/>
    <w:rsid w:val="008E7D96"/>
    <w:rsid w:val="00913254"/>
    <w:rsid w:val="00915A99"/>
    <w:rsid w:val="00931998"/>
    <w:rsid w:val="0093619B"/>
    <w:rsid w:val="009521DB"/>
    <w:rsid w:val="00955974"/>
    <w:rsid w:val="00961F2E"/>
    <w:rsid w:val="009631FF"/>
    <w:rsid w:val="0097628C"/>
    <w:rsid w:val="00982720"/>
    <w:rsid w:val="009E24EE"/>
    <w:rsid w:val="00A06E53"/>
    <w:rsid w:val="00A3293D"/>
    <w:rsid w:val="00A37881"/>
    <w:rsid w:val="00A55DA3"/>
    <w:rsid w:val="00A55EA7"/>
    <w:rsid w:val="00A7378C"/>
    <w:rsid w:val="00A85DFB"/>
    <w:rsid w:val="00AC21C4"/>
    <w:rsid w:val="00AD5CA3"/>
    <w:rsid w:val="00B070E4"/>
    <w:rsid w:val="00B11445"/>
    <w:rsid w:val="00B21A96"/>
    <w:rsid w:val="00B30FB7"/>
    <w:rsid w:val="00B45726"/>
    <w:rsid w:val="00B5363F"/>
    <w:rsid w:val="00B604B5"/>
    <w:rsid w:val="00B77380"/>
    <w:rsid w:val="00B84954"/>
    <w:rsid w:val="00B85C0E"/>
    <w:rsid w:val="00B92EF0"/>
    <w:rsid w:val="00BA7D8E"/>
    <w:rsid w:val="00BB4887"/>
    <w:rsid w:val="00BB6D30"/>
    <w:rsid w:val="00BC2C51"/>
    <w:rsid w:val="00BF092B"/>
    <w:rsid w:val="00BF1743"/>
    <w:rsid w:val="00C02537"/>
    <w:rsid w:val="00C05623"/>
    <w:rsid w:val="00C31E18"/>
    <w:rsid w:val="00C32DA2"/>
    <w:rsid w:val="00C511D2"/>
    <w:rsid w:val="00C515A4"/>
    <w:rsid w:val="00C53FB6"/>
    <w:rsid w:val="00C66FB3"/>
    <w:rsid w:val="00C721ED"/>
    <w:rsid w:val="00C7693B"/>
    <w:rsid w:val="00C875DD"/>
    <w:rsid w:val="00C914A0"/>
    <w:rsid w:val="00CA357D"/>
    <w:rsid w:val="00CB2028"/>
    <w:rsid w:val="00CD3FF4"/>
    <w:rsid w:val="00CE245F"/>
    <w:rsid w:val="00D00120"/>
    <w:rsid w:val="00D04FE9"/>
    <w:rsid w:val="00D1108A"/>
    <w:rsid w:val="00D32DD8"/>
    <w:rsid w:val="00D44E0F"/>
    <w:rsid w:val="00D46A4C"/>
    <w:rsid w:val="00D66853"/>
    <w:rsid w:val="00D73639"/>
    <w:rsid w:val="00DC0CC9"/>
    <w:rsid w:val="00DD163E"/>
    <w:rsid w:val="00DE780F"/>
    <w:rsid w:val="00DF04CE"/>
    <w:rsid w:val="00E029F0"/>
    <w:rsid w:val="00E040C8"/>
    <w:rsid w:val="00E10564"/>
    <w:rsid w:val="00E17D7B"/>
    <w:rsid w:val="00E30279"/>
    <w:rsid w:val="00E4700F"/>
    <w:rsid w:val="00E73585"/>
    <w:rsid w:val="00E93CA9"/>
    <w:rsid w:val="00E945DB"/>
    <w:rsid w:val="00EA5DA4"/>
    <w:rsid w:val="00EB263A"/>
    <w:rsid w:val="00EB2662"/>
    <w:rsid w:val="00EB4940"/>
    <w:rsid w:val="00EB4F86"/>
    <w:rsid w:val="00EE3EC6"/>
    <w:rsid w:val="00EF5ED7"/>
    <w:rsid w:val="00F07415"/>
    <w:rsid w:val="00F416FC"/>
    <w:rsid w:val="00F63CF0"/>
    <w:rsid w:val="00F64379"/>
    <w:rsid w:val="00F66DF6"/>
    <w:rsid w:val="00F763E8"/>
    <w:rsid w:val="00F80781"/>
    <w:rsid w:val="00F94A9B"/>
    <w:rsid w:val="00FC01B5"/>
    <w:rsid w:val="00FC360A"/>
    <w:rsid w:val="00FD1AD9"/>
    <w:rsid w:val="00FE3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57915"/>
  <w15:chartTrackingRefBased/>
  <w15:docId w15:val="{09934EA5-CACB-4724-8D63-06193141B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1D2"/>
    <w:pPr>
      <w:spacing w:after="160" w:line="259" w:lineRule="auto"/>
    </w:pPr>
    <w:rPr>
      <w:sz w:val="22"/>
      <w:szCs w:val="22"/>
    </w:rPr>
  </w:style>
  <w:style w:type="paragraph" w:styleId="Heading2">
    <w:name w:val="heading 2"/>
    <w:basedOn w:val="Normal"/>
    <w:next w:val="Normal"/>
    <w:link w:val="Heading2Char"/>
    <w:uiPriority w:val="9"/>
    <w:unhideWhenUsed/>
    <w:qFormat/>
    <w:rsid w:val="00783529"/>
    <w:pPr>
      <w:keepNext/>
      <w:keepLines/>
      <w:spacing w:before="160" w:after="80"/>
      <w:outlineLvl w:val="1"/>
    </w:pPr>
    <w:rPr>
      <w:rFonts w:ascii="Cambria" w:eastAsia="Times New Roman" w:hAnsi="Cambria"/>
      <w:color w:val="365F91"/>
      <w:sz w:val="32"/>
      <w:szCs w:val="32"/>
    </w:rPr>
  </w:style>
  <w:style w:type="paragraph" w:styleId="Heading3">
    <w:name w:val="heading 3"/>
    <w:basedOn w:val="Normal"/>
    <w:next w:val="Normal"/>
    <w:link w:val="Heading3Char"/>
    <w:uiPriority w:val="9"/>
    <w:unhideWhenUsed/>
    <w:qFormat/>
    <w:rsid w:val="00783529"/>
    <w:pPr>
      <w:keepNext/>
      <w:keepLines/>
      <w:spacing w:before="160" w:after="80"/>
      <w:outlineLvl w:val="2"/>
    </w:pPr>
    <w:rPr>
      <w:rFonts w:eastAsia="Times New Roman"/>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511D2"/>
    <w:rPr>
      <w:color w:val="0000FF"/>
      <w:u w:val="single"/>
    </w:rPr>
  </w:style>
  <w:style w:type="character" w:customStyle="1" w:styleId="Heading2Char">
    <w:name w:val="Heading 2 Char"/>
    <w:link w:val="Heading2"/>
    <w:uiPriority w:val="9"/>
    <w:rsid w:val="00783529"/>
    <w:rPr>
      <w:rFonts w:ascii="Cambria" w:eastAsia="Times New Roman" w:hAnsi="Cambria"/>
      <w:color w:val="365F91"/>
      <w:sz w:val="32"/>
      <w:szCs w:val="32"/>
    </w:rPr>
  </w:style>
  <w:style w:type="character" w:customStyle="1" w:styleId="Heading3Char">
    <w:name w:val="Heading 3 Char"/>
    <w:link w:val="Heading3"/>
    <w:uiPriority w:val="9"/>
    <w:rsid w:val="00783529"/>
    <w:rPr>
      <w:rFonts w:eastAsia="Times New Roman"/>
      <w:color w:val="365F91"/>
      <w:sz w:val="28"/>
      <w:szCs w:val="28"/>
    </w:rPr>
  </w:style>
  <w:style w:type="paragraph" w:styleId="ListParagraph">
    <w:name w:val="List Paragraph"/>
    <w:basedOn w:val="Normal"/>
    <w:uiPriority w:val="34"/>
    <w:qFormat/>
    <w:rsid w:val="00783529"/>
    <w:pPr>
      <w:ind w:left="720"/>
      <w:contextualSpacing/>
    </w:pPr>
  </w:style>
  <w:style w:type="paragraph" w:styleId="NormalWeb">
    <w:name w:val="Normal (Web)"/>
    <w:basedOn w:val="Normal"/>
    <w:uiPriority w:val="99"/>
    <w:unhideWhenUsed/>
    <w:qFormat/>
    <w:rsid w:val="00783529"/>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783529"/>
    <w:rPr>
      <w:b/>
      <w:bCs/>
    </w:rPr>
  </w:style>
  <w:style w:type="character" w:styleId="Emphasis">
    <w:name w:val="Emphasis"/>
    <w:uiPriority w:val="20"/>
    <w:qFormat/>
    <w:rsid w:val="00E93CA9"/>
    <w:rPr>
      <w:i/>
      <w:iCs/>
    </w:rPr>
  </w:style>
  <w:style w:type="paragraph" w:styleId="Header">
    <w:name w:val="header"/>
    <w:basedOn w:val="Normal"/>
    <w:link w:val="HeaderChar"/>
    <w:uiPriority w:val="99"/>
    <w:unhideWhenUsed/>
    <w:qFormat/>
    <w:rsid w:val="00E93CA9"/>
    <w:pPr>
      <w:tabs>
        <w:tab w:val="center" w:pos="4680"/>
        <w:tab w:val="right" w:pos="9360"/>
      </w:tabs>
      <w:spacing w:after="0" w:line="240" w:lineRule="auto"/>
    </w:pPr>
  </w:style>
  <w:style w:type="character" w:customStyle="1" w:styleId="HeaderChar">
    <w:name w:val="Header Char"/>
    <w:link w:val="Header"/>
    <w:uiPriority w:val="99"/>
    <w:rsid w:val="00E93CA9"/>
    <w:rPr>
      <w:sz w:val="22"/>
      <w:szCs w:val="22"/>
    </w:rPr>
  </w:style>
  <w:style w:type="character" w:styleId="PlaceholderText">
    <w:name w:val="Placeholder Text"/>
    <w:basedOn w:val="DefaultParagraphFont"/>
    <w:uiPriority w:val="99"/>
    <w:semiHidden/>
    <w:rsid w:val="00BA7D8E"/>
    <w:rPr>
      <w:color w:val="808080"/>
    </w:rPr>
  </w:style>
  <w:style w:type="paragraph" w:styleId="ListBullet">
    <w:name w:val="List Bullet"/>
    <w:basedOn w:val="Normal"/>
    <w:uiPriority w:val="99"/>
    <w:unhideWhenUsed/>
    <w:rsid w:val="004E29CC"/>
    <w:pPr>
      <w:tabs>
        <w:tab w:val="num" w:pos="360"/>
      </w:tabs>
      <w:spacing w:after="200" w:line="276" w:lineRule="auto"/>
      <w:ind w:left="360" w:hanging="360"/>
      <w:contextualSpacing/>
    </w:pPr>
    <w:rPr>
      <w:rFonts w:asciiTheme="minorHAnsi" w:eastAsiaTheme="minorHAnsi" w:hAnsiTheme="minorHAnsi" w:cstheme="minorBidi"/>
    </w:rPr>
  </w:style>
  <w:style w:type="table" w:styleId="TableGrid">
    <w:name w:val="Table Grid"/>
    <w:basedOn w:val="TableNormal"/>
    <w:uiPriority w:val="39"/>
    <w:qFormat/>
    <w:rsid w:val="001E6CF6"/>
    <w:pPr>
      <w:spacing w:beforeAutospacing="1" w:afterAutospacing="1"/>
      <w:jc w:val="both"/>
    </w:pPr>
    <w:rPr>
      <w:rFonts w:ascii="Times New Roman" w:eastAsia="SimSu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821364"/>
    <w:pPr>
      <w:autoSpaceDE w:val="0"/>
      <w:autoSpaceDN w:val="0"/>
      <w:adjustRightInd w:val="0"/>
    </w:pPr>
    <w:rPr>
      <w:rFonts w:ascii="Times New Roman" w:eastAsiaTheme="minorEastAsia" w:hAnsi="Times New Roman"/>
      <w:color w:val="000000"/>
      <w:sz w:val="24"/>
      <w:szCs w:val="24"/>
      <w14:ligatures w14:val="standardContextual"/>
    </w:rPr>
  </w:style>
  <w:style w:type="paragraph" w:styleId="Footer">
    <w:name w:val="footer"/>
    <w:basedOn w:val="Normal"/>
    <w:link w:val="FooterChar"/>
    <w:uiPriority w:val="99"/>
    <w:unhideWhenUsed/>
    <w:rsid w:val="004D71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710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2323">
      <w:bodyDiv w:val="1"/>
      <w:marLeft w:val="0"/>
      <w:marRight w:val="0"/>
      <w:marTop w:val="0"/>
      <w:marBottom w:val="0"/>
      <w:divBdr>
        <w:top w:val="none" w:sz="0" w:space="0" w:color="auto"/>
        <w:left w:val="none" w:sz="0" w:space="0" w:color="auto"/>
        <w:bottom w:val="none" w:sz="0" w:space="0" w:color="auto"/>
        <w:right w:val="none" w:sz="0" w:space="0" w:color="auto"/>
      </w:divBdr>
    </w:div>
    <w:div w:id="57941591">
      <w:bodyDiv w:val="1"/>
      <w:marLeft w:val="0"/>
      <w:marRight w:val="0"/>
      <w:marTop w:val="0"/>
      <w:marBottom w:val="0"/>
      <w:divBdr>
        <w:top w:val="none" w:sz="0" w:space="0" w:color="auto"/>
        <w:left w:val="none" w:sz="0" w:space="0" w:color="auto"/>
        <w:bottom w:val="none" w:sz="0" w:space="0" w:color="auto"/>
        <w:right w:val="none" w:sz="0" w:space="0" w:color="auto"/>
      </w:divBdr>
    </w:div>
    <w:div w:id="147524309">
      <w:bodyDiv w:val="1"/>
      <w:marLeft w:val="0"/>
      <w:marRight w:val="0"/>
      <w:marTop w:val="0"/>
      <w:marBottom w:val="0"/>
      <w:divBdr>
        <w:top w:val="none" w:sz="0" w:space="0" w:color="auto"/>
        <w:left w:val="none" w:sz="0" w:space="0" w:color="auto"/>
        <w:bottom w:val="none" w:sz="0" w:space="0" w:color="auto"/>
        <w:right w:val="none" w:sz="0" w:space="0" w:color="auto"/>
      </w:divBdr>
    </w:div>
    <w:div w:id="271590372">
      <w:bodyDiv w:val="1"/>
      <w:marLeft w:val="0"/>
      <w:marRight w:val="0"/>
      <w:marTop w:val="0"/>
      <w:marBottom w:val="0"/>
      <w:divBdr>
        <w:top w:val="none" w:sz="0" w:space="0" w:color="auto"/>
        <w:left w:val="none" w:sz="0" w:space="0" w:color="auto"/>
        <w:bottom w:val="none" w:sz="0" w:space="0" w:color="auto"/>
        <w:right w:val="none" w:sz="0" w:space="0" w:color="auto"/>
      </w:divBdr>
    </w:div>
    <w:div w:id="291181382">
      <w:bodyDiv w:val="1"/>
      <w:marLeft w:val="0"/>
      <w:marRight w:val="0"/>
      <w:marTop w:val="0"/>
      <w:marBottom w:val="0"/>
      <w:divBdr>
        <w:top w:val="none" w:sz="0" w:space="0" w:color="auto"/>
        <w:left w:val="none" w:sz="0" w:space="0" w:color="auto"/>
        <w:bottom w:val="none" w:sz="0" w:space="0" w:color="auto"/>
        <w:right w:val="none" w:sz="0" w:space="0" w:color="auto"/>
      </w:divBdr>
    </w:div>
    <w:div w:id="303312438">
      <w:bodyDiv w:val="1"/>
      <w:marLeft w:val="0"/>
      <w:marRight w:val="0"/>
      <w:marTop w:val="0"/>
      <w:marBottom w:val="0"/>
      <w:divBdr>
        <w:top w:val="none" w:sz="0" w:space="0" w:color="auto"/>
        <w:left w:val="none" w:sz="0" w:space="0" w:color="auto"/>
        <w:bottom w:val="none" w:sz="0" w:space="0" w:color="auto"/>
        <w:right w:val="none" w:sz="0" w:space="0" w:color="auto"/>
      </w:divBdr>
    </w:div>
    <w:div w:id="357394401">
      <w:bodyDiv w:val="1"/>
      <w:marLeft w:val="0"/>
      <w:marRight w:val="0"/>
      <w:marTop w:val="0"/>
      <w:marBottom w:val="0"/>
      <w:divBdr>
        <w:top w:val="none" w:sz="0" w:space="0" w:color="auto"/>
        <w:left w:val="none" w:sz="0" w:space="0" w:color="auto"/>
        <w:bottom w:val="none" w:sz="0" w:space="0" w:color="auto"/>
        <w:right w:val="none" w:sz="0" w:space="0" w:color="auto"/>
      </w:divBdr>
    </w:div>
    <w:div w:id="515926064">
      <w:bodyDiv w:val="1"/>
      <w:marLeft w:val="0"/>
      <w:marRight w:val="0"/>
      <w:marTop w:val="0"/>
      <w:marBottom w:val="0"/>
      <w:divBdr>
        <w:top w:val="none" w:sz="0" w:space="0" w:color="auto"/>
        <w:left w:val="none" w:sz="0" w:space="0" w:color="auto"/>
        <w:bottom w:val="none" w:sz="0" w:space="0" w:color="auto"/>
        <w:right w:val="none" w:sz="0" w:space="0" w:color="auto"/>
      </w:divBdr>
    </w:div>
    <w:div w:id="819463136">
      <w:bodyDiv w:val="1"/>
      <w:marLeft w:val="0"/>
      <w:marRight w:val="0"/>
      <w:marTop w:val="0"/>
      <w:marBottom w:val="0"/>
      <w:divBdr>
        <w:top w:val="none" w:sz="0" w:space="0" w:color="auto"/>
        <w:left w:val="none" w:sz="0" w:space="0" w:color="auto"/>
        <w:bottom w:val="none" w:sz="0" w:space="0" w:color="auto"/>
        <w:right w:val="none" w:sz="0" w:space="0" w:color="auto"/>
      </w:divBdr>
    </w:div>
    <w:div w:id="855382390">
      <w:bodyDiv w:val="1"/>
      <w:marLeft w:val="0"/>
      <w:marRight w:val="0"/>
      <w:marTop w:val="0"/>
      <w:marBottom w:val="0"/>
      <w:divBdr>
        <w:top w:val="none" w:sz="0" w:space="0" w:color="auto"/>
        <w:left w:val="none" w:sz="0" w:space="0" w:color="auto"/>
        <w:bottom w:val="none" w:sz="0" w:space="0" w:color="auto"/>
        <w:right w:val="none" w:sz="0" w:space="0" w:color="auto"/>
      </w:divBdr>
    </w:div>
    <w:div w:id="877662287">
      <w:bodyDiv w:val="1"/>
      <w:marLeft w:val="0"/>
      <w:marRight w:val="0"/>
      <w:marTop w:val="0"/>
      <w:marBottom w:val="0"/>
      <w:divBdr>
        <w:top w:val="none" w:sz="0" w:space="0" w:color="auto"/>
        <w:left w:val="none" w:sz="0" w:space="0" w:color="auto"/>
        <w:bottom w:val="none" w:sz="0" w:space="0" w:color="auto"/>
        <w:right w:val="none" w:sz="0" w:space="0" w:color="auto"/>
      </w:divBdr>
    </w:div>
    <w:div w:id="886063895">
      <w:bodyDiv w:val="1"/>
      <w:marLeft w:val="0"/>
      <w:marRight w:val="0"/>
      <w:marTop w:val="0"/>
      <w:marBottom w:val="0"/>
      <w:divBdr>
        <w:top w:val="none" w:sz="0" w:space="0" w:color="auto"/>
        <w:left w:val="none" w:sz="0" w:space="0" w:color="auto"/>
        <w:bottom w:val="none" w:sz="0" w:space="0" w:color="auto"/>
        <w:right w:val="none" w:sz="0" w:space="0" w:color="auto"/>
      </w:divBdr>
    </w:div>
    <w:div w:id="944003073">
      <w:bodyDiv w:val="1"/>
      <w:marLeft w:val="0"/>
      <w:marRight w:val="0"/>
      <w:marTop w:val="0"/>
      <w:marBottom w:val="0"/>
      <w:divBdr>
        <w:top w:val="none" w:sz="0" w:space="0" w:color="auto"/>
        <w:left w:val="none" w:sz="0" w:space="0" w:color="auto"/>
        <w:bottom w:val="none" w:sz="0" w:space="0" w:color="auto"/>
        <w:right w:val="none" w:sz="0" w:space="0" w:color="auto"/>
      </w:divBdr>
    </w:div>
    <w:div w:id="1064838944">
      <w:bodyDiv w:val="1"/>
      <w:marLeft w:val="0"/>
      <w:marRight w:val="0"/>
      <w:marTop w:val="0"/>
      <w:marBottom w:val="0"/>
      <w:divBdr>
        <w:top w:val="none" w:sz="0" w:space="0" w:color="auto"/>
        <w:left w:val="none" w:sz="0" w:space="0" w:color="auto"/>
        <w:bottom w:val="none" w:sz="0" w:space="0" w:color="auto"/>
        <w:right w:val="none" w:sz="0" w:space="0" w:color="auto"/>
      </w:divBdr>
    </w:div>
    <w:div w:id="1129667390">
      <w:bodyDiv w:val="1"/>
      <w:marLeft w:val="0"/>
      <w:marRight w:val="0"/>
      <w:marTop w:val="0"/>
      <w:marBottom w:val="0"/>
      <w:divBdr>
        <w:top w:val="none" w:sz="0" w:space="0" w:color="auto"/>
        <w:left w:val="none" w:sz="0" w:space="0" w:color="auto"/>
        <w:bottom w:val="none" w:sz="0" w:space="0" w:color="auto"/>
        <w:right w:val="none" w:sz="0" w:space="0" w:color="auto"/>
      </w:divBdr>
    </w:div>
    <w:div w:id="1157107836">
      <w:bodyDiv w:val="1"/>
      <w:marLeft w:val="0"/>
      <w:marRight w:val="0"/>
      <w:marTop w:val="0"/>
      <w:marBottom w:val="0"/>
      <w:divBdr>
        <w:top w:val="none" w:sz="0" w:space="0" w:color="auto"/>
        <w:left w:val="none" w:sz="0" w:space="0" w:color="auto"/>
        <w:bottom w:val="none" w:sz="0" w:space="0" w:color="auto"/>
        <w:right w:val="none" w:sz="0" w:space="0" w:color="auto"/>
      </w:divBdr>
      <w:divsChild>
        <w:div w:id="1546672046">
          <w:marLeft w:val="0"/>
          <w:marRight w:val="0"/>
          <w:marTop w:val="0"/>
          <w:marBottom w:val="0"/>
          <w:divBdr>
            <w:top w:val="none" w:sz="0" w:space="0" w:color="auto"/>
            <w:left w:val="none" w:sz="0" w:space="0" w:color="auto"/>
            <w:bottom w:val="none" w:sz="0" w:space="0" w:color="auto"/>
            <w:right w:val="none" w:sz="0" w:space="0" w:color="auto"/>
          </w:divBdr>
          <w:divsChild>
            <w:div w:id="116804686">
              <w:marLeft w:val="0"/>
              <w:marRight w:val="0"/>
              <w:marTop w:val="0"/>
              <w:marBottom w:val="0"/>
              <w:divBdr>
                <w:top w:val="none" w:sz="0" w:space="0" w:color="auto"/>
                <w:left w:val="none" w:sz="0" w:space="0" w:color="auto"/>
                <w:bottom w:val="none" w:sz="0" w:space="0" w:color="auto"/>
                <w:right w:val="none" w:sz="0" w:space="0" w:color="auto"/>
              </w:divBdr>
              <w:divsChild>
                <w:div w:id="1298342771">
                  <w:marLeft w:val="0"/>
                  <w:marRight w:val="0"/>
                  <w:marTop w:val="0"/>
                  <w:marBottom w:val="0"/>
                  <w:divBdr>
                    <w:top w:val="none" w:sz="0" w:space="0" w:color="auto"/>
                    <w:left w:val="none" w:sz="0" w:space="0" w:color="auto"/>
                    <w:bottom w:val="none" w:sz="0" w:space="0" w:color="auto"/>
                    <w:right w:val="none" w:sz="0" w:space="0" w:color="auto"/>
                  </w:divBdr>
                  <w:divsChild>
                    <w:div w:id="85361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945269">
      <w:bodyDiv w:val="1"/>
      <w:marLeft w:val="0"/>
      <w:marRight w:val="0"/>
      <w:marTop w:val="0"/>
      <w:marBottom w:val="0"/>
      <w:divBdr>
        <w:top w:val="none" w:sz="0" w:space="0" w:color="auto"/>
        <w:left w:val="none" w:sz="0" w:space="0" w:color="auto"/>
        <w:bottom w:val="none" w:sz="0" w:space="0" w:color="auto"/>
        <w:right w:val="none" w:sz="0" w:space="0" w:color="auto"/>
      </w:divBdr>
    </w:div>
    <w:div w:id="1363047789">
      <w:bodyDiv w:val="1"/>
      <w:marLeft w:val="0"/>
      <w:marRight w:val="0"/>
      <w:marTop w:val="0"/>
      <w:marBottom w:val="0"/>
      <w:divBdr>
        <w:top w:val="none" w:sz="0" w:space="0" w:color="auto"/>
        <w:left w:val="none" w:sz="0" w:space="0" w:color="auto"/>
        <w:bottom w:val="none" w:sz="0" w:space="0" w:color="auto"/>
        <w:right w:val="none" w:sz="0" w:space="0" w:color="auto"/>
      </w:divBdr>
    </w:div>
    <w:div w:id="1404331882">
      <w:bodyDiv w:val="1"/>
      <w:marLeft w:val="0"/>
      <w:marRight w:val="0"/>
      <w:marTop w:val="0"/>
      <w:marBottom w:val="0"/>
      <w:divBdr>
        <w:top w:val="none" w:sz="0" w:space="0" w:color="auto"/>
        <w:left w:val="none" w:sz="0" w:space="0" w:color="auto"/>
        <w:bottom w:val="none" w:sz="0" w:space="0" w:color="auto"/>
        <w:right w:val="none" w:sz="0" w:space="0" w:color="auto"/>
      </w:divBdr>
    </w:div>
    <w:div w:id="1416822974">
      <w:bodyDiv w:val="1"/>
      <w:marLeft w:val="0"/>
      <w:marRight w:val="0"/>
      <w:marTop w:val="0"/>
      <w:marBottom w:val="0"/>
      <w:divBdr>
        <w:top w:val="none" w:sz="0" w:space="0" w:color="auto"/>
        <w:left w:val="none" w:sz="0" w:space="0" w:color="auto"/>
        <w:bottom w:val="none" w:sz="0" w:space="0" w:color="auto"/>
        <w:right w:val="none" w:sz="0" w:space="0" w:color="auto"/>
      </w:divBdr>
    </w:div>
    <w:div w:id="1459641904">
      <w:bodyDiv w:val="1"/>
      <w:marLeft w:val="0"/>
      <w:marRight w:val="0"/>
      <w:marTop w:val="0"/>
      <w:marBottom w:val="0"/>
      <w:divBdr>
        <w:top w:val="none" w:sz="0" w:space="0" w:color="auto"/>
        <w:left w:val="none" w:sz="0" w:space="0" w:color="auto"/>
        <w:bottom w:val="none" w:sz="0" w:space="0" w:color="auto"/>
        <w:right w:val="none" w:sz="0" w:space="0" w:color="auto"/>
      </w:divBdr>
    </w:div>
    <w:div w:id="1473984373">
      <w:bodyDiv w:val="1"/>
      <w:marLeft w:val="0"/>
      <w:marRight w:val="0"/>
      <w:marTop w:val="0"/>
      <w:marBottom w:val="0"/>
      <w:divBdr>
        <w:top w:val="none" w:sz="0" w:space="0" w:color="auto"/>
        <w:left w:val="none" w:sz="0" w:space="0" w:color="auto"/>
        <w:bottom w:val="none" w:sz="0" w:space="0" w:color="auto"/>
        <w:right w:val="none" w:sz="0" w:space="0" w:color="auto"/>
      </w:divBdr>
    </w:div>
    <w:div w:id="1585528962">
      <w:bodyDiv w:val="1"/>
      <w:marLeft w:val="0"/>
      <w:marRight w:val="0"/>
      <w:marTop w:val="0"/>
      <w:marBottom w:val="0"/>
      <w:divBdr>
        <w:top w:val="none" w:sz="0" w:space="0" w:color="auto"/>
        <w:left w:val="none" w:sz="0" w:space="0" w:color="auto"/>
        <w:bottom w:val="none" w:sz="0" w:space="0" w:color="auto"/>
        <w:right w:val="none" w:sz="0" w:space="0" w:color="auto"/>
      </w:divBdr>
    </w:div>
    <w:div w:id="1656757559">
      <w:bodyDiv w:val="1"/>
      <w:marLeft w:val="0"/>
      <w:marRight w:val="0"/>
      <w:marTop w:val="0"/>
      <w:marBottom w:val="0"/>
      <w:divBdr>
        <w:top w:val="none" w:sz="0" w:space="0" w:color="auto"/>
        <w:left w:val="none" w:sz="0" w:space="0" w:color="auto"/>
        <w:bottom w:val="none" w:sz="0" w:space="0" w:color="auto"/>
        <w:right w:val="none" w:sz="0" w:space="0" w:color="auto"/>
      </w:divBdr>
    </w:div>
    <w:div w:id="1727871402">
      <w:bodyDiv w:val="1"/>
      <w:marLeft w:val="0"/>
      <w:marRight w:val="0"/>
      <w:marTop w:val="0"/>
      <w:marBottom w:val="0"/>
      <w:divBdr>
        <w:top w:val="none" w:sz="0" w:space="0" w:color="auto"/>
        <w:left w:val="none" w:sz="0" w:space="0" w:color="auto"/>
        <w:bottom w:val="none" w:sz="0" w:space="0" w:color="auto"/>
        <w:right w:val="none" w:sz="0" w:space="0" w:color="auto"/>
      </w:divBdr>
    </w:div>
    <w:div w:id="1794908491">
      <w:bodyDiv w:val="1"/>
      <w:marLeft w:val="0"/>
      <w:marRight w:val="0"/>
      <w:marTop w:val="0"/>
      <w:marBottom w:val="0"/>
      <w:divBdr>
        <w:top w:val="none" w:sz="0" w:space="0" w:color="auto"/>
        <w:left w:val="none" w:sz="0" w:space="0" w:color="auto"/>
        <w:bottom w:val="none" w:sz="0" w:space="0" w:color="auto"/>
        <w:right w:val="none" w:sz="0" w:space="0" w:color="auto"/>
      </w:divBdr>
    </w:div>
    <w:div w:id="1909731904">
      <w:bodyDiv w:val="1"/>
      <w:marLeft w:val="0"/>
      <w:marRight w:val="0"/>
      <w:marTop w:val="0"/>
      <w:marBottom w:val="0"/>
      <w:divBdr>
        <w:top w:val="none" w:sz="0" w:space="0" w:color="auto"/>
        <w:left w:val="none" w:sz="0" w:space="0" w:color="auto"/>
        <w:bottom w:val="none" w:sz="0" w:space="0" w:color="auto"/>
        <w:right w:val="none" w:sz="0" w:space="0" w:color="auto"/>
      </w:divBdr>
    </w:div>
    <w:div w:id="1914243335">
      <w:bodyDiv w:val="1"/>
      <w:marLeft w:val="0"/>
      <w:marRight w:val="0"/>
      <w:marTop w:val="0"/>
      <w:marBottom w:val="0"/>
      <w:divBdr>
        <w:top w:val="none" w:sz="0" w:space="0" w:color="auto"/>
        <w:left w:val="none" w:sz="0" w:space="0" w:color="auto"/>
        <w:bottom w:val="none" w:sz="0" w:space="0" w:color="auto"/>
        <w:right w:val="none" w:sz="0" w:space="0" w:color="auto"/>
      </w:divBdr>
    </w:div>
    <w:div w:id="2036270458">
      <w:bodyDiv w:val="1"/>
      <w:marLeft w:val="0"/>
      <w:marRight w:val="0"/>
      <w:marTop w:val="0"/>
      <w:marBottom w:val="0"/>
      <w:divBdr>
        <w:top w:val="none" w:sz="0" w:space="0" w:color="auto"/>
        <w:left w:val="none" w:sz="0" w:space="0" w:color="auto"/>
        <w:bottom w:val="none" w:sz="0" w:space="0" w:color="auto"/>
        <w:right w:val="none" w:sz="0" w:space="0" w:color="auto"/>
      </w:divBdr>
      <w:divsChild>
        <w:div w:id="2059893448">
          <w:marLeft w:val="0"/>
          <w:marRight w:val="0"/>
          <w:marTop w:val="0"/>
          <w:marBottom w:val="0"/>
          <w:divBdr>
            <w:top w:val="none" w:sz="0" w:space="0" w:color="auto"/>
            <w:left w:val="none" w:sz="0" w:space="0" w:color="auto"/>
            <w:bottom w:val="none" w:sz="0" w:space="0" w:color="auto"/>
            <w:right w:val="none" w:sz="0" w:space="0" w:color="auto"/>
          </w:divBdr>
          <w:divsChild>
            <w:div w:id="226576512">
              <w:marLeft w:val="0"/>
              <w:marRight w:val="0"/>
              <w:marTop w:val="0"/>
              <w:marBottom w:val="0"/>
              <w:divBdr>
                <w:top w:val="none" w:sz="0" w:space="0" w:color="auto"/>
                <w:left w:val="none" w:sz="0" w:space="0" w:color="auto"/>
                <w:bottom w:val="none" w:sz="0" w:space="0" w:color="auto"/>
                <w:right w:val="none" w:sz="0" w:space="0" w:color="auto"/>
              </w:divBdr>
              <w:divsChild>
                <w:div w:id="1185710022">
                  <w:marLeft w:val="0"/>
                  <w:marRight w:val="0"/>
                  <w:marTop w:val="0"/>
                  <w:marBottom w:val="0"/>
                  <w:divBdr>
                    <w:top w:val="none" w:sz="0" w:space="0" w:color="auto"/>
                    <w:left w:val="none" w:sz="0" w:space="0" w:color="auto"/>
                    <w:bottom w:val="none" w:sz="0" w:space="0" w:color="auto"/>
                    <w:right w:val="none" w:sz="0" w:space="0" w:color="auto"/>
                  </w:divBdr>
                  <w:divsChild>
                    <w:div w:id="107350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925872">
      <w:bodyDiv w:val="1"/>
      <w:marLeft w:val="0"/>
      <w:marRight w:val="0"/>
      <w:marTop w:val="0"/>
      <w:marBottom w:val="0"/>
      <w:divBdr>
        <w:top w:val="none" w:sz="0" w:space="0" w:color="auto"/>
        <w:left w:val="none" w:sz="0" w:space="0" w:color="auto"/>
        <w:bottom w:val="none" w:sz="0" w:space="0" w:color="auto"/>
        <w:right w:val="none" w:sz="0" w:space="0" w:color="auto"/>
      </w:divBdr>
    </w:div>
    <w:div w:id="2077971738">
      <w:bodyDiv w:val="1"/>
      <w:marLeft w:val="0"/>
      <w:marRight w:val="0"/>
      <w:marTop w:val="0"/>
      <w:marBottom w:val="0"/>
      <w:divBdr>
        <w:top w:val="none" w:sz="0" w:space="0" w:color="auto"/>
        <w:left w:val="none" w:sz="0" w:space="0" w:color="auto"/>
        <w:bottom w:val="none" w:sz="0" w:space="0" w:color="auto"/>
        <w:right w:val="none" w:sz="0" w:space="0" w:color="auto"/>
      </w:divBdr>
    </w:div>
    <w:div w:id="2080859167">
      <w:bodyDiv w:val="1"/>
      <w:marLeft w:val="0"/>
      <w:marRight w:val="0"/>
      <w:marTop w:val="0"/>
      <w:marBottom w:val="0"/>
      <w:divBdr>
        <w:top w:val="none" w:sz="0" w:space="0" w:color="auto"/>
        <w:left w:val="none" w:sz="0" w:space="0" w:color="auto"/>
        <w:bottom w:val="none" w:sz="0" w:space="0" w:color="auto"/>
        <w:right w:val="none" w:sz="0" w:space="0" w:color="auto"/>
      </w:divBdr>
    </w:div>
    <w:div w:id="209547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hyperlink" Target="https://doi.org/10.1128/CMR.12.4.564" TargetMode="External"/><Relationship Id="rId26" Type="http://schemas.openxmlformats.org/officeDocument/2006/relationships/hyperlink" Target="https://doi.org/10.9734/sajrm/2020/v7i430176" TargetMode="External"/><Relationship Id="rId39" Type="http://schemas.openxmlformats.org/officeDocument/2006/relationships/hyperlink" Target="https://doi.org/10.1016/S0963-9969(00)00068-5" TargetMode="External"/><Relationship Id="rId21" Type="http://schemas.openxmlformats.org/officeDocument/2006/relationships/hyperlink" Target="https://doi.org/10.56557/ajmab/2026/v11i210873" TargetMode="External"/><Relationship Id="rId34" Type="http://schemas.openxmlformats.org/officeDocument/2006/relationships/hyperlink" Target="https://doi.org/10.4238/2014.September.26.10"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hyperlink" Target="https://en.wikipedia.org/wiki/Theobroma_cacao" TargetMode="External"/><Relationship Id="rId2" Type="http://schemas.openxmlformats.org/officeDocument/2006/relationships/styles" Target="styles.xml"/><Relationship Id="rId16" Type="http://schemas.openxmlformats.org/officeDocument/2006/relationships/hyperlink" Target="https://doi.org/10.1371/journal.pone.0252029" TargetMode="External"/><Relationship Id="rId29" Type="http://schemas.openxmlformats.org/officeDocument/2006/relationships/hyperlink" Target="https://doi.org/10.17509/ijost.v4i1.1580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https://doi.org/10.1007/978-94-009-5570-7" TargetMode="External"/><Relationship Id="rId32" Type="http://schemas.openxmlformats.org/officeDocument/2006/relationships/hyperlink" Target="https://doi.org/10.1080/10408398.2012.657921" TargetMode="External"/><Relationship Id="rId37" Type="http://schemas.openxmlformats.org/officeDocument/2006/relationships/hyperlink" Target="https://doi.org/10.1002/0470011149" TargetMode="External"/><Relationship Id="rId40" Type="http://schemas.openxmlformats.org/officeDocument/2006/relationships/hyperlink" Target="https://doi.org/10.1016/j.jfca.2021.104115" TargetMode="External"/><Relationship Id="rId45"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doi.org/10.1155/2013/289392" TargetMode="External"/><Relationship Id="rId23" Type="http://schemas.openxmlformats.org/officeDocument/2006/relationships/hyperlink" Target="https://doi.org/10.3390/nu15183927" TargetMode="External"/><Relationship Id="rId28" Type="http://schemas.openxmlformats.org/officeDocument/2006/relationships/hyperlink" Target="https://doi.org/10.1080/10408398.2011.641041" TargetMode="External"/><Relationship Id="rId36" Type="http://schemas.openxmlformats.org/officeDocument/2006/relationships/hyperlink" Target="https://agris.fao.org/search/en/providers/122535/records/65dde2f50f3e94b9e5c6cf26" TargetMode="External"/><Relationship Id="rId10" Type="http://schemas.openxmlformats.org/officeDocument/2006/relationships/hyperlink" Target="https://en.wikipedia.org/wiki/Theobroma_cacao" TargetMode="External"/><Relationship Id="rId19" Type="http://schemas.openxmlformats.org/officeDocument/2006/relationships/hyperlink" Target="https://doi.org/10.1016/j.ijantimicag.2005.09.002" TargetMode="External"/><Relationship Id="rId31" Type="http://schemas.openxmlformats.org/officeDocument/2006/relationships/hyperlink" Target="https://doi.org/10.1080/10408398.2019.1619160"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en.wikipedia.org/wiki/Theobroma_cacao" TargetMode="External"/><Relationship Id="rId14" Type="http://schemas.openxmlformats.org/officeDocument/2006/relationships/image" Target="media/image3.png"/><Relationship Id="rId22" Type="http://schemas.openxmlformats.org/officeDocument/2006/relationships/hyperlink" Target="https://doi.org/10.1016/j.foodchem.2025.145001" TargetMode="External"/><Relationship Id="rId27" Type="http://schemas.openxmlformats.org/officeDocument/2006/relationships/hyperlink" Target="https://doi.org/10.15562/jdmfs.v10i4.1884" TargetMode="External"/><Relationship Id="rId30" Type="http://schemas.openxmlformats.org/officeDocument/2006/relationships/hyperlink" Target="https://doi.org/10.3923/pjn.2012.672.677" TargetMode="External"/><Relationship Id="rId35" Type="http://schemas.openxmlformats.org/officeDocument/2006/relationships/hyperlink" Target="https://doi.org/10.1016/j.fbio.2024.105434"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hyperlink" Target="https://en.wikipedia.org/wiki/Theobroma_cacao" TargetMode="External"/><Relationship Id="rId3"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clsi.org/media/1928/m07ed11_sample.pdf" TargetMode="External"/><Relationship Id="rId25" Type="http://schemas.openxmlformats.org/officeDocument/2006/relationships/hyperlink" Target="https://doi.org/10.1186/1752-153X-5-53" TargetMode="External"/><Relationship Id="rId33" Type="http://schemas.openxmlformats.org/officeDocument/2006/relationships/hyperlink" Target="https://doi.org/10.1016/j.phrs.2009.08.008" TargetMode="External"/><Relationship Id="rId38" Type="http://schemas.openxmlformats.org/officeDocument/2006/relationships/hyperlink" Target="https://www1.lib.kanazawa-u.ac.jp/recordID/catalog.bib/BA07137029" TargetMode="External"/><Relationship Id="rId46" Type="http://schemas.openxmlformats.org/officeDocument/2006/relationships/footer" Target="footer3.xml"/><Relationship Id="rId20" Type="http://schemas.openxmlformats.org/officeDocument/2006/relationships/hyperlink" Target="https://doi.org/10.1016/j.copbio.2011.08.007" TargetMode="External"/><Relationship Id="rId4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16</Pages>
  <Words>5424</Words>
  <Characters>30921</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36273</CharactersWithSpaces>
  <SharedDoc>false</SharedDoc>
  <HLinks>
    <vt:vector size="24" baseType="variant">
      <vt:variant>
        <vt:i4>589844</vt:i4>
      </vt:variant>
      <vt:variant>
        <vt:i4>9</vt:i4>
      </vt:variant>
      <vt:variant>
        <vt:i4>0</vt:i4>
      </vt:variant>
      <vt:variant>
        <vt:i4>5</vt:i4>
      </vt:variant>
      <vt:variant>
        <vt:lpwstr>https://doi.org/10.3389/fpsyt.2017.00080</vt:lpwstr>
      </vt:variant>
      <vt:variant>
        <vt:lpwstr/>
      </vt:variant>
      <vt:variant>
        <vt:i4>7209073</vt:i4>
      </vt:variant>
      <vt:variant>
        <vt:i4>6</vt:i4>
      </vt:variant>
      <vt:variant>
        <vt:i4>0</vt:i4>
      </vt:variant>
      <vt:variant>
        <vt:i4>5</vt:i4>
      </vt:variant>
      <vt:variant>
        <vt:lpwstr>https://doi.org/10.3233/JAD-2010-091315</vt:lpwstr>
      </vt:variant>
      <vt:variant>
        <vt:lpwstr/>
      </vt:variant>
      <vt:variant>
        <vt:i4>851977</vt:i4>
      </vt:variant>
      <vt:variant>
        <vt:i4>3</vt:i4>
      </vt:variant>
      <vt:variant>
        <vt:i4>0</vt:i4>
      </vt:variant>
      <vt:variant>
        <vt:i4>5</vt:i4>
      </vt:variant>
      <vt:variant>
        <vt:lpwstr>https://doi.org/10.1016/S1360-1385(01)02055-6</vt:lpwstr>
      </vt:variant>
      <vt:variant>
        <vt:lpwstr/>
      </vt:variant>
      <vt:variant>
        <vt:i4>6946825</vt:i4>
      </vt:variant>
      <vt:variant>
        <vt:i4>0</vt:i4>
      </vt:variant>
      <vt:variant>
        <vt:i4>0</vt:i4>
      </vt:variant>
      <vt:variant>
        <vt:i4>5</vt:i4>
      </vt:variant>
      <vt:variant>
        <vt:lpwstr>https://en.wikipedia.org/wiki/Theobroma_cacao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Ezekiel</dc:creator>
  <cp:keywords/>
  <dc:description/>
  <cp:lastModifiedBy>SDI CPU 1117</cp:lastModifiedBy>
  <cp:revision>77</cp:revision>
  <dcterms:created xsi:type="dcterms:W3CDTF">2026-09-16T08:05:00Z</dcterms:created>
  <dcterms:modified xsi:type="dcterms:W3CDTF">2026-09-25T04:01:00Z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be627073-78a8-4170-aadd-ba380f871942</vt:lpwstr>
  </property>
</Properties>
</file>