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7.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8.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harts/chart11.xml" ContentType="application/vnd.openxmlformats-officedocument.drawingml.chart+xml"/>
  <Override PartName="/word/charts/chart20.xml" ContentType="application/vnd.openxmlformats-officedocument.drawingml.chart+xml"/>
  <Override PartName="/word/charts/chart30.xml" ContentType="application/vnd.openxmlformats-officedocument.drawingml.chart+xml"/>
  <Override PartName="/word/charts/chart40.xml" ContentType="application/vnd.openxmlformats-officedocument.drawingml.chart+xml"/>
  <Override PartName="/word/charts/chart50.xml" ContentType="application/vnd.openxmlformats-officedocument.drawingml.chart+xml"/>
  <Override PartName="/word/charts/chart60.xml" ContentType="application/vnd.openxmlformats-officedocument.drawingml.chart+xml"/>
  <Override PartName="/word/charts/chart70.xml" ContentType="application/vnd.openxmlformats-officedocument.drawingml.chart+xml"/>
  <Override PartName="/word/charts/chart80.xml" ContentType="application/vnd.openxmlformats-officedocument.drawingml.chart+xml"/>
  <Override PartName="/word/charts/chart90.xml" ContentType="application/vnd.openxmlformats-officedocument.drawingml.chart+xml"/>
  <Override PartName="/word/charts/chart100.xml" ContentType="application/vnd.openxmlformats-officedocument.drawingml.chart+xml"/>
  <Override PartName="/word/theme/themeOverride10.xml" ContentType="application/vnd.openxmlformats-officedocument.themeOverride+xml"/>
  <Override PartName="/word/charts/colors11.xml" ContentType="application/vnd.ms-office.chartcolorstyle+xml"/>
  <Override PartName="/word/charts/style11.xml" ContentType="application/vnd.ms-office.chartstyle+xml"/>
  <Override PartName="/word/theme/themeOverride20.xml" ContentType="application/vnd.openxmlformats-officedocument.themeOverride+xml"/>
  <Override PartName="/word/charts/colors20.xml" ContentType="application/vnd.ms-office.chartcolorstyle+xml"/>
  <Override PartName="/word/charts/style20.xml" ContentType="application/vnd.ms-office.chartstyle+xml"/>
  <Override PartName="/word/theme/themeOverride30.xml" ContentType="application/vnd.openxmlformats-officedocument.themeOverride+xml"/>
  <Override PartName="/word/charts/colors30.xml" ContentType="application/vnd.ms-office.chartcolorstyle+xml"/>
  <Override PartName="/word/charts/style30.xml" ContentType="application/vnd.ms-office.chartstyle+xml"/>
  <Override PartName="/word/theme/themeOverride40.xml" ContentType="application/vnd.openxmlformats-officedocument.themeOverride+xml"/>
  <Override PartName="/word/charts/colors40.xml" ContentType="application/vnd.ms-office.chartcolorstyle+xml"/>
  <Override PartName="/word/charts/style40.xml" ContentType="application/vnd.ms-office.chartstyle+xml"/>
  <Override PartName="/word/theme/themeOverride50.xml" ContentType="application/vnd.openxmlformats-officedocument.themeOverride+xml"/>
  <Override PartName="/word/charts/colors50.xml" ContentType="application/vnd.ms-office.chartcolorstyle+xml"/>
  <Override PartName="/word/charts/style50.xml" ContentType="application/vnd.ms-office.chartstyle+xml"/>
  <Override PartName="/word/theme/themeOverride60.xml" ContentType="application/vnd.openxmlformats-officedocument.themeOverride+xml"/>
  <Override PartName="/word/charts/colors60.xml" ContentType="application/vnd.ms-office.chartcolorstyle+xml"/>
  <Override PartName="/word/charts/style60.xml" ContentType="application/vnd.ms-office.chartstyle+xml"/>
  <Override PartName="/word/charts/colors70.xml" ContentType="application/vnd.ms-office.chartcolorstyle+xml"/>
  <Override PartName="/word/charts/style70.xml" ContentType="application/vnd.ms-office.chartstyle+xml"/>
  <Override PartName="/word/charts/colors80.xml" ContentType="application/vnd.ms-office.chartcolorstyle+xml"/>
  <Override PartName="/word/charts/style80.xml" ContentType="application/vnd.ms-office.chartstyle+xml"/>
  <Override PartName="/word/theme/themeOverride70.xml" ContentType="application/vnd.openxmlformats-officedocument.themeOverride+xml"/>
  <Override PartName="/word/charts/colors90.xml" ContentType="application/vnd.ms-office.chartcolorstyle+xml"/>
  <Override PartName="/word/charts/style90.xml" ContentType="application/vnd.ms-office.chartstyle+xml"/>
  <Override PartName="/word/theme/themeOverride80.xml" ContentType="application/vnd.openxmlformats-officedocument.themeOverride+xml"/>
  <Override PartName="/word/charts/colors100.xml" ContentType="application/vnd.ms-office.chartcolorstyle+xml"/>
  <Override PartName="/word/charts/style100.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261BB" w14:textId="77777777" w:rsidR="00DD24E0" w:rsidRPr="009A4166" w:rsidRDefault="00DD24E0" w:rsidP="003B429F">
      <w:pPr>
        <w:pStyle w:val="Heading1"/>
        <w:rPr>
          <w:rFonts w:cs="Times New Roman"/>
        </w:rPr>
      </w:pPr>
    </w:p>
    <w:p w14:paraId="1EBEA641" w14:textId="77777777" w:rsidR="00DD24E0" w:rsidRPr="009A4166" w:rsidRDefault="00DD24E0" w:rsidP="003B429F">
      <w:pPr>
        <w:pStyle w:val="Heading1"/>
        <w:rPr>
          <w:rFonts w:cs="Times New Roman"/>
        </w:rPr>
      </w:pPr>
    </w:p>
    <w:p w14:paraId="23D17062" w14:textId="77777777" w:rsidR="00414D61" w:rsidRPr="00F2344B" w:rsidRDefault="00414D61" w:rsidP="00414D61">
      <w:pPr>
        <w:spacing w:after="0" w:line="360" w:lineRule="auto"/>
        <w:jc w:val="both"/>
        <w:rPr>
          <w:rFonts w:ascii="Times New Roman" w:hAnsi="Times New Roman" w:cs="Times New Roman"/>
          <w:b/>
          <w:bCs/>
          <w:sz w:val="24"/>
          <w:szCs w:val="24"/>
          <w:lang w:val="en-GB"/>
        </w:rPr>
      </w:pPr>
      <w:r w:rsidRPr="00F2344B">
        <w:rPr>
          <w:rFonts w:ascii="Times New Roman" w:hAnsi="Times New Roman" w:cs="Times New Roman"/>
          <w:b/>
          <w:bCs/>
          <w:sz w:val="24"/>
          <w:szCs w:val="24"/>
          <w:lang w:val="en-GB"/>
        </w:rPr>
        <w:t>Length-weight relationship and condition factor of the most abundant species in Sologo Dam Lake (Northern Ivory Coast) prior to its rehabilitation</w:t>
      </w:r>
    </w:p>
    <w:p w14:paraId="21AE31C7" w14:textId="1003AF59" w:rsidR="0028706B" w:rsidRPr="00F2344B" w:rsidRDefault="0028706B" w:rsidP="003B429F">
      <w:pPr>
        <w:pStyle w:val="Heading1"/>
        <w:rPr>
          <w:rFonts w:cs="Times New Roman"/>
          <w:lang w:val="en-US"/>
        </w:rPr>
      </w:pPr>
      <w:bookmarkStart w:id="0" w:name="_Toc184793722"/>
      <w:r w:rsidRPr="00F2344B">
        <w:rPr>
          <w:rFonts w:cs="Times New Roman"/>
          <w:lang w:val="en-US"/>
        </w:rPr>
        <w:t>A</w:t>
      </w:r>
      <w:bookmarkEnd w:id="0"/>
      <w:r w:rsidR="0096432C" w:rsidRPr="00F2344B">
        <w:rPr>
          <w:rFonts w:cs="Times New Roman"/>
          <w:lang w:val="en-US"/>
        </w:rPr>
        <w:t>bstract</w:t>
      </w:r>
    </w:p>
    <w:p w14:paraId="4406266D" w14:textId="77777777" w:rsidR="00074DC3" w:rsidRPr="00F2344B" w:rsidRDefault="00074DC3" w:rsidP="00A17ACD">
      <w:pPr>
        <w:spacing w:line="360" w:lineRule="auto"/>
        <w:ind w:firstLine="567"/>
        <w:jc w:val="both"/>
        <w:rPr>
          <w:rFonts w:ascii="Times New Roman" w:hAnsi="Times New Roman" w:cs="Times New Roman"/>
          <w:sz w:val="24"/>
          <w:szCs w:val="24"/>
          <w:lang w:val="en-US"/>
        </w:rPr>
      </w:pPr>
    </w:p>
    <w:p w14:paraId="06E187AE" w14:textId="77777777" w:rsidR="00061A3E" w:rsidRDefault="00061A3E" w:rsidP="00061A3E">
      <w:pPr>
        <w:spacing w:line="360" w:lineRule="auto"/>
        <w:jc w:val="both"/>
      </w:pPr>
      <w:r w:rsidRPr="00665DEF">
        <w:t xml:space="preserve">Reservoir lakes in northern Côte d’Ivoire support important fisheries that contribute to local livelihoods and food supply. However, increasing fishing pressure and changes in fish assemblage structure highlight the need for reliable biological information to support sustainable management. Baseline data on the size structure, length–weight relationships, and condition of dominant fish species in Sologo Dam Lake are particularly important before rehabilitation activities are undertaken. </w:t>
      </w:r>
      <w:r>
        <w:t xml:space="preserve">This study assessed the size structure, length-weight relationships, and condition factors of the most abundant fish species in Sologo Dam Lake, northern Côte d’Ivoire, before rehabilitation. Fish were sampled monthly from artisanal fishers’ catches from January to December 2022, identified, measured for standard length, and weighed. Five dominant species were examined: </w:t>
      </w:r>
      <w:r>
        <w:rPr>
          <w:rStyle w:val="Emphasis"/>
        </w:rPr>
        <w:t>Chrysichthys nigrodigitatus</w:t>
      </w:r>
      <w:r>
        <w:t xml:space="preserve">, </w:t>
      </w:r>
      <w:r>
        <w:rPr>
          <w:rStyle w:val="Emphasis"/>
        </w:rPr>
        <w:t>Coptodon zillii</w:t>
      </w:r>
      <w:r>
        <w:t xml:space="preserve">, </w:t>
      </w:r>
      <w:r>
        <w:rPr>
          <w:rStyle w:val="Emphasis"/>
        </w:rPr>
        <w:t>Oreochromis niloticus</w:t>
      </w:r>
      <w:r>
        <w:t xml:space="preserve">, </w:t>
      </w:r>
      <w:r>
        <w:rPr>
          <w:rStyle w:val="Emphasis"/>
        </w:rPr>
        <w:t>Sarotherodon galilaeus</w:t>
      </w:r>
      <w:r>
        <w:t xml:space="preserve">, and </w:t>
      </w:r>
      <w:r>
        <w:rPr>
          <w:rStyle w:val="Emphasis"/>
        </w:rPr>
        <w:t>Hemichromis bimaculatus</w:t>
      </w:r>
      <w:r>
        <w:t xml:space="preserve">. Size-frequency distributions were dominated by relatively small individuals, with modal classes of [8.5–10 cm[, [9.25–10.20 cm[, [10.75–13.70 cm[, [8–10.04 cm[, and [7.66–8.52 cm[, respectively. Length-weight analysis showed positive allometric growth in </w:t>
      </w:r>
      <w:r>
        <w:rPr>
          <w:rStyle w:val="Emphasis"/>
        </w:rPr>
        <w:t>C. nigrodigitatus</w:t>
      </w:r>
      <w:r>
        <w:t xml:space="preserve"> (b = 3.37) and </w:t>
      </w:r>
      <w:r>
        <w:rPr>
          <w:rStyle w:val="Emphasis"/>
        </w:rPr>
        <w:t>H. bimaculatus</w:t>
      </w:r>
      <w:r>
        <w:t xml:space="preserve"> (b = 3.18), whereas </w:t>
      </w:r>
      <w:r>
        <w:rPr>
          <w:rStyle w:val="Emphasis"/>
        </w:rPr>
        <w:t>C. zillii</w:t>
      </w:r>
      <w:r>
        <w:t xml:space="preserve"> (b = 2.23), </w:t>
      </w:r>
      <w:r>
        <w:rPr>
          <w:rStyle w:val="Emphasis"/>
        </w:rPr>
        <w:t>O. niloticus</w:t>
      </w:r>
      <w:r>
        <w:t xml:space="preserve"> (b = 2.74), and </w:t>
      </w:r>
      <w:r>
        <w:rPr>
          <w:rStyle w:val="Emphasis"/>
        </w:rPr>
        <w:t>S. galilaeus</w:t>
      </w:r>
      <w:r>
        <w:t xml:space="preserve"> (b = 2.34) exhibited negative allometric growth. Mean condition-factor values were 1.920 ± 0.431, 3.641 ± 0.813, 3.975 ± 0.768, 3.222 ± 0.865, and 3.186 ± 0.530, respectively. These findings characterise the pre-rehabilitation status of the principal fish species and provide baseline information for subsequent assessment of changes in the Sologo reservoir and for fisheries management and conservation planning. The results also establish a quantitative reference point for evaluating biological responses after planned rehabilitation activities. </w:t>
      </w:r>
    </w:p>
    <w:p w14:paraId="651DD014" w14:textId="5B7BB1CE" w:rsidR="00CD7772" w:rsidRPr="00061A3E" w:rsidRDefault="00061A3E" w:rsidP="00061A3E">
      <w:pPr>
        <w:jc w:val="both"/>
        <w:rPr>
          <w:rFonts w:ascii="Times New Roman" w:hAnsi="Times New Roman" w:cs="Times New Roman"/>
          <w:b/>
          <w:bCs/>
          <w:sz w:val="24"/>
          <w:szCs w:val="24"/>
        </w:rPr>
      </w:pPr>
      <w:r w:rsidRPr="00061A3E">
        <w:rPr>
          <w:rFonts w:ascii="Times New Roman" w:hAnsi="Times New Roman" w:cs="Times New Roman"/>
          <w:b/>
          <w:bCs/>
          <w:sz w:val="24"/>
          <w:szCs w:val="24"/>
          <w:lang w:val="en-US"/>
        </w:rPr>
        <w:t>Key words:</w:t>
      </w:r>
      <w:r w:rsidRPr="00061A3E">
        <w:rPr>
          <w:rFonts w:ascii="Times New Roman" w:hAnsi="Times New Roman" w:cs="Times New Roman"/>
          <w:sz w:val="24"/>
          <w:szCs w:val="24"/>
          <w:lang w:val="en-US"/>
        </w:rPr>
        <w:t xml:space="preserve"> </w:t>
      </w:r>
      <w:r>
        <w:t>Fish assemblage; length-weight relationship; condition factor; size structure; allometric growth; freshwater fisheries; reservoir fisheries; Sologo Dam Lake</w:t>
      </w:r>
      <w:r w:rsidRPr="00061A3E">
        <w:rPr>
          <w:rFonts w:ascii="Times New Roman" w:hAnsi="Times New Roman" w:cs="Times New Roman"/>
          <w:b/>
          <w:bCs/>
          <w:sz w:val="24"/>
          <w:szCs w:val="24"/>
        </w:rPr>
        <w:t xml:space="preserve"> </w:t>
      </w:r>
      <w:r w:rsidR="0059541C" w:rsidRPr="00061A3E">
        <w:rPr>
          <w:rFonts w:ascii="Times New Roman" w:hAnsi="Times New Roman" w:cs="Times New Roman"/>
          <w:b/>
          <w:bCs/>
          <w:sz w:val="24"/>
          <w:szCs w:val="24"/>
        </w:rPr>
        <w:t>INTRODUCTION</w:t>
      </w:r>
    </w:p>
    <w:p w14:paraId="571F9802" w14:textId="5DA42EBC" w:rsidR="00CF6A59" w:rsidRPr="00F2344B" w:rsidRDefault="008D3D14" w:rsidP="001F74F5">
      <w:pPr>
        <w:spacing w:after="99" w:line="360" w:lineRule="auto"/>
        <w:ind w:left="-17" w:right="-6"/>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lastRenderedPageBreak/>
        <w:t>Inland waters are of immense importance for certain human activities, particularly domestic, agricultural, fisher</w:t>
      </w:r>
      <w:r>
        <w:rPr>
          <w:rFonts w:ascii="Times New Roman" w:eastAsia="Calibri" w:hAnsi="Times New Roman" w:cs="Times New Roman"/>
          <w:sz w:val="24"/>
          <w:szCs w:val="24"/>
          <w:highlight w:val="yellow"/>
          <w:lang w:val="en-GB"/>
        </w:rPr>
        <w:t>y,</w:t>
      </w:r>
      <w:r>
        <w:rPr>
          <w:rFonts w:ascii="Times New Roman" w:eastAsia="Calibri" w:hAnsi="Times New Roman" w:cs="Times New Roman"/>
          <w:sz w:val="24"/>
          <w:szCs w:val="24"/>
          <w:lang w:val="en-GB"/>
        </w:rPr>
        <w:t xml:space="preserve"> and industrial uses, hence their irreplaceable economic value (Gleick, 1993). Water is therefore </w:t>
      </w:r>
      <w:r>
        <w:rPr>
          <w:rFonts w:ascii="Times New Roman" w:eastAsia="Calibri" w:hAnsi="Times New Roman" w:cs="Times New Roman"/>
          <w:sz w:val="24"/>
          <w:szCs w:val="24"/>
          <w:highlight w:val="yellow"/>
          <w:lang w:val="en-GB"/>
        </w:rPr>
        <w:t>r</w:t>
      </w:r>
      <w:r>
        <w:rPr>
          <w:rFonts w:ascii="Times New Roman" w:eastAsia="Calibri" w:hAnsi="Times New Roman" w:cs="Times New Roman"/>
          <w:sz w:val="24"/>
          <w:szCs w:val="24"/>
          <w:lang w:val="en-GB"/>
        </w:rPr>
        <w:t>e</w:t>
      </w:r>
      <w:r>
        <w:rPr>
          <w:rFonts w:ascii="Times New Roman" w:eastAsia="Calibri" w:hAnsi="Times New Roman" w:cs="Times New Roman"/>
          <w:sz w:val="24"/>
          <w:szCs w:val="24"/>
          <w:highlight w:val="yellow"/>
          <w:lang w:val="en-GB"/>
        </w:rPr>
        <w:t>gard</w:t>
      </w:r>
      <w:r>
        <w:rPr>
          <w:rFonts w:ascii="Times New Roman" w:eastAsia="Calibri" w:hAnsi="Times New Roman" w:cs="Times New Roman"/>
          <w:sz w:val="24"/>
          <w:szCs w:val="24"/>
          <w:lang w:val="en-GB"/>
        </w:rPr>
        <w:t>e</w:t>
      </w:r>
      <w:r>
        <w:rPr>
          <w:rFonts w:ascii="Times New Roman" w:eastAsia="Calibri" w:hAnsi="Times New Roman" w:cs="Times New Roman"/>
          <w:sz w:val="24"/>
          <w:szCs w:val="24"/>
          <w:highlight w:val="yellow"/>
          <w:lang w:val="en-GB"/>
        </w:rPr>
        <w:t>d</w:t>
      </w:r>
      <w:r>
        <w:rPr>
          <w:rFonts w:ascii="Times New Roman" w:eastAsia="Calibri" w:hAnsi="Times New Roman" w:cs="Times New Roman"/>
          <w:sz w:val="24"/>
          <w:szCs w:val="24"/>
          <w:lang w:val="en-GB"/>
        </w:rPr>
        <w:t xml:space="preserve"> as an indispensable element for a country’s development, given its many benefits (Groga, 2012). The reservoir lakes in northern Côte d'Ivoire were initially created for agropastoral activities (Cecchi et al., 2007). However, over the years, these lakes have also come to play a crucial role in diversifying local economic activities, particularly through fishing, which helps</w:t>
      </w:r>
      <w:r>
        <w:rPr>
          <w:rFonts w:ascii="Times New Roman" w:eastAsia="Calibri" w:hAnsi="Times New Roman" w:cs="Times New Roman"/>
          <w:sz w:val="24"/>
          <w:szCs w:val="24"/>
          <w:highlight w:val="yellow"/>
          <w:lang w:val="en-GB"/>
        </w:rPr>
        <w:t xml:space="preserve"> to</w:t>
      </w:r>
      <w:r>
        <w:rPr>
          <w:rFonts w:ascii="Times New Roman" w:eastAsia="Calibri" w:hAnsi="Times New Roman" w:cs="Times New Roman"/>
          <w:sz w:val="24"/>
          <w:szCs w:val="24"/>
          <w:lang w:val="en-GB"/>
        </w:rPr>
        <w:t xml:space="preserve"> supply local populations with animal protein. This activity generates jobs, particularly through the processing and marketing stages of the fishery supply chain (Kien et al., 2017). However, habitat and ecosystem destruction and various forms of overexploitation resulting from human activity are degrading fish biodiversity (Dejoux, 1978). Several studies conducted on dam lakes in northern Côte d’Ivoire</w:t>
      </w:r>
      <w:r>
        <w:rPr>
          <w:rFonts w:ascii="Times New Roman" w:eastAsia="Calibri" w:hAnsi="Times New Roman" w:cs="Times New Roman"/>
          <w:sz w:val="24"/>
          <w:szCs w:val="24"/>
          <w:highlight w:val="yellow"/>
          <w:lang w:val="en-GB"/>
        </w:rPr>
        <w:t>,</w:t>
      </w:r>
      <w:r>
        <w:rPr>
          <w:rFonts w:ascii="Times New Roman" w:eastAsia="Calibri" w:hAnsi="Times New Roman" w:cs="Times New Roman"/>
          <w:sz w:val="24"/>
          <w:szCs w:val="24"/>
          <w:lang w:val="en-GB"/>
        </w:rPr>
        <w:t xml:space="preserve"> such as Solomougou (Kouassi et al., 2020a), Dassoungboho (Kien et al., 202</w:t>
      </w:r>
      <w:r>
        <w:rPr>
          <w:rFonts w:ascii="Times New Roman" w:eastAsia="Calibri" w:hAnsi="Times New Roman" w:cs="Times New Roman"/>
          <w:sz w:val="24"/>
          <w:szCs w:val="24"/>
          <w:highlight w:val="yellow"/>
          <w:lang w:val="en-GB"/>
        </w:rPr>
        <w:t>4</w:t>
      </w:r>
      <w:r>
        <w:rPr>
          <w:rFonts w:ascii="Times New Roman" w:eastAsia="Calibri" w:hAnsi="Times New Roman" w:cs="Times New Roman"/>
          <w:sz w:val="24"/>
          <w:szCs w:val="24"/>
          <w:lang w:val="en-GB"/>
        </w:rPr>
        <w:t>), Sologo (Ndiaye et al., 2025), and Lôkpôhô (Koné et al., 2025)</w:t>
      </w:r>
      <w:r>
        <w:rPr>
          <w:rFonts w:ascii="Times New Roman" w:eastAsia="Calibri" w:hAnsi="Times New Roman" w:cs="Times New Roman"/>
          <w:sz w:val="24"/>
          <w:szCs w:val="24"/>
          <w:highlight w:val="yellow"/>
          <w:lang w:val="en-GB"/>
        </w:rPr>
        <w:t>,</w:t>
      </w:r>
      <w:r>
        <w:rPr>
          <w:rFonts w:ascii="Times New Roman" w:eastAsia="Calibri" w:hAnsi="Times New Roman" w:cs="Times New Roman"/>
          <w:sz w:val="24"/>
          <w:szCs w:val="24"/>
          <w:lang w:val="en-GB"/>
        </w:rPr>
        <w:t xml:space="preserve"> have shown variations in fish species composition among the lakes. Furthermore, Daget (1988) and Laë (1994) show</w:t>
      </w:r>
      <w:r>
        <w:rPr>
          <w:rFonts w:ascii="Times New Roman" w:eastAsia="Calibri" w:hAnsi="Times New Roman" w:cs="Times New Roman"/>
          <w:sz w:val="24"/>
          <w:szCs w:val="24"/>
          <w:highlight w:val="yellow"/>
          <w:lang w:val="en-GB"/>
        </w:rPr>
        <w:t>ed</w:t>
      </w:r>
      <w:r>
        <w:rPr>
          <w:rFonts w:ascii="Times New Roman" w:eastAsia="Calibri" w:hAnsi="Times New Roman" w:cs="Times New Roman"/>
          <w:sz w:val="24"/>
          <w:szCs w:val="24"/>
          <w:lang w:val="en-GB"/>
        </w:rPr>
        <w:t xml:space="preserve"> that overexploitation stems from high population growth, which drives increased demand for protein. This overexploitation could lead to changes in the structure of fish assemblages, resulting in the decline or even disappearance of species (Gourène et al., 1999). To address this issue, Gascuel (2009) propose</w:t>
      </w:r>
      <w:r>
        <w:rPr>
          <w:rFonts w:ascii="Times New Roman" w:eastAsia="Calibri" w:hAnsi="Times New Roman" w:cs="Times New Roman"/>
          <w:sz w:val="24"/>
          <w:szCs w:val="24"/>
          <w:highlight w:val="yellow"/>
          <w:lang w:val="en-GB"/>
        </w:rPr>
        <w:t>d</w:t>
      </w:r>
      <w:r>
        <w:rPr>
          <w:rFonts w:ascii="Times New Roman" w:eastAsia="Calibri" w:hAnsi="Times New Roman" w:cs="Times New Roman"/>
          <w:sz w:val="24"/>
          <w:szCs w:val="24"/>
          <w:lang w:val="en-GB"/>
        </w:rPr>
        <w:t xml:space="preserve"> the ecosystem approach to fisheries as a powerful lever for transforming the sector's production and regulatory models. This ecosystem approach, which enables sustainable fishery management, applies the principles of sustainable development to the exploitation of resources and ecosystems (Koudou et al., 2020).</w:t>
      </w:r>
    </w:p>
    <w:p w14:paraId="7AAC192A" w14:textId="7A10B2B3" w:rsidR="006739EC" w:rsidRPr="00F2344B" w:rsidRDefault="004B58E0" w:rsidP="001F74F5">
      <w:pPr>
        <w:spacing w:after="0" w:line="360" w:lineRule="auto"/>
        <w:ind w:left="-17" w:right="-6" w:firstLine="567"/>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Implementing such an approach requires recent, reliable scientific data on the ecosystems in question. This approach relies on precise information regarding ecology, fish fauna composition, and exploitation levels in bodies of water and watercourses (Montchowui et al., 2008). The </w:t>
      </w:r>
      <w:r>
        <w:rPr>
          <w:rFonts w:ascii="Times New Roman" w:eastAsia="Calibri" w:hAnsi="Times New Roman" w:cs="Times New Roman"/>
          <w:sz w:val="24"/>
          <w:szCs w:val="24"/>
          <w:highlight w:val="yellow"/>
          <w:lang w:val="en-GB"/>
        </w:rPr>
        <w:t>length-</w:t>
      </w:r>
      <w:r>
        <w:rPr>
          <w:rFonts w:ascii="Times New Roman" w:eastAsia="Calibri" w:hAnsi="Times New Roman" w:cs="Times New Roman"/>
          <w:sz w:val="24"/>
          <w:szCs w:val="24"/>
          <w:lang w:val="en-GB"/>
        </w:rPr>
        <w:t xml:space="preserve">weight relationship and condition factor are parameters with various applications in fish biology and fisheries management (Da et al., 2018). This work is part of a series of studies aimed at establishing a database on the fish assemblages of the Korhogo reservoir lakes, which Koudou et al. (2020) identified as being overexploited. </w:t>
      </w:r>
      <w:r>
        <w:rPr>
          <w:rFonts w:ascii="Times New Roman" w:eastAsia="Calibri" w:hAnsi="Times New Roman" w:cs="Times New Roman"/>
          <w:sz w:val="24"/>
          <w:szCs w:val="24"/>
          <w:highlight w:val="yellow"/>
          <w:lang w:val="en-GB"/>
        </w:rPr>
        <w:t xml:space="preserve">However, information on the size structure, length-weight relationships, and condition factors of the most abundant fish species in the Sologo reservoir prior to rehabilitation remains limited. </w:t>
      </w:r>
      <w:r>
        <w:rPr>
          <w:rFonts w:ascii="Times New Roman" w:eastAsia="Calibri" w:hAnsi="Times New Roman" w:cs="Times New Roman"/>
          <w:sz w:val="24"/>
          <w:szCs w:val="24"/>
          <w:lang w:val="en-GB"/>
        </w:rPr>
        <w:t xml:space="preserve">It was conducted at the Sologo </w:t>
      </w:r>
      <w:r>
        <w:rPr>
          <w:rFonts w:ascii="Times New Roman" w:eastAsia="Calibri" w:hAnsi="Times New Roman" w:cs="Times New Roman"/>
          <w:sz w:val="24"/>
          <w:szCs w:val="24"/>
          <w:lang w:val="en-GB"/>
        </w:rPr>
        <w:lastRenderedPageBreak/>
        <w:t>reservoir and aimed to characteri</w:t>
      </w:r>
      <w:r>
        <w:rPr>
          <w:rFonts w:ascii="Times New Roman" w:eastAsia="Calibri" w:hAnsi="Times New Roman" w:cs="Times New Roman"/>
          <w:sz w:val="24"/>
          <w:szCs w:val="24"/>
          <w:highlight w:val="yellow"/>
          <w:lang w:val="en-GB"/>
        </w:rPr>
        <w:t>s</w:t>
      </w:r>
      <w:r>
        <w:rPr>
          <w:rFonts w:ascii="Times New Roman" w:eastAsia="Calibri" w:hAnsi="Times New Roman" w:cs="Times New Roman"/>
          <w:sz w:val="24"/>
          <w:szCs w:val="24"/>
          <w:lang w:val="en-GB"/>
        </w:rPr>
        <w:t>e the lake's fish population prior to its rehabilitation, with the a</w:t>
      </w:r>
      <w:r>
        <w:rPr>
          <w:rFonts w:ascii="Times New Roman" w:eastAsia="Calibri" w:hAnsi="Times New Roman" w:cs="Times New Roman"/>
          <w:sz w:val="24"/>
          <w:szCs w:val="24"/>
          <w:highlight w:val="yellow"/>
          <w:lang w:val="en-GB"/>
        </w:rPr>
        <w:t>im</w:t>
      </w:r>
      <w:r>
        <w:rPr>
          <w:rFonts w:ascii="Times New Roman" w:eastAsia="Calibri" w:hAnsi="Times New Roman" w:cs="Times New Roman"/>
          <w:sz w:val="24"/>
          <w:szCs w:val="24"/>
          <w:lang w:val="en-GB"/>
        </w:rPr>
        <w:t xml:space="preserve"> of providing fisheries managers with information to improve conservation planning for the fishery resources of the Korhogo lakes in general.</w:t>
      </w:r>
    </w:p>
    <w:p w14:paraId="0B73A280" w14:textId="44EC98D4" w:rsidR="000476E6" w:rsidRPr="00F2344B" w:rsidRDefault="008D7A28" w:rsidP="004641DB">
      <w:pPr>
        <w:pStyle w:val="Heading1"/>
        <w:numPr>
          <w:ilvl w:val="0"/>
          <w:numId w:val="41"/>
        </w:numPr>
        <w:rPr>
          <w:rFonts w:cs="Times New Roman"/>
          <w:lang w:val="en-GB"/>
        </w:rPr>
      </w:pPr>
      <w:bookmarkStart w:id="1" w:name="_Toc184793736"/>
      <w:r>
        <w:rPr>
          <w:rFonts w:cs="Times New Roman"/>
          <w:lang w:val="en-GB"/>
        </w:rPr>
        <w:t>Material</w:t>
      </w:r>
      <w:r>
        <w:rPr>
          <w:rFonts w:cs="Times New Roman"/>
          <w:highlight w:val="yellow"/>
          <w:lang w:val="en-GB"/>
        </w:rPr>
        <w:t>s</w:t>
      </w:r>
      <w:r>
        <w:rPr>
          <w:rFonts w:cs="Times New Roman"/>
          <w:lang w:val="en-GB"/>
        </w:rPr>
        <w:t xml:space="preserve"> </w:t>
      </w:r>
      <w:r>
        <w:rPr>
          <w:rFonts w:cs="Times New Roman"/>
          <w:highlight w:val="yellow"/>
          <w:lang w:val="en-GB"/>
        </w:rPr>
        <w:t>and</w:t>
      </w:r>
      <w:r>
        <w:rPr>
          <w:rFonts w:cs="Times New Roman"/>
          <w:lang w:val="en-GB"/>
        </w:rPr>
        <w:t xml:space="preserve"> methods</w:t>
      </w:r>
    </w:p>
    <w:p w14:paraId="760CF7F3" w14:textId="4A288D6F" w:rsidR="006739EC" w:rsidRPr="00F2344B" w:rsidRDefault="004641DB" w:rsidP="003B429F">
      <w:pPr>
        <w:pStyle w:val="Heading1"/>
        <w:rPr>
          <w:rFonts w:cs="Times New Roman"/>
          <w:lang w:val="en-GB"/>
        </w:rPr>
      </w:pPr>
      <w:r w:rsidRPr="00F2344B">
        <w:rPr>
          <w:rFonts w:cs="Times New Roman"/>
          <w:lang w:val="en-GB"/>
        </w:rPr>
        <w:t xml:space="preserve">2.1 </w:t>
      </w:r>
      <w:r w:rsidR="008D7A28" w:rsidRPr="00F2344B">
        <w:rPr>
          <w:rFonts w:cs="Times New Roman"/>
          <w:lang w:val="en-GB"/>
        </w:rPr>
        <w:t>Study site</w:t>
      </w:r>
    </w:p>
    <w:p w14:paraId="69B9CCB3" w14:textId="73C3B64C" w:rsidR="000476E6" w:rsidRPr="00F2344B" w:rsidRDefault="004B58E0" w:rsidP="008207D7">
      <w:pPr>
        <w:spacing w:after="0" w:line="360" w:lineRule="auto"/>
        <w:ind w:right="-6" w:firstLine="567"/>
        <w:jc w:val="both"/>
        <w:rPr>
          <w:rFonts w:ascii="Times New Roman" w:eastAsia="Calibri" w:hAnsi="Times New Roman" w:cs="Times New Roman"/>
          <w:bCs/>
          <w:sz w:val="24"/>
          <w:szCs w:val="24"/>
          <w:lang w:val="en-GB"/>
        </w:rPr>
      </w:pPr>
      <w:r>
        <w:rPr>
          <w:rFonts w:ascii="Times New Roman" w:eastAsia="Calibri" w:hAnsi="Times New Roman" w:cs="Times New Roman"/>
          <w:bCs/>
          <w:sz w:val="24"/>
          <w:szCs w:val="24"/>
          <w:lang w:val="en-GB"/>
        </w:rPr>
        <w:t xml:space="preserve">The study site is the Sologo reservoir (Figure 1), located between 9°33′ N and 5°65′ W, 16 km from the town of Korhogo. It was selected for this study </w:t>
      </w:r>
      <w:r>
        <w:rPr>
          <w:rFonts w:ascii="Times New Roman" w:eastAsia="Calibri" w:hAnsi="Times New Roman" w:cs="Times New Roman"/>
          <w:bCs/>
          <w:sz w:val="24"/>
          <w:szCs w:val="24"/>
          <w:highlight w:val="yellow"/>
          <w:lang w:val="en-GB"/>
        </w:rPr>
        <w:t>beca</w:t>
      </w:r>
      <w:r>
        <w:rPr>
          <w:rFonts w:ascii="Times New Roman" w:eastAsia="Calibri" w:hAnsi="Times New Roman" w:cs="Times New Roman"/>
          <w:bCs/>
          <w:sz w:val="24"/>
          <w:szCs w:val="24"/>
          <w:lang w:val="en-GB"/>
        </w:rPr>
        <w:t>u</w:t>
      </w:r>
      <w:r>
        <w:rPr>
          <w:rFonts w:ascii="Times New Roman" w:eastAsia="Calibri" w:hAnsi="Times New Roman" w:cs="Times New Roman"/>
          <w:bCs/>
          <w:sz w:val="24"/>
          <w:szCs w:val="24"/>
          <w:highlight w:val="yellow"/>
          <w:lang w:val="en-GB"/>
        </w:rPr>
        <w:t>s</w:t>
      </w:r>
      <w:r>
        <w:rPr>
          <w:rFonts w:ascii="Times New Roman" w:eastAsia="Calibri" w:hAnsi="Times New Roman" w:cs="Times New Roman"/>
          <w:bCs/>
          <w:sz w:val="24"/>
          <w:szCs w:val="24"/>
          <w:lang w:val="en-GB"/>
        </w:rPr>
        <w:t>e o</w:t>
      </w:r>
      <w:r>
        <w:rPr>
          <w:rFonts w:ascii="Times New Roman" w:eastAsia="Calibri" w:hAnsi="Times New Roman" w:cs="Times New Roman"/>
          <w:bCs/>
          <w:sz w:val="24"/>
          <w:szCs w:val="24"/>
          <w:highlight w:val="yellow"/>
          <w:lang w:val="en-GB"/>
        </w:rPr>
        <w:t>f</w:t>
      </w:r>
      <w:r>
        <w:rPr>
          <w:rFonts w:ascii="Times New Roman" w:eastAsia="Calibri" w:hAnsi="Times New Roman" w:cs="Times New Roman"/>
          <w:bCs/>
          <w:sz w:val="24"/>
          <w:szCs w:val="24"/>
          <w:lang w:val="en-GB"/>
        </w:rPr>
        <w:t xml:space="preserve"> the importance of fishing as an activity there, the existence of commercial fish farming, and the density of the local population.</w:t>
      </w:r>
    </w:p>
    <w:p w14:paraId="17EEE03F" w14:textId="6E041B6B" w:rsidR="000476E6" w:rsidRPr="00F2344B" w:rsidRDefault="004641DB" w:rsidP="0052549A">
      <w:pPr>
        <w:pStyle w:val="Heading2"/>
      </w:pPr>
      <w:bookmarkStart w:id="2" w:name="_Toc184793743"/>
      <w:bookmarkEnd w:id="1"/>
      <w:r w:rsidRPr="00F2344B">
        <w:t xml:space="preserve">2.2 </w:t>
      </w:r>
      <w:bookmarkEnd w:id="2"/>
      <w:r w:rsidR="008D7A28" w:rsidRPr="00F2344B">
        <w:t>Data collection</w:t>
      </w:r>
    </w:p>
    <w:p w14:paraId="730EA76E" w14:textId="19B0B5EB" w:rsidR="00304978" w:rsidRPr="00F2344B" w:rsidRDefault="004B58E0" w:rsidP="001F74F5">
      <w:pPr>
        <w:spacing w:after="0" w:line="360" w:lineRule="auto"/>
        <w:ind w:right="-6" w:firstLine="567"/>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The samples were obtained from the catches of fishermen operating on the Sologo reservoir. Sampling was conducted monthly from January to December 2022. Each sampling campaign involved artisanal fishermen and lasted six days. Nets and traps were set by the fishermen between 9:00 a.m. and 10:00 a.m. and retrieved the following day at 6:00 a.m. The fishermen's total catches, or samples taken from their crates or bags, were purchased, sorted, and identified using the keys provided by Paugy et al. (2003a</w:t>
      </w:r>
      <w:r>
        <w:rPr>
          <w:rFonts w:ascii="Times New Roman" w:eastAsia="Calibri" w:hAnsi="Times New Roman" w:cs="Times New Roman"/>
          <w:sz w:val="24"/>
          <w:szCs w:val="24"/>
          <w:highlight w:val="yellow"/>
          <w:lang w:val="en-GB"/>
        </w:rPr>
        <w:t>,</w:t>
      </w:r>
      <w:r>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highlight w:val="yellow"/>
          <w:lang w:val="en-GB"/>
        </w:rPr>
        <w:t>2003</w:t>
      </w:r>
      <w:r>
        <w:rPr>
          <w:rFonts w:ascii="Times New Roman" w:eastAsia="Calibri" w:hAnsi="Times New Roman" w:cs="Times New Roman"/>
          <w:sz w:val="24"/>
          <w:szCs w:val="24"/>
          <w:lang w:val="en-GB"/>
        </w:rPr>
        <w:t>b). Each specimen was subsequently measured (standard length) and weighed to the nearest gram.</w:t>
      </w:r>
    </w:p>
    <w:p w14:paraId="13814E4A" w14:textId="0394D185" w:rsidR="00B777EA" w:rsidRPr="00F2344B" w:rsidRDefault="00B777EA" w:rsidP="00B777EA">
      <w:pPr>
        <w:rPr>
          <w:rFonts w:ascii="Times New Roman" w:hAnsi="Times New Roman" w:cs="Times New Roman"/>
          <w:iCs/>
          <w:sz w:val="24"/>
          <w:szCs w:val="24"/>
          <w:lang w:val="en-GB"/>
        </w:rPr>
      </w:pPr>
    </w:p>
    <w:p w14:paraId="4694FD7B" w14:textId="3DFCCAD3" w:rsidR="00304978" w:rsidRPr="00F2344B" w:rsidRDefault="004641DB" w:rsidP="00B777EA">
      <w:pPr>
        <w:tabs>
          <w:tab w:val="left" w:pos="1864"/>
        </w:tabs>
        <w:rPr>
          <w:rFonts w:ascii="Times New Roman" w:eastAsia="Calibri" w:hAnsi="Times New Roman" w:cs="Times New Roman"/>
          <w:b/>
          <w:bCs/>
          <w:i/>
          <w:sz w:val="24"/>
          <w:szCs w:val="24"/>
        </w:rPr>
      </w:pPr>
      <w:r w:rsidRPr="00F2344B">
        <w:rPr>
          <w:rFonts w:ascii="Times New Roman" w:eastAsia="Calibri" w:hAnsi="Times New Roman" w:cs="Times New Roman"/>
          <w:b/>
          <w:bCs/>
          <w:i/>
          <w:sz w:val="24"/>
          <w:szCs w:val="24"/>
        </w:rPr>
        <w:t xml:space="preserve">2.3 </w:t>
      </w:r>
      <w:r w:rsidR="008D7A28" w:rsidRPr="00F2344B">
        <w:rPr>
          <w:rFonts w:ascii="Times New Roman" w:eastAsia="Calibri" w:hAnsi="Times New Roman" w:cs="Times New Roman"/>
          <w:b/>
          <w:bCs/>
          <w:i/>
          <w:sz w:val="24"/>
          <w:szCs w:val="24"/>
        </w:rPr>
        <w:t>Data analysis</w:t>
      </w:r>
    </w:p>
    <w:p w14:paraId="0056B5EE" w14:textId="10578332" w:rsidR="00AD7AED" w:rsidRPr="00F2344B" w:rsidRDefault="004641DB" w:rsidP="0052549A">
      <w:pPr>
        <w:pStyle w:val="Heading2"/>
      </w:pPr>
      <w:bookmarkStart w:id="3" w:name="_Toc184793750"/>
      <w:r w:rsidRPr="00F2344B">
        <w:t xml:space="preserve">2.3.1 </w:t>
      </w:r>
      <w:bookmarkEnd w:id="3"/>
      <w:r w:rsidR="008D7A28" w:rsidRPr="00F2344B">
        <w:t>Size structure</w:t>
      </w:r>
    </w:p>
    <w:p w14:paraId="63F496E4" w14:textId="2174D72D" w:rsidR="004B58E0" w:rsidRPr="00F2344B" w:rsidRDefault="004B58E0" w:rsidP="00567D44">
      <w:pPr>
        <w:spacing w:after="99" w:line="360" w:lineRule="auto"/>
        <w:ind w:right="-4"/>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To examine the size structures of the species selected for this study, the standard lengths (SL) of individual specimens were grouped into size classes. The number and length of the size classes were determined using Sturge's rule (Scherrer, 1984), as shown below:</w:t>
      </w:r>
    </w:p>
    <w:p w14:paraId="34110586" w14:textId="77777777" w:rsidR="00FF4BBF" w:rsidRPr="00F2344B" w:rsidRDefault="00FF4BBF" w:rsidP="00FF4BBF">
      <w:pPr>
        <w:spacing w:after="0" w:line="360" w:lineRule="auto"/>
        <w:ind w:right="-4"/>
        <w:jc w:val="center"/>
        <w:rPr>
          <w:rFonts w:ascii="Times New Roman" w:eastAsia="Calibri" w:hAnsi="Times New Roman" w:cs="Times New Roman"/>
          <w:sz w:val="24"/>
          <w:szCs w:val="24"/>
        </w:rPr>
      </w:pPr>
      <w:r w:rsidRPr="00F2344B">
        <w:rPr>
          <w:rFonts w:ascii="Times New Roman" w:eastAsia="Calibri" w:hAnsi="Times New Roman" w:cs="Times New Roman"/>
          <w:sz w:val="24"/>
          <w:szCs w:val="24"/>
        </w:rPr>
        <w:t>NC = 1+ (3,3 log10 n)</w:t>
      </w:r>
    </w:p>
    <w:p w14:paraId="1A6F8B07" w14:textId="7B6E8588" w:rsidR="00FF4BBF" w:rsidRPr="00F2344B" w:rsidRDefault="00FF4BBF" w:rsidP="00FF4BBF">
      <w:pPr>
        <w:spacing w:after="0" w:line="360" w:lineRule="auto"/>
        <w:ind w:right="-4"/>
        <w:jc w:val="center"/>
        <w:rPr>
          <w:rFonts w:ascii="Times New Roman" w:eastAsia="Calibri" w:hAnsi="Times New Roman" w:cs="Times New Roman"/>
          <w:sz w:val="24"/>
          <w:szCs w:val="24"/>
        </w:rPr>
      </w:pPr>
      <w:r w:rsidRPr="00F2344B">
        <w:rPr>
          <w:rFonts w:ascii="Times New Roman" w:eastAsia="Calibri" w:hAnsi="Times New Roman" w:cs="Times New Roman"/>
          <w:sz w:val="24"/>
          <w:szCs w:val="24"/>
        </w:rPr>
        <w:t xml:space="preserve">IC = </w:t>
      </w:r>
      <m:oMath>
        <m:f>
          <m:fPr>
            <m:ctrlPr>
              <w:rPr>
                <w:rFonts w:ascii="Cambria Math" w:eastAsia="Calibri" w:hAnsi="Cambria Math" w:cs="Times New Roman"/>
                <w:i/>
                <w:sz w:val="24"/>
                <w:szCs w:val="24"/>
              </w:rPr>
            </m:ctrlPr>
          </m:fPr>
          <m:num>
            <m:r>
              <w:rPr>
                <w:rFonts w:ascii="Cambria Math" w:eastAsia="Calibri" w:hAnsi="Cambria Math" w:cs="Times New Roman"/>
                <w:sz w:val="24"/>
                <w:szCs w:val="24"/>
              </w:rPr>
              <m:t xml:space="preserve">LSmax- LSmin </m:t>
            </m:r>
          </m:num>
          <m:den>
            <m:r>
              <w:rPr>
                <w:rFonts w:ascii="Cambria Math" w:eastAsia="Calibri" w:hAnsi="Cambria Math" w:cs="Times New Roman"/>
                <w:sz w:val="24"/>
                <w:szCs w:val="24"/>
              </w:rPr>
              <m:t xml:space="preserve">NC </m:t>
            </m:r>
          </m:den>
        </m:f>
      </m:oMath>
    </w:p>
    <w:p w14:paraId="4931040D" w14:textId="77777777" w:rsidR="00FF4BBF" w:rsidRPr="00F2344B" w:rsidRDefault="00FF4BBF" w:rsidP="00FF4BBF">
      <w:pPr>
        <w:spacing w:after="99" w:line="360" w:lineRule="auto"/>
        <w:ind w:right="-4"/>
        <w:jc w:val="both"/>
        <w:rPr>
          <w:rFonts w:ascii="Times New Roman" w:eastAsia="Calibri" w:hAnsi="Times New Roman" w:cs="Times New Roman"/>
          <w:sz w:val="24"/>
          <w:szCs w:val="24"/>
          <w:lang w:val="en-GB"/>
        </w:rPr>
      </w:pPr>
      <w:r w:rsidRPr="00F2344B">
        <w:rPr>
          <w:rFonts w:ascii="Times New Roman" w:eastAsia="Calibri" w:hAnsi="Times New Roman" w:cs="Times New Roman"/>
          <w:sz w:val="24"/>
          <w:szCs w:val="24"/>
          <w:lang w:val="en-GB"/>
        </w:rPr>
        <w:t>NC = number of classes</w:t>
      </w:r>
    </w:p>
    <w:p w14:paraId="7875340C" w14:textId="77777777" w:rsidR="00FF4BBF" w:rsidRPr="00F2344B" w:rsidRDefault="00FF4BBF" w:rsidP="00FF4BBF">
      <w:pPr>
        <w:spacing w:after="99" w:line="360" w:lineRule="auto"/>
        <w:ind w:right="-4"/>
        <w:jc w:val="both"/>
        <w:rPr>
          <w:rFonts w:ascii="Times New Roman" w:eastAsia="Calibri" w:hAnsi="Times New Roman" w:cs="Times New Roman"/>
          <w:sz w:val="24"/>
          <w:szCs w:val="24"/>
          <w:lang w:val="en-GB"/>
        </w:rPr>
      </w:pPr>
      <w:r w:rsidRPr="00F2344B">
        <w:rPr>
          <w:rFonts w:ascii="Times New Roman" w:eastAsia="Calibri" w:hAnsi="Times New Roman" w:cs="Times New Roman"/>
          <w:sz w:val="24"/>
          <w:szCs w:val="24"/>
          <w:lang w:val="en-GB"/>
        </w:rPr>
        <w:t>IC = class interval</w:t>
      </w:r>
    </w:p>
    <w:p w14:paraId="435A9B95" w14:textId="77777777" w:rsidR="00FF4BBF" w:rsidRPr="00F2344B" w:rsidRDefault="00FF4BBF" w:rsidP="00FF4BBF">
      <w:pPr>
        <w:spacing w:after="99" w:line="360" w:lineRule="auto"/>
        <w:ind w:right="-4"/>
        <w:jc w:val="both"/>
        <w:rPr>
          <w:rFonts w:ascii="Times New Roman" w:eastAsia="Calibri" w:hAnsi="Times New Roman" w:cs="Times New Roman"/>
          <w:sz w:val="24"/>
          <w:szCs w:val="24"/>
          <w:lang w:val="en-GB"/>
        </w:rPr>
      </w:pPr>
      <w:r w:rsidRPr="00F2344B">
        <w:rPr>
          <w:rFonts w:ascii="Times New Roman" w:eastAsia="Calibri" w:hAnsi="Times New Roman" w:cs="Times New Roman"/>
          <w:sz w:val="24"/>
          <w:szCs w:val="24"/>
          <w:lang w:val="en-GB"/>
        </w:rPr>
        <w:t>LSmax = maximum standard length of the fish</w:t>
      </w:r>
    </w:p>
    <w:p w14:paraId="384E728F" w14:textId="060F7A46" w:rsidR="00FF4BBF" w:rsidRPr="00F2344B" w:rsidRDefault="00FF4BBF" w:rsidP="00FF4BBF">
      <w:pPr>
        <w:spacing w:after="99" w:line="360" w:lineRule="auto"/>
        <w:ind w:right="-4"/>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lastRenderedPageBreak/>
        <w:t>LSmin = minimum standard length of the fish. These size classes were then plotted on the x-axis. Histograms representing catch</w:t>
      </w:r>
      <w:r>
        <w:rPr>
          <w:rFonts w:ascii="Times New Roman" w:eastAsia="Calibri" w:hAnsi="Times New Roman" w:cs="Times New Roman"/>
          <w:sz w:val="24"/>
          <w:szCs w:val="24"/>
          <w:highlight w:val="yellow"/>
          <w:lang w:val="en-GB"/>
        </w:rPr>
        <w:t>-</w:t>
      </w:r>
      <w:r>
        <w:rPr>
          <w:rFonts w:ascii="Times New Roman" w:eastAsia="Calibri" w:hAnsi="Times New Roman" w:cs="Times New Roman"/>
          <w:sz w:val="24"/>
          <w:szCs w:val="24"/>
          <w:lang w:val="en-GB"/>
        </w:rPr>
        <w:t>size frequencies according to size classes (or size spectra) were produced.</w:t>
      </w:r>
    </w:p>
    <w:p w14:paraId="2502292A" w14:textId="562B61CE" w:rsidR="00C40970" w:rsidRPr="00F2344B" w:rsidRDefault="004641DB" w:rsidP="0052549A">
      <w:pPr>
        <w:pStyle w:val="Heading2"/>
        <w:rPr>
          <w:lang w:val="en-GB"/>
        </w:rPr>
      </w:pPr>
      <w:bookmarkStart w:id="4" w:name="_Toc184793751"/>
      <w:r w:rsidRPr="00F2344B">
        <w:rPr>
          <w:lang w:val="en-GB"/>
        </w:rPr>
        <w:t xml:space="preserve">2.3.2 </w:t>
      </w:r>
      <w:bookmarkEnd w:id="4"/>
      <w:r w:rsidR="008D7A28" w:rsidRPr="00F2344B">
        <w:rPr>
          <w:lang w:val="en-GB"/>
        </w:rPr>
        <w:t>Length-weight relationship</w:t>
      </w:r>
    </w:p>
    <w:p w14:paraId="76010337" w14:textId="77777777" w:rsidR="00FF4BBF" w:rsidRPr="00F2344B" w:rsidRDefault="00FF4BBF" w:rsidP="00FF4BBF">
      <w:pPr>
        <w:spacing w:after="0" w:line="360" w:lineRule="auto"/>
        <w:jc w:val="both"/>
        <w:rPr>
          <w:rFonts w:ascii="Times New Roman" w:hAnsi="Times New Roman" w:cs="Times New Roman"/>
          <w:sz w:val="24"/>
          <w:szCs w:val="24"/>
          <w:lang w:val="en-GB"/>
        </w:rPr>
      </w:pPr>
      <w:r w:rsidRPr="00F2344B">
        <w:rPr>
          <w:rFonts w:ascii="Times New Roman" w:hAnsi="Times New Roman" w:cs="Times New Roman"/>
          <w:sz w:val="24"/>
          <w:szCs w:val="24"/>
          <w:lang w:val="en-GB"/>
        </w:rPr>
        <w:t>The length-weight relationship of the main species was determined using Le Cren’s (1951) formula: P = aLS^b,</w:t>
      </w:r>
    </w:p>
    <w:p w14:paraId="1FE55988" w14:textId="77777777" w:rsidR="00FF4BBF" w:rsidRPr="00F2344B" w:rsidRDefault="00FF4BBF" w:rsidP="00FF4BBF">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where P = fish weight (g), LS = fish standard length (cm), a = constant, and b = allometr</w:t>
      </w:r>
      <w:r>
        <w:rPr>
          <w:rFonts w:ascii="Times New Roman" w:hAnsi="Times New Roman" w:cs="Times New Roman"/>
          <w:sz w:val="24"/>
          <w:szCs w:val="24"/>
          <w:highlight w:val="yellow"/>
          <w:lang w:val="en-GB"/>
        </w:rPr>
        <w:t>ic</w:t>
      </w:r>
      <w:r>
        <w:rPr>
          <w:rFonts w:ascii="Times New Roman" w:hAnsi="Times New Roman" w:cs="Times New Roman"/>
          <w:sz w:val="24"/>
          <w:szCs w:val="24"/>
          <w:lang w:val="en-GB"/>
        </w:rPr>
        <w:t xml:space="preserve"> coefficient.</w:t>
      </w:r>
    </w:p>
    <w:p w14:paraId="013F371F" w14:textId="4A4DC63B" w:rsidR="00FC5935" w:rsidRPr="00F2344B" w:rsidRDefault="00FF4BBF" w:rsidP="00FF4BBF">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Logarithmic transformation of Le Cren’s (1951) formula yielded a linear relationship—log P = log a + b log LS—allowing the </w:t>
      </w:r>
      <w:r>
        <w:rPr>
          <w:rFonts w:ascii="Times New Roman" w:hAnsi="Times New Roman" w:cs="Times New Roman"/>
          <w:sz w:val="24"/>
          <w:szCs w:val="24"/>
          <w:highlight w:val="yellow"/>
          <w:lang w:val="en-GB"/>
        </w:rPr>
        <w:t>valu</w:t>
      </w:r>
      <w:r>
        <w:rPr>
          <w:rFonts w:ascii="Times New Roman" w:hAnsi="Times New Roman" w:cs="Times New Roman"/>
          <w:sz w:val="24"/>
          <w:szCs w:val="24"/>
          <w:lang w:val="en-GB"/>
        </w:rPr>
        <w:t>e</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of the parameters a and b</w:t>
      </w:r>
      <w:r>
        <w:rPr>
          <w:rFonts w:ascii="Times New Roman" w:hAnsi="Times New Roman" w:cs="Times New Roman"/>
          <w:sz w:val="24"/>
          <w:szCs w:val="24"/>
          <w:highlight w:val="yellow"/>
          <w:lang w:val="en-GB"/>
        </w:rPr>
        <w:t xml:space="preserve"> to be determined</w:t>
      </w:r>
      <w:r>
        <w:rPr>
          <w:rFonts w:ascii="Times New Roman" w:hAnsi="Times New Roman" w:cs="Times New Roman"/>
          <w:sz w:val="24"/>
          <w:szCs w:val="24"/>
          <w:lang w:val="en-GB"/>
        </w:rPr>
        <w:t>.</w:t>
      </w:r>
    </w:p>
    <w:p w14:paraId="0ACA1C5A" w14:textId="77777777" w:rsidR="00FF4BBF" w:rsidRPr="00F2344B" w:rsidRDefault="00FF4BBF" w:rsidP="00FF4BBF">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type of fish growth depends on the value of coefficient b</w:t>
      </w:r>
      <w:r>
        <w:rPr>
          <w:rFonts w:ascii="Times New Roman" w:hAnsi="Times New Roman" w:cs="Times New Roman"/>
          <w:sz w:val="24"/>
          <w:szCs w:val="24"/>
          <w:highlight w:val="yellow"/>
          <w:lang w:val="en-GB"/>
        </w:rPr>
        <w:t>, as</w:t>
      </w:r>
      <w:r>
        <w:rPr>
          <w:rFonts w:ascii="Times New Roman" w:hAnsi="Times New Roman" w:cs="Times New Roman"/>
          <w:sz w:val="24"/>
          <w:szCs w:val="24"/>
          <w:lang w:val="en-GB"/>
        </w:rPr>
        <w:t xml:space="preserve"> shown below:</w:t>
      </w:r>
    </w:p>
    <w:p w14:paraId="06AE6850" w14:textId="77777777" w:rsidR="00FF4BBF" w:rsidRPr="00F2344B" w:rsidRDefault="00FF4BBF" w:rsidP="00FF4BBF">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b = 3: growth is described as isometric, meaning</w:t>
      </w:r>
      <w:r>
        <w:rPr>
          <w:rFonts w:ascii="Times New Roman" w:hAnsi="Times New Roman" w:cs="Times New Roman"/>
          <w:sz w:val="24"/>
          <w:szCs w:val="24"/>
          <w:highlight w:val="yellow"/>
          <w:lang w:val="en-GB"/>
        </w:rPr>
        <w:t xml:space="preserve"> that</w:t>
      </w:r>
      <w:r>
        <w:rPr>
          <w:rFonts w:ascii="Times New Roman" w:hAnsi="Times New Roman" w:cs="Times New Roman"/>
          <w:sz w:val="24"/>
          <w:szCs w:val="24"/>
          <w:lang w:val="en-GB"/>
        </w:rPr>
        <w:t xml:space="preserve"> weight increases in proportion to length; when b ≠ 3, growth is described as allometric.</w:t>
      </w:r>
    </w:p>
    <w:p w14:paraId="6BE480B4" w14:textId="77777777" w:rsidR="00FF4BBF" w:rsidRPr="00F2344B" w:rsidRDefault="00FF4BBF" w:rsidP="00FF4BBF">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b &lt; 3: the allometry is negative (or hypo-allometric), meaning th</w:t>
      </w:r>
      <w:r>
        <w:rPr>
          <w:rFonts w:ascii="Times New Roman" w:hAnsi="Times New Roman" w:cs="Times New Roman"/>
          <w:sz w:val="24"/>
          <w:szCs w:val="24"/>
          <w:highlight w:val="yellow"/>
          <w:lang w:val="en-GB"/>
        </w:rPr>
        <w:t>at th</w:t>
      </w:r>
      <w:r>
        <w:rPr>
          <w:rFonts w:ascii="Times New Roman" w:hAnsi="Times New Roman" w:cs="Times New Roman"/>
          <w:sz w:val="24"/>
          <w:szCs w:val="24"/>
          <w:lang w:val="en-GB"/>
        </w:rPr>
        <w:t>e fish grows in length faster than it gains weight</w:t>
      </w:r>
      <w:r>
        <w:rPr>
          <w:rFonts w:ascii="Times New Roman" w:hAnsi="Times New Roman" w:cs="Times New Roman"/>
          <w:sz w:val="24"/>
          <w:szCs w:val="24"/>
          <w:highlight w:val="yellow"/>
          <w:lang w:val="en-GB"/>
        </w:rPr>
        <w:t>.</w:t>
      </w:r>
    </w:p>
    <w:p w14:paraId="24BAA711" w14:textId="382A69B5" w:rsidR="00FF4BBF" w:rsidRPr="00F2344B" w:rsidRDefault="00FF4BBF" w:rsidP="00FF4BBF">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b &gt; 3: the allometry is positive (or hyper-allometric), meaning th</w:t>
      </w:r>
      <w:r>
        <w:rPr>
          <w:rFonts w:ascii="Times New Roman" w:hAnsi="Times New Roman" w:cs="Times New Roman"/>
          <w:sz w:val="24"/>
          <w:szCs w:val="24"/>
          <w:highlight w:val="yellow"/>
          <w:lang w:val="en-GB"/>
        </w:rPr>
        <w:t>at th</w:t>
      </w:r>
      <w:r>
        <w:rPr>
          <w:rFonts w:ascii="Times New Roman" w:hAnsi="Times New Roman" w:cs="Times New Roman"/>
          <w:sz w:val="24"/>
          <w:szCs w:val="24"/>
          <w:lang w:val="en-GB"/>
        </w:rPr>
        <w:t>e fish gains weight faster than it grows in length.</w:t>
      </w:r>
    </w:p>
    <w:p w14:paraId="3CED34FB" w14:textId="161CD0C4" w:rsidR="00913DCC" w:rsidRPr="00F2344B" w:rsidRDefault="004641DB" w:rsidP="008D7A28">
      <w:pPr>
        <w:pStyle w:val="Heading3"/>
      </w:pPr>
      <w:bookmarkStart w:id="5" w:name="_Toc184793519"/>
      <w:r w:rsidRPr="00F2344B">
        <w:t xml:space="preserve">2.3.3 </w:t>
      </w:r>
      <w:r w:rsidR="008D7A28" w:rsidRPr="00F2344B">
        <w:t>C</w:t>
      </w:r>
      <w:r w:rsidR="00913DCC" w:rsidRPr="00F2344B">
        <w:t>ondition</w:t>
      </w:r>
      <w:bookmarkEnd w:id="5"/>
      <w:r w:rsidR="00913DCC" w:rsidRPr="00F2344B">
        <w:t xml:space="preserve"> </w:t>
      </w:r>
      <w:r w:rsidR="008D7A28" w:rsidRPr="00F2344B">
        <w:t>factor</w:t>
      </w:r>
    </w:p>
    <w:p w14:paraId="0678F83E" w14:textId="2521BE43" w:rsidR="00FF4BBF" w:rsidRPr="00F2344B" w:rsidRDefault="00FF4BBF" w:rsidP="00D1338D">
      <w:pPr>
        <w:pStyle w:val="ListParagraph"/>
        <w:tabs>
          <w:tab w:val="left" w:pos="1675"/>
        </w:tabs>
        <w:spacing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lang w:val="en-GB"/>
        </w:rPr>
        <w:t xml:space="preserve">For this study, Fulton’s condition factor (Bagenal, 1978) was used. In most fish, the body retains its initial proportions during growth following metamorphosis. The condition factor (K) serves as an indicator of </w:t>
      </w:r>
      <w:r>
        <w:rPr>
          <w:rFonts w:ascii="Times New Roman" w:hAnsi="Times New Roman" w:cs="Times New Roman"/>
          <w:color w:val="000000"/>
          <w:sz w:val="24"/>
          <w:szCs w:val="24"/>
          <w:highlight w:val="yellow"/>
          <w:lang w:val="en-GB"/>
        </w:rPr>
        <w:t>a</w:t>
      </w:r>
      <w:r>
        <w:rPr>
          <w:rFonts w:ascii="Times New Roman" w:hAnsi="Times New Roman" w:cs="Times New Roman"/>
          <w:color w:val="000000"/>
          <w:sz w:val="24"/>
          <w:szCs w:val="24"/>
          <w:lang w:val="en-GB"/>
        </w:rPr>
        <w:t xml:space="preserve"> fish's physiological state in relation to </w:t>
      </w:r>
      <w:r>
        <w:rPr>
          <w:rFonts w:ascii="Times New Roman" w:hAnsi="Times New Roman" w:cs="Times New Roman"/>
          <w:color w:val="000000"/>
          <w:sz w:val="24"/>
          <w:szCs w:val="24"/>
          <w:highlight w:val="yellow"/>
          <w:lang w:val="en-GB"/>
        </w:rPr>
        <w:t>i</w:t>
      </w:r>
      <w:r>
        <w:rPr>
          <w:rFonts w:ascii="Times New Roman" w:hAnsi="Times New Roman" w:cs="Times New Roman"/>
          <w:color w:val="000000"/>
          <w:sz w:val="24"/>
          <w:szCs w:val="24"/>
          <w:lang w:val="en-GB"/>
        </w:rPr>
        <w:t>t</w:t>
      </w:r>
      <w:r>
        <w:rPr>
          <w:rFonts w:ascii="Times New Roman" w:hAnsi="Times New Roman" w:cs="Times New Roman"/>
          <w:color w:val="000000"/>
          <w:sz w:val="24"/>
          <w:szCs w:val="24"/>
          <w:highlight w:val="yellow"/>
          <w:lang w:val="en-GB"/>
        </w:rPr>
        <w:t>s</w:t>
      </w:r>
      <w:r>
        <w:rPr>
          <w:rFonts w:ascii="Times New Roman" w:hAnsi="Times New Roman" w:cs="Times New Roman"/>
          <w:color w:val="000000"/>
          <w:sz w:val="24"/>
          <w:szCs w:val="24"/>
          <w:lang w:val="en-GB"/>
        </w:rPr>
        <w:t xml:space="preserve"> well-being (Jenyo-Oni et al., 2014).</w:t>
      </w:r>
      <w:r>
        <w:rPr>
          <w:lang w:val="en-GB"/>
        </w:rPr>
        <w:t xml:space="preserve"> </w:t>
      </w:r>
      <w:r>
        <w:rPr>
          <w:rFonts w:ascii="Times New Roman" w:hAnsi="Times New Roman" w:cs="Times New Roman"/>
          <w:color w:val="000000"/>
          <w:sz w:val="24"/>
          <w:szCs w:val="24"/>
          <w:lang w:val="en-GB"/>
        </w:rPr>
        <w:t xml:space="preserve">It is an expression of the length-weight relationship that provides an indication of the physiological condition of a given species in terms of its plumpness (Kartas </w:t>
      </w:r>
      <w:r>
        <w:rPr>
          <w:rFonts w:ascii="Times New Roman" w:hAnsi="Times New Roman" w:cs="Times New Roman"/>
          <w:color w:val="000000"/>
          <w:sz w:val="24"/>
          <w:szCs w:val="24"/>
          <w:highlight w:val="yellow"/>
          <w:lang w:val="en-GB"/>
        </w:rPr>
        <w:t>&amp;</w:t>
      </w:r>
      <w:r>
        <w:rPr>
          <w:rFonts w:ascii="Times New Roman" w:hAnsi="Times New Roman" w:cs="Times New Roman"/>
          <w:color w:val="000000"/>
          <w:sz w:val="24"/>
          <w:szCs w:val="24"/>
          <w:lang w:val="en-GB"/>
        </w:rPr>
        <w:t xml:space="preserve"> Quignard, 1984). The condition factor was determined using Fulton’s </w:t>
      </w:r>
      <w:r>
        <w:rPr>
          <w:rFonts w:ascii="Times New Roman" w:hAnsi="Times New Roman" w:cs="Times New Roman"/>
          <w:color w:val="000000"/>
          <w:sz w:val="24"/>
          <w:szCs w:val="24"/>
          <w:highlight w:val="yellow"/>
          <w:lang w:val="en-GB"/>
        </w:rPr>
        <w:t xml:space="preserve">(1904) </w:t>
      </w:r>
      <w:r>
        <w:rPr>
          <w:rFonts w:ascii="Times New Roman" w:hAnsi="Times New Roman" w:cs="Times New Roman"/>
          <w:color w:val="000000"/>
          <w:sz w:val="24"/>
          <w:szCs w:val="24"/>
          <w:lang w:val="en-GB"/>
        </w:rPr>
        <w:t>formula: K = (Pt / LS³) × 100</w:t>
      </w:r>
    </w:p>
    <w:p w14:paraId="69D811CD" w14:textId="77777777" w:rsidR="00FF4BBF" w:rsidRPr="00F2344B" w:rsidRDefault="00FF4BBF" w:rsidP="00FF4BBF">
      <w:pPr>
        <w:pStyle w:val="ListParagraph"/>
        <w:tabs>
          <w:tab w:val="left" w:pos="1675"/>
        </w:tabs>
        <w:spacing w:line="360" w:lineRule="auto"/>
        <w:jc w:val="both"/>
        <w:rPr>
          <w:rFonts w:ascii="Times New Roman" w:hAnsi="Times New Roman" w:cs="Times New Roman"/>
          <w:color w:val="000000"/>
          <w:sz w:val="24"/>
          <w:szCs w:val="24"/>
          <w:lang w:val="en-GB"/>
        </w:rPr>
      </w:pPr>
      <w:r>
        <w:rPr>
          <w:rFonts w:ascii="Times New Roman" w:hAnsi="Times New Roman" w:cs="Times New Roman"/>
          <w:color w:val="000000"/>
          <w:sz w:val="24"/>
          <w:szCs w:val="24"/>
          <w:highlight w:val="yellow"/>
          <w:lang w:val="en-GB"/>
        </w:rPr>
        <w:t>w</w:t>
      </w:r>
      <w:r>
        <w:rPr>
          <w:rFonts w:ascii="Times New Roman" w:hAnsi="Times New Roman" w:cs="Times New Roman"/>
          <w:color w:val="000000"/>
          <w:sz w:val="24"/>
          <w:szCs w:val="24"/>
          <w:lang w:val="en-GB"/>
        </w:rPr>
        <w:t>here Pt = total weight of the fish (fresh) in g; LS = standard length of the fish in cm.</w:t>
      </w:r>
    </w:p>
    <w:p w14:paraId="1CEC0B58" w14:textId="212FD6EB" w:rsidR="00FF4BBF" w:rsidRPr="00F2344B" w:rsidRDefault="00FF4BBF" w:rsidP="00FF4BBF">
      <w:pPr>
        <w:pStyle w:val="ListParagraph"/>
        <w:tabs>
          <w:tab w:val="left" w:pos="1675"/>
        </w:tabs>
        <w:spacing w:line="360" w:lineRule="auto"/>
        <w:ind w:left="0"/>
        <w:jc w:val="both"/>
        <w:rPr>
          <w:rFonts w:ascii="Times New Roman" w:hAnsi="Times New Roman" w:cs="Times New Roman"/>
          <w:color w:val="000000"/>
          <w:sz w:val="24"/>
          <w:szCs w:val="24"/>
          <w:lang w:val="en-GB"/>
        </w:rPr>
      </w:pPr>
      <w:r w:rsidRPr="00F2344B">
        <w:rPr>
          <w:rFonts w:ascii="Times New Roman" w:hAnsi="Times New Roman" w:cs="Times New Roman"/>
          <w:color w:val="000000"/>
          <w:sz w:val="24"/>
          <w:szCs w:val="24"/>
          <w:lang w:val="en-GB"/>
        </w:rPr>
        <w:t>3 = exponent of the length-size relationship or allometry coefficient (b).</w:t>
      </w:r>
    </w:p>
    <w:p w14:paraId="34B169AF" w14:textId="3F88317F" w:rsidR="00DE0331" w:rsidRPr="00F2344B" w:rsidRDefault="004641DB" w:rsidP="0052549A">
      <w:pPr>
        <w:pStyle w:val="Heading2"/>
      </w:pPr>
      <w:bookmarkStart w:id="6" w:name="_Toc184793752"/>
      <w:r w:rsidRPr="00F2344B">
        <w:t xml:space="preserve">2.3.4 </w:t>
      </w:r>
      <w:r w:rsidR="008D7A28" w:rsidRPr="00F2344B">
        <w:t>S</w:t>
      </w:r>
      <w:r w:rsidR="00567D44" w:rsidRPr="00F2344B">
        <w:t>tatisti</w:t>
      </w:r>
      <w:r w:rsidR="008D7A28" w:rsidRPr="00F2344B">
        <w:t>cal analysis</w:t>
      </w:r>
      <w:bookmarkEnd w:id="6"/>
    </w:p>
    <w:p w14:paraId="2204AE70" w14:textId="642FF5B1" w:rsidR="00FF4BBF" w:rsidRPr="00F2344B" w:rsidRDefault="00FF4BBF" w:rsidP="00567D44">
      <w:pPr>
        <w:spacing w:after="0"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Student's t-test was applied to the b</w:t>
      </w:r>
      <w:r>
        <w:rPr>
          <w:rFonts w:ascii="Times New Roman" w:eastAsia="Calibri" w:hAnsi="Times New Roman" w:cs="Times New Roman"/>
          <w:sz w:val="24"/>
          <w:szCs w:val="24"/>
          <w:highlight w:val="yellow"/>
          <w:lang w:val="en-GB"/>
        </w:rPr>
        <w:t xml:space="preserve"> </w:t>
      </w:r>
      <w:r>
        <w:rPr>
          <w:rFonts w:ascii="Times New Roman" w:eastAsia="Calibri" w:hAnsi="Times New Roman" w:cs="Times New Roman"/>
          <w:sz w:val="24"/>
          <w:szCs w:val="24"/>
          <w:lang w:val="en-GB"/>
        </w:rPr>
        <w:t xml:space="preserve">value obtained for each species studied to determine whether the value differed significantly from 3. The null hypothesis of isometric growth </w:t>
      </w:r>
      <w:r>
        <w:rPr>
          <w:rFonts w:ascii="Times New Roman" w:eastAsia="Calibri" w:hAnsi="Times New Roman" w:cs="Times New Roman"/>
          <w:sz w:val="24"/>
          <w:szCs w:val="24"/>
          <w:lang w:val="en-GB"/>
        </w:rPr>
        <w:lastRenderedPageBreak/>
        <w:t>(H0: b = 3) was tested using the statistic ts = (b – 3) / Sb, where Sb is the standard error of the slope (b) of the linear regression line.</w:t>
      </w:r>
    </w:p>
    <w:p w14:paraId="176794F2" w14:textId="77777777" w:rsidR="00FF4BBF" w:rsidRPr="00F2344B" w:rsidRDefault="00FF4BBF" w:rsidP="00FF4BBF">
      <w:pPr>
        <w:spacing w:after="0"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highlight w:val="yellow"/>
          <w:lang w:val="en-GB"/>
        </w:rPr>
        <w:t>If |ts| ≥ 1.96, then the difference is significant.</w:t>
      </w:r>
    </w:p>
    <w:p w14:paraId="7BC9BD2F" w14:textId="77777777" w:rsidR="00FF4BBF" w:rsidRPr="00F2344B" w:rsidRDefault="00FF4BBF" w:rsidP="00FF4BBF">
      <w:pPr>
        <w:spacing w:after="0"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highlight w:val="yellow"/>
          <w:lang w:val="en-GB"/>
        </w:rPr>
        <w:t>If |ts| &lt; 1.96, then the difference is not significant.</w:t>
      </w:r>
    </w:p>
    <w:p w14:paraId="1EF18170" w14:textId="056BB9E6" w:rsidR="00FF4BBF" w:rsidRPr="00F2344B" w:rsidRDefault="00FF4BBF" w:rsidP="00FF4BBF">
      <w:pPr>
        <w:spacing w:after="0" w:line="360" w:lineRule="auto"/>
        <w:jc w:val="both"/>
        <w:rPr>
          <w:rFonts w:ascii="Times New Roman" w:eastAsia="Calibri" w:hAnsi="Times New Roman" w:cs="Times New Roman"/>
          <w:sz w:val="24"/>
          <w:szCs w:val="24"/>
          <w:lang w:val="en-GB"/>
        </w:rPr>
      </w:pPr>
      <w:r w:rsidRPr="00F2344B">
        <w:rPr>
          <w:rFonts w:ascii="Times New Roman" w:eastAsia="Calibri" w:hAnsi="Times New Roman" w:cs="Times New Roman"/>
          <w:sz w:val="24"/>
          <w:szCs w:val="24"/>
          <w:lang w:val="en-GB"/>
        </w:rPr>
        <w:t>The various tests were performed using Statistica 7.1 software.</w:t>
      </w:r>
    </w:p>
    <w:p w14:paraId="2233F3CC" w14:textId="3D6B757B" w:rsidR="00E9790C" w:rsidRPr="00F2344B" w:rsidRDefault="008D7A28" w:rsidP="004641DB">
      <w:pPr>
        <w:pStyle w:val="ListParagraph"/>
        <w:numPr>
          <w:ilvl w:val="0"/>
          <w:numId w:val="41"/>
        </w:numPr>
        <w:tabs>
          <w:tab w:val="left" w:pos="2891"/>
        </w:tabs>
        <w:rPr>
          <w:rFonts w:ascii="Times New Roman" w:hAnsi="Times New Roman" w:cs="Times New Roman"/>
          <w:b/>
          <w:bCs/>
          <w:sz w:val="24"/>
          <w:szCs w:val="24"/>
        </w:rPr>
      </w:pPr>
      <w:bookmarkStart w:id="7" w:name="_Toc184793755"/>
      <w:r w:rsidRPr="00F2344B">
        <w:rPr>
          <w:rFonts w:ascii="Times New Roman" w:hAnsi="Times New Roman" w:cs="Times New Roman"/>
          <w:b/>
          <w:bCs/>
          <w:sz w:val="24"/>
          <w:szCs w:val="24"/>
        </w:rPr>
        <w:t>RESULT</w:t>
      </w:r>
      <w:r w:rsidR="00E9790C" w:rsidRPr="00F2344B">
        <w:rPr>
          <w:rFonts w:ascii="Times New Roman" w:hAnsi="Times New Roman" w:cs="Times New Roman"/>
          <w:b/>
          <w:bCs/>
          <w:sz w:val="24"/>
          <w:szCs w:val="24"/>
        </w:rPr>
        <w:t>S</w:t>
      </w:r>
      <w:bookmarkEnd w:id="7"/>
      <w:r w:rsidR="00E9790C" w:rsidRPr="00F2344B">
        <w:rPr>
          <w:rFonts w:ascii="Times New Roman" w:hAnsi="Times New Roman" w:cs="Times New Roman"/>
          <w:b/>
          <w:bCs/>
          <w:sz w:val="24"/>
          <w:szCs w:val="24"/>
        </w:rPr>
        <w:t xml:space="preserve"> </w:t>
      </w:r>
    </w:p>
    <w:p w14:paraId="1984BF3D" w14:textId="7DA58870" w:rsidR="0034640C" w:rsidRPr="00F2344B" w:rsidRDefault="004641DB" w:rsidP="0052549A">
      <w:pPr>
        <w:pStyle w:val="Heading2"/>
      </w:pPr>
      <w:bookmarkStart w:id="8" w:name="_Toc184793765"/>
      <w:r w:rsidRPr="00F2344B">
        <w:t xml:space="preserve">3.1 </w:t>
      </w:r>
      <w:bookmarkEnd w:id="8"/>
      <w:r w:rsidR="008D7A28" w:rsidRPr="00F2344B">
        <w:t>Size structure</w:t>
      </w:r>
      <w:r w:rsidR="009D7681" w:rsidRPr="00F2344B">
        <w:t xml:space="preserve"> </w:t>
      </w:r>
    </w:p>
    <w:p w14:paraId="33A26050" w14:textId="601E8DB2" w:rsidR="001164B2" w:rsidRPr="00F2344B" w:rsidRDefault="00FF4BBF" w:rsidP="00DA689B">
      <w:pPr>
        <w:spacing w:after="0" w:line="360" w:lineRule="auto"/>
        <w:ind w:firstLine="567"/>
        <w:jc w:val="both"/>
        <w:rPr>
          <w:rFonts w:ascii="Times New Roman" w:hAnsi="Times New Roman" w:cs="Times New Roman"/>
          <w:bCs/>
          <w:sz w:val="24"/>
          <w:szCs w:val="24"/>
          <w:lang w:val="en-GB"/>
        </w:rPr>
      </w:pPr>
      <w:r>
        <w:rPr>
          <w:rFonts w:ascii="Times New Roman" w:hAnsi="Times New Roman" w:cs="Times New Roman"/>
          <w:bCs/>
          <w:sz w:val="24"/>
          <w:szCs w:val="24"/>
          <w:lang w:val="en-GB"/>
        </w:rPr>
        <w:t xml:space="preserve">Figure 2 presents the size spectra of the different species. For </w:t>
      </w:r>
      <w:r>
        <w:rPr>
          <w:rFonts w:ascii="Times New Roman" w:hAnsi="Times New Roman" w:cs="Times New Roman"/>
          <w:bCs/>
          <w:i/>
          <w:sz w:val="24"/>
          <w:szCs w:val="24"/>
          <w:lang w:val="en-GB"/>
        </w:rPr>
        <w:t>Chrysichthys nigrodigitatus</w:t>
      </w:r>
      <w:r>
        <w:rPr>
          <w:rFonts w:ascii="Times New Roman" w:hAnsi="Times New Roman" w:cs="Times New Roman"/>
          <w:bCs/>
          <w:sz w:val="24"/>
          <w:szCs w:val="24"/>
          <w:lang w:val="en-GB"/>
        </w:rPr>
        <w:t xml:space="preserve"> (N = 328), size</w:t>
      </w:r>
      <w:r>
        <w:rPr>
          <w:rFonts w:ascii="Times New Roman" w:hAnsi="Times New Roman" w:cs="Times New Roman"/>
          <w:bCs/>
          <w:sz w:val="24"/>
          <w:szCs w:val="24"/>
          <w:highlight w:val="yellow"/>
          <w:lang w:val="en-GB"/>
        </w:rPr>
        <w:t>-</w:t>
      </w:r>
      <w:r>
        <w:rPr>
          <w:rFonts w:ascii="Times New Roman" w:hAnsi="Times New Roman" w:cs="Times New Roman"/>
          <w:bCs/>
          <w:sz w:val="24"/>
          <w:szCs w:val="24"/>
          <w:lang w:val="en-GB"/>
        </w:rPr>
        <w:t>spectrum analysis showed values ranging from 7 to 20.3 cm, with a predominance of the [8.5–10 cm[ size class, which account</w:t>
      </w:r>
      <w:r>
        <w:rPr>
          <w:rFonts w:ascii="Times New Roman" w:hAnsi="Times New Roman" w:cs="Times New Roman"/>
          <w:bCs/>
          <w:sz w:val="24"/>
          <w:szCs w:val="24"/>
          <w:highlight w:val="yellow"/>
          <w:lang w:val="en-GB"/>
        </w:rPr>
        <w:t>ed</w:t>
      </w:r>
      <w:r>
        <w:rPr>
          <w:rFonts w:ascii="Times New Roman" w:hAnsi="Times New Roman" w:cs="Times New Roman"/>
          <w:bCs/>
          <w:sz w:val="24"/>
          <w:szCs w:val="24"/>
          <w:lang w:val="en-GB"/>
        </w:rPr>
        <w:t xml:space="preserve"> for 28.38% of the population. </w:t>
      </w:r>
      <w:r>
        <w:rPr>
          <w:rFonts w:ascii="Times New Roman" w:hAnsi="Times New Roman" w:cs="Times New Roman"/>
          <w:sz w:val="24"/>
          <w:szCs w:val="24"/>
          <w:lang w:val="en-GB"/>
        </w:rPr>
        <w:t xml:space="preserve">Sizes ranging from 6.4 to 14.20 cm were measured for </w:t>
      </w:r>
      <w:r>
        <w:rPr>
          <w:rFonts w:ascii="Times New Roman" w:hAnsi="Times New Roman" w:cs="Times New Roman"/>
          <w:i/>
          <w:sz w:val="24"/>
          <w:szCs w:val="24"/>
          <w:lang w:val="en-GB"/>
        </w:rPr>
        <w:t>Coptodon zillii</w:t>
      </w:r>
      <w:r>
        <w:rPr>
          <w:rFonts w:ascii="Times New Roman" w:hAnsi="Times New Roman" w:cs="Times New Roman"/>
          <w:sz w:val="24"/>
          <w:szCs w:val="24"/>
          <w:lang w:val="en-GB"/>
        </w:rPr>
        <w:t xml:space="preserve"> specimens (N = 149). The majority of individuals (38.92%) fell into the [9.25–10.20 cm[ size class. For </w:t>
      </w:r>
      <w:r>
        <w:rPr>
          <w:rFonts w:ascii="Times New Roman" w:hAnsi="Times New Roman" w:cs="Times New Roman"/>
          <w:i/>
          <w:sz w:val="24"/>
          <w:szCs w:val="24"/>
          <w:lang w:val="en-GB"/>
        </w:rPr>
        <w:t>Oreochromis niloticus</w:t>
      </w:r>
      <w:r>
        <w:rPr>
          <w:rFonts w:ascii="Times New Roman" w:hAnsi="Times New Roman" w:cs="Times New Roman"/>
          <w:sz w:val="24"/>
          <w:szCs w:val="24"/>
          <w:lang w:val="en-GB"/>
        </w:rPr>
        <w:t xml:space="preserve"> (N = 129), sizes ranging from 7.8 to 17 cm were recorded; the [10.75–13.70 cm[ size class was the most represented for this species, accounting for 53.48% of the group.</w:t>
      </w:r>
      <w:r>
        <w:rPr>
          <w:rFonts w:ascii="Times New Roman" w:hAnsi="Times New Roman" w:cs="Times New Roman"/>
          <w:bCs/>
          <w:sz w:val="24"/>
          <w:szCs w:val="24"/>
          <w:lang w:val="en-GB"/>
        </w:rPr>
        <w:t xml:space="preserve"> </w:t>
      </w:r>
      <w:r>
        <w:rPr>
          <w:rFonts w:ascii="Times New Roman" w:hAnsi="Times New Roman" w:cs="Times New Roman"/>
          <w:sz w:val="24"/>
          <w:szCs w:val="24"/>
          <w:lang w:val="en-GB"/>
        </w:rPr>
        <w:t xml:space="preserve">Sizes ranging from 8 to 13.8 cm were recorded for the 119 </w:t>
      </w:r>
      <w:r>
        <w:rPr>
          <w:rFonts w:ascii="Times New Roman" w:hAnsi="Times New Roman" w:cs="Times New Roman"/>
          <w:i/>
          <w:sz w:val="24"/>
          <w:szCs w:val="24"/>
          <w:lang w:val="en-GB"/>
        </w:rPr>
        <w:t>Sarotherodon galilaeus</w:t>
      </w:r>
      <w:r>
        <w:rPr>
          <w:rFonts w:ascii="Times New Roman" w:hAnsi="Times New Roman" w:cs="Times New Roman"/>
          <w:sz w:val="24"/>
          <w:szCs w:val="24"/>
          <w:lang w:val="en-GB"/>
        </w:rPr>
        <w:t xml:space="preserve"> specimens, with a predominance of individuals in the [8–10.04 cm[ size class, representing 54.41% of the total. </w:t>
      </w:r>
      <w:r>
        <w:rPr>
          <w:rFonts w:ascii="Times New Roman" w:hAnsi="Times New Roman" w:cs="Times New Roman"/>
          <w:sz w:val="24"/>
          <w:szCs w:val="24"/>
          <w:highlight w:val="yellow"/>
          <w:lang w:val="en-GB"/>
        </w:rPr>
        <w:t>Fo</w:t>
      </w:r>
      <w:r>
        <w:rPr>
          <w:rFonts w:ascii="Times New Roman" w:hAnsi="Times New Roman" w:cs="Times New Roman"/>
          <w:sz w:val="24"/>
          <w:szCs w:val="24"/>
          <w:lang w:val="en-GB"/>
        </w:rPr>
        <w:t xml:space="preserve">r </w:t>
      </w:r>
      <w:r>
        <w:rPr>
          <w:rFonts w:ascii="Times New Roman" w:hAnsi="Times New Roman" w:cs="Times New Roman"/>
          <w:i/>
          <w:sz w:val="24"/>
          <w:szCs w:val="24"/>
          <w:lang w:val="en-GB"/>
        </w:rPr>
        <w:t>Hemichromis bimaculatus</w:t>
      </w:r>
      <w:r>
        <w:rPr>
          <w:rFonts w:ascii="Times New Roman" w:hAnsi="Times New Roman" w:cs="Times New Roman"/>
          <w:sz w:val="24"/>
          <w:szCs w:val="24"/>
          <w:lang w:val="en-GB"/>
        </w:rPr>
        <w:t xml:space="preserve"> (N = 99), sizes between 6.8 and 9.4 cm were recorded, with a predominance of the [7.66–8.52 cm[ size class (49.49%).</w:t>
      </w:r>
    </w:p>
    <w:p w14:paraId="4FA3146B" w14:textId="6B4CF9C2" w:rsidR="00BD27C7" w:rsidRPr="00F2344B" w:rsidRDefault="00BD27C7">
      <w:pPr>
        <w:rPr>
          <w:rFonts w:ascii="Times New Roman" w:hAnsi="Times New Roman" w:cs="Times New Roman"/>
          <w:sz w:val="24"/>
          <w:szCs w:val="24"/>
          <w:lang w:val="en-GB"/>
        </w:rPr>
      </w:pPr>
    </w:p>
    <w:p w14:paraId="3E532CA1" w14:textId="58CEE0D2" w:rsidR="00A01EC9" w:rsidRPr="00F2344B" w:rsidRDefault="004641DB" w:rsidP="0052549A">
      <w:pPr>
        <w:pStyle w:val="Heading2"/>
      </w:pPr>
      <w:bookmarkStart w:id="9" w:name="_Toc184793766"/>
      <w:r w:rsidRPr="00F2344B">
        <w:t xml:space="preserve">3.2 </w:t>
      </w:r>
      <w:r w:rsidR="008D7A28" w:rsidRPr="00F2344B">
        <w:t>C</w:t>
      </w:r>
      <w:r w:rsidR="00A01EC9" w:rsidRPr="00F2344B">
        <w:t>ondition</w:t>
      </w:r>
      <w:bookmarkEnd w:id="9"/>
      <w:r w:rsidR="008D7A28" w:rsidRPr="00F2344B">
        <w:t xml:space="preserve"> factor</w:t>
      </w:r>
    </w:p>
    <w:p w14:paraId="2036FD23" w14:textId="606ACA00" w:rsidR="00E9450E" w:rsidRPr="00F2344B" w:rsidRDefault="00491F0E" w:rsidP="00DA689B">
      <w:pPr>
        <w:spacing w:after="0" w:line="36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Table 1 presents the mean condition factor (K)</w:t>
      </w:r>
      <w:r>
        <w:rPr>
          <w:rFonts w:ascii="Times New Roman" w:hAnsi="Times New Roman" w:cs="Times New Roman"/>
          <w:sz w:val="24"/>
          <w:szCs w:val="24"/>
          <w:highlight w:val="yellow"/>
          <w:lang w:val="en-GB"/>
        </w:rPr>
        <w:t xml:space="preserve"> values</w:t>
      </w:r>
      <w:r>
        <w:rPr>
          <w:rFonts w:ascii="Times New Roman" w:hAnsi="Times New Roman" w:cs="Times New Roman"/>
          <w:sz w:val="24"/>
          <w:szCs w:val="24"/>
          <w:lang w:val="en-GB"/>
        </w:rPr>
        <w:t xml:space="preserve"> calculated for the species studied. Th</w:t>
      </w:r>
      <w:r>
        <w:rPr>
          <w:rFonts w:ascii="Times New Roman" w:hAnsi="Times New Roman" w:cs="Times New Roman"/>
          <w:sz w:val="24"/>
          <w:szCs w:val="24"/>
          <w:highlight w:val="yellow"/>
          <w:lang w:val="en-GB"/>
        </w:rPr>
        <w:t>e</w:t>
      </w:r>
      <w:r>
        <w:rPr>
          <w:rFonts w:ascii="Times New Roman" w:hAnsi="Times New Roman" w:cs="Times New Roman"/>
          <w:sz w:val="24"/>
          <w:szCs w:val="24"/>
          <w:lang w:val="en-GB"/>
        </w:rPr>
        <w:t xml:space="preserve"> condition factor ranged from 1.049 to 5.659 throughout the study. For </w:t>
      </w:r>
      <w:r>
        <w:rPr>
          <w:rFonts w:ascii="Times New Roman" w:hAnsi="Times New Roman" w:cs="Times New Roman"/>
          <w:i/>
          <w:sz w:val="24"/>
          <w:szCs w:val="24"/>
          <w:lang w:val="en-GB"/>
        </w:rPr>
        <w:t>Chrysichthys nigrodigitatus</w:t>
      </w:r>
      <w:r>
        <w:rPr>
          <w:rFonts w:ascii="Times New Roman" w:hAnsi="Times New Roman" w:cs="Times New Roman"/>
          <w:sz w:val="24"/>
          <w:szCs w:val="24"/>
          <w:lang w:val="en-GB"/>
        </w:rPr>
        <w:t xml:space="preserve">, K ranged from 1.049 to 3.053, with a mean of 1.920 ± 0.431. </w:t>
      </w:r>
      <w:r>
        <w:rPr>
          <w:rFonts w:ascii="Times New Roman" w:hAnsi="Times New Roman" w:cs="Times New Roman"/>
          <w:sz w:val="24"/>
          <w:szCs w:val="24"/>
          <w:highlight w:val="yellow"/>
          <w:lang w:val="en-GB"/>
        </w:rPr>
        <w:t>F</w:t>
      </w:r>
      <w:r>
        <w:rPr>
          <w:rFonts w:ascii="Times New Roman" w:hAnsi="Times New Roman" w:cs="Times New Roman"/>
          <w:sz w:val="24"/>
          <w:szCs w:val="24"/>
          <w:lang w:val="en-GB"/>
        </w:rPr>
        <w:t xml:space="preserve">or </w:t>
      </w:r>
      <w:r>
        <w:rPr>
          <w:rFonts w:ascii="Times New Roman" w:hAnsi="Times New Roman" w:cs="Times New Roman"/>
          <w:i/>
          <w:sz w:val="24"/>
          <w:szCs w:val="24"/>
          <w:lang w:val="en-GB"/>
        </w:rPr>
        <w:t>Coptodon zillii</w:t>
      </w:r>
      <w:r>
        <w:rPr>
          <w:rFonts w:ascii="Times New Roman" w:hAnsi="Times New Roman" w:cs="Times New Roman"/>
          <w:sz w:val="24"/>
          <w:szCs w:val="24"/>
          <w:highlight w:val="yellow"/>
          <w:lang w:val="en-GB"/>
        </w:rPr>
        <w:t>, K</w:t>
      </w:r>
      <w:r>
        <w:rPr>
          <w:rFonts w:ascii="Times New Roman" w:hAnsi="Times New Roman" w:cs="Times New Roman"/>
          <w:sz w:val="24"/>
          <w:szCs w:val="24"/>
          <w:lang w:val="en-GB"/>
        </w:rPr>
        <w:t xml:space="preserve"> ranged from 1.587 to 5.253, with a mean of 3.641 ± 0.813. </w:t>
      </w:r>
      <w:r>
        <w:rPr>
          <w:rFonts w:ascii="Times New Roman" w:hAnsi="Times New Roman" w:cs="Times New Roman"/>
          <w:sz w:val="24"/>
          <w:szCs w:val="24"/>
          <w:highlight w:val="yellow"/>
          <w:lang w:val="en-GB"/>
        </w:rPr>
        <w:t>For</w:t>
      </w:r>
      <w:r>
        <w:rPr>
          <w:rFonts w:ascii="Times New Roman" w:hAnsi="Times New Roman" w:cs="Times New Roman"/>
          <w:sz w:val="24"/>
          <w:szCs w:val="24"/>
          <w:lang w:val="en-GB"/>
        </w:rPr>
        <w:t xml:space="preserve"> </w:t>
      </w:r>
      <w:r>
        <w:rPr>
          <w:rFonts w:ascii="Times New Roman" w:hAnsi="Times New Roman" w:cs="Times New Roman"/>
          <w:i/>
          <w:sz w:val="24"/>
          <w:szCs w:val="24"/>
          <w:highlight w:val="yellow"/>
          <w:lang w:val="en-GB"/>
        </w:rPr>
        <w:t>O</w:t>
      </w:r>
      <w:r>
        <w:rPr>
          <w:rFonts w:ascii="Times New Roman" w:hAnsi="Times New Roman" w:cs="Times New Roman"/>
          <w:i/>
          <w:sz w:val="24"/>
          <w:szCs w:val="24"/>
          <w:lang w:val="en-GB"/>
        </w:rPr>
        <w:t>re</w:t>
      </w:r>
      <w:r>
        <w:rPr>
          <w:rFonts w:ascii="Times New Roman" w:hAnsi="Times New Roman" w:cs="Times New Roman"/>
          <w:i/>
          <w:sz w:val="24"/>
          <w:szCs w:val="24"/>
          <w:highlight w:val="yellow"/>
          <w:lang w:val="en-GB"/>
        </w:rPr>
        <w:t>ochromi</w:t>
      </w:r>
      <w:r>
        <w:rPr>
          <w:rFonts w:ascii="Times New Roman" w:hAnsi="Times New Roman" w:cs="Times New Roman"/>
          <w:i/>
          <w:sz w:val="24"/>
          <w:szCs w:val="24"/>
          <w:lang w:val="en-GB"/>
        </w:rPr>
        <w:t xml:space="preserve">s </w:t>
      </w:r>
      <w:r>
        <w:rPr>
          <w:rFonts w:ascii="Times New Roman" w:hAnsi="Times New Roman" w:cs="Times New Roman"/>
          <w:i/>
          <w:sz w:val="24"/>
          <w:szCs w:val="24"/>
          <w:highlight w:val="yellow"/>
          <w:lang w:val="en-GB"/>
        </w:rPr>
        <w:t>niloticu</w:t>
      </w:r>
      <w:r>
        <w:rPr>
          <w:rFonts w:ascii="Times New Roman" w:hAnsi="Times New Roman" w:cs="Times New Roman"/>
          <w:i/>
          <w:sz w:val="24"/>
          <w:szCs w:val="24"/>
          <w:lang w:val="en-GB"/>
        </w:rPr>
        <w:t>s</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K rang</w:t>
      </w:r>
      <w:r>
        <w:rPr>
          <w:rFonts w:ascii="Times New Roman" w:hAnsi="Times New Roman" w:cs="Times New Roman"/>
          <w:sz w:val="24"/>
          <w:szCs w:val="24"/>
          <w:highlight w:val="yellow"/>
          <w:lang w:val="en-GB"/>
        </w:rPr>
        <w:t>ed</w:t>
      </w:r>
      <w:r>
        <w:rPr>
          <w:rFonts w:ascii="Times New Roman" w:hAnsi="Times New Roman" w:cs="Times New Roman"/>
          <w:sz w:val="24"/>
          <w:szCs w:val="24"/>
          <w:lang w:val="en-GB"/>
        </w:rPr>
        <w:t xml:space="preserve"> from 1.900 to 5.481, with a mean of 3.975 ± 0.768. </w:t>
      </w:r>
      <w:r>
        <w:rPr>
          <w:rFonts w:ascii="Times New Roman" w:hAnsi="Times New Roman" w:cs="Times New Roman"/>
          <w:sz w:val="24"/>
          <w:szCs w:val="24"/>
          <w:highlight w:val="yellow"/>
          <w:lang w:val="en-GB"/>
        </w:rPr>
        <w:t>F</w:t>
      </w:r>
      <w:r>
        <w:rPr>
          <w:rFonts w:ascii="Times New Roman" w:hAnsi="Times New Roman" w:cs="Times New Roman"/>
          <w:sz w:val="24"/>
          <w:szCs w:val="24"/>
          <w:lang w:val="en-GB"/>
        </w:rPr>
        <w:t xml:space="preserve">or </w:t>
      </w:r>
      <w:r>
        <w:rPr>
          <w:rFonts w:ascii="Times New Roman" w:hAnsi="Times New Roman" w:cs="Times New Roman"/>
          <w:i/>
          <w:sz w:val="24"/>
          <w:szCs w:val="24"/>
          <w:lang w:val="en-GB"/>
        </w:rPr>
        <w:t>Sarotherodon galilaeus</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K</w:t>
      </w:r>
      <w:r>
        <w:rPr>
          <w:rFonts w:ascii="Times New Roman" w:hAnsi="Times New Roman" w:cs="Times New Roman"/>
          <w:sz w:val="24"/>
          <w:szCs w:val="24"/>
          <w:lang w:val="en-GB"/>
        </w:rPr>
        <w:t xml:space="preserve"> rang</w:t>
      </w:r>
      <w:r>
        <w:rPr>
          <w:rFonts w:ascii="Times New Roman" w:hAnsi="Times New Roman" w:cs="Times New Roman"/>
          <w:sz w:val="24"/>
          <w:szCs w:val="24"/>
          <w:highlight w:val="yellow"/>
          <w:lang w:val="en-GB"/>
        </w:rPr>
        <w:t>ed</w:t>
      </w:r>
      <w:r>
        <w:rPr>
          <w:rFonts w:ascii="Times New Roman" w:hAnsi="Times New Roman" w:cs="Times New Roman"/>
          <w:sz w:val="24"/>
          <w:szCs w:val="24"/>
          <w:lang w:val="en-GB"/>
        </w:rPr>
        <w:t xml:space="preserve"> from 1.793 to 5.659</w:t>
      </w:r>
      <w:r>
        <w:rPr>
          <w:rFonts w:ascii="Times New Roman" w:hAnsi="Times New Roman" w:cs="Times New Roman"/>
          <w:sz w:val="24"/>
          <w:szCs w:val="24"/>
          <w:highlight w:val="yellow"/>
          <w:lang w:val="en-GB"/>
        </w:rPr>
        <w:t>, with a mean of 3.222 ± 0.865</w:t>
      </w:r>
      <w:r>
        <w:rPr>
          <w:rFonts w:ascii="Times New Roman" w:hAnsi="Times New Roman" w:cs="Times New Roman"/>
          <w:sz w:val="24"/>
          <w:szCs w:val="24"/>
          <w:lang w:val="en-GB"/>
        </w:rPr>
        <w:t xml:space="preserve">. For </w:t>
      </w:r>
      <w:r>
        <w:rPr>
          <w:rFonts w:ascii="Times New Roman" w:hAnsi="Times New Roman" w:cs="Times New Roman"/>
          <w:i/>
          <w:sz w:val="24"/>
          <w:szCs w:val="24"/>
          <w:lang w:val="en-GB"/>
        </w:rPr>
        <w:t>Hemichromis bimaculatus</w:t>
      </w:r>
      <w:r>
        <w:rPr>
          <w:rFonts w:ascii="Times New Roman" w:hAnsi="Times New Roman" w:cs="Times New Roman"/>
          <w:sz w:val="24"/>
          <w:szCs w:val="24"/>
          <w:lang w:val="en-GB"/>
        </w:rPr>
        <w:t>, K ranged from 2.050 to 4.163, with a mean of 3.186 ± 0.530.</w:t>
      </w:r>
    </w:p>
    <w:p w14:paraId="7899ED2C" w14:textId="39FF8129" w:rsidR="00E9450E" w:rsidRPr="00F2344B" w:rsidRDefault="004641DB" w:rsidP="0052549A">
      <w:pPr>
        <w:pStyle w:val="Heading2"/>
      </w:pPr>
      <w:bookmarkStart w:id="10" w:name="_Toc184793767"/>
      <w:bookmarkEnd w:id="10"/>
      <w:r>
        <w:t>3.3 Length-weig</w:t>
      </w:r>
      <w:r>
        <w:rPr>
          <w:highlight w:val="yellow"/>
        </w:rPr>
        <w:t>h</w:t>
      </w:r>
      <w:r>
        <w:t>t relationship</w:t>
      </w:r>
    </w:p>
    <w:p w14:paraId="3FA695D3" w14:textId="1565CABD" w:rsidR="00491F0E" w:rsidRPr="00F2344B" w:rsidRDefault="00491F0E" w:rsidP="00750724">
      <w:pPr>
        <w:spacing w:after="0" w:line="36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For all specimens, le</w:t>
      </w:r>
      <w:r>
        <w:rPr>
          <w:rFonts w:ascii="Times New Roman" w:hAnsi="Times New Roman" w:cs="Times New Roman"/>
          <w:sz w:val="24"/>
          <w:szCs w:val="24"/>
          <w:highlight w:val="yellow"/>
          <w:lang w:val="en-GB"/>
        </w:rPr>
        <w:t>ngth</w:t>
      </w:r>
      <w:r>
        <w:rPr>
          <w:rFonts w:ascii="Times New Roman" w:hAnsi="Times New Roman" w:cs="Times New Roman"/>
          <w:sz w:val="24"/>
          <w:szCs w:val="24"/>
          <w:lang w:val="en-GB"/>
        </w:rPr>
        <w:t xml:space="preserve"> ranged from 6.4 to 20.3 cm</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an</w:t>
      </w:r>
      <w:r>
        <w:rPr>
          <w:rFonts w:ascii="Times New Roman" w:hAnsi="Times New Roman" w:cs="Times New Roman"/>
          <w:sz w:val="24"/>
          <w:szCs w:val="24"/>
          <w:highlight w:val="yellow"/>
          <w:lang w:val="en-GB"/>
        </w:rPr>
        <w:t>d weight range</w:t>
      </w:r>
      <w:r>
        <w:rPr>
          <w:rFonts w:ascii="Times New Roman" w:hAnsi="Times New Roman" w:cs="Times New Roman"/>
          <w:sz w:val="24"/>
          <w:szCs w:val="24"/>
          <w:lang w:val="en-GB"/>
        </w:rPr>
        <w:t xml:space="preserve">d from 6 to 214 g (Table 1). Measurements for </w:t>
      </w:r>
      <w:r>
        <w:rPr>
          <w:rFonts w:ascii="Times New Roman" w:hAnsi="Times New Roman" w:cs="Times New Roman"/>
          <w:i/>
          <w:sz w:val="24"/>
          <w:szCs w:val="24"/>
          <w:lang w:val="en-GB"/>
        </w:rPr>
        <w:t>Chrysichthys nigrodigitatus</w:t>
      </w:r>
      <w:r>
        <w:rPr>
          <w:rFonts w:ascii="Times New Roman" w:hAnsi="Times New Roman" w:cs="Times New Roman"/>
          <w:sz w:val="24"/>
          <w:szCs w:val="24"/>
          <w:lang w:val="en-GB"/>
        </w:rPr>
        <w:t xml:space="preserve"> ranged from 7 cm to </w:t>
      </w:r>
      <w:r>
        <w:rPr>
          <w:rFonts w:ascii="Times New Roman" w:hAnsi="Times New Roman" w:cs="Times New Roman"/>
          <w:sz w:val="24"/>
          <w:szCs w:val="24"/>
          <w:lang w:val="en-GB"/>
        </w:rPr>
        <w:lastRenderedPageBreak/>
        <w:t xml:space="preserve">20.3 cm, with weights varying between 6 g and 214 g. Lengths for </w:t>
      </w:r>
      <w:r>
        <w:rPr>
          <w:rFonts w:ascii="Times New Roman" w:hAnsi="Times New Roman" w:cs="Times New Roman"/>
          <w:i/>
          <w:sz w:val="24"/>
          <w:szCs w:val="24"/>
          <w:lang w:val="en-GB"/>
        </w:rPr>
        <w:t>Coptodon zillii</w:t>
      </w:r>
      <w:r>
        <w:rPr>
          <w:rFonts w:ascii="Times New Roman" w:hAnsi="Times New Roman" w:cs="Times New Roman"/>
          <w:sz w:val="24"/>
          <w:szCs w:val="24"/>
          <w:highlight w:val="yellow"/>
          <w:lang w:val="en-GB"/>
        </w:rPr>
        <w:t xml:space="preserve"> ranged from 6.4 to 14.2 cm, with weights varying from 11.48 g to 94 g.</w:t>
      </w:r>
    </w:p>
    <w:p w14:paraId="001AC767" w14:textId="1FA5DA5E" w:rsidR="00750724" w:rsidRPr="00F2344B" w:rsidRDefault="00DA689B" w:rsidP="00750724">
      <w:pPr>
        <w:spacing w:after="0" w:line="36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For </w:t>
      </w:r>
      <w:r>
        <w:rPr>
          <w:rFonts w:ascii="Times New Roman" w:hAnsi="Times New Roman" w:cs="Times New Roman"/>
          <w:i/>
          <w:sz w:val="24"/>
          <w:szCs w:val="24"/>
          <w:lang w:val="en-GB"/>
        </w:rPr>
        <w:t>Oreochromis niloticus</w:t>
      </w:r>
      <w:r>
        <w:rPr>
          <w:rFonts w:ascii="Times New Roman" w:hAnsi="Times New Roman" w:cs="Times New Roman"/>
          <w:sz w:val="24"/>
          <w:szCs w:val="24"/>
          <w:highlight w:val="yellow"/>
          <w:lang w:val="en-GB"/>
        </w:rPr>
        <w:t>, lengths ranged from 7.8 cm to 17 cm, with weights ra</w:t>
      </w:r>
      <w:r>
        <w:rPr>
          <w:rFonts w:ascii="Times New Roman" w:hAnsi="Times New Roman" w:cs="Times New Roman"/>
          <w:sz w:val="24"/>
          <w:szCs w:val="24"/>
          <w:lang w:val="en-GB"/>
        </w:rPr>
        <w:t>n</w:t>
      </w:r>
      <w:r>
        <w:rPr>
          <w:rFonts w:ascii="Times New Roman" w:hAnsi="Times New Roman" w:cs="Times New Roman"/>
          <w:sz w:val="24"/>
          <w:szCs w:val="24"/>
          <w:highlight w:val="yellow"/>
          <w:lang w:val="en-GB"/>
        </w:rPr>
        <w:t>ging from</w:t>
      </w:r>
      <w:r>
        <w:rPr>
          <w:rFonts w:ascii="Times New Roman" w:hAnsi="Times New Roman" w:cs="Times New Roman"/>
          <w:sz w:val="24"/>
          <w:szCs w:val="24"/>
          <w:lang w:val="en-GB"/>
        </w:rPr>
        <w:t xml:space="preserve"> 18 g </w:t>
      </w:r>
      <w:r>
        <w:rPr>
          <w:rFonts w:ascii="Times New Roman" w:hAnsi="Times New Roman" w:cs="Times New Roman"/>
          <w:sz w:val="24"/>
          <w:szCs w:val="24"/>
          <w:highlight w:val="yellow"/>
          <w:lang w:val="en-GB"/>
        </w:rPr>
        <w:t xml:space="preserve">to 107 g. For </w:t>
      </w:r>
      <w:r>
        <w:rPr>
          <w:rFonts w:ascii="Times New Roman" w:hAnsi="Times New Roman" w:cs="Times New Roman"/>
          <w:i/>
          <w:sz w:val="24"/>
          <w:szCs w:val="24"/>
          <w:lang w:val="en-GB"/>
        </w:rPr>
        <w:t>Sarotherodon galilaeus</w:t>
      </w:r>
      <w:r>
        <w:rPr>
          <w:rFonts w:ascii="Times New Roman" w:hAnsi="Times New Roman" w:cs="Times New Roman"/>
          <w:sz w:val="24"/>
          <w:szCs w:val="24"/>
          <w:lang w:val="en-GB"/>
        </w:rPr>
        <w:t xml:space="preserve">, lengths ranged from 8 cm to 13.8 cm, with weights </w:t>
      </w:r>
      <w:r>
        <w:rPr>
          <w:rFonts w:ascii="Times New Roman" w:hAnsi="Times New Roman" w:cs="Times New Roman"/>
          <w:sz w:val="24"/>
          <w:szCs w:val="24"/>
          <w:highlight w:val="yellow"/>
          <w:lang w:val="en-GB"/>
        </w:rPr>
        <w:t>ra</w:t>
      </w:r>
      <w:r>
        <w:rPr>
          <w:rFonts w:ascii="Times New Roman" w:hAnsi="Times New Roman" w:cs="Times New Roman"/>
          <w:sz w:val="24"/>
          <w:szCs w:val="24"/>
          <w:lang w:val="en-GB"/>
        </w:rPr>
        <w:t>n</w:t>
      </w:r>
      <w:r>
        <w:rPr>
          <w:rFonts w:ascii="Times New Roman" w:hAnsi="Times New Roman" w:cs="Times New Roman"/>
          <w:sz w:val="24"/>
          <w:szCs w:val="24"/>
          <w:highlight w:val="yellow"/>
          <w:lang w:val="en-GB"/>
        </w:rPr>
        <w:t>ging from 16 g to</w:t>
      </w:r>
      <w:r>
        <w:rPr>
          <w:rFonts w:ascii="Times New Roman" w:hAnsi="Times New Roman" w:cs="Times New Roman"/>
          <w:sz w:val="24"/>
          <w:szCs w:val="24"/>
          <w:lang w:val="en-GB"/>
        </w:rPr>
        <w:t xml:space="preserve"> 82 g. Measurements for </w:t>
      </w:r>
      <w:r>
        <w:rPr>
          <w:rFonts w:ascii="Times New Roman" w:hAnsi="Times New Roman" w:cs="Times New Roman"/>
          <w:i/>
          <w:sz w:val="24"/>
          <w:szCs w:val="24"/>
          <w:lang w:val="en-GB"/>
        </w:rPr>
        <w:t>Hemichromis bimaculatus</w:t>
      </w:r>
      <w:r>
        <w:rPr>
          <w:rFonts w:ascii="Times New Roman" w:hAnsi="Times New Roman" w:cs="Times New Roman"/>
          <w:sz w:val="24"/>
          <w:szCs w:val="24"/>
          <w:highlight w:val="yellow"/>
          <w:lang w:val="en-GB"/>
        </w:rPr>
        <w:t xml:space="preserve"> showed lengths ranging from 6.8 cm to 9.4 cm, with weights varying from 7 g to 26.41 g.</w:t>
      </w:r>
    </w:p>
    <w:p w14:paraId="65D653AD" w14:textId="19FC83A2" w:rsidR="00491F0E" w:rsidRPr="00F2344B" w:rsidRDefault="00491F0E" w:rsidP="0058349A">
      <w:pPr>
        <w:spacing w:after="0" w:line="360" w:lineRule="auto"/>
        <w:ind w:firstLine="567"/>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length-weight relationship for the five selected species was determined (Table 2). The coefficient of determination (R² = 0.91) indicated a strong correlation between the length and weight of </w:t>
      </w:r>
      <w:r>
        <w:rPr>
          <w:rFonts w:ascii="Times New Roman" w:eastAsia="Calibri" w:hAnsi="Times New Roman" w:cs="Times New Roman"/>
          <w:i/>
          <w:sz w:val="24"/>
          <w:szCs w:val="24"/>
          <w:lang w:val="en-GB"/>
        </w:rPr>
        <w:t>Chrysichthys nigrodigitatus</w:t>
      </w:r>
      <w:r>
        <w:rPr>
          <w:rFonts w:ascii="Times New Roman" w:eastAsia="Calibri" w:hAnsi="Times New Roman" w:cs="Times New Roman"/>
          <w:sz w:val="24"/>
          <w:szCs w:val="24"/>
          <w:lang w:val="en-GB"/>
        </w:rPr>
        <w:t xml:space="preserve">. The results showed an allometric coefficient (b) of 3.37, </w:t>
      </w:r>
      <w:r>
        <w:rPr>
          <w:rFonts w:ascii="Times New Roman" w:eastAsia="Calibri" w:hAnsi="Times New Roman" w:cs="Times New Roman"/>
          <w:sz w:val="24"/>
          <w:szCs w:val="24"/>
          <w:highlight w:val="yellow"/>
          <w:lang w:val="en-GB"/>
        </w:rPr>
        <w:t xml:space="preserve">which was </w:t>
      </w:r>
      <w:r>
        <w:rPr>
          <w:rFonts w:ascii="Times New Roman" w:eastAsia="Calibri" w:hAnsi="Times New Roman" w:cs="Times New Roman"/>
          <w:sz w:val="24"/>
          <w:szCs w:val="24"/>
          <w:lang w:val="en-GB"/>
        </w:rPr>
        <w:t>significantly different from 3 (Student's t-test, |t| &gt; 1.96).</w:t>
      </w:r>
    </w:p>
    <w:p w14:paraId="38B75E9F" w14:textId="64DED348" w:rsidR="009B1706" w:rsidRPr="00F2344B" w:rsidRDefault="00491F0E" w:rsidP="0058349A">
      <w:pPr>
        <w:spacing w:after="0" w:line="360" w:lineRule="auto"/>
        <w:ind w:firstLine="567"/>
        <w:jc w:val="both"/>
        <w:rPr>
          <w:rFonts w:ascii="Times New Roman" w:hAnsi="Times New Roman" w:cs="Times New Roman"/>
          <w:sz w:val="24"/>
          <w:szCs w:val="24"/>
          <w:lang w:val="en-GB"/>
        </w:rPr>
      </w:pPr>
      <w:r>
        <w:rPr>
          <w:rFonts w:ascii="Times New Roman" w:eastAsia="Calibri" w:hAnsi="Times New Roman" w:cs="Times New Roman"/>
          <w:sz w:val="24"/>
          <w:szCs w:val="24"/>
          <w:lang w:val="en-GB"/>
        </w:rPr>
        <w:t xml:space="preserve">Growth assessment revealed positive allometric growth. For </w:t>
      </w:r>
      <w:r>
        <w:rPr>
          <w:rFonts w:ascii="Times New Roman" w:eastAsia="Calibri" w:hAnsi="Times New Roman" w:cs="Times New Roman"/>
          <w:i/>
          <w:sz w:val="24"/>
          <w:szCs w:val="24"/>
          <w:lang w:val="en-GB"/>
        </w:rPr>
        <w:t>Coptodon zillii</w:t>
      </w:r>
      <w:r>
        <w:rPr>
          <w:rFonts w:ascii="Times New Roman" w:eastAsia="Calibri" w:hAnsi="Times New Roman" w:cs="Times New Roman"/>
          <w:sz w:val="24"/>
          <w:szCs w:val="24"/>
          <w:lang w:val="en-GB"/>
        </w:rPr>
        <w:t xml:space="preserve">, a correlation between length and weight was found, with a coefficient of determination of R² = 0.58. An allometric coefficient b of 2.23 was obtained, </w:t>
      </w:r>
      <w:r>
        <w:rPr>
          <w:rFonts w:ascii="Times New Roman" w:eastAsia="Calibri" w:hAnsi="Times New Roman" w:cs="Times New Roman"/>
          <w:sz w:val="24"/>
          <w:szCs w:val="24"/>
          <w:highlight w:val="yellow"/>
          <w:lang w:val="en-GB"/>
        </w:rPr>
        <w:t>which w</w:t>
      </w:r>
      <w:r>
        <w:rPr>
          <w:rFonts w:ascii="Times New Roman" w:eastAsia="Calibri" w:hAnsi="Times New Roman" w:cs="Times New Roman"/>
          <w:sz w:val="24"/>
          <w:szCs w:val="24"/>
          <w:lang w:val="en-GB"/>
        </w:rPr>
        <w:t>a</w:t>
      </w:r>
      <w:r>
        <w:rPr>
          <w:rFonts w:ascii="Times New Roman" w:eastAsia="Calibri" w:hAnsi="Times New Roman" w:cs="Times New Roman"/>
          <w:sz w:val="24"/>
          <w:szCs w:val="24"/>
          <w:highlight w:val="yellow"/>
          <w:lang w:val="en-GB"/>
        </w:rPr>
        <w:t>s</w:t>
      </w:r>
      <w:r>
        <w:rPr>
          <w:rFonts w:ascii="Times New Roman" w:eastAsia="Calibri" w:hAnsi="Times New Roman" w:cs="Times New Roman"/>
          <w:sz w:val="24"/>
          <w:szCs w:val="24"/>
          <w:lang w:val="en-GB"/>
        </w:rPr>
        <w:t xml:space="preserve"> significantly different from 3 (Student’s t-test, |t| &gt; 1.96). </w:t>
      </w:r>
      <w:r>
        <w:rPr>
          <w:rFonts w:ascii="Times New Roman" w:eastAsia="Calibri" w:hAnsi="Times New Roman" w:cs="Times New Roman"/>
          <w:sz w:val="24"/>
          <w:szCs w:val="24"/>
          <w:highlight w:val="yellow"/>
          <w:lang w:val="en-GB"/>
        </w:rPr>
        <w:t>G</w:t>
      </w:r>
      <w:r>
        <w:rPr>
          <w:rFonts w:ascii="Times New Roman" w:eastAsia="Calibri" w:hAnsi="Times New Roman" w:cs="Times New Roman"/>
          <w:sz w:val="24"/>
          <w:szCs w:val="24"/>
          <w:lang w:val="en-GB"/>
        </w:rPr>
        <w:t xml:space="preserve">rowth assessment of </w:t>
      </w:r>
      <w:r>
        <w:rPr>
          <w:rFonts w:ascii="Times New Roman" w:eastAsia="Calibri" w:hAnsi="Times New Roman" w:cs="Times New Roman"/>
          <w:i/>
          <w:sz w:val="24"/>
          <w:szCs w:val="24"/>
          <w:lang w:val="en-GB"/>
        </w:rPr>
        <w:t>Coptodon zillii</w:t>
      </w:r>
      <w:r>
        <w:rPr>
          <w:rFonts w:ascii="Times New Roman" w:eastAsia="Calibri" w:hAnsi="Times New Roman" w:cs="Times New Roman"/>
          <w:sz w:val="24"/>
          <w:szCs w:val="24"/>
          <w:lang w:val="en-GB"/>
        </w:rPr>
        <w:t xml:space="preserve"> indicated negative allometric growth.</w:t>
      </w:r>
    </w:p>
    <w:p w14:paraId="684ECE3A" w14:textId="435382A4" w:rsidR="00A71CDC" w:rsidRPr="00F2344B" w:rsidRDefault="00A71CDC" w:rsidP="002E2A38">
      <w:pPr>
        <w:spacing w:after="0" w:line="360" w:lineRule="auto"/>
        <w:jc w:val="both"/>
        <w:rPr>
          <w:rFonts w:ascii="Times New Roman" w:eastAsia="Calibri" w:hAnsi="Times New Roman" w:cs="Times New Roman"/>
          <w:color w:val="000000"/>
          <w:sz w:val="24"/>
          <w:szCs w:val="24"/>
          <w:lang w:val="en-GB"/>
        </w:rPr>
      </w:pPr>
    </w:p>
    <w:p w14:paraId="0FC31B71" w14:textId="627E946B" w:rsidR="00491F0E" w:rsidRPr="00F2344B" w:rsidRDefault="001436D5" w:rsidP="0058349A">
      <w:pPr>
        <w:spacing w:after="0"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coefficient of determination (R² = 0.72) demonstrated a correlation between the length and weight of </w:t>
      </w:r>
      <w:r>
        <w:rPr>
          <w:rFonts w:ascii="Times New Roman" w:eastAsia="Calibri" w:hAnsi="Times New Roman" w:cs="Times New Roman"/>
          <w:i/>
          <w:sz w:val="24"/>
          <w:szCs w:val="24"/>
          <w:lang w:val="en-GB"/>
        </w:rPr>
        <w:t>Oreochromis niloticus</w:t>
      </w:r>
      <w:r>
        <w:rPr>
          <w:rFonts w:ascii="Times New Roman" w:eastAsia="Calibri" w:hAnsi="Times New Roman" w:cs="Times New Roman"/>
          <w:sz w:val="24"/>
          <w:szCs w:val="24"/>
          <w:lang w:val="en-GB"/>
        </w:rPr>
        <w:t xml:space="preserve">. The results showed an allometric coefficient b of 2.74, </w:t>
      </w:r>
      <w:r>
        <w:rPr>
          <w:rFonts w:ascii="Times New Roman" w:eastAsia="Calibri" w:hAnsi="Times New Roman" w:cs="Times New Roman"/>
          <w:sz w:val="24"/>
          <w:szCs w:val="24"/>
          <w:highlight w:val="yellow"/>
          <w:lang w:val="en-GB"/>
        </w:rPr>
        <w:t xml:space="preserve">which was </w:t>
      </w:r>
      <w:r>
        <w:rPr>
          <w:rFonts w:ascii="Times New Roman" w:eastAsia="Calibri" w:hAnsi="Times New Roman" w:cs="Times New Roman"/>
          <w:sz w:val="24"/>
          <w:szCs w:val="24"/>
          <w:lang w:val="en-GB"/>
        </w:rPr>
        <w:t>significantly different from 3 (Student's t-test, |t| &gt; 1.96).</w:t>
      </w:r>
    </w:p>
    <w:p w14:paraId="58191401" w14:textId="06E22C76" w:rsidR="00491F0E" w:rsidRPr="00F2344B" w:rsidRDefault="005E277C" w:rsidP="0058349A">
      <w:pPr>
        <w:spacing w:after="0"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Growth assessment revealed negative allometric growth. A correlation between length and weight was found for </w:t>
      </w:r>
      <w:r>
        <w:rPr>
          <w:rFonts w:ascii="Times New Roman" w:eastAsia="Calibri" w:hAnsi="Times New Roman" w:cs="Times New Roman"/>
          <w:i/>
          <w:sz w:val="24"/>
          <w:szCs w:val="24"/>
          <w:lang w:val="en-GB"/>
        </w:rPr>
        <w:t>Sarotherodon galilaeus</w:t>
      </w:r>
      <w:r>
        <w:rPr>
          <w:rFonts w:ascii="Times New Roman" w:eastAsia="Calibri" w:hAnsi="Times New Roman" w:cs="Times New Roman"/>
          <w:sz w:val="24"/>
          <w:szCs w:val="24"/>
          <w:lang w:val="en-GB"/>
        </w:rPr>
        <w:t xml:space="preserve">, with a coefficient of determination of R² = 0.60. An allometric coefficient b of 2.34 was obtained, </w:t>
      </w:r>
      <w:r>
        <w:rPr>
          <w:rFonts w:ascii="Times New Roman" w:eastAsia="Calibri" w:hAnsi="Times New Roman" w:cs="Times New Roman"/>
          <w:sz w:val="24"/>
          <w:szCs w:val="24"/>
          <w:highlight w:val="yellow"/>
          <w:lang w:val="en-GB"/>
        </w:rPr>
        <w:t>which w</w:t>
      </w:r>
      <w:r>
        <w:rPr>
          <w:rFonts w:ascii="Times New Roman" w:eastAsia="Calibri" w:hAnsi="Times New Roman" w:cs="Times New Roman"/>
          <w:sz w:val="24"/>
          <w:szCs w:val="24"/>
          <w:lang w:val="en-GB"/>
        </w:rPr>
        <w:t>a</w:t>
      </w:r>
      <w:r>
        <w:rPr>
          <w:rFonts w:ascii="Times New Roman" w:eastAsia="Calibri" w:hAnsi="Times New Roman" w:cs="Times New Roman"/>
          <w:sz w:val="24"/>
          <w:szCs w:val="24"/>
          <w:highlight w:val="yellow"/>
          <w:lang w:val="en-GB"/>
        </w:rPr>
        <w:t>s</w:t>
      </w:r>
      <w:r>
        <w:rPr>
          <w:rFonts w:ascii="Times New Roman" w:eastAsia="Calibri" w:hAnsi="Times New Roman" w:cs="Times New Roman"/>
          <w:sz w:val="24"/>
          <w:szCs w:val="24"/>
          <w:lang w:val="en-GB"/>
        </w:rPr>
        <w:t xml:space="preserve"> significantly different from 3 (Student’s t-test, |t| &gt; 1.96).</w:t>
      </w:r>
    </w:p>
    <w:p w14:paraId="5270513F" w14:textId="7C70A5FE" w:rsidR="00385AF1" w:rsidRPr="00F2344B" w:rsidRDefault="005E277C" w:rsidP="0058349A">
      <w:pPr>
        <w:spacing w:after="0"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highlight w:val="yellow"/>
          <w:lang w:val="en-GB"/>
        </w:rPr>
        <w:t>G</w:t>
      </w:r>
      <w:r>
        <w:rPr>
          <w:rFonts w:ascii="Times New Roman" w:eastAsia="Calibri" w:hAnsi="Times New Roman" w:cs="Times New Roman"/>
          <w:sz w:val="24"/>
          <w:szCs w:val="24"/>
          <w:lang w:val="en-GB"/>
        </w:rPr>
        <w:t xml:space="preserve">rowth assessment of </w:t>
      </w:r>
      <w:r>
        <w:rPr>
          <w:rFonts w:ascii="Times New Roman" w:eastAsia="Calibri" w:hAnsi="Times New Roman" w:cs="Times New Roman"/>
          <w:i/>
          <w:sz w:val="24"/>
          <w:szCs w:val="24"/>
          <w:lang w:val="en-GB"/>
        </w:rPr>
        <w:t>Sarotherodon galilaeus</w:t>
      </w:r>
      <w:r>
        <w:rPr>
          <w:rFonts w:ascii="Times New Roman" w:eastAsia="Calibri" w:hAnsi="Times New Roman" w:cs="Times New Roman"/>
          <w:sz w:val="24"/>
          <w:szCs w:val="24"/>
          <w:highlight w:val="yellow"/>
          <w:lang w:val="en-GB"/>
        </w:rPr>
        <w:t xml:space="preserve"> revealed negative allometric growth. The coefficient of determination (R² = 0.66) indicated a strong correlation between the length and weight of </w:t>
      </w:r>
      <w:r>
        <w:rPr>
          <w:rFonts w:ascii="Times New Roman" w:eastAsia="Calibri" w:hAnsi="Times New Roman" w:cs="Times New Roman"/>
          <w:i/>
          <w:sz w:val="24"/>
          <w:szCs w:val="24"/>
          <w:lang w:val="en-GB"/>
        </w:rPr>
        <w:t>Hemichromis bimaculatus</w:t>
      </w:r>
      <w:r>
        <w:rPr>
          <w:rFonts w:ascii="Times New Roman" w:eastAsia="Calibri" w:hAnsi="Times New Roman" w:cs="Times New Roman"/>
          <w:sz w:val="24"/>
          <w:szCs w:val="24"/>
          <w:lang w:val="en-GB"/>
        </w:rPr>
        <w:t xml:space="preserve">. The results showed an allometric coefficient (b) of 3.18, which was significantly different from 3 (Student's t-test, |t| &gt; 1.96). </w:t>
      </w:r>
      <w:r>
        <w:rPr>
          <w:rFonts w:ascii="Times New Roman" w:eastAsia="Calibri" w:hAnsi="Times New Roman" w:cs="Times New Roman"/>
          <w:sz w:val="24"/>
          <w:szCs w:val="24"/>
          <w:highlight w:val="yellow"/>
          <w:lang w:val="en-GB"/>
        </w:rPr>
        <w:t>G</w:t>
      </w:r>
      <w:r>
        <w:rPr>
          <w:rFonts w:ascii="Times New Roman" w:eastAsia="Calibri" w:hAnsi="Times New Roman" w:cs="Times New Roman"/>
          <w:sz w:val="24"/>
          <w:szCs w:val="24"/>
          <w:lang w:val="en-GB"/>
        </w:rPr>
        <w:t>rowth assessment indicated positive allometric growth.</w:t>
      </w:r>
    </w:p>
    <w:p w14:paraId="3767B0DB" w14:textId="49FEE43B" w:rsidR="000F1970" w:rsidRPr="00F2344B" w:rsidRDefault="00BA72FF" w:rsidP="008D7A28">
      <w:pPr>
        <w:pStyle w:val="Heading1"/>
        <w:numPr>
          <w:ilvl w:val="0"/>
          <w:numId w:val="41"/>
        </w:numPr>
        <w:rPr>
          <w:rFonts w:cs="Times New Roman"/>
        </w:rPr>
      </w:pPr>
      <w:bookmarkStart w:id="11" w:name="_Toc184793768"/>
      <w:r w:rsidRPr="00F2344B">
        <w:rPr>
          <w:rFonts w:cs="Times New Roman"/>
        </w:rPr>
        <w:lastRenderedPageBreak/>
        <w:t>D</w:t>
      </w:r>
      <w:bookmarkEnd w:id="11"/>
      <w:r w:rsidRPr="00F2344B">
        <w:rPr>
          <w:rFonts w:cs="Times New Roman"/>
        </w:rPr>
        <w:t>ISCUSSION</w:t>
      </w:r>
    </w:p>
    <w:p w14:paraId="697F9446" w14:textId="6E30416C" w:rsidR="00283FCC" w:rsidRPr="00F2344B" w:rsidRDefault="005E277C" w:rsidP="00F2344B">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Analysis of the size spectra of the species studied revealed the following modal classes: [8.5–10 cm[, representing 28.38% for </w:t>
      </w:r>
      <w:r>
        <w:rPr>
          <w:rFonts w:ascii="Times New Roman" w:hAnsi="Times New Roman" w:cs="Times New Roman"/>
          <w:i/>
          <w:sz w:val="24"/>
          <w:szCs w:val="24"/>
          <w:lang w:val="en-GB"/>
        </w:rPr>
        <w:t>Chrysichthys nigrodigitatus</w:t>
      </w:r>
      <w:r>
        <w:rPr>
          <w:rFonts w:ascii="Times New Roman" w:hAnsi="Times New Roman" w:cs="Times New Roman"/>
          <w:sz w:val="24"/>
          <w:szCs w:val="24"/>
          <w:lang w:val="en-GB"/>
        </w:rPr>
        <w:t xml:space="preserve">; [9.25–10.20 cm[, representing 38.92% for </w:t>
      </w:r>
      <w:r>
        <w:rPr>
          <w:rFonts w:ascii="Times New Roman" w:hAnsi="Times New Roman" w:cs="Times New Roman"/>
          <w:i/>
          <w:sz w:val="24"/>
          <w:szCs w:val="24"/>
          <w:lang w:val="en-GB"/>
        </w:rPr>
        <w:t>Coptodon zillii</w:t>
      </w:r>
      <w:r>
        <w:rPr>
          <w:rFonts w:ascii="Times New Roman" w:hAnsi="Times New Roman" w:cs="Times New Roman"/>
          <w:sz w:val="24"/>
          <w:szCs w:val="24"/>
          <w:lang w:val="en-GB"/>
        </w:rPr>
        <w:t xml:space="preserve">; [10.75–13.70 cm[, representing 53.48% for </w:t>
      </w:r>
      <w:r>
        <w:rPr>
          <w:rFonts w:ascii="Times New Roman" w:hAnsi="Times New Roman" w:cs="Times New Roman"/>
          <w:i/>
          <w:sz w:val="24"/>
          <w:szCs w:val="24"/>
          <w:lang w:val="en-GB"/>
        </w:rPr>
        <w:t>Oreochromis niloticus</w:t>
      </w:r>
      <w:r>
        <w:rPr>
          <w:rFonts w:ascii="Times New Roman" w:hAnsi="Times New Roman" w:cs="Times New Roman"/>
          <w:sz w:val="24"/>
          <w:szCs w:val="24"/>
          <w:lang w:val="en-GB"/>
        </w:rPr>
        <w:t xml:space="preserve">; [8–10.04 cm[, representing 54.41% for </w:t>
      </w:r>
      <w:r>
        <w:rPr>
          <w:rFonts w:ascii="Times New Roman" w:hAnsi="Times New Roman" w:cs="Times New Roman"/>
          <w:i/>
          <w:sz w:val="24"/>
          <w:szCs w:val="24"/>
          <w:lang w:val="en-GB"/>
        </w:rPr>
        <w:t>Sarotherodon galilaeus</w:t>
      </w:r>
      <w:r>
        <w:rPr>
          <w:rFonts w:ascii="Times New Roman" w:hAnsi="Times New Roman" w:cs="Times New Roman"/>
          <w:sz w:val="24"/>
          <w:szCs w:val="24"/>
          <w:lang w:val="en-GB"/>
        </w:rPr>
        <w:t xml:space="preserve">; and [7.66–8.52 cm[, representing 49.49% for </w:t>
      </w:r>
      <w:r>
        <w:rPr>
          <w:rFonts w:ascii="Times New Roman" w:hAnsi="Times New Roman" w:cs="Times New Roman"/>
          <w:i/>
          <w:sz w:val="24"/>
          <w:szCs w:val="24"/>
          <w:lang w:val="en-GB"/>
        </w:rPr>
        <w:t>Hemichromis bimaculatus</w:t>
      </w:r>
      <w:r>
        <w:rPr>
          <w:rFonts w:ascii="Times New Roman" w:hAnsi="Times New Roman" w:cs="Times New Roman"/>
          <w:sz w:val="24"/>
          <w:szCs w:val="24"/>
          <w:lang w:val="en-GB"/>
        </w:rPr>
        <w:t>. These ranges are similar to those obtained—and deemed low—by Kouassi et al. (2020b) for Lake Solomougou, located in the same geographical area. Consequently, the fish species in the Sologo reservoir are characteri</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ed by small-sized individuals. This situation, which may be linked to the small mesh sizes of the fishing gear used by fishers (Cissé et al., 2019), suggests high fishing pressure (Kien, 2016).</w:t>
      </w:r>
    </w:p>
    <w:p w14:paraId="686AE037" w14:textId="0FA37CFB" w:rsidR="00524217" w:rsidRPr="00F2344B" w:rsidRDefault="00524217" w:rsidP="0016723E">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Analysis of the length-weight relationship for the five species studied in Lake Sologo showed that the values of coefficient b all f</w:t>
      </w:r>
      <w:r>
        <w:rPr>
          <w:rFonts w:ascii="Times New Roman" w:hAnsi="Times New Roman" w:cs="Times New Roman"/>
          <w:sz w:val="24"/>
          <w:szCs w:val="24"/>
          <w:highlight w:val="yellow"/>
          <w:lang w:val="en-GB"/>
        </w:rPr>
        <w:t>e</w:t>
      </w:r>
      <w:r>
        <w:rPr>
          <w:rFonts w:ascii="Times New Roman" w:hAnsi="Times New Roman" w:cs="Times New Roman"/>
          <w:sz w:val="24"/>
          <w:szCs w:val="24"/>
          <w:lang w:val="en-GB"/>
        </w:rPr>
        <w:t xml:space="preserve">ll within the range (2.2–3.5) indicated by Moreau (1979). The positive allometric growth (b &gt; 3) observed in this study for </w:t>
      </w:r>
      <w:r>
        <w:rPr>
          <w:rFonts w:ascii="Times New Roman" w:hAnsi="Times New Roman" w:cs="Times New Roman"/>
          <w:i/>
          <w:sz w:val="24"/>
          <w:szCs w:val="24"/>
          <w:lang w:val="en-GB"/>
        </w:rPr>
        <w:t>Chrysichthys nigrodigitatus</w:t>
      </w:r>
      <w:r>
        <w:rPr>
          <w:rFonts w:ascii="Times New Roman" w:hAnsi="Times New Roman" w:cs="Times New Roman"/>
          <w:sz w:val="24"/>
          <w:szCs w:val="24"/>
          <w:lang w:val="en-GB"/>
        </w:rPr>
        <w:t xml:space="preserve"> and </w:t>
      </w:r>
      <w:r>
        <w:rPr>
          <w:rFonts w:ascii="Times New Roman" w:hAnsi="Times New Roman" w:cs="Times New Roman"/>
          <w:i/>
          <w:sz w:val="24"/>
          <w:szCs w:val="24"/>
          <w:lang w:val="en-GB"/>
        </w:rPr>
        <w:t>Hemichromis bimaculatus</w:t>
      </w:r>
      <w:r>
        <w:rPr>
          <w:rFonts w:ascii="Times New Roman" w:hAnsi="Times New Roman" w:cs="Times New Roman"/>
          <w:sz w:val="24"/>
          <w:szCs w:val="24"/>
          <w:lang w:val="en-GB"/>
        </w:rPr>
        <w:t xml:space="preserve"> indicate</w:t>
      </w:r>
      <w:r>
        <w:rPr>
          <w:rFonts w:ascii="Times New Roman" w:hAnsi="Times New Roman" w:cs="Times New Roman"/>
          <w:sz w:val="24"/>
          <w:szCs w:val="24"/>
          <w:highlight w:val="yellow"/>
          <w:lang w:val="en-GB"/>
        </w:rPr>
        <w:t>d</w:t>
      </w:r>
      <w:r>
        <w:rPr>
          <w:rFonts w:ascii="Times New Roman" w:hAnsi="Times New Roman" w:cs="Times New Roman"/>
          <w:sz w:val="24"/>
          <w:szCs w:val="24"/>
          <w:lang w:val="en-GB"/>
        </w:rPr>
        <w:t xml:space="preserve"> that these two species increase</w:t>
      </w:r>
      <w:r>
        <w:rPr>
          <w:rFonts w:ascii="Times New Roman" w:hAnsi="Times New Roman" w:cs="Times New Roman"/>
          <w:sz w:val="24"/>
          <w:szCs w:val="24"/>
          <w:highlight w:val="yellow"/>
          <w:lang w:val="en-GB"/>
        </w:rPr>
        <w:t>d</w:t>
      </w:r>
      <w:r>
        <w:rPr>
          <w:rFonts w:ascii="Times New Roman" w:hAnsi="Times New Roman" w:cs="Times New Roman"/>
          <w:sz w:val="24"/>
          <w:szCs w:val="24"/>
          <w:lang w:val="en-GB"/>
        </w:rPr>
        <w:t xml:space="preserve"> more in weight than in length.</w:t>
      </w:r>
    </w:p>
    <w:p w14:paraId="5D43D795" w14:textId="73A14BBC" w:rsidR="00892259" w:rsidRPr="00F2344B" w:rsidRDefault="00524217" w:rsidP="00892259">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other species (</w:t>
      </w:r>
      <w:r>
        <w:rPr>
          <w:rFonts w:ascii="Times New Roman" w:hAnsi="Times New Roman" w:cs="Times New Roman"/>
          <w:i/>
          <w:sz w:val="24"/>
          <w:szCs w:val="24"/>
          <w:lang w:val="en-GB"/>
        </w:rPr>
        <w:t>Coptodon zillii</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Oreochromis niloticus</w:t>
      </w:r>
      <w:r>
        <w:rPr>
          <w:rFonts w:ascii="Times New Roman" w:hAnsi="Times New Roman" w:cs="Times New Roman"/>
          <w:sz w:val="24"/>
          <w:szCs w:val="24"/>
          <w:lang w:val="en-GB"/>
        </w:rPr>
        <w:t xml:space="preserve">, and </w:t>
      </w:r>
      <w:r>
        <w:rPr>
          <w:rFonts w:ascii="Times New Roman" w:hAnsi="Times New Roman" w:cs="Times New Roman"/>
          <w:i/>
          <w:sz w:val="24"/>
          <w:szCs w:val="24"/>
          <w:lang w:val="en-GB"/>
        </w:rPr>
        <w:t>Sarotherodon galilaeus</w:t>
      </w:r>
      <w:r>
        <w:rPr>
          <w:rFonts w:ascii="Times New Roman" w:hAnsi="Times New Roman" w:cs="Times New Roman"/>
          <w:sz w:val="24"/>
          <w:szCs w:val="24"/>
          <w:lang w:val="en-GB"/>
        </w:rPr>
        <w:t>) exhibit</w:t>
      </w:r>
      <w:r>
        <w:rPr>
          <w:rFonts w:ascii="Times New Roman" w:hAnsi="Times New Roman" w:cs="Times New Roman"/>
          <w:sz w:val="24"/>
          <w:szCs w:val="24"/>
          <w:highlight w:val="yellow"/>
          <w:lang w:val="en-GB"/>
        </w:rPr>
        <w:t>ed</w:t>
      </w:r>
      <w:r>
        <w:rPr>
          <w:rFonts w:ascii="Times New Roman" w:hAnsi="Times New Roman" w:cs="Times New Roman"/>
          <w:sz w:val="24"/>
          <w:szCs w:val="24"/>
          <w:lang w:val="en-GB"/>
        </w:rPr>
        <w:t xml:space="preserve"> negative allometry, meaning th</w:t>
      </w:r>
      <w:r>
        <w:rPr>
          <w:rFonts w:ascii="Times New Roman" w:hAnsi="Times New Roman" w:cs="Times New Roman"/>
          <w:sz w:val="24"/>
          <w:szCs w:val="24"/>
          <w:highlight w:val="yellow"/>
          <w:lang w:val="en-GB"/>
        </w:rPr>
        <w:t>at th</w:t>
      </w:r>
      <w:r>
        <w:rPr>
          <w:rFonts w:ascii="Times New Roman" w:hAnsi="Times New Roman" w:cs="Times New Roman"/>
          <w:sz w:val="24"/>
          <w:szCs w:val="24"/>
          <w:lang w:val="en-GB"/>
        </w:rPr>
        <w:t>ey gr</w:t>
      </w:r>
      <w:r>
        <w:rPr>
          <w:rFonts w:ascii="Times New Roman" w:hAnsi="Times New Roman" w:cs="Times New Roman"/>
          <w:sz w:val="24"/>
          <w:szCs w:val="24"/>
          <w:highlight w:val="yellow"/>
          <w:lang w:val="en-GB"/>
        </w:rPr>
        <w:t>e</w:t>
      </w:r>
      <w:r>
        <w:rPr>
          <w:rFonts w:ascii="Times New Roman" w:hAnsi="Times New Roman" w:cs="Times New Roman"/>
          <w:sz w:val="24"/>
          <w:szCs w:val="24"/>
          <w:lang w:val="en-GB"/>
        </w:rPr>
        <w:t>w in length faster than they gain</w:t>
      </w:r>
      <w:r>
        <w:rPr>
          <w:rFonts w:ascii="Times New Roman" w:hAnsi="Times New Roman" w:cs="Times New Roman"/>
          <w:sz w:val="24"/>
          <w:szCs w:val="24"/>
          <w:highlight w:val="yellow"/>
          <w:lang w:val="en-GB"/>
        </w:rPr>
        <w:t>ed</w:t>
      </w:r>
      <w:r>
        <w:rPr>
          <w:rFonts w:ascii="Times New Roman" w:hAnsi="Times New Roman" w:cs="Times New Roman"/>
          <w:sz w:val="24"/>
          <w:szCs w:val="24"/>
          <w:lang w:val="en-GB"/>
        </w:rPr>
        <w:t xml:space="preserve"> weight. Similar results were reported by Kouassi et al. (2020b) </w:t>
      </w:r>
      <w:r>
        <w:rPr>
          <w:rFonts w:ascii="Times New Roman" w:hAnsi="Times New Roman" w:cs="Times New Roman"/>
          <w:sz w:val="24"/>
          <w:szCs w:val="24"/>
          <w:highlight w:val="yellow"/>
          <w:lang w:val="en-GB"/>
        </w:rPr>
        <w:t>fo</w:t>
      </w:r>
      <w:r>
        <w:rPr>
          <w:rFonts w:ascii="Times New Roman" w:hAnsi="Times New Roman" w:cs="Times New Roman"/>
          <w:sz w:val="24"/>
          <w:szCs w:val="24"/>
          <w:lang w:val="en-GB"/>
        </w:rPr>
        <w:t>r the Solomougou reservoir, where negative allometry was observed for these same species (</w:t>
      </w:r>
      <w:r>
        <w:rPr>
          <w:rFonts w:ascii="Times New Roman" w:hAnsi="Times New Roman" w:cs="Times New Roman"/>
          <w:i/>
          <w:sz w:val="24"/>
          <w:szCs w:val="24"/>
          <w:lang w:val="en-GB"/>
        </w:rPr>
        <w:t>Coptodon zillii</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Oreochromis niloticus</w:t>
      </w:r>
      <w:r>
        <w:rPr>
          <w:rFonts w:ascii="Times New Roman" w:hAnsi="Times New Roman" w:cs="Times New Roman"/>
          <w:sz w:val="24"/>
          <w:szCs w:val="24"/>
          <w:lang w:val="en-GB"/>
        </w:rPr>
        <w:t xml:space="preserve">, and </w:t>
      </w:r>
      <w:r>
        <w:rPr>
          <w:rFonts w:ascii="Times New Roman" w:hAnsi="Times New Roman" w:cs="Times New Roman"/>
          <w:i/>
          <w:sz w:val="24"/>
          <w:szCs w:val="24"/>
          <w:lang w:val="en-GB"/>
        </w:rPr>
        <w:t>Sarotherodon galilaeus</w:t>
      </w:r>
      <w:r>
        <w:rPr>
          <w:rFonts w:ascii="Times New Roman" w:hAnsi="Times New Roman" w:cs="Times New Roman"/>
          <w:sz w:val="24"/>
          <w:szCs w:val="24"/>
          <w:lang w:val="en-GB"/>
        </w:rPr>
        <w:t xml:space="preserve">). Regarding </w:t>
      </w:r>
      <w:r>
        <w:rPr>
          <w:rFonts w:ascii="Times New Roman" w:hAnsi="Times New Roman" w:cs="Times New Roman"/>
          <w:i/>
          <w:sz w:val="24"/>
          <w:szCs w:val="24"/>
          <w:lang w:val="en-GB"/>
        </w:rPr>
        <w:t>Chrysichthys nigrodigitatus</w:t>
      </w:r>
      <w:r>
        <w:rPr>
          <w:rFonts w:ascii="Times New Roman" w:hAnsi="Times New Roman" w:cs="Times New Roman"/>
          <w:sz w:val="24"/>
          <w:szCs w:val="24"/>
          <w:lang w:val="en-GB"/>
        </w:rPr>
        <w:t>, Kien et al. (2022) reported negative allometric growth (b = 2.76) for this species, a result that differs from that of the present study, which indicate</w:t>
      </w:r>
      <w:r>
        <w:rPr>
          <w:rFonts w:ascii="Times New Roman" w:hAnsi="Times New Roman" w:cs="Times New Roman"/>
          <w:sz w:val="24"/>
          <w:szCs w:val="24"/>
          <w:highlight w:val="yellow"/>
          <w:lang w:val="en-GB"/>
        </w:rPr>
        <w:t>d</w:t>
      </w:r>
      <w:r>
        <w:rPr>
          <w:rFonts w:ascii="Times New Roman" w:hAnsi="Times New Roman" w:cs="Times New Roman"/>
          <w:sz w:val="24"/>
          <w:szCs w:val="24"/>
          <w:lang w:val="en-GB"/>
        </w:rPr>
        <w:t xml:space="preserve"> positive allometric growth (b = 3.37). Similar positive allometric growth w</w:t>
      </w:r>
      <w:r>
        <w:rPr>
          <w:rFonts w:ascii="Times New Roman" w:hAnsi="Times New Roman" w:cs="Times New Roman"/>
          <w:sz w:val="24"/>
          <w:szCs w:val="24"/>
          <w:highlight w:val="yellow"/>
          <w:lang w:val="en-GB"/>
        </w:rPr>
        <w:t>as</w:t>
      </w:r>
      <w:r>
        <w:rPr>
          <w:rFonts w:ascii="Times New Roman" w:hAnsi="Times New Roman" w:cs="Times New Roman"/>
          <w:sz w:val="24"/>
          <w:szCs w:val="24"/>
          <w:lang w:val="en-GB"/>
        </w:rPr>
        <w:t xml:space="preserve"> observed for this species by Abobi </w:t>
      </w:r>
      <w:r>
        <w:rPr>
          <w:rFonts w:ascii="Times New Roman" w:hAnsi="Times New Roman" w:cs="Times New Roman"/>
          <w:sz w:val="24"/>
          <w:szCs w:val="24"/>
          <w:highlight w:val="yellow"/>
          <w:lang w:val="en-GB"/>
        </w:rPr>
        <w:t>and</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Ek</w:t>
      </w:r>
      <w:r>
        <w:rPr>
          <w:rFonts w:ascii="Times New Roman" w:hAnsi="Times New Roman" w:cs="Times New Roman"/>
          <w:sz w:val="24"/>
          <w:szCs w:val="24"/>
          <w:lang w:val="en-GB"/>
        </w:rPr>
        <w:t>a</w:t>
      </w:r>
      <w:r>
        <w:rPr>
          <w:rFonts w:ascii="Times New Roman" w:hAnsi="Times New Roman" w:cs="Times New Roman"/>
          <w:sz w:val="24"/>
          <w:szCs w:val="24"/>
          <w:highlight w:val="yellow"/>
          <w:lang w:val="en-GB"/>
        </w:rPr>
        <w:t>u</w:t>
      </w:r>
      <w:r>
        <w:rPr>
          <w:rFonts w:ascii="Times New Roman" w:hAnsi="Times New Roman" w:cs="Times New Roman"/>
          <w:sz w:val="24"/>
          <w:szCs w:val="24"/>
          <w:lang w:val="en-GB"/>
        </w:rPr>
        <w:t xml:space="preserve"> (2013) in the lower reaches of the White Volta River in Ghana (b = 3.45), by Ecoutin et al. (2005) in The Gambia (b = 3.25), and by Konan et al. (2007) in rivers of southeastern Côte d’Ivoire (b = 3.360). This variability in the regression coefficient b </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mon</w:t>
      </w:r>
      <w:r>
        <w:rPr>
          <w:rFonts w:ascii="Times New Roman" w:hAnsi="Times New Roman" w:cs="Times New Roman"/>
          <w:sz w:val="24"/>
          <w:szCs w:val="24"/>
          <w:highlight w:val="yellow"/>
          <w:lang w:val="en-GB"/>
        </w:rPr>
        <w:t>g</w:t>
      </w:r>
      <w:r>
        <w:rPr>
          <w:rFonts w:ascii="Times New Roman" w:hAnsi="Times New Roman" w:cs="Times New Roman"/>
          <w:sz w:val="24"/>
          <w:szCs w:val="24"/>
          <w:lang w:val="en-GB"/>
        </w:rPr>
        <w:t xml:space="preserve"> aquatic environment</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could be due to environmental conditions (Baby et al., 2011; Ofori-Danson et al., 2002) and food availability (Pauly, 1994).</w:t>
      </w:r>
    </w:p>
    <w:p w14:paraId="72E12F2D" w14:textId="402E7DAF" w:rsidR="00765D5C" w:rsidRPr="00F2344B" w:rsidRDefault="00524217" w:rsidP="00892259">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results of this study yielded mean K values of 1.92 ± 0.431 (</w:t>
      </w:r>
      <w:r>
        <w:rPr>
          <w:rFonts w:ascii="Times New Roman" w:hAnsi="Times New Roman" w:cs="Times New Roman"/>
          <w:i/>
          <w:sz w:val="24"/>
          <w:szCs w:val="24"/>
          <w:lang w:val="en-GB"/>
        </w:rPr>
        <w:t xml:space="preserve">Chrysichthys nigrodigitatus), </w:t>
      </w:r>
      <w:r>
        <w:rPr>
          <w:rFonts w:ascii="Times New Roman" w:hAnsi="Times New Roman" w:cs="Times New Roman"/>
          <w:sz w:val="24"/>
          <w:szCs w:val="24"/>
          <w:lang w:val="en-GB"/>
        </w:rPr>
        <w:t>3.641 ± 0.813 (</w:t>
      </w:r>
      <w:r>
        <w:rPr>
          <w:rFonts w:ascii="Times New Roman" w:hAnsi="Times New Roman" w:cs="Times New Roman"/>
          <w:i/>
          <w:sz w:val="24"/>
          <w:szCs w:val="24"/>
          <w:lang w:val="en-GB"/>
        </w:rPr>
        <w:t>Coptodon zillii</w:t>
      </w:r>
      <w:r>
        <w:rPr>
          <w:rFonts w:ascii="Times New Roman" w:hAnsi="Times New Roman" w:cs="Times New Roman"/>
          <w:sz w:val="24"/>
          <w:szCs w:val="24"/>
          <w:lang w:val="en-GB"/>
        </w:rPr>
        <w:t>), 3.975 ± 0.768 (</w:t>
      </w:r>
      <w:r>
        <w:rPr>
          <w:rFonts w:ascii="Times New Roman" w:hAnsi="Times New Roman" w:cs="Times New Roman"/>
          <w:i/>
          <w:sz w:val="24"/>
          <w:szCs w:val="24"/>
          <w:lang w:val="en-GB"/>
        </w:rPr>
        <w:t>Oreochromis niloticus</w:t>
      </w:r>
      <w:r>
        <w:rPr>
          <w:rFonts w:ascii="Times New Roman" w:hAnsi="Times New Roman" w:cs="Times New Roman"/>
          <w:sz w:val="24"/>
          <w:szCs w:val="24"/>
          <w:lang w:val="en-GB"/>
        </w:rPr>
        <w:t>), 3.222 ± 0.865 (</w:t>
      </w:r>
      <w:r>
        <w:rPr>
          <w:rFonts w:ascii="Times New Roman" w:hAnsi="Times New Roman" w:cs="Times New Roman"/>
          <w:i/>
          <w:sz w:val="24"/>
          <w:szCs w:val="24"/>
          <w:lang w:val="en-GB"/>
        </w:rPr>
        <w:t>Sarotherodon galilaeus</w:t>
      </w:r>
      <w:r>
        <w:rPr>
          <w:rFonts w:ascii="Times New Roman" w:hAnsi="Times New Roman" w:cs="Times New Roman"/>
          <w:sz w:val="24"/>
          <w:szCs w:val="24"/>
          <w:lang w:val="en-GB"/>
        </w:rPr>
        <w:t>), and 3.186 ± 0.530 (</w:t>
      </w:r>
      <w:r>
        <w:rPr>
          <w:rFonts w:ascii="Times New Roman" w:hAnsi="Times New Roman" w:cs="Times New Roman"/>
          <w:i/>
          <w:sz w:val="24"/>
          <w:szCs w:val="24"/>
          <w:lang w:val="en-GB"/>
        </w:rPr>
        <w:t>Hemichromis bimaculatus)</w:t>
      </w:r>
      <w:r>
        <w:rPr>
          <w:rFonts w:ascii="Times New Roman" w:hAnsi="Times New Roman" w:cs="Times New Roman"/>
          <w:sz w:val="24"/>
          <w:szCs w:val="24"/>
          <w:lang w:val="en-GB"/>
        </w:rPr>
        <w:t xml:space="preserve">. Bagenal (1978) reported condition factor values ranging from 2.9 to 4.8 </w:t>
      </w:r>
      <w:r>
        <w:rPr>
          <w:rFonts w:ascii="Times New Roman" w:hAnsi="Times New Roman" w:cs="Times New Roman"/>
          <w:sz w:val="24"/>
          <w:szCs w:val="24"/>
          <w:lang w:val="en-GB"/>
        </w:rPr>
        <w:lastRenderedPageBreak/>
        <w:t xml:space="preserve">for mature freshwater fish. The values obtained for </w:t>
      </w:r>
      <w:r>
        <w:rPr>
          <w:rFonts w:ascii="Times New Roman" w:hAnsi="Times New Roman" w:cs="Times New Roman"/>
          <w:i/>
          <w:sz w:val="24"/>
          <w:szCs w:val="24"/>
          <w:lang w:val="en-GB"/>
        </w:rPr>
        <w:t>Coptodon zillii</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Oreochromis niloticus, Sarotherodon galilaeus</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and </w:t>
      </w:r>
      <w:r>
        <w:rPr>
          <w:rFonts w:ascii="Times New Roman" w:hAnsi="Times New Roman" w:cs="Times New Roman"/>
          <w:i/>
          <w:sz w:val="24"/>
          <w:szCs w:val="24"/>
          <w:lang w:val="en-GB"/>
        </w:rPr>
        <w:t>Hemichromis bimaculatus</w:t>
      </w:r>
      <w:r>
        <w:rPr>
          <w:rFonts w:ascii="Times New Roman" w:hAnsi="Times New Roman" w:cs="Times New Roman"/>
          <w:sz w:val="24"/>
          <w:szCs w:val="24"/>
          <w:lang w:val="en-GB"/>
        </w:rPr>
        <w:t xml:space="preserve"> in the present study fall within this range, unlike those for </w:t>
      </w:r>
      <w:r>
        <w:rPr>
          <w:rFonts w:ascii="Times New Roman" w:hAnsi="Times New Roman" w:cs="Times New Roman"/>
          <w:i/>
          <w:sz w:val="24"/>
          <w:szCs w:val="24"/>
          <w:lang w:val="en-GB"/>
        </w:rPr>
        <w:t>Chrysichthys nigrodigitatus</w:t>
      </w:r>
      <w:r>
        <w:rPr>
          <w:rFonts w:ascii="Times New Roman" w:hAnsi="Times New Roman" w:cs="Times New Roman"/>
          <w:sz w:val="24"/>
          <w:szCs w:val="24"/>
          <w:lang w:val="en-GB"/>
        </w:rPr>
        <w:t>.</w:t>
      </w:r>
      <w:r>
        <w:rPr>
          <w:lang w:val="en-GB"/>
        </w:rPr>
        <w:t xml:space="preserve"> </w:t>
      </w:r>
      <w:r>
        <w:rPr>
          <w:rFonts w:ascii="Times New Roman" w:hAnsi="Times New Roman" w:cs="Times New Roman"/>
          <w:sz w:val="24"/>
          <w:szCs w:val="24"/>
          <w:lang w:val="en-GB"/>
        </w:rPr>
        <w:t xml:space="preserve">The values recorded in the present study are higher than those reported by Aliko et al. (2010) for </w:t>
      </w:r>
      <w:r>
        <w:rPr>
          <w:rFonts w:ascii="Times New Roman" w:hAnsi="Times New Roman" w:cs="Times New Roman"/>
          <w:i/>
          <w:sz w:val="24"/>
          <w:szCs w:val="24"/>
          <w:lang w:val="en-GB"/>
        </w:rPr>
        <w:t>Coptodon zillii</w:t>
      </w:r>
      <w:r>
        <w:rPr>
          <w:rFonts w:ascii="Times New Roman" w:hAnsi="Times New Roman" w:cs="Times New Roman"/>
          <w:sz w:val="24"/>
          <w:szCs w:val="24"/>
          <w:lang w:val="en-GB"/>
        </w:rPr>
        <w:t xml:space="preserve"> (1.32), </w:t>
      </w:r>
      <w:r>
        <w:rPr>
          <w:rFonts w:ascii="Times New Roman" w:hAnsi="Times New Roman" w:cs="Times New Roman"/>
          <w:i/>
          <w:sz w:val="24"/>
          <w:szCs w:val="24"/>
          <w:lang w:val="en-GB"/>
        </w:rPr>
        <w:t>Oreochromis niloticus</w:t>
      </w:r>
      <w:r>
        <w:rPr>
          <w:rFonts w:ascii="Times New Roman" w:hAnsi="Times New Roman" w:cs="Times New Roman"/>
          <w:sz w:val="24"/>
          <w:szCs w:val="24"/>
          <w:lang w:val="en-GB"/>
        </w:rPr>
        <w:t xml:space="preserve"> (1.14), and </w:t>
      </w:r>
      <w:r>
        <w:rPr>
          <w:rFonts w:ascii="Times New Roman" w:hAnsi="Times New Roman" w:cs="Times New Roman"/>
          <w:i/>
          <w:sz w:val="24"/>
          <w:szCs w:val="24"/>
          <w:lang w:val="en-GB"/>
        </w:rPr>
        <w:t>Chrysichthys nigrodigitatus</w:t>
      </w:r>
      <w:r>
        <w:rPr>
          <w:rFonts w:ascii="Times New Roman" w:hAnsi="Times New Roman" w:cs="Times New Roman"/>
          <w:sz w:val="24"/>
          <w:szCs w:val="24"/>
          <w:lang w:val="en-GB"/>
        </w:rPr>
        <w:t xml:space="preserve"> (0.97) in Lake Taabo. </w:t>
      </w:r>
      <w:r>
        <w:rPr>
          <w:rFonts w:ascii="Times New Roman" w:hAnsi="Times New Roman" w:cs="Times New Roman"/>
          <w:sz w:val="24"/>
          <w:szCs w:val="24"/>
          <w:highlight w:val="yellow"/>
          <w:lang w:val="en-GB"/>
        </w:rPr>
        <w:t>Le Cre</w:t>
      </w:r>
      <w:r>
        <w:rPr>
          <w:rFonts w:ascii="Times New Roman" w:hAnsi="Times New Roman" w:cs="Times New Roman"/>
          <w:sz w:val="24"/>
          <w:szCs w:val="24"/>
          <w:lang w:val="en-GB"/>
        </w:rPr>
        <w:t>n (1</w:t>
      </w:r>
      <w:r>
        <w:rPr>
          <w:rFonts w:ascii="Times New Roman" w:hAnsi="Times New Roman" w:cs="Times New Roman"/>
          <w:sz w:val="24"/>
          <w:szCs w:val="24"/>
          <w:highlight w:val="yellow"/>
          <w:lang w:val="en-GB"/>
        </w:rPr>
        <w:t>951</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indicat</w:t>
      </w:r>
      <w:r>
        <w:rPr>
          <w:rFonts w:ascii="Times New Roman" w:hAnsi="Times New Roman" w:cs="Times New Roman"/>
          <w:sz w:val="24"/>
          <w:szCs w:val="24"/>
          <w:lang w:val="en-GB"/>
        </w:rPr>
        <w:t>e</w:t>
      </w:r>
      <w:r>
        <w:rPr>
          <w:rFonts w:ascii="Times New Roman" w:hAnsi="Times New Roman" w:cs="Times New Roman"/>
          <w:sz w:val="24"/>
          <w:szCs w:val="24"/>
          <w:highlight w:val="yellow"/>
          <w:lang w:val="en-GB"/>
        </w:rPr>
        <w:t>d</w:t>
      </w:r>
      <w:r>
        <w:rPr>
          <w:rFonts w:ascii="Times New Roman" w:hAnsi="Times New Roman" w:cs="Times New Roman"/>
          <w:sz w:val="24"/>
          <w:szCs w:val="24"/>
          <w:lang w:val="en-GB"/>
        </w:rPr>
        <w:t xml:space="preserve"> that th</w:t>
      </w:r>
      <w:r>
        <w:rPr>
          <w:rFonts w:ascii="Times New Roman" w:hAnsi="Times New Roman" w:cs="Times New Roman"/>
          <w:sz w:val="24"/>
          <w:szCs w:val="24"/>
          <w:highlight w:val="yellow"/>
          <w:lang w:val="en-GB"/>
        </w:rPr>
        <w:t>e</w:t>
      </w:r>
      <w:r>
        <w:rPr>
          <w:rFonts w:ascii="Times New Roman" w:hAnsi="Times New Roman" w:cs="Times New Roman"/>
          <w:sz w:val="24"/>
          <w:szCs w:val="24"/>
          <w:lang w:val="en-GB"/>
        </w:rPr>
        <w:t xml:space="preserve"> co</w:t>
      </w:r>
      <w:r>
        <w:rPr>
          <w:rFonts w:ascii="Times New Roman" w:hAnsi="Times New Roman" w:cs="Times New Roman"/>
          <w:sz w:val="24"/>
          <w:szCs w:val="24"/>
          <w:highlight w:val="yellow"/>
          <w:lang w:val="en-GB"/>
        </w:rPr>
        <w:t xml:space="preserve">ndition </w:t>
      </w:r>
      <w:r>
        <w:rPr>
          <w:rFonts w:ascii="Times New Roman" w:hAnsi="Times New Roman" w:cs="Times New Roman"/>
          <w:sz w:val="24"/>
          <w:szCs w:val="24"/>
          <w:lang w:val="en-GB"/>
        </w:rPr>
        <w:t>f</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ct</w:t>
      </w:r>
      <w:r>
        <w:rPr>
          <w:rFonts w:ascii="Times New Roman" w:hAnsi="Times New Roman" w:cs="Times New Roman"/>
          <w:sz w:val="24"/>
          <w:szCs w:val="24"/>
          <w:highlight w:val="yellow"/>
          <w:lang w:val="en-GB"/>
        </w:rPr>
        <w:t>or</w:t>
      </w:r>
      <w:r>
        <w:rPr>
          <w:rFonts w:ascii="Times New Roman" w:hAnsi="Times New Roman" w:cs="Times New Roman"/>
          <w:sz w:val="24"/>
          <w:szCs w:val="24"/>
          <w:lang w:val="en-GB"/>
        </w:rPr>
        <w:t xml:space="preserve"> provides an indication of the relative heaviness of a given species. These three species therefore appear to be heavier in Lake Sologo than in Lake Taabo. </w:t>
      </w:r>
      <w:r>
        <w:rPr>
          <w:rFonts w:ascii="Times New Roman" w:hAnsi="Times New Roman" w:cs="Times New Roman"/>
          <w:color w:val="000000" w:themeColor="text1"/>
          <w:sz w:val="24"/>
          <w:szCs w:val="24"/>
          <w:lang w:val="en-GB"/>
        </w:rPr>
        <w:t xml:space="preserve">K values are largely species-dependent (Kartas </w:t>
      </w:r>
      <w:r>
        <w:rPr>
          <w:rFonts w:ascii="Times New Roman" w:hAnsi="Times New Roman" w:cs="Times New Roman"/>
          <w:color w:val="000000" w:themeColor="text1"/>
          <w:sz w:val="24"/>
          <w:szCs w:val="24"/>
          <w:highlight w:val="yellow"/>
          <w:lang w:val="en-GB"/>
        </w:rPr>
        <w:t>&amp;</w:t>
      </w:r>
      <w:r>
        <w:rPr>
          <w:rFonts w:ascii="Times New Roman" w:hAnsi="Times New Roman" w:cs="Times New Roman"/>
          <w:color w:val="000000" w:themeColor="text1"/>
          <w:sz w:val="24"/>
          <w:szCs w:val="24"/>
          <w:lang w:val="en-GB"/>
        </w:rPr>
        <w:t xml:space="preserve"> Quignard, 1984). These differences </w:t>
      </w:r>
      <w:r>
        <w:rPr>
          <w:rFonts w:ascii="Times New Roman" w:hAnsi="Times New Roman" w:cs="Times New Roman"/>
          <w:color w:val="000000" w:themeColor="text1"/>
          <w:sz w:val="24"/>
          <w:szCs w:val="24"/>
          <w:highlight w:val="yellow"/>
          <w:lang w:val="en-GB"/>
        </w:rPr>
        <w:t>m</w:t>
      </w:r>
      <w:r>
        <w:rPr>
          <w:rFonts w:ascii="Times New Roman" w:hAnsi="Times New Roman" w:cs="Times New Roman"/>
          <w:color w:val="000000" w:themeColor="text1"/>
          <w:sz w:val="24"/>
          <w:szCs w:val="24"/>
          <w:lang w:val="en-GB"/>
        </w:rPr>
        <w:t>a</w:t>
      </w:r>
      <w:r>
        <w:rPr>
          <w:rFonts w:ascii="Times New Roman" w:hAnsi="Times New Roman" w:cs="Times New Roman"/>
          <w:color w:val="000000" w:themeColor="text1"/>
          <w:sz w:val="24"/>
          <w:szCs w:val="24"/>
          <w:highlight w:val="yellow"/>
          <w:lang w:val="en-GB"/>
        </w:rPr>
        <w:t>y</w:t>
      </w:r>
      <w:r>
        <w:rPr>
          <w:rFonts w:ascii="Times New Roman" w:hAnsi="Times New Roman" w:cs="Times New Roman"/>
          <w:color w:val="000000" w:themeColor="text1"/>
          <w:sz w:val="24"/>
          <w:szCs w:val="24"/>
          <w:lang w:val="en-GB"/>
        </w:rPr>
        <w:t xml:space="preserve"> be a</w:t>
      </w:r>
      <w:r>
        <w:rPr>
          <w:rFonts w:ascii="Times New Roman" w:hAnsi="Times New Roman" w:cs="Times New Roman"/>
          <w:color w:val="000000" w:themeColor="text1"/>
          <w:sz w:val="24"/>
          <w:szCs w:val="24"/>
          <w:highlight w:val="yellow"/>
          <w:lang w:val="en-GB"/>
        </w:rPr>
        <w:t>ssoc</w:t>
      </w:r>
      <w:r>
        <w:rPr>
          <w:rFonts w:ascii="Times New Roman" w:hAnsi="Times New Roman" w:cs="Times New Roman"/>
          <w:color w:val="000000" w:themeColor="text1"/>
          <w:sz w:val="24"/>
          <w:szCs w:val="24"/>
          <w:lang w:val="en-GB"/>
        </w:rPr>
        <w:t>i</w:t>
      </w:r>
      <w:r>
        <w:rPr>
          <w:rFonts w:ascii="Times New Roman" w:hAnsi="Times New Roman" w:cs="Times New Roman"/>
          <w:color w:val="000000" w:themeColor="text1"/>
          <w:sz w:val="24"/>
          <w:szCs w:val="24"/>
          <w:highlight w:val="yellow"/>
          <w:lang w:val="en-GB"/>
        </w:rPr>
        <w:t>a</w:t>
      </w:r>
      <w:r>
        <w:rPr>
          <w:rFonts w:ascii="Times New Roman" w:hAnsi="Times New Roman" w:cs="Times New Roman"/>
          <w:color w:val="000000" w:themeColor="text1"/>
          <w:sz w:val="24"/>
          <w:szCs w:val="24"/>
          <w:lang w:val="en-GB"/>
        </w:rPr>
        <w:t xml:space="preserve">ted </w:t>
      </w:r>
      <w:r>
        <w:rPr>
          <w:rFonts w:ascii="Times New Roman" w:hAnsi="Times New Roman" w:cs="Times New Roman"/>
          <w:color w:val="000000" w:themeColor="text1"/>
          <w:sz w:val="24"/>
          <w:szCs w:val="24"/>
          <w:highlight w:val="yellow"/>
          <w:lang w:val="en-GB"/>
        </w:rPr>
        <w:t>wi</w:t>
      </w:r>
      <w:r>
        <w:rPr>
          <w:rFonts w:ascii="Times New Roman" w:hAnsi="Times New Roman" w:cs="Times New Roman"/>
          <w:color w:val="000000" w:themeColor="text1"/>
          <w:sz w:val="24"/>
          <w:szCs w:val="24"/>
          <w:lang w:val="en-GB"/>
        </w:rPr>
        <w:t>th the reproductive cycle and seasonal variations in fish food abundance (Ikom</w:t>
      </w:r>
      <w:r>
        <w:rPr>
          <w:rFonts w:ascii="Times New Roman" w:hAnsi="Times New Roman" w:cs="Times New Roman"/>
          <w:color w:val="000000" w:themeColor="text1"/>
          <w:sz w:val="24"/>
          <w:szCs w:val="24"/>
          <w:highlight w:val="yellow"/>
          <w:lang w:val="en-GB"/>
        </w:rPr>
        <w:t>i</w:t>
      </w:r>
      <w:r>
        <w:rPr>
          <w:rFonts w:ascii="Times New Roman" w:hAnsi="Times New Roman" w:cs="Times New Roman"/>
          <w:color w:val="000000" w:themeColor="text1"/>
          <w:sz w:val="24"/>
          <w:szCs w:val="24"/>
          <w:lang w:val="en-GB"/>
        </w:rPr>
        <w:t xml:space="preserve"> </w:t>
      </w:r>
      <w:r>
        <w:rPr>
          <w:rFonts w:ascii="Times New Roman" w:hAnsi="Times New Roman" w:cs="Times New Roman"/>
          <w:color w:val="000000" w:themeColor="text1"/>
          <w:sz w:val="24"/>
          <w:szCs w:val="24"/>
          <w:highlight w:val="yellow"/>
          <w:lang w:val="en-GB"/>
        </w:rPr>
        <w:t>&amp; J</w:t>
      </w:r>
      <w:r>
        <w:rPr>
          <w:rFonts w:ascii="Times New Roman" w:hAnsi="Times New Roman" w:cs="Times New Roman"/>
          <w:color w:val="000000" w:themeColor="text1"/>
          <w:sz w:val="24"/>
          <w:szCs w:val="24"/>
          <w:lang w:val="en-GB"/>
        </w:rPr>
        <w:t>e</w:t>
      </w:r>
      <w:r>
        <w:rPr>
          <w:rFonts w:ascii="Times New Roman" w:hAnsi="Times New Roman" w:cs="Times New Roman"/>
          <w:color w:val="000000" w:themeColor="text1"/>
          <w:sz w:val="24"/>
          <w:szCs w:val="24"/>
          <w:highlight w:val="yellow"/>
          <w:lang w:val="en-GB"/>
        </w:rPr>
        <w:t>ss</w:t>
      </w:r>
      <w:r>
        <w:rPr>
          <w:rFonts w:ascii="Times New Roman" w:hAnsi="Times New Roman" w:cs="Times New Roman"/>
          <w:color w:val="000000" w:themeColor="text1"/>
          <w:sz w:val="24"/>
          <w:szCs w:val="24"/>
          <w:lang w:val="en-GB"/>
        </w:rPr>
        <w:t xml:space="preserve">a, 2003). </w:t>
      </w:r>
      <w:r>
        <w:rPr>
          <w:rFonts w:ascii="Times New Roman" w:hAnsi="Times New Roman" w:cs="Times New Roman"/>
          <w:sz w:val="24"/>
          <w:szCs w:val="24"/>
          <w:lang w:val="en-GB"/>
        </w:rPr>
        <w:t>The presence of plants throughout the seasons in the Sologo reservoir would provide a food supply for fish, resulting in an increase in the condition factor (Veronika et al., 2018). In this regard, Aydın (2020) state</w:t>
      </w:r>
      <w:r>
        <w:rPr>
          <w:rFonts w:ascii="Times New Roman" w:hAnsi="Times New Roman" w:cs="Times New Roman"/>
          <w:sz w:val="24"/>
          <w:szCs w:val="24"/>
          <w:highlight w:val="yellow"/>
          <w:lang w:val="en-GB"/>
        </w:rPr>
        <w:t>d</w:t>
      </w:r>
      <w:r>
        <w:rPr>
          <w:rFonts w:ascii="Times New Roman" w:hAnsi="Times New Roman" w:cs="Times New Roman"/>
          <w:sz w:val="24"/>
          <w:szCs w:val="24"/>
          <w:lang w:val="en-GB"/>
        </w:rPr>
        <w:t xml:space="preserve"> that food availability is one of the parameters influencing fish condition.</w:t>
      </w:r>
    </w:p>
    <w:p w14:paraId="4789356D" w14:textId="77777777" w:rsidR="00593305" w:rsidRPr="00F2344B" w:rsidRDefault="00593305" w:rsidP="00FF07DA">
      <w:pPr>
        <w:spacing w:after="0" w:line="360" w:lineRule="auto"/>
        <w:jc w:val="both"/>
        <w:rPr>
          <w:rFonts w:ascii="Times New Roman" w:hAnsi="Times New Roman" w:cs="Times New Roman"/>
          <w:sz w:val="24"/>
          <w:szCs w:val="24"/>
          <w:lang w:val="en-GB"/>
        </w:rPr>
      </w:pPr>
    </w:p>
    <w:p w14:paraId="56A41DF8" w14:textId="65F5EA2C" w:rsidR="008C2648" w:rsidRPr="00F2344B" w:rsidRDefault="00445E4F" w:rsidP="00690DE0">
      <w:pPr>
        <w:rPr>
          <w:rStyle w:val="fontstyle01"/>
          <w:color w:val="auto"/>
          <w:lang w:val="en-GB"/>
        </w:rPr>
      </w:pPr>
      <w:r w:rsidRPr="00F2344B">
        <w:rPr>
          <w:rFonts w:ascii="Times New Roman" w:hAnsi="Times New Roman" w:cs="Times New Roman"/>
          <w:b/>
          <w:bCs/>
          <w:sz w:val="24"/>
          <w:szCs w:val="24"/>
          <w:lang w:val="en-GB"/>
        </w:rPr>
        <w:t xml:space="preserve">5. </w:t>
      </w:r>
      <w:r w:rsidR="00765D5C" w:rsidRPr="00F2344B">
        <w:rPr>
          <w:rFonts w:ascii="Times New Roman" w:hAnsi="Times New Roman" w:cs="Times New Roman"/>
          <w:b/>
          <w:bCs/>
          <w:sz w:val="24"/>
          <w:szCs w:val="24"/>
          <w:lang w:val="en-GB"/>
        </w:rPr>
        <w:t>Conclusion</w:t>
      </w:r>
    </w:p>
    <w:p w14:paraId="12146C91" w14:textId="709E3A79" w:rsidR="00061A3E" w:rsidRDefault="00061A3E" w:rsidP="00061A3E">
      <w:pPr>
        <w:pStyle w:val="NormalWeb"/>
      </w:pPr>
      <w:r>
        <w:t xml:space="preserve">The study characterised the size structure, growth patterns, and condition factors of the five most abundant fish species landed from Sologo Dam Lake before rehabilitation. The catches were dominated by relatively small individuals. </w:t>
      </w:r>
      <w:r>
        <w:rPr>
          <w:rStyle w:val="Emphasis"/>
        </w:rPr>
        <w:t>Chrysichthys nigrodigitatus</w:t>
      </w:r>
      <w:r>
        <w:t xml:space="preserve"> and </w:t>
      </w:r>
      <w:r>
        <w:rPr>
          <w:rStyle w:val="Emphasis"/>
        </w:rPr>
        <w:t>Hemichromis bimaculatus</w:t>
      </w:r>
      <w:r>
        <w:t xml:space="preserve"> showed positive allometric growth, indicating a greater increase in weight than in length, whereas </w:t>
      </w:r>
      <w:r>
        <w:rPr>
          <w:rStyle w:val="Emphasis"/>
        </w:rPr>
        <w:t>Coptodon zillii</w:t>
      </w:r>
      <w:r>
        <w:t xml:space="preserve">, </w:t>
      </w:r>
      <w:r>
        <w:rPr>
          <w:rStyle w:val="Emphasis"/>
        </w:rPr>
        <w:t>Oreochromis niloticus</w:t>
      </w:r>
      <w:r>
        <w:t xml:space="preserve">, and </w:t>
      </w:r>
      <w:r>
        <w:rPr>
          <w:rStyle w:val="Emphasis"/>
        </w:rPr>
        <w:t>Sarotherodon galilaeus</w:t>
      </w:r>
      <w:r>
        <w:t xml:space="preserve"> showed negative allometric growth, with length increasing faster than weight. The reported mean condition factors were 1.920 ± 0.431, 3.641 ± 0.813, 3.975 ± 0.768, 3.222 ± 0.865, and 3.186 ± 0.530, respectively. Together, these results provide a quantitative description of the principal fish populations in the reservoir before rehabilitation. The dataset can serve as a baseline for comparing future changes in size structure, growth, and condition after rehabilitation and can support the development of management and conservation measures for fishery resources in the Sologo reservoir and other reservoirs in the Korhogo area. </w:t>
      </w:r>
    </w:p>
    <w:p w14:paraId="1315EEF8" w14:textId="77777777" w:rsidR="00445E4F" w:rsidRPr="00F2344B" w:rsidRDefault="00445E4F" w:rsidP="00445E4F">
      <w:pPr>
        <w:spacing w:after="0" w:line="360" w:lineRule="auto"/>
        <w:jc w:val="both"/>
        <w:rPr>
          <w:rFonts w:ascii="Times New Roman" w:hAnsi="Times New Roman" w:cs="Times New Roman"/>
          <w:sz w:val="24"/>
          <w:szCs w:val="24"/>
          <w:lang w:val="en-GB"/>
        </w:rPr>
      </w:pPr>
    </w:p>
    <w:p w14:paraId="4B7D5D76" w14:textId="7F9C31D9" w:rsidR="00445E4F" w:rsidRPr="00F2344B" w:rsidRDefault="00445E4F" w:rsidP="00445E4F">
      <w:pPr>
        <w:rPr>
          <w:rStyle w:val="fontstyle01"/>
          <w:color w:val="auto"/>
          <w:lang w:val="en-GB"/>
        </w:rPr>
      </w:pPr>
      <w:r w:rsidRPr="00F2344B">
        <w:rPr>
          <w:rFonts w:ascii="Times New Roman" w:hAnsi="Times New Roman" w:cs="Times New Roman"/>
          <w:b/>
          <w:bCs/>
          <w:sz w:val="24"/>
          <w:szCs w:val="24"/>
          <w:lang w:val="en-GB"/>
        </w:rPr>
        <w:t xml:space="preserve">6. </w:t>
      </w:r>
      <w:r w:rsidR="00F2344B" w:rsidRPr="00F2344B">
        <w:rPr>
          <w:rFonts w:ascii="Times New Roman" w:hAnsi="Times New Roman" w:cs="Times New Roman"/>
          <w:b/>
          <w:bCs/>
          <w:sz w:val="24"/>
          <w:szCs w:val="24"/>
          <w:lang w:val="en-GB"/>
        </w:rPr>
        <w:t>Limitations and future research</w:t>
      </w:r>
    </w:p>
    <w:p w14:paraId="3F2A8E31" w14:textId="009C6606" w:rsidR="0014682B" w:rsidRPr="00F2344B" w:rsidRDefault="0014682B" w:rsidP="00445E4F">
      <w:pPr>
        <w:spacing w:line="360" w:lineRule="auto"/>
        <w:jc w:val="both"/>
        <w:rPr>
          <w:rFonts w:ascii="Times New Roman" w:eastAsia="Calibri" w:hAnsi="Times New Roman" w:cs="Times New Roman"/>
          <w:sz w:val="24"/>
          <w:szCs w:val="24"/>
          <w:lang w:val="en-GB"/>
        </w:rPr>
      </w:pPr>
      <w:r>
        <w:rPr>
          <w:rFonts w:ascii="Times New Roman" w:eastAsia="Calibri" w:hAnsi="Times New Roman" w:cs="Times New Roman"/>
          <w:bCs/>
          <w:sz w:val="24"/>
          <w:szCs w:val="24"/>
          <w:lang w:val="en-GB"/>
        </w:rPr>
        <w:t xml:space="preserve">This study was limited by the absence of additional sampling </w:t>
      </w:r>
      <w:r>
        <w:rPr>
          <w:rFonts w:ascii="Times New Roman" w:eastAsia="Calibri" w:hAnsi="Times New Roman" w:cs="Times New Roman"/>
          <w:bCs/>
          <w:sz w:val="24"/>
          <w:szCs w:val="24"/>
          <w:highlight w:val="yellow"/>
          <w:lang w:val="en-GB"/>
        </w:rPr>
        <w:t>through</w:t>
      </w:r>
      <w:r>
        <w:rPr>
          <w:rFonts w:ascii="Times New Roman" w:eastAsia="Calibri" w:hAnsi="Times New Roman" w:cs="Times New Roman"/>
          <w:bCs/>
          <w:sz w:val="24"/>
          <w:szCs w:val="24"/>
          <w:lang w:val="en-GB"/>
        </w:rPr>
        <w:t xml:space="preserve"> experimental fishing.</w:t>
      </w:r>
      <w:r>
        <w:rPr>
          <w:lang w:val="en-GB"/>
        </w:rPr>
        <w:t xml:space="preserve"> </w:t>
      </w:r>
      <w:r>
        <w:rPr>
          <w:rFonts w:ascii="Times New Roman" w:eastAsia="Calibri" w:hAnsi="Times New Roman" w:cs="Times New Roman"/>
          <w:bCs/>
          <w:sz w:val="24"/>
          <w:szCs w:val="24"/>
          <w:lang w:val="en-GB"/>
        </w:rPr>
        <w:t>Nets and traps can influence the size of the specimens collected.</w:t>
      </w:r>
      <w:r>
        <w:rPr>
          <w:lang w:val="en-GB"/>
        </w:rPr>
        <w:t xml:space="preserve"> </w:t>
      </w:r>
      <w:r>
        <w:rPr>
          <w:rFonts w:ascii="Times New Roman" w:eastAsia="Calibri" w:hAnsi="Times New Roman" w:cs="Times New Roman"/>
          <w:bCs/>
          <w:sz w:val="24"/>
          <w:szCs w:val="24"/>
          <w:lang w:val="en-GB"/>
        </w:rPr>
        <w:t>Future research should provide additional data on the impact of reservoir rehabilitation on the biology and ecology of these species.</w:t>
      </w:r>
    </w:p>
    <w:p w14:paraId="3B5F6826" w14:textId="508B4E46" w:rsidR="002D5BA1" w:rsidRPr="00F2344B" w:rsidRDefault="002D5BA1" w:rsidP="002D5BA1">
      <w:pPr>
        <w:spacing w:line="360" w:lineRule="auto"/>
        <w:jc w:val="both"/>
        <w:rPr>
          <w:rFonts w:ascii="Times New Roman" w:eastAsia="Calibri" w:hAnsi="Times New Roman" w:cs="Times New Roman"/>
          <w:b/>
          <w:bCs/>
          <w:sz w:val="24"/>
          <w:szCs w:val="24"/>
        </w:rPr>
      </w:pPr>
      <w:r w:rsidRPr="00F2344B">
        <w:rPr>
          <w:rFonts w:ascii="Times New Roman" w:eastAsia="Calibri" w:hAnsi="Times New Roman" w:cs="Times New Roman"/>
          <w:b/>
          <w:bCs/>
          <w:sz w:val="24"/>
          <w:szCs w:val="24"/>
        </w:rPr>
        <w:lastRenderedPageBreak/>
        <w:t>C</w:t>
      </w:r>
      <w:r w:rsidR="00445E4F" w:rsidRPr="00F2344B">
        <w:rPr>
          <w:rFonts w:ascii="Times New Roman" w:eastAsia="Calibri" w:hAnsi="Times New Roman" w:cs="Times New Roman"/>
          <w:b/>
          <w:bCs/>
          <w:sz w:val="24"/>
          <w:szCs w:val="24"/>
        </w:rPr>
        <w:t>OMPETING INTE</w:t>
      </w:r>
      <w:r w:rsidRPr="00F2344B">
        <w:rPr>
          <w:rFonts w:ascii="Times New Roman" w:eastAsia="Calibri" w:hAnsi="Times New Roman" w:cs="Times New Roman"/>
          <w:b/>
          <w:bCs/>
          <w:sz w:val="24"/>
          <w:szCs w:val="24"/>
        </w:rPr>
        <w:t>R</w:t>
      </w:r>
      <w:r w:rsidR="00593305" w:rsidRPr="00F2344B">
        <w:rPr>
          <w:rFonts w:ascii="Times New Roman" w:eastAsia="Calibri" w:hAnsi="Times New Roman" w:cs="Times New Roman"/>
          <w:b/>
          <w:bCs/>
          <w:sz w:val="24"/>
          <w:szCs w:val="24"/>
        </w:rPr>
        <w:t>E</w:t>
      </w:r>
      <w:r w:rsidR="00445E4F" w:rsidRPr="00F2344B">
        <w:rPr>
          <w:rFonts w:ascii="Times New Roman" w:eastAsia="Calibri" w:hAnsi="Times New Roman" w:cs="Times New Roman"/>
          <w:b/>
          <w:bCs/>
          <w:sz w:val="24"/>
          <w:szCs w:val="24"/>
        </w:rPr>
        <w:t>S</w:t>
      </w:r>
      <w:r w:rsidRPr="00F2344B">
        <w:rPr>
          <w:rFonts w:ascii="Times New Roman" w:eastAsia="Calibri" w:hAnsi="Times New Roman" w:cs="Times New Roman"/>
          <w:b/>
          <w:bCs/>
          <w:sz w:val="24"/>
          <w:szCs w:val="24"/>
        </w:rPr>
        <w:t xml:space="preserve">TS </w:t>
      </w:r>
    </w:p>
    <w:p w14:paraId="56EFB5B7" w14:textId="0DEC5C15" w:rsidR="002D5BA1" w:rsidRPr="00F2344B" w:rsidRDefault="00445E4F" w:rsidP="002D5BA1">
      <w:pPr>
        <w:spacing w:line="360" w:lineRule="auto"/>
        <w:jc w:val="both"/>
        <w:rPr>
          <w:rFonts w:ascii="Times New Roman" w:eastAsia="Calibri" w:hAnsi="Times New Roman" w:cs="Times New Roman"/>
          <w:sz w:val="24"/>
          <w:szCs w:val="24"/>
          <w:lang w:val="en-GB"/>
        </w:rPr>
      </w:pPr>
      <w:r w:rsidRPr="00F2344B">
        <w:rPr>
          <w:sz w:val="20"/>
          <w:szCs w:val="20"/>
          <w:lang w:val="en-GB"/>
        </w:rPr>
        <w:t>Authors have declared that no competing interests exist</w:t>
      </w:r>
      <w:r w:rsidR="002D5BA1" w:rsidRPr="00F2344B">
        <w:rPr>
          <w:rFonts w:ascii="Times New Roman" w:eastAsia="Calibri" w:hAnsi="Times New Roman" w:cs="Times New Roman"/>
          <w:sz w:val="24"/>
          <w:szCs w:val="24"/>
          <w:lang w:val="en-GB"/>
        </w:rPr>
        <w:t>.</w:t>
      </w:r>
    </w:p>
    <w:p w14:paraId="4C3ABEEA" w14:textId="77777777" w:rsidR="000025AE" w:rsidRDefault="000025AE" w:rsidP="000025AE">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04BAEA8F" w14:textId="77777777" w:rsidR="000025AE" w:rsidRDefault="000025AE" w:rsidP="000025AE">
      <w:pPr>
        <w:spacing w:after="0" w:line="240" w:lineRule="auto"/>
        <w:rPr>
          <w:rFonts w:ascii="Times New Roman" w:hAnsi="Times New Roman" w:cs="Times New Roman"/>
          <w:b/>
        </w:rPr>
      </w:pPr>
    </w:p>
    <w:p w14:paraId="11C5115F" w14:textId="77777777" w:rsidR="000025AE" w:rsidRDefault="000025AE" w:rsidP="000025AE">
      <w:pPr>
        <w:spacing w:after="0" w:line="240" w:lineRule="auto"/>
        <w:rPr>
          <w:rFonts w:ascii="Times New Roman" w:hAnsi="Times New Roman" w:cs="Times New Roman"/>
          <w:b/>
        </w:rPr>
      </w:pPr>
    </w:p>
    <w:p w14:paraId="50381D70" w14:textId="77777777" w:rsidR="000025AE" w:rsidRDefault="000025AE" w:rsidP="000025AE">
      <w:pPr>
        <w:spacing w:after="0" w:line="240" w:lineRule="auto"/>
        <w:rPr>
          <w:rFonts w:ascii="Times New Roman" w:hAnsi="Times New Roman" w:cs="Times New Roman"/>
          <w:b/>
        </w:rPr>
      </w:pPr>
    </w:p>
    <w:p w14:paraId="13CE26CF" w14:textId="77777777" w:rsidR="000025AE" w:rsidRPr="002D08AC" w:rsidRDefault="000025AE" w:rsidP="000025AE">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E04764A" w14:textId="77777777" w:rsidR="000025AE" w:rsidRPr="00F2344B" w:rsidRDefault="000025AE" w:rsidP="002D5BA1">
      <w:pPr>
        <w:spacing w:line="360" w:lineRule="auto"/>
        <w:jc w:val="both"/>
        <w:rPr>
          <w:rFonts w:ascii="Times New Roman" w:eastAsia="Calibri" w:hAnsi="Times New Roman" w:cs="Times New Roman"/>
          <w:sz w:val="24"/>
          <w:szCs w:val="24"/>
          <w:lang w:val="en-GB"/>
        </w:rPr>
      </w:pPr>
    </w:p>
    <w:p w14:paraId="6C65D3D4" w14:textId="22FFE045" w:rsidR="003F0DA8" w:rsidRPr="00F2344B" w:rsidRDefault="00D02FCE" w:rsidP="003F0DA8">
      <w:pPr>
        <w:spacing w:line="360" w:lineRule="auto"/>
        <w:jc w:val="both"/>
        <w:rPr>
          <w:rFonts w:ascii="Times New Roman" w:hAnsi="Times New Roman" w:cs="Times New Roman"/>
          <w:b/>
          <w:sz w:val="24"/>
          <w:szCs w:val="24"/>
          <w:lang w:val="en-GB"/>
        </w:rPr>
      </w:pPr>
      <w:r w:rsidRPr="00F2344B">
        <w:rPr>
          <w:rFonts w:ascii="Times New Roman" w:eastAsia="Calibri" w:hAnsi="Times New Roman" w:cs="Times New Roman"/>
          <w:b/>
          <w:bCs/>
          <w:sz w:val="24"/>
          <w:szCs w:val="24"/>
          <w:lang w:val="en-GB"/>
        </w:rPr>
        <w:t xml:space="preserve">REFERENCES </w:t>
      </w:r>
    </w:p>
    <w:p w14:paraId="2ED644ED"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Abobi, S. M., &amp; Ekau, W. (2013). Length-weight relationships and condition factors of </w:t>
      </w:r>
      <w:r w:rsidRPr="00053595">
        <w:rPr>
          <w:rFonts w:ascii="Times New Roman" w:eastAsia="Times New Roman" w:hAnsi="Times New Roman" w:cs="Times New Roman"/>
          <w:i/>
          <w:iCs/>
          <w:sz w:val="24"/>
          <w:szCs w:val="24"/>
          <w:lang w:val="en-US"/>
        </w:rPr>
        <w:t>Alestes baremoze</w:t>
      </w:r>
      <w:r w:rsidRPr="00053595">
        <w:rPr>
          <w:rFonts w:ascii="Times New Roman" w:eastAsia="Times New Roman" w:hAnsi="Times New Roman" w:cs="Times New Roman"/>
          <w:sz w:val="24"/>
          <w:szCs w:val="24"/>
          <w:lang w:val="en-US"/>
        </w:rPr>
        <w:t xml:space="preserve">, </w:t>
      </w:r>
      <w:r w:rsidRPr="00053595">
        <w:rPr>
          <w:rFonts w:ascii="Times New Roman" w:eastAsia="Times New Roman" w:hAnsi="Times New Roman" w:cs="Times New Roman"/>
          <w:i/>
          <w:iCs/>
          <w:sz w:val="24"/>
          <w:szCs w:val="24"/>
          <w:lang w:val="en-US"/>
        </w:rPr>
        <w:t>Brycinus nurse</w:t>
      </w:r>
      <w:r w:rsidRPr="00053595">
        <w:rPr>
          <w:rFonts w:ascii="Times New Roman" w:eastAsia="Times New Roman" w:hAnsi="Times New Roman" w:cs="Times New Roman"/>
          <w:sz w:val="24"/>
          <w:szCs w:val="24"/>
          <w:lang w:val="en-US"/>
        </w:rPr>
        <w:t xml:space="preserve">, and </w:t>
      </w:r>
      <w:r w:rsidRPr="00053595">
        <w:rPr>
          <w:rFonts w:ascii="Times New Roman" w:eastAsia="Times New Roman" w:hAnsi="Times New Roman" w:cs="Times New Roman"/>
          <w:i/>
          <w:iCs/>
          <w:sz w:val="24"/>
          <w:szCs w:val="24"/>
          <w:lang w:val="en-US"/>
        </w:rPr>
        <w:t>Schilbe intermedius</w:t>
      </w:r>
      <w:r w:rsidRPr="00053595">
        <w:rPr>
          <w:rFonts w:ascii="Times New Roman" w:eastAsia="Times New Roman" w:hAnsi="Times New Roman" w:cs="Times New Roman"/>
          <w:sz w:val="24"/>
          <w:szCs w:val="24"/>
          <w:lang w:val="en-US"/>
        </w:rPr>
        <w:t xml:space="preserve"> from the lower reaches of the White Volta River (Yapei), Ghana. </w:t>
      </w:r>
      <w:r w:rsidRPr="00053595">
        <w:rPr>
          <w:rFonts w:ascii="Times New Roman" w:eastAsia="Times New Roman" w:hAnsi="Times New Roman" w:cs="Times New Roman"/>
          <w:i/>
          <w:iCs/>
          <w:sz w:val="24"/>
          <w:szCs w:val="24"/>
          <w:lang w:val="en-US"/>
        </w:rPr>
        <w:t>International Journal of Fisheries and Aquaculture, 5</w:t>
      </w:r>
      <w:r w:rsidRPr="00053595">
        <w:rPr>
          <w:rFonts w:ascii="Times New Roman" w:eastAsia="Times New Roman" w:hAnsi="Times New Roman" w:cs="Times New Roman"/>
          <w:sz w:val="24"/>
          <w:szCs w:val="24"/>
          <w:lang w:val="en-US"/>
        </w:rPr>
        <w:t xml:space="preserve">(6), 152–165. </w:t>
      </w:r>
      <w:hyperlink r:id="rId8" w:history="1">
        <w:r w:rsidRPr="00053595">
          <w:rPr>
            <w:rFonts w:ascii="Times New Roman" w:eastAsia="Times New Roman" w:hAnsi="Times New Roman" w:cs="Times New Roman"/>
            <w:color w:val="0000FF"/>
            <w:sz w:val="24"/>
            <w:szCs w:val="24"/>
            <w:u w:val="single"/>
            <w:lang w:val="en-US"/>
          </w:rPr>
          <w:t>https://doi.org/10.5897/IJFA2012.0001</w:t>
        </w:r>
      </w:hyperlink>
    </w:p>
    <w:p w14:paraId="6D1F093E"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Aliko, N. G., Da Costa, K. S., Konan, K. F., Ouattara, A., &amp; Gourène, G. (2010). Fish diversity along the longitudinal gradient in a man-made lake of West Africa, Taabo hydroelectric reservoir, Ivory Coast. </w:t>
      </w:r>
      <w:r w:rsidRPr="00053595">
        <w:rPr>
          <w:rFonts w:ascii="Times New Roman" w:eastAsia="Times New Roman" w:hAnsi="Times New Roman" w:cs="Times New Roman"/>
          <w:i/>
          <w:iCs/>
          <w:sz w:val="24"/>
          <w:szCs w:val="24"/>
          <w:lang w:val="en-US"/>
        </w:rPr>
        <w:t>Croatian Journal of Fisheries: Ribarstvo, 68</w:t>
      </w:r>
      <w:r w:rsidRPr="00053595">
        <w:rPr>
          <w:rFonts w:ascii="Times New Roman" w:eastAsia="Times New Roman" w:hAnsi="Times New Roman" w:cs="Times New Roman"/>
          <w:sz w:val="24"/>
          <w:szCs w:val="24"/>
          <w:lang w:val="en-US"/>
        </w:rPr>
        <w:t xml:space="preserve">(2), 47–60. </w:t>
      </w:r>
      <w:hyperlink r:id="rId9" w:history="1">
        <w:r w:rsidRPr="00053595">
          <w:rPr>
            <w:rFonts w:ascii="Times New Roman" w:eastAsia="Times New Roman" w:hAnsi="Times New Roman" w:cs="Times New Roman"/>
            <w:color w:val="0000FF"/>
            <w:sz w:val="24"/>
            <w:szCs w:val="24"/>
            <w:u w:val="single"/>
            <w:lang w:val="en-US"/>
          </w:rPr>
          <w:t>https://ribarstvo.agr.hr/en/issues/article/18</w:t>
        </w:r>
      </w:hyperlink>
    </w:p>
    <w:p w14:paraId="5AB284DC"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Aydın, M. (2020). Length-weight relationships and condition factor of four different sea cucumber species in the Aegean Sea. </w:t>
      </w:r>
      <w:r w:rsidRPr="00053595">
        <w:rPr>
          <w:rFonts w:ascii="Times New Roman" w:eastAsia="Times New Roman" w:hAnsi="Times New Roman" w:cs="Times New Roman"/>
          <w:i/>
          <w:iCs/>
          <w:sz w:val="24"/>
          <w:szCs w:val="24"/>
          <w:lang w:val="en-US"/>
        </w:rPr>
        <w:t>Journal of Anatolian Environmental and Animal Sciences, 5</w:t>
      </w:r>
      <w:r w:rsidRPr="00053595">
        <w:rPr>
          <w:rFonts w:ascii="Times New Roman" w:eastAsia="Times New Roman" w:hAnsi="Times New Roman" w:cs="Times New Roman"/>
          <w:sz w:val="24"/>
          <w:szCs w:val="24"/>
          <w:lang w:val="en-US"/>
        </w:rPr>
        <w:t xml:space="preserve">(1), 80–85. </w:t>
      </w:r>
      <w:hyperlink r:id="rId10" w:history="1">
        <w:r w:rsidRPr="00053595">
          <w:rPr>
            <w:rFonts w:ascii="Times New Roman" w:eastAsia="Times New Roman" w:hAnsi="Times New Roman" w:cs="Times New Roman"/>
            <w:color w:val="0000FF"/>
            <w:sz w:val="24"/>
            <w:szCs w:val="24"/>
            <w:u w:val="single"/>
            <w:lang w:val="en-US"/>
          </w:rPr>
          <w:t>https://doi.org/10.35229/jaes.677940</w:t>
        </w:r>
      </w:hyperlink>
    </w:p>
    <w:p w14:paraId="0D9FD726"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Baby, F., Tharian, J., Abraham, K. M., Ramprasanth, M. R., Ali, A., &amp; Raghavan, R. (2011). Length-weight relationship and condition factor of an endemic stone sucker, </w:t>
      </w:r>
      <w:r w:rsidRPr="00053595">
        <w:rPr>
          <w:rFonts w:ascii="Times New Roman" w:eastAsia="Times New Roman" w:hAnsi="Times New Roman" w:cs="Times New Roman"/>
          <w:i/>
          <w:iCs/>
          <w:sz w:val="24"/>
          <w:szCs w:val="24"/>
          <w:lang w:val="en-US"/>
        </w:rPr>
        <w:t>Garra gotyla stenorhynchus</w:t>
      </w:r>
      <w:r w:rsidRPr="00053595">
        <w:rPr>
          <w:rFonts w:ascii="Times New Roman" w:eastAsia="Times New Roman" w:hAnsi="Times New Roman" w:cs="Times New Roman"/>
          <w:sz w:val="24"/>
          <w:szCs w:val="24"/>
          <w:lang w:val="en-US"/>
        </w:rPr>
        <w:t xml:space="preserve"> (Jerdon, 1849), from two opposite flowing rivers in southern Western Ghats. </w:t>
      </w:r>
      <w:r w:rsidRPr="00053595">
        <w:rPr>
          <w:rFonts w:ascii="Times New Roman" w:eastAsia="Times New Roman" w:hAnsi="Times New Roman" w:cs="Times New Roman"/>
          <w:i/>
          <w:iCs/>
          <w:sz w:val="24"/>
          <w:szCs w:val="24"/>
          <w:lang w:val="en-US"/>
        </w:rPr>
        <w:t>Journal of Threatened Taxa, 3</w:t>
      </w:r>
      <w:r w:rsidRPr="00053595">
        <w:rPr>
          <w:rFonts w:ascii="Times New Roman" w:eastAsia="Times New Roman" w:hAnsi="Times New Roman" w:cs="Times New Roman"/>
          <w:sz w:val="24"/>
          <w:szCs w:val="24"/>
          <w:lang w:val="en-US"/>
        </w:rPr>
        <w:t xml:space="preserve">(6), 1851–1855. </w:t>
      </w:r>
      <w:hyperlink r:id="rId11" w:history="1">
        <w:r w:rsidRPr="00053595">
          <w:rPr>
            <w:rFonts w:ascii="Times New Roman" w:eastAsia="Times New Roman" w:hAnsi="Times New Roman" w:cs="Times New Roman"/>
            <w:color w:val="0000FF"/>
            <w:sz w:val="24"/>
            <w:szCs w:val="24"/>
            <w:u w:val="single"/>
            <w:lang w:val="en-US"/>
          </w:rPr>
          <w:t>https://doi.org/10.11609/JoTT.o2535.1851-55</w:t>
        </w:r>
      </w:hyperlink>
    </w:p>
    <w:p w14:paraId="480D7D82"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Bagenal, T. B., &amp; Tesch, F. W. (1978). Age and growth. In T. B. Bagenal (Ed.), </w:t>
      </w:r>
      <w:r w:rsidRPr="00053595">
        <w:rPr>
          <w:rFonts w:ascii="Times New Roman" w:eastAsia="Times New Roman" w:hAnsi="Times New Roman" w:cs="Times New Roman"/>
          <w:i/>
          <w:iCs/>
          <w:sz w:val="24"/>
          <w:szCs w:val="24"/>
          <w:lang w:val="en-US"/>
        </w:rPr>
        <w:t>Methods for assessment of fish production in fresh waters</w:t>
      </w:r>
      <w:r w:rsidRPr="00053595">
        <w:rPr>
          <w:rFonts w:ascii="Times New Roman" w:eastAsia="Times New Roman" w:hAnsi="Times New Roman" w:cs="Times New Roman"/>
          <w:sz w:val="24"/>
          <w:szCs w:val="24"/>
          <w:lang w:val="en-US"/>
        </w:rPr>
        <w:t xml:space="preserve"> (3rd ed., pp. 101–136). Blackwell Scientific Publications. </w:t>
      </w:r>
      <w:hyperlink r:id="rId12" w:history="1">
        <w:r w:rsidRPr="00053595">
          <w:rPr>
            <w:rFonts w:ascii="Times New Roman" w:eastAsia="Times New Roman" w:hAnsi="Times New Roman" w:cs="Times New Roman"/>
            <w:color w:val="0000FF"/>
            <w:sz w:val="24"/>
            <w:szCs w:val="24"/>
            <w:u w:val="single"/>
            <w:lang w:val="en-US"/>
          </w:rPr>
          <w:t>https://www.fao.org/4/T0529E/T0529E11.htm</w:t>
        </w:r>
      </w:hyperlink>
    </w:p>
    <w:p w14:paraId="4894C09D"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nl-BE"/>
        </w:rPr>
      </w:pPr>
      <w:r w:rsidRPr="00053595">
        <w:rPr>
          <w:rFonts w:ascii="Times New Roman" w:eastAsia="Times New Roman" w:hAnsi="Times New Roman" w:cs="Times New Roman"/>
          <w:sz w:val="24"/>
          <w:szCs w:val="24"/>
          <w:lang w:val="en-US"/>
        </w:rPr>
        <w:t xml:space="preserve">Cecchi, P. (Ed.). </w:t>
      </w:r>
      <w:r w:rsidRPr="00053595">
        <w:rPr>
          <w:rFonts w:ascii="Times New Roman" w:eastAsia="Times New Roman" w:hAnsi="Times New Roman" w:cs="Times New Roman"/>
          <w:sz w:val="24"/>
          <w:szCs w:val="24"/>
          <w:lang w:val="nl-BE"/>
        </w:rPr>
        <w:t xml:space="preserve">(2007). </w:t>
      </w:r>
      <w:r w:rsidRPr="00053595">
        <w:rPr>
          <w:rFonts w:ascii="Times New Roman" w:eastAsia="Times New Roman" w:hAnsi="Times New Roman" w:cs="Times New Roman"/>
          <w:i/>
          <w:iCs/>
          <w:sz w:val="24"/>
          <w:szCs w:val="24"/>
          <w:lang w:val="nl-BE"/>
        </w:rPr>
        <w:t>L’eau en partage: Les petits barrages de Côte d’Ivoire</w:t>
      </w:r>
      <w:r w:rsidRPr="00053595">
        <w:rPr>
          <w:rFonts w:ascii="Times New Roman" w:eastAsia="Times New Roman" w:hAnsi="Times New Roman" w:cs="Times New Roman"/>
          <w:sz w:val="24"/>
          <w:szCs w:val="24"/>
          <w:lang w:val="nl-BE"/>
        </w:rPr>
        <w:t xml:space="preserve">. IRD Éditions. </w:t>
      </w:r>
      <w:hyperlink r:id="rId13" w:history="1">
        <w:r w:rsidRPr="00053595">
          <w:rPr>
            <w:rFonts w:ascii="Times New Roman" w:eastAsia="Times New Roman" w:hAnsi="Times New Roman" w:cs="Times New Roman"/>
            <w:color w:val="0000FF"/>
            <w:sz w:val="24"/>
            <w:szCs w:val="24"/>
            <w:u w:val="single"/>
            <w:lang w:val="nl-BE"/>
          </w:rPr>
          <w:t>https://www.documentation.ird.fr/hor/fdi:010040036</w:t>
        </w:r>
      </w:hyperlink>
    </w:p>
    <w:p w14:paraId="0DAE1F74"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nl-BE"/>
        </w:rPr>
        <w:t xml:space="preserve">Cissé, M., Kamelan, T. M., Kien, K. B., &amp; Kouamelan, E. P. (2019). </w:t>
      </w:r>
      <w:r w:rsidRPr="00053595">
        <w:rPr>
          <w:rFonts w:ascii="Times New Roman" w:eastAsia="Times New Roman" w:hAnsi="Times New Roman" w:cs="Times New Roman"/>
          <w:sz w:val="24"/>
          <w:szCs w:val="24"/>
          <w:lang w:val="en-US"/>
        </w:rPr>
        <w:t xml:space="preserve">Fish assemblage composition and fishery production in the man-made lake, West Africa. </w:t>
      </w:r>
      <w:r w:rsidRPr="00053595">
        <w:rPr>
          <w:rFonts w:ascii="Times New Roman" w:eastAsia="Times New Roman" w:hAnsi="Times New Roman" w:cs="Times New Roman"/>
          <w:i/>
          <w:iCs/>
          <w:sz w:val="24"/>
          <w:szCs w:val="24"/>
          <w:lang w:val="en-US"/>
        </w:rPr>
        <w:t>Journal of Fisheries and Life Sciences, 4</w:t>
      </w:r>
      <w:r w:rsidRPr="00053595">
        <w:rPr>
          <w:rFonts w:ascii="Times New Roman" w:eastAsia="Times New Roman" w:hAnsi="Times New Roman" w:cs="Times New Roman"/>
          <w:sz w:val="24"/>
          <w:szCs w:val="24"/>
          <w:lang w:val="en-US"/>
        </w:rPr>
        <w:t xml:space="preserve">(1), 9–14. </w:t>
      </w:r>
      <w:hyperlink r:id="rId14" w:history="1">
        <w:r w:rsidRPr="00053595">
          <w:rPr>
            <w:rFonts w:ascii="Times New Roman" w:eastAsia="Times New Roman" w:hAnsi="Times New Roman" w:cs="Times New Roman"/>
            <w:color w:val="0000FF"/>
            <w:sz w:val="24"/>
            <w:szCs w:val="24"/>
            <w:u w:val="single"/>
            <w:lang w:val="en-US"/>
          </w:rPr>
          <w:t>https://www.fishlifesciencejournal.com/archives/2019</w:t>
        </w:r>
      </w:hyperlink>
    </w:p>
    <w:p w14:paraId="6BF96580"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lastRenderedPageBreak/>
        <w:t xml:space="preserve">Da, N., Ouédraogo, R., &amp; Ouéda, A. (2018). Relation poids-longueur et facteur de condition de </w:t>
      </w:r>
      <w:r w:rsidRPr="00053595">
        <w:rPr>
          <w:rFonts w:ascii="Times New Roman" w:eastAsia="Times New Roman" w:hAnsi="Times New Roman" w:cs="Times New Roman"/>
          <w:i/>
          <w:iCs/>
          <w:sz w:val="24"/>
          <w:szCs w:val="24"/>
          <w:lang w:val="en-US"/>
        </w:rPr>
        <w:t>Clarias anguillaris</w:t>
      </w:r>
      <w:r w:rsidRPr="00053595">
        <w:rPr>
          <w:rFonts w:ascii="Times New Roman" w:eastAsia="Times New Roman" w:hAnsi="Times New Roman" w:cs="Times New Roman"/>
          <w:sz w:val="24"/>
          <w:szCs w:val="24"/>
          <w:lang w:val="en-US"/>
        </w:rPr>
        <w:t xml:space="preserve"> et </w:t>
      </w:r>
      <w:r w:rsidRPr="00053595">
        <w:rPr>
          <w:rFonts w:ascii="Times New Roman" w:eastAsia="Times New Roman" w:hAnsi="Times New Roman" w:cs="Times New Roman"/>
          <w:i/>
          <w:iCs/>
          <w:sz w:val="24"/>
          <w:szCs w:val="24"/>
          <w:lang w:val="en-US"/>
        </w:rPr>
        <w:t>Sarotherodon galilaeus</w:t>
      </w:r>
      <w:r w:rsidRPr="00053595">
        <w:rPr>
          <w:rFonts w:ascii="Times New Roman" w:eastAsia="Times New Roman" w:hAnsi="Times New Roman" w:cs="Times New Roman"/>
          <w:sz w:val="24"/>
          <w:szCs w:val="24"/>
          <w:lang w:val="en-US"/>
        </w:rPr>
        <w:t xml:space="preserve"> pêchées dans le lac Bam et le réservoir de la Kompienga au Burkina Faso. </w:t>
      </w:r>
      <w:r w:rsidRPr="00053595">
        <w:rPr>
          <w:rFonts w:ascii="Times New Roman" w:eastAsia="Times New Roman" w:hAnsi="Times New Roman" w:cs="Times New Roman"/>
          <w:i/>
          <w:iCs/>
          <w:sz w:val="24"/>
          <w:szCs w:val="24"/>
          <w:lang w:val="en-US"/>
        </w:rPr>
        <w:t>International Journal of Biological and Chemical Sciences, 12</w:t>
      </w:r>
      <w:r w:rsidRPr="00053595">
        <w:rPr>
          <w:rFonts w:ascii="Times New Roman" w:eastAsia="Times New Roman" w:hAnsi="Times New Roman" w:cs="Times New Roman"/>
          <w:sz w:val="24"/>
          <w:szCs w:val="24"/>
          <w:lang w:val="en-US"/>
        </w:rPr>
        <w:t xml:space="preserve">(4), 1601–1610. </w:t>
      </w:r>
      <w:hyperlink r:id="rId15" w:history="1">
        <w:r w:rsidRPr="00053595">
          <w:rPr>
            <w:rFonts w:ascii="Times New Roman" w:eastAsia="Times New Roman" w:hAnsi="Times New Roman" w:cs="Times New Roman"/>
            <w:color w:val="0000FF"/>
            <w:sz w:val="24"/>
            <w:szCs w:val="24"/>
            <w:u w:val="single"/>
            <w:lang w:val="en-US"/>
          </w:rPr>
          <w:t>https://doi.org/10.4314/ijbcs.v12i4.8</w:t>
        </w:r>
      </w:hyperlink>
    </w:p>
    <w:p w14:paraId="59B7E0D3"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nl-BE"/>
        </w:rPr>
      </w:pPr>
      <w:r w:rsidRPr="00053595">
        <w:rPr>
          <w:rFonts w:ascii="Times New Roman" w:eastAsia="Times New Roman" w:hAnsi="Times New Roman" w:cs="Times New Roman"/>
          <w:sz w:val="24"/>
          <w:szCs w:val="24"/>
          <w:lang w:val="en-US"/>
        </w:rPr>
        <w:t xml:space="preserve">Daget, J. (1988). Évaluation et gestion rationnelle des stocks. In C. Lévêque, M. N. Bruton, &amp; G. W. Ssentongo (Eds.), </w:t>
      </w:r>
      <w:r w:rsidRPr="00053595">
        <w:rPr>
          <w:rFonts w:ascii="Times New Roman" w:eastAsia="Times New Roman" w:hAnsi="Times New Roman" w:cs="Times New Roman"/>
          <w:i/>
          <w:iCs/>
          <w:sz w:val="24"/>
          <w:szCs w:val="24"/>
          <w:lang w:val="en-US"/>
        </w:rPr>
        <w:t>Biologie et écologie des poissons d’eau douce africains: Biology and ecology of African freshwater fishes</w:t>
      </w:r>
      <w:r w:rsidRPr="00053595">
        <w:rPr>
          <w:rFonts w:ascii="Times New Roman" w:eastAsia="Times New Roman" w:hAnsi="Times New Roman" w:cs="Times New Roman"/>
          <w:sz w:val="24"/>
          <w:szCs w:val="24"/>
          <w:lang w:val="en-US"/>
        </w:rPr>
        <w:t xml:space="preserve"> (pp. 381–393). </w:t>
      </w:r>
      <w:r w:rsidRPr="00053595">
        <w:rPr>
          <w:rFonts w:ascii="Times New Roman" w:eastAsia="Times New Roman" w:hAnsi="Times New Roman" w:cs="Times New Roman"/>
          <w:sz w:val="24"/>
          <w:szCs w:val="24"/>
          <w:lang w:val="nl-BE"/>
        </w:rPr>
        <w:t xml:space="preserve">ORSTOM. </w:t>
      </w:r>
      <w:hyperlink r:id="rId16" w:history="1">
        <w:r w:rsidRPr="00053595">
          <w:rPr>
            <w:rFonts w:ascii="Times New Roman" w:eastAsia="Times New Roman" w:hAnsi="Times New Roman" w:cs="Times New Roman"/>
            <w:color w:val="0000FF"/>
            <w:sz w:val="24"/>
            <w:szCs w:val="24"/>
            <w:u w:val="single"/>
            <w:lang w:val="nl-BE"/>
          </w:rPr>
          <w:t>https://horizon.documentation.ird.fr/exl-doc/pleins_textes/pleins_textes_5/pt5/travaux_d/26405.pdf</w:t>
        </w:r>
      </w:hyperlink>
    </w:p>
    <w:p w14:paraId="7E38EC45"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nl-BE"/>
        </w:rPr>
      </w:pPr>
      <w:r w:rsidRPr="00053595">
        <w:rPr>
          <w:rFonts w:ascii="Times New Roman" w:eastAsia="Times New Roman" w:hAnsi="Times New Roman" w:cs="Times New Roman"/>
          <w:sz w:val="24"/>
          <w:szCs w:val="24"/>
          <w:lang w:val="en-US"/>
        </w:rPr>
        <w:t xml:space="preserve">Dejoux, C. (1978). Traitements des écosystèmes lotiques tropicaux aux insecticides organophosphorés: Risques pour l’environnement. </w:t>
      </w:r>
      <w:r w:rsidRPr="00053595">
        <w:rPr>
          <w:rFonts w:ascii="Times New Roman" w:eastAsia="Times New Roman" w:hAnsi="Times New Roman" w:cs="Times New Roman"/>
          <w:i/>
          <w:iCs/>
          <w:sz w:val="24"/>
          <w:szCs w:val="24"/>
          <w:lang w:val="nl-BE"/>
        </w:rPr>
        <w:t>Internationale Vereinigung für Theoretische und Angewandte Limnologie: Verhandlungen, 20</w:t>
      </w:r>
      <w:r w:rsidRPr="00053595">
        <w:rPr>
          <w:rFonts w:ascii="Times New Roman" w:eastAsia="Times New Roman" w:hAnsi="Times New Roman" w:cs="Times New Roman"/>
          <w:sz w:val="24"/>
          <w:szCs w:val="24"/>
          <w:lang w:val="nl-BE"/>
        </w:rPr>
        <w:t xml:space="preserve">(4), 2708–2713. </w:t>
      </w:r>
      <w:hyperlink r:id="rId17" w:history="1">
        <w:r w:rsidRPr="00053595">
          <w:rPr>
            <w:rFonts w:ascii="Times New Roman" w:eastAsia="Times New Roman" w:hAnsi="Times New Roman" w:cs="Times New Roman"/>
            <w:color w:val="0000FF"/>
            <w:sz w:val="24"/>
            <w:szCs w:val="24"/>
            <w:u w:val="single"/>
            <w:lang w:val="nl-BE"/>
          </w:rPr>
          <w:t>https://doi.org/10.1080/03680770.1977.11896948</w:t>
        </w:r>
      </w:hyperlink>
    </w:p>
    <w:p w14:paraId="68CD094D"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Ecoutin, J. M., Albaret, J. J., &amp; Trape, S. (2005). Length-weight relationships for fish populations of a relatively undisturbed tropical estuary: The Gambia. </w:t>
      </w:r>
      <w:r w:rsidRPr="00053595">
        <w:rPr>
          <w:rFonts w:ascii="Times New Roman" w:eastAsia="Times New Roman" w:hAnsi="Times New Roman" w:cs="Times New Roman"/>
          <w:i/>
          <w:iCs/>
          <w:sz w:val="24"/>
          <w:szCs w:val="24"/>
          <w:lang w:val="en-US"/>
        </w:rPr>
        <w:t>Fisheries Research, 72</w:t>
      </w:r>
      <w:r w:rsidRPr="00053595">
        <w:rPr>
          <w:rFonts w:ascii="Times New Roman" w:eastAsia="Times New Roman" w:hAnsi="Times New Roman" w:cs="Times New Roman"/>
          <w:sz w:val="24"/>
          <w:szCs w:val="24"/>
          <w:lang w:val="en-US"/>
        </w:rPr>
        <w:t xml:space="preserve">(2–3), 347–351. </w:t>
      </w:r>
      <w:hyperlink r:id="rId18" w:history="1">
        <w:r w:rsidRPr="00053595">
          <w:rPr>
            <w:rFonts w:ascii="Times New Roman" w:eastAsia="Times New Roman" w:hAnsi="Times New Roman" w:cs="Times New Roman"/>
            <w:color w:val="0000FF"/>
            <w:sz w:val="24"/>
            <w:szCs w:val="24"/>
            <w:u w:val="single"/>
            <w:lang w:val="en-US"/>
          </w:rPr>
          <w:t>https://doi.org/10.1016/j.fishres.2004.10.007</w:t>
        </w:r>
      </w:hyperlink>
    </w:p>
    <w:p w14:paraId="1CEAC117"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Fulton, T. W. (1904). The rate of growth of fishes. </w:t>
      </w:r>
      <w:r w:rsidRPr="00053595">
        <w:rPr>
          <w:rFonts w:ascii="Times New Roman" w:eastAsia="Times New Roman" w:hAnsi="Times New Roman" w:cs="Times New Roman"/>
          <w:i/>
          <w:iCs/>
          <w:sz w:val="24"/>
          <w:szCs w:val="24"/>
          <w:lang w:val="en-US"/>
        </w:rPr>
        <w:t>Twenty-second Annual Report of the Fishery Board for Scotland, Part III</w:t>
      </w:r>
      <w:r w:rsidRPr="00053595">
        <w:rPr>
          <w:rFonts w:ascii="Times New Roman" w:eastAsia="Times New Roman" w:hAnsi="Times New Roman" w:cs="Times New Roman"/>
          <w:sz w:val="24"/>
          <w:szCs w:val="24"/>
          <w:lang w:val="en-US"/>
        </w:rPr>
        <w:t xml:space="preserve">, 141–241. </w:t>
      </w:r>
      <w:hyperlink r:id="rId19" w:history="1">
        <w:r w:rsidRPr="00053595">
          <w:rPr>
            <w:rFonts w:ascii="Times New Roman" w:eastAsia="Times New Roman" w:hAnsi="Times New Roman" w:cs="Times New Roman"/>
            <w:color w:val="0000FF"/>
            <w:sz w:val="24"/>
            <w:szCs w:val="24"/>
            <w:u w:val="single"/>
            <w:lang w:val="en-US"/>
          </w:rPr>
          <w:t>https://www.fishbase.se/references/FBRefSummary.php?ID=1282</w:t>
        </w:r>
      </w:hyperlink>
    </w:p>
    <w:p w14:paraId="74FE5B54"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Gascuel, D. (2009). L’approche écosystémique des pêches, une condition pour l’exploitation durable des océans. </w:t>
      </w:r>
      <w:r w:rsidRPr="00053595">
        <w:rPr>
          <w:rFonts w:ascii="Times New Roman" w:eastAsia="Times New Roman" w:hAnsi="Times New Roman" w:cs="Times New Roman"/>
          <w:i/>
          <w:iCs/>
          <w:sz w:val="24"/>
          <w:szCs w:val="24"/>
          <w:lang w:val="en-US"/>
        </w:rPr>
        <w:t>Pour, 202–203</w:t>
      </w:r>
      <w:r w:rsidRPr="00053595">
        <w:rPr>
          <w:rFonts w:ascii="Times New Roman" w:eastAsia="Times New Roman" w:hAnsi="Times New Roman" w:cs="Times New Roman"/>
          <w:sz w:val="24"/>
          <w:szCs w:val="24"/>
          <w:lang w:val="en-US"/>
        </w:rPr>
        <w:t xml:space="preserve">(3–4), 199–206. </w:t>
      </w:r>
      <w:hyperlink r:id="rId20" w:history="1">
        <w:r w:rsidRPr="00053595">
          <w:rPr>
            <w:rFonts w:ascii="Times New Roman" w:eastAsia="Times New Roman" w:hAnsi="Times New Roman" w:cs="Times New Roman"/>
            <w:color w:val="0000FF"/>
            <w:sz w:val="24"/>
            <w:szCs w:val="24"/>
            <w:u w:val="single"/>
            <w:lang w:val="en-US"/>
          </w:rPr>
          <w:t>https://doi.org/10.3917/pour.202.0199</w:t>
        </w:r>
      </w:hyperlink>
    </w:p>
    <w:p w14:paraId="5D02ACC2"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Gleick, P. H. (1993). Water resources: A long-range global evaluation. </w:t>
      </w:r>
      <w:r w:rsidRPr="00053595">
        <w:rPr>
          <w:rFonts w:ascii="Times New Roman" w:eastAsia="Times New Roman" w:hAnsi="Times New Roman" w:cs="Times New Roman"/>
          <w:i/>
          <w:iCs/>
          <w:sz w:val="24"/>
          <w:szCs w:val="24"/>
          <w:lang w:val="en-US"/>
        </w:rPr>
        <w:t>Ecology Law Quarterly, 20</w:t>
      </w:r>
      <w:r w:rsidRPr="00053595">
        <w:rPr>
          <w:rFonts w:ascii="Times New Roman" w:eastAsia="Times New Roman" w:hAnsi="Times New Roman" w:cs="Times New Roman"/>
          <w:sz w:val="24"/>
          <w:szCs w:val="24"/>
          <w:lang w:val="en-US"/>
        </w:rPr>
        <w:t xml:space="preserve">(1), 141–149. </w:t>
      </w:r>
      <w:hyperlink r:id="rId21" w:history="1">
        <w:r w:rsidRPr="00053595">
          <w:rPr>
            <w:rFonts w:ascii="Times New Roman" w:eastAsia="Times New Roman" w:hAnsi="Times New Roman" w:cs="Times New Roman"/>
            <w:color w:val="0000FF"/>
            <w:sz w:val="24"/>
            <w:szCs w:val="24"/>
            <w:u w:val="single"/>
            <w:lang w:val="en-US"/>
          </w:rPr>
          <w:t>https://lawcat.berkeley.edu/record/1114662/files/fulltext.pdf</w:t>
        </w:r>
      </w:hyperlink>
    </w:p>
    <w:p w14:paraId="4AAA896F"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nl-BE"/>
        </w:rPr>
        <w:t xml:space="preserve">Gourène, G., Teugels, G. G., Hugueny, B., &amp; Thys van den Audenaerde, D. F. E. (1999). </w:t>
      </w:r>
      <w:r w:rsidRPr="00053595">
        <w:rPr>
          <w:rFonts w:ascii="Times New Roman" w:eastAsia="Times New Roman" w:hAnsi="Times New Roman" w:cs="Times New Roman"/>
          <w:sz w:val="24"/>
          <w:szCs w:val="24"/>
          <w:lang w:val="en-US"/>
        </w:rPr>
        <w:t xml:space="preserve">Évaluation de la diversité ichtyologique d’un bassin ouest-africain après la construction d’un barrage. </w:t>
      </w:r>
      <w:r w:rsidRPr="00053595">
        <w:rPr>
          <w:rFonts w:ascii="Times New Roman" w:eastAsia="Times New Roman" w:hAnsi="Times New Roman" w:cs="Times New Roman"/>
          <w:i/>
          <w:iCs/>
          <w:sz w:val="24"/>
          <w:szCs w:val="24"/>
          <w:lang w:val="en-US"/>
        </w:rPr>
        <w:t>Cybium, 23</w:t>
      </w:r>
      <w:r w:rsidRPr="00053595">
        <w:rPr>
          <w:rFonts w:ascii="Times New Roman" w:eastAsia="Times New Roman" w:hAnsi="Times New Roman" w:cs="Times New Roman"/>
          <w:sz w:val="24"/>
          <w:szCs w:val="24"/>
          <w:lang w:val="en-US"/>
        </w:rPr>
        <w:t xml:space="preserve">(2), 147–160. </w:t>
      </w:r>
      <w:hyperlink r:id="rId22" w:history="1">
        <w:r w:rsidRPr="00053595">
          <w:rPr>
            <w:rFonts w:ascii="Times New Roman" w:eastAsia="Times New Roman" w:hAnsi="Times New Roman" w:cs="Times New Roman"/>
            <w:color w:val="0000FF"/>
            <w:sz w:val="24"/>
            <w:szCs w:val="24"/>
            <w:u w:val="single"/>
            <w:lang w:val="en-US"/>
          </w:rPr>
          <w:t>https://doi.org/10.26028/cybium/1999-232-003</w:t>
        </w:r>
      </w:hyperlink>
    </w:p>
    <w:p w14:paraId="0B6743F0"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Groga, N. (2012). </w:t>
      </w:r>
      <w:r w:rsidRPr="00053595">
        <w:rPr>
          <w:rFonts w:ascii="Times New Roman" w:eastAsia="Times New Roman" w:hAnsi="Times New Roman" w:cs="Times New Roman"/>
          <w:i/>
          <w:iCs/>
          <w:sz w:val="24"/>
          <w:szCs w:val="24"/>
          <w:lang w:val="en-US"/>
        </w:rPr>
        <w:t>Structure, fonctionnement et dynamique du phytoplancton dans le lac de Taabo (Côte d’Ivoire)</w:t>
      </w:r>
      <w:r w:rsidRPr="00053595">
        <w:rPr>
          <w:rFonts w:ascii="Times New Roman" w:eastAsia="Times New Roman" w:hAnsi="Times New Roman" w:cs="Times New Roman"/>
          <w:sz w:val="24"/>
          <w:szCs w:val="24"/>
          <w:lang w:val="en-US"/>
        </w:rPr>
        <w:t xml:space="preserve"> [Doctoral dissertation, Institut National Polytechnique de Toulouse]. OATAO. </w:t>
      </w:r>
      <w:hyperlink r:id="rId23" w:history="1">
        <w:r w:rsidRPr="00053595">
          <w:rPr>
            <w:rFonts w:ascii="Times New Roman" w:eastAsia="Times New Roman" w:hAnsi="Times New Roman" w:cs="Times New Roman"/>
            <w:color w:val="0000FF"/>
            <w:sz w:val="24"/>
            <w:szCs w:val="24"/>
            <w:u w:val="single"/>
            <w:lang w:val="en-US"/>
          </w:rPr>
          <w:t>https://oatao.univ-toulouse.fr/6981/1/Groga.pdf</w:t>
        </w:r>
      </w:hyperlink>
    </w:p>
    <w:p w14:paraId="13A61526"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Ikomi, R. B., &amp; Jessa, H. O. (2003). Studies on aspects of the biology of </w:t>
      </w:r>
      <w:r w:rsidRPr="00053595">
        <w:rPr>
          <w:rFonts w:ascii="Times New Roman" w:eastAsia="Times New Roman" w:hAnsi="Times New Roman" w:cs="Times New Roman"/>
          <w:i/>
          <w:iCs/>
          <w:sz w:val="24"/>
          <w:szCs w:val="24"/>
          <w:lang w:val="en-US"/>
        </w:rPr>
        <w:t>Tilapia mariae</w:t>
      </w:r>
      <w:r w:rsidRPr="00053595">
        <w:rPr>
          <w:rFonts w:ascii="Times New Roman" w:eastAsia="Times New Roman" w:hAnsi="Times New Roman" w:cs="Times New Roman"/>
          <w:sz w:val="24"/>
          <w:szCs w:val="24"/>
          <w:lang w:val="en-US"/>
        </w:rPr>
        <w:t xml:space="preserve"> (Boulenger, 1899) (Osteichthyes: Cichlidae) in Ethiope River, Niger Delta, Nigeria. </w:t>
      </w:r>
      <w:r w:rsidRPr="00053595">
        <w:rPr>
          <w:rFonts w:ascii="Times New Roman" w:eastAsia="Times New Roman" w:hAnsi="Times New Roman" w:cs="Times New Roman"/>
          <w:i/>
          <w:iCs/>
          <w:sz w:val="24"/>
          <w:szCs w:val="24"/>
          <w:lang w:val="en-US"/>
        </w:rPr>
        <w:t>African Zoology, 38</w:t>
      </w:r>
      <w:r w:rsidRPr="00053595">
        <w:rPr>
          <w:rFonts w:ascii="Times New Roman" w:eastAsia="Times New Roman" w:hAnsi="Times New Roman" w:cs="Times New Roman"/>
          <w:sz w:val="24"/>
          <w:szCs w:val="24"/>
          <w:lang w:val="en-US"/>
        </w:rPr>
        <w:t xml:space="preserve">(2), 255–264. </w:t>
      </w:r>
      <w:hyperlink r:id="rId24" w:history="1">
        <w:r w:rsidRPr="00053595">
          <w:rPr>
            <w:rFonts w:ascii="Times New Roman" w:eastAsia="Times New Roman" w:hAnsi="Times New Roman" w:cs="Times New Roman"/>
            <w:color w:val="0000FF"/>
            <w:sz w:val="24"/>
            <w:szCs w:val="24"/>
            <w:u w:val="single"/>
            <w:lang w:val="en-US"/>
          </w:rPr>
          <w:t>https://doi.org/10.1080/15627020.2003.11407279</w:t>
        </w:r>
      </w:hyperlink>
    </w:p>
    <w:p w14:paraId="658606CE"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Jenyo-Oni, A., Hassan, A. A., &amp; Dauda, A. B. (2014). Investigation of biological condition of fish species in lower Ogun River wetlands, Lagos, Nigeria. </w:t>
      </w:r>
      <w:r w:rsidRPr="00053595">
        <w:rPr>
          <w:rFonts w:ascii="Times New Roman" w:eastAsia="Times New Roman" w:hAnsi="Times New Roman" w:cs="Times New Roman"/>
          <w:i/>
          <w:iCs/>
          <w:sz w:val="24"/>
          <w:szCs w:val="24"/>
          <w:lang w:val="en-US"/>
        </w:rPr>
        <w:lastRenderedPageBreak/>
        <w:t>International Journal of Biological and Chemical Sciences, 8</w:t>
      </w:r>
      <w:r w:rsidRPr="00053595">
        <w:rPr>
          <w:rFonts w:ascii="Times New Roman" w:eastAsia="Times New Roman" w:hAnsi="Times New Roman" w:cs="Times New Roman"/>
          <w:sz w:val="24"/>
          <w:szCs w:val="24"/>
          <w:lang w:val="en-US"/>
        </w:rPr>
        <w:t xml:space="preserve">(2), 705–710. </w:t>
      </w:r>
      <w:hyperlink r:id="rId25" w:history="1">
        <w:r w:rsidRPr="00053595">
          <w:rPr>
            <w:rFonts w:ascii="Times New Roman" w:eastAsia="Times New Roman" w:hAnsi="Times New Roman" w:cs="Times New Roman"/>
            <w:color w:val="0000FF"/>
            <w:sz w:val="24"/>
            <w:szCs w:val="24"/>
            <w:u w:val="single"/>
            <w:lang w:val="en-US"/>
          </w:rPr>
          <w:t>https://doi.org/10.4314/ijbcs.v8i2.27</w:t>
        </w:r>
      </w:hyperlink>
    </w:p>
    <w:p w14:paraId="61BFE8EC"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Kartas, F., &amp; Quignard, J.-P. (1984). </w:t>
      </w:r>
      <w:r w:rsidRPr="00053595">
        <w:rPr>
          <w:rFonts w:ascii="Times New Roman" w:eastAsia="Times New Roman" w:hAnsi="Times New Roman" w:cs="Times New Roman"/>
          <w:i/>
          <w:iCs/>
          <w:sz w:val="24"/>
          <w:szCs w:val="24"/>
          <w:lang w:val="en-US"/>
        </w:rPr>
        <w:t>La fécondité des poissons téléostéens</w:t>
      </w:r>
      <w:r w:rsidRPr="00053595">
        <w:rPr>
          <w:rFonts w:ascii="Times New Roman" w:eastAsia="Times New Roman" w:hAnsi="Times New Roman" w:cs="Times New Roman"/>
          <w:sz w:val="24"/>
          <w:szCs w:val="24"/>
          <w:lang w:val="en-US"/>
        </w:rPr>
        <w:t xml:space="preserve">. Masson. </w:t>
      </w:r>
      <w:hyperlink r:id="rId26" w:history="1">
        <w:r w:rsidRPr="00053595">
          <w:rPr>
            <w:rFonts w:ascii="Times New Roman" w:eastAsia="Times New Roman" w:hAnsi="Times New Roman" w:cs="Times New Roman"/>
            <w:color w:val="0000FF"/>
            <w:sz w:val="24"/>
            <w:szCs w:val="24"/>
            <w:u w:val="single"/>
            <w:lang w:val="en-US"/>
          </w:rPr>
          <w:t>https://catalogue.bnf.fr/ark:/12148/cb347694417</w:t>
        </w:r>
      </w:hyperlink>
    </w:p>
    <w:p w14:paraId="1A5788A4" w14:textId="4B14204A"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Kien, K. B. (2016). </w:t>
      </w:r>
      <w:r w:rsidRPr="00053595">
        <w:rPr>
          <w:rFonts w:ascii="Times New Roman" w:eastAsia="Times New Roman" w:hAnsi="Times New Roman" w:cs="Times New Roman"/>
          <w:i/>
          <w:iCs/>
          <w:sz w:val="24"/>
          <w:szCs w:val="24"/>
          <w:lang w:val="en-US"/>
        </w:rPr>
        <w:t>Activité de pêche sur le fleuve Bandama (Côte d’Ivoire): Impact sur l’organisation du peuplement de poissons du cours inférieur et conséquences socioéconomiques</w:t>
      </w:r>
      <w:r w:rsidRPr="00053595">
        <w:rPr>
          <w:rFonts w:ascii="Times New Roman" w:eastAsia="Times New Roman" w:hAnsi="Times New Roman" w:cs="Times New Roman"/>
          <w:sz w:val="24"/>
          <w:szCs w:val="24"/>
          <w:lang w:val="en-US"/>
        </w:rPr>
        <w:t xml:space="preserve"> [Doctoral thesis, Université Félix Houphouët-Boigny]. </w:t>
      </w:r>
    </w:p>
    <w:p w14:paraId="2B21CC6D"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nl-BE"/>
        </w:rPr>
        <w:t xml:space="preserve">Kien, K. B., Vanga, A. F., Aboua, B. R. D., &amp; Kouamelan, E. P. (2017). </w:t>
      </w:r>
      <w:r w:rsidRPr="00053595">
        <w:rPr>
          <w:rFonts w:ascii="Times New Roman" w:eastAsia="Times New Roman" w:hAnsi="Times New Roman" w:cs="Times New Roman"/>
          <w:sz w:val="24"/>
          <w:szCs w:val="24"/>
          <w:lang w:val="en-US"/>
        </w:rPr>
        <w:t xml:space="preserve">Actors, distribution circuits and marketing of fish on Bandama River (Côte d’Ivoire). </w:t>
      </w:r>
      <w:r w:rsidRPr="00053595">
        <w:rPr>
          <w:rFonts w:ascii="Times New Roman" w:eastAsia="Times New Roman" w:hAnsi="Times New Roman" w:cs="Times New Roman"/>
          <w:i/>
          <w:iCs/>
          <w:sz w:val="24"/>
          <w:szCs w:val="24"/>
          <w:lang w:val="en-US"/>
        </w:rPr>
        <w:t>African Journal of Marketing Management, 9</w:t>
      </w:r>
      <w:r w:rsidRPr="00053595">
        <w:rPr>
          <w:rFonts w:ascii="Times New Roman" w:eastAsia="Times New Roman" w:hAnsi="Times New Roman" w:cs="Times New Roman"/>
          <w:sz w:val="24"/>
          <w:szCs w:val="24"/>
          <w:lang w:val="en-US"/>
        </w:rPr>
        <w:t xml:space="preserve">(2), 8–17. </w:t>
      </w:r>
      <w:hyperlink r:id="rId27" w:history="1">
        <w:r w:rsidRPr="00053595">
          <w:rPr>
            <w:rFonts w:ascii="Times New Roman" w:eastAsia="Times New Roman" w:hAnsi="Times New Roman" w:cs="Times New Roman"/>
            <w:color w:val="0000FF"/>
            <w:sz w:val="24"/>
            <w:szCs w:val="24"/>
            <w:u w:val="single"/>
            <w:lang w:val="en-US"/>
          </w:rPr>
          <w:t>https://doi.org/10.5897/AJMM2017.0522</w:t>
        </w:r>
      </w:hyperlink>
    </w:p>
    <w:p w14:paraId="4AAC4B10"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Kien, K. B., N’Da, A. S., Aboua, B. R. D., &amp; Kouamelan, E. P. (2022). Length-weight relationships and condition factor of the main species of fish caught on the Bandama River (Ivory Coast). </w:t>
      </w:r>
      <w:r w:rsidRPr="00053595">
        <w:rPr>
          <w:rFonts w:ascii="Times New Roman" w:eastAsia="Times New Roman" w:hAnsi="Times New Roman" w:cs="Times New Roman"/>
          <w:i/>
          <w:iCs/>
          <w:sz w:val="24"/>
          <w:szCs w:val="24"/>
          <w:lang w:val="en-US"/>
        </w:rPr>
        <w:t>International Journal of Scientific Research Updates, 3</w:t>
      </w:r>
      <w:r w:rsidRPr="00053595">
        <w:rPr>
          <w:rFonts w:ascii="Times New Roman" w:eastAsia="Times New Roman" w:hAnsi="Times New Roman" w:cs="Times New Roman"/>
          <w:sz w:val="24"/>
          <w:szCs w:val="24"/>
          <w:lang w:val="en-US"/>
        </w:rPr>
        <w:t xml:space="preserve">(2), 37–42. </w:t>
      </w:r>
      <w:hyperlink r:id="rId28" w:history="1">
        <w:r w:rsidRPr="00053595">
          <w:rPr>
            <w:rFonts w:ascii="Times New Roman" w:eastAsia="Times New Roman" w:hAnsi="Times New Roman" w:cs="Times New Roman"/>
            <w:color w:val="0000FF"/>
            <w:sz w:val="24"/>
            <w:szCs w:val="24"/>
            <w:u w:val="single"/>
            <w:lang w:val="en-US"/>
          </w:rPr>
          <w:t>https://doi.org/10.53430/ijsru.2022.3.2.0038</w:t>
        </w:r>
      </w:hyperlink>
    </w:p>
    <w:p w14:paraId="4EC87A01"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Kien, K. B., Ndiaye, A., Aboua, B. R. D., &amp; Kouamelan, E. P. (2024). Exploitation of fish assemblage in Dassoungboho dam lake in Northern Ivory Coast. </w:t>
      </w:r>
      <w:r w:rsidRPr="00053595">
        <w:rPr>
          <w:rFonts w:ascii="Times New Roman" w:eastAsia="Times New Roman" w:hAnsi="Times New Roman" w:cs="Times New Roman"/>
          <w:i/>
          <w:iCs/>
          <w:sz w:val="24"/>
          <w:szCs w:val="24"/>
          <w:lang w:val="en-US"/>
        </w:rPr>
        <w:t>Bulletin de l’Institut Scientifique, Rabat, Section Sciences de la Vie, 46</w:t>
      </w:r>
      <w:r w:rsidRPr="00053595">
        <w:rPr>
          <w:rFonts w:ascii="Times New Roman" w:eastAsia="Times New Roman" w:hAnsi="Times New Roman" w:cs="Times New Roman"/>
          <w:sz w:val="24"/>
          <w:szCs w:val="24"/>
          <w:lang w:val="en-US"/>
        </w:rPr>
        <w:t xml:space="preserve">, 29–35. </w:t>
      </w:r>
      <w:hyperlink r:id="rId29" w:history="1">
        <w:r w:rsidRPr="00053595">
          <w:rPr>
            <w:rFonts w:ascii="Times New Roman" w:eastAsia="Times New Roman" w:hAnsi="Times New Roman" w:cs="Times New Roman"/>
            <w:color w:val="0000FF"/>
            <w:sz w:val="24"/>
            <w:szCs w:val="24"/>
            <w:u w:val="single"/>
            <w:lang w:val="en-US"/>
          </w:rPr>
          <w:t>https://www.israbat.ac.ma/wp-content/uploads/2024/12/Bueletin_BIS_SV_N%C2%B046_2024_Kouassi_et_al_4.pdf</w:t>
        </w:r>
      </w:hyperlink>
    </w:p>
    <w:p w14:paraId="7BFD665B"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Konan, K. F., Ouattara, A., Ouattara, M., &amp; Gourène, G. (2007). Weight-length relationship of 57 fish species of the coastal rivers in south-eastern Ivory Coast. </w:t>
      </w:r>
      <w:r w:rsidRPr="00053595">
        <w:rPr>
          <w:rFonts w:ascii="Times New Roman" w:eastAsia="Times New Roman" w:hAnsi="Times New Roman" w:cs="Times New Roman"/>
          <w:i/>
          <w:iCs/>
          <w:sz w:val="24"/>
          <w:szCs w:val="24"/>
          <w:lang w:val="en-US"/>
        </w:rPr>
        <w:t>Croatian Journal of Fisheries, 65</w:t>
      </w:r>
      <w:r w:rsidRPr="00053595">
        <w:rPr>
          <w:rFonts w:ascii="Times New Roman" w:eastAsia="Times New Roman" w:hAnsi="Times New Roman" w:cs="Times New Roman"/>
          <w:sz w:val="24"/>
          <w:szCs w:val="24"/>
          <w:lang w:val="en-US"/>
        </w:rPr>
        <w:t xml:space="preserve">(2), 49–60. </w:t>
      </w:r>
      <w:hyperlink r:id="rId30" w:history="1">
        <w:r w:rsidRPr="00053595">
          <w:rPr>
            <w:rFonts w:ascii="Times New Roman" w:eastAsia="Times New Roman" w:hAnsi="Times New Roman" w:cs="Times New Roman"/>
            <w:color w:val="0000FF"/>
            <w:sz w:val="24"/>
            <w:szCs w:val="24"/>
            <w:u w:val="single"/>
            <w:lang w:val="en-US"/>
          </w:rPr>
          <w:t>https://ribarstvo.agr.hr/articles/75698_WEIGHT_LENGTH_RELATIONSHIP_OF_57_FISH_SPECIES_OF_THE_COASTAL_RIVERS_IN_SOUTH_EASTERN_OF_IVORY_COAST_en.pdf</w:t>
        </w:r>
      </w:hyperlink>
    </w:p>
    <w:p w14:paraId="434CA3C6"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Koné, T., Kouassi, K. D., Amon, Y. N., &amp; N’Da, K. (2025). Peuplement ichtyologique du lac de barrage de Lôkpôhô (Ferkessédougou, Côte d’Ivoire): Fish population of the Lôkpôhô dam lake (Ferkessedougou, Côte d’Ivoire). </w:t>
      </w:r>
      <w:r w:rsidRPr="00053595">
        <w:rPr>
          <w:rFonts w:ascii="Times New Roman" w:eastAsia="Times New Roman" w:hAnsi="Times New Roman" w:cs="Times New Roman"/>
          <w:i/>
          <w:iCs/>
          <w:sz w:val="24"/>
          <w:szCs w:val="24"/>
          <w:lang w:val="en-US"/>
        </w:rPr>
        <w:t>International Journal of Biological and Chemical Sciences, 19</w:t>
      </w:r>
      <w:r w:rsidRPr="00053595">
        <w:rPr>
          <w:rFonts w:ascii="Times New Roman" w:eastAsia="Times New Roman" w:hAnsi="Times New Roman" w:cs="Times New Roman"/>
          <w:sz w:val="24"/>
          <w:szCs w:val="24"/>
          <w:lang w:val="en-US"/>
        </w:rPr>
        <w:t xml:space="preserve">(3), 1002–1014. </w:t>
      </w:r>
      <w:hyperlink r:id="rId31" w:history="1">
        <w:r w:rsidRPr="00053595">
          <w:rPr>
            <w:rFonts w:ascii="Times New Roman" w:eastAsia="Times New Roman" w:hAnsi="Times New Roman" w:cs="Times New Roman"/>
            <w:color w:val="0000FF"/>
            <w:sz w:val="24"/>
            <w:szCs w:val="24"/>
            <w:u w:val="single"/>
            <w:lang w:val="en-US"/>
          </w:rPr>
          <w:t>https://doi.org/10.4314/ijbcs.v19i3.13</w:t>
        </w:r>
      </w:hyperlink>
    </w:p>
    <w:p w14:paraId="6E33C05D"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Kouassi, K. D., Diaby, M., Soro, Y., &amp; N’Da, K. (2020). Faune ichtyologique du lac de barrage Solomougou (Korhogo, Côte d’Ivoire). </w:t>
      </w:r>
      <w:r w:rsidRPr="00053595">
        <w:rPr>
          <w:rFonts w:ascii="Times New Roman" w:eastAsia="Times New Roman" w:hAnsi="Times New Roman" w:cs="Times New Roman"/>
          <w:i/>
          <w:iCs/>
          <w:sz w:val="24"/>
          <w:szCs w:val="24"/>
          <w:lang w:val="en-US"/>
        </w:rPr>
        <w:t>International Journal of Biological and Chemical Sciences, 14</w:t>
      </w:r>
      <w:r w:rsidRPr="00053595">
        <w:rPr>
          <w:rFonts w:ascii="Times New Roman" w:eastAsia="Times New Roman" w:hAnsi="Times New Roman" w:cs="Times New Roman"/>
          <w:sz w:val="24"/>
          <w:szCs w:val="24"/>
          <w:lang w:val="en-US"/>
        </w:rPr>
        <w:t xml:space="preserve">(7), 2528–2537. </w:t>
      </w:r>
      <w:hyperlink r:id="rId32" w:history="1">
        <w:r w:rsidRPr="00053595">
          <w:rPr>
            <w:rFonts w:ascii="Times New Roman" w:eastAsia="Times New Roman" w:hAnsi="Times New Roman" w:cs="Times New Roman"/>
            <w:color w:val="0000FF"/>
            <w:sz w:val="24"/>
            <w:szCs w:val="24"/>
            <w:u w:val="single"/>
            <w:lang w:val="en-US"/>
          </w:rPr>
          <w:t>https://doi.org/10.4314/ijbcs.v14i7.13</w:t>
        </w:r>
      </w:hyperlink>
    </w:p>
    <w:p w14:paraId="52679D08"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Kouassi, K. D., Diaby, M., Amon, Y. N., &amp; N’Da, K. (2020). Length-weight relationship and condition factor for 22 freshwater fish species from Solomougou Dam Lake (Korhogo, Côte d’Ivoire). </w:t>
      </w:r>
      <w:r w:rsidRPr="00053595">
        <w:rPr>
          <w:rFonts w:ascii="Times New Roman" w:eastAsia="Times New Roman" w:hAnsi="Times New Roman" w:cs="Times New Roman"/>
          <w:i/>
          <w:iCs/>
          <w:sz w:val="24"/>
          <w:szCs w:val="24"/>
          <w:lang w:val="en-US"/>
        </w:rPr>
        <w:t>International Journal of Fisheries and Aquatic Studies, 8</w:t>
      </w:r>
      <w:r w:rsidRPr="00053595">
        <w:rPr>
          <w:rFonts w:ascii="Times New Roman" w:eastAsia="Times New Roman" w:hAnsi="Times New Roman" w:cs="Times New Roman"/>
          <w:sz w:val="24"/>
          <w:szCs w:val="24"/>
          <w:lang w:val="en-US"/>
        </w:rPr>
        <w:t xml:space="preserve">(1), 172–175. </w:t>
      </w:r>
      <w:hyperlink r:id="rId33" w:history="1">
        <w:r w:rsidRPr="00053595">
          <w:rPr>
            <w:rFonts w:ascii="Times New Roman" w:eastAsia="Times New Roman" w:hAnsi="Times New Roman" w:cs="Times New Roman"/>
            <w:color w:val="0000FF"/>
            <w:sz w:val="24"/>
            <w:szCs w:val="24"/>
            <w:u w:val="single"/>
            <w:lang w:val="en-US"/>
          </w:rPr>
          <w:t>https://www.fisheriesjournal.com/archives/2020/vol8issue1/PartC/7-6-35-421.pdf</w:t>
        </w:r>
      </w:hyperlink>
    </w:p>
    <w:p w14:paraId="6C000F73"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Koudou, D., Kakou, Y. S. C., &amp; Sékongo, L. G. (2020). Pêche dans le lac de Korhogo (Côte d’Ivoire): Acteurs, exploitation incontrôlée et signes de dégradation de la ressource halieutique. </w:t>
      </w:r>
      <w:r w:rsidRPr="00053595">
        <w:rPr>
          <w:rFonts w:ascii="Times New Roman" w:eastAsia="Times New Roman" w:hAnsi="Times New Roman" w:cs="Times New Roman"/>
          <w:i/>
          <w:iCs/>
          <w:sz w:val="24"/>
          <w:szCs w:val="24"/>
          <w:lang w:val="en-US"/>
        </w:rPr>
        <w:t>DALOGÉO, 2</w:t>
      </w:r>
      <w:r w:rsidRPr="00053595">
        <w:rPr>
          <w:rFonts w:ascii="Times New Roman" w:eastAsia="Times New Roman" w:hAnsi="Times New Roman" w:cs="Times New Roman"/>
          <w:sz w:val="24"/>
          <w:szCs w:val="24"/>
          <w:lang w:val="en-US"/>
        </w:rPr>
        <w:t xml:space="preserve">, 204–228. </w:t>
      </w:r>
      <w:hyperlink r:id="rId34" w:history="1">
        <w:r w:rsidRPr="00053595">
          <w:rPr>
            <w:rFonts w:ascii="Times New Roman" w:eastAsia="Times New Roman" w:hAnsi="Times New Roman" w:cs="Times New Roman"/>
            <w:color w:val="0000FF"/>
            <w:sz w:val="24"/>
            <w:szCs w:val="24"/>
            <w:u w:val="single"/>
            <w:lang w:val="en-US"/>
          </w:rPr>
          <w:t>https://www.revuegeo-univdaloa.net/fr/publication/peche-dans-le-lac-de-korhogo-cote-divoire-acteurs-exploitation-incontrolee-et-signes-de</w:t>
        </w:r>
      </w:hyperlink>
    </w:p>
    <w:p w14:paraId="595D9CEC" w14:textId="5E27984A"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nl-BE"/>
        </w:rPr>
      </w:pPr>
      <w:r w:rsidRPr="00053595">
        <w:rPr>
          <w:rFonts w:ascii="Times New Roman" w:eastAsia="Times New Roman" w:hAnsi="Times New Roman" w:cs="Times New Roman"/>
          <w:sz w:val="24"/>
          <w:szCs w:val="24"/>
          <w:lang w:val="en-US"/>
        </w:rPr>
        <w:t xml:space="preserve">Laë, R. (1994). Modification des apports en eau et impact sur les captures de poisson. </w:t>
      </w:r>
      <w:r w:rsidRPr="00053595">
        <w:rPr>
          <w:rFonts w:ascii="Times New Roman" w:eastAsia="Times New Roman" w:hAnsi="Times New Roman" w:cs="Times New Roman"/>
          <w:sz w:val="24"/>
          <w:szCs w:val="24"/>
          <w:lang w:val="nl-BE"/>
        </w:rPr>
        <w:t xml:space="preserve">In J. Quensière (Ed.), </w:t>
      </w:r>
      <w:r w:rsidRPr="00053595">
        <w:rPr>
          <w:rFonts w:ascii="Times New Roman" w:eastAsia="Times New Roman" w:hAnsi="Times New Roman" w:cs="Times New Roman"/>
          <w:i/>
          <w:iCs/>
          <w:sz w:val="24"/>
          <w:szCs w:val="24"/>
          <w:lang w:val="nl-BE"/>
        </w:rPr>
        <w:t>La pêche dans le Delta Central du Niger: Approche pluridisciplinaire d’un système de production halieutique</w:t>
      </w:r>
      <w:r w:rsidRPr="00053595">
        <w:rPr>
          <w:rFonts w:ascii="Times New Roman" w:eastAsia="Times New Roman" w:hAnsi="Times New Roman" w:cs="Times New Roman"/>
          <w:sz w:val="24"/>
          <w:szCs w:val="24"/>
          <w:lang w:val="nl-BE"/>
        </w:rPr>
        <w:t xml:space="preserve"> (pp. 255–265). ORSTOM/Karthala. </w:t>
      </w:r>
    </w:p>
    <w:p w14:paraId="7759E42B"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Le Cren, E. D. (1951). The length-weight relationship and seasonal cycle in gonad weight and condition in the perch (</w:t>
      </w:r>
      <w:r w:rsidRPr="00053595">
        <w:rPr>
          <w:rFonts w:ascii="Times New Roman" w:eastAsia="Times New Roman" w:hAnsi="Times New Roman" w:cs="Times New Roman"/>
          <w:i/>
          <w:iCs/>
          <w:sz w:val="24"/>
          <w:szCs w:val="24"/>
          <w:lang w:val="en-US"/>
        </w:rPr>
        <w:t>Perca fluviatilis</w:t>
      </w:r>
      <w:r w:rsidRPr="00053595">
        <w:rPr>
          <w:rFonts w:ascii="Times New Roman" w:eastAsia="Times New Roman" w:hAnsi="Times New Roman" w:cs="Times New Roman"/>
          <w:sz w:val="24"/>
          <w:szCs w:val="24"/>
          <w:lang w:val="en-US"/>
        </w:rPr>
        <w:t xml:space="preserve">). </w:t>
      </w:r>
      <w:r w:rsidRPr="00053595">
        <w:rPr>
          <w:rFonts w:ascii="Times New Roman" w:eastAsia="Times New Roman" w:hAnsi="Times New Roman" w:cs="Times New Roman"/>
          <w:i/>
          <w:iCs/>
          <w:sz w:val="24"/>
          <w:szCs w:val="24"/>
          <w:lang w:val="en-US"/>
        </w:rPr>
        <w:t>Journal of Animal Ecology, 20</w:t>
      </w:r>
      <w:r w:rsidRPr="00053595">
        <w:rPr>
          <w:rFonts w:ascii="Times New Roman" w:eastAsia="Times New Roman" w:hAnsi="Times New Roman" w:cs="Times New Roman"/>
          <w:sz w:val="24"/>
          <w:szCs w:val="24"/>
          <w:lang w:val="en-US"/>
        </w:rPr>
        <w:t xml:space="preserve">(2), 201–219. </w:t>
      </w:r>
      <w:hyperlink r:id="rId35" w:history="1">
        <w:r w:rsidRPr="00053595">
          <w:rPr>
            <w:rFonts w:ascii="Times New Roman" w:eastAsia="Times New Roman" w:hAnsi="Times New Roman" w:cs="Times New Roman"/>
            <w:color w:val="0000FF"/>
            <w:sz w:val="24"/>
            <w:szCs w:val="24"/>
            <w:u w:val="single"/>
            <w:lang w:val="en-US"/>
          </w:rPr>
          <w:t>https://doi.org/10.2307/1540</w:t>
        </w:r>
      </w:hyperlink>
    </w:p>
    <w:p w14:paraId="4E934F0A"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Montchowui, E., Chikou, A., Kogbeto, M.-J., &amp; Laleye, P. (2008). Biodiversité et structure des communautés de poissons du lac Hlan au Bénin. </w:t>
      </w:r>
      <w:r w:rsidRPr="00053595">
        <w:rPr>
          <w:rFonts w:ascii="Times New Roman" w:eastAsia="Times New Roman" w:hAnsi="Times New Roman" w:cs="Times New Roman"/>
          <w:i/>
          <w:iCs/>
          <w:sz w:val="24"/>
          <w:szCs w:val="24"/>
          <w:lang w:val="en-US"/>
        </w:rPr>
        <w:t>International Journal of Biological and Chemical Sciences, 2</w:t>
      </w:r>
      <w:r w:rsidRPr="00053595">
        <w:rPr>
          <w:rFonts w:ascii="Times New Roman" w:eastAsia="Times New Roman" w:hAnsi="Times New Roman" w:cs="Times New Roman"/>
          <w:sz w:val="24"/>
          <w:szCs w:val="24"/>
          <w:lang w:val="en-US"/>
        </w:rPr>
        <w:t xml:space="preserve">(2), 196–206. </w:t>
      </w:r>
      <w:hyperlink r:id="rId36" w:history="1">
        <w:r w:rsidRPr="00053595">
          <w:rPr>
            <w:rFonts w:ascii="Times New Roman" w:eastAsia="Times New Roman" w:hAnsi="Times New Roman" w:cs="Times New Roman"/>
            <w:color w:val="0000FF"/>
            <w:sz w:val="24"/>
            <w:szCs w:val="24"/>
            <w:u w:val="single"/>
            <w:lang w:val="en-US"/>
          </w:rPr>
          <w:t>https://doi.org/10.4314/ijbcs.v2i2.39733</w:t>
        </w:r>
      </w:hyperlink>
    </w:p>
    <w:p w14:paraId="044C1192"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nl-BE"/>
        </w:rPr>
      </w:pPr>
      <w:r w:rsidRPr="00053595">
        <w:rPr>
          <w:rFonts w:ascii="Times New Roman" w:eastAsia="Times New Roman" w:hAnsi="Times New Roman" w:cs="Times New Roman"/>
          <w:sz w:val="24"/>
          <w:szCs w:val="24"/>
          <w:lang w:val="en-US"/>
        </w:rPr>
        <w:t xml:space="preserve">Moreau, J. (1979). </w:t>
      </w:r>
      <w:r w:rsidRPr="00053595">
        <w:rPr>
          <w:rFonts w:ascii="Times New Roman" w:eastAsia="Times New Roman" w:hAnsi="Times New Roman" w:cs="Times New Roman"/>
          <w:i/>
          <w:iCs/>
          <w:sz w:val="24"/>
          <w:szCs w:val="24"/>
          <w:lang w:val="en-US"/>
        </w:rPr>
        <w:t>Biologie et évolution des peuplements de Cichlides (Pisces) introduits dans les lacs malgaches d’altitude</w:t>
      </w:r>
      <w:r w:rsidRPr="00053595">
        <w:rPr>
          <w:rFonts w:ascii="Times New Roman" w:eastAsia="Times New Roman" w:hAnsi="Times New Roman" w:cs="Times New Roman"/>
          <w:sz w:val="24"/>
          <w:szCs w:val="24"/>
          <w:lang w:val="en-US"/>
        </w:rPr>
        <w:t xml:space="preserve"> [Doctoral thesis, Institut National Polytechnique de Toulouse]. </w:t>
      </w:r>
      <w:hyperlink r:id="rId37" w:history="1">
        <w:r w:rsidRPr="00053595">
          <w:rPr>
            <w:rFonts w:ascii="Times New Roman" w:eastAsia="Times New Roman" w:hAnsi="Times New Roman" w:cs="Times New Roman"/>
            <w:color w:val="0000FF"/>
            <w:sz w:val="24"/>
            <w:szCs w:val="24"/>
            <w:u w:val="single"/>
            <w:lang w:val="nl-BE"/>
          </w:rPr>
          <w:t>https://agris.fao.org/search/en/providers/122621/records/647396d7ce9437aa76005b62</w:t>
        </w:r>
      </w:hyperlink>
    </w:p>
    <w:p w14:paraId="754AC6D5"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nl-BE"/>
        </w:rPr>
        <w:t xml:space="preserve">Ndiaye, A., Kien, K. B., Kouakou, F. K. I., &amp; Diomandé, D. (2025). </w:t>
      </w:r>
      <w:r w:rsidRPr="00053595">
        <w:rPr>
          <w:rFonts w:ascii="Times New Roman" w:eastAsia="Times New Roman" w:hAnsi="Times New Roman" w:cs="Times New Roman"/>
          <w:sz w:val="24"/>
          <w:szCs w:val="24"/>
          <w:lang w:val="en-US"/>
        </w:rPr>
        <w:t xml:space="preserve">Ichthyology faunal diversity and assemblage of Sologo Lake before its rehabilitation in Northern Ivory Coast. </w:t>
      </w:r>
      <w:r w:rsidRPr="00053595">
        <w:rPr>
          <w:rFonts w:ascii="Times New Roman" w:eastAsia="Times New Roman" w:hAnsi="Times New Roman" w:cs="Times New Roman"/>
          <w:i/>
          <w:iCs/>
          <w:sz w:val="24"/>
          <w:szCs w:val="24"/>
          <w:lang w:val="en-US"/>
        </w:rPr>
        <w:t>Journal of Advances in Biology &amp; Biotechnology, 28</w:t>
      </w:r>
      <w:r w:rsidRPr="00053595">
        <w:rPr>
          <w:rFonts w:ascii="Times New Roman" w:eastAsia="Times New Roman" w:hAnsi="Times New Roman" w:cs="Times New Roman"/>
          <w:sz w:val="24"/>
          <w:szCs w:val="24"/>
          <w:lang w:val="en-US"/>
        </w:rPr>
        <w:t xml:space="preserve">(9), 1305–1315. </w:t>
      </w:r>
      <w:hyperlink r:id="rId38" w:history="1">
        <w:r w:rsidRPr="00053595">
          <w:rPr>
            <w:rFonts w:ascii="Times New Roman" w:eastAsia="Times New Roman" w:hAnsi="Times New Roman" w:cs="Times New Roman"/>
            <w:color w:val="0000FF"/>
            <w:sz w:val="24"/>
            <w:szCs w:val="24"/>
            <w:u w:val="single"/>
            <w:lang w:val="en-US"/>
          </w:rPr>
          <w:t>https://doi.org/10.9734/jabb/2025/v28i92977</w:t>
        </w:r>
      </w:hyperlink>
    </w:p>
    <w:p w14:paraId="50BACD71"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nl-BE"/>
        </w:rPr>
        <w:t xml:space="preserve">Ofori-Danson, P. K., De Graaf, G. J., &amp; Vanderpuye, C. J. (2002). </w:t>
      </w:r>
      <w:r w:rsidRPr="00053595">
        <w:rPr>
          <w:rFonts w:ascii="Times New Roman" w:eastAsia="Times New Roman" w:hAnsi="Times New Roman" w:cs="Times New Roman"/>
          <w:sz w:val="24"/>
          <w:szCs w:val="24"/>
          <w:lang w:val="en-US"/>
        </w:rPr>
        <w:t xml:space="preserve">Population parameter estimates for </w:t>
      </w:r>
      <w:r w:rsidRPr="00053595">
        <w:rPr>
          <w:rFonts w:ascii="Times New Roman" w:eastAsia="Times New Roman" w:hAnsi="Times New Roman" w:cs="Times New Roman"/>
          <w:i/>
          <w:iCs/>
          <w:sz w:val="24"/>
          <w:szCs w:val="24"/>
          <w:lang w:val="en-US"/>
        </w:rPr>
        <w:t>Chrysichthys auratus</w:t>
      </w:r>
      <w:r w:rsidRPr="00053595">
        <w:rPr>
          <w:rFonts w:ascii="Times New Roman" w:eastAsia="Times New Roman" w:hAnsi="Times New Roman" w:cs="Times New Roman"/>
          <w:sz w:val="24"/>
          <w:szCs w:val="24"/>
          <w:lang w:val="en-US"/>
        </w:rPr>
        <w:t xml:space="preserve"> and </w:t>
      </w:r>
      <w:r w:rsidRPr="00053595">
        <w:rPr>
          <w:rFonts w:ascii="Times New Roman" w:eastAsia="Times New Roman" w:hAnsi="Times New Roman" w:cs="Times New Roman"/>
          <w:i/>
          <w:iCs/>
          <w:sz w:val="24"/>
          <w:szCs w:val="24"/>
          <w:lang w:val="en-US"/>
        </w:rPr>
        <w:t>C. nigrodigitatus</w:t>
      </w:r>
      <w:r w:rsidRPr="00053595">
        <w:rPr>
          <w:rFonts w:ascii="Times New Roman" w:eastAsia="Times New Roman" w:hAnsi="Times New Roman" w:cs="Times New Roman"/>
          <w:sz w:val="24"/>
          <w:szCs w:val="24"/>
          <w:lang w:val="en-US"/>
        </w:rPr>
        <w:t xml:space="preserve"> (Pisces: Claroteidae) in Lake Volta, Ghana. </w:t>
      </w:r>
      <w:r w:rsidRPr="00053595">
        <w:rPr>
          <w:rFonts w:ascii="Times New Roman" w:eastAsia="Times New Roman" w:hAnsi="Times New Roman" w:cs="Times New Roman"/>
          <w:i/>
          <w:iCs/>
          <w:sz w:val="24"/>
          <w:szCs w:val="24"/>
          <w:lang w:val="en-US"/>
        </w:rPr>
        <w:t>Fisheries Research, 54</w:t>
      </w:r>
      <w:r w:rsidRPr="00053595">
        <w:rPr>
          <w:rFonts w:ascii="Times New Roman" w:eastAsia="Times New Roman" w:hAnsi="Times New Roman" w:cs="Times New Roman"/>
          <w:sz w:val="24"/>
          <w:szCs w:val="24"/>
          <w:lang w:val="en-US"/>
        </w:rPr>
        <w:t xml:space="preserve">(2), 267–277. </w:t>
      </w:r>
      <w:hyperlink r:id="rId39" w:history="1">
        <w:r w:rsidRPr="00053595">
          <w:rPr>
            <w:rFonts w:ascii="Times New Roman" w:eastAsia="Times New Roman" w:hAnsi="Times New Roman" w:cs="Times New Roman"/>
            <w:color w:val="0000FF"/>
            <w:sz w:val="24"/>
            <w:szCs w:val="24"/>
            <w:u w:val="single"/>
            <w:lang w:val="en-US"/>
          </w:rPr>
          <w:t>https://doi.org/10.1016/S0165-7836(00)00292-7</w:t>
        </w:r>
      </w:hyperlink>
    </w:p>
    <w:p w14:paraId="29684FD4"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Pauly, D. (1994). Quantitative analysis of published data on the growth, metabolism, food consumption, and related features of the red-bellied piranha, </w:t>
      </w:r>
      <w:r w:rsidRPr="00053595">
        <w:rPr>
          <w:rFonts w:ascii="Times New Roman" w:eastAsia="Times New Roman" w:hAnsi="Times New Roman" w:cs="Times New Roman"/>
          <w:i/>
          <w:iCs/>
          <w:sz w:val="24"/>
          <w:szCs w:val="24"/>
          <w:lang w:val="en-US"/>
        </w:rPr>
        <w:t>Serrasalmus nattereri</w:t>
      </w:r>
      <w:r w:rsidRPr="00053595">
        <w:rPr>
          <w:rFonts w:ascii="Times New Roman" w:eastAsia="Times New Roman" w:hAnsi="Times New Roman" w:cs="Times New Roman"/>
          <w:sz w:val="24"/>
          <w:szCs w:val="24"/>
          <w:lang w:val="en-US"/>
        </w:rPr>
        <w:t xml:space="preserve"> (Characidae). </w:t>
      </w:r>
      <w:r w:rsidRPr="00053595">
        <w:rPr>
          <w:rFonts w:ascii="Times New Roman" w:eastAsia="Times New Roman" w:hAnsi="Times New Roman" w:cs="Times New Roman"/>
          <w:i/>
          <w:iCs/>
          <w:sz w:val="24"/>
          <w:szCs w:val="24"/>
          <w:lang w:val="en-US"/>
        </w:rPr>
        <w:t>Environmental Biology of Fishes, 41</w:t>
      </w:r>
      <w:r w:rsidRPr="00053595">
        <w:rPr>
          <w:rFonts w:ascii="Times New Roman" w:eastAsia="Times New Roman" w:hAnsi="Times New Roman" w:cs="Times New Roman"/>
          <w:sz w:val="24"/>
          <w:szCs w:val="24"/>
          <w:lang w:val="en-US"/>
        </w:rPr>
        <w:t xml:space="preserve">, 423–437. </w:t>
      </w:r>
      <w:hyperlink r:id="rId40" w:history="1">
        <w:r w:rsidRPr="00053595">
          <w:rPr>
            <w:rFonts w:ascii="Times New Roman" w:eastAsia="Times New Roman" w:hAnsi="Times New Roman" w:cs="Times New Roman"/>
            <w:color w:val="0000FF"/>
            <w:sz w:val="24"/>
            <w:szCs w:val="24"/>
            <w:u w:val="single"/>
            <w:lang w:val="en-US"/>
          </w:rPr>
          <w:t>https://doi.org/10.1007/BF02197858</w:t>
        </w:r>
      </w:hyperlink>
    </w:p>
    <w:p w14:paraId="0D9A8C8E"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nl-BE"/>
        </w:rPr>
        <w:t xml:space="preserve">Paugy, D., Lévêque, C., &amp; Teugels, G. G. (Eds.). </w:t>
      </w:r>
      <w:r w:rsidRPr="00053595">
        <w:rPr>
          <w:rFonts w:ascii="Times New Roman" w:eastAsia="Times New Roman" w:hAnsi="Times New Roman" w:cs="Times New Roman"/>
          <w:sz w:val="24"/>
          <w:szCs w:val="24"/>
          <w:lang w:val="en-US"/>
        </w:rPr>
        <w:t xml:space="preserve">(2003a). </w:t>
      </w:r>
      <w:r w:rsidRPr="00053595">
        <w:rPr>
          <w:rFonts w:ascii="Times New Roman" w:eastAsia="Times New Roman" w:hAnsi="Times New Roman" w:cs="Times New Roman"/>
          <w:i/>
          <w:iCs/>
          <w:sz w:val="24"/>
          <w:szCs w:val="24"/>
          <w:lang w:val="en-US"/>
        </w:rPr>
        <w:t>Faune des poissons d’eaux douces et saumâtres de l’Afrique de l’Ouest</w:t>
      </w:r>
      <w:r w:rsidRPr="00053595">
        <w:rPr>
          <w:rFonts w:ascii="Times New Roman" w:eastAsia="Times New Roman" w:hAnsi="Times New Roman" w:cs="Times New Roman"/>
          <w:sz w:val="24"/>
          <w:szCs w:val="24"/>
          <w:lang w:val="en-US"/>
        </w:rPr>
        <w:t xml:space="preserve"> (Tome 1). IRD, MNHN, &amp; MRAC. </w:t>
      </w:r>
      <w:hyperlink r:id="rId41" w:history="1">
        <w:r w:rsidRPr="00053595">
          <w:rPr>
            <w:rFonts w:ascii="Times New Roman" w:eastAsia="Times New Roman" w:hAnsi="Times New Roman" w:cs="Times New Roman"/>
            <w:color w:val="0000FF"/>
            <w:sz w:val="24"/>
            <w:szCs w:val="24"/>
            <w:u w:val="single"/>
            <w:lang w:val="en-US"/>
          </w:rPr>
          <w:t>https://www.documentation.ird.fr/hor/fdi:010034145</w:t>
        </w:r>
      </w:hyperlink>
    </w:p>
    <w:p w14:paraId="7D0EEAC4"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nl-BE"/>
        </w:rPr>
        <w:lastRenderedPageBreak/>
        <w:t xml:space="preserve">Paugy, D., Lévêque, C., &amp; Teugels, G. G. (Eds.). </w:t>
      </w:r>
      <w:r w:rsidRPr="00053595">
        <w:rPr>
          <w:rFonts w:ascii="Times New Roman" w:eastAsia="Times New Roman" w:hAnsi="Times New Roman" w:cs="Times New Roman"/>
          <w:sz w:val="24"/>
          <w:szCs w:val="24"/>
          <w:lang w:val="en-US"/>
        </w:rPr>
        <w:t xml:space="preserve">(2003b). </w:t>
      </w:r>
      <w:r w:rsidRPr="00053595">
        <w:rPr>
          <w:rFonts w:ascii="Times New Roman" w:eastAsia="Times New Roman" w:hAnsi="Times New Roman" w:cs="Times New Roman"/>
          <w:i/>
          <w:iCs/>
          <w:sz w:val="24"/>
          <w:szCs w:val="24"/>
          <w:lang w:val="en-US"/>
        </w:rPr>
        <w:t>Faune des poissons d’eaux douces et saumâtres de l’Afrique de l’Ouest</w:t>
      </w:r>
      <w:r w:rsidRPr="00053595">
        <w:rPr>
          <w:rFonts w:ascii="Times New Roman" w:eastAsia="Times New Roman" w:hAnsi="Times New Roman" w:cs="Times New Roman"/>
          <w:sz w:val="24"/>
          <w:szCs w:val="24"/>
          <w:lang w:val="en-US"/>
        </w:rPr>
        <w:t xml:space="preserve"> (Tome 2). IRD, MNHN, &amp; MRAC. </w:t>
      </w:r>
      <w:hyperlink r:id="rId42" w:history="1">
        <w:r w:rsidRPr="00053595">
          <w:rPr>
            <w:rFonts w:ascii="Times New Roman" w:eastAsia="Times New Roman" w:hAnsi="Times New Roman" w:cs="Times New Roman"/>
            <w:color w:val="0000FF"/>
            <w:sz w:val="24"/>
            <w:szCs w:val="24"/>
            <w:u w:val="single"/>
            <w:lang w:val="en-US"/>
          </w:rPr>
          <w:t>https://www.documentation.ird.fr/hor/fdi:010034264</w:t>
        </w:r>
      </w:hyperlink>
    </w:p>
    <w:p w14:paraId="40515079"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Scherrer, B. (1984). </w:t>
      </w:r>
      <w:r w:rsidRPr="00053595">
        <w:rPr>
          <w:rFonts w:ascii="Times New Roman" w:eastAsia="Times New Roman" w:hAnsi="Times New Roman" w:cs="Times New Roman"/>
          <w:i/>
          <w:iCs/>
          <w:sz w:val="24"/>
          <w:szCs w:val="24"/>
          <w:lang w:val="en-US"/>
        </w:rPr>
        <w:t>Biostatistique</w:t>
      </w:r>
      <w:r w:rsidRPr="00053595">
        <w:rPr>
          <w:rFonts w:ascii="Times New Roman" w:eastAsia="Times New Roman" w:hAnsi="Times New Roman" w:cs="Times New Roman"/>
          <w:sz w:val="24"/>
          <w:szCs w:val="24"/>
          <w:lang w:val="en-US"/>
        </w:rPr>
        <w:t xml:space="preserve">. Gaëtan Morin. </w:t>
      </w:r>
      <w:hyperlink r:id="rId43" w:history="1">
        <w:r w:rsidRPr="00053595">
          <w:rPr>
            <w:rFonts w:ascii="Times New Roman" w:eastAsia="Times New Roman" w:hAnsi="Times New Roman" w:cs="Times New Roman"/>
            <w:color w:val="0000FF"/>
            <w:sz w:val="24"/>
            <w:szCs w:val="24"/>
            <w:u w:val="single"/>
            <w:lang w:val="en-US"/>
          </w:rPr>
          <w:t>https://belinrae.inrae.fr/index.php?id=6522&amp;lvl=notice_display</w:t>
        </w:r>
      </w:hyperlink>
    </w:p>
    <w:p w14:paraId="0A8901C2" w14:textId="77777777" w:rsidR="00053595" w:rsidRPr="00053595" w:rsidRDefault="00053595" w:rsidP="00053595">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053595">
        <w:rPr>
          <w:rFonts w:ascii="Times New Roman" w:eastAsia="Times New Roman" w:hAnsi="Times New Roman" w:cs="Times New Roman"/>
          <w:sz w:val="24"/>
          <w:szCs w:val="24"/>
          <w:lang w:val="en-US"/>
        </w:rPr>
        <w:t xml:space="preserve">Veronika, K., Edrisinghe, U., Sivashanthini, K., &amp; Athauda, A. R. S. B. (2018). Length-weight relationships of four different sea cucumber species in North-East coastal region of Sri Lanka. </w:t>
      </w:r>
      <w:r w:rsidRPr="00053595">
        <w:rPr>
          <w:rFonts w:ascii="Times New Roman" w:eastAsia="Times New Roman" w:hAnsi="Times New Roman" w:cs="Times New Roman"/>
          <w:i/>
          <w:iCs/>
          <w:sz w:val="24"/>
          <w:szCs w:val="24"/>
          <w:lang w:val="en-US"/>
        </w:rPr>
        <w:t>Tropical Agricultural Research, 29</w:t>
      </w:r>
      <w:r w:rsidRPr="00053595">
        <w:rPr>
          <w:rFonts w:ascii="Times New Roman" w:eastAsia="Times New Roman" w:hAnsi="Times New Roman" w:cs="Times New Roman"/>
          <w:sz w:val="24"/>
          <w:szCs w:val="24"/>
          <w:lang w:val="en-US"/>
        </w:rPr>
        <w:t xml:space="preserve">(2), 212–217. </w:t>
      </w:r>
      <w:hyperlink r:id="rId44" w:history="1">
        <w:r w:rsidRPr="00053595">
          <w:rPr>
            <w:rFonts w:ascii="Times New Roman" w:eastAsia="Times New Roman" w:hAnsi="Times New Roman" w:cs="Times New Roman"/>
            <w:color w:val="0000FF"/>
            <w:sz w:val="24"/>
            <w:szCs w:val="24"/>
            <w:u w:val="single"/>
            <w:lang w:val="en-US"/>
          </w:rPr>
          <w:t>https://doi.org/10.4038/tar.v29i2.8290</w:t>
        </w:r>
      </w:hyperlink>
    </w:p>
    <w:p w14:paraId="765852D9" w14:textId="77777777" w:rsidR="00F55601" w:rsidRPr="00F2344B" w:rsidRDefault="00F55601">
      <w:pPr>
        <w:rPr>
          <w:rFonts w:ascii="Times New Roman" w:hAnsi="Times New Roman" w:cs="Times New Roman"/>
          <w:sz w:val="24"/>
          <w:szCs w:val="24"/>
          <w:lang w:val="en-US"/>
        </w:rPr>
      </w:pPr>
      <w:r w:rsidRPr="00F2344B">
        <w:rPr>
          <w:rFonts w:ascii="Times New Roman" w:hAnsi="Times New Roman" w:cs="Times New Roman"/>
          <w:sz w:val="24"/>
          <w:szCs w:val="24"/>
          <w:lang w:val="en-US"/>
        </w:rPr>
        <w:br w:type="page"/>
      </w:r>
    </w:p>
    <w:p w14:paraId="0B95C2BF" w14:textId="77777777" w:rsidR="00F55601" w:rsidRPr="00F2344B" w:rsidRDefault="00F55601" w:rsidP="008D7A28">
      <w:pPr>
        <w:pStyle w:val="Heading3"/>
      </w:pPr>
      <w:r w:rsidRPr="00F2344B">
        <w:rPr>
          <w:noProof/>
          <w:lang w:eastAsia="fr-FR"/>
        </w:rPr>
        <w:lastRenderedPageBreak/>
        <w:drawing>
          <wp:inline distT="0" distB="0" distL="0" distR="0" wp14:anchorId="07A1A824" wp14:editId="5FBC1B28">
            <wp:extent cx="4561840" cy="3457575"/>
            <wp:effectExtent l="0" t="0" r="0" b="9525"/>
            <wp:docPr id="1" name="Image 1" descr="C:\Users\MAK STORE\Downloads\WhatsApp Image 2023-09-10 at 13.53.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K STORE\Downloads\WhatsApp Image 2023-09-10 at 13.53.38.jpe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606803" cy="3491654"/>
                    </a:xfrm>
                    <a:prstGeom prst="rect">
                      <a:avLst/>
                    </a:prstGeom>
                    <a:noFill/>
                    <a:ln>
                      <a:noFill/>
                    </a:ln>
                  </pic:spPr>
                </pic:pic>
              </a:graphicData>
            </a:graphic>
          </wp:inline>
        </w:drawing>
      </w:r>
    </w:p>
    <w:p w14:paraId="0B5CC54C" w14:textId="1B5A323D" w:rsidR="00F55601" w:rsidRPr="00F2344B" w:rsidRDefault="00F55601" w:rsidP="00F55601">
      <w:pPr>
        <w:pStyle w:val="Caption"/>
        <w:jc w:val="both"/>
        <w:rPr>
          <w:rFonts w:ascii="Times New Roman" w:hAnsi="Times New Roman" w:cs="Times New Roman"/>
          <w:i w:val="0"/>
          <w:color w:val="auto"/>
          <w:sz w:val="24"/>
          <w:szCs w:val="24"/>
        </w:rPr>
      </w:pPr>
      <w:bookmarkStart w:id="12" w:name="_Toc178753639"/>
      <w:r w:rsidRPr="00F2344B">
        <w:rPr>
          <w:rFonts w:ascii="Times New Roman" w:hAnsi="Times New Roman" w:cs="Times New Roman"/>
          <w:b/>
          <w:i w:val="0"/>
          <w:color w:val="auto"/>
          <w:sz w:val="24"/>
          <w:szCs w:val="24"/>
        </w:rPr>
        <w:t xml:space="preserve">Figure </w:t>
      </w:r>
      <w:r w:rsidRPr="00F2344B">
        <w:rPr>
          <w:rFonts w:ascii="Times New Roman" w:hAnsi="Times New Roman" w:cs="Times New Roman"/>
          <w:b/>
          <w:i w:val="0"/>
          <w:color w:val="auto"/>
          <w:sz w:val="24"/>
          <w:szCs w:val="24"/>
        </w:rPr>
        <w:fldChar w:fldCharType="begin"/>
      </w:r>
      <w:r w:rsidRPr="00F2344B">
        <w:rPr>
          <w:rFonts w:ascii="Times New Roman" w:hAnsi="Times New Roman" w:cs="Times New Roman"/>
          <w:b/>
          <w:i w:val="0"/>
          <w:color w:val="auto"/>
          <w:sz w:val="24"/>
          <w:szCs w:val="24"/>
        </w:rPr>
        <w:instrText xml:space="preserve"> SEQ Figure \* ARABIC </w:instrText>
      </w:r>
      <w:r w:rsidRPr="00F2344B">
        <w:rPr>
          <w:rFonts w:ascii="Times New Roman" w:hAnsi="Times New Roman" w:cs="Times New Roman"/>
          <w:b/>
          <w:i w:val="0"/>
          <w:color w:val="auto"/>
          <w:sz w:val="24"/>
          <w:szCs w:val="24"/>
        </w:rPr>
        <w:fldChar w:fldCharType="separate"/>
      </w:r>
      <w:r w:rsidRPr="00F2344B">
        <w:rPr>
          <w:rFonts w:ascii="Times New Roman" w:hAnsi="Times New Roman" w:cs="Times New Roman"/>
          <w:b/>
          <w:i w:val="0"/>
          <w:noProof/>
          <w:color w:val="auto"/>
          <w:sz w:val="24"/>
          <w:szCs w:val="24"/>
        </w:rPr>
        <w:t>1</w:t>
      </w:r>
      <w:r w:rsidRPr="00F2344B">
        <w:rPr>
          <w:rFonts w:ascii="Times New Roman" w:hAnsi="Times New Roman" w:cs="Times New Roman"/>
          <w:b/>
          <w:i w:val="0"/>
          <w:color w:val="auto"/>
          <w:sz w:val="24"/>
          <w:szCs w:val="24"/>
        </w:rPr>
        <w:fldChar w:fldCharType="end"/>
      </w:r>
      <w:r w:rsidRPr="00F2344B">
        <w:rPr>
          <w:rFonts w:ascii="Times New Roman" w:hAnsi="Times New Roman" w:cs="Times New Roman"/>
          <w:i w:val="0"/>
          <w:color w:val="auto"/>
          <w:sz w:val="24"/>
          <w:szCs w:val="24"/>
        </w:rPr>
        <w:t xml:space="preserve">: </w:t>
      </w:r>
      <w:bookmarkEnd w:id="12"/>
      <w:r w:rsidR="001937A7" w:rsidRPr="001937A7">
        <w:rPr>
          <w:rFonts w:ascii="Times New Roman" w:hAnsi="Times New Roman" w:cs="Times New Roman"/>
          <w:i w:val="0"/>
          <w:color w:val="auto"/>
          <w:sz w:val="24"/>
          <w:szCs w:val="24"/>
        </w:rPr>
        <w:t>Location of the Sologo reservoir (Source: Google Earth 2024)</w:t>
      </w:r>
    </w:p>
    <w:p w14:paraId="0109B906" w14:textId="77777777" w:rsidR="00F55601" w:rsidRPr="00F2344B" w:rsidRDefault="00F55601" w:rsidP="00F55601">
      <w:r w:rsidRPr="00F2344B">
        <w:br w:type="page"/>
      </w:r>
    </w:p>
    <w:p w14:paraId="6D0BC86F" w14:textId="77777777" w:rsidR="00F55601" w:rsidRPr="00F2344B" w:rsidRDefault="00F55601" w:rsidP="00F55601">
      <w:pPr>
        <w:rPr>
          <w:rFonts w:ascii="Times New Roman" w:hAnsi="Times New Roman" w:cs="Times New Roman"/>
          <w:sz w:val="24"/>
          <w:szCs w:val="24"/>
        </w:rPr>
      </w:pPr>
    </w:p>
    <w:p w14:paraId="78153F6F" w14:textId="77777777" w:rsidR="00F55601" w:rsidRPr="00F2344B" w:rsidRDefault="00F55601" w:rsidP="00F55601">
      <w:pPr>
        <w:rPr>
          <w:rFonts w:ascii="Times New Roman" w:hAnsi="Times New Roman" w:cs="Times New Roman"/>
          <w:sz w:val="24"/>
          <w:szCs w:val="24"/>
        </w:rPr>
      </w:pPr>
      <w:r w:rsidRPr="00F2344B">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0288" behindDoc="0" locked="0" layoutInCell="1" allowOverlap="1" wp14:anchorId="4E6AC292" wp14:editId="70B72A3C">
                <wp:simplePos x="0" y="0"/>
                <wp:positionH relativeFrom="margin">
                  <wp:posOffset>2821305</wp:posOffset>
                </wp:positionH>
                <wp:positionV relativeFrom="paragraph">
                  <wp:posOffset>-247135</wp:posOffset>
                </wp:positionV>
                <wp:extent cx="2660822" cy="2298357"/>
                <wp:effectExtent l="0" t="0" r="25400" b="26035"/>
                <wp:wrapNone/>
                <wp:docPr id="20" name="Zone de texte 20"/>
                <wp:cNvGraphicFramePr/>
                <a:graphic xmlns:a="http://schemas.openxmlformats.org/drawingml/2006/main">
                  <a:graphicData uri="http://schemas.microsoft.com/office/word/2010/wordprocessingShape">
                    <wps:wsp>
                      <wps:cNvSpPr txBox="1"/>
                      <wps:spPr>
                        <a:xfrm>
                          <a:off x="0" y="0"/>
                          <a:ext cx="2660822" cy="2298357"/>
                        </a:xfrm>
                        <a:prstGeom prst="rect">
                          <a:avLst/>
                        </a:prstGeom>
                        <a:solidFill>
                          <a:sysClr val="window" lastClr="FFFFFF"/>
                        </a:solidFill>
                        <a:ln w="6350">
                          <a:solidFill>
                            <a:prstClr val="black"/>
                          </a:solidFill>
                        </a:ln>
                        <a:effectLst/>
                      </wps:spPr>
                      <wps:txbx>
                        <w:txbxContent>
                          <w:p w14:paraId="6CDFA32C" w14:textId="77777777" w:rsidR="00A52628" w:rsidRDefault="00A52628" w:rsidP="00F55601">
                            <w:r>
                              <w:rPr>
                                <w:noProof/>
                                <w:lang w:eastAsia="fr-FR"/>
                              </w:rPr>
                              <w:drawing>
                                <wp:inline distT="0" distB="0" distL="0" distR="0" wp14:anchorId="792DB976" wp14:editId="009952B3">
                                  <wp:extent cx="2520779" cy="2281881"/>
                                  <wp:effectExtent l="0" t="0" r="13335" b="4445"/>
                                  <wp:docPr id="785259595" name="Graphique 78525959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A83BA81" w14:textId="77777777" w:rsidR="00A52628" w:rsidRDefault="00A52628" w:rsidP="00F55601"/>
                          <w:p w14:paraId="0A96D9E2" w14:textId="77777777" w:rsidR="00A52628" w:rsidRDefault="00A52628" w:rsidP="00F55601">
                            <w:r>
                              <w:rPr>
                                <w:noProof/>
                                <w:lang w:eastAsia="fr-FR"/>
                              </w:rPr>
                              <w:drawing>
                                <wp:inline distT="0" distB="0" distL="0" distR="0" wp14:anchorId="708AB9A1" wp14:editId="15005C36">
                                  <wp:extent cx="2520779" cy="2281881"/>
                                  <wp:effectExtent l="0" t="0" r="13335" b="4445"/>
                                  <wp:docPr id="124755764" name="Graphique 12475576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6AC292" id="_x0000_t202" coordsize="21600,21600" o:spt="202" path="m,l,21600r21600,l21600,xe">
                <v:stroke joinstyle="miter"/>
                <v:path gradientshapeok="t" o:connecttype="rect"/>
              </v:shapetype>
              <v:shape id="Zone de texte 20" o:spid="_x0000_s1026" type="#_x0000_t202" style="position:absolute;margin-left:222.15pt;margin-top:-19.45pt;width:209.5pt;height:180.9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" fillcolor="window" strokeweight=".5pt">
                <v:textbox>
                  <w:txbxContent>
                    <w:p w14:paraId="6CDFA32C" w14:textId="77777777" w:rsidR="00A52628" w:rsidRDefault="00A52628" w:rsidP="00F55601">
                      <w:r>
                        <w:rPr>
                          <w:noProof/>
                          <w:lang w:eastAsia="fr-FR"/>
                        </w:rPr>
                        <w:drawing>
                          <wp:inline distT="0" distB="0" distL="0" distR="0" wp14:anchorId="792DB976" wp14:editId="009952B3">
                            <wp:extent cx="2520779" cy="2281881"/>
                            <wp:effectExtent l="0" t="0" r="13335" b="4445"/>
                            <wp:docPr id="785259595" name="Graphique 78525959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5A83BA81" w14:textId="77777777" w:rsidR="00A52628" w:rsidRDefault="00A52628" w:rsidP="00F55601"/>
                    <w:p w14:paraId="0A96D9E2" w14:textId="77777777" w:rsidR="00A52628" w:rsidRDefault="00A52628" w:rsidP="00F55601">
                      <w:r>
                        <w:rPr>
                          <w:noProof/>
                          <w:lang w:eastAsia="fr-FR"/>
                        </w:rPr>
                        <w:drawing>
                          <wp:inline distT="0" distB="0" distL="0" distR="0" wp14:anchorId="708AB9A1" wp14:editId="15005C36">
                            <wp:extent cx="2520779" cy="2281881"/>
                            <wp:effectExtent l="0" t="0" r="13335" b="4445"/>
                            <wp:docPr id="124755764" name="Graphique 12475576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txbxContent>
                </v:textbox>
                <w10:wrap anchorx="margin"/>
              </v:shape>
            </w:pict>
          </mc:Fallback>
        </mc:AlternateContent>
      </w:r>
      <w:r w:rsidRPr="00F2344B">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59264" behindDoc="0" locked="0" layoutInCell="1" allowOverlap="1" wp14:anchorId="3DDC3FC6" wp14:editId="4587720F">
                <wp:simplePos x="0" y="0"/>
                <wp:positionH relativeFrom="margin">
                  <wp:posOffset>-61939</wp:posOffset>
                </wp:positionH>
                <wp:positionV relativeFrom="paragraph">
                  <wp:posOffset>-247136</wp:posOffset>
                </wp:positionV>
                <wp:extent cx="2603157" cy="2273643"/>
                <wp:effectExtent l="0" t="0" r="26035" b="12700"/>
                <wp:wrapNone/>
                <wp:docPr id="25" name="Zone de texte 25"/>
                <wp:cNvGraphicFramePr/>
                <a:graphic xmlns:a="http://schemas.openxmlformats.org/drawingml/2006/main">
                  <a:graphicData uri="http://schemas.microsoft.com/office/word/2010/wordprocessingShape">
                    <wps:wsp>
                      <wps:cNvSpPr txBox="1"/>
                      <wps:spPr>
                        <a:xfrm>
                          <a:off x="0" y="0"/>
                          <a:ext cx="2603157" cy="2273643"/>
                        </a:xfrm>
                        <a:prstGeom prst="rect">
                          <a:avLst/>
                        </a:prstGeom>
                        <a:solidFill>
                          <a:sysClr val="window" lastClr="FFFFFF"/>
                        </a:solidFill>
                        <a:ln w="6350">
                          <a:solidFill>
                            <a:prstClr val="black"/>
                          </a:solidFill>
                        </a:ln>
                        <a:effectLst/>
                      </wps:spPr>
                      <wps:txbx>
                        <w:txbxContent>
                          <w:p w14:paraId="49DE4DDF" w14:textId="77777777" w:rsidR="00A52628" w:rsidRDefault="00A52628" w:rsidP="00F55601">
                            <w:r>
                              <w:rPr>
                                <w:noProof/>
                                <w:lang w:eastAsia="fr-FR"/>
                              </w:rPr>
                              <w:drawing>
                                <wp:inline distT="0" distB="0" distL="0" distR="0" wp14:anchorId="64EC9156" wp14:editId="3FD09A09">
                                  <wp:extent cx="2570205" cy="2265405"/>
                                  <wp:effectExtent l="0" t="0" r="1905" b="1905"/>
                                  <wp:docPr id="1338317398" name="Graphique 1338317398"/>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705E3E13" w14:textId="77777777" w:rsidR="00A52628" w:rsidRDefault="00A52628" w:rsidP="00F55601"/>
                          <w:p w14:paraId="6A80457A" w14:textId="77777777" w:rsidR="00A52628" w:rsidRDefault="00A52628" w:rsidP="00F55601">
                            <w:r>
                              <w:rPr>
                                <w:noProof/>
                                <w:lang w:eastAsia="fr-FR"/>
                              </w:rPr>
                              <w:drawing>
                                <wp:inline distT="0" distB="0" distL="0" distR="0" wp14:anchorId="5AB268BF" wp14:editId="09694A5F">
                                  <wp:extent cx="2570205" cy="2265405"/>
                                  <wp:effectExtent l="0" t="0" r="1905" b="1905"/>
                                  <wp:docPr id="818736958" name="Graphique 818736958"/>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C3FC6" id="Zone de texte 25" o:spid="_x0000_s1027" type="#_x0000_t202" style="position:absolute;margin-left:-4.9pt;margin-top:-19.45pt;width:204.95pt;height:179.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" fillcolor="window" strokeweight=".5pt">
                <v:textbox>
                  <w:txbxContent>
                    <w:p w14:paraId="49DE4DDF" w14:textId="77777777" w:rsidR="00A52628" w:rsidRDefault="00A52628" w:rsidP="00F55601">
                      <w:r>
                        <w:rPr>
                          <w:noProof/>
                          <w:lang w:eastAsia="fr-FR"/>
                        </w:rPr>
                        <w:drawing>
                          <wp:inline distT="0" distB="0" distL="0" distR="0" wp14:anchorId="64EC9156" wp14:editId="3FD09A09">
                            <wp:extent cx="2570205" cy="2265405"/>
                            <wp:effectExtent l="0" t="0" r="1905" b="1905"/>
                            <wp:docPr id="1338317398" name="Graphique 1338317398"/>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05E3E13" w14:textId="77777777" w:rsidR="00A52628" w:rsidRDefault="00A52628" w:rsidP="00F55601"/>
                    <w:p w14:paraId="6A80457A" w14:textId="77777777" w:rsidR="00A52628" w:rsidRDefault="00A52628" w:rsidP="00F55601">
                      <w:r>
                        <w:rPr>
                          <w:noProof/>
                          <w:lang w:eastAsia="fr-FR"/>
                        </w:rPr>
                        <w:drawing>
                          <wp:inline distT="0" distB="0" distL="0" distR="0" wp14:anchorId="5AB268BF" wp14:editId="09694A5F">
                            <wp:extent cx="2570205" cy="2265405"/>
                            <wp:effectExtent l="0" t="0" r="1905" b="1905"/>
                            <wp:docPr id="818736958" name="Graphique 818736958"/>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txbxContent>
                </v:textbox>
                <w10:wrap anchorx="margin"/>
              </v:shape>
            </w:pict>
          </mc:Fallback>
        </mc:AlternateContent>
      </w:r>
    </w:p>
    <w:p w14:paraId="622F8D78" w14:textId="77777777" w:rsidR="00F55601" w:rsidRPr="00F2344B" w:rsidRDefault="00F55601" w:rsidP="00F55601">
      <w:pPr>
        <w:rPr>
          <w:rFonts w:ascii="Times New Roman" w:hAnsi="Times New Roman" w:cs="Times New Roman"/>
          <w:sz w:val="24"/>
          <w:szCs w:val="24"/>
        </w:rPr>
      </w:pPr>
    </w:p>
    <w:p w14:paraId="55531015" w14:textId="77777777" w:rsidR="00F55601" w:rsidRPr="00F2344B" w:rsidRDefault="00F55601" w:rsidP="00F55601">
      <w:pPr>
        <w:spacing w:after="0" w:line="360" w:lineRule="auto"/>
        <w:jc w:val="both"/>
        <w:rPr>
          <w:rFonts w:ascii="Times New Roman" w:hAnsi="Times New Roman" w:cs="Times New Roman"/>
          <w:sz w:val="24"/>
          <w:szCs w:val="24"/>
        </w:rPr>
      </w:pPr>
    </w:p>
    <w:p w14:paraId="6E9CC726" w14:textId="77777777" w:rsidR="00F55601" w:rsidRPr="00F2344B" w:rsidRDefault="00F55601" w:rsidP="00F55601">
      <w:pPr>
        <w:rPr>
          <w:rFonts w:ascii="Times New Roman" w:hAnsi="Times New Roman" w:cs="Times New Roman"/>
          <w:sz w:val="24"/>
          <w:szCs w:val="24"/>
        </w:rPr>
      </w:pPr>
    </w:p>
    <w:p w14:paraId="0F90EEA0" w14:textId="77777777" w:rsidR="00F55601" w:rsidRPr="00F2344B" w:rsidRDefault="00F55601" w:rsidP="00F55601">
      <w:pPr>
        <w:rPr>
          <w:rFonts w:ascii="Times New Roman" w:hAnsi="Times New Roman" w:cs="Times New Roman"/>
          <w:sz w:val="24"/>
          <w:szCs w:val="24"/>
        </w:rPr>
      </w:pPr>
    </w:p>
    <w:p w14:paraId="461F204E" w14:textId="77777777" w:rsidR="00F55601" w:rsidRPr="00F2344B" w:rsidRDefault="00F55601" w:rsidP="00F55601">
      <w:pPr>
        <w:rPr>
          <w:rFonts w:ascii="Times New Roman" w:hAnsi="Times New Roman" w:cs="Times New Roman"/>
          <w:sz w:val="24"/>
          <w:szCs w:val="24"/>
        </w:rPr>
      </w:pPr>
    </w:p>
    <w:p w14:paraId="3327224F" w14:textId="77777777" w:rsidR="00F55601" w:rsidRPr="00F2344B" w:rsidRDefault="00F55601" w:rsidP="00F55601">
      <w:pPr>
        <w:rPr>
          <w:rFonts w:ascii="Times New Roman" w:hAnsi="Times New Roman" w:cs="Times New Roman"/>
          <w:sz w:val="24"/>
          <w:szCs w:val="24"/>
        </w:rPr>
      </w:pPr>
      <w:r w:rsidRPr="00F2344B">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1312" behindDoc="0" locked="0" layoutInCell="1" allowOverlap="1" wp14:anchorId="782F8F33" wp14:editId="53958AFE">
                <wp:simplePos x="0" y="0"/>
                <wp:positionH relativeFrom="margin">
                  <wp:posOffset>-53700</wp:posOffset>
                </wp:positionH>
                <wp:positionV relativeFrom="paragraph">
                  <wp:posOffset>179756</wp:posOffset>
                </wp:positionV>
                <wp:extent cx="2627870" cy="2380736"/>
                <wp:effectExtent l="0" t="0" r="20320" b="19685"/>
                <wp:wrapNone/>
                <wp:docPr id="16" name="Zone de texte 16"/>
                <wp:cNvGraphicFramePr/>
                <a:graphic xmlns:a="http://schemas.openxmlformats.org/drawingml/2006/main">
                  <a:graphicData uri="http://schemas.microsoft.com/office/word/2010/wordprocessingShape">
                    <wps:wsp>
                      <wps:cNvSpPr txBox="1"/>
                      <wps:spPr>
                        <a:xfrm>
                          <a:off x="0" y="0"/>
                          <a:ext cx="2627870" cy="2380736"/>
                        </a:xfrm>
                        <a:prstGeom prst="rect">
                          <a:avLst/>
                        </a:prstGeom>
                        <a:solidFill>
                          <a:sysClr val="window" lastClr="FFFFFF"/>
                        </a:solidFill>
                        <a:ln w="6350">
                          <a:solidFill>
                            <a:prstClr val="black"/>
                          </a:solidFill>
                        </a:ln>
                        <a:effectLst/>
                      </wps:spPr>
                      <wps:txbx>
                        <w:txbxContent>
                          <w:p w14:paraId="2756CFF7" w14:textId="77777777" w:rsidR="00A52628" w:rsidRDefault="00A52628" w:rsidP="00F55601">
                            <w:r w:rsidRPr="00442732">
                              <w:rPr>
                                <w:noProof/>
                                <w:lang w:eastAsia="fr-FR"/>
                              </w:rPr>
                              <w:drawing>
                                <wp:inline distT="0" distB="0" distL="0" distR="0" wp14:anchorId="6FDBD248" wp14:editId="7F27A0D8">
                                  <wp:extent cx="2495773" cy="2232454"/>
                                  <wp:effectExtent l="0" t="0" r="0" b="15875"/>
                                  <wp:docPr id="271785250" name="Graphique 271785250"/>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48750C13" w14:textId="77777777" w:rsidR="00A52628" w:rsidRDefault="00A52628" w:rsidP="00F55601"/>
                          <w:p w14:paraId="4D5D0A78" w14:textId="77777777" w:rsidR="00A52628" w:rsidRDefault="00A52628" w:rsidP="00F55601">
                            <w:r>
                              <w:rPr>
                                <w:noProof/>
                                <w:lang w:eastAsia="fr-FR"/>
                              </w:rPr>
                              <w:drawing>
                                <wp:inline distT="0" distB="0" distL="0" distR="0" wp14:anchorId="472BD5DB" wp14:editId="77B81D1B">
                                  <wp:extent cx="2495773" cy="2232454"/>
                                  <wp:effectExtent l="0" t="0" r="0" b="15875"/>
                                  <wp:docPr id="241869413" name="Graphique 2418694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2F8F33" id="Zone de texte 16" o:spid="_x0000_s1028" type="#_x0000_t202" style="position:absolute;margin-left:-4.25pt;margin-top:14.15pt;width:206.9pt;height:187.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" fillcolor="window" strokeweight=".5pt">
                <v:textbox>
                  <w:txbxContent>
                    <w:p w14:paraId="2756CFF7" w14:textId="77777777" w:rsidR="00A52628" w:rsidRDefault="00A52628" w:rsidP="00F55601">
                      <w:r w:rsidRPr="00442732">
                        <w:rPr>
                          <w:noProof/>
                          <w:lang w:eastAsia="fr-FR"/>
                        </w:rPr>
                        <w:drawing>
                          <wp:inline distT="0" distB="0" distL="0" distR="0" wp14:anchorId="6FDBD248" wp14:editId="7F27A0D8">
                            <wp:extent cx="2495773" cy="2232454"/>
                            <wp:effectExtent l="0" t="0" r="0" b="15875"/>
                            <wp:docPr id="271785250" name="Graphique 271785250"/>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48750C13" w14:textId="77777777" w:rsidR="00A52628" w:rsidRDefault="00A52628" w:rsidP="00F55601"/>
                    <w:p w14:paraId="4D5D0A78" w14:textId="77777777" w:rsidR="00A52628" w:rsidRDefault="00A52628" w:rsidP="00F55601">
                      <w:r>
                        <w:rPr>
                          <w:noProof/>
                          <w:lang w:eastAsia="fr-FR"/>
                        </w:rPr>
                        <w:drawing>
                          <wp:inline distT="0" distB="0" distL="0" distR="0" wp14:anchorId="472BD5DB" wp14:editId="77B81D1B">
                            <wp:extent cx="2495773" cy="2232454"/>
                            <wp:effectExtent l="0" t="0" r="0" b="15875"/>
                            <wp:docPr id="241869413" name="Graphique 2418694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txbxContent>
                </v:textbox>
                <w10:wrap anchorx="margin"/>
              </v:shape>
            </w:pict>
          </mc:Fallback>
        </mc:AlternateContent>
      </w:r>
      <w:r w:rsidRPr="00F2344B">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2336" behindDoc="0" locked="0" layoutInCell="1" allowOverlap="1" wp14:anchorId="2B0208AB" wp14:editId="08134C29">
                <wp:simplePos x="0" y="0"/>
                <wp:positionH relativeFrom="margin">
                  <wp:posOffset>2796591</wp:posOffset>
                </wp:positionH>
                <wp:positionV relativeFrom="paragraph">
                  <wp:posOffset>187995</wp:posOffset>
                </wp:positionV>
                <wp:extent cx="2702011" cy="2331102"/>
                <wp:effectExtent l="0" t="0" r="22225" b="12065"/>
                <wp:wrapNone/>
                <wp:docPr id="9" name="Zone de texte 9"/>
                <wp:cNvGraphicFramePr/>
                <a:graphic xmlns:a="http://schemas.openxmlformats.org/drawingml/2006/main">
                  <a:graphicData uri="http://schemas.microsoft.com/office/word/2010/wordprocessingShape">
                    <wps:wsp>
                      <wps:cNvSpPr txBox="1"/>
                      <wps:spPr>
                        <a:xfrm>
                          <a:off x="0" y="0"/>
                          <a:ext cx="2702011" cy="2331102"/>
                        </a:xfrm>
                        <a:prstGeom prst="rect">
                          <a:avLst/>
                        </a:prstGeom>
                        <a:solidFill>
                          <a:sysClr val="window" lastClr="FFFFFF"/>
                        </a:solidFill>
                        <a:ln w="6350">
                          <a:solidFill>
                            <a:prstClr val="black"/>
                          </a:solidFill>
                        </a:ln>
                        <a:effectLst/>
                      </wps:spPr>
                      <wps:txbx>
                        <w:txbxContent>
                          <w:p w14:paraId="6D4179E2" w14:textId="77777777" w:rsidR="00A52628" w:rsidRDefault="00A52628" w:rsidP="00F55601">
                            <w:r>
                              <w:rPr>
                                <w:noProof/>
                                <w:lang w:eastAsia="fr-FR"/>
                              </w:rPr>
                              <w:drawing>
                                <wp:inline distT="0" distB="0" distL="0" distR="0" wp14:anchorId="31D559AA" wp14:editId="02D32F9D">
                                  <wp:extent cx="2652583" cy="2257168"/>
                                  <wp:effectExtent l="0" t="0" r="14605" b="10160"/>
                                  <wp:docPr id="1766791556" name="Graphique 1766791556"/>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03EDD4A8" w14:textId="77777777" w:rsidR="00A52628" w:rsidRDefault="00A52628" w:rsidP="00F55601"/>
                          <w:p w14:paraId="5603E6C1" w14:textId="77777777" w:rsidR="00A52628" w:rsidRDefault="00A52628" w:rsidP="00F55601">
                            <w:r>
                              <w:rPr>
                                <w:noProof/>
                                <w:lang w:eastAsia="fr-FR"/>
                              </w:rPr>
                              <w:drawing>
                                <wp:inline distT="0" distB="0" distL="0" distR="0" wp14:anchorId="328E47C6" wp14:editId="17643A71">
                                  <wp:extent cx="2652583" cy="2257168"/>
                                  <wp:effectExtent l="0" t="0" r="14605" b="10160"/>
                                  <wp:docPr id="1114481829" name="Graphique 1114481829"/>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208AB" id="Zone de texte 9" o:spid="_x0000_s1029" type="#_x0000_t202" style="position:absolute;margin-left:220.2pt;margin-top:14.8pt;width:212.75pt;height:183.5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" fillcolor="window" strokeweight=".5pt">
                <v:textbox>
                  <w:txbxContent>
                    <w:p w14:paraId="6D4179E2" w14:textId="77777777" w:rsidR="00A52628" w:rsidRDefault="00A52628" w:rsidP="00F55601">
                      <w:r>
                        <w:rPr>
                          <w:noProof/>
                          <w:lang w:eastAsia="fr-FR"/>
                        </w:rPr>
                        <w:drawing>
                          <wp:inline distT="0" distB="0" distL="0" distR="0" wp14:anchorId="31D559AA" wp14:editId="02D32F9D">
                            <wp:extent cx="2652583" cy="2257168"/>
                            <wp:effectExtent l="0" t="0" r="14605" b="10160"/>
                            <wp:docPr id="1766791556" name="Graphique 1766791556"/>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03EDD4A8" w14:textId="77777777" w:rsidR="00A52628" w:rsidRDefault="00A52628" w:rsidP="00F55601"/>
                    <w:p w14:paraId="5603E6C1" w14:textId="77777777" w:rsidR="00A52628" w:rsidRDefault="00A52628" w:rsidP="00F55601">
                      <w:r>
                        <w:rPr>
                          <w:noProof/>
                          <w:lang w:eastAsia="fr-FR"/>
                        </w:rPr>
                        <w:drawing>
                          <wp:inline distT="0" distB="0" distL="0" distR="0" wp14:anchorId="328E47C6" wp14:editId="17643A71">
                            <wp:extent cx="2652583" cy="2257168"/>
                            <wp:effectExtent l="0" t="0" r="14605" b="10160"/>
                            <wp:docPr id="1114481829" name="Graphique 1114481829"/>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txbxContent>
                </v:textbox>
                <w10:wrap anchorx="margin"/>
              </v:shape>
            </w:pict>
          </mc:Fallback>
        </mc:AlternateContent>
      </w:r>
    </w:p>
    <w:p w14:paraId="7F5BFF98" w14:textId="77777777" w:rsidR="00F55601" w:rsidRPr="00F2344B" w:rsidRDefault="00F55601" w:rsidP="00F55601">
      <w:pPr>
        <w:rPr>
          <w:rFonts w:ascii="Times New Roman" w:hAnsi="Times New Roman" w:cs="Times New Roman"/>
          <w:sz w:val="24"/>
          <w:szCs w:val="24"/>
        </w:rPr>
      </w:pPr>
    </w:p>
    <w:p w14:paraId="076974B1" w14:textId="77777777" w:rsidR="00F55601" w:rsidRPr="00F2344B" w:rsidRDefault="00F55601" w:rsidP="00F55601">
      <w:pPr>
        <w:rPr>
          <w:rFonts w:ascii="Times New Roman" w:hAnsi="Times New Roman" w:cs="Times New Roman"/>
          <w:sz w:val="24"/>
          <w:szCs w:val="24"/>
        </w:rPr>
      </w:pPr>
    </w:p>
    <w:p w14:paraId="73AE5130" w14:textId="77777777" w:rsidR="00F55601" w:rsidRPr="00F2344B" w:rsidRDefault="00F55601" w:rsidP="00F55601">
      <w:pPr>
        <w:rPr>
          <w:rFonts w:ascii="Times New Roman" w:hAnsi="Times New Roman" w:cs="Times New Roman"/>
          <w:sz w:val="24"/>
          <w:szCs w:val="24"/>
        </w:rPr>
      </w:pPr>
    </w:p>
    <w:p w14:paraId="016D82B2" w14:textId="77777777" w:rsidR="00F55601" w:rsidRPr="00F2344B" w:rsidRDefault="00F55601" w:rsidP="00F55601">
      <w:pPr>
        <w:rPr>
          <w:rFonts w:ascii="Times New Roman" w:hAnsi="Times New Roman" w:cs="Times New Roman"/>
          <w:sz w:val="24"/>
          <w:szCs w:val="24"/>
        </w:rPr>
      </w:pPr>
    </w:p>
    <w:p w14:paraId="613B9BA3" w14:textId="77777777" w:rsidR="00F55601" w:rsidRPr="00F2344B" w:rsidRDefault="00F55601" w:rsidP="00F55601">
      <w:pPr>
        <w:rPr>
          <w:rFonts w:ascii="Times New Roman" w:hAnsi="Times New Roman" w:cs="Times New Roman"/>
          <w:sz w:val="24"/>
          <w:szCs w:val="24"/>
        </w:rPr>
      </w:pPr>
    </w:p>
    <w:p w14:paraId="46CEA62A" w14:textId="77777777" w:rsidR="00F55601" w:rsidRPr="00F2344B" w:rsidRDefault="00F55601" w:rsidP="00F55601">
      <w:pPr>
        <w:rPr>
          <w:rFonts w:ascii="Times New Roman" w:hAnsi="Times New Roman" w:cs="Times New Roman"/>
          <w:sz w:val="24"/>
          <w:szCs w:val="24"/>
        </w:rPr>
      </w:pPr>
    </w:p>
    <w:p w14:paraId="00C9786C" w14:textId="77777777" w:rsidR="00F55601" w:rsidRPr="00F2344B" w:rsidRDefault="00F55601" w:rsidP="00F55601">
      <w:pPr>
        <w:spacing w:after="0" w:line="360" w:lineRule="auto"/>
        <w:jc w:val="both"/>
        <w:rPr>
          <w:rFonts w:ascii="Times New Roman" w:hAnsi="Times New Roman" w:cs="Times New Roman"/>
          <w:sz w:val="24"/>
          <w:szCs w:val="24"/>
        </w:rPr>
      </w:pPr>
    </w:p>
    <w:p w14:paraId="4C1D6E92" w14:textId="77777777" w:rsidR="00F55601" w:rsidRPr="00F2344B" w:rsidRDefault="00F55601" w:rsidP="00F55601">
      <w:pPr>
        <w:tabs>
          <w:tab w:val="left" w:pos="7134"/>
        </w:tabs>
        <w:spacing w:after="0" w:line="360" w:lineRule="auto"/>
        <w:jc w:val="both"/>
        <w:rPr>
          <w:rFonts w:ascii="Times New Roman" w:hAnsi="Times New Roman" w:cs="Times New Roman"/>
          <w:sz w:val="24"/>
          <w:szCs w:val="24"/>
        </w:rPr>
      </w:pPr>
      <w:r w:rsidRPr="00F2344B">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3360" behindDoc="0" locked="0" layoutInCell="1" allowOverlap="1" wp14:anchorId="675D71AC" wp14:editId="06DEB6D8">
                <wp:simplePos x="0" y="0"/>
                <wp:positionH relativeFrom="margin">
                  <wp:posOffset>1246505</wp:posOffset>
                </wp:positionH>
                <wp:positionV relativeFrom="paragraph">
                  <wp:posOffset>5715</wp:posOffset>
                </wp:positionV>
                <wp:extent cx="2701925" cy="2306320"/>
                <wp:effectExtent l="0" t="0" r="22225" b="17780"/>
                <wp:wrapNone/>
                <wp:docPr id="4" name="Zone de texte 4"/>
                <wp:cNvGraphicFramePr/>
                <a:graphic xmlns:a="http://schemas.openxmlformats.org/drawingml/2006/main">
                  <a:graphicData uri="http://schemas.microsoft.com/office/word/2010/wordprocessingShape">
                    <wps:wsp>
                      <wps:cNvSpPr txBox="1"/>
                      <wps:spPr>
                        <a:xfrm>
                          <a:off x="0" y="0"/>
                          <a:ext cx="2701925" cy="2306320"/>
                        </a:xfrm>
                        <a:prstGeom prst="rect">
                          <a:avLst/>
                        </a:prstGeom>
                        <a:solidFill>
                          <a:sysClr val="window" lastClr="FFFFFF"/>
                        </a:solidFill>
                        <a:ln w="6350">
                          <a:solidFill>
                            <a:prstClr val="black"/>
                          </a:solidFill>
                        </a:ln>
                        <a:effectLst/>
                      </wps:spPr>
                      <wps:txbx>
                        <w:txbxContent>
                          <w:p w14:paraId="7B22CDC6" w14:textId="77777777" w:rsidR="00A52628" w:rsidRDefault="00A52628" w:rsidP="00F55601">
                            <w:r>
                              <w:rPr>
                                <w:noProof/>
                                <w:lang w:eastAsia="fr-FR"/>
                              </w:rPr>
                              <w:drawing>
                                <wp:inline distT="0" distB="0" distL="0" distR="0" wp14:anchorId="42ADFAA8" wp14:editId="7340F31F">
                                  <wp:extent cx="2537254" cy="2158314"/>
                                  <wp:effectExtent l="0" t="0" r="15875" b="13970"/>
                                  <wp:docPr id="1608909457" name="Graphique 1608909457"/>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013D2523" w14:textId="77777777" w:rsidR="00A52628" w:rsidRDefault="00A52628" w:rsidP="00F55601"/>
                          <w:p w14:paraId="21C65B1A" w14:textId="77777777" w:rsidR="00A52628" w:rsidRDefault="00A52628" w:rsidP="00F55601">
                            <w:r w:rsidRPr="00E51FC4">
                              <w:rPr>
                                <w:rFonts w:ascii="Times New Roman" w:hAnsi="Times New Roman" w:cs="Times New Roman"/>
                                <w:b/>
                                <w:i/>
                                <w:sz w:val="24"/>
                              </w:rPr>
                              <w:t xml:space="preserve">Figure </w:t>
                            </w:r>
                            <w:r>
                              <w:rPr>
                                <w:rFonts w:ascii="Times New Roman" w:hAnsi="Times New Roman" w:cs="Times New Roman"/>
                                <w:b/>
                                <w:i/>
                                <w:sz w:val="24"/>
                              </w:rPr>
                              <w:t>13</w:t>
                            </w:r>
                            <w:r>
                              <w:rPr>
                                <w:rFonts w:ascii="Times New Roman" w:hAnsi="Times New Roman" w:cs="Times New Roman"/>
                                <w:i/>
                                <w:sz w:val="24"/>
                              </w:rPr>
                              <w:t xml:space="preserve"> : </w:t>
                            </w:r>
                            <w:r w:rsidRPr="00E51FC4">
                              <w:rPr>
                                <w:rFonts w:ascii="Times New Roman" w:hAnsi="Times New Roman" w:cs="Times New Roman"/>
                                <w:i/>
                                <w:sz w:val="24"/>
                              </w:rPr>
                              <w:t>Spectres de tailles de quelques espèces de poissons échantillonnées à Sologo.</w:t>
                            </w:r>
                            <w:r>
                              <w:rPr>
                                <w:noProof/>
                                <w:lang w:eastAsia="fr-FR"/>
                              </w:rPr>
                              <w:drawing>
                                <wp:inline distT="0" distB="0" distL="0" distR="0" wp14:anchorId="6F331300" wp14:editId="156CD78C">
                                  <wp:extent cx="2537254" cy="2158314"/>
                                  <wp:effectExtent l="0" t="0" r="15875" b="13970"/>
                                  <wp:docPr id="1179793730" name="Graphique 1179793730"/>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D71AC" id="Zone de texte 4" o:spid="_x0000_s1030" type="#_x0000_t202" style="position:absolute;left:0;text-align:left;margin-left:98.15pt;margin-top:.45pt;width:212.75pt;height:181.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" fillcolor="window" strokeweight=".5pt">
                <v:textbox>
                  <w:txbxContent>
                    <w:p w14:paraId="7B22CDC6" w14:textId="77777777" w:rsidR="00A52628" w:rsidRDefault="00A52628" w:rsidP="00F55601">
                      <w:r>
                        <w:rPr>
                          <w:noProof/>
                          <w:lang w:eastAsia="fr-FR"/>
                        </w:rPr>
                        <w:drawing>
                          <wp:inline distT="0" distB="0" distL="0" distR="0" wp14:anchorId="42ADFAA8" wp14:editId="7340F31F">
                            <wp:extent cx="2537254" cy="2158314"/>
                            <wp:effectExtent l="0" t="0" r="15875" b="13970"/>
                            <wp:docPr id="1608909457" name="Graphique 1608909457"/>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013D2523" w14:textId="77777777" w:rsidR="00A52628" w:rsidRDefault="00A52628" w:rsidP="00F55601"/>
                    <w:p w14:paraId="21C65B1A" w14:textId="77777777" w:rsidR="00A52628" w:rsidRDefault="00A52628" w:rsidP="00F55601">
                      <w:r w:rsidRPr="00E51FC4">
                        <w:rPr>
                          <w:rFonts w:ascii="Times New Roman" w:hAnsi="Times New Roman" w:cs="Times New Roman"/>
                          <w:b/>
                          <w:i/>
                          <w:sz w:val="24"/>
                        </w:rPr>
                        <w:t xml:space="preserve">Figure </w:t>
                      </w:r>
                      <w:r>
                        <w:rPr>
                          <w:rFonts w:ascii="Times New Roman" w:hAnsi="Times New Roman" w:cs="Times New Roman"/>
                          <w:b/>
                          <w:i/>
                          <w:sz w:val="24"/>
                        </w:rPr>
                        <w:t>13</w:t>
                      </w:r>
                      <w:r>
                        <w:rPr>
                          <w:rFonts w:ascii="Times New Roman" w:hAnsi="Times New Roman" w:cs="Times New Roman"/>
                          <w:i/>
                          <w:sz w:val="24"/>
                        </w:rPr>
                        <w:t xml:space="preserve"> : </w:t>
                      </w:r>
                      <w:r w:rsidRPr="00E51FC4">
                        <w:rPr>
                          <w:rFonts w:ascii="Times New Roman" w:hAnsi="Times New Roman" w:cs="Times New Roman"/>
                          <w:i/>
                          <w:sz w:val="24"/>
                        </w:rPr>
                        <w:t xml:space="preserve">Spectres de tailles de quelques espèces de poissons échantillonnées à </w:t>
                      </w:r>
                      <w:proofErr w:type="spellStart"/>
                      <w:r w:rsidRPr="00E51FC4">
                        <w:rPr>
                          <w:rFonts w:ascii="Times New Roman" w:hAnsi="Times New Roman" w:cs="Times New Roman"/>
                          <w:i/>
                          <w:sz w:val="24"/>
                        </w:rPr>
                        <w:t>Sologo</w:t>
                      </w:r>
                      <w:proofErr w:type="spellEnd"/>
                      <w:r w:rsidRPr="00E51FC4">
                        <w:rPr>
                          <w:rFonts w:ascii="Times New Roman" w:hAnsi="Times New Roman" w:cs="Times New Roman"/>
                          <w:i/>
                          <w:sz w:val="24"/>
                        </w:rPr>
                        <w:t>.</w:t>
                      </w:r>
                      <w:r>
                        <w:rPr>
                          <w:noProof/>
                          <w:lang w:eastAsia="fr-FR"/>
                        </w:rPr>
                        <w:drawing>
                          <wp:inline distT="0" distB="0" distL="0" distR="0" wp14:anchorId="6F331300" wp14:editId="156CD78C">
                            <wp:extent cx="2537254" cy="2158314"/>
                            <wp:effectExtent l="0" t="0" r="15875" b="13970"/>
                            <wp:docPr id="1179793730" name="Graphique 1179793730"/>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txbxContent>
                </v:textbox>
                <w10:wrap anchorx="margin"/>
              </v:shape>
            </w:pict>
          </mc:Fallback>
        </mc:AlternateContent>
      </w:r>
      <w:r w:rsidRPr="00F2344B">
        <w:rPr>
          <w:rFonts w:ascii="Times New Roman" w:hAnsi="Times New Roman" w:cs="Times New Roman"/>
          <w:sz w:val="24"/>
          <w:szCs w:val="24"/>
        </w:rPr>
        <w:tab/>
      </w:r>
    </w:p>
    <w:p w14:paraId="2027BEBE" w14:textId="77777777" w:rsidR="00F55601" w:rsidRPr="00F2344B" w:rsidRDefault="00F55601" w:rsidP="00F55601">
      <w:pPr>
        <w:pStyle w:val="Caption"/>
        <w:spacing w:after="0" w:line="360" w:lineRule="auto"/>
        <w:jc w:val="both"/>
        <w:rPr>
          <w:rFonts w:ascii="Times New Roman" w:hAnsi="Times New Roman" w:cs="Times New Roman"/>
          <w:sz w:val="24"/>
          <w:szCs w:val="24"/>
        </w:rPr>
      </w:pPr>
    </w:p>
    <w:p w14:paraId="2FCD4CF3" w14:textId="77777777" w:rsidR="00F55601" w:rsidRPr="00F2344B" w:rsidRDefault="00F55601" w:rsidP="00F55601">
      <w:pPr>
        <w:rPr>
          <w:rFonts w:ascii="Times New Roman" w:hAnsi="Times New Roman" w:cs="Times New Roman"/>
          <w:sz w:val="24"/>
          <w:szCs w:val="24"/>
        </w:rPr>
      </w:pPr>
    </w:p>
    <w:p w14:paraId="720DDC84" w14:textId="77777777" w:rsidR="00F55601" w:rsidRPr="00F2344B" w:rsidRDefault="00F55601" w:rsidP="00F55601">
      <w:pPr>
        <w:rPr>
          <w:rFonts w:ascii="Times New Roman" w:hAnsi="Times New Roman" w:cs="Times New Roman"/>
          <w:sz w:val="24"/>
          <w:szCs w:val="24"/>
        </w:rPr>
      </w:pPr>
    </w:p>
    <w:p w14:paraId="18D1B6C8" w14:textId="77777777" w:rsidR="00F55601" w:rsidRPr="00F2344B" w:rsidRDefault="00F55601" w:rsidP="00F55601">
      <w:pPr>
        <w:rPr>
          <w:rFonts w:ascii="Times New Roman" w:hAnsi="Times New Roman" w:cs="Times New Roman"/>
          <w:sz w:val="24"/>
          <w:szCs w:val="24"/>
        </w:rPr>
      </w:pPr>
    </w:p>
    <w:p w14:paraId="405DCFD4" w14:textId="77777777" w:rsidR="00F55601" w:rsidRPr="00F2344B" w:rsidRDefault="00F55601" w:rsidP="00F55601">
      <w:pPr>
        <w:rPr>
          <w:rFonts w:ascii="Times New Roman" w:hAnsi="Times New Roman" w:cs="Times New Roman"/>
          <w:sz w:val="24"/>
          <w:szCs w:val="24"/>
        </w:rPr>
      </w:pPr>
    </w:p>
    <w:p w14:paraId="69FAC231" w14:textId="77777777" w:rsidR="00F55601" w:rsidRPr="00F2344B" w:rsidRDefault="00F55601" w:rsidP="00F55601">
      <w:pPr>
        <w:rPr>
          <w:rFonts w:ascii="Times New Roman" w:hAnsi="Times New Roman" w:cs="Times New Roman"/>
          <w:sz w:val="24"/>
          <w:szCs w:val="24"/>
        </w:rPr>
      </w:pPr>
    </w:p>
    <w:p w14:paraId="53F8CB42" w14:textId="77777777" w:rsidR="00F55601" w:rsidRPr="00F2344B" w:rsidRDefault="00F55601" w:rsidP="00F55601">
      <w:pPr>
        <w:pStyle w:val="Caption"/>
        <w:tabs>
          <w:tab w:val="left" w:pos="2189"/>
        </w:tabs>
        <w:spacing w:after="0" w:line="360" w:lineRule="auto"/>
        <w:jc w:val="both"/>
        <w:rPr>
          <w:rFonts w:ascii="Times New Roman" w:hAnsi="Times New Roman" w:cs="Times New Roman"/>
          <w:sz w:val="24"/>
          <w:szCs w:val="24"/>
        </w:rPr>
      </w:pPr>
    </w:p>
    <w:p w14:paraId="0A9A8DAE" w14:textId="77777777" w:rsidR="00F55601" w:rsidRPr="00F2344B" w:rsidRDefault="00F55601" w:rsidP="00F55601">
      <w:pPr>
        <w:pStyle w:val="Caption"/>
        <w:spacing w:after="0" w:line="360" w:lineRule="auto"/>
        <w:jc w:val="both"/>
        <w:rPr>
          <w:rFonts w:ascii="Times New Roman" w:hAnsi="Times New Roman" w:cs="Times New Roman"/>
          <w:sz w:val="24"/>
          <w:szCs w:val="24"/>
        </w:rPr>
      </w:pPr>
    </w:p>
    <w:p w14:paraId="6639F27F" w14:textId="0C8D3F01" w:rsidR="00F55601" w:rsidRPr="00F2344B" w:rsidRDefault="00F55601" w:rsidP="00F55601">
      <w:pPr>
        <w:pStyle w:val="Caption"/>
        <w:spacing w:after="0" w:line="360" w:lineRule="auto"/>
        <w:jc w:val="both"/>
        <w:rPr>
          <w:rFonts w:ascii="Times New Roman" w:hAnsi="Times New Roman" w:cs="Times New Roman"/>
          <w:i w:val="0"/>
          <w:color w:val="auto"/>
          <w:sz w:val="24"/>
          <w:szCs w:val="24"/>
        </w:rPr>
      </w:pPr>
      <w:r w:rsidRPr="00F2344B">
        <w:rPr>
          <w:rFonts w:ascii="Times New Roman" w:hAnsi="Times New Roman" w:cs="Times New Roman"/>
          <w:i w:val="0"/>
          <w:color w:val="auto"/>
          <w:sz w:val="24"/>
          <w:szCs w:val="24"/>
        </w:rPr>
        <w:t xml:space="preserve">Figure 2. </w:t>
      </w:r>
      <w:r w:rsidR="001937A7" w:rsidRPr="001937A7">
        <w:rPr>
          <w:rFonts w:ascii="Times New Roman" w:hAnsi="Times New Roman" w:cs="Times New Roman"/>
          <w:i w:val="0"/>
          <w:color w:val="auto"/>
          <w:sz w:val="24"/>
          <w:szCs w:val="24"/>
        </w:rPr>
        <w:t>Size spectra of several fish species from the Sologo reservoir.</w:t>
      </w:r>
    </w:p>
    <w:p w14:paraId="5818EB5F" w14:textId="77777777" w:rsidR="00F55601" w:rsidRPr="00F2344B" w:rsidRDefault="00F55601" w:rsidP="00F55601">
      <w:pPr>
        <w:spacing w:after="0" w:line="360" w:lineRule="auto"/>
        <w:jc w:val="both"/>
        <w:rPr>
          <w:rFonts w:ascii="Times New Roman" w:hAnsi="Times New Roman" w:cs="Times New Roman"/>
          <w:i/>
          <w:sz w:val="24"/>
          <w:szCs w:val="24"/>
        </w:rPr>
      </w:pPr>
      <w:r w:rsidRPr="00F2344B">
        <w:rPr>
          <w:rFonts w:ascii="Times New Roman" w:hAnsi="Times New Roman" w:cs="Times New Roman"/>
          <w:sz w:val="24"/>
          <w:szCs w:val="24"/>
        </w:rPr>
        <w:t xml:space="preserve">CNI : </w:t>
      </w:r>
      <w:r w:rsidRPr="00F2344B">
        <w:rPr>
          <w:rFonts w:ascii="Times New Roman" w:hAnsi="Times New Roman" w:cs="Times New Roman"/>
          <w:i/>
          <w:sz w:val="24"/>
          <w:szCs w:val="24"/>
        </w:rPr>
        <w:t>Chrysichthys nigrodigitatus</w:t>
      </w:r>
      <w:r w:rsidRPr="00F2344B">
        <w:rPr>
          <w:rFonts w:ascii="Times New Roman" w:hAnsi="Times New Roman" w:cs="Times New Roman"/>
          <w:sz w:val="24"/>
          <w:szCs w:val="24"/>
        </w:rPr>
        <w:t xml:space="preserve"> ; CZI : </w:t>
      </w:r>
      <w:r w:rsidRPr="00F2344B">
        <w:rPr>
          <w:rFonts w:ascii="Times New Roman" w:hAnsi="Times New Roman" w:cs="Times New Roman"/>
          <w:i/>
          <w:sz w:val="24"/>
          <w:szCs w:val="24"/>
        </w:rPr>
        <w:t>Coptodon zillii</w:t>
      </w:r>
      <w:r w:rsidRPr="00F2344B">
        <w:rPr>
          <w:rFonts w:ascii="Times New Roman" w:hAnsi="Times New Roman" w:cs="Times New Roman"/>
          <w:sz w:val="24"/>
          <w:szCs w:val="24"/>
        </w:rPr>
        <w:t xml:space="preserve"> ; ONI : </w:t>
      </w:r>
      <w:r w:rsidRPr="00F2344B">
        <w:rPr>
          <w:rFonts w:ascii="Times New Roman" w:hAnsi="Times New Roman" w:cs="Times New Roman"/>
          <w:i/>
          <w:sz w:val="24"/>
          <w:szCs w:val="24"/>
        </w:rPr>
        <w:t>Oreochromis niloticus ;</w:t>
      </w:r>
      <w:r w:rsidRPr="00F2344B">
        <w:rPr>
          <w:rFonts w:ascii="Times New Roman" w:hAnsi="Times New Roman" w:cs="Times New Roman"/>
          <w:sz w:val="24"/>
          <w:szCs w:val="24"/>
        </w:rPr>
        <w:t xml:space="preserve"> SG : </w:t>
      </w:r>
      <w:r w:rsidRPr="00F2344B">
        <w:rPr>
          <w:rFonts w:ascii="Times New Roman" w:hAnsi="Times New Roman" w:cs="Times New Roman"/>
          <w:i/>
          <w:sz w:val="24"/>
          <w:szCs w:val="24"/>
        </w:rPr>
        <w:t>Sarotherodon galilaeus</w:t>
      </w:r>
      <w:r w:rsidRPr="00F2344B">
        <w:rPr>
          <w:rFonts w:ascii="Times New Roman" w:hAnsi="Times New Roman" w:cs="Times New Roman"/>
          <w:sz w:val="24"/>
          <w:szCs w:val="24"/>
        </w:rPr>
        <w:t xml:space="preserve"> ; HBI : </w:t>
      </w:r>
      <w:r w:rsidRPr="00F2344B">
        <w:rPr>
          <w:rFonts w:ascii="Times New Roman" w:hAnsi="Times New Roman" w:cs="Times New Roman"/>
          <w:i/>
          <w:sz w:val="24"/>
          <w:szCs w:val="24"/>
        </w:rPr>
        <w:t>Hemichromis bimaculatus</w:t>
      </w:r>
    </w:p>
    <w:p w14:paraId="4F0A714E" w14:textId="77777777" w:rsidR="00F55601" w:rsidRPr="00F2344B" w:rsidRDefault="00F55601" w:rsidP="00F55601">
      <w:r w:rsidRPr="00F2344B">
        <w:br w:type="page"/>
      </w:r>
    </w:p>
    <w:p w14:paraId="5EA99659" w14:textId="77777777" w:rsidR="00F55601" w:rsidRPr="00F2344B" w:rsidRDefault="00F55601" w:rsidP="00F55601">
      <w:pPr>
        <w:spacing w:after="0" w:line="360" w:lineRule="auto"/>
        <w:jc w:val="both"/>
        <w:rPr>
          <w:rFonts w:ascii="Times New Roman" w:hAnsi="Times New Roman" w:cs="Times New Roman"/>
          <w:sz w:val="24"/>
          <w:szCs w:val="24"/>
        </w:rPr>
      </w:pPr>
    </w:p>
    <w:p w14:paraId="2AF9CC72" w14:textId="77777777" w:rsidR="00F55601" w:rsidRPr="00F2344B" w:rsidRDefault="00F55601" w:rsidP="00F55601">
      <w:pPr>
        <w:spacing w:after="0" w:line="360" w:lineRule="auto"/>
        <w:jc w:val="both"/>
        <w:rPr>
          <w:rFonts w:ascii="Times New Roman" w:eastAsia="Calibri" w:hAnsi="Times New Roman" w:cs="Times New Roman"/>
          <w:color w:val="000000"/>
          <w:sz w:val="24"/>
          <w:szCs w:val="24"/>
        </w:rPr>
      </w:pPr>
    </w:p>
    <w:p w14:paraId="4C24EB68" w14:textId="3BE5E6CD" w:rsidR="00F55601" w:rsidRPr="00F2344B" w:rsidRDefault="00F55601" w:rsidP="00F55601">
      <w:pPr>
        <w:pStyle w:val="Caption"/>
        <w:keepNext/>
        <w:spacing w:line="360" w:lineRule="auto"/>
        <w:ind w:left="-284"/>
        <w:jc w:val="both"/>
        <w:rPr>
          <w:rFonts w:ascii="Times New Roman" w:hAnsi="Times New Roman" w:cs="Times New Roman"/>
          <w:i w:val="0"/>
          <w:color w:val="auto"/>
          <w:sz w:val="24"/>
          <w:szCs w:val="24"/>
        </w:rPr>
      </w:pPr>
      <w:bookmarkStart w:id="13" w:name="_Toc174740670"/>
      <w:r w:rsidRPr="00F2344B">
        <w:rPr>
          <w:rFonts w:ascii="Times New Roman" w:hAnsi="Times New Roman" w:cs="Times New Roman"/>
          <w:b/>
          <w:i w:val="0"/>
          <w:color w:val="auto"/>
          <w:sz w:val="24"/>
          <w:szCs w:val="24"/>
        </w:rPr>
        <w:t xml:space="preserve">Table 1. </w:t>
      </w:r>
      <w:bookmarkEnd w:id="13"/>
      <w:r w:rsidR="001937A7" w:rsidRPr="001937A7">
        <w:rPr>
          <w:rFonts w:ascii="Times New Roman" w:hAnsi="Times New Roman" w:cs="Times New Roman"/>
          <w:b/>
          <w:i w:val="0"/>
          <w:color w:val="auto"/>
          <w:sz w:val="24"/>
          <w:szCs w:val="24"/>
        </w:rPr>
        <w:t>K-condition factor of the five main fish species landed at the Sologo reservoir from January 2022 to December 2022.</w:t>
      </w:r>
    </w:p>
    <w:tbl>
      <w:tblPr>
        <w:tblStyle w:val="TableGrid"/>
        <w:tblW w:w="96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4"/>
        <w:gridCol w:w="1902"/>
        <w:gridCol w:w="1317"/>
        <w:gridCol w:w="1609"/>
        <w:gridCol w:w="1757"/>
      </w:tblGrid>
      <w:tr w:rsidR="00F55601" w:rsidRPr="00F2344B" w14:paraId="055408F2" w14:textId="77777777" w:rsidTr="00A52628">
        <w:trPr>
          <w:trHeight w:val="390"/>
          <w:jc w:val="center"/>
        </w:trPr>
        <w:tc>
          <w:tcPr>
            <w:tcW w:w="3074" w:type="dxa"/>
            <w:vMerge w:val="restart"/>
            <w:tcBorders>
              <w:top w:val="single" w:sz="4" w:space="0" w:color="auto"/>
            </w:tcBorders>
            <w:vAlign w:val="center"/>
          </w:tcPr>
          <w:p w14:paraId="3F67E540" w14:textId="68D5450F" w:rsidR="00F55601" w:rsidRPr="00F2344B" w:rsidRDefault="001937A7" w:rsidP="00A52628">
            <w:pPr>
              <w:spacing w:line="360" w:lineRule="auto"/>
              <w:jc w:val="center"/>
              <w:rPr>
                <w:rFonts w:ascii="Times New Roman" w:hAnsi="Times New Roman" w:cs="Times New Roman"/>
                <w:sz w:val="24"/>
                <w:szCs w:val="24"/>
              </w:rPr>
            </w:pPr>
            <w:r w:rsidRPr="001937A7">
              <w:rPr>
                <w:rFonts w:ascii="Times New Roman" w:hAnsi="Times New Roman" w:cs="Times New Roman"/>
                <w:sz w:val="24"/>
                <w:szCs w:val="24"/>
              </w:rPr>
              <w:t>Species</w:t>
            </w:r>
          </w:p>
        </w:tc>
        <w:tc>
          <w:tcPr>
            <w:tcW w:w="1902" w:type="dxa"/>
            <w:tcBorders>
              <w:top w:val="single" w:sz="4" w:space="0" w:color="auto"/>
              <w:bottom w:val="single" w:sz="4" w:space="0" w:color="auto"/>
            </w:tcBorders>
          </w:tcPr>
          <w:p w14:paraId="0FD29461"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rPr>
              <w:t>Longueur (cm)</w:t>
            </w:r>
          </w:p>
        </w:tc>
        <w:tc>
          <w:tcPr>
            <w:tcW w:w="1317" w:type="dxa"/>
            <w:tcBorders>
              <w:top w:val="single" w:sz="4" w:space="0" w:color="auto"/>
              <w:bottom w:val="single" w:sz="4" w:space="0" w:color="auto"/>
            </w:tcBorders>
          </w:tcPr>
          <w:p w14:paraId="1C9315B2"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rPr>
              <w:t>Poids (g)</w:t>
            </w:r>
          </w:p>
        </w:tc>
        <w:tc>
          <w:tcPr>
            <w:tcW w:w="3366" w:type="dxa"/>
            <w:gridSpan w:val="2"/>
            <w:tcBorders>
              <w:top w:val="single" w:sz="4" w:space="0" w:color="auto"/>
              <w:bottom w:val="single" w:sz="4" w:space="0" w:color="auto"/>
            </w:tcBorders>
          </w:tcPr>
          <w:p w14:paraId="51B419F1"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rPr>
              <w:t>K</w:t>
            </w:r>
          </w:p>
        </w:tc>
      </w:tr>
      <w:tr w:rsidR="00F55601" w:rsidRPr="00F2344B" w14:paraId="59DFCAB0" w14:textId="77777777" w:rsidTr="00A52628">
        <w:trPr>
          <w:trHeight w:val="338"/>
          <w:jc w:val="center"/>
        </w:trPr>
        <w:tc>
          <w:tcPr>
            <w:tcW w:w="3074" w:type="dxa"/>
            <w:vMerge/>
            <w:tcBorders>
              <w:bottom w:val="single" w:sz="4" w:space="0" w:color="auto"/>
            </w:tcBorders>
          </w:tcPr>
          <w:p w14:paraId="03E7EFF4" w14:textId="77777777" w:rsidR="00F55601" w:rsidRPr="00F2344B" w:rsidRDefault="00F55601" w:rsidP="00A52628">
            <w:pPr>
              <w:spacing w:line="360" w:lineRule="auto"/>
              <w:jc w:val="center"/>
              <w:rPr>
                <w:rFonts w:ascii="Times New Roman" w:hAnsi="Times New Roman" w:cs="Times New Roman"/>
                <w:sz w:val="24"/>
                <w:szCs w:val="24"/>
              </w:rPr>
            </w:pPr>
          </w:p>
        </w:tc>
        <w:tc>
          <w:tcPr>
            <w:tcW w:w="1902" w:type="dxa"/>
            <w:tcBorders>
              <w:top w:val="single" w:sz="4" w:space="0" w:color="auto"/>
              <w:bottom w:val="single" w:sz="4" w:space="0" w:color="auto"/>
            </w:tcBorders>
          </w:tcPr>
          <w:p w14:paraId="73ED146B"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rPr>
              <w:t>Min-Max</w:t>
            </w:r>
          </w:p>
        </w:tc>
        <w:tc>
          <w:tcPr>
            <w:tcW w:w="1317" w:type="dxa"/>
            <w:tcBorders>
              <w:top w:val="single" w:sz="4" w:space="0" w:color="auto"/>
              <w:bottom w:val="single" w:sz="4" w:space="0" w:color="auto"/>
            </w:tcBorders>
          </w:tcPr>
          <w:p w14:paraId="69353039"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rPr>
              <w:t>Min-Max</w:t>
            </w:r>
          </w:p>
        </w:tc>
        <w:tc>
          <w:tcPr>
            <w:tcW w:w="1609" w:type="dxa"/>
            <w:tcBorders>
              <w:top w:val="single" w:sz="4" w:space="0" w:color="auto"/>
              <w:bottom w:val="single" w:sz="4" w:space="0" w:color="auto"/>
            </w:tcBorders>
          </w:tcPr>
          <w:p w14:paraId="3887F584"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rPr>
              <w:t>Min-Max</w:t>
            </w:r>
          </w:p>
        </w:tc>
        <w:tc>
          <w:tcPr>
            <w:tcW w:w="1756" w:type="dxa"/>
            <w:tcBorders>
              <w:top w:val="single" w:sz="4" w:space="0" w:color="auto"/>
              <w:bottom w:val="single" w:sz="4" w:space="0" w:color="auto"/>
            </w:tcBorders>
          </w:tcPr>
          <w:p w14:paraId="52E297A1"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rPr>
              <w:t>Moy</w:t>
            </w:r>
          </w:p>
        </w:tc>
      </w:tr>
      <w:tr w:rsidR="00F55601" w:rsidRPr="00F2344B" w14:paraId="5270D7B8" w14:textId="77777777" w:rsidTr="00A52628">
        <w:trPr>
          <w:trHeight w:val="390"/>
          <w:jc w:val="center"/>
        </w:trPr>
        <w:tc>
          <w:tcPr>
            <w:tcW w:w="3074" w:type="dxa"/>
            <w:tcBorders>
              <w:top w:val="single" w:sz="4" w:space="0" w:color="auto"/>
              <w:bottom w:val="single" w:sz="4" w:space="0" w:color="auto"/>
            </w:tcBorders>
          </w:tcPr>
          <w:p w14:paraId="796F9B8C" w14:textId="77777777" w:rsidR="00F55601" w:rsidRPr="00F2344B" w:rsidRDefault="00F55601" w:rsidP="00A52628">
            <w:pPr>
              <w:spacing w:line="360" w:lineRule="auto"/>
              <w:rPr>
                <w:rFonts w:ascii="Times New Roman" w:hAnsi="Times New Roman" w:cs="Times New Roman"/>
                <w:i/>
                <w:sz w:val="24"/>
                <w:szCs w:val="24"/>
              </w:rPr>
            </w:pPr>
            <w:r w:rsidRPr="00F2344B">
              <w:rPr>
                <w:rFonts w:ascii="Times New Roman" w:hAnsi="Times New Roman" w:cs="Times New Roman"/>
                <w:i/>
                <w:sz w:val="24"/>
                <w:szCs w:val="24"/>
              </w:rPr>
              <w:t>Chrysichthys nigrodigitatus</w:t>
            </w:r>
          </w:p>
        </w:tc>
        <w:tc>
          <w:tcPr>
            <w:tcW w:w="1902" w:type="dxa"/>
            <w:tcBorders>
              <w:top w:val="single" w:sz="4" w:space="0" w:color="auto"/>
              <w:bottom w:val="single" w:sz="4" w:space="0" w:color="auto"/>
            </w:tcBorders>
          </w:tcPr>
          <w:p w14:paraId="49AF535A"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7-20,3</w:t>
            </w:r>
          </w:p>
        </w:tc>
        <w:tc>
          <w:tcPr>
            <w:tcW w:w="1317" w:type="dxa"/>
            <w:tcBorders>
              <w:top w:val="single" w:sz="4" w:space="0" w:color="auto"/>
              <w:bottom w:val="single" w:sz="4" w:space="0" w:color="auto"/>
            </w:tcBorders>
          </w:tcPr>
          <w:p w14:paraId="661D8985"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6-214</w:t>
            </w:r>
          </w:p>
        </w:tc>
        <w:tc>
          <w:tcPr>
            <w:tcW w:w="1609" w:type="dxa"/>
            <w:tcBorders>
              <w:top w:val="single" w:sz="4" w:space="0" w:color="auto"/>
              <w:bottom w:val="single" w:sz="4" w:space="0" w:color="auto"/>
            </w:tcBorders>
          </w:tcPr>
          <w:p w14:paraId="1631ADC1"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1,049-3,053</w:t>
            </w:r>
          </w:p>
        </w:tc>
        <w:tc>
          <w:tcPr>
            <w:tcW w:w="1756" w:type="dxa"/>
            <w:tcBorders>
              <w:top w:val="single" w:sz="4" w:space="0" w:color="auto"/>
              <w:bottom w:val="single" w:sz="4" w:space="0" w:color="auto"/>
            </w:tcBorders>
          </w:tcPr>
          <w:p w14:paraId="0AE370F3"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1,920 ± 0,431</w:t>
            </w:r>
          </w:p>
        </w:tc>
      </w:tr>
      <w:tr w:rsidR="00F55601" w:rsidRPr="00F2344B" w14:paraId="715A0E78" w14:textId="77777777" w:rsidTr="00A52628">
        <w:trPr>
          <w:trHeight w:val="390"/>
          <w:jc w:val="center"/>
        </w:trPr>
        <w:tc>
          <w:tcPr>
            <w:tcW w:w="3074" w:type="dxa"/>
            <w:tcBorders>
              <w:top w:val="single" w:sz="4" w:space="0" w:color="auto"/>
              <w:bottom w:val="single" w:sz="4" w:space="0" w:color="auto"/>
            </w:tcBorders>
          </w:tcPr>
          <w:p w14:paraId="4E108596" w14:textId="77777777" w:rsidR="00F55601" w:rsidRPr="00F2344B" w:rsidRDefault="00F55601" w:rsidP="00A52628">
            <w:pPr>
              <w:spacing w:line="360" w:lineRule="auto"/>
              <w:rPr>
                <w:rFonts w:ascii="Times New Roman" w:hAnsi="Times New Roman" w:cs="Times New Roman"/>
                <w:i/>
                <w:sz w:val="24"/>
                <w:szCs w:val="24"/>
              </w:rPr>
            </w:pPr>
            <w:r w:rsidRPr="00F2344B">
              <w:rPr>
                <w:rFonts w:ascii="Times New Roman" w:hAnsi="Times New Roman" w:cs="Times New Roman"/>
                <w:i/>
                <w:sz w:val="24"/>
                <w:szCs w:val="24"/>
              </w:rPr>
              <w:t>Coptodon zillii</w:t>
            </w:r>
          </w:p>
        </w:tc>
        <w:tc>
          <w:tcPr>
            <w:tcW w:w="1902" w:type="dxa"/>
            <w:tcBorders>
              <w:top w:val="single" w:sz="4" w:space="0" w:color="auto"/>
              <w:bottom w:val="single" w:sz="4" w:space="0" w:color="auto"/>
            </w:tcBorders>
          </w:tcPr>
          <w:p w14:paraId="6AE199DD"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6,4-14,2</w:t>
            </w:r>
          </w:p>
        </w:tc>
        <w:tc>
          <w:tcPr>
            <w:tcW w:w="1317" w:type="dxa"/>
            <w:tcBorders>
              <w:top w:val="single" w:sz="4" w:space="0" w:color="auto"/>
              <w:bottom w:val="single" w:sz="4" w:space="0" w:color="auto"/>
            </w:tcBorders>
          </w:tcPr>
          <w:p w14:paraId="6BD8B356"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11,48-94</w:t>
            </w:r>
          </w:p>
        </w:tc>
        <w:tc>
          <w:tcPr>
            <w:tcW w:w="1609" w:type="dxa"/>
            <w:tcBorders>
              <w:top w:val="single" w:sz="4" w:space="0" w:color="auto"/>
              <w:bottom w:val="single" w:sz="4" w:space="0" w:color="auto"/>
            </w:tcBorders>
          </w:tcPr>
          <w:p w14:paraId="7364D46A"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1,587-5,253</w:t>
            </w:r>
          </w:p>
        </w:tc>
        <w:tc>
          <w:tcPr>
            <w:tcW w:w="1756" w:type="dxa"/>
            <w:tcBorders>
              <w:top w:val="single" w:sz="4" w:space="0" w:color="auto"/>
              <w:bottom w:val="single" w:sz="4" w:space="0" w:color="auto"/>
            </w:tcBorders>
          </w:tcPr>
          <w:p w14:paraId="7E35CF2E"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highlight w:val="yellow"/>
              </w:rPr>
              <w:t>3,641 ± 0,813</w:t>
            </w:r>
          </w:p>
        </w:tc>
      </w:tr>
      <w:tr w:rsidR="00F55601" w:rsidRPr="00F2344B" w14:paraId="1072E4DC" w14:textId="77777777" w:rsidTr="00A52628">
        <w:trPr>
          <w:trHeight w:val="390"/>
          <w:jc w:val="center"/>
        </w:trPr>
        <w:tc>
          <w:tcPr>
            <w:tcW w:w="3074" w:type="dxa"/>
            <w:tcBorders>
              <w:top w:val="single" w:sz="4" w:space="0" w:color="auto"/>
              <w:bottom w:val="single" w:sz="4" w:space="0" w:color="auto"/>
            </w:tcBorders>
          </w:tcPr>
          <w:p w14:paraId="26EA0E0D" w14:textId="77777777" w:rsidR="00F55601" w:rsidRPr="00F2344B" w:rsidRDefault="00F55601" w:rsidP="00A52628">
            <w:pPr>
              <w:spacing w:line="360" w:lineRule="auto"/>
              <w:rPr>
                <w:rFonts w:ascii="Times New Roman" w:hAnsi="Times New Roman" w:cs="Times New Roman"/>
                <w:i/>
                <w:sz w:val="24"/>
                <w:szCs w:val="24"/>
              </w:rPr>
            </w:pPr>
            <w:r w:rsidRPr="00F2344B">
              <w:rPr>
                <w:rFonts w:ascii="Times New Roman" w:hAnsi="Times New Roman" w:cs="Times New Roman"/>
                <w:i/>
                <w:sz w:val="24"/>
                <w:szCs w:val="24"/>
              </w:rPr>
              <w:t>Oreochromis niloticus</w:t>
            </w:r>
          </w:p>
        </w:tc>
        <w:tc>
          <w:tcPr>
            <w:tcW w:w="1902" w:type="dxa"/>
            <w:tcBorders>
              <w:top w:val="single" w:sz="4" w:space="0" w:color="auto"/>
              <w:bottom w:val="single" w:sz="4" w:space="0" w:color="auto"/>
            </w:tcBorders>
          </w:tcPr>
          <w:p w14:paraId="7C29D752"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7,8-17</w:t>
            </w:r>
          </w:p>
        </w:tc>
        <w:tc>
          <w:tcPr>
            <w:tcW w:w="1317" w:type="dxa"/>
            <w:tcBorders>
              <w:top w:val="single" w:sz="4" w:space="0" w:color="auto"/>
              <w:bottom w:val="single" w:sz="4" w:space="0" w:color="auto"/>
            </w:tcBorders>
          </w:tcPr>
          <w:p w14:paraId="6C365361"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18-107</w:t>
            </w:r>
          </w:p>
        </w:tc>
        <w:tc>
          <w:tcPr>
            <w:tcW w:w="1609" w:type="dxa"/>
            <w:tcBorders>
              <w:top w:val="single" w:sz="4" w:space="0" w:color="auto"/>
              <w:bottom w:val="single" w:sz="4" w:space="0" w:color="auto"/>
            </w:tcBorders>
          </w:tcPr>
          <w:p w14:paraId="7B29B455"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1,900-5,481</w:t>
            </w:r>
          </w:p>
        </w:tc>
        <w:tc>
          <w:tcPr>
            <w:tcW w:w="1756" w:type="dxa"/>
            <w:tcBorders>
              <w:top w:val="single" w:sz="4" w:space="0" w:color="auto"/>
              <w:bottom w:val="single" w:sz="4" w:space="0" w:color="auto"/>
            </w:tcBorders>
          </w:tcPr>
          <w:p w14:paraId="09F82A14"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3,975 ± 0,768</w:t>
            </w:r>
          </w:p>
        </w:tc>
      </w:tr>
      <w:tr w:rsidR="00F55601" w:rsidRPr="00F2344B" w14:paraId="4F6E2E0E" w14:textId="77777777" w:rsidTr="00A52628">
        <w:trPr>
          <w:trHeight w:val="405"/>
          <w:jc w:val="center"/>
        </w:trPr>
        <w:tc>
          <w:tcPr>
            <w:tcW w:w="3074" w:type="dxa"/>
            <w:tcBorders>
              <w:top w:val="single" w:sz="4" w:space="0" w:color="auto"/>
              <w:bottom w:val="single" w:sz="4" w:space="0" w:color="auto"/>
            </w:tcBorders>
          </w:tcPr>
          <w:p w14:paraId="22C28A1D" w14:textId="77777777" w:rsidR="00F55601" w:rsidRPr="00F2344B" w:rsidRDefault="00F55601" w:rsidP="00A52628">
            <w:pPr>
              <w:spacing w:line="360" w:lineRule="auto"/>
              <w:rPr>
                <w:rFonts w:ascii="Times New Roman" w:hAnsi="Times New Roman" w:cs="Times New Roman"/>
                <w:i/>
                <w:sz w:val="24"/>
                <w:szCs w:val="24"/>
              </w:rPr>
            </w:pPr>
            <w:r w:rsidRPr="00F2344B">
              <w:rPr>
                <w:rFonts w:ascii="Times New Roman" w:hAnsi="Times New Roman" w:cs="Times New Roman"/>
                <w:i/>
                <w:sz w:val="24"/>
                <w:szCs w:val="24"/>
              </w:rPr>
              <w:t>Sarotherodon galilaeus</w:t>
            </w:r>
          </w:p>
        </w:tc>
        <w:tc>
          <w:tcPr>
            <w:tcW w:w="1902" w:type="dxa"/>
            <w:tcBorders>
              <w:top w:val="single" w:sz="4" w:space="0" w:color="auto"/>
              <w:bottom w:val="single" w:sz="4" w:space="0" w:color="auto"/>
            </w:tcBorders>
          </w:tcPr>
          <w:p w14:paraId="1C394B3C"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8-13,8</w:t>
            </w:r>
          </w:p>
        </w:tc>
        <w:tc>
          <w:tcPr>
            <w:tcW w:w="1317" w:type="dxa"/>
            <w:tcBorders>
              <w:top w:val="single" w:sz="4" w:space="0" w:color="auto"/>
              <w:bottom w:val="single" w:sz="4" w:space="0" w:color="auto"/>
            </w:tcBorders>
          </w:tcPr>
          <w:p w14:paraId="5D080853"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16-82</w:t>
            </w:r>
          </w:p>
        </w:tc>
        <w:tc>
          <w:tcPr>
            <w:tcW w:w="1609" w:type="dxa"/>
            <w:tcBorders>
              <w:top w:val="single" w:sz="4" w:space="0" w:color="auto"/>
              <w:bottom w:val="single" w:sz="4" w:space="0" w:color="auto"/>
            </w:tcBorders>
          </w:tcPr>
          <w:p w14:paraId="18343597"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1,793-5,659</w:t>
            </w:r>
          </w:p>
        </w:tc>
        <w:tc>
          <w:tcPr>
            <w:tcW w:w="1756" w:type="dxa"/>
            <w:tcBorders>
              <w:top w:val="single" w:sz="4" w:space="0" w:color="auto"/>
              <w:bottom w:val="single" w:sz="4" w:space="0" w:color="auto"/>
            </w:tcBorders>
          </w:tcPr>
          <w:p w14:paraId="25F8A8BD"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3,222 ± 0,865</w:t>
            </w:r>
          </w:p>
        </w:tc>
      </w:tr>
      <w:tr w:rsidR="00F55601" w:rsidRPr="00F2344B" w14:paraId="65C59B76" w14:textId="77777777" w:rsidTr="00A52628">
        <w:trPr>
          <w:trHeight w:val="390"/>
          <w:jc w:val="center"/>
        </w:trPr>
        <w:tc>
          <w:tcPr>
            <w:tcW w:w="3074" w:type="dxa"/>
            <w:tcBorders>
              <w:top w:val="single" w:sz="4" w:space="0" w:color="auto"/>
              <w:bottom w:val="single" w:sz="4" w:space="0" w:color="auto"/>
            </w:tcBorders>
          </w:tcPr>
          <w:p w14:paraId="50E9AF4B" w14:textId="77777777" w:rsidR="00F55601" w:rsidRPr="00F2344B" w:rsidRDefault="00F55601" w:rsidP="00A52628">
            <w:pPr>
              <w:spacing w:line="360" w:lineRule="auto"/>
              <w:rPr>
                <w:rFonts w:ascii="Times New Roman" w:hAnsi="Times New Roman" w:cs="Times New Roman"/>
                <w:i/>
                <w:sz w:val="24"/>
                <w:szCs w:val="24"/>
              </w:rPr>
            </w:pPr>
            <w:r w:rsidRPr="00F2344B">
              <w:rPr>
                <w:rFonts w:ascii="Times New Roman" w:hAnsi="Times New Roman" w:cs="Times New Roman"/>
                <w:i/>
                <w:sz w:val="24"/>
                <w:szCs w:val="24"/>
              </w:rPr>
              <w:t>Hemichromis bimaculatus</w:t>
            </w:r>
          </w:p>
        </w:tc>
        <w:tc>
          <w:tcPr>
            <w:tcW w:w="1902" w:type="dxa"/>
            <w:tcBorders>
              <w:top w:val="single" w:sz="4" w:space="0" w:color="auto"/>
              <w:bottom w:val="single" w:sz="4" w:space="0" w:color="auto"/>
            </w:tcBorders>
          </w:tcPr>
          <w:p w14:paraId="2FF6B2C7"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6,8-9,4</w:t>
            </w:r>
          </w:p>
        </w:tc>
        <w:tc>
          <w:tcPr>
            <w:tcW w:w="1317" w:type="dxa"/>
            <w:tcBorders>
              <w:top w:val="single" w:sz="4" w:space="0" w:color="auto"/>
              <w:bottom w:val="single" w:sz="4" w:space="0" w:color="auto"/>
            </w:tcBorders>
          </w:tcPr>
          <w:p w14:paraId="263550AA"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7-26,41</w:t>
            </w:r>
          </w:p>
        </w:tc>
        <w:tc>
          <w:tcPr>
            <w:tcW w:w="1609" w:type="dxa"/>
            <w:tcBorders>
              <w:top w:val="single" w:sz="4" w:space="0" w:color="auto"/>
              <w:bottom w:val="single" w:sz="4" w:space="0" w:color="auto"/>
            </w:tcBorders>
          </w:tcPr>
          <w:p w14:paraId="66645176"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2,050-4,163</w:t>
            </w:r>
          </w:p>
        </w:tc>
        <w:tc>
          <w:tcPr>
            <w:tcW w:w="1756" w:type="dxa"/>
            <w:tcBorders>
              <w:top w:val="single" w:sz="4" w:space="0" w:color="auto"/>
              <w:bottom w:val="single" w:sz="4" w:space="0" w:color="auto"/>
            </w:tcBorders>
          </w:tcPr>
          <w:p w14:paraId="3196158D"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3,186 ± 0,530</w:t>
            </w:r>
          </w:p>
        </w:tc>
      </w:tr>
    </w:tbl>
    <w:p w14:paraId="68E9E484" w14:textId="77777777" w:rsidR="00F55601" w:rsidRPr="00F2344B" w:rsidRDefault="00F55601" w:rsidP="00F55601">
      <w:pPr>
        <w:spacing w:after="0" w:line="360" w:lineRule="auto"/>
        <w:jc w:val="both"/>
        <w:rPr>
          <w:rFonts w:ascii="Times New Roman" w:eastAsia="Calibri" w:hAnsi="Times New Roman" w:cs="Times New Roman"/>
          <w:color w:val="000000"/>
          <w:sz w:val="24"/>
          <w:szCs w:val="24"/>
        </w:rPr>
      </w:pPr>
      <w:r w:rsidRPr="00F2344B">
        <w:rPr>
          <w:rFonts w:ascii="Times New Roman" w:eastAsia="Calibri" w:hAnsi="Times New Roman" w:cs="Times New Roman"/>
          <w:color w:val="000000"/>
          <w:sz w:val="24"/>
          <w:szCs w:val="24"/>
        </w:rPr>
        <w:t>Min = minimal    Max = maximal     Moy = moyenne</w:t>
      </w:r>
    </w:p>
    <w:p w14:paraId="6FF0964F" w14:textId="77777777" w:rsidR="00F55601" w:rsidRPr="00F2344B" w:rsidRDefault="00F55601" w:rsidP="00F55601">
      <w:pPr>
        <w:rPr>
          <w:rFonts w:ascii="Times New Roman" w:hAnsi="Times New Roman" w:cs="Times New Roman"/>
          <w:sz w:val="24"/>
          <w:szCs w:val="24"/>
        </w:rPr>
      </w:pPr>
    </w:p>
    <w:p w14:paraId="7BC3464A" w14:textId="77777777" w:rsidR="00F55601" w:rsidRPr="00F2344B" w:rsidRDefault="00F55601" w:rsidP="00F55601">
      <w:pPr>
        <w:spacing w:after="160" w:line="259" w:lineRule="auto"/>
        <w:rPr>
          <w:rFonts w:ascii="Times New Roman" w:hAnsi="Times New Roman" w:cs="Times New Roman"/>
          <w:b/>
          <w:iCs/>
          <w:sz w:val="24"/>
          <w:szCs w:val="24"/>
        </w:rPr>
      </w:pPr>
      <w:bookmarkStart w:id="14" w:name="_Toc174740671"/>
      <w:r w:rsidRPr="00F2344B">
        <w:rPr>
          <w:rFonts w:ascii="Times New Roman" w:hAnsi="Times New Roman" w:cs="Times New Roman"/>
          <w:b/>
          <w:i/>
          <w:sz w:val="24"/>
          <w:szCs w:val="24"/>
        </w:rPr>
        <w:br w:type="page"/>
      </w:r>
    </w:p>
    <w:p w14:paraId="0D6C6CD0" w14:textId="2CFB108A" w:rsidR="00F55601" w:rsidRPr="00F2344B" w:rsidRDefault="00F55601" w:rsidP="00F55601">
      <w:pPr>
        <w:pStyle w:val="Caption"/>
        <w:keepNext/>
        <w:spacing w:line="360" w:lineRule="auto"/>
        <w:ind w:left="-426"/>
        <w:rPr>
          <w:rFonts w:ascii="Times New Roman" w:hAnsi="Times New Roman" w:cs="Times New Roman"/>
          <w:i w:val="0"/>
          <w:color w:val="auto"/>
          <w:sz w:val="24"/>
          <w:szCs w:val="24"/>
        </w:rPr>
      </w:pPr>
      <w:r w:rsidRPr="00F2344B">
        <w:rPr>
          <w:rFonts w:ascii="Times New Roman" w:hAnsi="Times New Roman" w:cs="Times New Roman"/>
          <w:b/>
          <w:i w:val="0"/>
          <w:color w:val="auto"/>
          <w:sz w:val="24"/>
          <w:szCs w:val="24"/>
        </w:rPr>
        <w:lastRenderedPageBreak/>
        <w:t xml:space="preserve">Table 2. </w:t>
      </w:r>
      <w:bookmarkEnd w:id="14"/>
      <w:r w:rsidR="001937A7" w:rsidRPr="001937A7">
        <w:rPr>
          <w:rFonts w:ascii="Times New Roman" w:hAnsi="Times New Roman" w:cs="Times New Roman"/>
          <w:b/>
          <w:i w:val="0"/>
          <w:color w:val="auto"/>
          <w:sz w:val="24"/>
          <w:szCs w:val="24"/>
        </w:rPr>
        <w:t>Growth parameters and growth patterns of the main species caught in the Sologo reservoir from January 2022 to December 2022</w:t>
      </w:r>
    </w:p>
    <w:tbl>
      <w:tblPr>
        <w:tblStyle w:val="TableGrid"/>
        <w:tblW w:w="102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0"/>
        <w:gridCol w:w="1027"/>
        <w:gridCol w:w="1012"/>
        <w:gridCol w:w="1107"/>
        <w:gridCol w:w="980"/>
        <w:gridCol w:w="980"/>
        <w:gridCol w:w="1075"/>
        <w:gridCol w:w="905"/>
      </w:tblGrid>
      <w:tr w:rsidR="00F55601" w:rsidRPr="00F2344B" w14:paraId="2C4D501E" w14:textId="77777777" w:rsidTr="00A52628">
        <w:trPr>
          <w:trHeight w:val="434"/>
          <w:jc w:val="center"/>
        </w:trPr>
        <w:tc>
          <w:tcPr>
            <w:tcW w:w="3170" w:type="dxa"/>
            <w:tcBorders>
              <w:top w:val="single" w:sz="4" w:space="0" w:color="auto"/>
              <w:left w:val="single" w:sz="4" w:space="0" w:color="FFFFFF" w:themeColor="background1"/>
              <w:bottom w:val="single" w:sz="4" w:space="0" w:color="auto"/>
              <w:right w:val="single" w:sz="4" w:space="0" w:color="FFFFFF" w:themeColor="background1"/>
            </w:tcBorders>
          </w:tcPr>
          <w:p w14:paraId="139718A5" w14:textId="0F366A60" w:rsidR="00F55601" w:rsidRPr="00F2344B" w:rsidRDefault="001937A7" w:rsidP="00A52628">
            <w:pPr>
              <w:spacing w:line="360" w:lineRule="auto"/>
              <w:jc w:val="center"/>
              <w:rPr>
                <w:rFonts w:ascii="Times New Roman" w:hAnsi="Times New Roman" w:cs="Times New Roman"/>
                <w:b/>
                <w:sz w:val="24"/>
                <w:szCs w:val="24"/>
              </w:rPr>
            </w:pPr>
            <w:r w:rsidRPr="001937A7">
              <w:rPr>
                <w:rFonts w:ascii="Times New Roman" w:hAnsi="Times New Roman" w:cs="Times New Roman"/>
                <w:b/>
                <w:sz w:val="24"/>
                <w:szCs w:val="24"/>
              </w:rPr>
              <w:t>Species</w:t>
            </w:r>
          </w:p>
        </w:tc>
        <w:tc>
          <w:tcPr>
            <w:tcW w:w="1027" w:type="dxa"/>
            <w:tcBorders>
              <w:top w:val="single" w:sz="4" w:space="0" w:color="auto"/>
              <w:left w:val="single" w:sz="4" w:space="0" w:color="FFFFFF" w:themeColor="background1"/>
              <w:bottom w:val="single" w:sz="4" w:space="0" w:color="auto"/>
              <w:right w:val="single" w:sz="4" w:space="0" w:color="FFFFFF" w:themeColor="background1"/>
            </w:tcBorders>
          </w:tcPr>
          <w:p w14:paraId="26992472"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rPr>
              <w:t>N</w:t>
            </w:r>
          </w:p>
        </w:tc>
        <w:tc>
          <w:tcPr>
            <w:tcW w:w="1012"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C17ED39"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rPr>
              <w:t>a</w:t>
            </w:r>
          </w:p>
        </w:tc>
        <w:tc>
          <w:tcPr>
            <w:tcW w:w="110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1CF48C4F"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rPr>
              <w:t>b</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tcPr>
          <w:p w14:paraId="6CB77C0D" w14:textId="77777777" w:rsidR="00F55601" w:rsidRPr="00F2344B" w:rsidRDefault="00F55601" w:rsidP="00A52628">
            <w:pPr>
              <w:spacing w:line="360" w:lineRule="auto"/>
              <w:jc w:val="center"/>
              <w:rPr>
                <w:rFonts w:ascii="Times New Roman" w:hAnsi="Times New Roman" w:cs="Times New Roman"/>
                <w:b/>
                <w:sz w:val="24"/>
                <w:szCs w:val="24"/>
                <w:lang w:val="en-US"/>
              </w:rPr>
            </w:pPr>
            <w:r w:rsidRPr="00F2344B">
              <w:rPr>
                <w:rFonts w:ascii="Times New Roman" w:hAnsi="Times New Roman" w:cs="Times New Roman"/>
                <w:b/>
                <w:sz w:val="24"/>
                <w:szCs w:val="24"/>
                <w:lang w:val="en-US"/>
              </w:rPr>
              <w:t>Sb</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61EF841"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lang w:val="en-US"/>
              </w:rPr>
              <w:t>R²</w:t>
            </w:r>
          </w:p>
        </w:tc>
        <w:tc>
          <w:tcPr>
            <w:tcW w:w="1075" w:type="dxa"/>
            <w:tcBorders>
              <w:top w:val="single" w:sz="4" w:space="0" w:color="auto"/>
              <w:left w:val="single" w:sz="4" w:space="0" w:color="FFFFFF" w:themeColor="background1"/>
              <w:bottom w:val="single" w:sz="4" w:space="0" w:color="auto"/>
              <w:right w:val="single" w:sz="4" w:space="0" w:color="FFFFFF" w:themeColor="background1"/>
            </w:tcBorders>
          </w:tcPr>
          <w:p w14:paraId="7D26C76D"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eastAsia="Calibri" w:hAnsi="Times New Roman" w:cs="Times New Roman"/>
                <w:b/>
                <w:bCs/>
                <w:i/>
                <w:iCs/>
                <w:sz w:val="24"/>
                <w:szCs w:val="24"/>
              </w:rPr>
              <w:t>|ts</w:t>
            </w:r>
            <w:r w:rsidRPr="00F2344B">
              <w:rPr>
                <w:rFonts w:ascii="Times New Roman" w:eastAsia="Calibri" w:hAnsi="Times New Roman" w:cs="Times New Roman"/>
                <w:b/>
                <w:bCs/>
                <w:iCs/>
                <w:sz w:val="24"/>
                <w:szCs w:val="24"/>
              </w:rPr>
              <w:t>|</w:t>
            </w:r>
          </w:p>
        </w:tc>
        <w:tc>
          <w:tcPr>
            <w:tcW w:w="90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3BD9D6D"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rPr>
              <w:t>A</w:t>
            </w:r>
          </w:p>
        </w:tc>
      </w:tr>
      <w:tr w:rsidR="00F55601" w:rsidRPr="00F2344B" w14:paraId="1D75C998" w14:textId="77777777" w:rsidTr="00A52628">
        <w:trPr>
          <w:trHeight w:val="588"/>
          <w:jc w:val="center"/>
        </w:trPr>
        <w:tc>
          <w:tcPr>
            <w:tcW w:w="317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2D07497E" w14:textId="77777777" w:rsidR="00F55601" w:rsidRPr="00F2344B" w:rsidRDefault="00F55601" w:rsidP="00A52628">
            <w:pPr>
              <w:spacing w:line="360" w:lineRule="auto"/>
              <w:rPr>
                <w:rFonts w:ascii="Times New Roman" w:hAnsi="Times New Roman" w:cs="Times New Roman"/>
                <w:bCs/>
                <w:i/>
                <w:iCs/>
                <w:sz w:val="24"/>
                <w:szCs w:val="24"/>
              </w:rPr>
            </w:pPr>
            <w:r w:rsidRPr="00F2344B">
              <w:rPr>
                <w:rFonts w:ascii="Times New Roman" w:hAnsi="Times New Roman" w:cs="Times New Roman"/>
                <w:bCs/>
                <w:i/>
                <w:iCs/>
                <w:sz w:val="24"/>
                <w:szCs w:val="24"/>
              </w:rPr>
              <w:t>Chrysichthys nigrodigitatus</w:t>
            </w:r>
          </w:p>
        </w:tc>
        <w:tc>
          <w:tcPr>
            <w:tcW w:w="102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0B9B4244" w14:textId="77777777" w:rsidR="00F55601" w:rsidRPr="00F2344B" w:rsidRDefault="00F55601" w:rsidP="00A52628">
            <w:pPr>
              <w:spacing w:line="360" w:lineRule="auto"/>
              <w:jc w:val="center"/>
              <w:rPr>
                <w:rFonts w:ascii="Times New Roman" w:hAnsi="Times New Roman" w:cs="Times New Roman"/>
                <w:color w:val="000000"/>
                <w:sz w:val="24"/>
                <w:szCs w:val="24"/>
              </w:rPr>
            </w:pPr>
            <w:r w:rsidRPr="00F2344B">
              <w:rPr>
                <w:rFonts w:ascii="Times New Roman" w:hAnsi="Times New Roman" w:cs="Times New Roman"/>
                <w:color w:val="000000"/>
                <w:sz w:val="24"/>
                <w:szCs w:val="24"/>
                <w:highlight w:val="yellow"/>
              </w:rPr>
              <w:t>328</w:t>
            </w:r>
          </w:p>
        </w:tc>
        <w:tc>
          <w:tcPr>
            <w:tcW w:w="1012"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E49D5DC"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0,00084</w:t>
            </w:r>
          </w:p>
        </w:tc>
        <w:tc>
          <w:tcPr>
            <w:tcW w:w="110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19E4ABD"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3,37</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tcPr>
          <w:p w14:paraId="40A60B21"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0,059</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3D05BBFE"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0,91</w:t>
            </w:r>
          </w:p>
        </w:tc>
        <w:tc>
          <w:tcPr>
            <w:tcW w:w="107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2009D24C"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highlight w:val="yellow"/>
              </w:rPr>
              <w:t>6,27</w:t>
            </w:r>
          </w:p>
        </w:tc>
        <w:tc>
          <w:tcPr>
            <w:tcW w:w="90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33D56AFA"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A+</w:t>
            </w:r>
          </w:p>
        </w:tc>
      </w:tr>
      <w:tr w:rsidR="00F55601" w:rsidRPr="00F2344B" w14:paraId="5067E29C" w14:textId="77777777" w:rsidTr="00A52628">
        <w:trPr>
          <w:trHeight w:val="582"/>
          <w:jc w:val="center"/>
        </w:trPr>
        <w:tc>
          <w:tcPr>
            <w:tcW w:w="317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4AC39EB7" w14:textId="77777777" w:rsidR="00F55601" w:rsidRPr="00F2344B" w:rsidRDefault="00F55601" w:rsidP="00A52628">
            <w:pPr>
              <w:spacing w:line="360" w:lineRule="auto"/>
              <w:rPr>
                <w:rFonts w:ascii="Times New Roman" w:hAnsi="Times New Roman" w:cs="Times New Roman"/>
                <w:bCs/>
                <w:i/>
                <w:iCs/>
                <w:sz w:val="24"/>
                <w:szCs w:val="24"/>
              </w:rPr>
            </w:pPr>
            <w:r w:rsidRPr="00F2344B">
              <w:rPr>
                <w:rFonts w:ascii="Times New Roman" w:hAnsi="Times New Roman" w:cs="Times New Roman"/>
                <w:bCs/>
                <w:i/>
                <w:iCs/>
                <w:sz w:val="24"/>
                <w:szCs w:val="24"/>
              </w:rPr>
              <w:t>Coptodon zillii</w:t>
            </w:r>
          </w:p>
        </w:tc>
        <w:tc>
          <w:tcPr>
            <w:tcW w:w="102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4DACABCB" w14:textId="77777777" w:rsidR="00F55601" w:rsidRPr="00F2344B" w:rsidRDefault="00F55601" w:rsidP="00A52628">
            <w:pPr>
              <w:spacing w:line="360" w:lineRule="auto"/>
              <w:jc w:val="center"/>
              <w:rPr>
                <w:rFonts w:ascii="Times New Roman" w:hAnsi="Times New Roman" w:cs="Times New Roman"/>
                <w:color w:val="000000"/>
                <w:sz w:val="24"/>
                <w:szCs w:val="24"/>
              </w:rPr>
            </w:pPr>
            <w:r w:rsidRPr="00F2344B">
              <w:rPr>
                <w:rFonts w:ascii="Times New Roman" w:hAnsi="Times New Roman" w:cs="Times New Roman"/>
                <w:color w:val="000000"/>
                <w:sz w:val="24"/>
                <w:szCs w:val="24"/>
              </w:rPr>
              <w:t>149</w:t>
            </w:r>
          </w:p>
        </w:tc>
        <w:tc>
          <w:tcPr>
            <w:tcW w:w="1012"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7447785D"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0,00020</w:t>
            </w:r>
          </w:p>
        </w:tc>
        <w:tc>
          <w:tcPr>
            <w:tcW w:w="110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74E17E05"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2,23</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tcPr>
          <w:p w14:paraId="09AC77F0"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0,008</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3881D7E1"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0,58</w:t>
            </w:r>
          </w:p>
        </w:tc>
        <w:tc>
          <w:tcPr>
            <w:tcW w:w="107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68439439"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highlight w:val="yellow"/>
              </w:rPr>
              <w:t>96,25</w:t>
            </w:r>
          </w:p>
        </w:tc>
        <w:tc>
          <w:tcPr>
            <w:tcW w:w="90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039A4579"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A-</w:t>
            </w:r>
          </w:p>
        </w:tc>
      </w:tr>
      <w:tr w:rsidR="00F55601" w:rsidRPr="00F2344B" w14:paraId="4A73D869" w14:textId="77777777" w:rsidTr="00A52628">
        <w:trPr>
          <w:trHeight w:val="582"/>
          <w:jc w:val="center"/>
        </w:trPr>
        <w:tc>
          <w:tcPr>
            <w:tcW w:w="317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3C6D6898" w14:textId="77777777" w:rsidR="00F55601" w:rsidRPr="00F2344B" w:rsidRDefault="00F55601" w:rsidP="00A52628">
            <w:pPr>
              <w:spacing w:line="360" w:lineRule="auto"/>
              <w:rPr>
                <w:rFonts w:ascii="Times New Roman" w:hAnsi="Times New Roman" w:cs="Times New Roman"/>
                <w:bCs/>
                <w:i/>
                <w:iCs/>
                <w:sz w:val="24"/>
                <w:szCs w:val="24"/>
              </w:rPr>
            </w:pPr>
            <w:r w:rsidRPr="00F2344B">
              <w:rPr>
                <w:rFonts w:ascii="Times New Roman" w:hAnsi="Times New Roman" w:cs="Times New Roman"/>
                <w:bCs/>
                <w:i/>
                <w:iCs/>
                <w:sz w:val="24"/>
                <w:szCs w:val="24"/>
              </w:rPr>
              <w:t>Oreochromis niloticus</w:t>
            </w:r>
          </w:p>
        </w:tc>
        <w:tc>
          <w:tcPr>
            <w:tcW w:w="102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4C52549A" w14:textId="77777777" w:rsidR="00F55601" w:rsidRPr="00F2344B" w:rsidRDefault="00F55601" w:rsidP="00A52628">
            <w:pPr>
              <w:spacing w:line="360" w:lineRule="auto"/>
              <w:jc w:val="center"/>
              <w:rPr>
                <w:rFonts w:ascii="Times New Roman" w:hAnsi="Times New Roman" w:cs="Times New Roman"/>
                <w:color w:val="000000"/>
                <w:sz w:val="24"/>
                <w:szCs w:val="24"/>
              </w:rPr>
            </w:pPr>
            <w:r w:rsidRPr="00F2344B">
              <w:rPr>
                <w:rFonts w:ascii="Times New Roman" w:hAnsi="Times New Roman" w:cs="Times New Roman"/>
                <w:color w:val="000000"/>
                <w:sz w:val="24"/>
                <w:szCs w:val="24"/>
              </w:rPr>
              <w:t>129</w:t>
            </w:r>
          </w:p>
        </w:tc>
        <w:tc>
          <w:tcPr>
            <w:tcW w:w="1012"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0D84796E"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0,00031</w:t>
            </w:r>
          </w:p>
        </w:tc>
        <w:tc>
          <w:tcPr>
            <w:tcW w:w="110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2E333080"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2,74</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tcPr>
          <w:p w14:paraId="7CD87989"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0,008</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17BB7136"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0,72</w:t>
            </w:r>
          </w:p>
        </w:tc>
        <w:tc>
          <w:tcPr>
            <w:tcW w:w="107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0CF2E296"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highlight w:val="yellow"/>
              </w:rPr>
              <w:t>32,50</w:t>
            </w:r>
          </w:p>
        </w:tc>
        <w:tc>
          <w:tcPr>
            <w:tcW w:w="90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CEB5049"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A-</w:t>
            </w:r>
          </w:p>
        </w:tc>
      </w:tr>
      <w:tr w:rsidR="00F55601" w:rsidRPr="00F2344B" w14:paraId="50F7CF3D" w14:textId="77777777" w:rsidTr="00A52628">
        <w:trPr>
          <w:trHeight w:val="588"/>
          <w:jc w:val="center"/>
        </w:trPr>
        <w:tc>
          <w:tcPr>
            <w:tcW w:w="317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9421074" w14:textId="77777777" w:rsidR="00F55601" w:rsidRPr="00F2344B" w:rsidRDefault="00F55601" w:rsidP="00A52628">
            <w:pPr>
              <w:spacing w:line="360" w:lineRule="auto"/>
              <w:rPr>
                <w:rFonts w:ascii="Times New Roman" w:hAnsi="Times New Roman" w:cs="Times New Roman"/>
                <w:bCs/>
                <w:i/>
                <w:iCs/>
                <w:sz w:val="24"/>
                <w:szCs w:val="24"/>
              </w:rPr>
            </w:pPr>
            <w:r w:rsidRPr="00F2344B">
              <w:rPr>
                <w:rFonts w:ascii="Times New Roman" w:hAnsi="Times New Roman" w:cs="Times New Roman"/>
                <w:bCs/>
                <w:i/>
                <w:iCs/>
                <w:sz w:val="24"/>
                <w:szCs w:val="24"/>
              </w:rPr>
              <w:t>Sarotherodon galilaeus</w:t>
            </w:r>
          </w:p>
        </w:tc>
        <w:tc>
          <w:tcPr>
            <w:tcW w:w="102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67E29F3" w14:textId="77777777" w:rsidR="00F55601" w:rsidRPr="00F2344B" w:rsidRDefault="00F55601" w:rsidP="00A52628">
            <w:pPr>
              <w:spacing w:line="360" w:lineRule="auto"/>
              <w:jc w:val="center"/>
              <w:rPr>
                <w:rFonts w:ascii="Times New Roman" w:hAnsi="Times New Roman" w:cs="Times New Roman"/>
                <w:color w:val="000000"/>
                <w:sz w:val="24"/>
                <w:szCs w:val="24"/>
              </w:rPr>
            </w:pPr>
            <w:r w:rsidRPr="00F2344B">
              <w:rPr>
                <w:rFonts w:ascii="Times New Roman" w:hAnsi="Times New Roman" w:cs="Times New Roman"/>
                <w:color w:val="000000"/>
                <w:sz w:val="24"/>
                <w:szCs w:val="24"/>
              </w:rPr>
              <w:t>119</w:t>
            </w:r>
          </w:p>
        </w:tc>
        <w:tc>
          <w:tcPr>
            <w:tcW w:w="1012"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411C3A20"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0,00023</w:t>
            </w:r>
          </w:p>
        </w:tc>
        <w:tc>
          <w:tcPr>
            <w:tcW w:w="110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72EEB836"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2,34</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tcPr>
          <w:p w14:paraId="4B1DE09C"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0,013</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43E9737"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0,60</w:t>
            </w:r>
          </w:p>
        </w:tc>
        <w:tc>
          <w:tcPr>
            <w:tcW w:w="107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003BEAF5"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highlight w:val="yellow"/>
              </w:rPr>
              <w:t>50,77</w:t>
            </w:r>
          </w:p>
        </w:tc>
        <w:tc>
          <w:tcPr>
            <w:tcW w:w="90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15B1618B"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A-</w:t>
            </w:r>
          </w:p>
        </w:tc>
      </w:tr>
      <w:tr w:rsidR="00F55601" w:rsidRPr="00F2344B" w14:paraId="07C03C66" w14:textId="77777777" w:rsidTr="00A52628">
        <w:trPr>
          <w:trHeight w:val="575"/>
          <w:jc w:val="center"/>
        </w:trPr>
        <w:tc>
          <w:tcPr>
            <w:tcW w:w="317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4DD632C7" w14:textId="77777777" w:rsidR="00F55601" w:rsidRPr="00F2344B" w:rsidRDefault="00F55601" w:rsidP="00A52628">
            <w:pPr>
              <w:spacing w:line="360" w:lineRule="auto"/>
              <w:rPr>
                <w:rFonts w:ascii="Times New Roman" w:hAnsi="Times New Roman" w:cs="Times New Roman"/>
                <w:bCs/>
                <w:i/>
                <w:iCs/>
                <w:sz w:val="24"/>
                <w:szCs w:val="24"/>
              </w:rPr>
            </w:pPr>
            <w:r w:rsidRPr="00F2344B">
              <w:rPr>
                <w:rFonts w:ascii="Times New Roman" w:hAnsi="Times New Roman" w:cs="Times New Roman"/>
                <w:bCs/>
                <w:i/>
                <w:iCs/>
                <w:sz w:val="24"/>
                <w:szCs w:val="24"/>
              </w:rPr>
              <w:t>Hemichromis bimaculatus</w:t>
            </w:r>
          </w:p>
        </w:tc>
        <w:tc>
          <w:tcPr>
            <w:tcW w:w="102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2D66E39F" w14:textId="77777777" w:rsidR="00F55601" w:rsidRPr="00F2344B" w:rsidRDefault="00F55601" w:rsidP="00A52628">
            <w:pPr>
              <w:spacing w:line="360" w:lineRule="auto"/>
              <w:jc w:val="center"/>
              <w:rPr>
                <w:rFonts w:ascii="Times New Roman" w:hAnsi="Times New Roman" w:cs="Times New Roman"/>
                <w:color w:val="000000"/>
                <w:sz w:val="24"/>
                <w:szCs w:val="24"/>
              </w:rPr>
            </w:pPr>
            <w:r w:rsidRPr="00F2344B">
              <w:rPr>
                <w:rFonts w:ascii="Times New Roman" w:hAnsi="Times New Roman" w:cs="Times New Roman"/>
                <w:color w:val="000000"/>
                <w:sz w:val="24"/>
                <w:szCs w:val="24"/>
              </w:rPr>
              <w:t>99</w:t>
            </w:r>
          </w:p>
        </w:tc>
        <w:tc>
          <w:tcPr>
            <w:tcW w:w="1012"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F3710BE"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0,00053</w:t>
            </w:r>
          </w:p>
        </w:tc>
        <w:tc>
          <w:tcPr>
            <w:tcW w:w="110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E8A3BE3"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3,18</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tcPr>
          <w:p w14:paraId="78285EC2"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0,008</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3FC83CE0"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0,66</w:t>
            </w:r>
          </w:p>
        </w:tc>
        <w:tc>
          <w:tcPr>
            <w:tcW w:w="107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7FD435B6"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highlight w:val="yellow"/>
              </w:rPr>
              <w:t>22,50</w:t>
            </w:r>
          </w:p>
        </w:tc>
        <w:tc>
          <w:tcPr>
            <w:tcW w:w="90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0B1D8D3E"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A+</w:t>
            </w:r>
          </w:p>
        </w:tc>
      </w:tr>
    </w:tbl>
    <w:p w14:paraId="61288400" w14:textId="26A5E116" w:rsidR="00F55601" w:rsidRPr="009A4166" w:rsidRDefault="00F55601" w:rsidP="00685E37">
      <w:pPr>
        <w:spacing w:line="360" w:lineRule="auto"/>
        <w:jc w:val="both"/>
        <w:rPr>
          <w:rFonts w:ascii="Times New Roman" w:eastAsia="Calibri" w:hAnsi="Times New Roman" w:cs="Times New Roman"/>
          <w:color w:val="000000"/>
          <w:sz w:val="24"/>
          <w:szCs w:val="24"/>
        </w:rPr>
      </w:pPr>
      <w:r w:rsidRPr="00F2344B">
        <w:rPr>
          <w:rFonts w:ascii="Times New Roman" w:hAnsi="Times New Roman" w:cs="Times New Roman"/>
          <w:sz w:val="24"/>
          <w:szCs w:val="24"/>
        </w:rPr>
        <w:t>N =</w:t>
      </w:r>
      <w:r w:rsidR="00685E37" w:rsidRPr="00685E37">
        <w:t xml:space="preserve"> </w:t>
      </w:r>
      <w:r w:rsidR="00685E37" w:rsidRPr="00685E37">
        <w:rPr>
          <w:rFonts w:ascii="Times New Roman" w:hAnsi="Times New Roman" w:cs="Times New Roman"/>
          <w:sz w:val="24"/>
          <w:szCs w:val="24"/>
        </w:rPr>
        <w:t>number of individuals</w:t>
      </w:r>
      <w:r w:rsidRPr="00F2344B">
        <w:rPr>
          <w:rFonts w:ascii="Times New Roman" w:hAnsi="Times New Roman" w:cs="Times New Roman"/>
          <w:sz w:val="24"/>
          <w:szCs w:val="24"/>
        </w:rPr>
        <w:t xml:space="preserve">; </w:t>
      </w:r>
      <w:r w:rsidR="00685E37" w:rsidRPr="00685E37">
        <w:rPr>
          <w:rFonts w:ascii="Times New Roman" w:hAnsi="Times New Roman" w:cs="Times New Roman"/>
          <w:sz w:val="24"/>
          <w:szCs w:val="24"/>
        </w:rPr>
        <w:t>a = constant; b = allometric coefficient; R² = coefficient coefficient of determination; ts = Student's t-test; Sb = standard error of the slope b; A+ = positive allometry; A- = negative allometry</w:t>
      </w:r>
    </w:p>
    <w:p w14:paraId="6A5CDD46" w14:textId="77777777" w:rsidR="00F55601" w:rsidRDefault="00F55601" w:rsidP="00F55601"/>
    <w:p w14:paraId="6B4D0122" w14:textId="77777777" w:rsidR="003F0DA8" w:rsidRPr="00F55601" w:rsidRDefault="003F0DA8" w:rsidP="001F00A2">
      <w:pPr>
        <w:spacing w:line="360" w:lineRule="auto"/>
        <w:jc w:val="both"/>
        <w:rPr>
          <w:rFonts w:ascii="Times New Roman" w:hAnsi="Times New Roman" w:cs="Times New Roman"/>
          <w:sz w:val="24"/>
          <w:szCs w:val="24"/>
        </w:rPr>
      </w:pPr>
    </w:p>
    <w:p w14:paraId="6ACD4779" w14:textId="77777777" w:rsidR="00341957" w:rsidRPr="009A4166" w:rsidRDefault="00341957" w:rsidP="00854A12">
      <w:pPr>
        <w:jc w:val="both"/>
        <w:rPr>
          <w:rFonts w:ascii="Times New Roman" w:hAnsi="Times New Roman" w:cs="Times New Roman"/>
          <w:sz w:val="24"/>
          <w:szCs w:val="24"/>
        </w:rPr>
      </w:pPr>
    </w:p>
    <w:sectPr w:rsidR="00341957" w:rsidRPr="009A4166" w:rsidSect="003012A3">
      <w:headerReference w:type="even" r:id="rId66"/>
      <w:headerReference w:type="default" r:id="rId67"/>
      <w:footerReference w:type="even" r:id="rId68"/>
      <w:footerReference w:type="default" r:id="rId69"/>
      <w:headerReference w:type="first" r:id="rId70"/>
      <w:footerReference w:type="first" r:id="rId71"/>
      <w:pgSz w:w="11907" w:h="16840"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DBD1F" w14:textId="77777777" w:rsidR="00FE60EF" w:rsidRDefault="00FE60EF" w:rsidP="00675EFD">
      <w:pPr>
        <w:spacing w:after="0" w:line="240" w:lineRule="auto"/>
      </w:pPr>
      <w:r>
        <w:separator/>
      </w:r>
    </w:p>
  </w:endnote>
  <w:endnote w:type="continuationSeparator" w:id="0">
    <w:p w14:paraId="74C834B6" w14:textId="77777777" w:rsidR="00FE60EF" w:rsidRDefault="00FE60EF" w:rsidP="00675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alatino-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AE4BC" w14:textId="77777777" w:rsidR="005932A6" w:rsidRDefault="005932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rPr>
      <w:id w:val="78797114"/>
      <w:docPartObj>
        <w:docPartGallery w:val="Page Numbers (Bottom of Page)"/>
        <w:docPartUnique/>
      </w:docPartObj>
    </w:sdtPr>
    <w:sdtEndPr>
      <w:rPr>
        <w:rFonts w:ascii="Times New Roman" w:hAnsi="Times New Roman" w:cs="Times New Roman"/>
        <w:b w:val="0"/>
        <w:sz w:val="24"/>
      </w:rPr>
    </w:sdtEndPr>
    <w:sdtContent>
      <w:p w14:paraId="410030FA" w14:textId="471F40BC" w:rsidR="00A52628" w:rsidRPr="005E2FF0" w:rsidRDefault="00A52628">
        <w:pPr>
          <w:pStyle w:val="Footer"/>
          <w:jc w:val="center"/>
          <w:rPr>
            <w:rFonts w:ascii="Times New Roman" w:hAnsi="Times New Roman" w:cs="Times New Roman"/>
            <w:sz w:val="24"/>
          </w:rPr>
        </w:pPr>
        <w:r w:rsidRPr="005E2FF0">
          <w:rPr>
            <w:rFonts w:ascii="Times New Roman" w:hAnsi="Times New Roman" w:cs="Times New Roman"/>
            <w:sz w:val="24"/>
          </w:rPr>
          <w:fldChar w:fldCharType="begin"/>
        </w:r>
        <w:r w:rsidRPr="005E2FF0">
          <w:rPr>
            <w:rFonts w:ascii="Times New Roman" w:hAnsi="Times New Roman" w:cs="Times New Roman"/>
            <w:sz w:val="24"/>
          </w:rPr>
          <w:instrText>PAGE   \* MERGEFORMAT</w:instrText>
        </w:r>
        <w:r w:rsidRPr="005E2FF0">
          <w:rPr>
            <w:rFonts w:ascii="Times New Roman" w:hAnsi="Times New Roman" w:cs="Times New Roman"/>
            <w:sz w:val="24"/>
          </w:rPr>
          <w:fldChar w:fldCharType="separate"/>
        </w:r>
        <w:r w:rsidR="00F2344B">
          <w:rPr>
            <w:rFonts w:ascii="Times New Roman" w:hAnsi="Times New Roman" w:cs="Times New Roman"/>
            <w:noProof/>
            <w:sz w:val="24"/>
          </w:rPr>
          <w:t>1</w:t>
        </w:r>
        <w:r w:rsidRPr="005E2FF0">
          <w:rPr>
            <w:rFonts w:ascii="Times New Roman" w:hAnsi="Times New Roman" w:cs="Times New Roman"/>
            <w:sz w:val="24"/>
          </w:rPr>
          <w:fldChar w:fldCharType="end"/>
        </w:r>
      </w:p>
    </w:sdtContent>
  </w:sdt>
  <w:p w14:paraId="3F63BD4A" w14:textId="77777777" w:rsidR="00A52628" w:rsidRPr="005E2FF0" w:rsidRDefault="00A52628">
    <w:pPr>
      <w:pStyle w:val="Footer"/>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0918C" w14:textId="77777777" w:rsidR="005932A6" w:rsidRDefault="005932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B6C87" w14:textId="77777777" w:rsidR="00FE60EF" w:rsidRDefault="00FE60EF" w:rsidP="00675EFD">
      <w:pPr>
        <w:spacing w:after="0" w:line="240" w:lineRule="auto"/>
      </w:pPr>
      <w:r>
        <w:separator/>
      </w:r>
    </w:p>
  </w:footnote>
  <w:footnote w:type="continuationSeparator" w:id="0">
    <w:p w14:paraId="464D403C" w14:textId="77777777" w:rsidR="00FE60EF" w:rsidRDefault="00FE60EF" w:rsidP="00675E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030F2" w14:textId="2CA47B7D" w:rsidR="005932A6" w:rsidRDefault="00000000">
    <w:pPr>
      <w:pStyle w:val="Header"/>
    </w:pPr>
    <w:r>
      <w:rPr>
        <w:noProof/>
      </w:rPr>
      <w:pict w14:anchorId="692788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757438" o:spid="_x0000_s1026" type="#_x0000_t136" style="position:absolute;margin-left:0;margin-top:0;width:493.4pt;height:92.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4EE6" w14:textId="2AF55D73" w:rsidR="005932A6" w:rsidRDefault="00000000">
    <w:pPr>
      <w:pStyle w:val="Header"/>
    </w:pPr>
    <w:r>
      <w:rPr>
        <w:noProof/>
      </w:rPr>
      <w:pict w14:anchorId="170B63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757439" o:spid="_x0000_s1027" type="#_x0000_t136" style="position:absolute;margin-left:0;margin-top:0;width:493.4pt;height:92.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EDDF9" w14:textId="36522C57" w:rsidR="005932A6" w:rsidRDefault="00000000">
    <w:pPr>
      <w:pStyle w:val="Header"/>
    </w:pPr>
    <w:r>
      <w:rPr>
        <w:noProof/>
      </w:rPr>
      <w:pict w14:anchorId="3E8CB0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757437" o:spid="_x0000_s1025" type="#_x0000_t136" style="position:absolute;margin-left:0;margin-top:0;width:493.4pt;height:92.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624167"/>
    <w:multiLevelType w:val="hybridMultilevel"/>
    <w:tmpl w:val="F6D9AEC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8233EC8"/>
    <w:multiLevelType w:val="hybridMultilevel"/>
    <w:tmpl w:val="D73F584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6C43D5"/>
    <w:multiLevelType w:val="hybridMultilevel"/>
    <w:tmpl w:val="F800BB5C"/>
    <w:lvl w:ilvl="0" w:tplc="2422A410">
      <w:start w:val="1"/>
      <w:numFmt w:val="bullet"/>
      <w:lvlText w:val="-"/>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5908392"/>
    <w:multiLevelType w:val="hybridMultilevel"/>
    <w:tmpl w:val="17ADA59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649587A"/>
    <w:multiLevelType w:val="multilevel"/>
    <w:tmpl w:val="BF5482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DF2735"/>
    <w:multiLevelType w:val="hybridMultilevel"/>
    <w:tmpl w:val="CF4C2312"/>
    <w:lvl w:ilvl="0" w:tplc="040C0009">
      <w:start w:val="1"/>
      <w:numFmt w:val="bullet"/>
      <w:lvlText w:val=""/>
      <w:lvlJc w:val="left"/>
      <w:pPr>
        <w:ind w:left="705" w:hanging="360"/>
      </w:pPr>
      <w:rPr>
        <w:rFonts w:ascii="Wingdings" w:hAnsi="Wingdings" w:hint="default"/>
      </w:rPr>
    </w:lvl>
    <w:lvl w:ilvl="1" w:tplc="040C0003" w:tentative="1">
      <w:start w:val="1"/>
      <w:numFmt w:val="bullet"/>
      <w:lvlText w:val="o"/>
      <w:lvlJc w:val="left"/>
      <w:pPr>
        <w:ind w:left="1425" w:hanging="360"/>
      </w:pPr>
      <w:rPr>
        <w:rFonts w:ascii="Courier New" w:hAnsi="Courier New" w:cs="Courier New" w:hint="default"/>
      </w:rPr>
    </w:lvl>
    <w:lvl w:ilvl="2" w:tplc="040C0005" w:tentative="1">
      <w:start w:val="1"/>
      <w:numFmt w:val="bullet"/>
      <w:lvlText w:val=""/>
      <w:lvlJc w:val="left"/>
      <w:pPr>
        <w:ind w:left="2145" w:hanging="360"/>
      </w:pPr>
      <w:rPr>
        <w:rFonts w:ascii="Wingdings" w:hAnsi="Wingdings" w:hint="default"/>
      </w:rPr>
    </w:lvl>
    <w:lvl w:ilvl="3" w:tplc="040C0001" w:tentative="1">
      <w:start w:val="1"/>
      <w:numFmt w:val="bullet"/>
      <w:lvlText w:val=""/>
      <w:lvlJc w:val="left"/>
      <w:pPr>
        <w:ind w:left="2865" w:hanging="360"/>
      </w:pPr>
      <w:rPr>
        <w:rFonts w:ascii="Symbol" w:hAnsi="Symbol" w:hint="default"/>
      </w:rPr>
    </w:lvl>
    <w:lvl w:ilvl="4" w:tplc="040C0003" w:tentative="1">
      <w:start w:val="1"/>
      <w:numFmt w:val="bullet"/>
      <w:lvlText w:val="o"/>
      <w:lvlJc w:val="left"/>
      <w:pPr>
        <w:ind w:left="3585" w:hanging="360"/>
      </w:pPr>
      <w:rPr>
        <w:rFonts w:ascii="Courier New" w:hAnsi="Courier New" w:cs="Courier New" w:hint="default"/>
      </w:rPr>
    </w:lvl>
    <w:lvl w:ilvl="5" w:tplc="040C0005" w:tentative="1">
      <w:start w:val="1"/>
      <w:numFmt w:val="bullet"/>
      <w:lvlText w:val=""/>
      <w:lvlJc w:val="left"/>
      <w:pPr>
        <w:ind w:left="4305" w:hanging="360"/>
      </w:pPr>
      <w:rPr>
        <w:rFonts w:ascii="Wingdings" w:hAnsi="Wingdings" w:hint="default"/>
      </w:rPr>
    </w:lvl>
    <w:lvl w:ilvl="6" w:tplc="040C0001" w:tentative="1">
      <w:start w:val="1"/>
      <w:numFmt w:val="bullet"/>
      <w:lvlText w:val=""/>
      <w:lvlJc w:val="left"/>
      <w:pPr>
        <w:ind w:left="5025" w:hanging="360"/>
      </w:pPr>
      <w:rPr>
        <w:rFonts w:ascii="Symbol" w:hAnsi="Symbol" w:hint="default"/>
      </w:rPr>
    </w:lvl>
    <w:lvl w:ilvl="7" w:tplc="040C0003" w:tentative="1">
      <w:start w:val="1"/>
      <w:numFmt w:val="bullet"/>
      <w:lvlText w:val="o"/>
      <w:lvlJc w:val="left"/>
      <w:pPr>
        <w:ind w:left="5745" w:hanging="360"/>
      </w:pPr>
      <w:rPr>
        <w:rFonts w:ascii="Courier New" w:hAnsi="Courier New" w:cs="Courier New" w:hint="default"/>
      </w:rPr>
    </w:lvl>
    <w:lvl w:ilvl="8" w:tplc="040C0005" w:tentative="1">
      <w:start w:val="1"/>
      <w:numFmt w:val="bullet"/>
      <w:lvlText w:val=""/>
      <w:lvlJc w:val="left"/>
      <w:pPr>
        <w:ind w:left="6465" w:hanging="360"/>
      </w:pPr>
      <w:rPr>
        <w:rFonts w:ascii="Wingdings" w:hAnsi="Wingdings" w:hint="default"/>
      </w:rPr>
    </w:lvl>
  </w:abstractNum>
  <w:abstractNum w:abstractNumId="6" w15:restartNumberingAfterBreak="0">
    <w:nsid w:val="07E91FFF"/>
    <w:multiLevelType w:val="hybridMultilevel"/>
    <w:tmpl w:val="6B82C24E"/>
    <w:lvl w:ilvl="0" w:tplc="17CC72C0">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D291A75"/>
    <w:multiLevelType w:val="multilevel"/>
    <w:tmpl w:val="6060CD6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1272D4C"/>
    <w:multiLevelType w:val="hybridMultilevel"/>
    <w:tmpl w:val="D5CC7526"/>
    <w:lvl w:ilvl="0" w:tplc="D29655A0">
      <w:start w:val="1"/>
      <w:numFmt w:val="upperLetter"/>
      <w:lvlText w:val="%1"/>
      <w:lvlJc w:val="left"/>
      <w:pPr>
        <w:ind w:left="131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399C7494">
      <w:start w:val="1"/>
      <w:numFmt w:val="lowerLetter"/>
      <w:lvlText w:val="%2"/>
      <w:lvlJc w:val="left"/>
      <w:pPr>
        <w:ind w:left="25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E9AE5AC8">
      <w:start w:val="1"/>
      <w:numFmt w:val="lowerRoman"/>
      <w:lvlText w:val="%3"/>
      <w:lvlJc w:val="left"/>
      <w:pPr>
        <w:ind w:left="32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17568AB8">
      <w:start w:val="1"/>
      <w:numFmt w:val="decimal"/>
      <w:lvlText w:val="%4"/>
      <w:lvlJc w:val="left"/>
      <w:pPr>
        <w:ind w:left="39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28CA5790">
      <w:start w:val="1"/>
      <w:numFmt w:val="lowerLetter"/>
      <w:lvlText w:val="%5"/>
      <w:lvlJc w:val="left"/>
      <w:pPr>
        <w:ind w:left="468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B18CF9BE">
      <w:start w:val="1"/>
      <w:numFmt w:val="lowerRoman"/>
      <w:lvlText w:val="%6"/>
      <w:lvlJc w:val="left"/>
      <w:pPr>
        <w:ind w:left="54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7124E846">
      <w:start w:val="1"/>
      <w:numFmt w:val="decimal"/>
      <w:lvlText w:val="%7"/>
      <w:lvlJc w:val="left"/>
      <w:pPr>
        <w:ind w:left="61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4CCEFB44">
      <w:start w:val="1"/>
      <w:numFmt w:val="lowerLetter"/>
      <w:lvlText w:val="%8"/>
      <w:lvlJc w:val="left"/>
      <w:pPr>
        <w:ind w:left="68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F87E918E">
      <w:start w:val="1"/>
      <w:numFmt w:val="lowerRoman"/>
      <w:lvlText w:val="%9"/>
      <w:lvlJc w:val="left"/>
      <w:pPr>
        <w:ind w:left="75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94932BB"/>
    <w:multiLevelType w:val="hybridMultilevel"/>
    <w:tmpl w:val="EFC26D56"/>
    <w:lvl w:ilvl="0" w:tplc="040C0009">
      <w:start w:val="1"/>
      <w:numFmt w:val="bullet"/>
      <w:lvlText w:val=""/>
      <w:lvlJc w:val="left"/>
      <w:pPr>
        <w:ind w:left="705" w:hanging="360"/>
      </w:pPr>
      <w:rPr>
        <w:rFonts w:ascii="Wingdings" w:hAnsi="Wingdings" w:hint="default"/>
      </w:rPr>
    </w:lvl>
    <w:lvl w:ilvl="1" w:tplc="040C0003" w:tentative="1">
      <w:start w:val="1"/>
      <w:numFmt w:val="bullet"/>
      <w:lvlText w:val="o"/>
      <w:lvlJc w:val="left"/>
      <w:pPr>
        <w:ind w:left="1425" w:hanging="360"/>
      </w:pPr>
      <w:rPr>
        <w:rFonts w:ascii="Courier New" w:hAnsi="Courier New" w:cs="Courier New" w:hint="default"/>
      </w:rPr>
    </w:lvl>
    <w:lvl w:ilvl="2" w:tplc="040C0005" w:tentative="1">
      <w:start w:val="1"/>
      <w:numFmt w:val="bullet"/>
      <w:lvlText w:val=""/>
      <w:lvlJc w:val="left"/>
      <w:pPr>
        <w:ind w:left="2145" w:hanging="360"/>
      </w:pPr>
      <w:rPr>
        <w:rFonts w:ascii="Wingdings" w:hAnsi="Wingdings" w:hint="default"/>
      </w:rPr>
    </w:lvl>
    <w:lvl w:ilvl="3" w:tplc="040C0001" w:tentative="1">
      <w:start w:val="1"/>
      <w:numFmt w:val="bullet"/>
      <w:lvlText w:val=""/>
      <w:lvlJc w:val="left"/>
      <w:pPr>
        <w:ind w:left="2865" w:hanging="360"/>
      </w:pPr>
      <w:rPr>
        <w:rFonts w:ascii="Symbol" w:hAnsi="Symbol" w:hint="default"/>
      </w:rPr>
    </w:lvl>
    <w:lvl w:ilvl="4" w:tplc="040C0003" w:tentative="1">
      <w:start w:val="1"/>
      <w:numFmt w:val="bullet"/>
      <w:lvlText w:val="o"/>
      <w:lvlJc w:val="left"/>
      <w:pPr>
        <w:ind w:left="3585" w:hanging="360"/>
      </w:pPr>
      <w:rPr>
        <w:rFonts w:ascii="Courier New" w:hAnsi="Courier New" w:cs="Courier New" w:hint="default"/>
      </w:rPr>
    </w:lvl>
    <w:lvl w:ilvl="5" w:tplc="040C0005" w:tentative="1">
      <w:start w:val="1"/>
      <w:numFmt w:val="bullet"/>
      <w:lvlText w:val=""/>
      <w:lvlJc w:val="left"/>
      <w:pPr>
        <w:ind w:left="4305" w:hanging="360"/>
      </w:pPr>
      <w:rPr>
        <w:rFonts w:ascii="Wingdings" w:hAnsi="Wingdings" w:hint="default"/>
      </w:rPr>
    </w:lvl>
    <w:lvl w:ilvl="6" w:tplc="040C0001" w:tentative="1">
      <w:start w:val="1"/>
      <w:numFmt w:val="bullet"/>
      <w:lvlText w:val=""/>
      <w:lvlJc w:val="left"/>
      <w:pPr>
        <w:ind w:left="5025" w:hanging="360"/>
      </w:pPr>
      <w:rPr>
        <w:rFonts w:ascii="Symbol" w:hAnsi="Symbol" w:hint="default"/>
      </w:rPr>
    </w:lvl>
    <w:lvl w:ilvl="7" w:tplc="040C0003" w:tentative="1">
      <w:start w:val="1"/>
      <w:numFmt w:val="bullet"/>
      <w:lvlText w:val="o"/>
      <w:lvlJc w:val="left"/>
      <w:pPr>
        <w:ind w:left="5745" w:hanging="360"/>
      </w:pPr>
      <w:rPr>
        <w:rFonts w:ascii="Courier New" w:hAnsi="Courier New" w:cs="Courier New" w:hint="default"/>
      </w:rPr>
    </w:lvl>
    <w:lvl w:ilvl="8" w:tplc="040C0005" w:tentative="1">
      <w:start w:val="1"/>
      <w:numFmt w:val="bullet"/>
      <w:lvlText w:val=""/>
      <w:lvlJc w:val="left"/>
      <w:pPr>
        <w:ind w:left="6465" w:hanging="360"/>
      </w:pPr>
      <w:rPr>
        <w:rFonts w:ascii="Wingdings" w:hAnsi="Wingdings" w:hint="default"/>
      </w:rPr>
    </w:lvl>
  </w:abstractNum>
  <w:abstractNum w:abstractNumId="10" w15:restartNumberingAfterBreak="0">
    <w:nsid w:val="19922A1E"/>
    <w:multiLevelType w:val="hybridMultilevel"/>
    <w:tmpl w:val="1A94E484"/>
    <w:lvl w:ilvl="0" w:tplc="3D345E2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9AA3599"/>
    <w:multiLevelType w:val="multilevel"/>
    <w:tmpl w:val="ED022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92253A"/>
    <w:multiLevelType w:val="multilevel"/>
    <w:tmpl w:val="BF082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EE4091"/>
    <w:multiLevelType w:val="hybridMultilevel"/>
    <w:tmpl w:val="8C807D1C"/>
    <w:lvl w:ilvl="0" w:tplc="2422A410">
      <w:start w:val="1"/>
      <w:numFmt w:val="bullet"/>
      <w:lvlText w:val="-"/>
      <w:lvlJc w:val="left"/>
      <w:pPr>
        <w:ind w:left="1546"/>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03C63AA">
      <w:start w:val="1"/>
      <w:numFmt w:val="bullet"/>
      <w:lvlText w:val="o"/>
      <w:lvlJc w:val="left"/>
      <w:pPr>
        <w:ind w:left="22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8360E14">
      <w:start w:val="1"/>
      <w:numFmt w:val="bullet"/>
      <w:lvlText w:val="▪"/>
      <w:lvlJc w:val="left"/>
      <w:pPr>
        <w:ind w:left="29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7D21D80">
      <w:start w:val="1"/>
      <w:numFmt w:val="bullet"/>
      <w:lvlText w:val="•"/>
      <w:lvlJc w:val="left"/>
      <w:pPr>
        <w:ind w:left="3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3A064E">
      <w:start w:val="1"/>
      <w:numFmt w:val="bullet"/>
      <w:lvlText w:val="o"/>
      <w:lvlJc w:val="left"/>
      <w:pPr>
        <w:ind w:left="4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78FEF2">
      <w:start w:val="1"/>
      <w:numFmt w:val="bullet"/>
      <w:lvlText w:val="▪"/>
      <w:lvlJc w:val="left"/>
      <w:pPr>
        <w:ind w:left="50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9C628FA">
      <w:start w:val="1"/>
      <w:numFmt w:val="bullet"/>
      <w:lvlText w:val="•"/>
      <w:lvlJc w:val="left"/>
      <w:pPr>
        <w:ind w:left="5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2461DC">
      <w:start w:val="1"/>
      <w:numFmt w:val="bullet"/>
      <w:lvlText w:val="o"/>
      <w:lvlJc w:val="left"/>
      <w:pPr>
        <w:ind w:left="6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FA8A198">
      <w:start w:val="1"/>
      <w:numFmt w:val="bullet"/>
      <w:lvlText w:val="▪"/>
      <w:lvlJc w:val="left"/>
      <w:pPr>
        <w:ind w:left="72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064E963"/>
    <w:multiLevelType w:val="hybridMultilevel"/>
    <w:tmpl w:val="718CA2B8"/>
    <w:lvl w:ilvl="0" w:tplc="2422A410">
      <w:start w:val="1"/>
      <w:numFmt w:val="bullet"/>
      <w:lvlText w:val="-"/>
      <w:lvlJc w:val="left"/>
      <w:rPr>
        <w:rFonts w:ascii="Times New Roman" w:eastAsia="Calibri" w:hAnsi="Times New Roma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21819BD"/>
    <w:multiLevelType w:val="hybridMultilevel"/>
    <w:tmpl w:val="CAA0E3C2"/>
    <w:lvl w:ilvl="0" w:tplc="A19A2D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50E5383"/>
    <w:multiLevelType w:val="hybridMultilevel"/>
    <w:tmpl w:val="CDE098CC"/>
    <w:lvl w:ilvl="0" w:tplc="2422A410">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6D5681D"/>
    <w:multiLevelType w:val="multilevel"/>
    <w:tmpl w:val="B658EF90"/>
    <w:lvl w:ilvl="0">
      <w:start w:val="1"/>
      <w:numFmt w:val="decimal"/>
      <w:lvlText w:val="%1"/>
      <w:lvlJc w:val="left"/>
      <w:pPr>
        <w:ind w:left="375" w:hanging="375"/>
      </w:pPr>
      <w:rPr>
        <w:rFonts w:hint="default"/>
      </w:rPr>
    </w:lvl>
    <w:lvl w:ilvl="1">
      <w:start w:val="1"/>
      <w:numFmt w:val="decimal"/>
      <w:lvlText w:val="%1.%2"/>
      <w:lvlJc w:val="left"/>
      <w:pPr>
        <w:ind w:left="450" w:hanging="375"/>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1890" w:hanging="144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abstractNum w:abstractNumId="18" w15:restartNumberingAfterBreak="0">
    <w:nsid w:val="2844DE6F"/>
    <w:multiLevelType w:val="hybridMultilevel"/>
    <w:tmpl w:val="AF09667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D53178E"/>
    <w:multiLevelType w:val="hybridMultilevel"/>
    <w:tmpl w:val="B798DDB0"/>
    <w:lvl w:ilvl="0" w:tplc="55C4BB8E">
      <w:start w:val="1"/>
      <w:numFmt w:val="bullet"/>
      <w:lvlText w:val="•"/>
      <w:lvlJc w:val="left"/>
      <w:pPr>
        <w:ind w:left="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284142">
      <w:start w:val="1"/>
      <w:numFmt w:val="bullet"/>
      <w:lvlText w:val="o"/>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6A776C">
      <w:start w:val="1"/>
      <w:numFmt w:val="bullet"/>
      <w:lvlText w:val="▪"/>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087CE4">
      <w:start w:val="1"/>
      <w:numFmt w:val="bullet"/>
      <w:lvlText w:val="•"/>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4209CE">
      <w:start w:val="1"/>
      <w:numFmt w:val="bullet"/>
      <w:lvlText w:val="o"/>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36FED2">
      <w:start w:val="1"/>
      <w:numFmt w:val="bullet"/>
      <w:lvlText w:val="▪"/>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46E91C">
      <w:start w:val="1"/>
      <w:numFmt w:val="bullet"/>
      <w:lvlText w:val="•"/>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EE423E">
      <w:start w:val="1"/>
      <w:numFmt w:val="bullet"/>
      <w:lvlText w:val="o"/>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DAD376">
      <w:start w:val="1"/>
      <w:numFmt w:val="bullet"/>
      <w:lvlText w:val="▪"/>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FA92ACE"/>
    <w:multiLevelType w:val="hybridMultilevel"/>
    <w:tmpl w:val="8C701A2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C850C1E"/>
    <w:multiLevelType w:val="hybridMultilevel"/>
    <w:tmpl w:val="F62212A8"/>
    <w:lvl w:ilvl="0" w:tplc="3D345E2A">
      <w:start w:val="1"/>
      <w:numFmt w:val="bullet"/>
      <w:lvlText w:val="-"/>
      <w:lvlJc w:val="left"/>
      <w:pPr>
        <w:ind w:left="73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54" w:hanging="360"/>
      </w:pPr>
      <w:rPr>
        <w:rFonts w:ascii="Courier New" w:hAnsi="Courier New" w:cs="Courier New" w:hint="default"/>
      </w:rPr>
    </w:lvl>
    <w:lvl w:ilvl="2" w:tplc="040C0005" w:tentative="1">
      <w:start w:val="1"/>
      <w:numFmt w:val="bullet"/>
      <w:lvlText w:val=""/>
      <w:lvlJc w:val="left"/>
      <w:pPr>
        <w:ind w:left="2174" w:hanging="360"/>
      </w:pPr>
      <w:rPr>
        <w:rFonts w:ascii="Wingdings" w:hAnsi="Wingdings" w:hint="default"/>
      </w:rPr>
    </w:lvl>
    <w:lvl w:ilvl="3" w:tplc="040C0001" w:tentative="1">
      <w:start w:val="1"/>
      <w:numFmt w:val="bullet"/>
      <w:lvlText w:val=""/>
      <w:lvlJc w:val="left"/>
      <w:pPr>
        <w:ind w:left="2894" w:hanging="360"/>
      </w:pPr>
      <w:rPr>
        <w:rFonts w:ascii="Symbol" w:hAnsi="Symbol" w:hint="default"/>
      </w:rPr>
    </w:lvl>
    <w:lvl w:ilvl="4" w:tplc="040C0003" w:tentative="1">
      <w:start w:val="1"/>
      <w:numFmt w:val="bullet"/>
      <w:lvlText w:val="o"/>
      <w:lvlJc w:val="left"/>
      <w:pPr>
        <w:ind w:left="3614" w:hanging="360"/>
      </w:pPr>
      <w:rPr>
        <w:rFonts w:ascii="Courier New" w:hAnsi="Courier New" w:cs="Courier New" w:hint="default"/>
      </w:rPr>
    </w:lvl>
    <w:lvl w:ilvl="5" w:tplc="040C0005" w:tentative="1">
      <w:start w:val="1"/>
      <w:numFmt w:val="bullet"/>
      <w:lvlText w:val=""/>
      <w:lvlJc w:val="left"/>
      <w:pPr>
        <w:ind w:left="4334" w:hanging="360"/>
      </w:pPr>
      <w:rPr>
        <w:rFonts w:ascii="Wingdings" w:hAnsi="Wingdings" w:hint="default"/>
      </w:rPr>
    </w:lvl>
    <w:lvl w:ilvl="6" w:tplc="040C0001" w:tentative="1">
      <w:start w:val="1"/>
      <w:numFmt w:val="bullet"/>
      <w:lvlText w:val=""/>
      <w:lvlJc w:val="left"/>
      <w:pPr>
        <w:ind w:left="5054" w:hanging="360"/>
      </w:pPr>
      <w:rPr>
        <w:rFonts w:ascii="Symbol" w:hAnsi="Symbol" w:hint="default"/>
      </w:rPr>
    </w:lvl>
    <w:lvl w:ilvl="7" w:tplc="040C0003" w:tentative="1">
      <w:start w:val="1"/>
      <w:numFmt w:val="bullet"/>
      <w:lvlText w:val="o"/>
      <w:lvlJc w:val="left"/>
      <w:pPr>
        <w:ind w:left="5774" w:hanging="360"/>
      </w:pPr>
      <w:rPr>
        <w:rFonts w:ascii="Courier New" w:hAnsi="Courier New" w:cs="Courier New" w:hint="default"/>
      </w:rPr>
    </w:lvl>
    <w:lvl w:ilvl="8" w:tplc="040C0005" w:tentative="1">
      <w:start w:val="1"/>
      <w:numFmt w:val="bullet"/>
      <w:lvlText w:val=""/>
      <w:lvlJc w:val="left"/>
      <w:pPr>
        <w:ind w:left="6494" w:hanging="360"/>
      </w:pPr>
      <w:rPr>
        <w:rFonts w:ascii="Wingdings" w:hAnsi="Wingdings" w:hint="default"/>
      </w:rPr>
    </w:lvl>
  </w:abstractNum>
  <w:abstractNum w:abstractNumId="22" w15:restartNumberingAfterBreak="0">
    <w:nsid w:val="45FD34D7"/>
    <w:multiLevelType w:val="hybridMultilevel"/>
    <w:tmpl w:val="DA00F3E6"/>
    <w:lvl w:ilvl="0" w:tplc="48EE5F64">
      <w:start w:val="1"/>
      <w:numFmt w:val="upperLetter"/>
      <w:lvlText w:val="%1"/>
      <w:lvlJc w:val="left"/>
      <w:pPr>
        <w:ind w:left="59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F6827D8E">
      <w:start w:val="1"/>
      <w:numFmt w:val="lowerLetter"/>
      <w:lvlText w:val="%2"/>
      <w:lvlJc w:val="left"/>
      <w:pPr>
        <w:ind w:left="412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4410AB90">
      <w:start w:val="1"/>
      <w:numFmt w:val="lowerRoman"/>
      <w:lvlText w:val="%3"/>
      <w:lvlJc w:val="left"/>
      <w:pPr>
        <w:ind w:left="484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1F8223E2">
      <w:start w:val="1"/>
      <w:numFmt w:val="decimal"/>
      <w:lvlText w:val="%4"/>
      <w:lvlJc w:val="left"/>
      <w:pPr>
        <w:ind w:left="556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04DA933E">
      <w:start w:val="1"/>
      <w:numFmt w:val="lowerLetter"/>
      <w:lvlText w:val="%5"/>
      <w:lvlJc w:val="left"/>
      <w:pPr>
        <w:ind w:left="628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28D28B1C">
      <w:start w:val="1"/>
      <w:numFmt w:val="lowerRoman"/>
      <w:lvlText w:val="%6"/>
      <w:lvlJc w:val="left"/>
      <w:pPr>
        <w:ind w:left="700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29B66EA6">
      <w:start w:val="1"/>
      <w:numFmt w:val="decimal"/>
      <w:lvlText w:val="%7"/>
      <w:lvlJc w:val="left"/>
      <w:pPr>
        <w:ind w:left="772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4B6E2776">
      <w:start w:val="1"/>
      <w:numFmt w:val="lowerLetter"/>
      <w:lvlText w:val="%8"/>
      <w:lvlJc w:val="left"/>
      <w:pPr>
        <w:ind w:left="844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55C4D162">
      <w:start w:val="1"/>
      <w:numFmt w:val="lowerRoman"/>
      <w:lvlText w:val="%9"/>
      <w:lvlJc w:val="left"/>
      <w:pPr>
        <w:ind w:left="916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7EC7149"/>
    <w:multiLevelType w:val="hybridMultilevel"/>
    <w:tmpl w:val="ACBC1342"/>
    <w:lvl w:ilvl="0" w:tplc="2422A410">
      <w:start w:val="1"/>
      <w:numFmt w:val="bullet"/>
      <w:lvlText w:val="-"/>
      <w:lvlJc w:val="left"/>
      <w:pPr>
        <w:ind w:left="908" w:hanging="360"/>
      </w:pPr>
      <w:rPr>
        <w:rFonts w:ascii="Times New Roman" w:eastAsia="Calibri" w:hAnsi="Times New Roman" w:cs="Times New Roman" w:hint="default"/>
      </w:rPr>
    </w:lvl>
    <w:lvl w:ilvl="1" w:tplc="040C0003" w:tentative="1">
      <w:start w:val="1"/>
      <w:numFmt w:val="bullet"/>
      <w:lvlText w:val="o"/>
      <w:lvlJc w:val="left"/>
      <w:pPr>
        <w:ind w:left="1628" w:hanging="360"/>
      </w:pPr>
      <w:rPr>
        <w:rFonts w:ascii="Courier New" w:hAnsi="Courier New" w:cs="Courier New" w:hint="default"/>
      </w:rPr>
    </w:lvl>
    <w:lvl w:ilvl="2" w:tplc="040C0005" w:tentative="1">
      <w:start w:val="1"/>
      <w:numFmt w:val="bullet"/>
      <w:lvlText w:val=""/>
      <w:lvlJc w:val="left"/>
      <w:pPr>
        <w:ind w:left="2348" w:hanging="360"/>
      </w:pPr>
      <w:rPr>
        <w:rFonts w:ascii="Wingdings" w:hAnsi="Wingdings" w:hint="default"/>
      </w:rPr>
    </w:lvl>
    <w:lvl w:ilvl="3" w:tplc="040C0001" w:tentative="1">
      <w:start w:val="1"/>
      <w:numFmt w:val="bullet"/>
      <w:lvlText w:val=""/>
      <w:lvlJc w:val="left"/>
      <w:pPr>
        <w:ind w:left="3068" w:hanging="360"/>
      </w:pPr>
      <w:rPr>
        <w:rFonts w:ascii="Symbol" w:hAnsi="Symbol" w:hint="default"/>
      </w:rPr>
    </w:lvl>
    <w:lvl w:ilvl="4" w:tplc="040C0003" w:tentative="1">
      <w:start w:val="1"/>
      <w:numFmt w:val="bullet"/>
      <w:lvlText w:val="o"/>
      <w:lvlJc w:val="left"/>
      <w:pPr>
        <w:ind w:left="3788" w:hanging="360"/>
      </w:pPr>
      <w:rPr>
        <w:rFonts w:ascii="Courier New" w:hAnsi="Courier New" w:cs="Courier New" w:hint="default"/>
      </w:rPr>
    </w:lvl>
    <w:lvl w:ilvl="5" w:tplc="040C0005" w:tentative="1">
      <w:start w:val="1"/>
      <w:numFmt w:val="bullet"/>
      <w:lvlText w:val=""/>
      <w:lvlJc w:val="left"/>
      <w:pPr>
        <w:ind w:left="4508" w:hanging="360"/>
      </w:pPr>
      <w:rPr>
        <w:rFonts w:ascii="Wingdings" w:hAnsi="Wingdings" w:hint="default"/>
      </w:rPr>
    </w:lvl>
    <w:lvl w:ilvl="6" w:tplc="040C0001" w:tentative="1">
      <w:start w:val="1"/>
      <w:numFmt w:val="bullet"/>
      <w:lvlText w:val=""/>
      <w:lvlJc w:val="left"/>
      <w:pPr>
        <w:ind w:left="5228" w:hanging="360"/>
      </w:pPr>
      <w:rPr>
        <w:rFonts w:ascii="Symbol" w:hAnsi="Symbol" w:hint="default"/>
      </w:rPr>
    </w:lvl>
    <w:lvl w:ilvl="7" w:tplc="040C0003" w:tentative="1">
      <w:start w:val="1"/>
      <w:numFmt w:val="bullet"/>
      <w:lvlText w:val="o"/>
      <w:lvlJc w:val="left"/>
      <w:pPr>
        <w:ind w:left="5948" w:hanging="360"/>
      </w:pPr>
      <w:rPr>
        <w:rFonts w:ascii="Courier New" w:hAnsi="Courier New" w:cs="Courier New" w:hint="default"/>
      </w:rPr>
    </w:lvl>
    <w:lvl w:ilvl="8" w:tplc="040C0005" w:tentative="1">
      <w:start w:val="1"/>
      <w:numFmt w:val="bullet"/>
      <w:lvlText w:val=""/>
      <w:lvlJc w:val="left"/>
      <w:pPr>
        <w:ind w:left="6668" w:hanging="360"/>
      </w:pPr>
      <w:rPr>
        <w:rFonts w:ascii="Wingdings" w:hAnsi="Wingdings" w:hint="default"/>
      </w:rPr>
    </w:lvl>
  </w:abstractNum>
  <w:abstractNum w:abstractNumId="24" w15:restartNumberingAfterBreak="0">
    <w:nsid w:val="489074C3"/>
    <w:multiLevelType w:val="hybridMultilevel"/>
    <w:tmpl w:val="2A3CB89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B3E3BC4"/>
    <w:multiLevelType w:val="hybridMultilevel"/>
    <w:tmpl w:val="3F2289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D38124E"/>
    <w:multiLevelType w:val="hybridMultilevel"/>
    <w:tmpl w:val="D6FC1F92"/>
    <w:lvl w:ilvl="0" w:tplc="096A890A">
      <w:start w:val="1"/>
      <w:numFmt w:val="decimal"/>
      <w:lvlText w:val="%1."/>
      <w:lvlJc w:val="left"/>
      <w:pPr>
        <w:ind w:left="435" w:hanging="360"/>
      </w:pPr>
      <w:rPr>
        <w:rFonts w:hint="default"/>
      </w:rPr>
    </w:lvl>
    <w:lvl w:ilvl="1" w:tplc="040C0019" w:tentative="1">
      <w:start w:val="1"/>
      <w:numFmt w:val="lowerLetter"/>
      <w:lvlText w:val="%2."/>
      <w:lvlJc w:val="left"/>
      <w:pPr>
        <w:ind w:left="1155" w:hanging="360"/>
      </w:pPr>
    </w:lvl>
    <w:lvl w:ilvl="2" w:tplc="040C001B" w:tentative="1">
      <w:start w:val="1"/>
      <w:numFmt w:val="lowerRoman"/>
      <w:lvlText w:val="%3."/>
      <w:lvlJc w:val="right"/>
      <w:pPr>
        <w:ind w:left="1875" w:hanging="180"/>
      </w:pPr>
    </w:lvl>
    <w:lvl w:ilvl="3" w:tplc="040C000F" w:tentative="1">
      <w:start w:val="1"/>
      <w:numFmt w:val="decimal"/>
      <w:lvlText w:val="%4."/>
      <w:lvlJc w:val="left"/>
      <w:pPr>
        <w:ind w:left="2595" w:hanging="360"/>
      </w:pPr>
    </w:lvl>
    <w:lvl w:ilvl="4" w:tplc="040C0019" w:tentative="1">
      <w:start w:val="1"/>
      <w:numFmt w:val="lowerLetter"/>
      <w:lvlText w:val="%5."/>
      <w:lvlJc w:val="left"/>
      <w:pPr>
        <w:ind w:left="3315" w:hanging="360"/>
      </w:pPr>
    </w:lvl>
    <w:lvl w:ilvl="5" w:tplc="040C001B" w:tentative="1">
      <w:start w:val="1"/>
      <w:numFmt w:val="lowerRoman"/>
      <w:lvlText w:val="%6."/>
      <w:lvlJc w:val="right"/>
      <w:pPr>
        <w:ind w:left="4035" w:hanging="180"/>
      </w:pPr>
    </w:lvl>
    <w:lvl w:ilvl="6" w:tplc="040C000F" w:tentative="1">
      <w:start w:val="1"/>
      <w:numFmt w:val="decimal"/>
      <w:lvlText w:val="%7."/>
      <w:lvlJc w:val="left"/>
      <w:pPr>
        <w:ind w:left="4755" w:hanging="360"/>
      </w:pPr>
    </w:lvl>
    <w:lvl w:ilvl="7" w:tplc="040C0019" w:tentative="1">
      <w:start w:val="1"/>
      <w:numFmt w:val="lowerLetter"/>
      <w:lvlText w:val="%8."/>
      <w:lvlJc w:val="left"/>
      <w:pPr>
        <w:ind w:left="5475" w:hanging="360"/>
      </w:pPr>
    </w:lvl>
    <w:lvl w:ilvl="8" w:tplc="040C001B" w:tentative="1">
      <w:start w:val="1"/>
      <w:numFmt w:val="lowerRoman"/>
      <w:lvlText w:val="%9."/>
      <w:lvlJc w:val="right"/>
      <w:pPr>
        <w:ind w:left="6195" w:hanging="180"/>
      </w:pPr>
    </w:lvl>
  </w:abstractNum>
  <w:abstractNum w:abstractNumId="27" w15:restartNumberingAfterBreak="0">
    <w:nsid w:val="55D2178E"/>
    <w:multiLevelType w:val="hybridMultilevel"/>
    <w:tmpl w:val="C7CC8C8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774360D"/>
    <w:multiLevelType w:val="hybridMultilevel"/>
    <w:tmpl w:val="BFC0C922"/>
    <w:lvl w:ilvl="0" w:tplc="A88EF3AC">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8307453"/>
    <w:multiLevelType w:val="hybridMultilevel"/>
    <w:tmpl w:val="C37AAC86"/>
    <w:lvl w:ilvl="0" w:tplc="9F92317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88C36B0"/>
    <w:multiLevelType w:val="hybridMultilevel"/>
    <w:tmpl w:val="3F980EB0"/>
    <w:lvl w:ilvl="0" w:tplc="1CA696A8">
      <w:numFmt w:val="bullet"/>
      <w:lvlText w:val="-"/>
      <w:lvlJc w:val="left"/>
      <w:pPr>
        <w:ind w:left="420" w:hanging="360"/>
      </w:pPr>
      <w:rPr>
        <w:rFonts w:ascii="Times New Roman" w:eastAsiaTheme="minorHAnsi" w:hAnsi="Times New Roman" w:cs="Times New Roman"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31" w15:restartNumberingAfterBreak="0">
    <w:nsid w:val="5BB741D4"/>
    <w:multiLevelType w:val="hybridMultilevel"/>
    <w:tmpl w:val="8D34818E"/>
    <w:lvl w:ilvl="0" w:tplc="2422A410">
      <w:start w:val="1"/>
      <w:numFmt w:val="bullet"/>
      <w:lvlText w:val="-"/>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BDE0F2F"/>
    <w:multiLevelType w:val="hybridMultilevel"/>
    <w:tmpl w:val="7730FD70"/>
    <w:lvl w:ilvl="0" w:tplc="2422A410">
      <w:start w:val="1"/>
      <w:numFmt w:val="bullet"/>
      <w:lvlText w:val="-"/>
      <w:lvlJc w:val="left"/>
      <w:pPr>
        <w:ind w:left="908" w:hanging="360"/>
      </w:pPr>
      <w:rPr>
        <w:rFonts w:ascii="Times New Roman" w:eastAsia="Calibri" w:hAnsi="Times New Roman" w:cs="Times New Roman" w:hint="default"/>
      </w:rPr>
    </w:lvl>
    <w:lvl w:ilvl="1" w:tplc="040C0003" w:tentative="1">
      <w:start w:val="1"/>
      <w:numFmt w:val="bullet"/>
      <w:lvlText w:val="o"/>
      <w:lvlJc w:val="left"/>
      <w:pPr>
        <w:ind w:left="1628" w:hanging="360"/>
      </w:pPr>
      <w:rPr>
        <w:rFonts w:ascii="Courier New" w:hAnsi="Courier New" w:cs="Courier New" w:hint="default"/>
      </w:rPr>
    </w:lvl>
    <w:lvl w:ilvl="2" w:tplc="040C0005" w:tentative="1">
      <w:start w:val="1"/>
      <w:numFmt w:val="bullet"/>
      <w:lvlText w:val=""/>
      <w:lvlJc w:val="left"/>
      <w:pPr>
        <w:ind w:left="2348" w:hanging="360"/>
      </w:pPr>
      <w:rPr>
        <w:rFonts w:ascii="Wingdings" w:hAnsi="Wingdings" w:hint="default"/>
      </w:rPr>
    </w:lvl>
    <w:lvl w:ilvl="3" w:tplc="040C0001" w:tentative="1">
      <w:start w:val="1"/>
      <w:numFmt w:val="bullet"/>
      <w:lvlText w:val=""/>
      <w:lvlJc w:val="left"/>
      <w:pPr>
        <w:ind w:left="3068" w:hanging="360"/>
      </w:pPr>
      <w:rPr>
        <w:rFonts w:ascii="Symbol" w:hAnsi="Symbol" w:hint="default"/>
      </w:rPr>
    </w:lvl>
    <w:lvl w:ilvl="4" w:tplc="040C0003" w:tentative="1">
      <w:start w:val="1"/>
      <w:numFmt w:val="bullet"/>
      <w:lvlText w:val="o"/>
      <w:lvlJc w:val="left"/>
      <w:pPr>
        <w:ind w:left="3788" w:hanging="360"/>
      </w:pPr>
      <w:rPr>
        <w:rFonts w:ascii="Courier New" w:hAnsi="Courier New" w:cs="Courier New" w:hint="default"/>
      </w:rPr>
    </w:lvl>
    <w:lvl w:ilvl="5" w:tplc="040C0005" w:tentative="1">
      <w:start w:val="1"/>
      <w:numFmt w:val="bullet"/>
      <w:lvlText w:val=""/>
      <w:lvlJc w:val="left"/>
      <w:pPr>
        <w:ind w:left="4508" w:hanging="360"/>
      </w:pPr>
      <w:rPr>
        <w:rFonts w:ascii="Wingdings" w:hAnsi="Wingdings" w:hint="default"/>
      </w:rPr>
    </w:lvl>
    <w:lvl w:ilvl="6" w:tplc="040C0001" w:tentative="1">
      <w:start w:val="1"/>
      <w:numFmt w:val="bullet"/>
      <w:lvlText w:val=""/>
      <w:lvlJc w:val="left"/>
      <w:pPr>
        <w:ind w:left="5228" w:hanging="360"/>
      </w:pPr>
      <w:rPr>
        <w:rFonts w:ascii="Symbol" w:hAnsi="Symbol" w:hint="default"/>
      </w:rPr>
    </w:lvl>
    <w:lvl w:ilvl="7" w:tplc="040C0003" w:tentative="1">
      <w:start w:val="1"/>
      <w:numFmt w:val="bullet"/>
      <w:lvlText w:val="o"/>
      <w:lvlJc w:val="left"/>
      <w:pPr>
        <w:ind w:left="5948" w:hanging="360"/>
      </w:pPr>
      <w:rPr>
        <w:rFonts w:ascii="Courier New" w:hAnsi="Courier New" w:cs="Courier New" w:hint="default"/>
      </w:rPr>
    </w:lvl>
    <w:lvl w:ilvl="8" w:tplc="040C0005" w:tentative="1">
      <w:start w:val="1"/>
      <w:numFmt w:val="bullet"/>
      <w:lvlText w:val=""/>
      <w:lvlJc w:val="left"/>
      <w:pPr>
        <w:ind w:left="6668" w:hanging="360"/>
      </w:pPr>
      <w:rPr>
        <w:rFonts w:ascii="Wingdings" w:hAnsi="Wingdings" w:hint="default"/>
      </w:rPr>
    </w:lvl>
  </w:abstractNum>
  <w:abstractNum w:abstractNumId="33" w15:restartNumberingAfterBreak="0">
    <w:nsid w:val="62A391AF"/>
    <w:multiLevelType w:val="hybridMultilevel"/>
    <w:tmpl w:val="80F0F92E"/>
    <w:lvl w:ilvl="0" w:tplc="2422A410">
      <w:start w:val="1"/>
      <w:numFmt w:val="bullet"/>
      <w:lvlText w:val="-"/>
      <w:lvlJc w:val="left"/>
      <w:rPr>
        <w:rFonts w:ascii="Times New Roman" w:eastAsia="Calibri" w:hAnsi="Times New Roma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7207D81"/>
    <w:multiLevelType w:val="multilevel"/>
    <w:tmpl w:val="1F90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710ADA"/>
    <w:multiLevelType w:val="hybridMultilevel"/>
    <w:tmpl w:val="A6243950"/>
    <w:lvl w:ilvl="0" w:tplc="2422A410">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E656AA2"/>
    <w:multiLevelType w:val="hybridMultilevel"/>
    <w:tmpl w:val="0FD6C8B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727580A"/>
    <w:multiLevelType w:val="hybridMultilevel"/>
    <w:tmpl w:val="142ACCF8"/>
    <w:lvl w:ilvl="0" w:tplc="6D363DB0">
      <w:start w:val="1"/>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abstractNum w:abstractNumId="38" w15:restartNumberingAfterBreak="0">
    <w:nsid w:val="77C51B33"/>
    <w:multiLevelType w:val="hybridMultilevel"/>
    <w:tmpl w:val="6CD6E8BA"/>
    <w:lvl w:ilvl="0" w:tplc="65FCD20A">
      <w:start w:val="2"/>
      <w:numFmt w:val="bullet"/>
      <w:lvlText w:val="-"/>
      <w:lvlJc w:val="left"/>
      <w:pPr>
        <w:ind w:left="420" w:hanging="360"/>
      </w:pPr>
      <w:rPr>
        <w:rFonts w:ascii="Times New Roman" w:eastAsiaTheme="minorHAnsi" w:hAnsi="Times New Roman" w:cs="Times New Roman"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39" w15:restartNumberingAfterBreak="0">
    <w:nsid w:val="78FB01C7"/>
    <w:multiLevelType w:val="multilevel"/>
    <w:tmpl w:val="AE44057A"/>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40" w15:restartNumberingAfterBreak="0">
    <w:nsid w:val="7B1F1DDE"/>
    <w:multiLevelType w:val="multilevel"/>
    <w:tmpl w:val="2C8A1B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58252308">
    <w:abstractNumId w:val="4"/>
  </w:num>
  <w:num w:numId="2" w16cid:durableId="2003074274">
    <w:abstractNumId w:val="40"/>
  </w:num>
  <w:num w:numId="3" w16cid:durableId="1853689286">
    <w:abstractNumId w:val="39"/>
  </w:num>
  <w:num w:numId="4" w16cid:durableId="1300916760">
    <w:abstractNumId w:val="7"/>
  </w:num>
  <w:num w:numId="5" w16cid:durableId="1686710953">
    <w:abstractNumId w:val="17"/>
  </w:num>
  <w:num w:numId="6" w16cid:durableId="738096825">
    <w:abstractNumId w:val="26"/>
  </w:num>
  <w:num w:numId="7" w16cid:durableId="1666856999">
    <w:abstractNumId w:val="25"/>
  </w:num>
  <w:num w:numId="8" w16cid:durableId="1947542109">
    <w:abstractNumId w:val="37"/>
  </w:num>
  <w:num w:numId="9" w16cid:durableId="574705701">
    <w:abstractNumId w:val="38"/>
  </w:num>
  <w:num w:numId="10" w16cid:durableId="226918184">
    <w:abstractNumId w:val="24"/>
  </w:num>
  <w:num w:numId="11" w16cid:durableId="951396301">
    <w:abstractNumId w:val="27"/>
  </w:num>
  <w:num w:numId="12" w16cid:durableId="846142208">
    <w:abstractNumId w:val="29"/>
  </w:num>
  <w:num w:numId="13" w16cid:durableId="722824982">
    <w:abstractNumId w:val="21"/>
  </w:num>
  <w:num w:numId="14" w16cid:durableId="1651713094">
    <w:abstractNumId w:val="9"/>
  </w:num>
  <w:num w:numId="15" w16cid:durableId="102195703">
    <w:abstractNumId w:val="5"/>
  </w:num>
  <w:num w:numId="16" w16cid:durableId="1475950346">
    <w:abstractNumId w:val="13"/>
  </w:num>
  <w:num w:numId="17" w16cid:durableId="329672842">
    <w:abstractNumId w:val="22"/>
  </w:num>
  <w:num w:numId="18" w16cid:durableId="51775820">
    <w:abstractNumId w:val="10"/>
  </w:num>
  <w:num w:numId="19" w16cid:durableId="1224829924">
    <w:abstractNumId w:val="6"/>
  </w:num>
  <w:num w:numId="20" w16cid:durableId="1012338166">
    <w:abstractNumId w:val="2"/>
  </w:num>
  <w:num w:numId="21" w16cid:durableId="1600605430">
    <w:abstractNumId w:val="8"/>
  </w:num>
  <w:num w:numId="22" w16cid:durableId="1899780342">
    <w:abstractNumId w:val="16"/>
  </w:num>
  <w:num w:numId="23" w16cid:durableId="1531644543">
    <w:abstractNumId w:val="31"/>
  </w:num>
  <w:num w:numId="24" w16cid:durableId="183905245">
    <w:abstractNumId w:val="18"/>
  </w:num>
  <w:num w:numId="25" w16cid:durableId="1077096586">
    <w:abstractNumId w:val="3"/>
  </w:num>
  <w:num w:numId="26" w16cid:durableId="1382484401">
    <w:abstractNumId w:val="33"/>
  </w:num>
  <w:num w:numId="27" w16cid:durableId="419837556">
    <w:abstractNumId w:val="14"/>
  </w:num>
  <w:num w:numId="28" w16cid:durableId="1893808557">
    <w:abstractNumId w:val="0"/>
  </w:num>
  <w:num w:numId="29" w16cid:durableId="839153631">
    <w:abstractNumId w:val="1"/>
  </w:num>
  <w:num w:numId="30" w16cid:durableId="1484853594">
    <w:abstractNumId w:val="30"/>
  </w:num>
  <w:num w:numId="31" w16cid:durableId="822355565">
    <w:abstractNumId w:val="19"/>
  </w:num>
  <w:num w:numId="32" w16cid:durableId="1936666496">
    <w:abstractNumId w:val="36"/>
  </w:num>
  <w:num w:numId="33" w16cid:durableId="1347557303">
    <w:abstractNumId w:val="35"/>
  </w:num>
  <w:num w:numId="34" w16cid:durableId="1753312977">
    <w:abstractNumId w:val="32"/>
  </w:num>
  <w:num w:numId="35" w16cid:durableId="1741168101">
    <w:abstractNumId w:val="23"/>
  </w:num>
  <w:num w:numId="36" w16cid:durableId="6908029">
    <w:abstractNumId w:val="15"/>
  </w:num>
  <w:num w:numId="37" w16cid:durableId="542983870">
    <w:abstractNumId w:val="28"/>
  </w:num>
  <w:num w:numId="38" w16cid:durableId="1312253632">
    <w:abstractNumId w:val="12"/>
  </w:num>
  <w:num w:numId="39" w16cid:durableId="24407859">
    <w:abstractNumId w:val="11"/>
  </w:num>
  <w:num w:numId="40" w16cid:durableId="445514420">
    <w:abstractNumId w:val="34"/>
  </w:num>
  <w:num w:numId="41" w16cid:durableId="187226030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F95"/>
    <w:rsid w:val="00000652"/>
    <w:rsid w:val="00000F5B"/>
    <w:rsid w:val="00001BD7"/>
    <w:rsid w:val="000025AE"/>
    <w:rsid w:val="00002693"/>
    <w:rsid w:val="00005B06"/>
    <w:rsid w:val="00007EA0"/>
    <w:rsid w:val="000100C9"/>
    <w:rsid w:val="0001208C"/>
    <w:rsid w:val="000135C7"/>
    <w:rsid w:val="00016876"/>
    <w:rsid w:val="00016FDD"/>
    <w:rsid w:val="000213CC"/>
    <w:rsid w:val="00021AE7"/>
    <w:rsid w:val="00021DF2"/>
    <w:rsid w:val="00023557"/>
    <w:rsid w:val="00025BF5"/>
    <w:rsid w:val="0002791C"/>
    <w:rsid w:val="00027B02"/>
    <w:rsid w:val="00035FC9"/>
    <w:rsid w:val="000363C5"/>
    <w:rsid w:val="00036976"/>
    <w:rsid w:val="00037B89"/>
    <w:rsid w:val="0004023F"/>
    <w:rsid w:val="000403FE"/>
    <w:rsid w:val="000418B4"/>
    <w:rsid w:val="00041B8A"/>
    <w:rsid w:val="000446E7"/>
    <w:rsid w:val="000476E6"/>
    <w:rsid w:val="00047B6F"/>
    <w:rsid w:val="00047BDC"/>
    <w:rsid w:val="00053595"/>
    <w:rsid w:val="00054C99"/>
    <w:rsid w:val="00054FBD"/>
    <w:rsid w:val="00060271"/>
    <w:rsid w:val="000602CA"/>
    <w:rsid w:val="00061A3E"/>
    <w:rsid w:val="00067288"/>
    <w:rsid w:val="00067A30"/>
    <w:rsid w:val="00070F02"/>
    <w:rsid w:val="000711EA"/>
    <w:rsid w:val="0007271D"/>
    <w:rsid w:val="00072C7E"/>
    <w:rsid w:val="0007342F"/>
    <w:rsid w:val="00073753"/>
    <w:rsid w:val="00073A1F"/>
    <w:rsid w:val="00073E4E"/>
    <w:rsid w:val="00074DC3"/>
    <w:rsid w:val="000840CF"/>
    <w:rsid w:val="00084EB2"/>
    <w:rsid w:val="0008529D"/>
    <w:rsid w:val="00085A82"/>
    <w:rsid w:val="00087350"/>
    <w:rsid w:val="000907D1"/>
    <w:rsid w:val="00092635"/>
    <w:rsid w:val="00092CD8"/>
    <w:rsid w:val="000931AB"/>
    <w:rsid w:val="000931C4"/>
    <w:rsid w:val="000931C8"/>
    <w:rsid w:val="00093265"/>
    <w:rsid w:val="00093A14"/>
    <w:rsid w:val="00096D10"/>
    <w:rsid w:val="00097439"/>
    <w:rsid w:val="000A02FA"/>
    <w:rsid w:val="000A2185"/>
    <w:rsid w:val="000A6558"/>
    <w:rsid w:val="000A678E"/>
    <w:rsid w:val="000B253D"/>
    <w:rsid w:val="000B2865"/>
    <w:rsid w:val="000B289A"/>
    <w:rsid w:val="000B2A2D"/>
    <w:rsid w:val="000B2A8E"/>
    <w:rsid w:val="000B414D"/>
    <w:rsid w:val="000B6902"/>
    <w:rsid w:val="000B6CAF"/>
    <w:rsid w:val="000C057E"/>
    <w:rsid w:val="000C1EA5"/>
    <w:rsid w:val="000C30F4"/>
    <w:rsid w:val="000C42CF"/>
    <w:rsid w:val="000C5B44"/>
    <w:rsid w:val="000C66A4"/>
    <w:rsid w:val="000C7C61"/>
    <w:rsid w:val="000D04C4"/>
    <w:rsid w:val="000D12C4"/>
    <w:rsid w:val="000D4DB5"/>
    <w:rsid w:val="000D79FE"/>
    <w:rsid w:val="000E2203"/>
    <w:rsid w:val="000E2C3B"/>
    <w:rsid w:val="000E3D2D"/>
    <w:rsid w:val="000E3D99"/>
    <w:rsid w:val="000E56B5"/>
    <w:rsid w:val="000E6DBF"/>
    <w:rsid w:val="000F1970"/>
    <w:rsid w:val="000F1BE0"/>
    <w:rsid w:val="000F25AB"/>
    <w:rsid w:val="000F2C48"/>
    <w:rsid w:val="000F31C5"/>
    <w:rsid w:val="00102AA2"/>
    <w:rsid w:val="00103837"/>
    <w:rsid w:val="00106F1A"/>
    <w:rsid w:val="00107D1E"/>
    <w:rsid w:val="00107E43"/>
    <w:rsid w:val="001103DE"/>
    <w:rsid w:val="00110916"/>
    <w:rsid w:val="00114C7A"/>
    <w:rsid w:val="001164B2"/>
    <w:rsid w:val="00120FC9"/>
    <w:rsid w:val="0012404C"/>
    <w:rsid w:val="00124ACE"/>
    <w:rsid w:val="00125174"/>
    <w:rsid w:val="00126A84"/>
    <w:rsid w:val="00126FB8"/>
    <w:rsid w:val="001279B6"/>
    <w:rsid w:val="0013195A"/>
    <w:rsid w:val="00132017"/>
    <w:rsid w:val="00132D27"/>
    <w:rsid w:val="00135E39"/>
    <w:rsid w:val="001364B9"/>
    <w:rsid w:val="00136D5A"/>
    <w:rsid w:val="00137ECA"/>
    <w:rsid w:val="001407D6"/>
    <w:rsid w:val="00141E2D"/>
    <w:rsid w:val="00142E44"/>
    <w:rsid w:val="001436D5"/>
    <w:rsid w:val="001448C3"/>
    <w:rsid w:val="00144F7D"/>
    <w:rsid w:val="00145DC0"/>
    <w:rsid w:val="0014682B"/>
    <w:rsid w:val="00150234"/>
    <w:rsid w:val="001509F1"/>
    <w:rsid w:val="00150F14"/>
    <w:rsid w:val="001510DB"/>
    <w:rsid w:val="00152199"/>
    <w:rsid w:val="00152408"/>
    <w:rsid w:val="00154864"/>
    <w:rsid w:val="0015646E"/>
    <w:rsid w:val="00160E20"/>
    <w:rsid w:val="00161740"/>
    <w:rsid w:val="00161756"/>
    <w:rsid w:val="00161CD9"/>
    <w:rsid w:val="00163254"/>
    <w:rsid w:val="00166206"/>
    <w:rsid w:val="0016723E"/>
    <w:rsid w:val="001672CF"/>
    <w:rsid w:val="00171319"/>
    <w:rsid w:val="00171BBB"/>
    <w:rsid w:val="00171FA0"/>
    <w:rsid w:val="001730D6"/>
    <w:rsid w:val="0017338B"/>
    <w:rsid w:val="00175649"/>
    <w:rsid w:val="00177523"/>
    <w:rsid w:val="00177982"/>
    <w:rsid w:val="0018118F"/>
    <w:rsid w:val="00181592"/>
    <w:rsid w:val="0018324B"/>
    <w:rsid w:val="001840DB"/>
    <w:rsid w:val="00184869"/>
    <w:rsid w:val="001863B0"/>
    <w:rsid w:val="001877A1"/>
    <w:rsid w:val="00190915"/>
    <w:rsid w:val="00190D1A"/>
    <w:rsid w:val="00192299"/>
    <w:rsid w:val="001937A7"/>
    <w:rsid w:val="00196A58"/>
    <w:rsid w:val="0019774E"/>
    <w:rsid w:val="001A2C5A"/>
    <w:rsid w:val="001A5133"/>
    <w:rsid w:val="001A77E4"/>
    <w:rsid w:val="001B0811"/>
    <w:rsid w:val="001B0CB0"/>
    <w:rsid w:val="001B15B0"/>
    <w:rsid w:val="001B25D8"/>
    <w:rsid w:val="001B419E"/>
    <w:rsid w:val="001B5A0B"/>
    <w:rsid w:val="001B65DE"/>
    <w:rsid w:val="001B6B1C"/>
    <w:rsid w:val="001B6C3A"/>
    <w:rsid w:val="001C0318"/>
    <w:rsid w:val="001C2A05"/>
    <w:rsid w:val="001C2AA1"/>
    <w:rsid w:val="001C3655"/>
    <w:rsid w:val="001C559F"/>
    <w:rsid w:val="001C5B1E"/>
    <w:rsid w:val="001C62DD"/>
    <w:rsid w:val="001C6801"/>
    <w:rsid w:val="001C72D9"/>
    <w:rsid w:val="001C77A8"/>
    <w:rsid w:val="001C7F4D"/>
    <w:rsid w:val="001D1CC8"/>
    <w:rsid w:val="001D1D9B"/>
    <w:rsid w:val="001D42D4"/>
    <w:rsid w:val="001D4B70"/>
    <w:rsid w:val="001D5096"/>
    <w:rsid w:val="001D7675"/>
    <w:rsid w:val="001E0882"/>
    <w:rsid w:val="001E0F9D"/>
    <w:rsid w:val="001E157B"/>
    <w:rsid w:val="001E371F"/>
    <w:rsid w:val="001E57B6"/>
    <w:rsid w:val="001E6EF2"/>
    <w:rsid w:val="001F00A2"/>
    <w:rsid w:val="001F071E"/>
    <w:rsid w:val="001F2274"/>
    <w:rsid w:val="001F686C"/>
    <w:rsid w:val="001F694B"/>
    <w:rsid w:val="001F74F5"/>
    <w:rsid w:val="0020016A"/>
    <w:rsid w:val="00200A1A"/>
    <w:rsid w:val="00202690"/>
    <w:rsid w:val="00202877"/>
    <w:rsid w:val="00203028"/>
    <w:rsid w:val="0020397B"/>
    <w:rsid w:val="0020566F"/>
    <w:rsid w:val="002065AC"/>
    <w:rsid w:val="002066A8"/>
    <w:rsid w:val="0020741C"/>
    <w:rsid w:val="00210A12"/>
    <w:rsid w:val="00211E09"/>
    <w:rsid w:val="002128DA"/>
    <w:rsid w:val="002133F8"/>
    <w:rsid w:val="00215396"/>
    <w:rsid w:val="00215FED"/>
    <w:rsid w:val="00216B2F"/>
    <w:rsid w:val="00220D9B"/>
    <w:rsid w:val="0022185A"/>
    <w:rsid w:val="0022382B"/>
    <w:rsid w:val="00224AC5"/>
    <w:rsid w:val="00224CBC"/>
    <w:rsid w:val="00226258"/>
    <w:rsid w:val="002318CE"/>
    <w:rsid w:val="00231B3A"/>
    <w:rsid w:val="00232098"/>
    <w:rsid w:val="00232740"/>
    <w:rsid w:val="00236C69"/>
    <w:rsid w:val="0024014A"/>
    <w:rsid w:val="002405AF"/>
    <w:rsid w:val="00242D4E"/>
    <w:rsid w:val="00243D13"/>
    <w:rsid w:val="00245550"/>
    <w:rsid w:val="00246E3A"/>
    <w:rsid w:val="002475EB"/>
    <w:rsid w:val="002500B0"/>
    <w:rsid w:val="002507FC"/>
    <w:rsid w:val="00253BB8"/>
    <w:rsid w:val="00254431"/>
    <w:rsid w:val="002545B5"/>
    <w:rsid w:val="00256FC2"/>
    <w:rsid w:val="0026020D"/>
    <w:rsid w:val="00262F5D"/>
    <w:rsid w:val="00263144"/>
    <w:rsid w:val="0026542B"/>
    <w:rsid w:val="002703C0"/>
    <w:rsid w:val="00271AE7"/>
    <w:rsid w:val="00271EAD"/>
    <w:rsid w:val="00272342"/>
    <w:rsid w:val="002728EA"/>
    <w:rsid w:val="002767AF"/>
    <w:rsid w:val="0028067B"/>
    <w:rsid w:val="00283094"/>
    <w:rsid w:val="00283245"/>
    <w:rsid w:val="00283FCC"/>
    <w:rsid w:val="0028706B"/>
    <w:rsid w:val="00293FFE"/>
    <w:rsid w:val="0029404E"/>
    <w:rsid w:val="002946AB"/>
    <w:rsid w:val="00294C51"/>
    <w:rsid w:val="002A0760"/>
    <w:rsid w:val="002A263C"/>
    <w:rsid w:val="002A2E69"/>
    <w:rsid w:val="002A450B"/>
    <w:rsid w:val="002A5AF2"/>
    <w:rsid w:val="002A7B2C"/>
    <w:rsid w:val="002B03B5"/>
    <w:rsid w:val="002B1A69"/>
    <w:rsid w:val="002B2506"/>
    <w:rsid w:val="002B3F97"/>
    <w:rsid w:val="002B44E2"/>
    <w:rsid w:val="002B6248"/>
    <w:rsid w:val="002B738E"/>
    <w:rsid w:val="002C2817"/>
    <w:rsid w:val="002C2DB6"/>
    <w:rsid w:val="002C37EC"/>
    <w:rsid w:val="002C4DB1"/>
    <w:rsid w:val="002C7FF3"/>
    <w:rsid w:val="002D0C8C"/>
    <w:rsid w:val="002D0E82"/>
    <w:rsid w:val="002D2BFB"/>
    <w:rsid w:val="002D2E9A"/>
    <w:rsid w:val="002D4439"/>
    <w:rsid w:val="002D5A0D"/>
    <w:rsid w:val="002D5BA1"/>
    <w:rsid w:val="002D718D"/>
    <w:rsid w:val="002D7A11"/>
    <w:rsid w:val="002E027D"/>
    <w:rsid w:val="002E2A38"/>
    <w:rsid w:val="002E498E"/>
    <w:rsid w:val="002E601A"/>
    <w:rsid w:val="002E7684"/>
    <w:rsid w:val="002F0AEB"/>
    <w:rsid w:val="002F5AE7"/>
    <w:rsid w:val="003005E9"/>
    <w:rsid w:val="003012A3"/>
    <w:rsid w:val="00301F9A"/>
    <w:rsid w:val="00304978"/>
    <w:rsid w:val="003056D4"/>
    <w:rsid w:val="003065E8"/>
    <w:rsid w:val="00307A91"/>
    <w:rsid w:val="0031174B"/>
    <w:rsid w:val="00313FA7"/>
    <w:rsid w:val="00314855"/>
    <w:rsid w:val="00315F3D"/>
    <w:rsid w:val="003171D1"/>
    <w:rsid w:val="003204F8"/>
    <w:rsid w:val="00321C43"/>
    <w:rsid w:val="00324806"/>
    <w:rsid w:val="00324A50"/>
    <w:rsid w:val="0032668B"/>
    <w:rsid w:val="00330F70"/>
    <w:rsid w:val="00331F8A"/>
    <w:rsid w:val="0033213D"/>
    <w:rsid w:val="00333EA3"/>
    <w:rsid w:val="0033585F"/>
    <w:rsid w:val="003377D1"/>
    <w:rsid w:val="0034060E"/>
    <w:rsid w:val="00341957"/>
    <w:rsid w:val="00345087"/>
    <w:rsid w:val="003455B3"/>
    <w:rsid w:val="0034640C"/>
    <w:rsid w:val="003476B5"/>
    <w:rsid w:val="003500BB"/>
    <w:rsid w:val="00351ACA"/>
    <w:rsid w:val="003522B0"/>
    <w:rsid w:val="00352332"/>
    <w:rsid w:val="00352C46"/>
    <w:rsid w:val="0035327B"/>
    <w:rsid w:val="003536CC"/>
    <w:rsid w:val="00353A6B"/>
    <w:rsid w:val="0035596C"/>
    <w:rsid w:val="00356DFE"/>
    <w:rsid w:val="00360A9A"/>
    <w:rsid w:val="003637B1"/>
    <w:rsid w:val="0036467E"/>
    <w:rsid w:val="00364DE6"/>
    <w:rsid w:val="0036510D"/>
    <w:rsid w:val="0036548B"/>
    <w:rsid w:val="00366805"/>
    <w:rsid w:val="00367F40"/>
    <w:rsid w:val="00373CE8"/>
    <w:rsid w:val="003745E5"/>
    <w:rsid w:val="00377BF4"/>
    <w:rsid w:val="0038291A"/>
    <w:rsid w:val="00382A19"/>
    <w:rsid w:val="00382F55"/>
    <w:rsid w:val="0038326B"/>
    <w:rsid w:val="00384775"/>
    <w:rsid w:val="003849A8"/>
    <w:rsid w:val="00385AF1"/>
    <w:rsid w:val="0038630B"/>
    <w:rsid w:val="0039029D"/>
    <w:rsid w:val="00390873"/>
    <w:rsid w:val="00390E67"/>
    <w:rsid w:val="00392777"/>
    <w:rsid w:val="00394FCA"/>
    <w:rsid w:val="003A06CA"/>
    <w:rsid w:val="003A2D23"/>
    <w:rsid w:val="003A2D90"/>
    <w:rsid w:val="003A4896"/>
    <w:rsid w:val="003A510F"/>
    <w:rsid w:val="003A54FD"/>
    <w:rsid w:val="003A5B01"/>
    <w:rsid w:val="003A61CC"/>
    <w:rsid w:val="003A6CE8"/>
    <w:rsid w:val="003A7DDF"/>
    <w:rsid w:val="003B0EE1"/>
    <w:rsid w:val="003B429F"/>
    <w:rsid w:val="003B4C33"/>
    <w:rsid w:val="003B6FFE"/>
    <w:rsid w:val="003C2542"/>
    <w:rsid w:val="003C2804"/>
    <w:rsid w:val="003C38F7"/>
    <w:rsid w:val="003C3C9C"/>
    <w:rsid w:val="003C5105"/>
    <w:rsid w:val="003C5C88"/>
    <w:rsid w:val="003D0CCF"/>
    <w:rsid w:val="003D337F"/>
    <w:rsid w:val="003D339C"/>
    <w:rsid w:val="003D3B99"/>
    <w:rsid w:val="003D5B40"/>
    <w:rsid w:val="003D6EE1"/>
    <w:rsid w:val="003D7393"/>
    <w:rsid w:val="003D7AE0"/>
    <w:rsid w:val="003E0426"/>
    <w:rsid w:val="003E45F0"/>
    <w:rsid w:val="003E5E9B"/>
    <w:rsid w:val="003E6E5B"/>
    <w:rsid w:val="003F0719"/>
    <w:rsid w:val="003F0B1D"/>
    <w:rsid w:val="003F0DA8"/>
    <w:rsid w:val="003F10FC"/>
    <w:rsid w:val="003F1F40"/>
    <w:rsid w:val="003F2918"/>
    <w:rsid w:val="003F2BEC"/>
    <w:rsid w:val="003F2E0A"/>
    <w:rsid w:val="003F4076"/>
    <w:rsid w:val="003F42C0"/>
    <w:rsid w:val="004010D6"/>
    <w:rsid w:val="004021C8"/>
    <w:rsid w:val="00405268"/>
    <w:rsid w:val="0040667D"/>
    <w:rsid w:val="00407D6E"/>
    <w:rsid w:val="004108B6"/>
    <w:rsid w:val="00410E34"/>
    <w:rsid w:val="004119D8"/>
    <w:rsid w:val="0041262B"/>
    <w:rsid w:val="004140A3"/>
    <w:rsid w:val="00414D61"/>
    <w:rsid w:val="00420314"/>
    <w:rsid w:val="004209A4"/>
    <w:rsid w:val="004215A1"/>
    <w:rsid w:val="004232AD"/>
    <w:rsid w:val="00423800"/>
    <w:rsid w:val="00423D98"/>
    <w:rsid w:val="00424208"/>
    <w:rsid w:val="00426049"/>
    <w:rsid w:val="0042707A"/>
    <w:rsid w:val="00430AFC"/>
    <w:rsid w:val="00434996"/>
    <w:rsid w:val="00436999"/>
    <w:rsid w:val="00441131"/>
    <w:rsid w:val="0044253C"/>
    <w:rsid w:val="00442732"/>
    <w:rsid w:val="00442D54"/>
    <w:rsid w:val="00443993"/>
    <w:rsid w:val="0044574A"/>
    <w:rsid w:val="00445E4F"/>
    <w:rsid w:val="00447B88"/>
    <w:rsid w:val="00454888"/>
    <w:rsid w:val="0045655E"/>
    <w:rsid w:val="0046245A"/>
    <w:rsid w:val="0046247C"/>
    <w:rsid w:val="004641DB"/>
    <w:rsid w:val="00465510"/>
    <w:rsid w:val="004655DE"/>
    <w:rsid w:val="00465D92"/>
    <w:rsid w:val="00465E16"/>
    <w:rsid w:val="0046659B"/>
    <w:rsid w:val="0047243A"/>
    <w:rsid w:val="004725DA"/>
    <w:rsid w:val="0047472A"/>
    <w:rsid w:val="00476169"/>
    <w:rsid w:val="00477657"/>
    <w:rsid w:val="00480EE1"/>
    <w:rsid w:val="0048219C"/>
    <w:rsid w:val="00483C14"/>
    <w:rsid w:val="00490811"/>
    <w:rsid w:val="00491569"/>
    <w:rsid w:val="00491F0E"/>
    <w:rsid w:val="00491FE2"/>
    <w:rsid w:val="00494175"/>
    <w:rsid w:val="00494437"/>
    <w:rsid w:val="0049572C"/>
    <w:rsid w:val="00497F89"/>
    <w:rsid w:val="004A1BC7"/>
    <w:rsid w:val="004A565A"/>
    <w:rsid w:val="004A6B7D"/>
    <w:rsid w:val="004B06A5"/>
    <w:rsid w:val="004B25EB"/>
    <w:rsid w:val="004B58E0"/>
    <w:rsid w:val="004B634A"/>
    <w:rsid w:val="004C0453"/>
    <w:rsid w:val="004C1AB5"/>
    <w:rsid w:val="004C3C65"/>
    <w:rsid w:val="004C4CBF"/>
    <w:rsid w:val="004C5E3F"/>
    <w:rsid w:val="004C6491"/>
    <w:rsid w:val="004D1769"/>
    <w:rsid w:val="004D18C5"/>
    <w:rsid w:val="004D7F17"/>
    <w:rsid w:val="004E105E"/>
    <w:rsid w:val="004E32B7"/>
    <w:rsid w:val="004E36FC"/>
    <w:rsid w:val="004E5645"/>
    <w:rsid w:val="004E5D9A"/>
    <w:rsid w:val="004F041D"/>
    <w:rsid w:val="004F0D1B"/>
    <w:rsid w:val="004F0E8B"/>
    <w:rsid w:val="004F1751"/>
    <w:rsid w:val="004F22AB"/>
    <w:rsid w:val="004F2679"/>
    <w:rsid w:val="004F7914"/>
    <w:rsid w:val="0050297D"/>
    <w:rsid w:val="00502E15"/>
    <w:rsid w:val="00504701"/>
    <w:rsid w:val="00507F85"/>
    <w:rsid w:val="005122A5"/>
    <w:rsid w:val="005130D9"/>
    <w:rsid w:val="005145F2"/>
    <w:rsid w:val="0051694A"/>
    <w:rsid w:val="005172E4"/>
    <w:rsid w:val="00520445"/>
    <w:rsid w:val="005212AD"/>
    <w:rsid w:val="00524217"/>
    <w:rsid w:val="00524400"/>
    <w:rsid w:val="005251B6"/>
    <w:rsid w:val="0052549A"/>
    <w:rsid w:val="00525A00"/>
    <w:rsid w:val="005262D7"/>
    <w:rsid w:val="00530C15"/>
    <w:rsid w:val="005321DD"/>
    <w:rsid w:val="00532384"/>
    <w:rsid w:val="00532EA1"/>
    <w:rsid w:val="00533354"/>
    <w:rsid w:val="005338A4"/>
    <w:rsid w:val="00536353"/>
    <w:rsid w:val="00536C11"/>
    <w:rsid w:val="00540F7B"/>
    <w:rsid w:val="00542960"/>
    <w:rsid w:val="00544245"/>
    <w:rsid w:val="00545AA3"/>
    <w:rsid w:val="00550A22"/>
    <w:rsid w:val="00551214"/>
    <w:rsid w:val="0055742F"/>
    <w:rsid w:val="00557DAA"/>
    <w:rsid w:val="00563AF9"/>
    <w:rsid w:val="005661C5"/>
    <w:rsid w:val="00566E41"/>
    <w:rsid w:val="00567815"/>
    <w:rsid w:val="00567D44"/>
    <w:rsid w:val="00573C02"/>
    <w:rsid w:val="005752AA"/>
    <w:rsid w:val="00575B6E"/>
    <w:rsid w:val="00577259"/>
    <w:rsid w:val="00577B63"/>
    <w:rsid w:val="00577CF8"/>
    <w:rsid w:val="00580894"/>
    <w:rsid w:val="00580AB9"/>
    <w:rsid w:val="00581497"/>
    <w:rsid w:val="00581D7C"/>
    <w:rsid w:val="0058291B"/>
    <w:rsid w:val="0058349A"/>
    <w:rsid w:val="00583C23"/>
    <w:rsid w:val="0059286D"/>
    <w:rsid w:val="005932A6"/>
    <w:rsid w:val="00593305"/>
    <w:rsid w:val="00595404"/>
    <w:rsid w:val="0059541C"/>
    <w:rsid w:val="005962C2"/>
    <w:rsid w:val="00597B36"/>
    <w:rsid w:val="00597B84"/>
    <w:rsid w:val="005A20FB"/>
    <w:rsid w:val="005A7470"/>
    <w:rsid w:val="005B0180"/>
    <w:rsid w:val="005B07F7"/>
    <w:rsid w:val="005B35BA"/>
    <w:rsid w:val="005B4E5B"/>
    <w:rsid w:val="005C000E"/>
    <w:rsid w:val="005C119C"/>
    <w:rsid w:val="005C1F34"/>
    <w:rsid w:val="005C299B"/>
    <w:rsid w:val="005C578B"/>
    <w:rsid w:val="005C59DC"/>
    <w:rsid w:val="005D031D"/>
    <w:rsid w:val="005D0857"/>
    <w:rsid w:val="005D0F56"/>
    <w:rsid w:val="005D3253"/>
    <w:rsid w:val="005D33D0"/>
    <w:rsid w:val="005D4535"/>
    <w:rsid w:val="005D6497"/>
    <w:rsid w:val="005E11D7"/>
    <w:rsid w:val="005E13C4"/>
    <w:rsid w:val="005E150E"/>
    <w:rsid w:val="005E1E59"/>
    <w:rsid w:val="005E277C"/>
    <w:rsid w:val="005E2FF0"/>
    <w:rsid w:val="005E3188"/>
    <w:rsid w:val="005E4489"/>
    <w:rsid w:val="005E6BDB"/>
    <w:rsid w:val="005E760C"/>
    <w:rsid w:val="005E793B"/>
    <w:rsid w:val="005F2116"/>
    <w:rsid w:val="005F5D16"/>
    <w:rsid w:val="00600534"/>
    <w:rsid w:val="00600AC8"/>
    <w:rsid w:val="0060140E"/>
    <w:rsid w:val="00601EE0"/>
    <w:rsid w:val="00602BAE"/>
    <w:rsid w:val="006041F7"/>
    <w:rsid w:val="00604A3B"/>
    <w:rsid w:val="00605BC5"/>
    <w:rsid w:val="00606162"/>
    <w:rsid w:val="00607850"/>
    <w:rsid w:val="00607852"/>
    <w:rsid w:val="00607B57"/>
    <w:rsid w:val="006107A4"/>
    <w:rsid w:val="00610C60"/>
    <w:rsid w:val="006135C4"/>
    <w:rsid w:val="00615B96"/>
    <w:rsid w:val="0061787F"/>
    <w:rsid w:val="00620827"/>
    <w:rsid w:val="00621651"/>
    <w:rsid w:val="00621C60"/>
    <w:rsid w:val="006228DD"/>
    <w:rsid w:val="00623723"/>
    <w:rsid w:val="00623C79"/>
    <w:rsid w:val="006247B0"/>
    <w:rsid w:val="0062491A"/>
    <w:rsid w:val="0063133F"/>
    <w:rsid w:val="006325BD"/>
    <w:rsid w:val="0063519A"/>
    <w:rsid w:val="006366D3"/>
    <w:rsid w:val="00636F5B"/>
    <w:rsid w:val="00637327"/>
    <w:rsid w:val="00637513"/>
    <w:rsid w:val="00637755"/>
    <w:rsid w:val="0064012D"/>
    <w:rsid w:val="0064202E"/>
    <w:rsid w:val="00642F75"/>
    <w:rsid w:val="006435D1"/>
    <w:rsid w:val="0064384C"/>
    <w:rsid w:val="00643CC7"/>
    <w:rsid w:val="00647F06"/>
    <w:rsid w:val="00651ACE"/>
    <w:rsid w:val="00653DE9"/>
    <w:rsid w:val="00657999"/>
    <w:rsid w:val="00661A69"/>
    <w:rsid w:val="006630DA"/>
    <w:rsid w:val="006643E3"/>
    <w:rsid w:val="006654A5"/>
    <w:rsid w:val="00665AF6"/>
    <w:rsid w:val="006660EC"/>
    <w:rsid w:val="0066768A"/>
    <w:rsid w:val="00667DD5"/>
    <w:rsid w:val="00670641"/>
    <w:rsid w:val="0067087D"/>
    <w:rsid w:val="00671128"/>
    <w:rsid w:val="006739EC"/>
    <w:rsid w:val="00674174"/>
    <w:rsid w:val="00675EFD"/>
    <w:rsid w:val="00675FAA"/>
    <w:rsid w:val="00676B9E"/>
    <w:rsid w:val="00676F61"/>
    <w:rsid w:val="006778DD"/>
    <w:rsid w:val="00680ACF"/>
    <w:rsid w:val="00682DD4"/>
    <w:rsid w:val="00685167"/>
    <w:rsid w:val="00685E37"/>
    <w:rsid w:val="00686E87"/>
    <w:rsid w:val="00690DE0"/>
    <w:rsid w:val="006911A4"/>
    <w:rsid w:val="00691F63"/>
    <w:rsid w:val="006924CD"/>
    <w:rsid w:val="00696FF7"/>
    <w:rsid w:val="006971A0"/>
    <w:rsid w:val="006977AC"/>
    <w:rsid w:val="00697826"/>
    <w:rsid w:val="00697D76"/>
    <w:rsid w:val="006A1AA8"/>
    <w:rsid w:val="006A4A57"/>
    <w:rsid w:val="006A4E09"/>
    <w:rsid w:val="006A578D"/>
    <w:rsid w:val="006A5E73"/>
    <w:rsid w:val="006A6850"/>
    <w:rsid w:val="006B29A9"/>
    <w:rsid w:val="006B477C"/>
    <w:rsid w:val="006B53C6"/>
    <w:rsid w:val="006B5695"/>
    <w:rsid w:val="006B5B9C"/>
    <w:rsid w:val="006B6D81"/>
    <w:rsid w:val="006C05FC"/>
    <w:rsid w:val="006C28E1"/>
    <w:rsid w:val="006C35BD"/>
    <w:rsid w:val="006C3880"/>
    <w:rsid w:val="006C5DA7"/>
    <w:rsid w:val="006C73D5"/>
    <w:rsid w:val="006D1AF4"/>
    <w:rsid w:val="006D25C6"/>
    <w:rsid w:val="006D6DBB"/>
    <w:rsid w:val="006D6FD8"/>
    <w:rsid w:val="006D7F95"/>
    <w:rsid w:val="006E0DB3"/>
    <w:rsid w:val="006E1889"/>
    <w:rsid w:val="006E197F"/>
    <w:rsid w:val="006E238B"/>
    <w:rsid w:val="006E284B"/>
    <w:rsid w:val="006E2A35"/>
    <w:rsid w:val="006E319E"/>
    <w:rsid w:val="006E3D1B"/>
    <w:rsid w:val="006E65F4"/>
    <w:rsid w:val="006E66D5"/>
    <w:rsid w:val="006E6EB8"/>
    <w:rsid w:val="006F05B2"/>
    <w:rsid w:val="006F3E52"/>
    <w:rsid w:val="006F53A3"/>
    <w:rsid w:val="006F6908"/>
    <w:rsid w:val="006F6F4B"/>
    <w:rsid w:val="00700FE8"/>
    <w:rsid w:val="00702D66"/>
    <w:rsid w:val="00703676"/>
    <w:rsid w:val="007037C1"/>
    <w:rsid w:val="00710034"/>
    <w:rsid w:val="00710094"/>
    <w:rsid w:val="00710A4A"/>
    <w:rsid w:val="00710E96"/>
    <w:rsid w:val="00713107"/>
    <w:rsid w:val="00715383"/>
    <w:rsid w:val="007201AD"/>
    <w:rsid w:val="00721E42"/>
    <w:rsid w:val="00722363"/>
    <w:rsid w:val="00722700"/>
    <w:rsid w:val="00722DC0"/>
    <w:rsid w:val="00723E0D"/>
    <w:rsid w:val="007241C8"/>
    <w:rsid w:val="00724836"/>
    <w:rsid w:val="007274E2"/>
    <w:rsid w:val="007313E6"/>
    <w:rsid w:val="0073358D"/>
    <w:rsid w:val="00735588"/>
    <w:rsid w:val="00740D1A"/>
    <w:rsid w:val="00743DB8"/>
    <w:rsid w:val="00744DC6"/>
    <w:rsid w:val="00745D7D"/>
    <w:rsid w:val="00746A21"/>
    <w:rsid w:val="00750724"/>
    <w:rsid w:val="00753F15"/>
    <w:rsid w:val="00754B12"/>
    <w:rsid w:val="007555C1"/>
    <w:rsid w:val="00755C42"/>
    <w:rsid w:val="0075688E"/>
    <w:rsid w:val="00756EA5"/>
    <w:rsid w:val="00765D5C"/>
    <w:rsid w:val="007677C6"/>
    <w:rsid w:val="00771E7C"/>
    <w:rsid w:val="00772953"/>
    <w:rsid w:val="00773D97"/>
    <w:rsid w:val="007747EE"/>
    <w:rsid w:val="007766E8"/>
    <w:rsid w:val="007774BB"/>
    <w:rsid w:val="007779AB"/>
    <w:rsid w:val="007810BB"/>
    <w:rsid w:val="00782B50"/>
    <w:rsid w:val="00783847"/>
    <w:rsid w:val="007861AA"/>
    <w:rsid w:val="007872D1"/>
    <w:rsid w:val="00787D6C"/>
    <w:rsid w:val="00787F4F"/>
    <w:rsid w:val="00790566"/>
    <w:rsid w:val="00793B90"/>
    <w:rsid w:val="007940FE"/>
    <w:rsid w:val="007956C3"/>
    <w:rsid w:val="00795783"/>
    <w:rsid w:val="0079606F"/>
    <w:rsid w:val="007967E4"/>
    <w:rsid w:val="00797B87"/>
    <w:rsid w:val="007A0267"/>
    <w:rsid w:val="007A1CDF"/>
    <w:rsid w:val="007A1F95"/>
    <w:rsid w:val="007A222E"/>
    <w:rsid w:val="007A5DE0"/>
    <w:rsid w:val="007A600A"/>
    <w:rsid w:val="007A6F70"/>
    <w:rsid w:val="007A7254"/>
    <w:rsid w:val="007B1066"/>
    <w:rsid w:val="007B16D2"/>
    <w:rsid w:val="007B1CE1"/>
    <w:rsid w:val="007B2829"/>
    <w:rsid w:val="007B2BE6"/>
    <w:rsid w:val="007B355B"/>
    <w:rsid w:val="007B3F07"/>
    <w:rsid w:val="007B3F9D"/>
    <w:rsid w:val="007B6413"/>
    <w:rsid w:val="007B6F8F"/>
    <w:rsid w:val="007B76D3"/>
    <w:rsid w:val="007B7E3B"/>
    <w:rsid w:val="007C0606"/>
    <w:rsid w:val="007C0A2A"/>
    <w:rsid w:val="007C0EDE"/>
    <w:rsid w:val="007C1FF4"/>
    <w:rsid w:val="007C20EA"/>
    <w:rsid w:val="007C216D"/>
    <w:rsid w:val="007C23C4"/>
    <w:rsid w:val="007C241C"/>
    <w:rsid w:val="007C4EB6"/>
    <w:rsid w:val="007C5662"/>
    <w:rsid w:val="007C6C85"/>
    <w:rsid w:val="007C7BD6"/>
    <w:rsid w:val="007D01FA"/>
    <w:rsid w:val="007D5A93"/>
    <w:rsid w:val="007D754A"/>
    <w:rsid w:val="007D7CDA"/>
    <w:rsid w:val="007D7E62"/>
    <w:rsid w:val="007E3600"/>
    <w:rsid w:val="007F0201"/>
    <w:rsid w:val="007F22D7"/>
    <w:rsid w:val="007F44B6"/>
    <w:rsid w:val="007F570F"/>
    <w:rsid w:val="007F646D"/>
    <w:rsid w:val="007F6DF5"/>
    <w:rsid w:val="0080122F"/>
    <w:rsid w:val="008014C3"/>
    <w:rsid w:val="00802404"/>
    <w:rsid w:val="008028F9"/>
    <w:rsid w:val="00803271"/>
    <w:rsid w:val="00803682"/>
    <w:rsid w:val="00805F17"/>
    <w:rsid w:val="00806B67"/>
    <w:rsid w:val="008120DA"/>
    <w:rsid w:val="008122E3"/>
    <w:rsid w:val="008148EB"/>
    <w:rsid w:val="008148F2"/>
    <w:rsid w:val="008154B7"/>
    <w:rsid w:val="00815756"/>
    <w:rsid w:val="00816B18"/>
    <w:rsid w:val="008207D7"/>
    <w:rsid w:val="00821BEB"/>
    <w:rsid w:val="0082502A"/>
    <w:rsid w:val="008251AB"/>
    <w:rsid w:val="0082599C"/>
    <w:rsid w:val="008261CE"/>
    <w:rsid w:val="0082646F"/>
    <w:rsid w:val="0083037D"/>
    <w:rsid w:val="00830AFB"/>
    <w:rsid w:val="00831166"/>
    <w:rsid w:val="0083159A"/>
    <w:rsid w:val="008321E7"/>
    <w:rsid w:val="008324C5"/>
    <w:rsid w:val="0083267E"/>
    <w:rsid w:val="00833A6E"/>
    <w:rsid w:val="00836908"/>
    <w:rsid w:val="0083735A"/>
    <w:rsid w:val="008379EB"/>
    <w:rsid w:val="00837BCE"/>
    <w:rsid w:val="00840015"/>
    <w:rsid w:val="008400FF"/>
    <w:rsid w:val="00844B93"/>
    <w:rsid w:val="00845437"/>
    <w:rsid w:val="008512D4"/>
    <w:rsid w:val="00854A12"/>
    <w:rsid w:val="0085695C"/>
    <w:rsid w:val="00860497"/>
    <w:rsid w:val="0086212D"/>
    <w:rsid w:val="008628A6"/>
    <w:rsid w:val="00862E6F"/>
    <w:rsid w:val="00864E73"/>
    <w:rsid w:val="008655BB"/>
    <w:rsid w:val="00871BEE"/>
    <w:rsid w:val="00873ABC"/>
    <w:rsid w:val="00873CE2"/>
    <w:rsid w:val="00875D8C"/>
    <w:rsid w:val="008767CB"/>
    <w:rsid w:val="00877F4C"/>
    <w:rsid w:val="00883382"/>
    <w:rsid w:val="00884655"/>
    <w:rsid w:val="00885142"/>
    <w:rsid w:val="0088526C"/>
    <w:rsid w:val="00886555"/>
    <w:rsid w:val="008866F9"/>
    <w:rsid w:val="0089064D"/>
    <w:rsid w:val="00892259"/>
    <w:rsid w:val="0089357D"/>
    <w:rsid w:val="00893BB0"/>
    <w:rsid w:val="0089448C"/>
    <w:rsid w:val="00896722"/>
    <w:rsid w:val="008A0770"/>
    <w:rsid w:val="008A3EEF"/>
    <w:rsid w:val="008A411C"/>
    <w:rsid w:val="008A7728"/>
    <w:rsid w:val="008A7C8B"/>
    <w:rsid w:val="008B0C77"/>
    <w:rsid w:val="008B1C35"/>
    <w:rsid w:val="008B2554"/>
    <w:rsid w:val="008B29C5"/>
    <w:rsid w:val="008B4110"/>
    <w:rsid w:val="008B4713"/>
    <w:rsid w:val="008B51C8"/>
    <w:rsid w:val="008B573D"/>
    <w:rsid w:val="008B57B8"/>
    <w:rsid w:val="008B6289"/>
    <w:rsid w:val="008C20A3"/>
    <w:rsid w:val="008C2648"/>
    <w:rsid w:val="008C2A3D"/>
    <w:rsid w:val="008C46DF"/>
    <w:rsid w:val="008C6294"/>
    <w:rsid w:val="008C790B"/>
    <w:rsid w:val="008D047D"/>
    <w:rsid w:val="008D1CDF"/>
    <w:rsid w:val="008D1DB4"/>
    <w:rsid w:val="008D222A"/>
    <w:rsid w:val="008D229C"/>
    <w:rsid w:val="008D22D8"/>
    <w:rsid w:val="008D2A05"/>
    <w:rsid w:val="008D362A"/>
    <w:rsid w:val="008D3B91"/>
    <w:rsid w:val="008D3D14"/>
    <w:rsid w:val="008D4CE4"/>
    <w:rsid w:val="008D7A28"/>
    <w:rsid w:val="008E1DE4"/>
    <w:rsid w:val="008E4CDD"/>
    <w:rsid w:val="008E7001"/>
    <w:rsid w:val="008E7235"/>
    <w:rsid w:val="008F0C71"/>
    <w:rsid w:val="008F42E4"/>
    <w:rsid w:val="008F456F"/>
    <w:rsid w:val="008F635E"/>
    <w:rsid w:val="00902A30"/>
    <w:rsid w:val="0090328E"/>
    <w:rsid w:val="00904F61"/>
    <w:rsid w:val="0090527C"/>
    <w:rsid w:val="009058F2"/>
    <w:rsid w:val="00905BFA"/>
    <w:rsid w:val="00906C5B"/>
    <w:rsid w:val="0090789C"/>
    <w:rsid w:val="00910B4D"/>
    <w:rsid w:val="00911DCA"/>
    <w:rsid w:val="009127D3"/>
    <w:rsid w:val="00912B4F"/>
    <w:rsid w:val="00912E2C"/>
    <w:rsid w:val="0091308E"/>
    <w:rsid w:val="00913DCC"/>
    <w:rsid w:val="00914C87"/>
    <w:rsid w:val="00914D66"/>
    <w:rsid w:val="009151CE"/>
    <w:rsid w:val="00915664"/>
    <w:rsid w:val="009160B8"/>
    <w:rsid w:val="00916C4E"/>
    <w:rsid w:val="00917761"/>
    <w:rsid w:val="00922257"/>
    <w:rsid w:val="00926E2F"/>
    <w:rsid w:val="00930BDE"/>
    <w:rsid w:val="009319B9"/>
    <w:rsid w:val="00931D99"/>
    <w:rsid w:val="00932995"/>
    <w:rsid w:val="00933192"/>
    <w:rsid w:val="009366F8"/>
    <w:rsid w:val="00940E54"/>
    <w:rsid w:val="0094146D"/>
    <w:rsid w:val="009423D6"/>
    <w:rsid w:val="00942D61"/>
    <w:rsid w:val="00943465"/>
    <w:rsid w:val="00945047"/>
    <w:rsid w:val="009500F6"/>
    <w:rsid w:val="00950CCE"/>
    <w:rsid w:val="009512C4"/>
    <w:rsid w:val="00951472"/>
    <w:rsid w:val="00952571"/>
    <w:rsid w:val="0095292A"/>
    <w:rsid w:val="00953B4C"/>
    <w:rsid w:val="0095455A"/>
    <w:rsid w:val="009554FC"/>
    <w:rsid w:val="009560A7"/>
    <w:rsid w:val="00956C59"/>
    <w:rsid w:val="009570C9"/>
    <w:rsid w:val="00957360"/>
    <w:rsid w:val="00960519"/>
    <w:rsid w:val="00960A7F"/>
    <w:rsid w:val="00963EA0"/>
    <w:rsid w:val="0096432C"/>
    <w:rsid w:val="009659BB"/>
    <w:rsid w:val="009667D0"/>
    <w:rsid w:val="00971416"/>
    <w:rsid w:val="00972315"/>
    <w:rsid w:val="00973B28"/>
    <w:rsid w:val="009741CB"/>
    <w:rsid w:val="00974F6A"/>
    <w:rsid w:val="00977A05"/>
    <w:rsid w:val="00981D38"/>
    <w:rsid w:val="009824AD"/>
    <w:rsid w:val="00982AF5"/>
    <w:rsid w:val="00983227"/>
    <w:rsid w:val="00983688"/>
    <w:rsid w:val="00983F0B"/>
    <w:rsid w:val="00985076"/>
    <w:rsid w:val="00985F8B"/>
    <w:rsid w:val="00986C82"/>
    <w:rsid w:val="00991385"/>
    <w:rsid w:val="009926AC"/>
    <w:rsid w:val="009937CB"/>
    <w:rsid w:val="00993BEA"/>
    <w:rsid w:val="009945F5"/>
    <w:rsid w:val="00994CD6"/>
    <w:rsid w:val="00995C12"/>
    <w:rsid w:val="00996D46"/>
    <w:rsid w:val="00996E6E"/>
    <w:rsid w:val="0099760B"/>
    <w:rsid w:val="009A2EF0"/>
    <w:rsid w:val="009A34E8"/>
    <w:rsid w:val="009A36B9"/>
    <w:rsid w:val="009A4166"/>
    <w:rsid w:val="009A4380"/>
    <w:rsid w:val="009A614D"/>
    <w:rsid w:val="009A7037"/>
    <w:rsid w:val="009B0A93"/>
    <w:rsid w:val="009B0CC0"/>
    <w:rsid w:val="009B1706"/>
    <w:rsid w:val="009B2DA9"/>
    <w:rsid w:val="009B37F8"/>
    <w:rsid w:val="009B3A6C"/>
    <w:rsid w:val="009B62AB"/>
    <w:rsid w:val="009B72DC"/>
    <w:rsid w:val="009B7A1C"/>
    <w:rsid w:val="009C0261"/>
    <w:rsid w:val="009C0BBA"/>
    <w:rsid w:val="009C0E40"/>
    <w:rsid w:val="009C1817"/>
    <w:rsid w:val="009C1A61"/>
    <w:rsid w:val="009C1F0C"/>
    <w:rsid w:val="009C287B"/>
    <w:rsid w:val="009C3345"/>
    <w:rsid w:val="009C515A"/>
    <w:rsid w:val="009C555C"/>
    <w:rsid w:val="009C57A6"/>
    <w:rsid w:val="009C65D0"/>
    <w:rsid w:val="009D2682"/>
    <w:rsid w:val="009D2D91"/>
    <w:rsid w:val="009D50F3"/>
    <w:rsid w:val="009D51E0"/>
    <w:rsid w:val="009D7681"/>
    <w:rsid w:val="009E02CF"/>
    <w:rsid w:val="009E09D8"/>
    <w:rsid w:val="009E2477"/>
    <w:rsid w:val="009E2C51"/>
    <w:rsid w:val="009E2E14"/>
    <w:rsid w:val="009E4829"/>
    <w:rsid w:val="009E6A34"/>
    <w:rsid w:val="009E6DE4"/>
    <w:rsid w:val="009E6E2A"/>
    <w:rsid w:val="009F4EBF"/>
    <w:rsid w:val="009F4F27"/>
    <w:rsid w:val="009F5482"/>
    <w:rsid w:val="00A001F9"/>
    <w:rsid w:val="00A00556"/>
    <w:rsid w:val="00A00A52"/>
    <w:rsid w:val="00A01382"/>
    <w:rsid w:val="00A01CAA"/>
    <w:rsid w:val="00A01EC9"/>
    <w:rsid w:val="00A03A55"/>
    <w:rsid w:val="00A04051"/>
    <w:rsid w:val="00A0589B"/>
    <w:rsid w:val="00A13758"/>
    <w:rsid w:val="00A17ACD"/>
    <w:rsid w:val="00A2654C"/>
    <w:rsid w:val="00A26B7B"/>
    <w:rsid w:val="00A307EA"/>
    <w:rsid w:val="00A31020"/>
    <w:rsid w:val="00A3201C"/>
    <w:rsid w:val="00A3262B"/>
    <w:rsid w:val="00A32CCE"/>
    <w:rsid w:val="00A332A8"/>
    <w:rsid w:val="00A36F25"/>
    <w:rsid w:val="00A42220"/>
    <w:rsid w:val="00A43F3E"/>
    <w:rsid w:val="00A45D80"/>
    <w:rsid w:val="00A466B5"/>
    <w:rsid w:val="00A4710A"/>
    <w:rsid w:val="00A50489"/>
    <w:rsid w:val="00A506CE"/>
    <w:rsid w:val="00A5185D"/>
    <w:rsid w:val="00A52353"/>
    <w:rsid w:val="00A52628"/>
    <w:rsid w:val="00A52D3E"/>
    <w:rsid w:val="00A55FD9"/>
    <w:rsid w:val="00A57301"/>
    <w:rsid w:val="00A60790"/>
    <w:rsid w:val="00A60D12"/>
    <w:rsid w:val="00A612F3"/>
    <w:rsid w:val="00A63021"/>
    <w:rsid w:val="00A633B5"/>
    <w:rsid w:val="00A647FC"/>
    <w:rsid w:val="00A6594D"/>
    <w:rsid w:val="00A71CDC"/>
    <w:rsid w:val="00A72531"/>
    <w:rsid w:val="00A72D8F"/>
    <w:rsid w:val="00A735E7"/>
    <w:rsid w:val="00A73628"/>
    <w:rsid w:val="00A81B5B"/>
    <w:rsid w:val="00A82353"/>
    <w:rsid w:val="00A834F5"/>
    <w:rsid w:val="00A85CAB"/>
    <w:rsid w:val="00A8631F"/>
    <w:rsid w:val="00A86E4F"/>
    <w:rsid w:val="00A8736F"/>
    <w:rsid w:val="00A878E3"/>
    <w:rsid w:val="00A90764"/>
    <w:rsid w:val="00A9139D"/>
    <w:rsid w:val="00A94C35"/>
    <w:rsid w:val="00A95BE3"/>
    <w:rsid w:val="00AA0108"/>
    <w:rsid w:val="00AA1D70"/>
    <w:rsid w:val="00AA32E2"/>
    <w:rsid w:val="00AA3F65"/>
    <w:rsid w:val="00AA452F"/>
    <w:rsid w:val="00AA4FAA"/>
    <w:rsid w:val="00AB05A3"/>
    <w:rsid w:val="00AB0E88"/>
    <w:rsid w:val="00AB113F"/>
    <w:rsid w:val="00AB2A77"/>
    <w:rsid w:val="00AB2F6A"/>
    <w:rsid w:val="00AB7164"/>
    <w:rsid w:val="00AB7D2F"/>
    <w:rsid w:val="00AC14C3"/>
    <w:rsid w:val="00AC1E57"/>
    <w:rsid w:val="00AC33FE"/>
    <w:rsid w:val="00AC3703"/>
    <w:rsid w:val="00AC3C17"/>
    <w:rsid w:val="00AC48E3"/>
    <w:rsid w:val="00AC5BE1"/>
    <w:rsid w:val="00AC6BDD"/>
    <w:rsid w:val="00AD5A90"/>
    <w:rsid w:val="00AD7140"/>
    <w:rsid w:val="00AD78F9"/>
    <w:rsid w:val="00AD7AED"/>
    <w:rsid w:val="00AE341D"/>
    <w:rsid w:val="00AE5C01"/>
    <w:rsid w:val="00AE71F9"/>
    <w:rsid w:val="00AF08CA"/>
    <w:rsid w:val="00AF4431"/>
    <w:rsid w:val="00AF59CB"/>
    <w:rsid w:val="00AF6240"/>
    <w:rsid w:val="00AF650D"/>
    <w:rsid w:val="00AF6EAA"/>
    <w:rsid w:val="00B0291D"/>
    <w:rsid w:val="00B02997"/>
    <w:rsid w:val="00B12B80"/>
    <w:rsid w:val="00B14DBE"/>
    <w:rsid w:val="00B150B7"/>
    <w:rsid w:val="00B155AD"/>
    <w:rsid w:val="00B171BF"/>
    <w:rsid w:val="00B1761C"/>
    <w:rsid w:val="00B20D1F"/>
    <w:rsid w:val="00B21F6D"/>
    <w:rsid w:val="00B22175"/>
    <w:rsid w:val="00B24CB3"/>
    <w:rsid w:val="00B266BB"/>
    <w:rsid w:val="00B26C0C"/>
    <w:rsid w:val="00B27EEB"/>
    <w:rsid w:val="00B3022A"/>
    <w:rsid w:val="00B30DFD"/>
    <w:rsid w:val="00B34205"/>
    <w:rsid w:val="00B3449A"/>
    <w:rsid w:val="00B35167"/>
    <w:rsid w:val="00B3558F"/>
    <w:rsid w:val="00B3649C"/>
    <w:rsid w:val="00B36562"/>
    <w:rsid w:val="00B3661E"/>
    <w:rsid w:val="00B37EC2"/>
    <w:rsid w:val="00B4036F"/>
    <w:rsid w:val="00B41532"/>
    <w:rsid w:val="00B41841"/>
    <w:rsid w:val="00B41E6A"/>
    <w:rsid w:val="00B421A4"/>
    <w:rsid w:val="00B43175"/>
    <w:rsid w:val="00B431B6"/>
    <w:rsid w:val="00B44933"/>
    <w:rsid w:val="00B50EC6"/>
    <w:rsid w:val="00B510EB"/>
    <w:rsid w:val="00B51872"/>
    <w:rsid w:val="00B5274A"/>
    <w:rsid w:val="00B5384A"/>
    <w:rsid w:val="00B56A5B"/>
    <w:rsid w:val="00B56AF4"/>
    <w:rsid w:val="00B62D88"/>
    <w:rsid w:val="00B63CD3"/>
    <w:rsid w:val="00B654F8"/>
    <w:rsid w:val="00B74638"/>
    <w:rsid w:val="00B74BAF"/>
    <w:rsid w:val="00B772FB"/>
    <w:rsid w:val="00B7738E"/>
    <w:rsid w:val="00B777EA"/>
    <w:rsid w:val="00B81088"/>
    <w:rsid w:val="00B81A0C"/>
    <w:rsid w:val="00B81A81"/>
    <w:rsid w:val="00B84897"/>
    <w:rsid w:val="00B85993"/>
    <w:rsid w:val="00B92461"/>
    <w:rsid w:val="00B94E92"/>
    <w:rsid w:val="00B96280"/>
    <w:rsid w:val="00B964B6"/>
    <w:rsid w:val="00B96917"/>
    <w:rsid w:val="00B97CB6"/>
    <w:rsid w:val="00B97EF7"/>
    <w:rsid w:val="00BA04D6"/>
    <w:rsid w:val="00BA0AAA"/>
    <w:rsid w:val="00BA0B99"/>
    <w:rsid w:val="00BA29D4"/>
    <w:rsid w:val="00BA2CAA"/>
    <w:rsid w:val="00BA3B90"/>
    <w:rsid w:val="00BA3C30"/>
    <w:rsid w:val="00BA3C7D"/>
    <w:rsid w:val="00BA3CDE"/>
    <w:rsid w:val="00BA4CDD"/>
    <w:rsid w:val="00BA5B95"/>
    <w:rsid w:val="00BA6248"/>
    <w:rsid w:val="00BA6706"/>
    <w:rsid w:val="00BA72FF"/>
    <w:rsid w:val="00BA7B00"/>
    <w:rsid w:val="00BB0900"/>
    <w:rsid w:val="00BB0CBF"/>
    <w:rsid w:val="00BB22AC"/>
    <w:rsid w:val="00BB52E2"/>
    <w:rsid w:val="00BB5EB8"/>
    <w:rsid w:val="00BB7135"/>
    <w:rsid w:val="00BC28C7"/>
    <w:rsid w:val="00BC328A"/>
    <w:rsid w:val="00BC705E"/>
    <w:rsid w:val="00BD01A0"/>
    <w:rsid w:val="00BD27C7"/>
    <w:rsid w:val="00BD2817"/>
    <w:rsid w:val="00BD379C"/>
    <w:rsid w:val="00BD5DCB"/>
    <w:rsid w:val="00BD6EF0"/>
    <w:rsid w:val="00BE0DDB"/>
    <w:rsid w:val="00BE178C"/>
    <w:rsid w:val="00BE1A45"/>
    <w:rsid w:val="00BE22AE"/>
    <w:rsid w:val="00BE24F2"/>
    <w:rsid w:val="00BE26FE"/>
    <w:rsid w:val="00BE42CD"/>
    <w:rsid w:val="00BE5CFE"/>
    <w:rsid w:val="00BE66A3"/>
    <w:rsid w:val="00BE6782"/>
    <w:rsid w:val="00BE6891"/>
    <w:rsid w:val="00BE75A5"/>
    <w:rsid w:val="00BF13C2"/>
    <w:rsid w:val="00BF13C7"/>
    <w:rsid w:val="00BF2072"/>
    <w:rsid w:val="00BF29BD"/>
    <w:rsid w:val="00BF5CB6"/>
    <w:rsid w:val="00BF7503"/>
    <w:rsid w:val="00C01798"/>
    <w:rsid w:val="00C01A47"/>
    <w:rsid w:val="00C024B7"/>
    <w:rsid w:val="00C04F6F"/>
    <w:rsid w:val="00C05B0F"/>
    <w:rsid w:val="00C061A0"/>
    <w:rsid w:val="00C06298"/>
    <w:rsid w:val="00C112EC"/>
    <w:rsid w:val="00C11AAF"/>
    <w:rsid w:val="00C13341"/>
    <w:rsid w:val="00C13F76"/>
    <w:rsid w:val="00C156F8"/>
    <w:rsid w:val="00C15846"/>
    <w:rsid w:val="00C16540"/>
    <w:rsid w:val="00C179FB"/>
    <w:rsid w:val="00C2229E"/>
    <w:rsid w:val="00C24E21"/>
    <w:rsid w:val="00C25B79"/>
    <w:rsid w:val="00C27434"/>
    <w:rsid w:val="00C276B5"/>
    <w:rsid w:val="00C33056"/>
    <w:rsid w:val="00C331E1"/>
    <w:rsid w:val="00C33E89"/>
    <w:rsid w:val="00C35709"/>
    <w:rsid w:val="00C3593F"/>
    <w:rsid w:val="00C363A8"/>
    <w:rsid w:val="00C40970"/>
    <w:rsid w:val="00C40E5C"/>
    <w:rsid w:val="00C42788"/>
    <w:rsid w:val="00C43E57"/>
    <w:rsid w:val="00C45E40"/>
    <w:rsid w:val="00C46BB6"/>
    <w:rsid w:val="00C46C0C"/>
    <w:rsid w:val="00C50C54"/>
    <w:rsid w:val="00C53EFF"/>
    <w:rsid w:val="00C54A07"/>
    <w:rsid w:val="00C55DA3"/>
    <w:rsid w:val="00C57549"/>
    <w:rsid w:val="00C57B2D"/>
    <w:rsid w:val="00C57DEF"/>
    <w:rsid w:val="00C634E2"/>
    <w:rsid w:val="00C63FA6"/>
    <w:rsid w:val="00C6496A"/>
    <w:rsid w:val="00C675D2"/>
    <w:rsid w:val="00C7352F"/>
    <w:rsid w:val="00C7481D"/>
    <w:rsid w:val="00C74E0A"/>
    <w:rsid w:val="00C80C91"/>
    <w:rsid w:val="00C84E63"/>
    <w:rsid w:val="00C86811"/>
    <w:rsid w:val="00C86818"/>
    <w:rsid w:val="00C87F2A"/>
    <w:rsid w:val="00C91F0C"/>
    <w:rsid w:val="00C9251F"/>
    <w:rsid w:val="00C951C6"/>
    <w:rsid w:val="00C9543D"/>
    <w:rsid w:val="00C96946"/>
    <w:rsid w:val="00C97D80"/>
    <w:rsid w:val="00CA1C3E"/>
    <w:rsid w:val="00CA25F9"/>
    <w:rsid w:val="00CA3866"/>
    <w:rsid w:val="00CA51A4"/>
    <w:rsid w:val="00CA6426"/>
    <w:rsid w:val="00CA7DE0"/>
    <w:rsid w:val="00CB2447"/>
    <w:rsid w:val="00CB2A13"/>
    <w:rsid w:val="00CB5A96"/>
    <w:rsid w:val="00CB6AF3"/>
    <w:rsid w:val="00CC0CFE"/>
    <w:rsid w:val="00CC17F7"/>
    <w:rsid w:val="00CC1D51"/>
    <w:rsid w:val="00CC1FBD"/>
    <w:rsid w:val="00CC2269"/>
    <w:rsid w:val="00CC3E19"/>
    <w:rsid w:val="00CC7C78"/>
    <w:rsid w:val="00CD20DA"/>
    <w:rsid w:val="00CD330B"/>
    <w:rsid w:val="00CD4CEB"/>
    <w:rsid w:val="00CD5531"/>
    <w:rsid w:val="00CD5DC4"/>
    <w:rsid w:val="00CD753C"/>
    <w:rsid w:val="00CD7772"/>
    <w:rsid w:val="00CE112E"/>
    <w:rsid w:val="00CE5C1C"/>
    <w:rsid w:val="00CE690C"/>
    <w:rsid w:val="00CE69D6"/>
    <w:rsid w:val="00CF326E"/>
    <w:rsid w:val="00CF3F24"/>
    <w:rsid w:val="00CF519A"/>
    <w:rsid w:val="00CF51E3"/>
    <w:rsid w:val="00CF6819"/>
    <w:rsid w:val="00CF6A59"/>
    <w:rsid w:val="00D004B8"/>
    <w:rsid w:val="00D02FCE"/>
    <w:rsid w:val="00D0369F"/>
    <w:rsid w:val="00D0441A"/>
    <w:rsid w:val="00D053A7"/>
    <w:rsid w:val="00D0720F"/>
    <w:rsid w:val="00D07322"/>
    <w:rsid w:val="00D079F9"/>
    <w:rsid w:val="00D07E45"/>
    <w:rsid w:val="00D11534"/>
    <w:rsid w:val="00D126C1"/>
    <w:rsid w:val="00D1294B"/>
    <w:rsid w:val="00D12AA4"/>
    <w:rsid w:val="00D1338D"/>
    <w:rsid w:val="00D15142"/>
    <w:rsid w:val="00D159C6"/>
    <w:rsid w:val="00D16576"/>
    <w:rsid w:val="00D168E5"/>
    <w:rsid w:val="00D2135B"/>
    <w:rsid w:val="00D23052"/>
    <w:rsid w:val="00D236EB"/>
    <w:rsid w:val="00D24329"/>
    <w:rsid w:val="00D263A6"/>
    <w:rsid w:val="00D26FDC"/>
    <w:rsid w:val="00D2788E"/>
    <w:rsid w:val="00D315E9"/>
    <w:rsid w:val="00D33BD1"/>
    <w:rsid w:val="00D34DFC"/>
    <w:rsid w:val="00D34FA5"/>
    <w:rsid w:val="00D36748"/>
    <w:rsid w:val="00D37177"/>
    <w:rsid w:val="00D402C9"/>
    <w:rsid w:val="00D45753"/>
    <w:rsid w:val="00D4794A"/>
    <w:rsid w:val="00D47D4E"/>
    <w:rsid w:val="00D51BE2"/>
    <w:rsid w:val="00D5313E"/>
    <w:rsid w:val="00D53705"/>
    <w:rsid w:val="00D53C9E"/>
    <w:rsid w:val="00D57B1F"/>
    <w:rsid w:val="00D6186A"/>
    <w:rsid w:val="00D6216C"/>
    <w:rsid w:val="00D622D8"/>
    <w:rsid w:val="00D62FF0"/>
    <w:rsid w:val="00D63430"/>
    <w:rsid w:val="00D63E2C"/>
    <w:rsid w:val="00D64BFE"/>
    <w:rsid w:val="00D66CA0"/>
    <w:rsid w:val="00D67E8D"/>
    <w:rsid w:val="00D72DB9"/>
    <w:rsid w:val="00D741E6"/>
    <w:rsid w:val="00D766D4"/>
    <w:rsid w:val="00D76ED3"/>
    <w:rsid w:val="00D770FF"/>
    <w:rsid w:val="00D77969"/>
    <w:rsid w:val="00D80B40"/>
    <w:rsid w:val="00D84C2C"/>
    <w:rsid w:val="00D84F5B"/>
    <w:rsid w:val="00D8711E"/>
    <w:rsid w:val="00D8757F"/>
    <w:rsid w:val="00D90FC8"/>
    <w:rsid w:val="00D91056"/>
    <w:rsid w:val="00D91113"/>
    <w:rsid w:val="00D911DD"/>
    <w:rsid w:val="00D927CD"/>
    <w:rsid w:val="00D92DF0"/>
    <w:rsid w:val="00D93977"/>
    <w:rsid w:val="00D93F49"/>
    <w:rsid w:val="00D94FAE"/>
    <w:rsid w:val="00D97FBC"/>
    <w:rsid w:val="00DA0375"/>
    <w:rsid w:val="00DA055B"/>
    <w:rsid w:val="00DA1044"/>
    <w:rsid w:val="00DA1814"/>
    <w:rsid w:val="00DA2803"/>
    <w:rsid w:val="00DA2BD5"/>
    <w:rsid w:val="00DA3121"/>
    <w:rsid w:val="00DA4ACE"/>
    <w:rsid w:val="00DA4B32"/>
    <w:rsid w:val="00DA6088"/>
    <w:rsid w:val="00DA689B"/>
    <w:rsid w:val="00DA69DB"/>
    <w:rsid w:val="00DB11DA"/>
    <w:rsid w:val="00DB12D8"/>
    <w:rsid w:val="00DB1E31"/>
    <w:rsid w:val="00DB38C9"/>
    <w:rsid w:val="00DB64A2"/>
    <w:rsid w:val="00DB6C7F"/>
    <w:rsid w:val="00DB747F"/>
    <w:rsid w:val="00DB7570"/>
    <w:rsid w:val="00DB777E"/>
    <w:rsid w:val="00DB7A95"/>
    <w:rsid w:val="00DC0BBA"/>
    <w:rsid w:val="00DC1644"/>
    <w:rsid w:val="00DC46B9"/>
    <w:rsid w:val="00DC483F"/>
    <w:rsid w:val="00DC48C0"/>
    <w:rsid w:val="00DC6746"/>
    <w:rsid w:val="00DC7375"/>
    <w:rsid w:val="00DD07C6"/>
    <w:rsid w:val="00DD0D83"/>
    <w:rsid w:val="00DD24E0"/>
    <w:rsid w:val="00DD31F4"/>
    <w:rsid w:val="00DD4D71"/>
    <w:rsid w:val="00DD623B"/>
    <w:rsid w:val="00DD71E1"/>
    <w:rsid w:val="00DD782B"/>
    <w:rsid w:val="00DE0331"/>
    <w:rsid w:val="00DE1B00"/>
    <w:rsid w:val="00DE2F62"/>
    <w:rsid w:val="00DE43A9"/>
    <w:rsid w:val="00DE5245"/>
    <w:rsid w:val="00DE7775"/>
    <w:rsid w:val="00DE78A1"/>
    <w:rsid w:val="00DE7A8E"/>
    <w:rsid w:val="00DF014B"/>
    <w:rsid w:val="00DF128C"/>
    <w:rsid w:val="00DF1C4D"/>
    <w:rsid w:val="00DF5FB3"/>
    <w:rsid w:val="00DF783B"/>
    <w:rsid w:val="00E0258C"/>
    <w:rsid w:val="00E02D69"/>
    <w:rsid w:val="00E04807"/>
    <w:rsid w:val="00E0584F"/>
    <w:rsid w:val="00E06743"/>
    <w:rsid w:val="00E06945"/>
    <w:rsid w:val="00E1353D"/>
    <w:rsid w:val="00E13FEC"/>
    <w:rsid w:val="00E143B3"/>
    <w:rsid w:val="00E1492E"/>
    <w:rsid w:val="00E152DD"/>
    <w:rsid w:val="00E17639"/>
    <w:rsid w:val="00E1790D"/>
    <w:rsid w:val="00E2040F"/>
    <w:rsid w:val="00E20A05"/>
    <w:rsid w:val="00E20BA6"/>
    <w:rsid w:val="00E20E3A"/>
    <w:rsid w:val="00E218C5"/>
    <w:rsid w:val="00E21999"/>
    <w:rsid w:val="00E24352"/>
    <w:rsid w:val="00E3064B"/>
    <w:rsid w:val="00E35E2B"/>
    <w:rsid w:val="00E37C11"/>
    <w:rsid w:val="00E40EF9"/>
    <w:rsid w:val="00E42E61"/>
    <w:rsid w:val="00E443D1"/>
    <w:rsid w:val="00E44675"/>
    <w:rsid w:val="00E51FC4"/>
    <w:rsid w:val="00E528C9"/>
    <w:rsid w:val="00E53E9B"/>
    <w:rsid w:val="00E543D7"/>
    <w:rsid w:val="00E5461F"/>
    <w:rsid w:val="00E54AAA"/>
    <w:rsid w:val="00E55BCD"/>
    <w:rsid w:val="00E56A31"/>
    <w:rsid w:val="00E6178D"/>
    <w:rsid w:val="00E62AAF"/>
    <w:rsid w:val="00E62CA6"/>
    <w:rsid w:val="00E63758"/>
    <w:rsid w:val="00E6474B"/>
    <w:rsid w:val="00E64778"/>
    <w:rsid w:val="00E654C8"/>
    <w:rsid w:val="00E65820"/>
    <w:rsid w:val="00E67996"/>
    <w:rsid w:val="00E67C9D"/>
    <w:rsid w:val="00E7098B"/>
    <w:rsid w:val="00E71972"/>
    <w:rsid w:val="00E72229"/>
    <w:rsid w:val="00E733BC"/>
    <w:rsid w:val="00E743A7"/>
    <w:rsid w:val="00E750BF"/>
    <w:rsid w:val="00E801A3"/>
    <w:rsid w:val="00E84CFC"/>
    <w:rsid w:val="00E85B7E"/>
    <w:rsid w:val="00E903DA"/>
    <w:rsid w:val="00E923BB"/>
    <w:rsid w:val="00E923E5"/>
    <w:rsid w:val="00E92A06"/>
    <w:rsid w:val="00E93999"/>
    <w:rsid w:val="00E9450E"/>
    <w:rsid w:val="00E945B7"/>
    <w:rsid w:val="00E9530F"/>
    <w:rsid w:val="00E9790C"/>
    <w:rsid w:val="00E97AA7"/>
    <w:rsid w:val="00EA01A2"/>
    <w:rsid w:val="00EA0862"/>
    <w:rsid w:val="00EA1D20"/>
    <w:rsid w:val="00EA3302"/>
    <w:rsid w:val="00EA3F7A"/>
    <w:rsid w:val="00EA4C2F"/>
    <w:rsid w:val="00EB0AAA"/>
    <w:rsid w:val="00EB5618"/>
    <w:rsid w:val="00EB65F3"/>
    <w:rsid w:val="00EC0797"/>
    <w:rsid w:val="00EC564E"/>
    <w:rsid w:val="00EC7221"/>
    <w:rsid w:val="00ED095B"/>
    <w:rsid w:val="00ED0D3C"/>
    <w:rsid w:val="00ED4D4D"/>
    <w:rsid w:val="00ED6261"/>
    <w:rsid w:val="00ED7899"/>
    <w:rsid w:val="00ED7A95"/>
    <w:rsid w:val="00ED7EEE"/>
    <w:rsid w:val="00EE04F8"/>
    <w:rsid w:val="00EE0749"/>
    <w:rsid w:val="00EE081E"/>
    <w:rsid w:val="00EE3032"/>
    <w:rsid w:val="00EE5AAA"/>
    <w:rsid w:val="00EE6305"/>
    <w:rsid w:val="00EE72DE"/>
    <w:rsid w:val="00EF10ED"/>
    <w:rsid w:val="00EF31CD"/>
    <w:rsid w:val="00EF37A1"/>
    <w:rsid w:val="00EF37CB"/>
    <w:rsid w:val="00EF3E33"/>
    <w:rsid w:val="00EF4D0F"/>
    <w:rsid w:val="00EF5FD2"/>
    <w:rsid w:val="00EF6B3F"/>
    <w:rsid w:val="00F00BDE"/>
    <w:rsid w:val="00F02B0D"/>
    <w:rsid w:val="00F02FC5"/>
    <w:rsid w:val="00F048C2"/>
    <w:rsid w:val="00F070B0"/>
    <w:rsid w:val="00F1111B"/>
    <w:rsid w:val="00F14A39"/>
    <w:rsid w:val="00F14C8A"/>
    <w:rsid w:val="00F15C0F"/>
    <w:rsid w:val="00F164CC"/>
    <w:rsid w:val="00F171B2"/>
    <w:rsid w:val="00F17E00"/>
    <w:rsid w:val="00F21B1B"/>
    <w:rsid w:val="00F2328C"/>
    <w:rsid w:val="00F2344B"/>
    <w:rsid w:val="00F23FE2"/>
    <w:rsid w:val="00F26984"/>
    <w:rsid w:val="00F31282"/>
    <w:rsid w:val="00F320F0"/>
    <w:rsid w:val="00F320FB"/>
    <w:rsid w:val="00F323CF"/>
    <w:rsid w:val="00F35198"/>
    <w:rsid w:val="00F40334"/>
    <w:rsid w:val="00F40D31"/>
    <w:rsid w:val="00F41B09"/>
    <w:rsid w:val="00F41DF0"/>
    <w:rsid w:val="00F42E1D"/>
    <w:rsid w:val="00F43355"/>
    <w:rsid w:val="00F457F4"/>
    <w:rsid w:val="00F50B3A"/>
    <w:rsid w:val="00F51734"/>
    <w:rsid w:val="00F5375D"/>
    <w:rsid w:val="00F537DC"/>
    <w:rsid w:val="00F54D67"/>
    <w:rsid w:val="00F55601"/>
    <w:rsid w:val="00F572F2"/>
    <w:rsid w:val="00F600D0"/>
    <w:rsid w:val="00F60797"/>
    <w:rsid w:val="00F61651"/>
    <w:rsid w:val="00F61789"/>
    <w:rsid w:val="00F62879"/>
    <w:rsid w:val="00F62A9F"/>
    <w:rsid w:val="00F63378"/>
    <w:rsid w:val="00F66DC3"/>
    <w:rsid w:val="00F71941"/>
    <w:rsid w:val="00F727DA"/>
    <w:rsid w:val="00F72DC5"/>
    <w:rsid w:val="00F74E63"/>
    <w:rsid w:val="00F76809"/>
    <w:rsid w:val="00F76E2F"/>
    <w:rsid w:val="00F76F6B"/>
    <w:rsid w:val="00F774EC"/>
    <w:rsid w:val="00F77D61"/>
    <w:rsid w:val="00F80389"/>
    <w:rsid w:val="00F806BF"/>
    <w:rsid w:val="00F84C41"/>
    <w:rsid w:val="00F85F13"/>
    <w:rsid w:val="00F87723"/>
    <w:rsid w:val="00F90AB4"/>
    <w:rsid w:val="00F92F15"/>
    <w:rsid w:val="00F93158"/>
    <w:rsid w:val="00F94C1F"/>
    <w:rsid w:val="00F9592D"/>
    <w:rsid w:val="00F966DF"/>
    <w:rsid w:val="00F96C89"/>
    <w:rsid w:val="00F96DF8"/>
    <w:rsid w:val="00FA060F"/>
    <w:rsid w:val="00FA35D0"/>
    <w:rsid w:val="00FA4D76"/>
    <w:rsid w:val="00FA6F79"/>
    <w:rsid w:val="00FB3CB8"/>
    <w:rsid w:val="00FB4907"/>
    <w:rsid w:val="00FB66F1"/>
    <w:rsid w:val="00FB7450"/>
    <w:rsid w:val="00FB75B2"/>
    <w:rsid w:val="00FC18CC"/>
    <w:rsid w:val="00FC2917"/>
    <w:rsid w:val="00FC38F8"/>
    <w:rsid w:val="00FC422B"/>
    <w:rsid w:val="00FC4825"/>
    <w:rsid w:val="00FC5935"/>
    <w:rsid w:val="00FC6FD4"/>
    <w:rsid w:val="00FC7D9A"/>
    <w:rsid w:val="00FD0332"/>
    <w:rsid w:val="00FD4825"/>
    <w:rsid w:val="00FD4990"/>
    <w:rsid w:val="00FD659D"/>
    <w:rsid w:val="00FD7C4B"/>
    <w:rsid w:val="00FE0886"/>
    <w:rsid w:val="00FE1153"/>
    <w:rsid w:val="00FE265F"/>
    <w:rsid w:val="00FE26AC"/>
    <w:rsid w:val="00FE3A2E"/>
    <w:rsid w:val="00FE60EF"/>
    <w:rsid w:val="00FE71BA"/>
    <w:rsid w:val="00FF07DA"/>
    <w:rsid w:val="00FF1CBD"/>
    <w:rsid w:val="00FF26E0"/>
    <w:rsid w:val="00FF36A4"/>
    <w:rsid w:val="00FF4BBF"/>
    <w:rsid w:val="00FF4E2E"/>
    <w:rsid w:val="00FF5B98"/>
    <w:rsid w:val="00FF71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CB7B32"/>
  <w15:docId w15:val="{0293BCC3-7986-40E2-9662-0BBDBFB04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AA8"/>
  </w:style>
  <w:style w:type="paragraph" w:styleId="Heading1">
    <w:name w:val="heading 1"/>
    <w:basedOn w:val="Normal"/>
    <w:next w:val="Normal"/>
    <w:link w:val="Heading1Char"/>
    <w:autoRedefine/>
    <w:uiPriority w:val="9"/>
    <w:qFormat/>
    <w:rsid w:val="003B429F"/>
    <w:pPr>
      <w:keepNext/>
      <w:keepLines/>
      <w:spacing w:before="360" w:after="0" w:line="240" w:lineRule="auto"/>
      <w:outlineLvl w:val="0"/>
    </w:pPr>
    <w:rPr>
      <w:rFonts w:ascii="Times New Roman" w:eastAsia="Calibri" w:hAnsi="Times New Roman" w:cstheme="majorBidi"/>
      <w:b/>
      <w:i/>
      <w:sz w:val="24"/>
      <w:szCs w:val="24"/>
    </w:rPr>
  </w:style>
  <w:style w:type="paragraph" w:styleId="Heading2">
    <w:name w:val="heading 2"/>
    <w:basedOn w:val="Normal"/>
    <w:next w:val="Normal"/>
    <w:link w:val="Heading2Char"/>
    <w:autoRedefine/>
    <w:uiPriority w:val="9"/>
    <w:unhideWhenUsed/>
    <w:qFormat/>
    <w:rsid w:val="0052549A"/>
    <w:pPr>
      <w:keepNext/>
      <w:keepLines/>
      <w:spacing w:before="160" w:after="120" w:line="240" w:lineRule="auto"/>
      <w:jc w:val="both"/>
      <w:outlineLvl w:val="1"/>
    </w:pPr>
    <w:rPr>
      <w:rFonts w:ascii="Times New Roman" w:eastAsia="Calibri" w:hAnsi="Times New Roman" w:cs="Times New Roman"/>
      <w:b/>
      <w:i/>
      <w:sz w:val="24"/>
      <w:szCs w:val="24"/>
    </w:rPr>
  </w:style>
  <w:style w:type="paragraph" w:styleId="Heading3">
    <w:name w:val="heading 3"/>
    <w:basedOn w:val="Normal"/>
    <w:next w:val="Normal"/>
    <w:link w:val="Heading3Char"/>
    <w:autoRedefine/>
    <w:uiPriority w:val="9"/>
    <w:unhideWhenUsed/>
    <w:qFormat/>
    <w:rsid w:val="008D7A28"/>
    <w:pPr>
      <w:keepNext/>
      <w:keepLines/>
      <w:spacing w:after="120" w:line="360" w:lineRule="auto"/>
      <w:jc w:val="both"/>
      <w:outlineLvl w:val="2"/>
    </w:pPr>
    <w:rPr>
      <w:rFonts w:ascii="Times New Roman" w:eastAsia="Calibri" w:hAnsi="Times New Roman" w:cs="Times New Roman"/>
      <w:b/>
      <w:bCs/>
      <w:i/>
      <w:sz w:val="24"/>
      <w:szCs w:val="24"/>
    </w:rPr>
  </w:style>
  <w:style w:type="paragraph" w:styleId="Heading4">
    <w:name w:val="heading 4"/>
    <w:basedOn w:val="Normal"/>
    <w:next w:val="Normal"/>
    <w:link w:val="Heading4Char"/>
    <w:uiPriority w:val="9"/>
    <w:semiHidden/>
    <w:unhideWhenUsed/>
    <w:qFormat/>
    <w:rsid w:val="005E6BDB"/>
    <w:pPr>
      <w:keepNext/>
      <w:keepLines/>
      <w:spacing w:before="40" w:after="0" w:line="360" w:lineRule="auto"/>
      <w:jc w:val="both"/>
      <w:outlineLvl w:val="3"/>
    </w:pPr>
    <w:rPr>
      <w:rFonts w:ascii="Times New Roman" w:eastAsiaTheme="majorEastAsia" w:hAnsi="Times New Roman"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2646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Header">
    <w:name w:val="header"/>
    <w:basedOn w:val="Normal"/>
    <w:link w:val="HeaderChar"/>
    <w:uiPriority w:val="99"/>
    <w:unhideWhenUsed/>
    <w:rsid w:val="00675EFD"/>
    <w:pPr>
      <w:tabs>
        <w:tab w:val="center" w:pos="4153"/>
        <w:tab w:val="right" w:pos="8306"/>
      </w:tabs>
      <w:spacing w:after="0" w:line="240" w:lineRule="auto"/>
    </w:pPr>
  </w:style>
  <w:style w:type="character" w:customStyle="1" w:styleId="HeaderChar">
    <w:name w:val="Header Char"/>
    <w:basedOn w:val="DefaultParagraphFont"/>
    <w:link w:val="Header"/>
    <w:uiPriority w:val="99"/>
    <w:rsid w:val="00675EFD"/>
  </w:style>
  <w:style w:type="paragraph" w:styleId="Footer">
    <w:name w:val="footer"/>
    <w:basedOn w:val="Normal"/>
    <w:link w:val="FooterChar"/>
    <w:uiPriority w:val="99"/>
    <w:unhideWhenUsed/>
    <w:rsid w:val="00675EFD"/>
    <w:pPr>
      <w:tabs>
        <w:tab w:val="center" w:pos="4153"/>
        <w:tab w:val="right" w:pos="8306"/>
      </w:tabs>
      <w:spacing w:after="0" w:line="240" w:lineRule="auto"/>
    </w:pPr>
  </w:style>
  <w:style w:type="character" w:customStyle="1" w:styleId="FooterChar">
    <w:name w:val="Footer Char"/>
    <w:basedOn w:val="DefaultParagraphFont"/>
    <w:link w:val="Footer"/>
    <w:uiPriority w:val="99"/>
    <w:rsid w:val="00675EFD"/>
  </w:style>
  <w:style w:type="character" w:customStyle="1" w:styleId="fontstyle01">
    <w:name w:val="fontstyle01"/>
    <w:basedOn w:val="DefaultParagraphFont"/>
    <w:rsid w:val="00D741E6"/>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D741E6"/>
    <w:rPr>
      <w:rFonts w:ascii="Times New Roman" w:hAnsi="Times New Roman" w:cs="Times New Roman" w:hint="default"/>
      <w:b w:val="0"/>
      <w:bCs w:val="0"/>
      <w:i/>
      <w:iCs/>
      <w:color w:val="000000"/>
      <w:sz w:val="24"/>
      <w:szCs w:val="24"/>
    </w:rPr>
  </w:style>
  <w:style w:type="character" w:customStyle="1" w:styleId="fontstyle11">
    <w:name w:val="fontstyle11"/>
    <w:basedOn w:val="DefaultParagraphFont"/>
    <w:rsid w:val="002A450B"/>
    <w:rPr>
      <w:rFonts w:ascii="Palatino-Roman" w:hAnsi="Palatino-Roman" w:hint="default"/>
      <w:b w:val="0"/>
      <w:bCs w:val="0"/>
      <w:i w:val="0"/>
      <w:iCs w:val="0"/>
      <w:color w:val="000000"/>
      <w:sz w:val="20"/>
      <w:szCs w:val="20"/>
    </w:rPr>
  </w:style>
  <w:style w:type="paragraph" w:styleId="ListParagraph">
    <w:name w:val="List Paragraph"/>
    <w:basedOn w:val="Normal"/>
    <w:uiPriority w:val="34"/>
    <w:qFormat/>
    <w:rsid w:val="00125174"/>
    <w:pPr>
      <w:ind w:left="720"/>
      <w:contextualSpacing/>
    </w:pPr>
  </w:style>
  <w:style w:type="character" w:styleId="Hyperlink">
    <w:name w:val="Hyperlink"/>
    <w:basedOn w:val="DefaultParagraphFont"/>
    <w:uiPriority w:val="99"/>
    <w:unhideWhenUsed/>
    <w:rsid w:val="00430AFC"/>
    <w:rPr>
      <w:color w:val="0000FF" w:themeColor="hyperlink"/>
      <w:u w:val="single"/>
    </w:rPr>
  </w:style>
  <w:style w:type="table" w:styleId="TableGrid">
    <w:name w:val="Table Grid"/>
    <w:basedOn w:val="TableNormal"/>
    <w:uiPriority w:val="59"/>
    <w:rsid w:val="001C3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B429F"/>
    <w:rPr>
      <w:rFonts w:ascii="Times New Roman" w:eastAsia="Calibri" w:hAnsi="Times New Roman" w:cstheme="majorBidi"/>
      <w:b/>
      <w:i/>
      <w:sz w:val="24"/>
      <w:szCs w:val="24"/>
    </w:rPr>
  </w:style>
  <w:style w:type="character" w:customStyle="1" w:styleId="Heading2Char">
    <w:name w:val="Heading 2 Char"/>
    <w:basedOn w:val="DefaultParagraphFont"/>
    <w:link w:val="Heading2"/>
    <w:uiPriority w:val="9"/>
    <w:rsid w:val="0052549A"/>
    <w:rPr>
      <w:rFonts w:ascii="Times New Roman" w:eastAsia="Calibri" w:hAnsi="Times New Roman" w:cs="Times New Roman"/>
      <w:b/>
      <w:i/>
      <w:sz w:val="24"/>
      <w:szCs w:val="24"/>
    </w:rPr>
  </w:style>
  <w:style w:type="paragraph" w:styleId="TOCHeading">
    <w:name w:val="TOC Heading"/>
    <w:basedOn w:val="Heading1"/>
    <w:next w:val="Normal"/>
    <w:uiPriority w:val="39"/>
    <w:unhideWhenUsed/>
    <w:qFormat/>
    <w:rsid w:val="00054FBD"/>
    <w:pPr>
      <w:spacing w:before="240" w:line="259" w:lineRule="auto"/>
      <w:outlineLvl w:val="9"/>
    </w:pPr>
    <w:rPr>
      <w:rFonts w:asciiTheme="majorHAnsi" w:hAnsiTheme="majorHAnsi"/>
      <w:b w:val="0"/>
      <w:color w:val="365F91" w:themeColor="accent1" w:themeShade="BF"/>
      <w:sz w:val="32"/>
      <w:lang w:eastAsia="fr-FR"/>
    </w:rPr>
  </w:style>
  <w:style w:type="paragraph" w:styleId="TOC1">
    <w:name w:val="toc 1"/>
    <w:basedOn w:val="Normal"/>
    <w:next w:val="Normal"/>
    <w:autoRedefine/>
    <w:uiPriority w:val="39"/>
    <w:unhideWhenUsed/>
    <w:rsid w:val="00860497"/>
    <w:pPr>
      <w:tabs>
        <w:tab w:val="right" w:leader="dot" w:pos="8296"/>
      </w:tabs>
      <w:spacing w:after="100" w:line="360" w:lineRule="auto"/>
      <w:jc w:val="both"/>
    </w:pPr>
    <w:rPr>
      <w:rFonts w:ascii="Times New Roman" w:hAnsi="Times New Roman" w:cs="Times New Roman"/>
      <w:color w:val="FF0000"/>
    </w:rPr>
  </w:style>
  <w:style w:type="paragraph" w:styleId="TOC2">
    <w:name w:val="toc 2"/>
    <w:basedOn w:val="Normal"/>
    <w:next w:val="Normal"/>
    <w:autoRedefine/>
    <w:uiPriority w:val="39"/>
    <w:unhideWhenUsed/>
    <w:rsid w:val="00054FBD"/>
    <w:pPr>
      <w:spacing w:after="100"/>
      <w:ind w:left="220"/>
    </w:pPr>
  </w:style>
  <w:style w:type="character" w:customStyle="1" w:styleId="Heading3Char">
    <w:name w:val="Heading 3 Char"/>
    <w:basedOn w:val="DefaultParagraphFont"/>
    <w:link w:val="Heading3"/>
    <w:uiPriority w:val="9"/>
    <w:rsid w:val="008D7A28"/>
    <w:rPr>
      <w:rFonts w:ascii="Times New Roman" w:eastAsia="Calibri" w:hAnsi="Times New Roman" w:cs="Times New Roman"/>
      <w:b/>
      <w:bCs/>
      <w:i/>
      <w:sz w:val="24"/>
      <w:szCs w:val="24"/>
    </w:rPr>
  </w:style>
  <w:style w:type="character" w:styleId="PlaceholderText">
    <w:name w:val="Placeholder Text"/>
    <w:basedOn w:val="DefaultParagraphFont"/>
    <w:uiPriority w:val="99"/>
    <w:semiHidden/>
    <w:rsid w:val="00314855"/>
    <w:rPr>
      <w:color w:val="808080"/>
    </w:rPr>
  </w:style>
  <w:style w:type="table" w:styleId="LightShading-Accent1">
    <w:name w:val="Light Shading Accent 1"/>
    <w:basedOn w:val="TableNormal"/>
    <w:uiPriority w:val="60"/>
    <w:semiHidden/>
    <w:unhideWhenUsed/>
    <w:rsid w:val="00F60797"/>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SubtleEmphasis">
    <w:name w:val="Subtle Emphasis"/>
    <w:basedOn w:val="DefaultParagraphFont"/>
    <w:uiPriority w:val="19"/>
    <w:qFormat/>
    <w:rsid w:val="009E4829"/>
    <w:rPr>
      <w:i/>
      <w:iCs/>
    </w:rPr>
  </w:style>
  <w:style w:type="paragraph" w:styleId="Caption">
    <w:name w:val="caption"/>
    <w:basedOn w:val="Normal"/>
    <w:next w:val="Normal"/>
    <w:uiPriority w:val="35"/>
    <w:unhideWhenUsed/>
    <w:qFormat/>
    <w:rsid w:val="0035327B"/>
    <w:pPr>
      <w:spacing w:line="240" w:lineRule="auto"/>
    </w:pPr>
    <w:rPr>
      <w:i/>
      <w:iCs/>
      <w:color w:val="1F497D" w:themeColor="text2"/>
      <w:sz w:val="18"/>
      <w:szCs w:val="18"/>
    </w:rPr>
  </w:style>
  <w:style w:type="character" w:customStyle="1" w:styleId="ls4e">
    <w:name w:val="ls4e"/>
    <w:basedOn w:val="DefaultParagraphFont"/>
    <w:rsid w:val="0044574A"/>
  </w:style>
  <w:style w:type="character" w:customStyle="1" w:styleId="ls41">
    <w:name w:val="ls41"/>
    <w:basedOn w:val="DefaultParagraphFont"/>
    <w:rsid w:val="0044574A"/>
  </w:style>
  <w:style w:type="paragraph" w:styleId="TOC3">
    <w:name w:val="toc 3"/>
    <w:basedOn w:val="Normal"/>
    <w:next w:val="Normal"/>
    <w:autoRedefine/>
    <w:uiPriority w:val="39"/>
    <w:unhideWhenUsed/>
    <w:rsid w:val="00583C23"/>
    <w:pPr>
      <w:spacing w:after="100"/>
      <w:ind w:left="440"/>
    </w:pPr>
  </w:style>
  <w:style w:type="paragraph" w:styleId="TableofFigures">
    <w:name w:val="table of figures"/>
    <w:basedOn w:val="Normal"/>
    <w:next w:val="Normal"/>
    <w:uiPriority w:val="99"/>
    <w:unhideWhenUsed/>
    <w:rsid w:val="00AB7D2F"/>
    <w:pPr>
      <w:spacing w:after="0"/>
      <w:ind w:left="440" w:hanging="440"/>
    </w:pPr>
    <w:rPr>
      <w:rFonts w:cstheme="minorHAnsi"/>
      <w:smallCaps/>
      <w:sz w:val="20"/>
      <w:szCs w:val="20"/>
    </w:rPr>
  </w:style>
  <w:style w:type="character" w:customStyle="1" w:styleId="Heading4Char">
    <w:name w:val="Heading 4 Char"/>
    <w:basedOn w:val="DefaultParagraphFont"/>
    <w:link w:val="Heading4"/>
    <w:uiPriority w:val="9"/>
    <w:semiHidden/>
    <w:rsid w:val="005E6BDB"/>
    <w:rPr>
      <w:rFonts w:ascii="Times New Roman" w:eastAsiaTheme="majorEastAsia" w:hAnsi="Times New Roman" w:cstheme="majorBidi"/>
      <w:b/>
      <w:iCs/>
      <w:sz w:val="24"/>
    </w:rPr>
  </w:style>
  <w:style w:type="character" w:styleId="Strong">
    <w:name w:val="Strong"/>
    <w:basedOn w:val="DefaultParagraphFont"/>
    <w:uiPriority w:val="22"/>
    <w:qFormat/>
    <w:rsid w:val="00657999"/>
    <w:rPr>
      <w:b/>
      <w:bCs/>
    </w:rPr>
  </w:style>
  <w:style w:type="paragraph" w:styleId="BalloonText">
    <w:name w:val="Balloon Text"/>
    <w:basedOn w:val="Normal"/>
    <w:link w:val="BalloonTextChar"/>
    <w:uiPriority w:val="99"/>
    <w:semiHidden/>
    <w:unhideWhenUsed/>
    <w:rsid w:val="007555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55C1"/>
    <w:rPr>
      <w:rFonts w:ascii="Segoe UI" w:hAnsi="Segoe UI" w:cs="Segoe UI"/>
      <w:sz w:val="18"/>
      <w:szCs w:val="18"/>
    </w:rPr>
  </w:style>
  <w:style w:type="character" w:customStyle="1" w:styleId="views-label">
    <w:name w:val="views-label"/>
    <w:basedOn w:val="DefaultParagraphFont"/>
    <w:rsid w:val="00EE0749"/>
  </w:style>
  <w:style w:type="character" w:customStyle="1" w:styleId="field-content">
    <w:name w:val="field-content"/>
    <w:basedOn w:val="DefaultParagraphFont"/>
    <w:rsid w:val="00EE0749"/>
  </w:style>
  <w:style w:type="character" w:styleId="FollowedHyperlink">
    <w:name w:val="FollowedHyperlink"/>
    <w:basedOn w:val="DefaultParagraphFont"/>
    <w:uiPriority w:val="99"/>
    <w:semiHidden/>
    <w:unhideWhenUsed/>
    <w:rsid w:val="00873ABC"/>
    <w:rPr>
      <w:color w:val="800080" w:themeColor="followedHyperlink"/>
      <w:u w:val="single"/>
    </w:rPr>
  </w:style>
  <w:style w:type="character" w:customStyle="1" w:styleId="anchor-text">
    <w:name w:val="anchor-text"/>
    <w:basedOn w:val="DefaultParagraphFont"/>
    <w:rsid w:val="00790566"/>
  </w:style>
  <w:style w:type="character" w:styleId="Emphasis">
    <w:name w:val="Emphasis"/>
    <w:basedOn w:val="DefaultParagraphFont"/>
    <w:uiPriority w:val="20"/>
    <w:qFormat/>
    <w:rsid w:val="00061A3E"/>
    <w:rPr>
      <w:i/>
      <w:iCs/>
    </w:rPr>
  </w:style>
  <w:style w:type="character" w:styleId="CommentReference">
    <w:name w:val="annotation reference"/>
    <w:basedOn w:val="DefaultParagraphFont"/>
    <w:uiPriority w:val="99"/>
    <w:semiHidden/>
    <w:unhideWhenUsed/>
    <w:rsid w:val="006C5DA7"/>
    <w:rPr>
      <w:sz w:val="16"/>
      <w:szCs w:val="16"/>
    </w:rPr>
  </w:style>
  <w:style w:type="paragraph" w:styleId="CommentText">
    <w:name w:val="annotation text"/>
    <w:basedOn w:val="Normal"/>
    <w:link w:val="CommentTextChar"/>
    <w:uiPriority w:val="99"/>
    <w:semiHidden/>
    <w:unhideWhenUsed/>
    <w:rsid w:val="006C5DA7"/>
    <w:pPr>
      <w:spacing w:line="240" w:lineRule="auto"/>
    </w:pPr>
    <w:rPr>
      <w:sz w:val="20"/>
      <w:szCs w:val="20"/>
    </w:rPr>
  </w:style>
  <w:style w:type="character" w:customStyle="1" w:styleId="CommentTextChar">
    <w:name w:val="Comment Text Char"/>
    <w:basedOn w:val="DefaultParagraphFont"/>
    <w:link w:val="CommentText"/>
    <w:uiPriority w:val="99"/>
    <w:semiHidden/>
    <w:rsid w:val="006C5DA7"/>
    <w:rPr>
      <w:sz w:val="20"/>
      <w:szCs w:val="20"/>
    </w:rPr>
  </w:style>
  <w:style w:type="paragraph" w:styleId="CommentSubject">
    <w:name w:val="annotation subject"/>
    <w:basedOn w:val="CommentText"/>
    <w:next w:val="CommentText"/>
    <w:link w:val="CommentSubjectChar"/>
    <w:uiPriority w:val="99"/>
    <w:semiHidden/>
    <w:unhideWhenUsed/>
    <w:rsid w:val="006C5DA7"/>
    <w:rPr>
      <w:b/>
      <w:bCs/>
    </w:rPr>
  </w:style>
  <w:style w:type="character" w:customStyle="1" w:styleId="CommentSubjectChar">
    <w:name w:val="Comment Subject Char"/>
    <w:basedOn w:val="CommentTextChar"/>
    <w:link w:val="CommentSubject"/>
    <w:uiPriority w:val="99"/>
    <w:semiHidden/>
    <w:rsid w:val="006C5D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73117">
      <w:bodyDiv w:val="1"/>
      <w:marLeft w:val="0"/>
      <w:marRight w:val="0"/>
      <w:marTop w:val="0"/>
      <w:marBottom w:val="0"/>
      <w:divBdr>
        <w:top w:val="none" w:sz="0" w:space="0" w:color="auto"/>
        <w:left w:val="none" w:sz="0" w:space="0" w:color="auto"/>
        <w:bottom w:val="none" w:sz="0" w:space="0" w:color="auto"/>
        <w:right w:val="none" w:sz="0" w:space="0" w:color="auto"/>
      </w:divBdr>
    </w:div>
    <w:div w:id="76221232">
      <w:bodyDiv w:val="1"/>
      <w:marLeft w:val="0"/>
      <w:marRight w:val="0"/>
      <w:marTop w:val="0"/>
      <w:marBottom w:val="0"/>
      <w:divBdr>
        <w:top w:val="none" w:sz="0" w:space="0" w:color="auto"/>
        <w:left w:val="none" w:sz="0" w:space="0" w:color="auto"/>
        <w:bottom w:val="none" w:sz="0" w:space="0" w:color="auto"/>
        <w:right w:val="none" w:sz="0" w:space="0" w:color="auto"/>
      </w:divBdr>
    </w:div>
    <w:div w:id="88897423">
      <w:bodyDiv w:val="1"/>
      <w:marLeft w:val="0"/>
      <w:marRight w:val="0"/>
      <w:marTop w:val="0"/>
      <w:marBottom w:val="0"/>
      <w:divBdr>
        <w:top w:val="none" w:sz="0" w:space="0" w:color="auto"/>
        <w:left w:val="none" w:sz="0" w:space="0" w:color="auto"/>
        <w:bottom w:val="none" w:sz="0" w:space="0" w:color="auto"/>
        <w:right w:val="none" w:sz="0" w:space="0" w:color="auto"/>
      </w:divBdr>
    </w:div>
    <w:div w:id="93329146">
      <w:bodyDiv w:val="1"/>
      <w:marLeft w:val="0"/>
      <w:marRight w:val="0"/>
      <w:marTop w:val="0"/>
      <w:marBottom w:val="0"/>
      <w:divBdr>
        <w:top w:val="none" w:sz="0" w:space="0" w:color="auto"/>
        <w:left w:val="none" w:sz="0" w:space="0" w:color="auto"/>
        <w:bottom w:val="none" w:sz="0" w:space="0" w:color="auto"/>
        <w:right w:val="none" w:sz="0" w:space="0" w:color="auto"/>
      </w:divBdr>
    </w:div>
    <w:div w:id="149256054">
      <w:bodyDiv w:val="1"/>
      <w:marLeft w:val="0"/>
      <w:marRight w:val="0"/>
      <w:marTop w:val="0"/>
      <w:marBottom w:val="0"/>
      <w:divBdr>
        <w:top w:val="none" w:sz="0" w:space="0" w:color="auto"/>
        <w:left w:val="none" w:sz="0" w:space="0" w:color="auto"/>
        <w:bottom w:val="none" w:sz="0" w:space="0" w:color="auto"/>
        <w:right w:val="none" w:sz="0" w:space="0" w:color="auto"/>
      </w:divBdr>
    </w:div>
    <w:div w:id="158038912">
      <w:bodyDiv w:val="1"/>
      <w:marLeft w:val="0"/>
      <w:marRight w:val="0"/>
      <w:marTop w:val="0"/>
      <w:marBottom w:val="0"/>
      <w:divBdr>
        <w:top w:val="none" w:sz="0" w:space="0" w:color="auto"/>
        <w:left w:val="none" w:sz="0" w:space="0" w:color="auto"/>
        <w:bottom w:val="none" w:sz="0" w:space="0" w:color="auto"/>
        <w:right w:val="none" w:sz="0" w:space="0" w:color="auto"/>
      </w:divBdr>
    </w:div>
    <w:div w:id="160194471">
      <w:bodyDiv w:val="1"/>
      <w:marLeft w:val="0"/>
      <w:marRight w:val="0"/>
      <w:marTop w:val="0"/>
      <w:marBottom w:val="0"/>
      <w:divBdr>
        <w:top w:val="none" w:sz="0" w:space="0" w:color="auto"/>
        <w:left w:val="none" w:sz="0" w:space="0" w:color="auto"/>
        <w:bottom w:val="none" w:sz="0" w:space="0" w:color="auto"/>
        <w:right w:val="none" w:sz="0" w:space="0" w:color="auto"/>
      </w:divBdr>
    </w:div>
    <w:div w:id="305359935">
      <w:bodyDiv w:val="1"/>
      <w:marLeft w:val="0"/>
      <w:marRight w:val="0"/>
      <w:marTop w:val="0"/>
      <w:marBottom w:val="0"/>
      <w:divBdr>
        <w:top w:val="none" w:sz="0" w:space="0" w:color="auto"/>
        <w:left w:val="none" w:sz="0" w:space="0" w:color="auto"/>
        <w:bottom w:val="none" w:sz="0" w:space="0" w:color="auto"/>
        <w:right w:val="none" w:sz="0" w:space="0" w:color="auto"/>
      </w:divBdr>
    </w:div>
    <w:div w:id="308749670">
      <w:bodyDiv w:val="1"/>
      <w:marLeft w:val="0"/>
      <w:marRight w:val="0"/>
      <w:marTop w:val="0"/>
      <w:marBottom w:val="0"/>
      <w:divBdr>
        <w:top w:val="none" w:sz="0" w:space="0" w:color="auto"/>
        <w:left w:val="none" w:sz="0" w:space="0" w:color="auto"/>
        <w:bottom w:val="none" w:sz="0" w:space="0" w:color="auto"/>
        <w:right w:val="none" w:sz="0" w:space="0" w:color="auto"/>
      </w:divBdr>
    </w:div>
    <w:div w:id="332228129">
      <w:bodyDiv w:val="1"/>
      <w:marLeft w:val="0"/>
      <w:marRight w:val="0"/>
      <w:marTop w:val="0"/>
      <w:marBottom w:val="0"/>
      <w:divBdr>
        <w:top w:val="none" w:sz="0" w:space="0" w:color="auto"/>
        <w:left w:val="none" w:sz="0" w:space="0" w:color="auto"/>
        <w:bottom w:val="none" w:sz="0" w:space="0" w:color="auto"/>
        <w:right w:val="none" w:sz="0" w:space="0" w:color="auto"/>
      </w:divBdr>
    </w:div>
    <w:div w:id="437987541">
      <w:bodyDiv w:val="1"/>
      <w:marLeft w:val="0"/>
      <w:marRight w:val="0"/>
      <w:marTop w:val="0"/>
      <w:marBottom w:val="0"/>
      <w:divBdr>
        <w:top w:val="none" w:sz="0" w:space="0" w:color="auto"/>
        <w:left w:val="none" w:sz="0" w:space="0" w:color="auto"/>
        <w:bottom w:val="none" w:sz="0" w:space="0" w:color="auto"/>
        <w:right w:val="none" w:sz="0" w:space="0" w:color="auto"/>
      </w:divBdr>
    </w:div>
    <w:div w:id="459152430">
      <w:bodyDiv w:val="1"/>
      <w:marLeft w:val="0"/>
      <w:marRight w:val="0"/>
      <w:marTop w:val="0"/>
      <w:marBottom w:val="0"/>
      <w:divBdr>
        <w:top w:val="none" w:sz="0" w:space="0" w:color="auto"/>
        <w:left w:val="none" w:sz="0" w:space="0" w:color="auto"/>
        <w:bottom w:val="none" w:sz="0" w:space="0" w:color="auto"/>
        <w:right w:val="none" w:sz="0" w:space="0" w:color="auto"/>
      </w:divBdr>
    </w:div>
    <w:div w:id="463617781">
      <w:bodyDiv w:val="1"/>
      <w:marLeft w:val="0"/>
      <w:marRight w:val="0"/>
      <w:marTop w:val="0"/>
      <w:marBottom w:val="0"/>
      <w:divBdr>
        <w:top w:val="none" w:sz="0" w:space="0" w:color="auto"/>
        <w:left w:val="none" w:sz="0" w:space="0" w:color="auto"/>
        <w:bottom w:val="none" w:sz="0" w:space="0" w:color="auto"/>
        <w:right w:val="none" w:sz="0" w:space="0" w:color="auto"/>
      </w:divBdr>
    </w:div>
    <w:div w:id="476193534">
      <w:bodyDiv w:val="1"/>
      <w:marLeft w:val="0"/>
      <w:marRight w:val="0"/>
      <w:marTop w:val="0"/>
      <w:marBottom w:val="0"/>
      <w:divBdr>
        <w:top w:val="none" w:sz="0" w:space="0" w:color="auto"/>
        <w:left w:val="none" w:sz="0" w:space="0" w:color="auto"/>
        <w:bottom w:val="none" w:sz="0" w:space="0" w:color="auto"/>
        <w:right w:val="none" w:sz="0" w:space="0" w:color="auto"/>
      </w:divBdr>
    </w:div>
    <w:div w:id="529689070">
      <w:bodyDiv w:val="1"/>
      <w:marLeft w:val="0"/>
      <w:marRight w:val="0"/>
      <w:marTop w:val="0"/>
      <w:marBottom w:val="0"/>
      <w:divBdr>
        <w:top w:val="none" w:sz="0" w:space="0" w:color="auto"/>
        <w:left w:val="none" w:sz="0" w:space="0" w:color="auto"/>
        <w:bottom w:val="none" w:sz="0" w:space="0" w:color="auto"/>
        <w:right w:val="none" w:sz="0" w:space="0" w:color="auto"/>
      </w:divBdr>
    </w:div>
    <w:div w:id="690374494">
      <w:bodyDiv w:val="1"/>
      <w:marLeft w:val="0"/>
      <w:marRight w:val="0"/>
      <w:marTop w:val="0"/>
      <w:marBottom w:val="0"/>
      <w:divBdr>
        <w:top w:val="none" w:sz="0" w:space="0" w:color="auto"/>
        <w:left w:val="none" w:sz="0" w:space="0" w:color="auto"/>
        <w:bottom w:val="none" w:sz="0" w:space="0" w:color="auto"/>
        <w:right w:val="none" w:sz="0" w:space="0" w:color="auto"/>
      </w:divBdr>
    </w:div>
    <w:div w:id="716440691">
      <w:bodyDiv w:val="1"/>
      <w:marLeft w:val="0"/>
      <w:marRight w:val="0"/>
      <w:marTop w:val="0"/>
      <w:marBottom w:val="0"/>
      <w:divBdr>
        <w:top w:val="none" w:sz="0" w:space="0" w:color="auto"/>
        <w:left w:val="none" w:sz="0" w:space="0" w:color="auto"/>
        <w:bottom w:val="none" w:sz="0" w:space="0" w:color="auto"/>
        <w:right w:val="none" w:sz="0" w:space="0" w:color="auto"/>
      </w:divBdr>
    </w:div>
    <w:div w:id="720323902">
      <w:bodyDiv w:val="1"/>
      <w:marLeft w:val="0"/>
      <w:marRight w:val="0"/>
      <w:marTop w:val="0"/>
      <w:marBottom w:val="0"/>
      <w:divBdr>
        <w:top w:val="none" w:sz="0" w:space="0" w:color="auto"/>
        <w:left w:val="none" w:sz="0" w:space="0" w:color="auto"/>
        <w:bottom w:val="none" w:sz="0" w:space="0" w:color="auto"/>
        <w:right w:val="none" w:sz="0" w:space="0" w:color="auto"/>
      </w:divBdr>
    </w:div>
    <w:div w:id="745149268">
      <w:bodyDiv w:val="1"/>
      <w:marLeft w:val="0"/>
      <w:marRight w:val="0"/>
      <w:marTop w:val="0"/>
      <w:marBottom w:val="0"/>
      <w:divBdr>
        <w:top w:val="none" w:sz="0" w:space="0" w:color="auto"/>
        <w:left w:val="none" w:sz="0" w:space="0" w:color="auto"/>
        <w:bottom w:val="none" w:sz="0" w:space="0" w:color="auto"/>
        <w:right w:val="none" w:sz="0" w:space="0" w:color="auto"/>
      </w:divBdr>
    </w:div>
    <w:div w:id="757944582">
      <w:bodyDiv w:val="1"/>
      <w:marLeft w:val="0"/>
      <w:marRight w:val="0"/>
      <w:marTop w:val="0"/>
      <w:marBottom w:val="0"/>
      <w:divBdr>
        <w:top w:val="none" w:sz="0" w:space="0" w:color="auto"/>
        <w:left w:val="none" w:sz="0" w:space="0" w:color="auto"/>
        <w:bottom w:val="none" w:sz="0" w:space="0" w:color="auto"/>
        <w:right w:val="none" w:sz="0" w:space="0" w:color="auto"/>
      </w:divBdr>
    </w:div>
    <w:div w:id="763646445">
      <w:bodyDiv w:val="1"/>
      <w:marLeft w:val="0"/>
      <w:marRight w:val="0"/>
      <w:marTop w:val="0"/>
      <w:marBottom w:val="0"/>
      <w:divBdr>
        <w:top w:val="none" w:sz="0" w:space="0" w:color="auto"/>
        <w:left w:val="none" w:sz="0" w:space="0" w:color="auto"/>
        <w:bottom w:val="none" w:sz="0" w:space="0" w:color="auto"/>
        <w:right w:val="none" w:sz="0" w:space="0" w:color="auto"/>
      </w:divBdr>
    </w:div>
    <w:div w:id="781264179">
      <w:bodyDiv w:val="1"/>
      <w:marLeft w:val="0"/>
      <w:marRight w:val="0"/>
      <w:marTop w:val="0"/>
      <w:marBottom w:val="0"/>
      <w:divBdr>
        <w:top w:val="none" w:sz="0" w:space="0" w:color="auto"/>
        <w:left w:val="none" w:sz="0" w:space="0" w:color="auto"/>
        <w:bottom w:val="none" w:sz="0" w:space="0" w:color="auto"/>
        <w:right w:val="none" w:sz="0" w:space="0" w:color="auto"/>
      </w:divBdr>
    </w:div>
    <w:div w:id="866678606">
      <w:bodyDiv w:val="1"/>
      <w:marLeft w:val="0"/>
      <w:marRight w:val="0"/>
      <w:marTop w:val="0"/>
      <w:marBottom w:val="0"/>
      <w:divBdr>
        <w:top w:val="none" w:sz="0" w:space="0" w:color="auto"/>
        <w:left w:val="none" w:sz="0" w:space="0" w:color="auto"/>
        <w:bottom w:val="none" w:sz="0" w:space="0" w:color="auto"/>
        <w:right w:val="none" w:sz="0" w:space="0" w:color="auto"/>
      </w:divBdr>
    </w:div>
    <w:div w:id="884410756">
      <w:bodyDiv w:val="1"/>
      <w:marLeft w:val="0"/>
      <w:marRight w:val="0"/>
      <w:marTop w:val="0"/>
      <w:marBottom w:val="0"/>
      <w:divBdr>
        <w:top w:val="none" w:sz="0" w:space="0" w:color="auto"/>
        <w:left w:val="none" w:sz="0" w:space="0" w:color="auto"/>
        <w:bottom w:val="none" w:sz="0" w:space="0" w:color="auto"/>
        <w:right w:val="none" w:sz="0" w:space="0" w:color="auto"/>
      </w:divBdr>
    </w:div>
    <w:div w:id="888568798">
      <w:bodyDiv w:val="1"/>
      <w:marLeft w:val="0"/>
      <w:marRight w:val="0"/>
      <w:marTop w:val="0"/>
      <w:marBottom w:val="0"/>
      <w:divBdr>
        <w:top w:val="none" w:sz="0" w:space="0" w:color="auto"/>
        <w:left w:val="none" w:sz="0" w:space="0" w:color="auto"/>
        <w:bottom w:val="none" w:sz="0" w:space="0" w:color="auto"/>
        <w:right w:val="none" w:sz="0" w:space="0" w:color="auto"/>
      </w:divBdr>
    </w:div>
    <w:div w:id="961493577">
      <w:bodyDiv w:val="1"/>
      <w:marLeft w:val="0"/>
      <w:marRight w:val="0"/>
      <w:marTop w:val="0"/>
      <w:marBottom w:val="0"/>
      <w:divBdr>
        <w:top w:val="none" w:sz="0" w:space="0" w:color="auto"/>
        <w:left w:val="none" w:sz="0" w:space="0" w:color="auto"/>
        <w:bottom w:val="none" w:sz="0" w:space="0" w:color="auto"/>
        <w:right w:val="none" w:sz="0" w:space="0" w:color="auto"/>
      </w:divBdr>
    </w:div>
    <w:div w:id="963658823">
      <w:bodyDiv w:val="1"/>
      <w:marLeft w:val="0"/>
      <w:marRight w:val="0"/>
      <w:marTop w:val="0"/>
      <w:marBottom w:val="0"/>
      <w:divBdr>
        <w:top w:val="none" w:sz="0" w:space="0" w:color="auto"/>
        <w:left w:val="none" w:sz="0" w:space="0" w:color="auto"/>
        <w:bottom w:val="none" w:sz="0" w:space="0" w:color="auto"/>
        <w:right w:val="none" w:sz="0" w:space="0" w:color="auto"/>
      </w:divBdr>
    </w:div>
    <w:div w:id="1007710292">
      <w:bodyDiv w:val="1"/>
      <w:marLeft w:val="0"/>
      <w:marRight w:val="0"/>
      <w:marTop w:val="0"/>
      <w:marBottom w:val="0"/>
      <w:divBdr>
        <w:top w:val="none" w:sz="0" w:space="0" w:color="auto"/>
        <w:left w:val="none" w:sz="0" w:space="0" w:color="auto"/>
        <w:bottom w:val="none" w:sz="0" w:space="0" w:color="auto"/>
        <w:right w:val="none" w:sz="0" w:space="0" w:color="auto"/>
      </w:divBdr>
    </w:div>
    <w:div w:id="1058169298">
      <w:bodyDiv w:val="1"/>
      <w:marLeft w:val="0"/>
      <w:marRight w:val="0"/>
      <w:marTop w:val="0"/>
      <w:marBottom w:val="0"/>
      <w:divBdr>
        <w:top w:val="none" w:sz="0" w:space="0" w:color="auto"/>
        <w:left w:val="none" w:sz="0" w:space="0" w:color="auto"/>
        <w:bottom w:val="none" w:sz="0" w:space="0" w:color="auto"/>
        <w:right w:val="none" w:sz="0" w:space="0" w:color="auto"/>
      </w:divBdr>
      <w:divsChild>
        <w:div w:id="926884435">
          <w:marLeft w:val="0"/>
          <w:marRight w:val="0"/>
          <w:marTop w:val="0"/>
          <w:marBottom w:val="0"/>
          <w:divBdr>
            <w:top w:val="none" w:sz="0" w:space="0" w:color="auto"/>
            <w:left w:val="none" w:sz="0" w:space="0" w:color="auto"/>
            <w:bottom w:val="none" w:sz="0" w:space="0" w:color="auto"/>
            <w:right w:val="none" w:sz="0" w:space="0" w:color="auto"/>
          </w:divBdr>
          <w:divsChild>
            <w:div w:id="1286228845">
              <w:marLeft w:val="0"/>
              <w:marRight w:val="0"/>
              <w:marTop w:val="180"/>
              <w:marBottom w:val="0"/>
              <w:divBdr>
                <w:top w:val="none" w:sz="0" w:space="0" w:color="auto"/>
                <w:left w:val="none" w:sz="0" w:space="0" w:color="auto"/>
                <w:bottom w:val="none" w:sz="0" w:space="0" w:color="auto"/>
                <w:right w:val="none" w:sz="0" w:space="0" w:color="auto"/>
              </w:divBdr>
              <w:divsChild>
                <w:div w:id="1762138289">
                  <w:marLeft w:val="0"/>
                  <w:marRight w:val="0"/>
                  <w:marTop w:val="0"/>
                  <w:marBottom w:val="0"/>
                  <w:divBdr>
                    <w:top w:val="none" w:sz="0" w:space="0" w:color="auto"/>
                    <w:left w:val="none" w:sz="0" w:space="0" w:color="auto"/>
                    <w:bottom w:val="none" w:sz="0" w:space="0" w:color="auto"/>
                    <w:right w:val="none" w:sz="0" w:space="0" w:color="auto"/>
                  </w:divBdr>
                </w:div>
              </w:divsChild>
            </w:div>
            <w:div w:id="2099060911">
              <w:marLeft w:val="0"/>
              <w:marRight w:val="0"/>
              <w:marTop w:val="0"/>
              <w:marBottom w:val="0"/>
              <w:divBdr>
                <w:top w:val="none" w:sz="0" w:space="0" w:color="auto"/>
                <w:left w:val="none" w:sz="0" w:space="0" w:color="auto"/>
                <w:bottom w:val="none" w:sz="0" w:space="0" w:color="auto"/>
                <w:right w:val="none" w:sz="0" w:space="0" w:color="auto"/>
              </w:divBdr>
              <w:divsChild>
                <w:div w:id="1955865249">
                  <w:marLeft w:val="0"/>
                  <w:marRight w:val="0"/>
                  <w:marTop w:val="0"/>
                  <w:marBottom w:val="0"/>
                  <w:divBdr>
                    <w:top w:val="none" w:sz="0" w:space="0" w:color="auto"/>
                    <w:left w:val="none" w:sz="0" w:space="0" w:color="auto"/>
                    <w:bottom w:val="none" w:sz="0" w:space="0" w:color="auto"/>
                    <w:right w:val="none" w:sz="0" w:space="0" w:color="auto"/>
                  </w:divBdr>
                  <w:divsChild>
                    <w:div w:id="1700475300">
                      <w:marLeft w:val="0"/>
                      <w:marRight w:val="0"/>
                      <w:marTop w:val="0"/>
                      <w:marBottom w:val="0"/>
                      <w:divBdr>
                        <w:top w:val="none" w:sz="0" w:space="0" w:color="auto"/>
                        <w:left w:val="none" w:sz="0" w:space="0" w:color="auto"/>
                        <w:bottom w:val="none" w:sz="0" w:space="0" w:color="auto"/>
                        <w:right w:val="none" w:sz="0" w:space="0" w:color="auto"/>
                      </w:divBdr>
                      <w:divsChild>
                        <w:div w:id="186779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266195">
      <w:bodyDiv w:val="1"/>
      <w:marLeft w:val="0"/>
      <w:marRight w:val="0"/>
      <w:marTop w:val="0"/>
      <w:marBottom w:val="0"/>
      <w:divBdr>
        <w:top w:val="none" w:sz="0" w:space="0" w:color="auto"/>
        <w:left w:val="none" w:sz="0" w:space="0" w:color="auto"/>
        <w:bottom w:val="none" w:sz="0" w:space="0" w:color="auto"/>
        <w:right w:val="none" w:sz="0" w:space="0" w:color="auto"/>
      </w:divBdr>
    </w:div>
    <w:div w:id="1079669473">
      <w:bodyDiv w:val="1"/>
      <w:marLeft w:val="0"/>
      <w:marRight w:val="0"/>
      <w:marTop w:val="0"/>
      <w:marBottom w:val="0"/>
      <w:divBdr>
        <w:top w:val="none" w:sz="0" w:space="0" w:color="auto"/>
        <w:left w:val="none" w:sz="0" w:space="0" w:color="auto"/>
        <w:bottom w:val="none" w:sz="0" w:space="0" w:color="auto"/>
        <w:right w:val="none" w:sz="0" w:space="0" w:color="auto"/>
      </w:divBdr>
    </w:div>
    <w:div w:id="1178619067">
      <w:bodyDiv w:val="1"/>
      <w:marLeft w:val="0"/>
      <w:marRight w:val="0"/>
      <w:marTop w:val="0"/>
      <w:marBottom w:val="0"/>
      <w:divBdr>
        <w:top w:val="none" w:sz="0" w:space="0" w:color="auto"/>
        <w:left w:val="none" w:sz="0" w:space="0" w:color="auto"/>
        <w:bottom w:val="none" w:sz="0" w:space="0" w:color="auto"/>
        <w:right w:val="none" w:sz="0" w:space="0" w:color="auto"/>
      </w:divBdr>
    </w:div>
    <w:div w:id="1216744097">
      <w:bodyDiv w:val="1"/>
      <w:marLeft w:val="0"/>
      <w:marRight w:val="0"/>
      <w:marTop w:val="0"/>
      <w:marBottom w:val="0"/>
      <w:divBdr>
        <w:top w:val="none" w:sz="0" w:space="0" w:color="auto"/>
        <w:left w:val="none" w:sz="0" w:space="0" w:color="auto"/>
        <w:bottom w:val="none" w:sz="0" w:space="0" w:color="auto"/>
        <w:right w:val="none" w:sz="0" w:space="0" w:color="auto"/>
      </w:divBdr>
    </w:div>
    <w:div w:id="1254163984">
      <w:bodyDiv w:val="1"/>
      <w:marLeft w:val="0"/>
      <w:marRight w:val="0"/>
      <w:marTop w:val="0"/>
      <w:marBottom w:val="0"/>
      <w:divBdr>
        <w:top w:val="none" w:sz="0" w:space="0" w:color="auto"/>
        <w:left w:val="none" w:sz="0" w:space="0" w:color="auto"/>
        <w:bottom w:val="none" w:sz="0" w:space="0" w:color="auto"/>
        <w:right w:val="none" w:sz="0" w:space="0" w:color="auto"/>
      </w:divBdr>
    </w:div>
    <w:div w:id="1257905023">
      <w:bodyDiv w:val="1"/>
      <w:marLeft w:val="0"/>
      <w:marRight w:val="0"/>
      <w:marTop w:val="0"/>
      <w:marBottom w:val="0"/>
      <w:divBdr>
        <w:top w:val="none" w:sz="0" w:space="0" w:color="auto"/>
        <w:left w:val="none" w:sz="0" w:space="0" w:color="auto"/>
        <w:bottom w:val="none" w:sz="0" w:space="0" w:color="auto"/>
        <w:right w:val="none" w:sz="0" w:space="0" w:color="auto"/>
      </w:divBdr>
    </w:div>
    <w:div w:id="1288660076">
      <w:bodyDiv w:val="1"/>
      <w:marLeft w:val="0"/>
      <w:marRight w:val="0"/>
      <w:marTop w:val="0"/>
      <w:marBottom w:val="0"/>
      <w:divBdr>
        <w:top w:val="none" w:sz="0" w:space="0" w:color="auto"/>
        <w:left w:val="none" w:sz="0" w:space="0" w:color="auto"/>
        <w:bottom w:val="none" w:sz="0" w:space="0" w:color="auto"/>
        <w:right w:val="none" w:sz="0" w:space="0" w:color="auto"/>
      </w:divBdr>
    </w:div>
    <w:div w:id="1419669819">
      <w:bodyDiv w:val="1"/>
      <w:marLeft w:val="0"/>
      <w:marRight w:val="0"/>
      <w:marTop w:val="0"/>
      <w:marBottom w:val="0"/>
      <w:divBdr>
        <w:top w:val="none" w:sz="0" w:space="0" w:color="auto"/>
        <w:left w:val="none" w:sz="0" w:space="0" w:color="auto"/>
        <w:bottom w:val="none" w:sz="0" w:space="0" w:color="auto"/>
        <w:right w:val="none" w:sz="0" w:space="0" w:color="auto"/>
      </w:divBdr>
    </w:div>
    <w:div w:id="1451626085">
      <w:bodyDiv w:val="1"/>
      <w:marLeft w:val="0"/>
      <w:marRight w:val="0"/>
      <w:marTop w:val="0"/>
      <w:marBottom w:val="0"/>
      <w:divBdr>
        <w:top w:val="none" w:sz="0" w:space="0" w:color="auto"/>
        <w:left w:val="none" w:sz="0" w:space="0" w:color="auto"/>
        <w:bottom w:val="none" w:sz="0" w:space="0" w:color="auto"/>
        <w:right w:val="none" w:sz="0" w:space="0" w:color="auto"/>
      </w:divBdr>
    </w:div>
    <w:div w:id="1465735580">
      <w:bodyDiv w:val="1"/>
      <w:marLeft w:val="0"/>
      <w:marRight w:val="0"/>
      <w:marTop w:val="0"/>
      <w:marBottom w:val="0"/>
      <w:divBdr>
        <w:top w:val="none" w:sz="0" w:space="0" w:color="auto"/>
        <w:left w:val="none" w:sz="0" w:space="0" w:color="auto"/>
        <w:bottom w:val="none" w:sz="0" w:space="0" w:color="auto"/>
        <w:right w:val="none" w:sz="0" w:space="0" w:color="auto"/>
      </w:divBdr>
    </w:div>
    <w:div w:id="1497646819">
      <w:bodyDiv w:val="1"/>
      <w:marLeft w:val="0"/>
      <w:marRight w:val="0"/>
      <w:marTop w:val="0"/>
      <w:marBottom w:val="0"/>
      <w:divBdr>
        <w:top w:val="none" w:sz="0" w:space="0" w:color="auto"/>
        <w:left w:val="none" w:sz="0" w:space="0" w:color="auto"/>
        <w:bottom w:val="none" w:sz="0" w:space="0" w:color="auto"/>
        <w:right w:val="none" w:sz="0" w:space="0" w:color="auto"/>
      </w:divBdr>
    </w:div>
    <w:div w:id="1534225926">
      <w:bodyDiv w:val="1"/>
      <w:marLeft w:val="0"/>
      <w:marRight w:val="0"/>
      <w:marTop w:val="0"/>
      <w:marBottom w:val="0"/>
      <w:divBdr>
        <w:top w:val="none" w:sz="0" w:space="0" w:color="auto"/>
        <w:left w:val="none" w:sz="0" w:space="0" w:color="auto"/>
        <w:bottom w:val="none" w:sz="0" w:space="0" w:color="auto"/>
        <w:right w:val="none" w:sz="0" w:space="0" w:color="auto"/>
      </w:divBdr>
    </w:div>
    <w:div w:id="1666281712">
      <w:bodyDiv w:val="1"/>
      <w:marLeft w:val="0"/>
      <w:marRight w:val="0"/>
      <w:marTop w:val="0"/>
      <w:marBottom w:val="0"/>
      <w:divBdr>
        <w:top w:val="none" w:sz="0" w:space="0" w:color="auto"/>
        <w:left w:val="none" w:sz="0" w:space="0" w:color="auto"/>
        <w:bottom w:val="none" w:sz="0" w:space="0" w:color="auto"/>
        <w:right w:val="none" w:sz="0" w:space="0" w:color="auto"/>
      </w:divBdr>
    </w:div>
    <w:div w:id="1670864082">
      <w:bodyDiv w:val="1"/>
      <w:marLeft w:val="0"/>
      <w:marRight w:val="0"/>
      <w:marTop w:val="0"/>
      <w:marBottom w:val="0"/>
      <w:divBdr>
        <w:top w:val="none" w:sz="0" w:space="0" w:color="auto"/>
        <w:left w:val="none" w:sz="0" w:space="0" w:color="auto"/>
        <w:bottom w:val="none" w:sz="0" w:space="0" w:color="auto"/>
        <w:right w:val="none" w:sz="0" w:space="0" w:color="auto"/>
      </w:divBdr>
    </w:div>
    <w:div w:id="1673874304">
      <w:bodyDiv w:val="1"/>
      <w:marLeft w:val="0"/>
      <w:marRight w:val="0"/>
      <w:marTop w:val="0"/>
      <w:marBottom w:val="0"/>
      <w:divBdr>
        <w:top w:val="none" w:sz="0" w:space="0" w:color="auto"/>
        <w:left w:val="none" w:sz="0" w:space="0" w:color="auto"/>
        <w:bottom w:val="none" w:sz="0" w:space="0" w:color="auto"/>
        <w:right w:val="none" w:sz="0" w:space="0" w:color="auto"/>
      </w:divBdr>
    </w:div>
    <w:div w:id="1679850635">
      <w:bodyDiv w:val="1"/>
      <w:marLeft w:val="0"/>
      <w:marRight w:val="0"/>
      <w:marTop w:val="0"/>
      <w:marBottom w:val="0"/>
      <w:divBdr>
        <w:top w:val="none" w:sz="0" w:space="0" w:color="auto"/>
        <w:left w:val="none" w:sz="0" w:space="0" w:color="auto"/>
        <w:bottom w:val="none" w:sz="0" w:space="0" w:color="auto"/>
        <w:right w:val="none" w:sz="0" w:space="0" w:color="auto"/>
      </w:divBdr>
    </w:div>
    <w:div w:id="1754662434">
      <w:bodyDiv w:val="1"/>
      <w:marLeft w:val="0"/>
      <w:marRight w:val="0"/>
      <w:marTop w:val="0"/>
      <w:marBottom w:val="0"/>
      <w:divBdr>
        <w:top w:val="none" w:sz="0" w:space="0" w:color="auto"/>
        <w:left w:val="none" w:sz="0" w:space="0" w:color="auto"/>
        <w:bottom w:val="none" w:sz="0" w:space="0" w:color="auto"/>
        <w:right w:val="none" w:sz="0" w:space="0" w:color="auto"/>
      </w:divBdr>
    </w:div>
    <w:div w:id="1897624056">
      <w:bodyDiv w:val="1"/>
      <w:marLeft w:val="0"/>
      <w:marRight w:val="0"/>
      <w:marTop w:val="0"/>
      <w:marBottom w:val="0"/>
      <w:divBdr>
        <w:top w:val="none" w:sz="0" w:space="0" w:color="auto"/>
        <w:left w:val="none" w:sz="0" w:space="0" w:color="auto"/>
        <w:bottom w:val="none" w:sz="0" w:space="0" w:color="auto"/>
        <w:right w:val="none" w:sz="0" w:space="0" w:color="auto"/>
      </w:divBdr>
    </w:div>
    <w:div w:id="1911305277">
      <w:bodyDiv w:val="1"/>
      <w:marLeft w:val="0"/>
      <w:marRight w:val="0"/>
      <w:marTop w:val="0"/>
      <w:marBottom w:val="0"/>
      <w:divBdr>
        <w:top w:val="none" w:sz="0" w:space="0" w:color="auto"/>
        <w:left w:val="none" w:sz="0" w:space="0" w:color="auto"/>
        <w:bottom w:val="none" w:sz="0" w:space="0" w:color="auto"/>
        <w:right w:val="none" w:sz="0" w:space="0" w:color="auto"/>
      </w:divBdr>
    </w:div>
    <w:div w:id="1962376578">
      <w:bodyDiv w:val="1"/>
      <w:marLeft w:val="0"/>
      <w:marRight w:val="0"/>
      <w:marTop w:val="0"/>
      <w:marBottom w:val="0"/>
      <w:divBdr>
        <w:top w:val="none" w:sz="0" w:space="0" w:color="auto"/>
        <w:left w:val="none" w:sz="0" w:space="0" w:color="auto"/>
        <w:bottom w:val="none" w:sz="0" w:space="0" w:color="auto"/>
        <w:right w:val="none" w:sz="0" w:space="0" w:color="auto"/>
      </w:divBdr>
    </w:div>
    <w:div w:id="2014214619">
      <w:bodyDiv w:val="1"/>
      <w:marLeft w:val="0"/>
      <w:marRight w:val="0"/>
      <w:marTop w:val="0"/>
      <w:marBottom w:val="0"/>
      <w:divBdr>
        <w:top w:val="none" w:sz="0" w:space="0" w:color="auto"/>
        <w:left w:val="none" w:sz="0" w:space="0" w:color="auto"/>
        <w:bottom w:val="none" w:sz="0" w:space="0" w:color="auto"/>
        <w:right w:val="none" w:sz="0" w:space="0" w:color="auto"/>
      </w:divBdr>
    </w:div>
    <w:div w:id="2070103873">
      <w:bodyDiv w:val="1"/>
      <w:marLeft w:val="0"/>
      <w:marRight w:val="0"/>
      <w:marTop w:val="0"/>
      <w:marBottom w:val="0"/>
      <w:divBdr>
        <w:top w:val="none" w:sz="0" w:space="0" w:color="auto"/>
        <w:left w:val="none" w:sz="0" w:space="0" w:color="auto"/>
        <w:bottom w:val="none" w:sz="0" w:space="0" w:color="auto"/>
        <w:right w:val="none" w:sz="0" w:space="0" w:color="auto"/>
      </w:divBdr>
    </w:div>
    <w:div w:id="213439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atalogue.bnf.fr/ark:/12148/cb347694417" TargetMode="External"/><Relationship Id="rId21" Type="http://schemas.openxmlformats.org/officeDocument/2006/relationships/hyperlink" Target="https://lawcat.berkeley.edu/record/1114662/files/fulltext.pdf" TargetMode="External"/><Relationship Id="rId42" Type="http://schemas.openxmlformats.org/officeDocument/2006/relationships/hyperlink" Target="https://www.documentation.ird.fr/hor/fdi:010034264" TargetMode="External"/><Relationship Id="rId47" Type="http://schemas.openxmlformats.org/officeDocument/2006/relationships/chart" Target="charts/chart2.xml"/><Relationship Id="rId63" Type="http://schemas.openxmlformats.org/officeDocument/2006/relationships/chart" Target="charts/chart10.xml"/><Relationship Id="rId6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horizon.documentation.ird.fr/exl-doc/pleins_textes/pleins_textes_5/pt5/travaux_d/26405.pdf" TargetMode="External"/><Relationship Id="rId29" Type="http://schemas.openxmlformats.org/officeDocument/2006/relationships/hyperlink" Target="https://www.israbat.ac.ma/wp-content/uploads/2024/12/Bueletin_BIS_SV_N%C2%B046_2024_Kouassi_et_al_4.pdf" TargetMode="External"/><Relationship Id="rId11" Type="http://schemas.openxmlformats.org/officeDocument/2006/relationships/hyperlink" Target="https://doi.org/10.11609/JoTT.o2535.1851-55" TargetMode="External"/><Relationship Id="rId24" Type="http://schemas.openxmlformats.org/officeDocument/2006/relationships/hyperlink" Target="https://doi.org/10.1080/15627020.2003.11407279" TargetMode="External"/><Relationship Id="rId32" Type="http://schemas.openxmlformats.org/officeDocument/2006/relationships/hyperlink" Target="https://doi.org/10.4314/ijbcs.v14i7.13" TargetMode="External"/><Relationship Id="rId37" Type="http://schemas.openxmlformats.org/officeDocument/2006/relationships/hyperlink" Target="https://agris.fao.org/search/en/providers/122621/records/647396d7ce9437aa76005b62" TargetMode="External"/><Relationship Id="rId40" Type="http://schemas.openxmlformats.org/officeDocument/2006/relationships/hyperlink" Target="https://doi.org/10.1007/BF02197858" TargetMode="External"/><Relationship Id="rId45" Type="http://schemas.openxmlformats.org/officeDocument/2006/relationships/image" Target="media/image1.jpeg"/><Relationship Id="rId53" Type="http://schemas.openxmlformats.org/officeDocument/2006/relationships/chart" Target="charts/chart40.xml"/><Relationship Id="rId58" Type="http://schemas.openxmlformats.org/officeDocument/2006/relationships/chart" Target="charts/chart7.xml"/><Relationship Id="rId66"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chart" Target="charts/chart80.xml"/><Relationship Id="rId19" Type="http://schemas.openxmlformats.org/officeDocument/2006/relationships/hyperlink" Target="https://www.fishbase.se/references/FBRefSummary.php?ID=1282" TargetMode="External"/><Relationship Id="rId14" Type="http://schemas.openxmlformats.org/officeDocument/2006/relationships/hyperlink" Target="https://www.fishlifesciencejournal.com/archives/2019" TargetMode="External"/><Relationship Id="rId22" Type="http://schemas.openxmlformats.org/officeDocument/2006/relationships/hyperlink" Target="https://doi.org/10.26028/cybium/1999-232-003" TargetMode="External"/><Relationship Id="rId27" Type="http://schemas.openxmlformats.org/officeDocument/2006/relationships/hyperlink" Target="https://doi.org/10.5897/AJMM2017.0522" TargetMode="External"/><Relationship Id="rId30" Type="http://schemas.openxmlformats.org/officeDocument/2006/relationships/hyperlink" Target="https://ribarstvo.agr.hr/articles/75698_WEIGHT_LENGTH_RELATIONSHIP_OF_57_FISH_SPECIES_OF_THE_COASTAL_RIVERS_IN_SOUTH_EASTERN_OF_IVORY_COAST_en.pdf" TargetMode="External"/><Relationship Id="rId35" Type="http://schemas.openxmlformats.org/officeDocument/2006/relationships/hyperlink" Target="https://doi.org/10.2307/1540" TargetMode="External"/><Relationship Id="rId43" Type="http://schemas.openxmlformats.org/officeDocument/2006/relationships/hyperlink" Target="https://belinrae.inrae.fr/index.php?id=6522&amp;lvl=notice_display" TargetMode="External"/><Relationship Id="rId48" Type="http://schemas.openxmlformats.org/officeDocument/2006/relationships/chart" Target="charts/chart11.xml"/><Relationship Id="rId56" Type="http://schemas.openxmlformats.org/officeDocument/2006/relationships/chart" Target="charts/chart50.xml"/><Relationship Id="rId64" Type="http://schemas.openxmlformats.org/officeDocument/2006/relationships/chart" Target="charts/chart90.xml"/><Relationship Id="rId69" Type="http://schemas.openxmlformats.org/officeDocument/2006/relationships/footer" Target="footer2.xml"/><Relationship Id="rId8" Type="http://schemas.openxmlformats.org/officeDocument/2006/relationships/hyperlink" Target="https://doi.org/10.5897/IJFA2012.0001" TargetMode="External"/><Relationship Id="rId51" Type="http://schemas.openxmlformats.org/officeDocument/2006/relationships/chart" Target="charts/chart4.xm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fao.org/4/T0529E/T0529E11.htm" TargetMode="External"/><Relationship Id="rId17" Type="http://schemas.openxmlformats.org/officeDocument/2006/relationships/hyperlink" Target="https://doi.org/10.1080/03680770.1977.11896948" TargetMode="External"/><Relationship Id="rId25" Type="http://schemas.openxmlformats.org/officeDocument/2006/relationships/hyperlink" Target="https://doi.org/10.4314/ijbcs.v8i2.27" TargetMode="External"/><Relationship Id="rId33" Type="http://schemas.openxmlformats.org/officeDocument/2006/relationships/hyperlink" Target="https://www.fisheriesjournal.com/archives/2020/vol8issue1/PartC/7-6-35-421.pdf" TargetMode="External"/><Relationship Id="rId38" Type="http://schemas.openxmlformats.org/officeDocument/2006/relationships/hyperlink" Target="https://doi.org/10.9734/jabb/2025/v28i92977" TargetMode="External"/><Relationship Id="rId46" Type="http://schemas.openxmlformats.org/officeDocument/2006/relationships/chart" Target="charts/chart1.xml"/><Relationship Id="rId59" Type="http://schemas.openxmlformats.org/officeDocument/2006/relationships/chart" Target="charts/chart8.xml"/><Relationship Id="rId67" Type="http://schemas.openxmlformats.org/officeDocument/2006/relationships/header" Target="header2.xml"/><Relationship Id="rId20" Type="http://schemas.openxmlformats.org/officeDocument/2006/relationships/hyperlink" Target="https://doi.org/10.3917/pour.202.0199" TargetMode="External"/><Relationship Id="rId41" Type="http://schemas.openxmlformats.org/officeDocument/2006/relationships/hyperlink" Target="https://www.documentation.ird.fr/hor/fdi:010034145" TargetMode="External"/><Relationship Id="rId54" Type="http://schemas.openxmlformats.org/officeDocument/2006/relationships/chart" Target="charts/chart5.xml"/><Relationship Id="rId62" Type="http://schemas.openxmlformats.org/officeDocument/2006/relationships/chart" Target="charts/chart9.xml"/><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4314/ijbcs.v12i4.8" TargetMode="External"/><Relationship Id="rId23" Type="http://schemas.openxmlformats.org/officeDocument/2006/relationships/hyperlink" Target="https://oatao.univ-toulouse.fr/6981/1/Groga.pdf" TargetMode="External"/><Relationship Id="rId28" Type="http://schemas.openxmlformats.org/officeDocument/2006/relationships/hyperlink" Target="https://doi.org/10.53430/ijsru.2022.3.2.0038" TargetMode="External"/><Relationship Id="rId36" Type="http://schemas.openxmlformats.org/officeDocument/2006/relationships/hyperlink" Target="https://doi.org/10.4314/ijbcs.v2i2.39733" TargetMode="External"/><Relationship Id="rId49" Type="http://schemas.openxmlformats.org/officeDocument/2006/relationships/chart" Target="charts/chart20.xml"/><Relationship Id="rId57" Type="http://schemas.openxmlformats.org/officeDocument/2006/relationships/chart" Target="charts/chart60.xml"/><Relationship Id="rId10" Type="http://schemas.openxmlformats.org/officeDocument/2006/relationships/hyperlink" Target="https://doi.org/10.35229/jaes.677940" TargetMode="External"/><Relationship Id="rId31" Type="http://schemas.openxmlformats.org/officeDocument/2006/relationships/hyperlink" Target="https://doi.org/10.4314/ijbcs.v19i3.13" TargetMode="External"/><Relationship Id="rId44" Type="http://schemas.openxmlformats.org/officeDocument/2006/relationships/hyperlink" Target="https://doi.org/10.4038/tar.v29i2.8290" TargetMode="External"/><Relationship Id="rId52" Type="http://schemas.openxmlformats.org/officeDocument/2006/relationships/chart" Target="charts/chart30.xml"/><Relationship Id="rId60" Type="http://schemas.openxmlformats.org/officeDocument/2006/relationships/chart" Target="charts/chart70.xml"/><Relationship Id="rId65" Type="http://schemas.openxmlformats.org/officeDocument/2006/relationships/chart" Target="charts/chart100.xm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ibarstvo.agr.hr/en/issues/article/18" TargetMode="External"/><Relationship Id="rId13" Type="http://schemas.openxmlformats.org/officeDocument/2006/relationships/hyperlink" Target="https://www.documentation.ird.fr/hor/fdi:010040036" TargetMode="External"/><Relationship Id="rId18" Type="http://schemas.openxmlformats.org/officeDocument/2006/relationships/hyperlink" Target="https://doi.org/10.1016/j.fishres.2004.10.007" TargetMode="External"/><Relationship Id="rId39" Type="http://schemas.openxmlformats.org/officeDocument/2006/relationships/hyperlink" Target="https://doi.org/10.1016/S0165-7836(00)00292-7" TargetMode="External"/><Relationship Id="rId34" Type="http://schemas.openxmlformats.org/officeDocument/2006/relationships/hyperlink" Target="https://www.revuegeo-univdaloa.net/fr/publication/peche-dans-le-lac-de-korhogo-cote-divoire-acteurs-exploitation-incontrolee-et-signes-de" TargetMode="External"/><Relationship Id="rId50" Type="http://schemas.openxmlformats.org/officeDocument/2006/relationships/chart" Target="charts/chart3.xml"/><Relationship Id="rId55" Type="http://schemas.openxmlformats.org/officeDocument/2006/relationships/chart" Target="charts/chart6.xml"/><Relationship Id="rId7" Type="http://schemas.openxmlformats.org/officeDocument/2006/relationships/endnotes" Target="endnotes.xml"/><Relationship Id="rId71"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6.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7.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0.xlsx"/></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package" Target="../embeddings/Microsoft_Excel_Worksheet10.xlsx"/></Relationships>
</file>

<file path=word/charts/_rels/chart30.xml.rels><?xml version="1.0" encoding="UTF-8" standalone="yes"?>
<Relationships xmlns="http://schemas.openxmlformats.org/package/2006/relationships"><Relationship Id="rId3" Type="http://schemas.openxmlformats.org/officeDocument/2006/relationships/themeOverride" Target="../theme/themeOverride30.xml"/><Relationship Id="rId2" Type="http://schemas.microsoft.com/office/2011/relationships/chartColorStyle" Target="colors30.xml"/><Relationship Id="rId1" Type="http://schemas.microsoft.com/office/2011/relationships/chartStyle" Target="style30.xml"/><Relationship Id="rId4" Type="http://schemas.openxmlformats.org/officeDocument/2006/relationships/package" Target="../embeddings/Microsoft_Excel_Worksheet20.xlsx"/></Relationships>
</file>

<file path=word/charts/_rels/chart40.xml.rels><?xml version="1.0" encoding="UTF-8" standalone="yes"?>
<Relationships xmlns="http://schemas.openxmlformats.org/package/2006/relationships"><Relationship Id="rId3" Type="http://schemas.openxmlformats.org/officeDocument/2006/relationships/themeOverride" Target="../theme/themeOverride40.xml"/><Relationship Id="rId2" Type="http://schemas.microsoft.com/office/2011/relationships/chartColorStyle" Target="colors40.xml"/><Relationship Id="rId1" Type="http://schemas.microsoft.com/office/2011/relationships/chartStyle" Target="style40.xml"/><Relationship Id="rId4" Type="http://schemas.openxmlformats.org/officeDocument/2006/relationships/package" Target="../embeddings/Microsoft_Excel_Worksheet30.xlsx"/></Relationships>
</file>

<file path=word/charts/_rels/chart50.xml.rels><?xml version="1.0" encoding="UTF-8" standalone="yes"?>
<Relationships xmlns="http://schemas.openxmlformats.org/package/2006/relationships"><Relationship Id="rId3" Type="http://schemas.openxmlformats.org/officeDocument/2006/relationships/themeOverride" Target="../theme/themeOverride50.xml"/><Relationship Id="rId2" Type="http://schemas.microsoft.com/office/2011/relationships/chartColorStyle" Target="colors50.xml"/><Relationship Id="rId1" Type="http://schemas.microsoft.com/office/2011/relationships/chartStyle" Target="style50.xml"/><Relationship Id="rId4" Type="http://schemas.openxmlformats.org/officeDocument/2006/relationships/package" Target="../embeddings/Microsoft_Excel_Worksheet40.xlsx"/></Relationships>
</file>

<file path=word/charts/_rels/chart60.xml.rels><?xml version="1.0" encoding="UTF-8" standalone="yes"?>
<Relationships xmlns="http://schemas.openxmlformats.org/package/2006/relationships"><Relationship Id="rId3" Type="http://schemas.openxmlformats.org/officeDocument/2006/relationships/themeOverride" Target="../theme/themeOverride60.xml"/><Relationship Id="rId2" Type="http://schemas.microsoft.com/office/2011/relationships/chartColorStyle" Target="colors60.xml"/><Relationship Id="rId1" Type="http://schemas.microsoft.com/office/2011/relationships/chartStyle" Target="style60.xml"/><Relationship Id="rId4" Type="http://schemas.openxmlformats.org/officeDocument/2006/relationships/package" Target="../embeddings/Microsoft_Excel_Worksheet50.xlsx"/></Relationships>
</file>

<file path=word/charts/_rels/chart70.xml.rels><?xml version="1.0" encoding="UTF-8" standalone="yes"?>
<Relationships xmlns="http://schemas.openxmlformats.org/package/2006/relationships"><Relationship Id="rId3" Type="http://schemas.openxmlformats.org/officeDocument/2006/relationships/oleObject" Target="../embeddings/oleObject10.bin"/><Relationship Id="rId2" Type="http://schemas.microsoft.com/office/2011/relationships/chartColorStyle" Target="colors70.xml"/><Relationship Id="rId1" Type="http://schemas.microsoft.com/office/2011/relationships/chartStyle" Target="style70.xml"/></Relationships>
</file>

<file path=word/charts/_rels/chart80.xml.rels><?xml version="1.0" encoding="UTF-8" standalone="yes"?>
<Relationships xmlns="http://schemas.openxmlformats.org/package/2006/relationships"><Relationship Id="rId3" Type="http://schemas.openxmlformats.org/officeDocument/2006/relationships/oleObject" Target="../embeddings/oleObject20.bin"/><Relationship Id="rId2" Type="http://schemas.microsoft.com/office/2011/relationships/chartColorStyle" Target="colors80.xml"/><Relationship Id="rId1" Type="http://schemas.microsoft.com/office/2011/relationships/chartStyle" Target="style80.xml"/></Relationships>
</file>

<file path=word/charts/_rels/chart90.xml.rels><?xml version="1.0" encoding="UTF-8" standalone="yes"?>
<Relationships xmlns="http://schemas.openxmlformats.org/package/2006/relationships"><Relationship Id="rId3" Type="http://schemas.openxmlformats.org/officeDocument/2006/relationships/themeOverride" Target="../theme/themeOverride70.xml"/><Relationship Id="rId2" Type="http://schemas.microsoft.com/office/2011/relationships/chartColorStyle" Target="colors90.xml"/><Relationship Id="rId1" Type="http://schemas.microsoft.com/office/2011/relationships/chartStyle" Target="style90.xml"/><Relationship Id="rId4" Type="http://schemas.openxmlformats.org/officeDocument/2006/relationships/package" Target="../embeddings/Microsoft_Excel_Worksheet60.xlsx"/></Relationships>
</file>

<file path=word/charts/_rels/chart100.xml.rels><?xml version="1.0" encoding="UTF-8" standalone="yes"?>
<Relationships xmlns="http://schemas.openxmlformats.org/package/2006/relationships"><Relationship Id="rId3" Type="http://schemas.openxmlformats.org/officeDocument/2006/relationships/themeOverride" Target="../theme/themeOverride80.xml"/><Relationship Id="rId2" Type="http://schemas.microsoft.com/office/2011/relationships/chartColorStyle" Target="colors100.xml"/><Relationship Id="rId1" Type="http://schemas.microsoft.com/office/2011/relationships/chartStyle" Target="style100.xml"/><Relationship Id="rId4" Type="http://schemas.openxmlformats.org/officeDocument/2006/relationships/package" Target="../embeddings/Microsoft_Excel_Worksheet70.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fr-FR"/>
              <a:t>CZI</a:t>
            </a:r>
          </a:p>
        </c:rich>
      </c:tx>
      <c:layout>
        <c:manualLayout>
          <c:xMode val="edge"/>
          <c:yMode val="edge"/>
          <c:x val="0.83037797707093097"/>
          <c:y val="3.161555485298767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fr-FR"/>
        </a:p>
      </c:txPr>
    </c:title>
    <c:autoTitleDeleted val="0"/>
    <c:plotArea>
      <c:layout/>
      <c:barChart>
        <c:barDir val="col"/>
        <c:grouping val="clustered"/>
        <c:varyColors val="0"/>
        <c:ser>
          <c:idx val="0"/>
          <c:order val="0"/>
          <c:spPr>
            <a:solidFill>
              <a:sysClr val="windowText" lastClr="000000"/>
            </a:solidFill>
            <a:ln>
              <a:noFill/>
            </a:ln>
            <a:effectLst/>
          </c:spPr>
          <c:invertIfNegative val="0"/>
          <c:dPt>
            <c:idx val="3"/>
            <c:invertIfNegative val="0"/>
            <c:bubble3D val="0"/>
            <c:spPr>
              <a:solidFill>
                <a:srgbClr val="00B050"/>
              </a:solidFill>
              <a:ln>
                <a:noFill/>
              </a:ln>
              <a:effectLst/>
            </c:spPr>
            <c:extLst>
              <c:ext xmlns:c16="http://schemas.microsoft.com/office/drawing/2014/chart" uri="{C3380CC4-5D6E-409C-BE32-E72D297353CC}">
                <c16:uniqueId val="{00000001-9156-462D-A452-63E0A4CEC1E3}"/>
              </c:ext>
            </c:extLst>
          </c:dPt>
          <c:cat>
            <c:strRef>
              <c:f>Feuil1!$C$25:$C$33</c:f>
              <c:strCache>
                <c:ptCount val="9"/>
                <c:pt idx="0">
                  <c:v>[6,40-7,35[</c:v>
                </c:pt>
                <c:pt idx="1">
                  <c:v>[7,35-8,30[</c:v>
                </c:pt>
                <c:pt idx="2">
                  <c:v>[8,30-9,25[</c:v>
                </c:pt>
                <c:pt idx="3">
                  <c:v>[9,25-10,20[</c:v>
                </c:pt>
                <c:pt idx="4">
                  <c:v>[10,20-11,15[</c:v>
                </c:pt>
                <c:pt idx="5">
                  <c:v>[11,15-12,10[</c:v>
                </c:pt>
                <c:pt idx="6">
                  <c:v>[12,10-13,05[</c:v>
                </c:pt>
                <c:pt idx="7">
                  <c:v>[13,05-14[</c:v>
                </c:pt>
                <c:pt idx="8">
                  <c:v>[14-14,95[</c:v>
                </c:pt>
              </c:strCache>
            </c:strRef>
          </c:cat>
          <c:val>
            <c:numRef>
              <c:f>Feuil1!$D$25:$D$33</c:f>
              <c:numCache>
                <c:formatCode>General</c:formatCode>
                <c:ptCount val="9"/>
                <c:pt idx="0">
                  <c:v>2</c:v>
                </c:pt>
                <c:pt idx="1">
                  <c:v>7</c:v>
                </c:pt>
                <c:pt idx="2">
                  <c:v>46</c:v>
                </c:pt>
                <c:pt idx="3">
                  <c:v>58</c:v>
                </c:pt>
                <c:pt idx="4">
                  <c:v>20</c:v>
                </c:pt>
                <c:pt idx="5">
                  <c:v>12</c:v>
                </c:pt>
                <c:pt idx="6">
                  <c:v>3</c:v>
                </c:pt>
                <c:pt idx="7">
                  <c:v>0</c:v>
                </c:pt>
                <c:pt idx="8">
                  <c:v>1</c:v>
                </c:pt>
              </c:numCache>
            </c:numRef>
          </c:val>
          <c:extLst>
            <c:ext xmlns:c16="http://schemas.microsoft.com/office/drawing/2014/chart" uri="{C3380CC4-5D6E-409C-BE32-E72D297353CC}">
              <c16:uniqueId val="{00000002-9156-462D-A452-63E0A4CEC1E3}"/>
            </c:ext>
          </c:extLst>
        </c:ser>
        <c:dLbls>
          <c:showLegendKey val="0"/>
          <c:showVal val="0"/>
          <c:showCatName val="0"/>
          <c:showSerName val="0"/>
          <c:showPercent val="0"/>
          <c:showBubbleSize val="0"/>
        </c:dLbls>
        <c:gapWidth val="219"/>
        <c:overlap val="-27"/>
        <c:axId val="439971168"/>
        <c:axId val="439975520"/>
      </c:barChart>
      <c:catAx>
        <c:axId val="43997116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t>Size classes(cm)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39975520"/>
        <c:crosses val="autoZero"/>
        <c:auto val="1"/>
        <c:lblAlgn val="ctr"/>
        <c:lblOffset val="100"/>
        <c:noMultiLvlLbl val="0"/>
      </c:catAx>
      <c:valAx>
        <c:axId val="43997552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t>% of individuals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399711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fr-F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B</a:t>
            </a:r>
          </a:p>
        </c:rich>
      </c:tx>
      <c:layout>
        <c:manualLayout>
          <c:xMode val="edge"/>
          <c:yMode val="edge"/>
          <c:x val="0.83037797707093097"/>
          <c:y val="3.161555485298767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chemeClr val="accent1"/>
            </a:solidFill>
            <a:ln>
              <a:noFill/>
            </a:ln>
            <a:effectLst/>
          </c:spPr>
          <c:invertIfNegative val="0"/>
          <c:cat>
            <c:strRef>
              <c:f>Feuil1!$C$25:$C$33</c:f>
              <c:strCache>
                <c:ptCount val="9"/>
                <c:pt idx="0">
                  <c:v>[6,40-7,35[</c:v>
                </c:pt>
                <c:pt idx="1">
                  <c:v>[7,35-8,30[</c:v>
                </c:pt>
                <c:pt idx="2">
                  <c:v>[8,30-9,25[</c:v>
                </c:pt>
                <c:pt idx="3">
                  <c:v>[9,25-10,20[</c:v>
                </c:pt>
                <c:pt idx="4">
                  <c:v>[10,20-11,15[</c:v>
                </c:pt>
                <c:pt idx="5">
                  <c:v>[11,15-12,10[</c:v>
                </c:pt>
                <c:pt idx="6">
                  <c:v>[12,10-13,05[</c:v>
                </c:pt>
                <c:pt idx="7">
                  <c:v>[13,05-14[</c:v>
                </c:pt>
                <c:pt idx="8">
                  <c:v>[14-14,95[</c:v>
                </c:pt>
              </c:strCache>
            </c:strRef>
          </c:cat>
          <c:val>
            <c:numRef>
              <c:f>Feuil1!$D$25:$D$33</c:f>
              <c:numCache>
                <c:formatCode>General</c:formatCode>
                <c:ptCount val="9"/>
                <c:pt idx="0">
                  <c:v>2</c:v>
                </c:pt>
                <c:pt idx="1">
                  <c:v>7</c:v>
                </c:pt>
                <c:pt idx="2">
                  <c:v>46</c:v>
                </c:pt>
                <c:pt idx="3">
                  <c:v>58</c:v>
                </c:pt>
                <c:pt idx="4">
                  <c:v>20</c:v>
                </c:pt>
                <c:pt idx="5">
                  <c:v>12</c:v>
                </c:pt>
                <c:pt idx="6">
                  <c:v>3</c:v>
                </c:pt>
                <c:pt idx="7">
                  <c:v>0</c:v>
                </c:pt>
                <c:pt idx="8">
                  <c:v>1</c:v>
                </c:pt>
              </c:numCache>
            </c:numRef>
          </c:val>
          <c:extLst>
            <c:ext xmlns:c16="http://schemas.microsoft.com/office/drawing/2014/chart" uri="{C3380CC4-5D6E-409C-BE32-E72D297353CC}">
              <c16:uniqueId val="{00000000-DFB2-498E-B580-D186D900BDFA}"/>
            </c:ext>
          </c:extLst>
        </c:ser>
        <c:dLbls>
          <c:showLegendKey val="0"/>
          <c:showVal val="0"/>
          <c:showCatName val="0"/>
          <c:showSerName val="0"/>
          <c:showPercent val="0"/>
          <c:showBubbleSize val="0"/>
        </c:dLbls>
        <c:gapWidth val="219"/>
        <c:overlap val="-27"/>
        <c:axId val="439979872"/>
        <c:axId val="439983136"/>
      </c:barChart>
      <c:catAx>
        <c:axId val="4399798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Classes</a:t>
                </a:r>
                <a:r>
                  <a:rPr lang="fr-FR" baseline="0">
                    <a:latin typeface="Times New Roman" panose="02020603050405020304" pitchFamily="18" charset="0"/>
                    <a:cs typeface="Times New Roman" panose="02020603050405020304" pitchFamily="18" charset="0"/>
                  </a:rPr>
                  <a:t> de taille (cm)</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39983136"/>
        <c:crosses val="autoZero"/>
        <c:auto val="1"/>
        <c:lblAlgn val="ctr"/>
        <c:lblOffset val="100"/>
        <c:noMultiLvlLbl val="0"/>
      </c:catAx>
      <c:valAx>
        <c:axId val="43998313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a:t>
                </a:r>
                <a:r>
                  <a:rPr lang="fr-FR" baseline="0">
                    <a:latin typeface="Times New Roman" panose="02020603050405020304" pitchFamily="18" charset="0"/>
                    <a:cs typeface="Times New Roman" panose="02020603050405020304" pitchFamily="18" charset="0"/>
                  </a:rPr>
                  <a:t> d'individus</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39979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CNI</a:t>
            </a:r>
          </a:p>
        </c:rich>
      </c:tx>
      <c:layout>
        <c:manualLayout>
          <c:xMode val="edge"/>
          <c:yMode val="edge"/>
          <c:x val="0.78875457469224797"/>
          <c:y val="2.025257776335569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ysClr val="windowText" lastClr="000000"/>
            </a:solidFill>
            <a:ln>
              <a:noFill/>
            </a:ln>
            <a:effectLst/>
          </c:spPr>
          <c:invertIfNegative val="0"/>
          <c:dPt>
            <c:idx val="1"/>
            <c:invertIfNegative val="0"/>
            <c:bubble3D val="0"/>
            <c:spPr>
              <a:solidFill>
                <a:srgbClr val="00B050"/>
              </a:solidFill>
              <a:ln>
                <a:noFill/>
              </a:ln>
              <a:effectLst/>
            </c:spPr>
            <c:extLst>
              <c:ext xmlns:c16="http://schemas.microsoft.com/office/drawing/2014/chart" uri="{C3380CC4-5D6E-409C-BE32-E72D297353CC}">
                <c16:uniqueId val="{00000001-61E7-49F6-B7B1-D7AE27E398E6}"/>
              </c:ext>
            </c:extLst>
          </c:dPt>
          <c:cat>
            <c:strRef>
              <c:f>Feuil1!$C$3:$C$11</c:f>
              <c:strCache>
                <c:ptCount val="9"/>
                <c:pt idx="0">
                  <c:v>[7-8,50[</c:v>
                </c:pt>
                <c:pt idx="1">
                  <c:v>[8,50-10[</c:v>
                </c:pt>
                <c:pt idx="2">
                  <c:v>[10-11,50[</c:v>
                </c:pt>
                <c:pt idx="3">
                  <c:v>[11,50-13[</c:v>
                </c:pt>
                <c:pt idx="4">
                  <c:v>[13-14,50[</c:v>
                </c:pt>
                <c:pt idx="5">
                  <c:v>[14,50-16[</c:v>
                </c:pt>
                <c:pt idx="6">
                  <c:v>[16-17,50[</c:v>
                </c:pt>
                <c:pt idx="7">
                  <c:v>[17,50-19[</c:v>
                </c:pt>
                <c:pt idx="8">
                  <c:v>[19-20,50[</c:v>
                </c:pt>
              </c:strCache>
            </c:strRef>
          </c:cat>
          <c:val>
            <c:numRef>
              <c:f>Feuil1!$D$3:$D$11</c:f>
              <c:numCache>
                <c:formatCode>General</c:formatCode>
                <c:ptCount val="9"/>
                <c:pt idx="0">
                  <c:v>11</c:v>
                </c:pt>
                <c:pt idx="1">
                  <c:v>67</c:v>
                </c:pt>
                <c:pt idx="2">
                  <c:v>60</c:v>
                </c:pt>
                <c:pt idx="3">
                  <c:v>23</c:v>
                </c:pt>
                <c:pt idx="4">
                  <c:v>27</c:v>
                </c:pt>
                <c:pt idx="5">
                  <c:v>34</c:v>
                </c:pt>
                <c:pt idx="6">
                  <c:v>13</c:v>
                </c:pt>
                <c:pt idx="7">
                  <c:v>0</c:v>
                </c:pt>
                <c:pt idx="8">
                  <c:v>1</c:v>
                </c:pt>
              </c:numCache>
            </c:numRef>
          </c:val>
          <c:extLst>
            <c:ext xmlns:c16="http://schemas.microsoft.com/office/drawing/2014/chart" uri="{C3380CC4-5D6E-409C-BE32-E72D297353CC}">
              <c16:uniqueId val="{00000002-61E7-49F6-B7B1-D7AE27E398E6}"/>
            </c:ext>
          </c:extLst>
        </c:ser>
        <c:dLbls>
          <c:showLegendKey val="0"/>
          <c:showVal val="0"/>
          <c:showCatName val="0"/>
          <c:showSerName val="0"/>
          <c:showPercent val="0"/>
          <c:showBubbleSize val="0"/>
        </c:dLbls>
        <c:gapWidth val="219"/>
        <c:overlap val="-27"/>
        <c:axId val="439980960"/>
        <c:axId val="439981504"/>
      </c:barChart>
      <c:catAx>
        <c:axId val="439980960"/>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sz="1000">
                    <a:solidFill>
                      <a:sysClr val="windowText" lastClr="000000"/>
                    </a:solidFill>
                    <a:latin typeface="Times New Roman" panose="02020603050405020304" pitchFamily="18" charset="0"/>
                    <a:cs typeface="Times New Roman" panose="02020603050405020304" pitchFamily="18" charset="0"/>
                  </a:rPr>
                  <a:t>Size classes</a:t>
                </a:r>
                <a:r>
                  <a:rPr lang="fr-FR" sz="1000" baseline="0">
                    <a:solidFill>
                      <a:sysClr val="windowText" lastClr="000000"/>
                    </a:solidFill>
                    <a:latin typeface="Times New Roman" panose="02020603050405020304" pitchFamily="18" charset="0"/>
                    <a:cs typeface="Times New Roman" panose="02020603050405020304" pitchFamily="18" charset="0"/>
                  </a:rPr>
                  <a:t>(cm)</a:t>
                </a:r>
                <a:endParaRPr lang="fr-FR" sz="10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39981504"/>
        <c:crosses val="autoZero"/>
        <c:auto val="0"/>
        <c:lblAlgn val="ctr"/>
        <c:lblOffset val="100"/>
        <c:noMultiLvlLbl val="0"/>
      </c:catAx>
      <c:valAx>
        <c:axId val="439981504"/>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b="0">
                    <a:solidFill>
                      <a:sysClr val="windowText" lastClr="000000"/>
                    </a:solidFill>
                    <a:latin typeface="Times New Roman" panose="02020603050405020304" pitchFamily="18" charset="0"/>
                    <a:cs typeface="Times New Roman" panose="02020603050405020304" pitchFamily="18" charset="0"/>
                  </a:rPr>
                  <a:t>%</a:t>
                </a:r>
                <a:r>
                  <a:rPr lang="fr-FR" b="0" baseline="0">
                    <a:solidFill>
                      <a:sysClr val="windowText" lastClr="000000"/>
                    </a:solidFill>
                    <a:latin typeface="Times New Roman" panose="02020603050405020304" pitchFamily="18" charset="0"/>
                    <a:cs typeface="Times New Roman" panose="02020603050405020304" pitchFamily="18" charset="0"/>
                  </a:rPr>
                  <a:t> of individuals</a:t>
                </a:r>
                <a:endParaRPr lang="fr-FR" b="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4399809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A</a:t>
            </a:r>
          </a:p>
        </c:rich>
      </c:tx>
      <c:layout>
        <c:manualLayout>
          <c:xMode val="edge"/>
          <c:yMode val="edge"/>
          <c:x val="0.86288363487274367"/>
          <c:y val="3.146633102580238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chemeClr val="accent1"/>
            </a:solidFill>
            <a:ln>
              <a:noFill/>
            </a:ln>
            <a:effectLst/>
          </c:spPr>
          <c:invertIfNegative val="0"/>
          <c:cat>
            <c:strRef>
              <c:f>Feuil1!$C$3:$C$11</c:f>
              <c:strCache>
                <c:ptCount val="9"/>
                <c:pt idx="0">
                  <c:v>[7-8,50[</c:v>
                </c:pt>
                <c:pt idx="1">
                  <c:v>[8,50-10[</c:v>
                </c:pt>
                <c:pt idx="2">
                  <c:v>[10-11,50[</c:v>
                </c:pt>
                <c:pt idx="3">
                  <c:v>[11,50-13[</c:v>
                </c:pt>
                <c:pt idx="4">
                  <c:v>[13-14,50[</c:v>
                </c:pt>
                <c:pt idx="5">
                  <c:v>[14,50-16[</c:v>
                </c:pt>
                <c:pt idx="6">
                  <c:v>[16-17,50[</c:v>
                </c:pt>
                <c:pt idx="7">
                  <c:v>[17,50-19[</c:v>
                </c:pt>
                <c:pt idx="8">
                  <c:v>[19-20,50[</c:v>
                </c:pt>
              </c:strCache>
            </c:strRef>
          </c:cat>
          <c:val>
            <c:numRef>
              <c:f>Feuil1!$D$3:$D$11</c:f>
              <c:numCache>
                <c:formatCode>General</c:formatCode>
                <c:ptCount val="9"/>
                <c:pt idx="0">
                  <c:v>11</c:v>
                </c:pt>
                <c:pt idx="1">
                  <c:v>67</c:v>
                </c:pt>
                <c:pt idx="2">
                  <c:v>60</c:v>
                </c:pt>
                <c:pt idx="3">
                  <c:v>23</c:v>
                </c:pt>
                <c:pt idx="4">
                  <c:v>27</c:v>
                </c:pt>
                <c:pt idx="5">
                  <c:v>34</c:v>
                </c:pt>
                <c:pt idx="6">
                  <c:v>13</c:v>
                </c:pt>
                <c:pt idx="7">
                  <c:v>0</c:v>
                </c:pt>
                <c:pt idx="8">
                  <c:v>1</c:v>
                </c:pt>
              </c:numCache>
            </c:numRef>
          </c:val>
          <c:extLst>
            <c:ext xmlns:c16="http://schemas.microsoft.com/office/drawing/2014/chart" uri="{C3380CC4-5D6E-409C-BE32-E72D297353CC}">
              <c16:uniqueId val="{00000000-5E55-44DE-86A8-AEA7DD2EC01C}"/>
            </c:ext>
          </c:extLst>
        </c:ser>
        <c:dLbls>
          <c:showLegendKey val="0"/>
          <c:showVal val="0"/>
          <c:showCatName val="0"/>
          <c:showSerName val="0"/>
          <c:showPercent val="0"/>
          <c:showBubbleSize val="0"/>
        </c:dLbls>
        <c:gapWidth val="219"/>
        <c:overlap val="-27"/>
        <c:axId val="441258048"/>
        <c:axId val="441250976"/>
      </c:barChart>
      <c:catAx>
        <c:axId val="4412580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a:latin typeface="Times New Roman" panose="02020603050405020304" pitchFamily="18" charset="0"/>
                    <a:cs typeface="Times New Roman" panose="02020603050405020304" pitchFamily="18" charset="0"/>
                  </a:rPr>
                  <a:t>Classes</a:t>
                </a:r>
                <a:r>
                  <a:rPr lang="fr-FR" sz="1000" baseline="0">
                    <a:latin typeface="Times New Roman" panose="02020603050405020304" pitchFamily="18" charset="0"/>
                    <a:cs typeface="Times New Roman" panose="02020603050405020304" pitchFamily="18" charset="0"/>
                  </a:rPr>
                  <a:t> de taille (cm)</a:t>
                </a:r>
                <a:endParaRPr lang="fr-FR" sz="10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441250976"/>
        <c:crosses val="autoZero"/>
        <c:auto val="0"/>
        <c:lblAlgn val="ctr"/>
        <c:lblOffset val="100"/>
        <c:noMultiLvlLbl val="0"/>
      </c:catAx>
      <c:valAx>
        <c:axId val="44125097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b="0">
                    <a:latin typeface="Times New Roman" panose="02020603050405020304" pitchFamily="18" charset="0"/>
                    <a:cs typeface="Times New Roman" panose="02020603050405020304" pitchFamily="18" charset="0"/>
                  </a:rPr>
                  <a:t>%</a:t>
                </a:r>
                <a:r>
                  <a:rPr lang="fr-FR" b="0" baseline="0">
                    <a:latin typeface="Times New Roman" panose="02020603050405020304" pitchFamily="18" charset="0"/>
                    <a:cs typeface="Times New Roman" panose="02020603050405020304" pitchFamily="18" charset="0"/>
                  </a:rPr>
                  <a:t> d'individus</a:t>
                </a:r>
                <a:endParaRPr lang="fr-FR" b="0">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441258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ONI</a:t>
            </a:r>
          </a:p>
        </c:rich>
      </c:tx>
      <c:layout>
        <c:manualLayout>
          <c:xMode val="edge"/>
          <c:yMode val="edge"/>
          <c:x val="0.87031706773208317"/>
          <c:y val="2.534854245880861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ysClr val="windowText" lastClr="000000"/>
            </a:solidFill>
            <a:ln>
              <a:noFill/>
            </a:ln>
            <a:effectLst/>
          </c:spPr>
          <c:invertIfNegative val="0"/>
          <c:dPt>
            <c:idx val="1"/>
            <c:invertIfNegative val="0"/>
            <c:bubble3D val="0"/>
            <c:spPr>
              <a:solidFill>
                <a:srgbClr val="00B050"/>
              </a:solidFill>
              <a:ln>
                <a:noFill/>
              </a:ln>
              <a:effectLst/>
            </c:spPr>
            <c:extLst>
              <c:ext xmlns:c16="http://schemas.microsoft.com/office/drawing/2014/chart" uri="{C3380CC4-5D6E-409C-BE32-E72D297353CC}">
                <c16:uniqueId val="{00000001-2D26-48CB-BEC0-EAD41506E508}"/>
              </c:ext>
            </c:extLst>
          </c:dPt>
          <c:cat>
            <c:strRef>
              <c:f>Feuil1!$C$44:$C$47</c:f>
              <c:strCache>
                <c:ptCount val="4"/>
                <c:pt idx="0">
                  <c:v>[7,8-10,75[</c:v>
                </c:pt>
                <c:pt idx="1">
                  <c:v>[10,75-13,70[</c:v>
                </c:pt>
                <c:pt idx="2">
                  <c:v>[13,70-16,65[</c:v>
                </c:pt>
                <c:pt idx="3">
                  <c:v>[16,65-19,60[</c:v>
                </c:pt>
              </c:strCache>
            </c:strRef>
          </c:cat>
          <c:val>
            <c:numRef>
              <c:f>Feuil1!$D$44:$D$47</c:f>
              <c:numCache>
                <c:formatCode>General</c:formatCode>
                <c:ptCount val="4"/>
                <c:pt idx="0">
                  <c:v>54</c:v>
                </c:pt>
                <c:pt idx="1">
                  <c:v>69</c:v>
                </c:pt>
                <c:pt idx="2">
                  <c:v>5</c:v>
                </c:pt>
                <c:pt idx="3">
                  <c:v>1</c:v>
                </c:pt>
              </c:numCache>
            </c:numRef>
          </c:val>
          <c:extLst>
            <c:ext xmlns:c16="http://schemas.microsoft.com/office/drawing/2014/chart" uri="{C3380CC4-5D6E-409C-BE32-E72D297353CC}">
              <c16:uniqueId val="{00000002-2D26-48CB-BEC0-EAD41506E508}"/>
            </c:ext>
          </c:extLst>
        </c:ser>
        <c:dLbls>
          <c:showLegendKey val="0"/>
          <c:showVal val="0"/>
          <c:showCatName val="0"/>
          <c:showSerName val="0"/>
          <c:showPercent val="0"/>
          <c:showBubbleSize val="0"/>
        </c:dLbls>
        <c:gapWidth val="219"/>
        <c:overlap val="-27"/>
        <c:axId val="441235200"/>
        <c:axId val="441251520"/>
      </c:barChart>
      <c:catAx>
        <c:axId val="441235200"/>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solidFill>
                      <a:sysClr val="windowText" lastClr="000000"/>
                    </a:solidFill>
                    <a:latin typeface="Times New Roman" panose="02020603050405020304" pitchFamily="18" charset="0"/>
                    <a:cs typeface="Times New Roman" panose="02020603050405020304" pitchFamily="18" charset="0"/>
                  </a:rPr>
                  <a:t>Size classes</a:t>
                </a:r>
                <a:r>
                  <a:rPr lang="fr-FR" baseline="0">
                    <a:solidFill>
                      <a:sysClr val="windowText" lastClr="000000"/>
                    </a:solidFill>
                    <a:latin typeface="Times New Roman" panose="02020603050405020304" pitchFamily="18" charset="0"/>
                    <a:cs typeface="Times New Roman" panose="02020603050405020304" pitchFamily="18" charset="0"/>
                  </a:rPr>
                  <a:t>(cm)</a:t>
                </a:r>
                <a:endParaRPr lang="fr-FR">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41251520"/>
        <c:crosses val="autoZero"/>
        <c:auto val="1"/>
        <c:lblAlgn val="ctr"/>
        <c:lblOffset val="100"/>
        <c:noMultiLvlLbl val="0"/>
      </c:catAx>
      <c:valAx>
        <c:axId val="44125152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solidFill>
                      <a:sysClr val="windowText" lastClr="000000"/>
                    </a:solidFill>
                    <a:latin typeface="Times New Roman" panose="02020603050405020304" pitchFamily="18" charset="0"/>
                    <a:cs typeface="Times New Roman" panose="02020603050405020304" pitchFamily="18" charset="0"/>
                  </a:rPr>
                  <a:t>%</a:t>
                </a:r>
                <a:r>
                  <a:rPr lang="fr-FR" baseline="0">
                    <a:solidFill>
                      <a:sysClr val="windowText" lastClr="000000"/>
                    </a:solidFill>
                    <a:latin typeface="Times New Roman" panose="02020603050405020304" pitchFamily="18" charset="0"/>
                    <a:cs typeface="Times New Roman" panose="02020603050405020304" pitchFamily="18" charset="0"/>
                  </a:rPr>
                  <a:t> of individuals</a:t>
                </a:r>
                <a:endParaRPr lang="fr-FR">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4412352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C</a:t>
            </a:r>
          </a:p>
        </c:rich>
      </c:tx>
      <c:layout>
        <c:manualLayout>
          <c:xMode val="edge"/>
          <c:yMode val="edge"/>
          <c:x val="0.87031706773208317"/>
          <c:y val="2.534854245880861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chemeClr val="accent1"/>
            </a:solidFill>
            <a:ln>
              <a:noFill/>
            </a:ln>
            <a:effectLst/>
          </c:spPr>
          <c:invertIfNegative val="0"/>
          <c:cat>
            <c:strRef>
              <c:f>Feuil1!$C$44:$C$47</c:f>
              <c:strCache>
                <c:ptCount val="4"/>
                <c:pt idx="0">
                  <c:v>[7,8-10,75[</c:v>
                </c:pt>
                <c:pt idx="1">
                  <c:v>[10,75-13,70[</c:v>
                </c:pt>
                <c:pt idx="2">
                  <c:v>[13,70-16,65[</c:v>
                </c:pt>
                <c:pt idx="3">
                  <c:v>[16,65-19,60[</c:v>
                </c:pt>
              </c:strCache>
            </c:strRef>
          </c:cat>
          <c:val>
            <c:numRef>
              <c:f>Feuil1!$D$44:$D$47</c:f>
              <c:numCache>
                <c:formatCode>General</c:formatCode>
                <c:ptCount val="4"/>
                <c:pt idx="0">
                  <c:v>54</c:v>
                </c:pt>
                <c:pt idx="1">
                  <c:v>69</c:v>
                </c:pt>
                <c:pt idx="2">
                  <c:v>5</c:v>
                </c:pt>
                <c:pt idx="3">
                  <c:v>1</c:v>
                </c:pt>
              </c:numCache>
            </c:numRef>
          </c:val>
          <c:extLst>
            <c:ext xmlns:c16="http://schemas.microsoft.com/office/drawing/2014/chart" uri="{C3380CC4-5D6E-409C-BE32-E72D297353CC}">
              <c16:uniqueId val="{00000000-2952-43B2-942C-2D99C84921ED}"/>
            </c:ext>
          </c:extLst>
        </c:ser>
        <c:dLbls>
          <c:showLegendKey val="0"/>
          <c:showVal val="0"/>
          <c:showCatName val="0"/>
          <c:showSerName val="0"/>
          <c:showPercent val="0"/>
          <c:showBubbleSize val="0"/>
        </c:dLbls>
        <c:gapWidth val="219"/>
        <c:overlap val="-27"/>
        <c:axId val="441260224"/>
        <c:axId val="441248256"/>
      </c:barChart>
      <c:catAx>
        <c:axId val="4412602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Classes</a:t>
                </a:r>
                <a:r>
                  <a:rPr lang="fr-FR" baseline="0">
                    <a:latin typeface="Times New Roman" panose="02020603050405020304" pitchFamily="18" charset="0"/>
                    <a:cs typeface="Times New Roman" panose="02020603050405020304" pitchFamily="18" charset="0"/>
                  </a:rPr>
                  <a:t> de taille (cm)</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441248256"/>
        <c:crosses val="autoZero"/>
        <c:auto val="1"/>
        <c:lblAlgn val="ctr"/>
        <c:lblOffset val="100"/>
        <c:noMultiLvlLbl val="0"/>
      </c:catAx>
      <c:valAx>
        <c:axId val="44124825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a:t>
                </a:r>
                <a:r>
                  <a:rPr lang="fr-FR" baseline="0">
                    <a:latin typeface="Times New Roman" panose="02020603050405020304" pitchFamily="18" charset="0"/>
                    <a:cs typeface="Times New Roman" panose="02020603050405020304" pitchFamily="18" charset="0"/>
                  </a:rPr>
                  <a:t> d'individus</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441260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SG</a:t>
            </a:r>
            <a:r>
              <a:rPr lang="fr-FR" baseline="0"/>
              <a:t> </a:t>
            </a:r>
            <a:endParaRPr lang="fr-FR"/>
          </a:p>
        </c:rich>
      </c:tx>
      <c:layout>
        <c:manualLayout>
          <c:xMode val="edge"/>
          <c:yMode val="edge"/>
          <c:x val="0.85293202915920296"/>
          <c:y val="3.253090435914118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0.16449124297911327"/>
          <c:y val="0.24782042940793761"/>
          <c:w val="0.77549779296137722"/>
          <c:h val="0.4185272465535172"/>
        </c:manualLayout>
      </c:layout>
      <c:barChart>
        <c:barDir val="col"/>
        <c:grouping val="clustered"/>
        <c:varyColors val="0"/>
        <c:ser>
          <c:idx val="0"/>
          <c:order val="0"/>
          <c:spPr>
            <a:solidFill>
              <a:schemeClr val="tx1"/>
            </a:solidFill>
            <a:ln>
              <a:noFill/>
            </a:ln>
            <a:effectLst/>
          </c:spPr>
          <c:invertIfNegative val="0"/>
          <c:dPt>
            <c:idx val="0"/>
            <c:invertIfNegative val="0"/>
            <c:bubble3D val="0"/>
            <c:spPr>
              <a:solidFill>
                <a:srgbClr val="00B050"/>
              </a:solidFill>
              <a:ln>
                <a:noFill/>
              </a:ln>
              <a:effectLst/>
            </c:spPr>
            <c:extLst>
              <c:ext xmlns:c16="http://schemas.microsoft.com/office/drawing/2014/chart" uri="{C3380CC4-5D6E-409C-BE32-E72D297353CC}">
                <c16:uniqueId val="{00000001-B752-4FFD-83E6-46E39FBB038E}"/>
              </c:ext>
            </c:extLst>
          </c:dPt>
          <c:cat>
            <c:strRef>
              <c:f>'[Graphique dans Microsoft Word]Feuil1'!$C$66:$C$68</c:f>
              <c:strCache>
                <c:ptCount val="3"/>
                <c:pt idx="0">
                  <c:v>[8-10,04[</c:v>
                </c:pt>
                <c:pt idx="1">
                  <c:v>[10,04-12,08[</c:v>
                </c:pt>
                <c:pt idx="2">
                  <c:v>[12,08-14,12[</c:v>
                </c:pt>
              </c:strCache>
            </c:strRef>
          </c:cat>
          <c:val>
            <c:numRef>
              <c:f>'[Graphique dans Microsoft Word]Feuil1'!$D$66:$D$68</c:f>
              <c:numCache>
                <c:formatCode>General</c:formatCode>
                <c:ptCount val="3"/>
                <c:pt idx="0">
                  <c:v>37</c:v>
                </c:pt>
                <c:pt idx="1">
                  <c:v>23</c:v>
                </c:pt>
                <c:pt idx="2">
                  <c:v>8</c:v>
                </c:pt>
              </c:numCache>
            </c:numRef>
          </c:val>
          <c:extLst>
            <c:ext xmlns:c16="http://schemas.microsoft.com/office/drawing/2014/chart" uri="{C3380CC4-5D6E-409C-BE32-E72D297353CC}">
              <c16:uniqueId val="{00000002-B752-4FFD-83E6-46E39FBB038E}"/>
            </c:ext>
          </c:extLst>
        </c:ser>
        <c:dLbls>
          <c:showLegendKey val="0"/>
          <c:showVal val="0"/>
          <c:showCatName val="0"/>
          <c:showSerName val="0"/>
          <c:showPercent val="0"/>
          <c:showBubbleSize val="0"/>
        </c:dLbls>
        <c:gapWidth val="219"/>
        <c:overlap val="-27"/>
        <c:axId val="441241728"/>
        <c:axId val="441254240"/>
      </c:barChart>
      <c:catAx>
        <c:axId val="44124172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solidFill>
                      <a:sysClr val="windowText" lastClr="000000"/>
                    </a:solidFill>
                    <a:latin typeface="Times New Roman" panose="02020603050405020304" pitchFamily="18" charset="0"/>
                    <a:cs typeface="Times New Roman" panose="02020603050405020304" pitchFamily="18" charset="0"/>
                  </a:rPr>
                  <a:t>Size classes</a:t>
                </a:r>
                <a:r>
                  <a:rPr lang="fr-FR" baseline="0">
                    <a:solidFill>
                      <a:sysClr val="windowText" lastClr="000000"/>
                    </a:solidFill>
                    <a:latin typeface="Times New Roman" panose="02020603050405020304" pitchFamily="18" charset="0"/>
                    <a:cs typeface="Times New Roman" panose="02020603050405020304" pitchFamily="18" charset="0"/>
                  </a:rPr>
                  <a:t>(cm)</a:t>
                </a:r>
                <a:endParaRPr lang="fr-FR">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chemeClr val="tx1"/>
            </a:solidFill>
            <a:round/>
          </a:ln>
          <a:effectLst/>
        </c:spPr>
        <c:txPr>
          <a:bodyPr rot="-24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fr-FR"/>
          </a:p>
        </c:txPr>
        <c:crossAx val="441254240"/>
        <c:crosses val="autoZero"/>
        <c:auto val="1"/>
        <c:lblAlgn val="ctr"/>
        <c:lblOffset val="100"/>
        <c:noMultiLvlLbl val="0"/>
      </c:catAx>
      <c:valAx>
        <c:axId val="44125424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solidFill>
                      <a:sysClr val="windowText" lastClr="000000"/>
                    </a:solidFill>
                    <a:latin typeface="Times New Roman" panose="02020603050405020304" pitchFamily="18" charset="0"/>
                    <a:cs typeface="Times New Roman" panose="02020603050405020304" pitchFamily="18" charset="0"/>
                  </a:rPr>
                  <a:t>%</a:t>
                </a:r>
                <a:r>
                  <a:rPr lang="fr-FR" baseline="0">
                    <a:solidFill>
                      <a:sysClr val="windowText" lastClr="000000"/>
                    </a:solidFill>
                    <a:latin typeface="Times New Roman" panose="02020603050405020304" pitchFamily="18" charset="0"/>
                    <a:cs typeface="Times New Roman" panose="02020603050405020304" pitchFamily="18" charset="0"/>
                  </a:rPr>
                  <a:t> of individuals</a:t>
                </a:r>
                <a:endParaRPr lang="fr-FR">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a:solidFill>
              <a:schemeClr val="dk1">
                <a:shade val="95000"/>
                <a:satMod val="10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41241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D</a:t>
            </a:r>
            <a:r>
              <a:rPr lang="fr-FR" baseline="0"/>
              <a:t> </a:t>
            </a:r>
            <a:endParaRPr lang="fr-FR"/>
          </a:p>
        </c:rich>
      </c:tx>
      <c:layout>
        <c:manualLayout>
          <c:xMode val="edge"/>
          <c:yMode val="edge"/>
          <c:x val="0.85293202915920296"/>
          <c:y val="3.253090435914118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0.16449124297911327"/>
          <c:y val="0.24782042940793761"/>
          <c:w val="0.77549779296137722"/>
          <c:h val="0.4185272465535172"/>
        </c:manualLayout>
      </c:layout>
      <c:barChart>
        <c:barDir val="col"/>
        <c:grouping val="clustered"/>
        <c:varyColors val="0"/>
        <c:ser>
          <c:idx val="0"/>
          <c:order val="0"/>
          <c:spPr>
            <a:solidFill>
              <a:schemeClr val="accent1"/>
            </a:solidFill>
            <a:ln>
              <a:noFill/>
            </a:ln>
            <a:effectLst/>
          </c:spPr>
          <c:invertIfNegative val="0"/>
          <c:cat>
            <c:strRef>
              <c:f>'[Graphique dans Microsoft Word]Feuil1'!$C$66:$C$68</c:f>
              <c:strCache>
                <c:ptCount val="3"/>
                <c:pt idx="0">
                  <c:v>[8-10,04[</c:v>
                </c:pt>
                <c:pt idx="1">
                  <c:v>[10,04-12,08[</c:v>
                </c:pt>
                <c:pt idx="2">
                  <c:v>[12,08-14,12[</c:v>
                </c:pt>
              </c:strCache>
            </c:strRef>
          </c:cat>
          <c:val>
            <c:numRef>
              <c:f>'[Graphique dans Microsoft Word]Feuil1'!$D$66:$D$68</c:f>
              <c:numCache>
                <c:formatCode>General</c:formatCode>
                <c:ptCount val="3"/>
                <c:pt idx="0">
                  <c:v>37</c:v>
                </c:pt>
                <c:pt idx="1">
                  <c:v>23</c:v>
                </c:pt>
                <c:pt idx="2">
                  <c:v>8</c:v>
                </c:pt>
              </c:numCache>
            </c:numRef>
          </c:val>
          <c:extLst>
            <c:ext xmlns:c16="http://schemas.microsoft.com/office/drawing/2014/chart" uri="{C3380CC4-5D6E-409C-BE32-E72D297353CC}">
              <c16:uniqueId val="{00000000-9415-41B8-B6A4-AC6E2E442F59}"/>
            </c:ext>
          </c:extLst>
        </c:ser>
        <c:dLbls>
          <c:showLegendKey val="0"/>
          <c:showVal val="0"/>
          <c:showCatName val="0"/>
          <c:showSerName val="0"/>
          <c:showPercent val="0"/>
          <c:showBubbleSize val="0"/>
        </c:dLbls>
        <c:gapWidth val="219"/>
        <c:overlap val="-27"/>
        <c:axId val="441242816"/>
        <c:axId val="441230848"/>
      </c:barChart>
      <c:catAx>
        <c:axId val="4412428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Classes</a:t>
                </a:r>
                <a:r>
                  <a:rPr lang="fr-FR" baseline="0">
                    <a:latin typeface="Times New Roman" panose="02020603050405020304" pitchFamily="18" charset="0"/>
                    <a:cs typeface="Times New Roman" panose="02020603050405020304" pitchFamily="18" charset="0"/>
                  </a:rPr>
                  <a:t> de taille (cm)</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chemeClr val="tx1"/>
            </a:solidFill>
            <a:round/>
          </a:ln>
          <a:effectLst/>
        </c:spPr>
        <c:txPr>
          <a:bodyPr rot="-24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fr-FR"/>
          </a:p>
        </c:txPr>
        <c:crossAx val="441230848"/>
        <c:crosses val="autoZero"/>
        <c:auto val="1"/>
        <c:lblAlgn val="ctr"/>
        <c:lblOffset val="100"/>
        <c:noMultiLvlLbl val="0"/>
      </c:catAx>
      <c:valAx>
        <c:axId val="44123084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a:t>
                </a:r>
                <a:r>
                  <a:rPr lang="fr-FR" baseline="0">
                    <a:latin typeface="Times New Roman" panose="02020603050405020304" pitchFamily="18" charset="0"/>
                    <a:cs typeface="Times New Roman" panose="02020603050405020304" pitchFamily="18" charset="0"/>
                  </a:rPr>
                  <a:t> d'individus</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a:solidFill>
              <a:schemeClr val="dk1">
                <a:shade val="95000"/>
                <a:satMod val="10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41242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HBI</a:t>
            </a:r>
          </a:p>
        </c:rich>
      </c:tx>
      <c:layout>
        <c:manualLayout>
          <c:xMode val="edge"/>
          <c:yMode val="edge"/>
          <c:x val="0.87109590402146087"/>
          <c:y val="3.857280617164898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ysClr val="windowText" lastClr="000000"/>
            </a:solidFill>
            <a:ln>
              <a:noFill/>
            </a:ln>
            <a:effectLst/>
          </c:spPr>
          <c:invertIfNegative val="0"/>
          <c:dPt>
            <c:idx val="1"/>
            <c:invertIfNegative val="0"/>
            <c:bubble3D val="0"/>
            <c:spPr>
              <a:solidFill>
                <a:srgbClr val="00B050"/>
              </a:solidFill>
              <a:ln>
                <a:noFill/>
              </a:ln>
              <a:effectLst/>
            </c:spPr>
            <c:extLst>
              <c:ext xmlns:c16="http://schemas.microsoft.com/office/drawing/2014/chart" uri="{C3380CC4-5D6E-409C-BE32-E72D297353CC}">
                <c16:uniqueId val="{00000001-4ACC-4FB8-BDCB-1ACABEC8AFD9}"/>
              </c:ext>
            </c:extLst>
          </c:dPt>
          <c:cat>
            <c:strRef>
              <c:f>Feuil1!$C$81:$C$84</c:f>
              <c:strCache>
                <c:ptCount val="4"/>
                <c:pt idx="0">
                  <c:v>[6,8-7,66[</c:v>
                </c:pt>
                <c:pt idx="1">
                  <c:v>[7,66-8,52[</c:v>
                </c:pt>
                <c:pt idx="2">
                  <c:v>[8,52-9,38[</c:v>
                </c:pt>
                <c:pt idx="3">
                  <c:v>[9,38-10,24[</c:v>
                </c:pt>
              </c:strCache>
            </c:strRef>
          </c:cat>
          <c:val>
            <c:numRef>
              <c:f>Feuil1!$D$81:$D$84</c:f>
              <c:numCache>
                <c:formatCode>General</c:formatCode>
                <c:ptCount val="4"/>
                <c:pt idx="0">
                  <c:v>36</c:v>
                </c:pt>
                <c:pt idx="1">
                  <c:v>49</c:v>
                </c:pt>
                <c:pt idx="2">
                  <c:v>13</c:v>
                </c:pt>
                <c:pt idx="3">
                  <c:v>1</c:v>
                </c:pt>
              </c:numCache>
            </c:numRef>
          </c:val>
          <c:extLst>
            <c:ext xmlns:c16="http://schemas.microsoft.com/office/drawing/2014/chart" uri="{C3380CC4-5D6E-409C-BE32-E72D297353CC}">
              <c16:uniqueId val="{00000002-4ACC-4FB8-BDCB-1ACABEC8AFD9}"/>
            </c:ext>
          </c:extLst>
        </c:ser>
        <c:dLbls>
          <c:showLegendKey val="0"/>
          <c:showVal val="0"/>
          <c:showCatName val="0"/>
          <c:showSerName val="0"/>
          <c:showPercent val="0"/>
          <c:showBubbleSize val="0"/>
        </c:dLbls>
        <c:gapWidth val="219"/>
        <c:overlap val="-27"/>
        <c:axId val="441234112"/>
        <c:axId val="441237376"/>
      </c:barChart>
      <c:catAx>
        <c:axId val="44123411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solidFill>
                      <a:sysClr val="windowText" lastClr="000000"/>
                    </a:solidFill>
                    <a:latin typeface="Times New Roman" panose="02020603050405020304" pitchFamily="18" charset="0"/>
                    <a:cs typeface="Times New Roman" panose="02020603050405020304" pitchFamily="18" charset="0"/>
                  </a:rPr>
                  <a:t>Size classes</a:t>
                </a:r>
                <a:r>
                  <a:rPr lang="fr-FR" baseline="0">
                    <a:solidFill>
                      <a:sysClr val="windowText" lastClr="000000"/>
                    </a:solidFill>
                    <a:latin typeface="Times New Roman" panose="02020603050405020304" pitchFamily="18" charset="0"/>
                    <a:cs typeface="Times New Roman" panose="02020603050405020304" pitchFamily="18" charset="0"/>
                  </a:rPr>
                  <a:t>(cm)</a:t>
                </a:r>
                <a:endParaRPr lang="fr-FR">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41237376"/>
        <c:crosses val="autoZero"/>
        <c:auto val="1"/>
        <c:lblAlgn val="ctr"/>
        <c:lblOffset val="100"/>
        <c:noMultiLvlLbl val="0"/>
      </c:catAx>
      <c:valAx>
        <c:axId val="441237376"/>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solidFill>
                      <a:sysClr val="windowText" lastClr="000000"/>
                    </a:solidFill>
                    <a:latin typeface="Times New Roman" panose="02020603050405020304" pitchFamily="18" charset="0"/>
                    <a:cs typeface="Times New Roman" panose="02020603050405020304" pitchFamily="18" charset="0"/>
                  </a:rPr>
                  <a:t>%</a:t>
                </a:r>
                <a:r>
                  <a:rPr lang="fr-FR" baseline="0">
                    <a:solidFill>
                      <a:sysClr val="windowText" lastClr="000000"/>
                    </a:solidFill>
                    <a:latin typeface="Times New Roman" panose="02020603050405020304" pitchFamily="18" charset="0"/>
                    <a:cs typeface="Times New Roman" panose="02020603050405020304" pitchFamily="18" charset="0"/>
                  </a:rPr>
                  <a:t> of individuals</a:t>
                </a:r>
                <a:endParaRPr lang="fr-FR">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412341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E</a:t>
            </a:r>
          </a:p>
        </c:rich>
      </c:tx>
      <c:layout>
        <c:manualLayout>
          <c:xMode val="edge"/>
          <c:yMode val="edge"/>
          <c:x val="0.87109590402146087"/>
          <c:y val="3.857280617164898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chemeClr val="accent1"/>
            </a:solidFill>
            <a:ln>
              <a:noFill/>
            </a:ln>
            <a:effectLst/>
          </c:spPr>
          <c:invertIfNegative val="0"/>
          <c:cat>
            <c:strRef>
              <c:f>Feuil1!$C$81:$C$84</c:f>
              <c:strCache>
                <c:ptCount val="4"/>
                <c:pt idx="0">
                  <c:v>[6,8-7,66[</c:v>
                </c:pt>
                <c:pt idx="1">
                  <c:v>[7,66-8,52[</c:v>
                </c:pt>
                <c:pt idx="2">
                  <c:v>[8,52-9,38[</c:v>
                </c:pt>
                <c:pt idx="3">
                  <c:v>[9,38-10,24[</c:v>
                </c:pt>
              </c:strCache>
            </c:strRef>
          </c:cat>
          <c:val>
            <c:numRef>
              <c:f>Feuil1!$D$81:$D$84</c:f>
              <c:numCache>
                <c:formatCode>General</c:formatCode>
                <c:ptCount val="4"/>
                <c:pt idx="0">
                  <c:v>36</c:v>
                </c:pt>
                <c:pt idx="1">
                  <c:v>49</c:v>
                </c:pt>
                <c:pt idx="2">
                  <c:v>13</c:v>
                </c:pt>
                <c:pt idx="3">
                  <c:v>1</c:v>
                </c:pt>
              </c:numCache>
            </c:numRef>
          </c:val>
          <c:extLst>
            <c:ext xmlns:c16="http://schemas.microsoft.com/office/drawing/2014/chart" uri="{C3380CC4-5D6E-409C-BE32-E72D297353CC}">
              <c16:uniqueId val="{00000000-3B28-4068-AE9B-3171BC04638F}"/>
            </c:ext>
          </c:extLst>
        </c:ser>
        <c:dLbls>
          <c:showLegendKey val="0"/>
          <c:showVal val="0"/>
          <c:showCatName val="0"/>
          <c:showSerName val="0"/>
          <c:showPercent val="0"/>
          <c:showBubbleSize val="0"/>
        </c:dLbls>
        <c:gapWidth val="219"/>
        <c:overlap val="-27"/>
        <c:axId val="2001880848"/>
        <c:axId val="679147264"/>
      </c:barChart>
      <c:catAx>
        <c:axId val="20018808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Classes</a:t>
                </a:r>
                <a:r>
                  <a:rPr lang="fr-FR" baseline="0">
                    <a:latin typeface="Times New Roman" panose="02020603050405020304" pitchFamily="18" charset="0"/>
                    <a:cs typeface="Times New Roman" panose="02020603050405020304" pitchFamily="18" charset="0"/>
                  </a:rPr>
                  <a:t> de taille (cm)</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679147264"/>
        <c:crosses val="autoZero"/>
        <c:auto val="1"/>
        <c:lblAlgn val="ctr"/>
        <c:lblOffset val="100"/>
        <c:noMultiLvlLbl val="0"/>
      </c:catAx>
      <c:valAx>
        <c:axId val="67914726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a:t>
                </a:r>
                <a:r>
                  <a:rPr lang="fr-FR" baseline="0">
                    <a:latin typeface="Times New Roman" panose="02020603050405020304" pitchFamily="18" charset="0"/>
                    <a:cs typeface="Times New Roman" panose="02020603050405020304" pitchFamily="18" charset="0"/>
                  </a:rPr>
                  <a:t> d'individus</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2001880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fr-FR"/>
              <a:t>CZI</a:t>
            </a:r>
          </a:p>
        </c:rich>
      </c:tx>
      <c:layout>
        <c:manualLayout>
          <c:xMode val="edge"/>
          <c:yMode val="edge"/>
          <c:x val="0.83037797707093097"/>
          <c:y val="3.161555485298767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fr-FR"/>
        </a:p>
      </c:txPr>
    </c:title>
    <c:autoTitleDeleted val="0"/>
    <c:plotArea>
      <c:layout/>
      <c:barChart>
        <c:barDir val="col"/>
        <c:grouping val="clustered"/>
        <c:varyColors val="0"/>
        <c:ser>
          <c:idx val="0"/>
          <c:order val="0"/>
          <c:spPr>
            <a:solidFill>
              <a:sysClr val="windowText" lastClr="000000"/>
            </a:solidFill>
            <a:ln>
              <a:noFill/>
            </a:ln>
            <a:effectLst/>
          </c:spPr>
          <c:invertIfNegative val="0"/>
          <c:dPt>
            <c:idx val="3"/>
            <c:invertIfNegative val="0"/>
            <c:bubble3D val="0"/>
            <c:spPr>
              <a:solidFill>
                <a:srgbClr val="00B050"/>
              </a:solidFill>
              <a:ln>
                <a:noFill/>
              </a:ln>
              <a:effectLst/>
            </c:spPr>
            <c:extLst>
              <c:ext xmlns:c16="http://schemas.microsoft.com/office/drawing/2014/chart" uri="{C3380CC4-5D6E-409C-BE32-E72D297353CC}">
                <c16:uniqueId val="{00000001-9156-462D-A452-63E0A4CEC1E3}"/>
              </c:ext>
            </c:extLst>
          </c:dPt>
          <c:cat>
            <c:strRef>
              <c:f>Feuil1!$C$25:$C$33</c:f>
              <c:strCache>
                <c:ptCount val="9"/>
                <c:pt idx="0">
                  <c:v>[6,40-7,35[</c:v>
                </c:pt>
                <c:pt idx="1">
                  <c:v>[7,35-8,30[</c:v>
                </c:pt>
                <c:pt idx="2">
                  <c:v>[8,30-9,25[</c:v>
                </c:pt>
                <c:pt idx="3">
                  <c:v>[9,25-10,20[</c:v>
                </c:pt>
                <c:pt idx="4">
                  <c:v>[10,20-11,15[</c:v>
                </c:pt>
                <c:pt idx="5">
                  <c:v>[11,15-12,10[</c:v>
                </c:pt>
                <c:pt idx="6">
                  <c:v>[12,10-13,05[</c:v>
                </c:pt>
                <c:pt idx="7">
                  <c:v>[13,05-14[</c:v>
                </c:pt>
                <c:pt idx="8">
                  <c:v>[14-14,95[</c:v>
                </c:pt>
              </c:strCache>
            </c:strRef>
          </c:cat>
          <c:val>
            <c:numRef>
              <c:f>Feuil1!$D$25:$D$33</c:f>
              <c:numCache>
                <c:formatCode>General</c:formatCode>
                <c:ptCount val="9"/>
                <c:pt idx="0">
                  <c:v>2</c:v>
                </c:pt>
                <c:pt idx="1">
                  <c:v>7</c:v>
                </c:pt>
                <c:pt idx="2">
                  <c:v>46</c:v>
                </c:pt>
                <c:pt idx="3">
                  <c:v>58</c:v>
                </c:pt>
                <c:pt idx="4">
                  <c:v>20</c:v>
                </c:pt>
                <c:pt idx="5">
                  <c:v>12</c:v>
                </c:pt>
                <c:pt idx="6">
                  <c:v>3</c:v>
                </c:pt>
                <c:pt idx="7">
                  <c:v>0</c:v>
                </c:pt>
                <c:pt idx="8">
                  <c:v>1</c:v>
                </c:pt>
              </c:numCache>
            </c:numRef>
          </c:val>
          <c:extLst>
            <c:ext xmlns:c16="http://schemas.microsoft.com/office/drawing/2014/chart" uri="{C3380CC4-5D6E-409C-BE32-E72D297353CC}">
              <c16:uniqueId val="{00000002-9156-462D-A452-63E0A4CEC1E3}"/>
            </c:ext>
          </c:extLst>
        </c:ser>
        <c:dLbls>
          <c:showLegendKey val="0"/>
          <c:showVal val="0"/>
          <c:showCatName val="0"/>
          <c:showSerName val="0"/>
          <c:showPercent val="0"/>
          <c:showBubbleSize val="0"/>
        </c:dLbls>
        <c:gapWidth val="219"/>
        <c:overlap val="-27"/>
        <c:axId val="439971168"/>
        <c:axId val="439975520"/>
      </c:barChart>
      <c:catAx>
        <c:axId val="43997116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t>Size classes(cm)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39975520"/>
        <c:crosses val="autoZero"/>
        <c:auto val="1"/>
        <c:lblAlgn val="ctr"/>
        <c:lblOffset val="100"/>
        <c:noMultiLvlLbl val="0"/>
      </c:catAx>
      <c:valAx>
        <c:axId val="43997552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t>% of individuals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399711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fr-FR"/>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B</a:t>
            </a:r>
          </a:p>
        </c:rich>
      </c:tx>
      <c:layout>
        <c:manualLayout>
          <c:xMode val="edge"/>
          <c:yMode val="edge"/>
          <c:x val="0.83037797707093097"/>
          <c:y val="3.161555485298767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chemeClr val="accent1"/>
            </a:solidFill>
            <a:ln>
              <a:noFill/>
            </a:ln>
            <a:effectLst/>
          </c:spPr>
          <c:invertIfNegative val="0"/>
          <c:cat>
            <c:strRef>
              <c:f>Feuil1!$C$25:$C$33</c:f>
              <c:strCache>
                <c:ptCount val="9"/>
                <c:pt idx="0">
                  <c:v>[6,40-7,35[</c:v>
                </c:pt>
                <c:pt idx="1">
                  <c:v>[7,35-8,30[</c:v>
                </c:pt>
                <c:pt idx="2">
                  <c:v>[8,30-9,25[</c:v>
                </c:pt>
                <c:pt idx="3">
                  <c:v>[9,25-10,20[</c:v>
                </c:pt>
                <c:pt idx="4">
                  <c:v>[10,20-11,15[</c:v>
                </c:pt>
                <c:pt idx="5">
                  <c:v>[11,15-12,10[</c:v>
                </c:pt>
                <c:pt idx="6">
                  <c:v>[12,10-13,05[</c:v>
                </c:pt>
                <c:pt idx="7">
                  <c:v>[13,05-14[</c:v>
                </c:pt>
                <c:pt idx="8">
                  <c:v>[14-14,95[</c:v>
                </c:pt>
              </c:strCache>
            </c:strRef>
          </c:cat>
          <c:val>
            <c:numRef>
              <c:f>Feuil1!$D$25:$D$33</c:f>
              <c:numCache>
                <c:formatCode>General</c:formatCode>
                <c:ptCount val="9"/>
                <c:pt idx="0">
                  <c:v>2</c:v>
                </c:pt>
                <c:pt idx="1">
                  <c:v>7</c:v>
                </c:pt>
                <c:pt idx="2">
                  <c:v>46</c:v>
                </c:pt>
                <c:pt idx="3">
                  <c:v>58</c:v>
                </c:pt>
                <c:pt idx="4">
                  <c:v>20</c:v>
                </c:pt>
                <c:pt idx="5">
                  <c:v>12</c:v>
                </c:pt>
                <c:pt idx="6">
                  <c:v>3</c:v>
                </c:pt>
                <c:pt idx="7">
                  <c:v>0</c:v>
                </c:pt>
                <c:pt idx="8">
                  <c:v>1</c:v>
                </c:pt>
              </c:numCache>
            </c:numRef>
          </c:val>
          <c:extLst>
            <c:ext xmlns:c16="http://schemas.microsoft.com/office/drawing/2014/chart" uri="{C3380CC4-5D6E-409C-BE32-E72D297353CC}">
              <c16:uniqueId val="{00000000-DFB2-498E-B580-D186D900BDFA}"/>
            </c:ext>
          </c:extLst>
        </c:ser>
        <c:dLbls>
          <c:showLegendKey val="0"/>
          <c:showVal val="0"/>
          <c:showCatName val="0"/>
          <c:showSerName val="0"/>
          <c:showPercent val="0"/>
          <c:showBubbleSize val="0"/>
        </c:dLbls>
        <c:gapWidth val="219"/>
        <c:overlap val="-27"/>
        <c:axId val="439979872"/>
        <c:axId val="439983136"/>
      </c:barChart>
      <c:catAx>
        <c:axId val="4399798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Classes</a:t>
                </a:r>
                <a:r>
                  <a:rPr lang="fr-FR" baseline="0">
                    <a:latin typeface="Times New Roman" panose="02020603050405020304" pitchFamily="18" charset="0"/>
                    <a:cs typeface="Times New Roman" panose="02020603050405020304" pitchFamily="18" charset="0"/>
                  </a:rPr>
                  <a:t> de taille (cm)</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39983136"/>
        <c:crosses val="autoZero"/>
        <c:auto val="1"/>
        <c:lblAlgn val="ctr"/>
        <c:lblOffset val="100"/>
        <c:noMultiLvlLbl val="0"/>
      </c:catAx>
      <c:valAx>
        <c:axId val="43998313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a:t>
                </a:r>
                <a:r>
                  <a:rPr lang="fr-FR" baseline="0">
                    <a:latin typeface="Times New Roman" panose="02020603050405020304" pitchFamily="18" charset="0"/>
                    <a:cs typeface="Times New Roman" panose="02020603050405020304" pitchFamily="18" charset="0"/>
                  </a:rPr>
                  <a:t> d'individus</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39979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CNI</a:t>
            </a:r>
          </a:p>
        </c:rich>
      </c:tx>
      <c:layout>
        <c:manualLayout>
          <c:xMode val="edge"/>
          <c:yMode val="edge"/>
          <c:x val="0.78875457469224797"/>
          <c:y val="2.025257776335569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ysClr val="windowText" lastClr="000000"/>
            </a:solidFill>
            <a:ln>
              <a:noFill/>
            </a:ln>
            <a:effectLst/>
          </c:spPr>
          <c:invertIfNegative val="0"/>
          <c:dPt>
            <c:idx val="1"/>
            <c:invertIfNegative val="0"/>
            <c:bubble3D val="0"/>
            <c:spPr>
              <a:solidFill>
                <a:srgbClr val="00B050"/>
              </a:solidFill>
              <a:ln>
                <a:noFill/>
              </a:ln>
              <a:effectLst/>
            </c:spPr>
            <c:extLst>
              <c:ext xmlns:c16="http://schemas.microsoft.com/office/drawing/2014/chart" uri="{C3380CC4-5D6E-409C-BE32-E72D297353CC}">
                <c16:uniqueId val="{00000001-61E7-49F6-B7B1-D7AE27E398E6}"/>
              </c:ext>
            </c:extLst>
          </c:dPt>
          <c:cat>
            <c:strRef>
              <c:f>Feuil1!$C$3:$C$11</c:f>
              <c:strCache>
                <c:ptCount val="9"/>
                <c:pt idx="0">
                  <c:v>[7-8,50[</c:v>
                </c:pt>
                <c:pt idx="1">
                  <c:v>[8,50-10[</c:v>
                </c:pt>
                <c:pt idx="2">
                  <c:v>[10-11,50[</c:v>
                </c:pt>
                <c:pt idx="3">
                  <c:v>[11,50-13[</c:v>
                </c:pt>
                <c:pt idx="4">
                  <c:v>[13-14,50[</c:v>
                </c:pt>
                <c:pt idx="5">
                  <c:v>[14,50-16[</c:v>
                </c:pt>
                <c:pt idx="6">
                  <c:v>[16-17,50[</c:v>
                </c:pt>
                <c:pt idx="7">
                  <c:v>[17,50-19[</c:v>
                </c:pt>
                <c:pt idx="8">
                  <c:v>[19-20,50[</c:v>
                </c:pt>
              </c:strCache>
            </c:strRef>
          </c:cat>
          <c:val>
            <c:numRef>
              <c:f>Feuil1!$D$3:$D$11</c:f>
              <c:numCache>
                <c:formatCode>General</c:formatCode>
                <c:ptCount val="9"/>
                <c:pt idx="0">
                  <c:v>11</c:v>
                </c:pt>
                <c:pt idx="1">
                  <c:v>67</c:v>
                </c:pt>
                <c:pt idx="2">
                  <c:v>60</c:v>
                </c:pt>
                <c:pt idx="3">
                  <c:v>23</c:v>
                </c:pt>
                <c:pt idx="4">
                  <c:v>27</c:v>
                </c:pt>
                <c:pt idx="5">
                  <c:v>34</c:v>
                </c:pt>
                <c:pt idx="6">
                  <c:v>13</c:v>
                </c:pt>
                <c:pt idx="7">
                  <c:v>0</c:v>
                </c:pt>
                <c:pt idx="8">
                  <c:v>1</c:v>
                </c:pt>
              </c:numCache>
            </c:numRef>
          </c:val>
          <c:extLst>
            <c:ext xmlns:c16="http://schemas.microsoft.com/office/drawing/2014/chart" uri="{C3380CC4-5D6E-409C-BE32-E72D297353CC}">
              <c16:uniqueId val="{00000002-61E7-49F6-B7B1-D7AE27E398E6}"/>
            </c:ext>
          </c:extLst>
        </c:ser>
        <c:dLbls>
          <c:showLegendKey val="0"/>
          <c:showVal val="0"/>
          <c:showCatName val="0"/>
          <c:showSerName val="0"/>
          <c:showPercent val="0"/>
          <c:showBubbleSize val="0"/>
        </c:dLbls>
        <c:gapWidth val="219"/>
        <c:overlap val="-27"/>
        <c:axId val="439980960"/>
        <c:axId val="439981504"/>
      </c:barChart>
      <c:catAx>
        <c:axId val="439980960"/>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sz="1000">
                    <a:solidFill>
                      <a:sysClr val="windowText" lastClr="000000"/>
                    </a:solidFill>
                    <a:latin typeface="Times New Roman" panose="02020603050405020304" pitchFamily="18" charset="0"/>
                    <a:cs typeface="Times New Roman" panose="02020603050405020304" pitchFamily="18" charset="0"/>
                  </a:rPr>
                  <a:t>Size classes</a:t>
                </a:r>
                <a:r>
                  <a:rPr lang="fr-FR" sz="1000" baseline="0">
                    <a:solidFill>
                      <a:sysClr val="windowText" lastClr="000000"/>
                    </a:solidFill>
                    <a:latin typeface="Times New Roman" panose="02020603050405020304" pitchFamily="18" charset="0"/>
                    <a:cs typeface="Times New Roman" panose="02020603050405020304" pitchFamily="18" charset="0"/>
                  </a:rPr>
                  <a:t>(cm)</a:t>
                </a:r>
                <a:endParaRPr lang="fr-FR" sz="10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39981504"/>
        <c:crosses val="autoZero"/>
        <c:auto val="0"/>
        <c:lblAlgn val="ctr"/>
        <c:lblOffset val="100"/>
        <c:noMultiLvlLbl val="0"/>
      </c:catAx>
      <c:valAx>
        <c:axId val="439981504"/>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b="0">
                    <a:solidFill>
                      <a:sysClr val="windowText" lastClr="000000"/>
                    </a:solidFill>
                    <a:latin typeface="Times New Roman" panose="02020603050405020304" pitchFamily="18" charset="0"/>
                    <a:cs typeface="Times New Roman" panose="02020603050405020304" pitchFamily="18" charset="0"/>
                  </a:rPr>
                  <a:t>%</a:t>
                </a:r>
                <a:r>
                  <a:rPr lang="fr-FR" b="0" baseline="0">
                    <a:solidFill>
                      <a:sysClr val="windowText" lastClr="000000"/>
                    </a:solidFill>
                    <a:latin typeface="Times New Roman" panose="02020603050405020304" pitchFamily="18" charset="0"/>
                    <a:cs typeface="Times New Roman" panose="02020603050405020304" pitchFamily="18" charset="0"/>
                  </a:rPr>
                  <a:t> of individuals</a:t>
                </a:r>
                <a:endParaRPr lang="fr-FR" b="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4399809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A</a:t>
            </a:r>
          </a:p>
        </c:rich>
      </c:tx>
      <c:layout>
        <c:manualLayout>
          <c:xMode val="edge"/>
          <c:yMode val="edge"/>
          <c:x val="0.86288363487274367"/>
          <c:y val="3.146633102580238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chemeClr val="accent1"/>
            </a:solidFill>
            <a:ln>
              <a:noFill/>
            </a:ln>
            <a:effectLst/>
          </c:spPr>
          <c:invertIfNegative val="0"/>
          <c:cat>
            <c:strRef>
              <c:f>Feuil1!$C$3:$C$11</c:f>
              <c:strCache>
                <c:ptCount val="9"/>
                <c:pt idx="0">
                  <c:v>[7-8,50[</c:v>
                </c:pt>
                <c:pt idx="1">
                  <c:v>[8,50-10[</c:v>
                </c:pt>
                <c:pt idx="2">
                  <c:v>[10-11,50[</c:v>
                </c:pt>
                <c:pt idx="3">
                  <c:v>[11,50-13[</c:v>
                </c:pt>
                <c:pt idx="4">
                  <c:v>[13-14,50[</c:v>
                </c:pt>
                <c:pt idx="5">
                  <c:v>[14,50-16[</c:v>
                </c:pt>
                <c:pt idx="6">
                  <c:v>[16-17,50[</c:v>
                </c:pt>
                <c:pt idx="7">
                  <c:v>[17,50-19[</c:v>
                </c:pt>
                <c:pt idx="8">
                  <c:v>[19-20,50[</c:v>
                </c:pt>
              </c:strCache>
            </c:strRef>
          </c:cat>
          <c:val>
            <c:numRef>
              <c:f>Feuil1!$D$3:$D$11</c:f>
              <c:numCache>
                <c:formatCode>General</c:formatCode>
                <c:ptCount val="9"/>
                <c:pt idx="0">
                  <c:v>11</c:v>
                </c:pt>
                <c:pt idx="1">
                  <c:v>67</c:v>
                </c:pt>
                <c:pt idx="2">
                  <c:v>60</c:v>
                </c:pt>
                <c:pt idx="3">
                  <c:v>23</c:v>
                </c:pt>
                <c:pt idx="4">
                  <c:v>27</c:v>
                </c:pt>
                <c:pt idx="5">
                  <c:v>34</c:v>
                </c:pt>
                <c:pt idx="6">
                  <c:v>13</c:v>
                </c:pt>
                <c:pt idx="7">
                  <c:v>0</c:v>
                </c:pt>
                <c:pt idx="8">
                  <c:v>1</c:v>
                </c:pt>
              </c:numCache>
            </c:numRef>
          </c:val>
          <c:extLst>
            <c:ext xmlns:c16="http://schemas.microsoft.com/office/drawing/2014/chart" uri="{C3380CC4-5D6E-409C-BE32-E72D297353CC}">
              <c16:uniqueId val="{00000000-5E55-44DE-86A8-AEA7DD2EC01C}"/>
            </c:ext>
          </c:extLst>
        </c:ser>
        <c:dLbls>
          <c:showLegendKey val="0"/>
          <c:showVal val="0"/>
          <c:showCatName val="0"/>
          <c:showSerName val="0"/>
          <c:showPercent val="0"/>
          <c:showBubbleSize val="0"/>
        </c:dLbls>
        <c:gapWidth val="219"/>
        <c:overlap val="-27"/>
        <c:axId val="441258048"/>
        <c:axId val="441250976"/>
      </c:barChart>
      <c:catAx>
        <c:axId val="4412580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a:latin typeface="Times New Roman" panose="02020603050405020304" pitchFamily="18" charset="0"/>
                    <a:cs typeface="Times New Roman" panose="02020603050405020304" pitchFamily="18" charset="0"/>
                  </a:rPr>
                  <a:t>Classes</a:t>
                </a:r>
                <a:r>
                  <a:rPr lang="fr-FR" sz="1000" baseline="0">
                    <a:latin typeface="Times New Roman" panose="02020603050405020304" pitchFamily="18" charset="0"/>
                    <a:cs typeface="Times New Roman" panose="02020603050405020304" pitchFamily="18" charset="0"/>
                  </a:rPr>
                  <a:t> de taille (cm)</a:t>
                </a:r>
                <a:endParaRPr lang="fr-FR" sz="10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441250976"/>
        <c:crosses val="autoZero"/>
        <c:auto val="0"/>
        <c:lblAlgn val="ctr"/>
        <c:lblOffset val="100"/>
        <c:noMultiLvlLbl val="0"/>
      </c:catAx>
      <c:valAx>
        <c:axId val="44125097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b="0">
                    <a:latin typeface="Times New Roman" panose="02020603050405020304" pitchFamily="18" charset="0"/>
                    <a:cs typeface="Times New Roman" panose="02020603050405020304" pitchFamily="18" charset="0"/>
                  </a:rPr>
                  <a:t>%</a:t>
                </a:r>
                <a:r>
                  <a:rPr lang="fr-FR" b="0" baseline="0">
                    <a:latin typeface="Times New Roman" panose="02020603050405020304" pitchFamily="18" charset="0"/>
                    <a:cs typeface="Times New Roman" panose="02020603050405020304" pitchFamily="18" charset="0"/>
                  </a:rPr>
                  <a:t> d'individus</a:t>
                </a:r>
                <a:endParaRPr lang="fr-FR" b="0">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441258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ONI</a:t>
            </a:r>
          </a:p>
        </c:rich>
      </c:tx>
      <c:layout>
        <c:manualLayout>
          <c:xMode val="edge"/>
          <c:yMode val="edge"/>
          <c:x val="0.87031706773208317"/>
          <c:y val="2.534854245880861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ysClr val="windowText" lastClr="000000"/>
            </a:solidFill>
            <a:ln>
              <a:noFill/>
            </a:ln>
            <a:effectLst/>
          </c:spPr>
          <c:invertIfNegative val="0"/>
          <c:dPt>
            <c:idx val="1"/>
            <c:invertIfNegative val="0"/>
            <c:bubble3D val="0"/>
            <c:spPr>
              <a:solidFill>
                <a:srgbClr val="00B050"/>
              </a:solidFill>
              <a:ln>
                <a:noFill/>
              </a:ln>
              <a:effectLst/>
            </c:spPr>
            <c:extLst>
              <c:ext xmlns:c16="http://schemas.microsoft.com/office/drawing/2014/chart" uri="{C3380CC4-5D6E-409C-BE32-E72D297353CC}">
                <c16:uniqueId val="{00000001-2D26-48CB-BEC0-EAD41506E508}"/>
              </c:ext>
            </c:extLst>
          </c:dPt>
          <c:cat>
            <c:strRef>
              <c:f>Feuil1!$C$44:$C$47</c:f>
              <c:strCache>
                <c:ptCount val="4"/>
                <c:pt idx="0">
                  <c:v>[7,8-10,75[</c:v>
                </c:pt>
                <c:pt idx="1">
                  <c:v>[10,75-13,70[</c:v>
                </c:pt>
                <c:pt idx="2">
                  <c:v>[13,70-16,65[</c:v>
                </c:pt>
                <c:pt idx="3">
                  <c:v>[16,65-19,60[</c:v>
                </c:pt>
              </c:strCache>
            </c:strRef>
          </c:cat>
          <c:val>
            <c:numRef>
              <c:f>Feuil1!$D$44:$D$47</c:f>
              <c:numCache>
                <c:formatCode>General</c:formatCode>
                <c:ptCount val="4"/>
                <c:pt idx="0">
                  <c:v>54</c:v>
                </c:pt>
                <c:pt idx="1">
                  <c:v>69</c:v>
                </c:pt>
                <c:pt idx="2">
                  <c:v>5</c:v>
                </c:pt>
                <c:pt idx="3">
                  <c:v>1</c:v>
                </c:pt>
              </c:numCache>
            </c:numRef>
          </c:val>
          <c:extLst>
            <c:ext xmlns:c16="http://schemas.microsoft.com/office/drawing/2014/chart" uri="{C3380CC4-5D6E-409C-BE32-E72D297353CC}">
              <c16:uniqueId val="{00000002-2D26-48CB-BEC0-EAD41506E508}"/>
            </c:ext>
          </c:extLst>
        </c:ser>
        <c:dLbls>
          <c:showLegendKey val="0"/>
          <c:showVal val="0"/>
          <c:showCatName val="0"/>
          <c:showSerName val="0"/>
          <c:showPercent val="0"/>
          <c:showBubbleSize val="0"/>
        </c:dLbls>
        <c:gapWidth val="219"/>
        <c:overlap val="-27"/>
        <c:axId val="441235200"/>
        <c:axId val="441251520"/>
      </c:barChart>
      <c:catAx>
        <c:axId val="441235200"/>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solidFill>
                      <a:sysClr val="windowText" lastClr="000000"/>
                    </a:solidFill>
                    <a:latin typeface="Times New Roman" panose="02020603050405020304" pitchFamily="18" charset="0"/>
                    <a:cs typeface="Times New Roman" panose="02020603050405020304" pitchFamily="18" charset="0"/>
                  </a:rPr>
                  <a:t>Size classes</a:t>
                </a:r>
                <a:r>
                  <a:rPr lang="fr-FR" baseline="0">
                    <a:solidFill>
                      <a:sysClr val="windowText" lastClr="000000"/>
                    </a:solidFill>
                    <a:latin typeface="Times New Roman" panose="02020603050405020304" pitchFamily="18" charset="0"/>
                    <a:cs typeface="Times New Roman" panose="02020603050405020304" pitchFamily="18" charset="0"/>
                  </a:rPr>
                  <a:t>(cm)</a:t>
                </a:r>
                <a:endParaRPr lang="fr-FR">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41251520"/>
        <c:crosses val="autoZero"/>
        <c:auto val="1"/>
        <c:lblAlgn val="ctr"/>
        <c:lblOffset val="100"/>
        <c:noMultiLvlLbl val="0"/>
      </c:catAx>
      <c:valAx>
        <c:axId val="44125152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solidFill>
                      <a:sysClr val="windowText" lastClr="000000"/>
                    </a:solidFill>
                    <a:latin typeface="Times New Roman" panose="02020603050405020304" pitchFamily="18" charset="0"/>
                    <a:cs typeface="Times New Roman" panose="02020603050405020304" pitchFamily="18" charset="0"/>
                  </a:rPr>
                  <a:t>%</a:t>
                </a:r>
                <a:r>
                  <a:rPr lang="fr-FR" baseline="0">
                    <a:solidFill>
                      <a:sysClr val="windowText" lastClr="000000"/>
                    </a:solidFill>
                    <a:latin typeface="Times New Roman" panose="02020603050405020304" pitchFamily="18" charset="0"/>
                    <a:cs typeface="Times New Roman" panose="02020603050405020304" pitchFamily="18" charset="0"/>
                  </a:rPr>
                  <a:t> of individuals</a:t>
                </a:r>
                <a:endParaRPr lang="fr-FR">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4412352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C</a:t>
            </a:r>
          </a:p>
        </c:rich>
      </c:tx>
      <c:layout>
        <c:manualLayout>
          <c:xMode val="edge"/>
          <c:yMode val="edge"/>
          <c:x val="0.87031706773208317"/>
          <c:y val="2.534854245880861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chemeClr val="accent1"/>
            </a:solidFill>
            <a:ln>
              <a:noFill/>
            </a:ln>
            <a:effectLst/>
          </c:spPr>
          <c:invertIfNegative val="0"/>
          <c:cat>
            <c:strRef>
              <c:f>Feuil1!$C$44:$C$47</c:f>
              <c:strCache>
                <c:ptCount val="4"/>
                <c:pt idx="0">
                  <c:v>[7,8-10,75[</c:v>
                </c:pt>
                <c:pt idx="1">
                  <c:v>[10,75-13,70[</c:v>
                </c:pt>
                <c:pt idx="2">
                  <c:v>[13,70-16,65[</c:v>
                </c:pt>
                <c:pt idx="3">
                  <c:v>[16,65-19,60[</c:v>
                </c:pt>
              </c:strCache>
            </c:strRef>
          </c:cat>
          <c:val>
            <c:numRef>
              <c:f>Feuil1!$D$44:$D$47</c:f>
              <c:numCache>
                <c:formatCode>General</c:formatCode>
                <c:ptCount val="4"/>
                <c:pt idx="0">
                  <c:v>54</c:v>
                </c:pt>
                <c:pt idx="1">
                  <c:v>69</c:v>
                </c:pt>
                <c:pt idx="2">
                  <c:v>5</c:v>
                </c:pt>
                <c:pt idx="3">
                  <c:v>1</c:v>
                </c:pt>
              </c:numCache>
            </c:numRef>
          </c:val>
          <c:extLst>
            <c:ext xmlns:c16="http://schemas.microsoft.com/office/drawing/2014/chart" uri="{C3380CC4-5D6E-409C-BE32-E72D297353CC}">
              <c16:uniqueId val="{00000000-2952-43B2-942C-2D99C84921ED}"/>
            </c:ext>
          </c:extLst>
        </c:ser>
        <c:dLbls>
          <c:showLegendKey val="0"/>
          <c:showVal val="0"/>
          <c:showCatName val="0"/>
          <c:showSerName val="0"/>
          <c:showPercent val="0"/>
          <c:showBubbleSize val="0"/>
        </c:dLbls>
        <c:gapWidth val="219"/>
        <c:overlap val="-27"/>
        <c:axId val="441260224"/>
        <c:axId val="441248256"/>
      </c:barChart>
      <c:catAx>
        <c:axId val="4412602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Classes</a:t>
                </a:r>
                <a:r>
                  <a:rPr lang="fr-FR" baseline="0">
                    <a:latin typeface="Times New Roman" panose="02020603050405020304" pitchFamily="18" charset="0"/>
                    <a:cs typeface="Times New Roman" panose="02020603050405020304" pitchFamily="18" charset="0"/>
                  </a:rPr>
                  <a:t> de taille (cm)</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441248256"/>
        <c:crosses val="autoZero"/>
        <c:auto val="1"/>
        <c:lblAlgn val="ctr"/>
        <c:lblOffset val="100"/>
        <c:noMultiLvlLbl val="0"/>
      </c:catAx>
      <c:valAx>
        <c:axId val="44124825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a:t>
                </a:r>
                <a:r>
                  <a:rPr lang="fr-FR" baseline="0">
                    <a:latin typeface="Times New Roman" panose="02020603050405020304" pitchFamily="18" charset="0"/>
                    <a:cs typeface="Times New Roman" panose="02020603050405020304" pitchFamily="18" charset="0"/>
                  </a:rPr>
                  <a:t> d'individus</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441260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SG</a:t>
            </a:r>
            <a:r>
              <a:rPr lang="fr-FR" baseline="0"/>
              <a:t> </a:t>
            </a:r>
            <a:endParaRPr lang="fr-FR"/>
          </a:p>
        </c:rich>
      </c:tx>
      <c:layout>
        <c:manualLayout>
          <c:xMode val="edge"/>
          <c:yMode val="edge"/>
          <c:x val="0.85293202915920296"/>
          <c:y val="3.253090435914118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0.16449124297911327"/>
          <c:y val="0.24782042940793761"/>
          <c:w val="0.77549779296137722"/>
          <c:h val="0.4185272465535172"/>
        </c:manualLayout>
      </c:layout>
      <c:barChart>
        <c:barDir val="col"/>
        <c:grouping val="clustered"/>
        <c:varyColors val="0"/>
        <c:ser>
          <c:idx val="0"/>
          <c:order val="0"/>
          <c:spPr>
            <a:solidFill>
              <a:schemeClr val="tx1"/>
            </a:solidFill>
            <a:ln>
              <a:noFill/>
            </a:ln>
            <a:effectLst/>
          </c:spPr>
          <c:invertIfNegative val="0"/>
          <c:dPt>
            <c:idx val="0"/>
            <c:invertIfNegative val="0"/>
            <c:bubble3D val="0"/>
            <c:spPr>
              <a:solidFill>
                <a:srgbClr val="00B050"/>
              </a:solidFill>
              <a:ln>
                <a:noFill/>
              </a:ln>
              <a:effectLst/>
            </c:spPr>
            <c:extLst>
              <c:ext xmlns:c16="http://schemas.microsoft.com/office/drawing/2014/chart" uri="{C3380CC4-5D6E-409C-BE32-E72D297353CC}">
                <c16:uniqueId val="{00000001-B752-4FFD-83E6-46E39FBB038E}"/>
              </c:ext>
            </c:extLst>
          </c:dPt>
          <c:cat>
            <c:strRef>
              <c:f>'[Graphique dans Microsoft Word]Feuil1'!$C$66:$C$68</c:f>
              <c:strCache>
                <c:ptCount val="3"/>
                <c:pt idx="0">
                  <c:v>[8-10,04[</c:v>
                </c:pt>
                <c:pt idx="1">
                  <c:v>[10,04-12,08[</c:v>
                </c:pt>
                <c:pt idx="2">
                  <c:v>[12,08-14,12[</c:v>
                </c:pt>
              </c:strCache>
            </c:strRef>
          </c:cat>
          <c:val>
            <c:numRef>
              <c:f>'[Graphique dans Microsoft Word]Feuil1'!$D$66:$D$68</c:f>
              <c:numCache>
                <c:formatCode>General</c:formatCode>
                <c:ptCount val="3"/>
                <c:pt idx="0">
                  <c:v>37</c:v>
                </c:pt>
                <c:pt idx="1">
                  <c:v>23</c:v>
                </c:pt>
                <c:pt idx="2">
                  <c:v>8</c:v>
                </c:pt>
              </c:numCache>
            </c:numRef>
          </c:val>
          <c:extLst>
            <c:ext xmlns:c16="http://schemas.microsoft.com/office/drawing/2014/chart" uri="{C3380CC4-5D6E-409C-BE32-E72D297353CC}">
              <c16:uniqueId val="{00000002-B752-4FFD-83E6-46E39FBB038E}"/>
            </c:ext>
          </c:extLst>
        </c:ser>
        <c:dLbls>
          <c:showLegendKey val="0"/>
          <c:showVal val="0"/>
          <c:showCatName val="0"/>
          <c:showSerName val="0"/>
          <c:showPercent val="0"/>
          <c:showBubbleSize val="0"/>
        </c:dLbls>
        <c:gapWidth val="219"/>
        <c:overlap val="-27"/>
        <c:axId val="441241728"/>
        <c:axId val="441254240"/>
      </c:barChart>
      <c:catAx>
        <c:axId val="44124172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solidFill>
                      <a:sysClr val="windowText" lastClr="000000"/>
                    </a:solidFill>
                    <a:latin typeface="Times New Roman" panose="02020603050405020304" pitchFamily="18" charset="0"/>
                    <a:cs typeface="Times New Roman" panose="02020603050405020304" pitchFamily="18" charset="0"/>
                  </a:rPr>
                  <a:t>Size classes</a:t>
                </a:r>
                <a:r>
                  <a:rPr lang="fr-FR" baseline="0">
                    <a:solidFill>
                      <a:sysClr val="windowText" lastClr="000000"/>
                    </a:solidFill>
                    <a:latin typeface="Times New Roman" panose="02020603050405020304" pitchFamily="18" charset="0"/>
                    <a:cs typeface="Times New Roman" panose="02020603050405020304" pitchFamily="18" charset="0"/>
                  </a:rPr>
                  <a:t>(cm)</a:t>
                </a:r>
                <a:endParaRPr lang="fr-FR">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chemeClr val="tx1"/>
            </a:solidFill>
            <a:round/>
          </a:ln>
          <a:effectLst/>
        </c:spPr>
        <c:txPr>
          <a:bodyPr rot="-24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fr-FR"/>
          </a:p>
        </c:txPr>
        <c:crossAx val="441254240"/>
        <c:crosses val="autoZero"/>
        <c:auto val="1"/>
        <c:lblAlgn val="ctr"/>
        <c:lblOffset val="100"/>
        <c:noMultiLvlLbl val="0"/>
      </c:catAx>
      <c:valAx>
        <c:axId val="44125424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solidFill>
                      <a:sysClr val="windowText" lastClr="000000"/>
                    </a:solidFill>
                    <a:latin typeface="Times New Roman" panose="02020603050405020304" pitchFamily="18" charset="0"/>
                    <a:cs typeface="Times New Roman" panose="02020603050405020304" pitchFamily="18" charset="0"/>
                  </a:rPr>
                  <a:t>%</a:t>
                </a:r>
                <a:r>
                  <a:rPr lang="fr-FR" baseline="0">
                    <a:solidFill>
                      <a:sysClr val="windowText" lastClr="000000"/>
                    </a:solidFill>
                    <a:latin typeface="Times New Roman" panose="02020603050405020304" pitchFamily="18" charset="0"/>
                    <a:cs typeface="Times New Roman" panose="02020603050405020304" pitchFamily="18" charset="0"/>
                  </a:rPr>
                  <a:t> of individuals</a:t>
                </a:r>
                <a:endParaRPr lang="fr-FR">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a:solidFill>
              <a:schemeClr val="dk1">
                <a:shade val="95000"/>
                <a:satMod val="10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41241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D</a:t>
            </a:r>
            <a:r>
              <a:rPr lang="fr-FR" baseline="0"/>
              <a:t> </a:t>
            </a:r>
            <a:endParaRPr lang="fr-FR"/>
          </a:p>
        </c:rich>
      </c:tx>
      <c:layout>
        <c:manualLayout>
          <c:xMode val="edge"/>
          <c:yMode val="edge"/>
          <c:x val="0.85293202915920296"/>
          <c:y val="3.253090435914118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0.16449124297911327"/>
          <c:y val="0.24782042940793761"/>
          <c:w val="0.77549779296137722"/>
          <c:h val="0.4185272465535172"/>
        </c:manualLayout>
      </c:layout>
      <c:barChart>
        <c:barDir val="col"/>
        <c:grouping val="clustered"/>
        <c:varyColors val="0"/>
        <c:ser>
          <c:idx val="0"/>
          <c:order val="0"/>
          <c:spPr>
            <a:solidFill>
              <a:schemeClr val="accent1"/>
            </a:solidFill>
            <a:ln>
              <a:noFill/>
            </a:ln>
            <a:effectLst/>
          </c:spPr>
          <c:invertIfNegative val="0"/>
          <c:cat>
            <c:strRef>
              <c:f>'[Graphique dans Microsoft Word]Feuil1'!$C$66:$C$68</c:f>
              <c:strCache>
                <c:ptCount val="3"/>
                <c:pt idx="0">
                  <c:v>[8-10,04[</c:v>
                </c:pt>
                <c:pt idx="1">
                  <c:v>[10,04-12,08[</c:v>
                </c:pt>
                <c:pt idx="2">
                  <c:v>[12,08-14,12[</c:v>
                </c:pt>
              </c:strCache>
            </c:strRef>
          </c:cat>
          <c:val>
            <c:numRef>
              <c:f>'[Graphique dans Microsoft Word]Feuil1'!$D$66:$D$68</c:f>
              <c:numCache>
                <c:formatCode>General</c:formatCode>
                <c:ptCount val="3"/>
                <c:pt idx="0">
                  <c:v>37</c:v>
                </c:pt>
                <c:pt idx="1">
                  <c:v>23</c:v>
                </c:pt>
                <c:pt idx="2">
                  <c:v>8</c:v>
                </c:pt>
              </c:numCache>
            </c:numRef>
          </c:val>
          <c:extLst>
            <c:ext xmlns:c16="http://schemas.microsoft.com/office/drawing/2014/chart" uri="{C3380CC4-5D6E-409C-BE32-E72D297353CC}">
              <c16:uniqueId val="{00000000-9415-41B8-B6A4-AC6E2E442F59}"/>
            </c:ext>
          </c:extLst>
        </c:ser>
        <c:dLbls>
          <c:showLegendKey val="0"/>
          <c:showVal val="0"/>
          <c:showCatName val="0"/>
          <c:showSerName val="0"/>
          <c:showPercent val="0"/>
          <c:showBubbleSize val="0"/>
        </c:dLbls>
        <c:gapWidth val="219"/>
        <c:overlap val="-27"/>
        <c:axId val="441242816"/>
        <c:axId val="441230848"/>
      </c:barChart>
      <c:catAx>
        <c:axId val="4412428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Classes</a:t>
                </a:r>
                <a:r>
                  <a:rPr lang="fr-FR" baseline="0">
                    <a:latin typeface="Times New Roman" panose="02020603050405020304" pitchFamily="18" charset="0"/>
                    <a:cs typeface="Times New Roman" panose="02020603050405020304" pitchFamily="18" charset="0"/>
                  </a:rPr>
                  <a:t> de taille (cm)</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chemeClr val="tx1"/>
            </a:solidFill>
            <a:round/>
          </a:ln>
          <a:effectLst/>
        </c:spPr>
        <c:txPr>
          <a:bodyPr rot="-24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fr-FR"/>
          </a:p>
        </c:txPr>
        <c:crossAx val="441230848"/>
        <c:crosses val="autoZero"/>
        <c:auto val="1"/>
        <c:lblAlgn val="ctr"/>
        <c:lblOffset val="100"/>
        <c:noMultiLvlLbl val="0"/>
      </c:catAx>
      <c:valAx>
        <c:axId val="44123084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a:t>
                </a:r>
                <a:r>
                  <a:rPr lang="fr-FR" baseline="0">
                    <a:latin typeface="Times New Roman" panose="02020603050405020304" pitchFamily="18" charset="0"/>
                    <a:cs typeface="Times New Roman" panose="02020603050405020304" pitchFamily="18" charset="0"/>
                  </a:rPr>
                  <a:t> d'individus</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a:solidFill>
              <a:schemeClr val="dk1">
                <a:shade val="95000"/>
                <a:satMod val="10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41242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HBI</a:t>
            </a:r>
          </a:p>
        </c:rich>
      </c:tx>
      <c:layout>
        <c:manualLayout>
          <c:xMode val="edge"/>
          <c:yMode val="edge"/>
          <c:x val="0.87109590402146087"/>
          <c:y val="3.857280617164898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ysClr val="windowText" lastClr="000000"/>
            </a:solidFill>
            <a:ln>
              <a:noFill/>
            </a:ln>
            <a:effectLst/>
          </c:spPr>
          <c:invertIfNegative val="0"/>
          <c:dPt>
            <c:idx val="1"/>
            <c:invertIfNegative val="0"/>
            <c:bubble3D val="0"/>
            <c:spPr>
              <a:solidFill>
                <a:srgbClr val="00B050"/>
              </a:solidFill>
              <a:ln>
                <a:noFill/>
              </a:ln>
              <a:effectLst/>
            </c:spPr>
            <c:extLst>
              <c:ext xmlns:c16="http://schemas.microsoft.com/office/drawing/2014/chart" uri="{C3380CC4-5D6E-409C-BE32-E72D297353CC}">
                <c16:uniqueId val="{00000001-4ACC-4FB8-BDCB-1ACABEC8AFD9}"/>
              </c:ext>
            </c:extLst>
          </c:dPt>
          <c:cat>
            <c:strRef>
              <c:f>Feuil1!$C$81:$C$84</c:f>
              <c:strCache>
                <c:ptCount val="4"/>
                <c:pt idx="0">
                  <c:v>[6,8-7,66[</c:v>
                </c:pt>
                <c:pt idx="1">
                  <c:v>[7,66-8,52[</c:v>
                </c:pt>
                <c:pt idx="2">
                  <c:v>[8,52-9,38[</c:v>
                </c:pt>
                <c:pt idx="3">
                  <c:v>[9,38-10,24[</c:v>
                </c:pt>
              </c:strCache>
            </c:strRef>
          </c:cat>
          <c:val>
            <c:numRef>
              <c:f>Feuil1!$D$81:$D$84</c:f>
              <c:numCache>
                <c:formatCode>General</c:formatCode>
                <c:ptCount val="4"/>
                <c:pt idx="0">
                  <c:v>36</c:v>
                </c:pt>
                <c:pt idx="1">
                  <c:v>49</c:v>
                </c:pt>
                <c:pt idx="2">
                  <c:v>13</c:v>
                </c:pt>
                <c:pt idx="3">
                  <c:v>1</c:v>
                </c:pt>
              </c:numCache>
            </c:numRef>
          </c:val>
          <c:extLst>
            <c:ext xmlns:c16="http://schemas.microsoft.com/office/drawing/2014/chart" uri="{C3380CC4-5D6E-409C-BE32-E72D297353CC}">
              <c16:uniqueId val="{00000002-4ACC-4FB8-BDCB-1ACABEC8AFD9}"/>
            </c:ext>
          </c:extLst>
        </c:ser>
        <c:dLbls>
          <c:showLegendKey val="0"/>
          <c:showVal val="0"/>
          <c:showCatName val="0"/>
          <c:showSerName val="0"/>
          <c:showPercent val="0"/>
          <c:showBubbleSize val="0"/>
        </c:dLbls>
        <c:gapWidth val="219"/>
        <c:overlap val="-27"/>
        <c:axId val="441234112"/>
        <c:axId val="441237376"/>
      </c:barChart>
      <c:catAx>
        <c:axId val="44123411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solidFill>
                      <a:sysClr val="windowText" lastClr="000000"/>
                    </a:solidFill>
                    <a:latin typeface="Times New Roman" panose="02020603050405020304" pitchFamily="18" charset="0"/>
                    <a:cs typeface="Times New Roman" panose="02020603050405020304" pitchFamily="18" charset="0"/>
                  </a:rPr>
                  <a:t>Size classes</a:t>
                </a:r>
                <a:r>
                  <a:rPr lang="fr-FR" baseline="0">
                    <a:solidFill>
                      <a:sysClr val="windowText" lastClr="000000"/>
                    </a:solidFill>
                    <a:latin typeface="Times New Roman" panose="02020603050405020304" pitchFamily="18" charset="0"/>
                    <a:cs typeface="Times New Roman" panose="02020603050405020304" pitchFamily="18" charset="0"/>
                  </a:rPr>
                  <a:t>(cm)</a:t>
                </a:r>
                <a:endParaRPr lang="fr-FR">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41237376"/>
        <c:crosses val="autoZero"/>
        <c:auto val="1"/>
        <c:lblAlgn val="ctr"/>
        <c:lblOffset val="100"/>
        <c:noMultiLvlLbl val="0"/>
      </c:catAx>
      <c:valAx>
        <c:axId val="441237376"/>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solidFill>
                      <a:sysClr val="windowText" lastClr="000000"/>
                    </a:solidFill>
                    <a:latin typeface="Times New Roman" panose="02020603050405020304" pitchFamily="18" charset="0"/>
                    <a:cs typeface="Times New Roman" panose="02020603050405020304" pitchFamily="18" charset="0"/>
                  </a:rPr>
                  <a:t>%</a:t>
                </a:r>
                <a:r>
                  <a:rPr lang="fr-FR" baseline="0">
                    <a:solidFill>
                      <a:sysClr val="windowText" lastClr="000000"/>
                    </a:solidFill>
                    <a:latin typeface="Times New Roman" panose="02020603050405020304" pitchFamily="18" charset="0"/>
                    <a:cs typeface="Times New Roman" panose="02020603050405020304" pitchFamily="18" charset="0"/>
                  </a:rPr>
                  <a:t> of individuals</a:t>
                </a:r>
                <a:endParaRPr lang="fr-FR">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412341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E</a:t>
            </a:r>
          </a:p>
        </c:rich>
      </c:tx>
      <c:layout>
        <c:manualLayout>
          <c:xMode val="edge"/>
          <c:yMode val="edge"/>
          <c:x val="0.87109590402146087"/>
          <c:y val="3.857280617164898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chemeClr val="accent1"/>
            </a:solidFill>
            <a:ln>
              <a:noFill/>
            </a:ln>
            <a:effectLst/>
          </c:spPr>
          <c:invertIfNegative val="0"/>
          <c:cat>
            <c:strRef>
              <c:f>Feuil1!$C$81:$C$84</c:f>
              <c:strCache>
                <c:ptCount val="4"/>
                <c:pt idx="0">
                  <c:v>[6,8-7,66[</c:v>
                </c:pt>
                <c:pt idx="1">
                  <c:v>[7,66-8,52[</c:v>
                </c:pt>
                <c:pt idx="2">
                  <c:v>[8,52-9,38[</c:v>
                </c:pt>
                <c:pt idx="3">
                  <c:v>[9,38-10,24[</c:v>
                </c:pt>
              </c:strCache>
            </c:strRef>
          </c:cat>
          <c:val>
            <c:numRef>
              <c:f>Feuil1!$D$81:$D$84</c:f>
              <c:numCache>
                <c:formatCode>General</c:formatCode>
                <c:ptCount val="4"/>
                <c:pt idx="0">
                  <c:v>36</c:v>
                </c:pt>
                <c:pt idx="1">
                  <c:v>49</c:v>
                </c:pt>
                <c:pt idx="2">
                  <c:v>13</c:v>
                </c:pt>
                <c:pt idx="3">
                  <c:v>1</c:v>
                </c:pt>
              </c:numCache>
            </c:numRef>
          </c:val>
          <c:extLst>
            <c:ext xmlns:c16="http://schemas.microsoft.com/office/drawing/2014/chart" uri="{C3380CC4-5D6E-409C-BE32-E72D297353CC}">
              <c16:uniqueId val="{00000000-3B28-4068-AE9B-3171BC04638F}"/>
            </c:ext>
          </c:extLst>
        </c:ser>
        <c:dLbls>
          <c:showLegendKey val="0"/>
          <c:showVal val="0"/>
          <c:showCatName val="0"/>
          <c:showSerName val="0"/>
          <c:showPercent val="0"/>
          <c:showBubbleSize val="0"/>
        </c:dLbls>
        <c:gapWidth val="219"/>
        <c:overlap val="-27"/>
        <c:axId val="2001880848"/>
        <c:axId val="679147264"/>
      </c:barChart>
      <c:catAx>
        <c:axId val="20018808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Classes</a:t>
                </a:r>
                <a:r>
                  <a:rPr lang="fr-FR" baseline="0">
                    <a:latin typeface="Times New Roman" panose="02020603050405020304" pitchFamily="18" charset="0"/>
                    <a:cs typeface="Times New Roman" panose="02020603050405020304" pitchFamily="18" charset="0"/>
                  </a:rPr>
                  <a:t> de taille (cm)</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679147264"/>
        <c:crosses val="autoZero"/>
        <c:auto val="1"/>
        <c:lblAlgn val="ctr"/>
        <c:lblOffset val="100"/>
        <c:noMultiLvlLbl val="0"/>
      </c:catAx>
      <c:valAx>
        <c:axId val="67914726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a:t>
                </a:r>
                <a:r>
                  <a:rPr lang="fr-FR" baseline="0">
                    <a:latin typeface="Times New Roman" panose="02020603050405020304" pitchFamily="18" charset="0"/>
                    <a:cs typeface="Times New Roman" panose="02020603050405020304" pitchFamily="18" charset="0"/>
                  </a:rPr>
                  <a:t> d'individus</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2001880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8985D-AF9D-499C-90C0-605DA2A4A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11009</TotalTime>
  <Pages>17</Pages>
  <Words>4939</Words>
  <Characters>28158</Characters>
  <Application>Microsoft Office Word</Application>
  <DocSecurity>0</DocSecurity>
  <Lines>234</Lines>
  <Paragraphs>66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Editor-90</cp:lastModifiedBy>
  <cp:revision>42</cp:revision>
  <cp:lastPrinted>2024-12-11T07:19:00Z</cp:lastPrinted>
  <dcterms:created xsi:type="dcterms:W3CDTF">2026-03-29T17:43:00Z</dcterms:created>
  <dcterms:modified xsi:type="dcterms:W3CDTF">2026-09-26T07:05:00Z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6b6d8e935ef8c16c99c07950bde0730d06b91009fb7ec48fb691c15880169826</vt:lpwstr>
  </property>
</Properties>
</file>