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0F314" w14:textId="77777777" w:rsidR="0031390C" w:rsidRPr="0031390C" w:rsidRDefault="0031390C" w:rsidP="0031390C">
      <w:pPr>
        <w:pStyle w:val="Title"/>
        <w:jc w:val="both"/>
        <w:rPr>
          <w:rFonts w:ascii="Arial" w:hAnsi="Arial" w:cs="Arial"/>
          <w:bCs/>
          <w:i/>
          <w:iCs/>
          <w:u w:val="single"/>
          <w:lang w:val="en-US"/>
        </w:rPr>
      </w:pPr>
      <w:r w:rsidRPr="0031390C">
        <w:rPr>
          <w:rFonts w:ascii="Arial" w:hAnsi="Arial" w:cs="Arial"/>
          <w:bCs/>
          <w:i/>
          <w:iCs/>
          <w:u w:val="single"/>
          <w:lang w:val="en-US"/>
        </w:rPr>
        <w:t>Original Research Article</w:t>
      </w:r>
    </w:p>
    <w:p w14:paraId="0AFA0ECD" w14:textId="77777777" w:rsidR="00754C9A" w:rsidRDefault="00754C9A" w:rsidP="00441B6F">
      <w:pPr>
        <w:pStyle w:val="Title"/>
        <w:spacing w:after="0"/>
        <w:jc w:val="both"/>
        <w:rPr>
          <w:rFonts w:ascii="Arial" w:hAnsi="Arial" w:cs="Arial"/>
        </w:rPr>
      </w:pPr>
    </w:p>
    <w:p w14:paraId="36167B5B" w14:textId="77777777" w:rsidR="00163BC4" w:rsidRPr="00163BC4" w:rsidRDefault="00F7506A" w:rsidP="00441B6F">
      <w:pPr>
        <w:pStyle w:val="Author"/>
        <w:spacing w:line="240" w:lineRule="auto"/>
        <w:rPr>
          <w:rFonts w:ascii="Arial" w:hAnsi="Arial" w:cs="Arial"/>
          <w:bCs/>
          <w:iCs/>
          <w:kern w:val="28"/>
          <w:sz w:val="36"/>
        </w:rPr>
      </w:pPr>
      <w:r w:rsidRPr="00F7506A">
        <w:rPr>
          <w:rFonts w:ascii="Arial" w:hAnsi="Arial" w:cs="Arial"/>
          <w:color w:val="000000"/>
          <w:sz w:val="36"/>
          <w:szCs w:val="36"/>
        </w:rPr>
        <w:t xml:space="preserve">Signaling </w:t>
      </w:r>
      <w:r w:rsidR="007107AE">
        <w:rPr>
          <w:rFonts w:ascii="Arial" w:hAnsi="Arial" w:cs="Arial"/>
          <w:color w:val="000000"/>
          <w:sz w:val="36"/>
          <w:szCs w:val="36"/>
        </w:rPr>
        <w:t xml:space="preserve">Patterns </w:t>
      </w:r>
      <w:r w:rsidRPr="00F7506A">
        <w:rPr>
          <w:rFonts w:ascii="Arial" w:hAnsi="Arial" w:cs="Arial"/>
          <w:color w:val="000000"/>
          <w:sz w:val="36"/>
          <w:szCs w:val="36"/>
        </w:rPr>
        <w:t>in Highly Enrolled MOOCs: A Comparative Documentary Analysis of University and Industry</w:t>
      </w:r>
      <w:r w:rsidR="00654682">
        <w:rPr>
          <w:rFonts w:ascii="Arial" w:hAnsi="Arial" w:cs="Arial"/>
          <w:color w:val="000000"/>
          <w:sz w:val="36"/>
          <w:szCs w:val="36"/>
        </w:rPr>
        <w:t xml:space="preserve"> Providers</w:t>
      </w:r>
      <w:r w:rsidR="00231920">
        <w:rPr>
          <w:rFonts w:ascii="Arial" w:hAnsi="Arial" w:cs="Arial"/>
          <w:bCs/>
          <w:iCs/>
          <w:kern w:val="28"/>
          <w:sz w:val="36"/>
        </w:rPr>
        <w:t xml:space="preserve"> </w:t>
      </w:r>
    </w:p>
    <w:p w14:paraId="17872455" w14:textId="77777777" w:rsidR="00A258C3" w:rsidRPr="00790ADA" w:rsidRDefault="00A258C3" w:rsidP="00441B6F">
      <w:pPr>
        <w:pStyle w:val="Author"/>
        <w:spacing w:line="240" w:lineRule="auto"/>
        <w:jc w:val="both"/>
        <w:rPr>
          <w:rFonts w:ascii="Arial" w:hAnsi="Arial" w:cs="Arial"/>
          <w:sz w:val="36"/>
        </w:rPr>
      </w:pPr>
    </w:p>
    <w:p w14:paraId="3689954A" w14:textId="77777777" w:rsidR="00B01FCD" w:rsidRPr="00FB3A86" w:rsidRDefault="00FC4AE7" w:rsidP="00441B6F">
      <w:pPr>
        <w:pStyle w:val="Copyright"/>
        <w:spacing w:after="0" w:line="240" w:lineRule="auto"/>
        <w:jc w:val="both"/>
        <w:rPr>
          <w:rFonts w:ascii="Arial" w:hAnsi="Arial" w:cs="Arial"/>
        </w:rPr>
        <w:sectPr w:rsidR="00B01FCD" w:rsidRPr="00FB3A86" w:rsidSect="00A1717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57310B80"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0F93229E"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15B81B63" w14:textId="77777777" w:rsidTr="001E44FE">
        <w:tc>
          <w:tcPr>
            <w:tcW w:w="9576" w:type="dxa"/>
            <w:shd w:val="clear" w:color="auto" w:fill="F2F2F2"/>
          </w:tcPr>
          <w:p w14:paraId="1AA3B735" w14:textId="77777777" w:rsidR="00505F06" w:rsidRPr="00D7505C" w:rsidRDefault="00A7654B" w:rsidP="00B2615A">
            <w:pPr>
              <w:pStyle w:val="NormalWeb"/>
              <w:spacing w:before="0" w:beforeAutospacing="0" w:after="0" w:afterAutospacing="0"/>
              <w:rPr>
                <w:rFonts w:ascii="Arial" w:hAnsi="Arial" w:cs="Arial"/>
                <w:color w:val="000000"/>
                <w:sz w:val="20"/>
                <w:szCs w:val="20"/>
              </w:rPr>
            </w:pPr>
            <w:r w:rsidRPr="00A7654B">
              <w:rPr>
                <w:rFonts w:ascii="Arial" w:hAnsi="Arial" w:cs="Arial"/>
                <w:sz w:val="20"/>
                <w:szCs w:val="20"/>
              </w:rPr>
              <w:t xml:space="preserve">Massive open online courses (MOOCs) offer prospective learners a wide range of options from university and industry providers, yet important course qualities may remain difficult to evaluate before </w:t>
            </w:r>
            <w:r w:rsidRPr="00A7654B">
              <w:rPr>
                <w:rFonts w:ascii="Arial" w:hAnsi="Arial" w:cs="Arial"/>
                <w:sz w:val="20"/>
                <w:szCs w:val="20"/>
                <w:highlight w:val="yellow"/>
              </w:rPr>
              <w:t>enrolment</w:t>
            </w:r>
            <w:r w:rsidRPr="00A7654B">
              <w:rPr>
                <w:rFonts w:ascii="Arial" w:hAnsi="Arial" w:cs="Arial"/>
                <w:sz w:val="20"/>
                <w:szCs w:val="20"/>
              </w:rPr>
              <w:t xml:space="preserve">. This study aims to comparatively examine the </w:t>
            </w:r>
            <w:r w:rsidRPr="00A7654B">
              <w:rPr>
                <w:rFonts w:ascii="Arial" w:hAnsi="Arial" w:cs="Arial"/>
                <w:sz w:val="20"/>
                <w:szCs w:val="20"/>
                <w:highlight w:val="yellow"/>
              </w:rPr>
              <w:t>signalling</w:t>
            </w:r>
            <w:r w:rsidRPr="00A7654B">
              <w:rPr>
                <w:rFonts w:ascii="Arial" w:hAnsi="Arial" w:cs="Arial"/>
                <w:sz w:val="20"/>
                <w:szCs w:val="20"/>
              </w:rPr>
              <w:t xml:space="preserve"> patterns communicated through </w:t>
            </w:r>
            <w:r w:rsidRPr="00A7654B">
              <w:rPr>
                <w:rFonts w:ascii="Arial" w:hAnsi="Arial" w:cs="Arial"/>
                <w:sz w:val="20"/>
                <w:szCs w:val="20"/>
                <w:highlight w:val="yellow"/>
              </w:rPr>
              <w:t>publicly available information on highly enrolled university- and industry-provided MOOCs</w:t>
            </w:r>
            <w:r w:rsidRPr="00A7654B">
              <w:rPr>
                <w:rFonts w:ascii="Arial" w:hAnsi="Arial" w:cs="Arial"/>
                <w:sz w:val="20"/>
                <w:szCs w:val="20"/>
              </w:rPr>
              <w:t xml:space="preserve">. Using a qualitative comparative documentary research design guided by </w:t>
            </w:r>
            <w:r w:rsidRPr="00A7654B">
              <w:rPr>
                <w:rFonts w:ascii="Arial" w:hAnsi="Arial" w:cs="Arial"/>
                <w:sz w:val="20"/>
                <w:szCs w:val="20"/>
                <w:highlight w:val="yellow"/>
              </w:rPr>
              <w:t>Signalling</w:t>
            </w:r>
            <w:r w:rsidRPr="00A7654B">
              <w:rPr>
                <w:rFonts w:ascii="Arial" w:hAnsi="Arial" w:cs="Arial"/>
                <w:sz w:val="20"/>
                <w:szCs w:val="20"/>
              </w:rPr>
              <w:t xml:space="preserve"> Theory, the study </w:t>
            </w:r>
            <w:r w:rsidRPr="00A7654B">
              <w:rPr>
                <w:rFonts w:ascii="Arial" w:hAnsi="Arial" w:cs="Arial"/>
                <w:sz w:val="20"/>
                <w:szCs w:val="20"/>
                <w:highlight w:val="yellow"/>
              </w:rPr>
              <w:t>analyses</w:t>
            </w:r>
            <w:r w:rsidRPr="00A7654B">
              <w:rPr>
                <w:rFonts w:ascii="Arial" w:hAnsi="Arial" w:cs="Arial"/>
                <w:sz w:val="20"/>
                <w:szCs w:val="20"/>
              </w:rPr>
              <w:t xml:space="preserve"> ten highly enrolled MOOCs offered on Coursera. Four study-specific analytical categories were applied: provider reputation and prestige, instructor expertise, </w:t>
            </w:r>
            <w:r w:rsidRPr="00A7654B">
              <w:rPr>
                <w:rFonts w:ascii="Arial" w:hAnsi="Arial" w:cs="Arial"/>
                <w:sz w:val="20"/>
                <w:szCs w:val="20"/>
                <w:highlight w:val="yellow"/>
              </w:rPr>
              <w:t>rigour</w:t>
            </w:r>
            <w:r w:rsidRPr="00A7654B">
              <w:rPr>
                <w:rFonts w:ascii="Arial" w:hAnsi="Arial" w:cs="Arial"/>
                <w:sz w:val="20"/>
                <w:szCs w:val="20"/>
              </w:rPr>
              <w:t xml:space="preserve"> signals, and credential and competence signals. Cases were purposively selected from Class Central’s 100 Most Popular Online Courses (2025 Edition), with five university-provided and five industry-provided MOOCs selected to enable balanced comparison</w:t>
            </w:r>
            <w:r w:rsidRPr="00201442">
              <w:rPr>
                <w:rFonts w:ascii="Arial" w:hAnsi="Arial" w:cs="Arial"/>
                <w:sz w:val="20"/>
                <w:szCs w:val="20"/>
              </w:rPr>
              <w:t>.</w:t>
            </w:r>
            <w:r w:rsidR="00201442" w:rsidRPr="00201442">
              <w:rPr>
                <w:rFonts w:ascii="Arial" w:hAnsi="Arial" w:cs="Arial"/>
                <w:sz w:val="20"/>
                <w:szCs w:val="20"/>
              </w:rPr>
              <w:t xml:space="preserve"> The findings show that both provider groups communicate overlapping patterns of </w:t>
            </w:r>
            <w:r w:rsidR="00201442" w:rsidRPr="00201442">
              <w:rPr>
                <w:rFonts w:ascii="Arial" w:hAnsi="Arial" w:cs="Arial"/>
                <w:sz w:val="20"/>
                <w:szCs w:val="20"/>
                <w:highlight w:val="yellow"/>
              </w:rPr>
              <w:t>signalling</w:t>
            </w:r>
            <w:r w:rsidR="00201442" w:rsidRPr="00201442">
              <w:rPr>
                <w:rFonts w:ascii="Arial" w:hAnsi="Arial" w:cs="Arial"/>
                <w:sz w:val="20"/>
                <w:szCs w:val="20"/>
              </w:rPr>
              <w:t>, with credential and competence signals consistently present across cases.</w:t>
            </w:r>
            <w:r w:rsidR="007C0507" w:rsidRPr="00201442">
              <w:rPr>
                <w:rFonts w:ascii="Arial" w:hAnsi="Arial" w:cs="Arial"/>
                <w:color w:val="000000"/>
                <w:sz w:val="20"/>
                <w:szCs w:val="20"/>
              </w:rPr>
              <w:t xml:space="preserve"> Nevertheless</w:t>
            </w:r>
            <w:r w:rsidR="007C0507">
              <w:rPr>
                <w:rFonts w:ascii="Arial" w:hAnsi="Arial" w:cs="Arial"/>
                <w:color w:val="000000"/>
                <w:sz w:val="20"/>
                <w:szCs w:val="20"/>
              </w:rPr>
              <w:t xml:space="preserve">, the groups differ in their communication of credibility and competence: university-provided MOOCs more frequently highlight individual academic or professional expertise and disciplinary competence, while industry-provided MOOCs more often </w:t>
            </w:r>
            <w:r w:rsidR="007C0507">
              <w:rPr>
                <w:rFonts w:ascii="Arial" w:hAnsi="Arial" w:cs="Arial"/>
                <w:color w:val="000000"/>
                <w:sz w:val="20"/>
                <w:szCs w:val="20"/>
                <w:highlight w:val="yellow"/>
              </w:rPr>
              <w:t>emphasise</w:t>
            </w:r>
            <w:r w:rsidR="007C0507">
              <w:rPr>
                <w:rFonts w:ascii="Arial" w:hAnsi="Arial" w:cs="Arial"/>
                <w:color w:val="000000"/>
                <w:sz w:val="20"/>
                <w:szCs w:val="20"/>
              </w:rPr>
              <w:t xml:space="preserve"> </w:t>
            </w:r>
            <w:r w:rsidR="007C0507">
              <w:rPr>
                <w:rFonts w:ascii="Arial" w:hAnsi="Arial" w:cs="Arial"/>
                <w:color w:val="000000"/>
                <w:sz w:val="20"/>
                <w:szCs w:val="20"/>
                <w:highlight w:val="yellow"/>
              </w:rPr>
              <w:t>organisational</w:t>
            </w:r>
            <w:r w:rsidR="007C0507">
              <w:rPr>
                <w:rFonts w:ascii="Arial" w:hAnsi="Arial" w:cs="Arial"/>
                <w:color w:val="000000"/>
                <w:sz w:val="20"/>
                <w:szCs w:val="20"/>
              </w:rPr>
              <w:t xml:space="preserve"> authority and frame competence through applied technical skills and professional practice. The comparison further suggests that </w:t>
            </w:r>
            <w:r w:rsidR="007C0507">
              <w:rPr>
                <w:rFonts w:ascii="Arial" w:hAnsi="Arial" w:cs="Arial"/>
                <w:color w:val="000000"/>
                <w:sz w:val="20"/>
                <w:szCs w:val="20"/>
                <w:highlight w:val="yellow"/>
              </w:rPr>
              <w:t>signalling</w:t>
            </w:r>
            <w:r w:rsidR="007C0507">
              <w:rPr>
                <w:rFonts w:ascii="Arial" w:hAnsi="Arial" w:cs="Arial"/>
                <w:color w:val="000000"/>
                <w:sz w:val="20"/>
                <w:szCs w:val="20"/>
              </w:rPr>
              <w:t xml:space="preserve"> is best understood as a configuration of observable signals, with carriers and framing varying according to provider context, rather than as a single measure of course quality. As the study examines only highly enrolled cases and relies exclusively on publicly available information, the findings describe </w:t>
            </w:r>
            <w:r w:rsidR="007C0507">
              <w:rPr>
                <w:rFonts w:ascii="Arial" w:hAnsi="Arial" w:cs="Arial"/>
                <w:color w:val="000000"/>
                <w:sz w:val="20"/>
                <w:szCs w:val="20"/>
                <w:highlight w:val="yellow"/>
              </w:rPr>
              <w:t>signalling</w:t>
            </w:r>
            <w:r w:rsidR="007C0507">
              <w:rPr>
                <w:rFonts w:ascii="Arial" w:hAnsi="Arial" w:cs="Arial"/>
                <w:color w:val="000000"/>
                <w:sz w:val="20"/>
                <w:szCs w:val="20"/>
              </w:rPr>
              <w:t xml:space="preserve"> configurations associated with these MOOCs but do not establish causality regarding </w:t>
            </w:r>
            <w:r w:rsidR="007C0507">
              <w:rPr>
                <w:rFonts w:ascii="Arial" w:hAnsi="Arial" w:cs="Arial"/>
                <w:color w:val="000000"/>
                <w:sz w:val="20"/>
                <w:szCs w:val="20"/>
                <w:highlight w:val="yellow"/>
              </w:rPr>
              <w:t>enrolment</w:t>
            </w:r>
            <w:r w:rsidR="007C0507">
              <w:rPr>
                <w:rFonts w:ascii="Arial" w:hAnsi="Arial" w:cs="Arial"/>
                <w:color w:val="000000"/>
                <w:sz w:val="20"/>
                <w:szCs w:val="20"/>
              </w:rPr>
              <w:t xml:space="preserve"> or reflect learner perceptions. </w:t>
            </w:r>
            <w:r w:rsidR="00D7505C" w:rsidRPr="00D7505C">
              <w:rPr>
                <w:rFonts w:ascii="Arial" w:hAnsi="Arial" w:cs="Arial"/>
                <w:sz w:val="20"/>
                <w:szCs w:val="20"/>
              </w:rPr>
              <w:t xml:space="preserve">This study contributes to MOOC and </w:t>
            </w:r>
            <w:r w:rsidR="00D7505C" w:rsidRPr="00D7505C">
              <w:rPr>
                <w:rFonts w:ascii="Arial" w:hAnsi="Arial" w:cs="Arial"/>
                <w:sz w:val="20"/>
                <w:szCs w:val="20"/>
                <w:highlight w:val="yellow"/>
              </w:rPr>
              <w:t>signalling</w:t>
            </w:r>
            <w:r w:rsidR="00D7505C" w:rsidRPr="00D7505C">
              <w:rPr>
                <w:rFonts w:ascii="Arial" w:hAnsi="Arial" w:cs="Arial"/>
                <w:sz w:val="20"/>
                <w:szCs w:val="20"/>
              </w:rPr>
              <w:t xml:space="preserve"> research by demonstrating how comparative documentary analysis can identify provider-generated </w:t>
            </w:r>
            <w:r w:rsidR="00D7505C" w:rsidRPr="00D7505C">
              <w:rPr>
                <w:rFonts w:ascii="Arial" w:hAnsi="Arial" w:cs="Arial"/>
                <w:sz w:val="20"/>
                <w:szCs w:val="20"/>
                <w:highlight w:val="yellow"/>
              </w:rPr>
              <w:t>signalling</w:t>
            </w:r>
            <w:r w:rsidR="00D7505C" w:rsidRPr="00D7505C">
              <w:rPr>
                <w:rFonts w:ascii="Arial" w:hAnsi="Arial" w:cs="Arial"/>
                <w:sz w:val="20"/>
                <w:szCs w:val="20"/>
              </w:rPr>
              <w:t xml:space="preserve"> patterns and reveal how </w:t>
            </w:r>
            <w:r w:rsidR="00D7505C" w:rsidRPr="00D7505C">
              <w:rPr>
                <w:rFonts w:ascii="Arial" w:hAnsi="Arial" w:cs="Arial"/>
                <w:sz w:val="20"/>
                <w:szCs w:val="20"/>
                <w:highlight w:val="yellow"/>
              </w:rPr>
              <w:t>organisational</w:t>
            </w:r>
            <w:r w:rsidR="00D7505C" w:rsidRPr="00D7505C">
              <w:rPr>
                <w:rFonts w:ascii="Arial" w:hAnsi="Arial" w:cs="Arial"/>
                <w:sz w:val="20"/>
                <w:szCs w:val="20"/>
              </w:rPr>
              <w:t xml:space="preserve"> context shapes the communication of credibility and competence in online learning environments.</w:t>
            </w:r>
          </w:p>
        </w:tc>
      </w:tr>
    </w:tbl>
    <w:p w14:paraId="52FF621B" w14:textId="77777777" w:rsidR="00636EB2" w:rsidRDefault="00636EB2" w:rsidP="00441B6F">
      <w:pPr>
        <w:pStyle w:val="Body"/>
        <w:spacing w:after="0"/>
        <w:rPr>
          <w:rFonts w:ascii="Arial" w:hAnsi="Arial" w:cs="Arial"/>
          <w:i/>
        </w:rPr>
      </w:pPr>
    </w:p>
    <w:p w14:paraId="2A63880B" w14:textId="77777777" w:rsidR="006B404C" w:rsidRPr="006B404C" w:rsidRDefault="00A24E7E" w:rsidP="00441B6F">
      <w:pPr>
        <w:pStyle w:val="Body"/>
        <w:spacing w:after="0"/>
        <w:rPr>
          <w:rFonts w:ascii="Arial" w:hAnsi="Arial" w:cs="Arial"/>
          <w:i/>
          <w:color w:val="000000"/>
          <w:sz w:val="20"/>
          <w:szCs w:val="20"/>
        </w:rPr>
      </w:pPr>
      <w:r w:rsidRPr="007C0507">
        <w:rPr>
          <w:rFonts w:ascii="Arial" w:hAnsi="Arial" w:cs="Arial"/>
          <w:i/>
          <w:sz w:val="20"/>
          <w:szCs w:val="20"/>
        </w:rPr>
        <w:t>Keywords:</w:t>
      </w:r>
      <w:r w:rsidR="006B404C">
        <w:rPr>
          <w:rFonts w:ascii="Arial" w:hAnsi="Arial" w:cs="Arial"/>
          <w:i/>
          <w:sz w:val="20"/>
          <w:szCs w:val="20"/>
        </w:rPr>
        <w:t xml:space="preserve"> </w:t>
      </w:r>
      <w:r w:rsidR="006B404C" w:rsidRPr="006B404C">
        <w:rPr>
          <w:rFonts w:ascii="Arial" w:hAnsi="Arial" w:cs="Arial"/>
          <w:i/>
          <w:iCs/>
          <w:sz w:val="20"/>
          <w:szCs w:val="20"/>
          <w:highlight w:val="yellow"/>
        </w:rPr>
        <w:t>Signalling</w:t>
      </w:r>
      <w:r w:rsidR="006B404C" w:rsidRPr="006B404C">
        <w:rPr>
          <w:rFonts w:ascii="Arial" w:hAnsi="Arial" w:cs="Arial"/>
          <w:i/>
          <w:iCs/>
          <w:sz w:val="20"/>
          <w:szCs w:val="20"/>
        </w:rPr>
        <w:t xml:space="preserve"> Theory; MOOCs; online learning; documentary analysis; university providers; industry providers.</w:t>
      </w:r>
    </w:p>
    <w:p w14:paraId="4766C67E" w14:textId="77777777" w:rsidR="00505F06" w:rsidRPr="00A24E7E" w:rsidRDefault="00505F06" w:rsidP="00441B6F">
      <w:pPr>
        <w:pStyle w:val="Body"/>
        <w:spacing w:after="0"/>
        <w:rPr>
          <w:rFonts w:ascii="Arial" w:hAnsi="Arial" w:cs="Arial"/>
          <w:i/>
        </w:rPr>
      </w:pPr>
    </w:p>
    <w:p w14:paraId="4CD9A7F7"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550D808D" w14:textId="77777777" w:rsidR="00790ADA" w:rsidRPr="007556F4" w:rsidRDefault="00790ADA" w:rsidP="00441B6F">
      <w:pPr>
        <w:pStyle w:val="AbstHead"/>
        <w:spacing w:after="0"/>
        <w:jc w:val="both"/>
        <w:rPr>
          <w:rFonts w:ascii="Arial" w:hAnsi="Arial" w:cs="Arial"/>
          <w:sz w:val="20"/>
          <w:szCs w:val="20"/>
        </w:rPr>
      </w:pPr>
    </w:p>
    <w:p w14:paraId="0209888E"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 xml:space="preserve">Massive open online courses (MOOCs) have become a foundational element of digital and open education, offering learners access to a broad range of subjects and institutional contexts. MOOCs have extended higher education beyond traditional campus settings and created a diverse learning environment in which courses vary in content, instructional design, assessment methods, workload, credentials, and provider identity (Deng et al., </w:t>
      </w:r>
      <w:r w:rsidRPr="007556F4">
        <w:rPr>
          <w:rFonts w:ascii="Arial" w:hAnsi="Arial" w:cs="Arial"/>
          <w:color w:val="000000"/>
          <w:sz w:val="20"/>
          <w:szCs w:val="20"/>
        </w:rPr>
        <w:lastRenderedPageBreak/>
        <w:t xml:space="preserve">2019). This scale and diversity give prospective learners substantial choice but also create a practical information challenge. Before </w:t>
      </w:r>
      <w:r w:rsidRPr="007556F4">
        <w:rPr>
          <w:rFonts w:ascii="Arial" w:hAnsi="Arial" w:cs="Arial"/>
          <w:color w:val="000000"/>
          <w:sz w:val="20"/>
          <w:szCs w:val="20"/>
          <w:highlight w:val="yellow"/>
        </w:rPr>
        <w:t>enrolment</w:t>
      </w:r>
      <w:r w:rsidRPr="007556F4">
        <w:rPr>
          <w:rFonts w:ascii="Arial" w:hAnsi="Arial" w:cs="Arial"/>
          <w:color w:val="000000"/>
          <w:sz w:val="20"/>
          <w:szCs w:val="20"/>
        </w:rPr>
        <w:t>, learners typically have limited direct knowledge of course performance, demands, instructor credibility, or the value of completion credentials. As a result, they often rely on information available before participation.</w:t>
      </w:r>
      <w:r>
        <w:rPr>
          <w:b/>
          <w:highlight w:val="yellow"/>
        </w:rPr>
        <w:t xml:space="preserve"> Recent research on MOOC recommendation systems likewise identifies the expansion of courses and providers as a course-selection challenge, reinforcing the importance of information available to learners when choosing among online offerings (Campos et al., 2025).</w:t>
      </w:r>
    </w:p>
    <w:p w14:paraId="42C84F35"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 xml:space="preserve">This situation creates information asymmetry between providers and prospective learners. Providers know far more about course development, instructional resources, expertise, and intended value than learners can directly access. Public course pages therefore serve as a critical information environment where providers present course offerings and their potential value. Research in online learning shows that information quality influences learners’ evaluations of e-learning environments (Alterkait &amp; Alduaij, 2024). MOOC research further indicates that learners consider multiple course characteristics when selecting or evaluating courses. For instance, Hew et al. (2020) identified instructor, content, assessment, and scheduling as factors associated with learner satisfaction, while </w:t>
      </w:r>
      <w:r w:rsidRPr="007556F4">
        <w:rPr>
          <w:rFonts w:ascii="Arial" w:hAnsi="Arial" w:cs="Arial"/>
          <w:color w:val="000000"/>
          <w:sz w:val="20"/>
          <w:szCs w:val="20"/>
          <w:highlight w:val="yellow"/>
        </w:rPr>
        <w:t>Chen, Xie, et al. (2024)</w:t>
      </w:r>
      <w:r w:rsidRPr="007556F4">
        <w:rPr>
          <w:rFonts w:ascii="Arial" w:hAnsi="Arial" w:cs="Arial"/>
          <w:color w:val="000000"/>
          <w:sz w:val="20"/>
          <w:szCs w:val="20"/>
        </w:rPr>
        <w:t xml:space="preserve"> highlighted assessment, content, effort, usefulness, faculty, interaction, and structure as key concerns in online-course reviews. These findings suggest that prospective learners evaluate online courses using multiple observable characteristics rather than a single indicator.</w:t>
      </w:r>
      <w:r>
        <w:rPr>
          <w:b/>
          <w:highlight w:val="yellow"/>
        </w:rPr>
        <w:t xml:space="preserve"> A study of MOOC enrolment and completion among higher-education learners similarly indicates that participation reflects multiple determinants rather than a single consideration (Patra et al., 2024).</w:t>
      </w:r>
    </w:p>
    <w:p w14:paraId="199370C3"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highlight w:val="yellow"/>
        </w:rPr>
        <w:t>Signalling</w:t>
      </w:r>
      <w:r w:rsidRPr="007556F4">
        <w:rPr>
          <w:rFonts w:ascii="Arial" w:hAnsi="Arial" w:cs="Arial"/>
          <w:color w:val="000000"/>
          <w:sz w:val="20"/>
          <w:szCs w:val="20"/>
        </w:rPr>
        <w:t xml:space="preserve"> Theory provides a framework for </w:t>
      </w:r>
      <w:r w:rsidRPr="007556F4">
        <w:rPr>
          <w:rFonts w:ascii="Arial" w:hAnsi="Arial" w:cs="Arial"/>
          <w:color w:val="000000"/>
          <w:sz w:val="20"/>
          <w:szCs w:val="20"/>
          <w:highlight w:val="yellow"/>
        </w:rPr>
        <w:t>analysing</w:t>
      </w:r>
      <w:r w:rsidRPr="007556F4">
        <w:rPr>
          <w:rFonts w:ascii="Arial" w:hAnsi="Arial" w:cs="Arial"/>
          <w:color w:val="000000"/>
          <w:sz w:val="20"/>
          <w:szCs w:val="20"/>
        </w:rPr>
        <w:t xml:space="preserve"> this information problem by explaining how actors convey observable information about qualities that may otherwise be difficult for others to assess (Connelly et al., 2011, 2025). In the educational marketplace, providers act as </w:t>
      </w:r>
      <w:r w:rsidRPr="007556F4">
        <w:rPr>
          <w:rFonts w:ascii="Arial" w:hAnsi="Arial" w:cs="Arial"/>
          <w:color w:val="000000"/>
          <w:sz w:val="20"/>
          <w:szCs w:val="20"/>
          <w:highlight w:val="yellow"/>
        </w:rPr>
        <w:t>signallers</w:t>
      </w:r>
      <w:r w:rsidRPr="007556F4">
        <w:rPr>
          <w:rFonts w:ascii="Arial" w:hAnsi="Arial" w:cs="Arial"/>
          <w:color w:val="000000"/>
          <w:sz w:val="20"/>
          <w:szCs w:val="20"/>
        </w:rPr>
        <w:t xml:space="preserve"> and prospective learners as receivers. Elements such as provider reputation, instructor expertise, course requirements, assessments, competencies, and credentials serve as observable signals of course value. The </w:t>
      </w:r>
      <w:r w:rsidRPr="007556F4">
        <w:rPr>
          <w:rFonts w:ascii="Arial" w:hAnsi="Arial" w:cs="Arial"/>
          <w:color w:val="000000"/>
          <w:sz w:val="20"/>
          <w:szCs w:val="20"/>
          <w:highlight w:val="yellow"/>
        </w:rPr>
        <w:t>signalling</w:t>
      </w:r>
      <w:r w:rsidRPr="007556F4">
        <w:rPr>
          <w:rFonts w:ascii="Arial" w:hAnsi="Arial" w:cs="Arial"/>
          <w:color w:val="000000"/>
          <w:sz w:val="20"/>
          <w:szCs w:val="20"/>
        </w:rPr>
        <w:t xml:space="preserve"> perspective is particularly relevant to MOOCs, as prospective learners often encounter course information before any direct experience. For example, reputation has been shown to influence users’ continued engagement with MOOCs, indicating that provider-related perceptions contribute to learners’ evaluations of online learning opportunities (Alraimi et al., 2015).</w:t>
      </w:r>
      <w:r>
        <w:rPr>
          <w:b/>
          <w:highlight w:val="yellow"/>
        </w:rPr>
        <w:t xml:space="preserve"> Research on open and alternative digital credentials further shows that credentials operate within broader arrangements of assessment, competence representation, and trust, supporting their treatment as one component of observable course value (Griffiths et al., 2024).</w:t>
      </w:r>
    </w:p>
    <w:p w14:paraId="48599E6A"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 xml:space="preserve">Previous MOOC research has explored course quality, learner satisfaction, engagement, retention, and course selection. However, much of this literature focuses on learners’ perceptions or observed </w:t>
      </w:r>
      <w:r w:rsidRPr="007556F4">
        <w:rPr>
          <w:rFonts w:ascii="Arial" w:hAnsi="Arial" w:cs="Arial"/>
          <w:color w:val="000000"/>
          <w:sz w:val="20"/>
          <w:szCs w:val="20"/>
          <w:highlight w:val="yellow"/>
        </w:rPr>
        <w:t>behaviours</w:t>
      </w:r>
      <w:r w:rsidRPr="007556F4">
        <w:rPr>
          <w:rFonts w:ascii="Arial" w:hAnsi="Arial" w:cs="Arial"/>
          <w:color w:val="000000"/>
          <w:sz w:val="20"/>
          <w:szCs w:val="20"/>
        </w:rPr>
        <w:t xml:space="preserve">. For example, Hew et al. (2020) </w:t>
      </w:r>
      <w:r w:rsidRPr="007556F4">
        <w:rPr>
          <w:rFonts w:ascii="Arial" w:hAnsi="Arial" w:cs="Arial"/>
          <w:color w:val="000000"/>
          <w:sz w:val="20"/>
          <w:szCs w:val="20"/>
          <w:highlight w:val="yellow"/>
        </w:rPr>
        <w:t>analysed</w:t>
      </w:r>
      <w:r w:rsidRPr="007556F4">
        <w:rPr>
          <w:rFonts w:ascii="Arial" w:hAnsi="Arial" w:cs="Arial"/>
          <w:color w:val="000000"/>
          <w:sz w:val="20"/>
          <w:szCs w:val="20"/>
        </w:rPr>
        <w:t xml:space="preserve"> learner reviews to identify factors at both the course and learner levels associated with satisfaction. Research on course recommendation and selection has investigated relationships between learners and courses using </w:t>
      </w:r>
      <w:r w:rsidRPr="007556F4">
        <w:rPr>
          <w:rFonts w:ascii="Arial" w:hAnsi="Arial" w:cs="Arial"/>
          <w:color w:val="000000"/>
          <w:sz w:val="20"/>
          <w:szCs w:val="20"/>
          <w:highlight w:val="yellow"/>
        </w:rPr>
        <w:t>behavioural</w:t>
      </w:r>
      <w:r w:rsidRPr="007556F4">
        <w:rPr>
          <w:rFonts w:ascii="Arial" w:hAnsi="Arial" w:cs="Arial"/>
          <w:color w:val="000000"/>
          <w:sz w:val="20"/>
          <w:szCs w:val="20"/>
        </w:rPr>
        <w:t xml:space="preserve"> or computational methods (Yu et al., 2024), while studies on course choice have examined how students select among courses with varying characteristics and difficulty levels (Srivastava et al., 2024). Although these studies provide valuable insights into learner responses, they pay comparatively less attention to the provider side of the information exchange: specifically, what providers make observable through public course information and how these signals are structured before learner participation.</w:t>
      </w:r>
    </w:p>
    <w:p w14:paraId="311F1D7A"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 xml:space="preserve">The provider perspective is especially significant when comparing university- and industry-provided MOOCs. Universities and industry </w:t>
      </w:r>
      <w:r w:rsidRPr="007556F4">
        <w:rPr>
          <w:rFonts w:ascii="Arial" w:hAnsi="Arial" w:cs="Arial"/>
          <w:color w:val="000000"/>
          <w:sz w:val="20"/>
          <w:szCs w:val="20"/>
          <w:highlight w:val="yellow"/>
        </w:rPr>
        <w:t>organisations</w:t>
      </w:r>
      <w:r w:rsidRPr="007556F4">
        <w:rPr>
          <w:rFonts w:ascii="Arial" w:hAnsi="Arial" w:cs="Arial"/>
          <w:color w:val="000000"/>
          <w:sz w:val="20"/>
          <w:szCs w:val="20"/>
        </w:rPr>
        <w:t xml:space="preserve"> hold distinct institutional positions </w:t>
      </w:r>
      <w:r w:rsidRPr="007556F4">
        <w:rPr>
          <w:rFonts w:ascii="Arial" w:hAnsi="Arial" w:cs="Arial"/>
          <w:color w:val="000000"/>
          <w:sz w:val="20"/>
          <w:szCs w:val="20"/>
        </w:rPr>
        <w:lastRenderedPageBreak/>
        <w:t xml:space="preserve">and derive credibility from different sources. Universities may convey authority through academic identity, disciplinary expertise, faculty qualifications, and educational credentials. In contrast, industry </w:t>
      </w:r>
      <w:r w:rsidRPr="007556F4">
        <w:rPr>
          <w:rFonts w:ascii="Arial" w:hAnsi="Arial" w:cs="Arial"/>
          <w:color w:val="000000"/>
          <w:sz w:val="20"/>
          <w:szCs w:val="20"/>
          <w:highlight w:val="yellow"/>
        </w:rPr>
        <w:t>organisations</w:t>
      </w:r>
      <w:r w:rsidRPr="007556F4">
        <w:rPr>
          <w:rFonts w:ascii="Arial" w:hAnsi="Arial" w:cs="Arial"/>
          <w:color w:val="000000"/>
          <w:sz w:val="20"/>
          <w:szCs w:val="20"/>
        </w:rPr>
        <w:t xml:space="preserve"> may </w:t>
      </w:r>
      <w:r w:rsidRPr="007556F4">
        <w:rPr>
          <w:rFonts w:ascii="Arial" w:hAnsi="Arial" w:cs="Arial"/>
          <w:color w:val="000000"/>
          <w:sz w:val="20"/>
          <w:szCs w:val="20"/>
          <w:highlight w:val="yellow"/>
        </w:rPr>
        <w:t>emphasise</w:t>
      </w:r>
      <w:r w:rsidRPr="007556F4">
        <w:rPr>
          <w:rFonts w:ascii="Arial" w:hAnsi="Arial" w:cs="Arial"/>
          <w:color w:val="000000"/>
          <w:sz w:val="20"/>
          <w:szCs w:val="20"/>
        </w:rPr>
        <w:t xml:space="preserve"> </w:t>
      </w:r>
      <w:r w:rsidRPr="007556F4">
        <w:rPr>
          <w:rFonts w:ascii="Arial" w:hAnsi="Arial" w:cs="Arial"/>
          <w:color w:val="000000"/>
          <w:sz w:val="20"/>
          <w:szCs w:val="20"/>
          <w:highlight w:val="yellow"/>
        </w:rPr>
        <w:t>organisational</w:t>
      </w:r>
      <w:r w:rsidRPr="007556F4">
        <w:rPr>
          <w:rFonts w:ascii="Arial" w:hAnsi="Arial" w:cs="Arial"/>
          <w:color w:val="000000"/>
          <w:sz w:val="20"/>
          <w:szCs w:val="20"/>
        </w:rPr>
        <w:t xml:space="preserve"> expertise, professional practice, technical authority, or links to current technologies and workplace competencies. These distinctions do not necessarily indicate fundamentally different approaches to value communication. Instead, they raise the question of whether similar qualities are made observable through different sources and </w:t>
      </w:r>
      <w:r w:rsidRPr="007556F4">
        <w:rPr>
          <w:rFonts w:ascii="Arial" w:hAnsi="Arial" w:cs="Arial"/>
          <w:color w:val="000000"/>
          <w:sz w:val="20"/>
          <w:szCs w:val="20"/>
          <w:highlight w:val="yellow"/>
        </w:rPr>
        <w:t>signalling</w:t>
      </w:r>
      <w:r w:rsidRPr="007556F4">
        <w:rPr>
          <w:rFonts w:ascii="Arial" w:hAnsi="Arial" w:cs="Arial"/>
          <w:color w:val="000000"/>
          <w:sz w:val="20"/>
          <w:szCs w:val="20"/>
        </w:rPr>
        <w:t xml:space="preserve"> methods.</w:t>
      </w:r>
      <w:r>
        <w:rPr>
          <w:b/>
          <w:highlight w:val="yellow"/>
        </w:rPr>
        <w:t xml:space="preserve"> Scholarship on educational platform ecosystems also emphasises the interactions among actors within platform-based environments, providing a relevant contextual basis for examining provider differences within a common platform setting (Yang, 2024).</w:t>
      </w:r>
    </w:p>
    <w:p w14:paraId="11BAAA6A"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 xml:space="preserve">This distinction is significant because provider identity is observable before </w:t>
      </w:r>
      <w:r w:rsidRPr="007556F4">
        <w:rPr>
          <w:rFonts w:ascii="Arial" w:hAnsi="Arial" w:cs="Arial"/>
          <w:color w:val="000000"/>
          <w:sz w:val="20"/>
          <w:szCs w:val="20"/>
          <w:highlight w:val="yellow"/>
        </w:rPr>
        <w:t>enrolment</w:t>
      </w:r>
      <w:r w:rsidRPr="007556F4">
        <w:rPr>
          <w:rFonts w:ascii="Arial" w:hAnsi="Arial" w:cs="Arial"/>
          <w:color w:val="000000"/>
          <w:sz w:val="20"/>
          <w:szCs w:val="20"/>
        </w:rPr>
        <w:t xml:space="preserve">. Prospective learners can identify the course provider, instructor, specified competencies, expected requirements, and associated completion credentials. However, the mere presence of such information does not guarantee effectiveness. Providers may communicate signals that learners do not notice, trust, or act upon. Therefore, </w:t>
      </w:r>
      <w:r w:rsidRPr="007556F4">
        <w:rPr>
          <w:rFonts w:ascii="Arial" w:hAnsi="Arial" w:cs="Arial"/>
          <w:color w:val="000000"/>
          <w:sz w:val="20"/>
          <w:szCs w:val="20"/>
          <w:highlight w:val="yellow"/>
        </w:rPr>
        <w:t>analysing</w:t>
      </w:r>
      <w:r w:rsidRPr="007556F4">
        <w:rPr>
          <w:rFonts w:ascii="Arial" w:hAnsi="Arial" w:cs="Arial"/>
          <w:color w:val="000000"/>
          <w:sz w:val="20"/>
          <w:szCs w:val="20"/>
        </w:rPr>
        <w:t xml:space="preserve"> publicly available course information enables the study of signal communication without presuming signal effectiveness.</w:t>
      </w:r>
      <w:r>
        <w:rPr>
          <w:b/>
          <w:highlight w:val="yellow"/>
        </w:rPr>
        <w:t xml:space="preserve"> A recent synthesis of micro-credential research also identifies continuing issues concerning recognition, quality assurance, and trust, underscoring the distinction between making credential information visible and establishing how receivers value it (Wenjing et al., 2026).</w:t>
      </w:r>
    </w:p>
    <w:p w14:paraId="412856DC"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 xml:space="preserve">This study focuses on highly enrolled MOOCs. High </w:t>
      </w:r>
      <w:r w:rsidRPr="007556F4">
        <w:rPr>
          <w:rFonts w:ascii="Arial" w:hAnsi="Arial" w:cs="Arial"/>
          <w:color w:val="000000"/>
          <w:sz w:val="20"/>
          <w:szCs w:val="20"/>
          <w:highlight w:val="yellow"/>
        </w:rPr>
        <w:t>enrolment</w:t>
      </w:r>
      <w:r w:rsidRPr="007556F4">
        <w:rPr>
          <w:rFonts w:ascii="Arial" w:hAnsi="Arial" w:cs="Arial"/>
          <w:color w:val="000000"/>
          <w:sz w:val="20"/>
          <w:szCs w:val="20"/>
        </w:rPr>
        <w:t xml:space="preserve"> serves as an externally validated criterion for selecting information-rich cases where many learners have chosen to participate. In this context, </w:t>
      </w:r>
      <w:r w:rsidRPr="007556F4">
        <w:rPr>
          <w:rFonts w:ascii="Arial" w:hAnsi="Arial" w:cs="Arial"/>
          <w:color w:val="000000"/>
          <w:sz w:val="20"/>
          <w:szCs w:val="20"/>
          <w:highlight w:val="yellow"/>
        </w:rPr>
        <w:t>enrolment</w:t>
      </w:r>
      <w:r w:rsidRPr="007556F4">
        <w:rPr>
          <w:rFonts w:ascii="Arial" w:hAnsi="Arial" w:cs="Arial"/>
          <w:color w:val="000000"/>
          <w:sz w:val="20"/>
          <w:szCs w:val="20"/>
        </w:rPr>
        <w:t xml:space="preserve"> is used as a case-selection characteristic rather than as a dependent variable or causal outcome. The study does not seek to determine whether specific signals influenced </w:t>
      </w:r>
      <w:r w:rsidRPr="007556F4">
        <w:rPr>
          <w:rFonts w:ascii="Arial" w:hAnsi="Arial" w:cs="Arial"/>
          <w:color w:val="000000"/>
          <w:sz w:val="20"/>
          <w:szCs w:val="20"/>
          <w:highlight w:val="yellow"/>
        </w:rPr>
        <w:t>enrolment</w:t>
      </w:r>
      <w:r w:rsidRPr="007556F4">
        <w:rPr>
          <w:rFonts w:ascii="Arial" w:hAnsi="Arial" w:cs="Arial"/>
          <w:color w:val="000000"/>
          <w:sz w:val="20"/>
          <w:szCs w:val="20"/>
        </w:rPr>
        <w:t>, nor does it compare learner responses between high- and low-</w:t>
      </w:r>
      <w:r w:rsidRPr="007556F4">
        <w:rPr>
          <w:rFonts w:ascii="Arial" w:hAnsi="Arial" w:cs="Arial"/>
          <w:color w:val="000000"/>
          <w:sz w:val="20"/>
          <w:szCs w:val="20"/>
          <w:highlight w:val="yellow"/>
        </w:rPr>
        <w:t>enrolment</w:t>
      </w:r>
      <w:r w:rsidRPr="007556F4">
        <w:rPr>
          <w:rFonts w:ascii="Arial" w:hAnsi="Arial" w:cs="Arial"/>
          <w:color w:val="000000"/>
          <w:sz w:val="20"/>
          <w:szCs w:val="20"/>
        </w:rPr>
        <w:t xml:space="preserve"> courses. This distinction is crucial because </w:t>
      </w:r>
      <w:r w:rsidRPr="007556F4">
        <w:rPr>
          <w:rFonts w:ascii="Arial" w:hAnsi="Arial" w:cs="Arial"/>
          <w:color w:val="000000"/>
          <w:sz w:val="20"/>
          <w:szCs w:val="20"/>
          <w:highlight w:val="yellow"/>
        </w:rPr>
        <w:t>enrolment</w:t>
      </w:r>
      <w:r w:rsidRPr="007556F4">
        <w:rPr>
          <w:rFonts w:ascii="Arial" w:hAnsi="Arial" w:cs="Arial"/>
          <w:color w:val="000000"/>
          <w:sz w:val="20"/>
          <w:szCs w:val="20"/>
        </w:rPr>
        <w:t xml:space="preserve"> and participation in MOOCs are complex processes, and </w:t>
      </w:r>
      <w:r w:rsidRPr="007556F4">
        <w:rPr>
          <w:rFonts w:ascii="Arial" w:hAnsi="Arial" w:cs="Arial"/>
          <w:color w:val="000000"/>
          <w:sz w:val="20"/>
          <w:szCs w:val="20"/>
          <w:highlight w:val="yellow"/>
        </w:rPr>
        <w:t>enrolment</w:t>
      </w:r>
      <w:r w:rsidRPr="007556F4">
        <w:rPr>
          <w:rFonts w:ascii="Arial" w:hAnsi="Arial" w:cs="Arial"/>
          <w:color w:val="000000"/>
          <w:sz w:val="20"/>
          <w:szCs w:val="20"/>
        </w:rPr>
        <w:t xml:space="preserve"> figures alone do not explain learners’ course selection decisions (Jordan, 2015). To support this case-selection rationale, the study relies on publicly available course information and does not involve direct learner participation.</w:t>
      </w:r>
    </w:p>
    <w:p w14:paraId="43991229" w14:textId="77777777" w:rsidR="007A109F" w:rsidRDefault="004973B8" w:rsidP="007556F4">
      <w:pPr>
        <w:pStyle w:val="NormalWeb"/>
        <w:spacing w:before="0" w:beforeAutospacing="0" w:after="0" w:afterAutospacing="0"/>
        <w:rPr>
          <w:rFonts w:ascii="Arial" w:hAnsi="Arial" w:cs="Arial"/>
          <w:sz w:val="20"/>
          <w:szCs w:val="20"/>
        </w:rPr>
      </w:pPr>
      <w:r w:rsidRPr="004973B8">
        <w:rPr>
          <w:rFonts w:ascii="Arial" w:hAnsi="Arial" w:cs="Arial"/>
          <w:sz w:val="20"/>
          <w:szCs w:val="20"/>
        </w:rPr>
        <w:t xml:space="preserve">Against this background, a comparative examination of highly enrolled university- and industry-provided MOOCs can address an underexplored dimension of MOOC research: how providers communicate observable signals through publicly available course information. </w:t>
      </w:r>
    </w:p>
    <w:p w14:paraId="625A795F" w14:textId="77777777" w:rsidR="007A109F" w:rsidRPr="007A109F" w:rsidRDefault="007A109F" w:rsidP="007556F4">
      <w:pPr>
        <w:pStyle w:val="NormalWeb"/>
        <w:spacing w:before="0" w:beforeAutospacing="0" w:after="0" w:afterAutospacing="0"/>
        <w:rPr>
          <w:rFonts w:ascii="Arial" w:hAnsi="Arial" w:cs="Arial"/>
          <w:sz w:val="20"/>
          <w:szCs w:val="20"/>
        </w:rPr>
      </w:pPr>
      <w:r w:rsidRPr="007A109F">
        <w:rPr>
          <w:rFonts w:ascii="Arial" w:hAnsi="Arial" w:cs="Arial"/>
          <w:sz w:val="20"/>
          <w:szCs w:val="20"/>
        </w:rPr>
        <w:t xml:space="preserve">Accordingly, this study aims to comparatively examine the </w:t>
      </w:r>
      <w:r w:rsidRPr="007A109F">
        <w:rPr>
          <w:rFonts w:ascii="Arial" w:hAnsi="Arial" w:cs="Arial"/>
          <w:sz w:val="20"/>
          <w:szCs w:val="20"/>
          <w:highlight w:val="yellow"/>
        </w:rPr>
        <w:t>signalling</w:t>
      </w:r>
      <w:r w:rsidRPr="007A109F">
        <w:rPr>
          <w:rFonts w:ascii="Arial" w:hAnsi="Arial" w:cs="Arial"/>
          <w:sz w:val="20"/>
          <w:szCs w:val="20"/>
        </w:rPr>
        <w:t xml:space="preserve"> patterns communicated through </w:t>
      </w:r>
      <w:r w:rsidRPr="007A109F">
        <w:rPr>
          <w:rFonts w:ascii="Arial" w:hAnsi="Arial" w:cs="Arial"/>
          <w:sz w:val="20"/>
          <w:szCs w:val="20"/>
          <w:highlight w:val="yellow"/>
        </w:rPr>
        <w:t>publicly available information on highly enrolled university- and industry-provided MOOCs</w:t>
      </w:r>
      <w:r w:rsidRPr="007A109F">
        <w:rPr>
          <w:rFonts w:ascii="Arial" w:hAnsi="Arial" w:cs="Arial"/>
          <w:sz w:val="20"/>
          <w:szCs w:val="20"/>
        </w:rPr>
        <w:t xml:space="preserve"> using </w:t>
      </w:r>
      <w:r w:rsidRPr="007A109F">
        <w:rPr>
          <w:rFonts w:ascii="Arial" w:hAnsi="Arial" w:cs="Arial"/>
          <w:sz w:val="20"/>
          <w:szCs w:val="20"/>
          <w:highlight w:val="yellow"/>
        </w:rPr>
        <w:t>Signalling</w:t>
      </w:r>
      <w:r w:rsidRPr="007A109F">
        <w:rPr>
          <w:rFonts w:ascii="Arial" w:hAnsi="Arial" w:cs="Arial"/>
          <w:sz w:val="20"/>
          <w:szCs w:val="20"/>
        </w:rPr>
        <w:t xml:space="preserve"> Theory. The study focuses on what providers make observable to prospective learners and how </w:t>
      </w:r>
      <w:r w:rsidRPr="007A109F">
        <w:rPr>
          <w:rFonts w:ascii="Arial" w:hAnsi="Arial" w:cs="Arial"/>
          <w:sz w:val="20"/>
          <w:szCs w:val="20"/>
          <w:highlight w:val="yellow"/>
        </w:rPr>
        <w:t>signalling</w:t>
      </w:r>
      <w:r w:rsidRPr="007A109F">
        <w:rPr>
          <w:rFonts w:ascii="Arial" w:hAnsi="Arial" w:cs="Arial"/>
          <w:sz w:val="20"/>
          <w:szCs w:val="20"/>
        </w:rPr>
        <w:t xml:space="preserve"> patterns are configured across provider types, rather than on whether particular signals cause </w:t>
      </w:r>
      <w:r w:rsidRPr="007A109F">
        <w:rPr>
          <w:rFonts w:ascii="Arial" w:hAnsi="Arial" w:cs="Arial"/>
          <w:sz w:val="20"/>
          <w:szCs w:val="20"/>
          <w:highlight w:val="yellow"/>
        </w:rPr>
        <w:t>enrolment</w:t>
      </w:r>
      <w:r w:rsidRPr="007A109F">
        <w:rPr>
          <w:rFonts w:ascii="Arial" w:hAnsi="Arial" w:cs="Arial"/>
          <w:sz w:val="20"/>
          <w:szCs w:val="20"/>
        </w:rPr>
        <w:t xml:space="preserve"> or how learners perceive them.</w:t>
      </w:r>
    </w:p>
    <w:p w14:paraId="43EF207B" w14:textId="77777777" w:rsidR="007556F4" w:rsidRDefault="007556F4" w:rsidP="00007D93">
      <w:pPr>
        <w:pStyle w:val="NormalWeb"/>
        <w:spacing w:before="0" w:beforeAutospacing="0" w:after="0" w:afterAutospacing="0"/>
        <w:rPr>
          <w:rFonts w:ascii="Arial" w:hAnsi="Arial" w:cs="Arial"/>
          <w:color w:val="000000"/>
          <w:sz w:val="20"/>
          <w:szCs w:val="20"/>
        </w:rPr>
      </w:pPr>
      <w:r w:rsidRPr="00007D93">
        <w:rPr>
          <w:rFonts w:ascii="Arial" w:hAnsi="Arial" w:cs="Arial"/>
          <w:color w:val="000000"/>
          <w:sz w:val="20"/>
          <w:szCs w:val="20"/>
        </w:rPr>
        <w:t>Specifically, the study addresses the following research questions:</w:t>
      </w:r>
    </w:p>
    <w:p w14:paraId="47BDE8E6" w14:textId="77777777" w:rsidR="00055FCE" w:rsidRPr="00055FCE" w:rsidRDefault="00055FCE" w:rsidP="00055FCE">
      <w:pPr>
        <w:pStyle w:val="pdq2pgselectionanchorcontainer"/>
        <w:spacing w:before="0" w:beforeAutospacing="0" w:after="0" w:afterAutospacing="0"/>
        <w:rPr>
          <w:rFonts w:ascii="Arial" w:hAnsi="Arial" w:cs="Arial"/>
          <w:b/>
          <w:bCs/>
          <w:sz w:val="20"/>
          <w:szCs w:val="20"/>
        </w:rPr>
      </w:pPr>
      <w:r w:rsidRPr="00055FCE">
        <w:rPr>
          <w:rStyle w:val="Strong"/>
          <w:rFonts w:ascii="Arial" w:hAnsi="Arial" w:cs="Arial"/>
          <w:sz w:val="20"/>
          <w:szCs w:val="20"/>
        </w:rPr>
        <w:t xml:space="preserve">RQ1. </w:t>
      </w:r>
      <w:r w:rsidRPr="00055FCE">
        <w:rPr>
          <w:rStyle w:val="Strong"/>
          <w:rFonts w:ascii="Arial" w:hAnsi="Arial" w:cs="Arial"/>
          <w:b w:val="0"/>
          <w:bCs w:val="0"/>
          <w:sz w:val="20"/>
          <w:szCs w:val="20"/>
        </w:rPr>
        <w:t xml:space="preserve">What </w:t>
      </w:r>
      <w:r w:rsidRPr="00055FCE">
        <w:rPr>
          <w:rStyle w:val="Strong"/>
          <w:rFonts w:ascii="Arial" w:hAnsi="Arial" w:cs="Arial"/>
          <w:b w:val="0"/>
          <w:bCs w:val="0"/>
          <w:sz w:val="20"/>
          <w:szCs w:val="20"/>
          <w:highlight w:val="yellow"/>
        </w:rPr>
        <w:t>signalling</w:t>
      </w:r>
      <w:r w:rsidRPr="00055FCE">
        <w:rPr>
          <w:rStyle w:val="Strong"/>
          <w:rFonts w:ascii="Arial" w:hAnsi="Arial" w:cs="Arial"/>
          <w:b w:val="0"/>
          <w:bCs w:val="0"/>
          <w:sz w:val="20"/>
          <w:szCs w:val="20"/>
        </w:rPr>
        <w:t xml:space="preserve"> patterns are communicated through </w:t>
      </w:r>
      <w:r w:rsidRPr="00055FCE">
        <w:rPr>
          <w:rStyle w:val="Strong"/>
          <w:rFonts w:ascii="Arial" w:hAnsi="Arial" w:cs="Arial"/>
          <w:b w:val="0"/>
          <w:bCs w:val="0"/>
          <w:sz w:val="20"/>
          <w:szCs w:val="20"/>
          <w:highlight w:val="yellow"/>
        </w:rPr>
        <w:t>publicly available information on highly enrolled university-provided MOOCs</w:t>
      </w:r>
      <w:r w:rsidRPr="00055FCE">
        <w:rPr>
          <w:rStyle w:val="Strong"/>
          <w:rFonts w:ascii="Arial" w:hAnsi="Arial" w:cs="Arial"/>
          <w:b w:val="0"/>
          <w:bCs w:val="0"/>
          <w:sz w:val="20"/>
          <w:szCs w:val="20"/>
        </w:rPr>
        <w:t>?</w:t>
      </w:r>
    </w:p>
    <w:p w14:paraId="5B9C8DB4" w14:textId="77777777" w:rsidR="00055FCE" w:rsidRPr="00007D93" w:rsidRDefault="00055FCE" w:rsidP="00007D93">
      <w:pPr>
        <w:pStyle w:val="NormalWeb"/>
        <w:spacing w:before="0" w:beforeAutospacing="0" w:after="0" w:afterAutospacing="0"/>
        <w:rPr>
          <w:rFonts w:ascii="Arial" w:hAnsi="Arial" w:cs="Arial"/>
          <w:sz w:val="20"/>
          <w:szCs w:val="20"/>
        </w:rPr>
      </w:pPr>
      <w:r w:rsidRPr="00055FCE">
        <w:rPr>
          <w:rStyle w:val="Strong"/>
          <w:rFonts w:ascii="Arial" w:hAnsi="Arial" w:cs="Arial"/>
          <w:sz w:val="20"/>
          <w:szCs w:val="20"/>
        </w:rPr>
        <w:t xml:space="preserve">RQ2. </w:t>
      </w:r>
      <w:r w:rsidRPr="00055FCE">
        <w:rPr>
          <w:rStyle w:val="Strong"/>
          <w:rFonts w:ascii="Arial" w:hAnsi="Arial" w:cs="Arial"/>
          <w:b w:val="0"/>
          <w:bCs w:val="0"/>
          <w:sz w:val="20"/>
          <w:szCs w:val="20"/>
        </w:rPr>
        <w:t xml:space="preserve">What </w:t>
      </w:r>
      <w:r w:rsidRPr="00055FCE">
        <w:rPr>
          <w:rStyle w:val="Strong"/>
          <w:rFonts w:ascii="Arial" w:hAnsi="Arial" w:cs="Arial"/>
          <w:b w:val="0"/>
          <w:bCs w:val="0"/>
          <w:sz w:val="20"/>
          <w:szCs w:val="20"/>
          <w:highlight w:val="yellow"/>
        </w:rPr>
        <w:t>signalling</w:t>
      </w:r>
      <w:r w:rsidRPr="00055FCE">
        <w:rPr>
          <w:rStyle w:val="Strong"/>
          <w:rFonts w:ascii="Arial" w:hAnsi="Arial" w:cs="Arial"/>
          <w:b w:val="0"/>
          <w:bCs w:val="0"/>
          <w:sz w:val="20"/>
          <w:szCs w:val="20"/>
        </w:rPr>
        <w:t xml:space="preserve"> patterns are communicated through </w:t>
      </w:r>
      <w:r w:rsidRPr="00055FCE">
        <w:rPr>
          <w:rStyle w:val="Strong"/>
          <w:rFonts w:ascii="Arial" w:hAnsi="Arial" w:cs="Arial"/>
          <w:b w:val="0"/>
          <w:bCs w:val="0"/>
          <w:sz w:val="20"/>
          <w:szCs w:val="20"/>
          <w:highlight w:val="yellow"/>
        </w:rPr>
        <w:t>publicly available information on highly enrolled industry-provided MOOCs</w:t>
      </w:r>
      <w:r w:rsidRPr="00055FCE">
        <w:rPr>
          <w:rStyle w:val="Strong"/>
          <w:rFonts w:ascii="Arial" w:hAnsi="Arial" w:cs="Arial"/>
          <w:b w:val="0"/>
          <w:bCs w:val="0"/>
          <w:sz w:val="20"/>
          <w:szCs w:val="20"/>
        </w:rPr>
        <w:t>?</w:t>
      </w:r>
    </w:p>
    <w:p w14:paraId="1FF51D8A" w14:textId="77777777" w:rsidR="00790ADA" w:rsidRDefault="00007D93" w:rsidP="0036457D">
      <w:pPr>
        <w:pStyle w:val="NormalWeb"/>
        <w:spacing w:before="0" w:beforeAutospacing="0" w:after="0" w:afterAutospacing="0"/>
        <w:rPr>
          <w:rFonts w:ascii="Arial" w:hAnsi="Arial" w:cs="Arial"/>
          <w:sz w:val="20"/>
          <w:szCs w:val="20"/>
        </w:rPr>
      </w:pPr>
      <w:r w:rsidRPr="00007D93">
        <w:rPr>
          <w:rStyle w:val="Strong"/>
          <w:rFonts w:ascii="Arial" w:hAnsi="Arial" w:cs="Arial"/>
          <w:sz w:val="20"/>
          <w:szCs w:val="20"/>
        </w:rPr>
        <w:t xml:space="preserve">RQ3. </w:t>
      </w:r>
      <w:r w:rsidR="0036457D" w:rsidRPr="0036457D">
        <w:rPr>
          <w:rFonts w:ascii="Arial" w:hAnsi="Arial" w:cs="Arial"/>
          <w:sz w:val="20"/>
          <w:szCs w:val="20"/>
        </w:rPr>
        <w:t xml:space="preserve">How do the </w:t>
      </w:r>
      <w:r w:rsidR="0036457D" w:rsidRPr="0036457D">
        <w:rPr>
          <w:rFonts w:ascii="Arial" w:hAnsi="Arial" w:cs="Arial"/>
          <w:sz w:val="20"/>
          <w:szCs w:val="20"/>
          <w:highlight w:val="yellow"/>
        </w:rPr>
        <w:t>signalling</w:t>
      </w:r>
      <w:r w:rsidR="0036457D" w:rsidRPr="0036457D">
        <w:rPr>
          <w:rFonts w:ascii="Arial" w:hAnsi="Arial" w:cs="Arial"/>
          <w:sz w:val="20"/>
          <w:szCs w:val="20"/>
        </w:rPr>
        <w:t xml:space="preserve"> patterns differ </w:t>
      </w:r>
      <w:r w:rsidR="0036457D" w:rsidRPr="0036457D">
        <w:rPr>
          <w:rFonts w:ascii="Arial" w:hAnsi="Arial" w:cs="Arial"/>
          <w:sz w:val="20"/>
          <w:szCs w:val="20"/>
          <w:highlight w:val="yellow"/>
        </w:rPr>
        <w:t>between highly enrolled university- and industry-provided MOOCs</w:t>
      </w:r>
      <w:r w:rsidR="0036457D" w:rsidRPr="0036457D">
        <w:rPr>
          <w:rFonts w:ascii="Arial" w:hAnsi="Arial" w:cs="Arial"/>
          <w:sz w:val="20"/>
          <w:szCs w:val="20"/>
        </w:rPr>
        <w:t>?</w:t>
      </w:r>
    </w:p>
    <w:p w14:paraId="197B073C" w14:textId="77777777" w:rsidR="0036457D" w:rsidRPr="0036457D" w:rsidRDefault="0036457D" w:rsidP="0036457D">
      <w:pPr>
        <w:pStyle w:val="NormalWeb"/>
        <w:spacing w:before="0" w:beforeAutospacing="0" w:after="0" w:afterAutospacing="0"/>
        <w:rPr>
          <w:rFonts w:ascii="Arial" w:hAnsi="Arial" w:cs="Arial"/>
          <w:sz w:val="20"/>
          <w:szCs w:val="20"/>
        </w:rPr>
      </w:pPr>
    </w:p>
    <w:p w14:paraId="1FD142F2" w14:textId="77777777" w:rsidR="007F7B32" w:rsidRPr="00007D93" w:rsidRDefault="00902823" w:rsidP="00007D93">
      <w:pPr>
        <w:pStyle w:val="AbstHead"/>
        <w:spacing w:after="0"/>
        <w:jc w:val="both"/>
        <w:rPr>
          <w:rFonts w:ascii="Arial" w:hAnsi="Arial" w:cs="Arial"/>
          <w:sz w:val="20"/>
          <w:szCs w:val="20"/>
        </w:rPr>
      </w:pPr>
      <w:r w:rsidRPr="00007D93">
        <w:rPr>
          <w:rFonts w:ascii="Arial" w:hAnsi="Arial" w:cs="Arial"/>
          <w:sz w:val="20"/>
          <w:szCs w:val="20"/>
        </w:rPr>
        <w:t xml:space="preserve">2. </w:t>
      </w:r>
      <w:r w:rsidR="00360E33" w:rsidRPr="00007D93">
        <w:rPr>
          <w:rFonts w:ascii="Arial" w:hAnsi="Arial" w:cs="Arial"/>
          <w:sz w:val="20"/>
          <w:szCs w:val="20"/>
        </w:rPr>
        <w:t>METHODOLOGY</w:t>
      </w:r>
    </w:p>
    <w:p w14:paraId="3A01EF98" w14:textId="77777777" w:rsidR="00790ADA" w:rsidRPr="00FB3A86" w:rsidRDefault="00790ADA" w:rsidP="00441B6F">
      <w:pPr>
        <w:pStyle w:val="AbstHead"/>
        <w:spacing w:after="0"/>
        <w:jc w:val="both"/>
        <w:rPr>
          <w:rFonts w:ascii="Arial" w:hAnsi="Arial" w:cs="Arial"/>
        </w:rPr>
      </w:pPr>
    </w:p>
    <w:p w14:paraId="77515E1A"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0793FB04" w14:textId="77777777" w:rsidR="00B57BC1" w:rsidRDefault="00B57BC1" w:rsidP="00B57BC1"/>
    <w:p w14:paraId="53118DC3" w14:textId="77777777" w:rsidR="009034BF" w:rsidRPr="009034BF" w:rsidRDefault="00EA3341" w:rsidP="004243E6">
      <w:pPr>
        <w:pStyle w:val="NormalWeb"/>
        <w:spacing w:before="0" w:beforeAutospacing="0" w:after="0" w:afterAutospacing="0"/>
        <w:rPr>
          <w:rFonts w:ascii="Arial" w:hAnsi="Arial" w:cs="Arial"/>
          <w:sz w:val="20"/>
          <w:szCs w:val="20"/>
        </w:rPr>
      </w:pPr>
      <w:r w:rsidRPr="00EA3341">
        <w:rPr>
          <w:rFonts w:ascii="Arial" w:hAnsi="Arial" w:cs="Arial"/>
          <w:sz w:val="20"/>
          <w:szCs w:val="20"/>
        </w:rPr>
        <w:lastRenderedPageBreak/>
        <w:t xml:space="preserve">A qualitative comparative documentary research design was employed to examine the </w:t>
      </w:r>
      <w:r w:rsidRPr="00EA3341">
        <w:rPr>
          <w:rFonts w:ascii="Arial" w:hAnsi="Arial" w:cs="Arial"/>
          <w:sz w:val="20"/>
          <w:szCs w:val="20"/>
          <w:highlight w:val="yellow"/>
        </w:rPr>
        <w:t>signalling</w:t>
      </w:r>
      <w:r w:rsidRPr="00EA3341">
        <w:rPr>
          <w:rFonts w:ascii="Arial" w:hAnsi="Arial" w:cs="Arial"/>
          <w:sz w:val="20"/>
          <w:szCs w:val="20"/>
        </w:rPr>
        <w:t xml:space="preserve"> patterns communicated through publicly available information </w:t>
      </w:r>
      <w:r w:rsidRPr="00EA3341">
        <w:rPr>
          <w:rFonts w:ascii="Arial" w:hAnsi="Arial" w:cs="Arial"/>
          <w:sz w:val="20"/>
          <w:szCs w:val="20"/>
          <w:highlight w:val="yellow"/>
        </w:rPr>
        <w:t>from highly enrolled university- and industry-provided MOOCs</w:t>
      </w:r>
      <w:r w:rsidRPr="00EA3341">
        <w:rPr>
          <w:rFonts w:ascii="Arial" w:hAnsi="Arial" w:cs="Arial"/>
          <w:sz w:val="20"/>
          <w:szCs w:val="20"/>
        </w:rPr>
        <w:t xml:space="preserve">. </w:t>
      </w:r>
      <w:r w:rsidR="009034BF" w:rsidRPr="00EA3341">
        <w:rPr>
          <w:rFonts w:ascii="Arial" w:hAnsi="Arial" w:cs="Arial"/>
          <w:sz w:val="20"/>
          <w:szCs w:val="20"/>
        </w:rPr>
        <w:t>Documentary</w:t>
      </w:r>
      <w:r w:rsidR="009034BF" w:rsidRPr="009034BF">
        <w:rPr>
          <w:rFonts w:ascii="Arial" w:hAnsi="Arial" w:cs="Arial"/>
          <w:sz w:val="20"/>
          <w:szCs w:val="20"/>
        </w:rPr>
        <w:t xml:space="preserve"> analysis was selected because the research focused on information intentionally presented to prospective learners through online course pages, rather than on learners’ perceptions, motivations, or experiences. Qualitative documentary research is well suited to the systematic examination of textual and informational materials as sources of evidence for understanding phenomena within their contextual settings (Alshehri, 2025; Case, 2024). </w:t>
      </w:r>
    </w:p>
    <w:p w14:paraId="63784C5A" w14:textId="77777777" w:rsidR="004243E6" w:rsidRDefault="004243E6" w:rsidP="004243E6">
      <w:pPr>
        <w:pStyle w:val="NormalWeb"/>
        <w:spacing w:before="0" w:beforeAutospacing="0" w:after="0" w:afterAutospacing="0"/>
      </w:pPr>
      <w:r>
        <w:rPr>
          <w:rFonts w:ascii="Arial" w:hAnsi="Arial" w:cs="Arial"/>
          <w:color w:val="000000"/>
          <w:sz w:val="20"/>
          <w:szCs w:val="20"/>
        </w:rPr>
        <w:t xml:space="preserve">The comparative dimension of the design enabled examination of </w:t>
      </w:r>
      <w:r>
        <w:rPr>
          <w:rFonts w:ascii="Arial" w:hAnsi="Arial" w:cs="Arial"/>
          <w:color w:val="000000"/>
          <w:sz w:val="20"/>
          <w:szCs w:val="20"/>
          <w:highlight w:val="yellow"/>
        </w:rPr>
        <w:t>two provider groups—university and industry organisations—within the same MOOC platform environment</w:t>
      </w:r>
      <w:r>
        <w:rPr>
          <w:rFonts w:ascii="Arial" w:hAnsi="Arial" w:cs="Arial"/>
          <w:color w:val="000000"/>
          <w:sz w:val="20"/>
          <w:szCs w:val="20"/>
        </w:rPr>
        <w:t xml:space="preserve">. Each selected MOOC was treated as an individual case, allowing analysis of its publicly communicated information before synthesizing patterns within and across the two provider groups. The purpose of the comparison was not to determine which provider type leads to greater </w:t>
      </w:r>
      <w:r>
        <w:rPr>
          <w:rFonts w:ascii="Arial" w:hAnsi="Arial" w:cs="Arial"/>
          <w:color w:val="000000"/>
          <w:sz w:val="20"/>
          <w:szCs w:val="20"/>
          <w:highlight w:val="yellow"/>
        </w:rPr>
        <w:t>enrolment</w:t>
      </w:r>
      <w:r>
        <w:rPr>
          <w:rFonts w:ascii="Arial" w:hAnsi="Arial" w:cs="Arial"/>
          <w:color w:val="000000"/>
          <w:sz w:val="20"/>
          <w:szCs w:val="20"/>
        </w:rPr>
        <w:t xml:space="preserve">, but rather to identify and compare the </w:t>
      </w:r>
      <w:r>
        <w:rPr>
          <w:rFonts w:ascii="Arial" w:hAnsi="Arial" w:cs="Arial"/>
          <w:color w:val="000000"/>
          <w:sz w:val="20"/>
          <w:szCs w:val="20"/>
          <w:highlight w:val="yellow"/>
        </w:rPr>
        <w:t>signalling</w:t>
      </w:r>
      <w:r>
        <w:rPr>
          <w:rFonts w:ascii="Arial" w:hAnsi="Arial" w:cs="Arial"/>
          <w:color w:val="000000"/>
          <w:sz w:val="20"/>
          <w:szCs w:val="20"/>
        </w:rPr>
        <w:t xml:space="preserve"> patterns present among MOOCs that had already achieved high </w:t>
      </w:r>
      <w:r>
        <w:rPr>
          <w:rFonts w:ascii="Arial" w:hAnsi="Arial" w:cs="Arial"/>
          <w:color w:val="000000"/>
          <w:sz w:val="20"/>
          <w:szCs w:val="20"/>
          <w:highlight w:val="yellow"/>
        </w:rPr>
        <w:t>enrolment</w:t>
      </w:r>
      <w:r>
        <w:rPr>
          <w:rFonts w:ascii="Arial" w:hAnsi="Arial" w:cs="Arial"/>
          <w:color w:val="000000"/>
          <w:sz w:val="20"/>
          <w:szCs w:val="20"/>
        </w:rPr>
        <w:t>.</w:t>
      </w:r>
    </w:p>
    <w:p w14:paraId="191602B9" w14:textId="77777777" w:rsidR="004243E6" w:rsidRDefault="004243E6" w:rsidP="004243E6">
      <w:pPr>
        <w:pStyle w:val="NormalWeb"/>
        <w:spacing w:before="0" w:beforeAutospacing="0" w:after="0" w:afterAutospacing="0"/>
      </w:pPr>
      <w:r>
        <w:rPr>
          <w:rFonts w:ascii="Arial" w:hAnsi="Arial" w:cs="Arial"/>
          <w:color w:val="000000"/>
          <w:sz w:val="20"/>
          <w:szCs w:val="20"/>
          <w:highlight w:val="yellow"/>
        </w:rPr>
        <w:t>Signalling</w:t>
      </w:r>
      <w:r>
        <w:rPr>
          <w:rFonts w:ascii="Arial" w:hAnsi="Arial" w:cs="Arial"/>
          <w:color w:val="000000"/>
          <w:sz w:val="20"/>
          <w:szCs w:val="20"/>
        </w:rPr>
        <w:t xml:space="preserve"> Theory provided the theoretical framework for interpreting these publicly observable communications. This theory addresses situations </w:t>
      </w:r>
      <w:r>
        <w:rPr>
          <w:rFonts w:ascii="Arial" w:hAnsi="Arial" w:cs="Arial"/>
          <w:color w:val="000000"/>
          <w:sz w:val="20"/>
          <w:szCs w:val="20"/>
          <w:highlight w:val="yellow"/>
        </w:rPr>
        <w:t>characterised</w:t>
      </w:r>
      <w:r>
        <w:rPr>
          <w:rFonts w:ascii="Arial" w:hAnsi="Arial" w:cs="Arial"/>
          <w:color w:val="000000"/>
          <w:sz w:val="20"/>
          <w:szCs w:val="20"/>
        </w:rPr>
        <w:t xml:space="preserve"> by information asymmetry, where </w:t>
      </w:r>
      <w:r>
        <w:rPr>
          <w:rFonts w:ascii="Arial" w:hAnsi="Arial" w:cs="Arial"/>
          <w:color w:val="000000"/>
          <w:sz w:val="20"/>
          <w:szCs w:val="20"/>
          <w:highlight w:val="yellow"/>
        </w:rPr>
        <w:t>signallers</w:t>
      </w:r>
      <w:r>
        <w:rPr>
          <w:rFonts w:ascii="Arial" w:hAnsi="Arial" w:cs="Arial"/>
          <w:color w:val="000000"/>
          <w:sz w:val="20"/>
          <w:szCs w:val="20"/>
        </w:rPr>
        <w:t xml:space="preserve"> communicate observable information that may convey otherwise unobservable qualities to receivers (Connelly et al., 2011). Recent developments in the theory further </w:t>
      </w:r>
      <w:r>
        <w:rPr>
          <w:rFonts w:ascii="Arial" w:hAnsi="Arial" w:cs="Arial"/>
          <w:color w:val="000000"/>
          <w:sz w:val="20"/>
          <w:szCs w:val="20"/>
          <w:highlight w:val="yellow"/>
        </w:rPr>
        <w:t>emphasise</w:t>
      </w:r>
      <w:r>
        <w:rPr>
          <w:rFonts w:ascii="Arial" w:hAnsi="Arial" w:cs="Arial"/>
          <w:color w:val="000000"/>
          <w:sz w:val="20"/>
          <w:szCs w:val="20"/>
        </w:rPr>
        <w:t xml:space="preserve"> the importance of observable signals in decision-making under incomplete information (Connelly et al., 2025). In this context, </w:t>
      </w:r>
      <w:r>
        <w:rPr>
          <w:rFonts w:ascii="Arial" w:hAnsi="Arial" w:cs="Arial"/>
          <w:color w:val="000000"/>
          <w:sz w:val="20"/>
          <w:szCs w:val="20"/>
          <w:highlight w:val="yellow"/>
        </w:rPr>
        <w:t>MOOC providers were considered signallers, prospective learners were considered receivers, and publicly available course information was considered the signalling environment.</w:t>
      </w:r>
    </w:p>
    <w:p w14:paraId="7C732781" w14:textId="77777777" w:rsidR="004243E6" w:rsidRDefault="004243E6" w:rsidP="004243E6">
      <w:pPr>
        <w:pStyle w:val="NormalWeb"/>
        <w:spacing w:before="0" w:beforeAutospacing="0" w:after="0" w:afterAutospacing="0"/>
      </w:pPr>
      <w:r>
        <w:rPr>
          <w:rFonts w:ascii="Arial" w:hAnsi="Arial" w:cs="Arial"/>
          <w:color w:val="000000"/>
          <w:sz w:val="20"/>
          <w:szCs w:val="20"/>
        </w:rPr>
        <w:t xml:space="preserve">A theory-directed qualitative approach was used, with </w:t>
      </w:r>
      <w:r>
        <w:rPr>
          <w:rFonts w:ascii="Arial" w:hAnsi="Arial" w:cs="Arial"/>
          <w:color w:val="000000"/>
          <w:sz w:val="20"/>
          <w:szCs w:val="20"/>
          <w:highlight w:val="yellow"/>
        </w:rPr>
        <w:t>Signalling</w:t>
      </w:r>
      <w:r>
        <w:rPr>
          <w:rFonts w:ascii="Arial" w:hAnsi="Arial" w:cs="Arial"/>
          <w:color w:val="000000"/>
          <w:sz w:val="20"/>
          <w:szCs w:val="20"/>
        </w:rPr>
        <w:t xml:space="preserve"> Theory guiding the interpretation of observable course information. The analysis focused on identifying how such information communicated credibility, expertise, </w:t>
      </w:r>
      <w:r>
        <w:rPr>
          <w:rFonts w:ascii="Arial" w:hAnsi="Arial" w:cs="Arial"/>
          <w:color w:val="000000"/>
          <w:sz w:val="20"/>
          <w:szCs w:val="20"/>
          <w:highlight w:val="yellow"/>
        </w:rPr>
        <w:t>rigour</w:t>
      </w:r>
      <w:r>
        <w:rPr>
          <w:rFonts w:ascii="Arial" w:hAnsi="Arial" w:cs="Arial"/>
          <w:color w:val="000000"/>
          <w:sz w:val="20"/>
          <w:szCs w:val="20"/>
        </w:rPr>
        <w:t>, and competence or credential value. Detailed analytical categories and coding procedures are presented in the subsequent methodology sections.</w:t>
      </w:r>
    </w:p>
    <w:p w14:paraId="68BF77D2" w14:textId="77777777" w:rsidR="00B57BC1" w:rsidRDefault="00B57BC1" w:rsidP="00B57BC1"/>
    <w:p w14:paraId="1464AC27"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 xml:space="preserve">2.2 </w:t>
      </w:r>
      <w:r w:rsidR="001F3917">
        <w:rPr>
          <w:rFonts w:ascii="Arial" w:hAnsi="Arial" w:cs="Arial"/>
          <w:b/>
          <w:bCs/>
          <w:color w:val="000000"/>
          <w:sz w:val="22"/>
          <w:szCs w:val="22"/>
        </w:rPr>
        <w:t>Course Selection and Sampling</w:t>
      </w:r>
    </w:p>
    <w:p w14:paraId="752D071E" w14:textId="77777777" w:rsidR="00B57BC1" w:rsidRDefault="00B57BC1" w:rsidP="00B57BC1"/>
    <w:p w14:paraId="5B76F784" w14:textId="4F6808E1" w:rsidR="007E7C94" w:rsidRPr="007E7C94" w:rsidRDefault="007E7C94" w:rsidP="007E7C94">
      <w:pPr>
        <w:pStyle w:val="NormalWeb"/>
        <w:spacing w:before="0" w:beforeAutospacing="0" w:after="0" w:afterAutospacing="0"/>
        <w:rPr>
          <w:sz w:val="20"/>
          <w:szCs w:val="20"/>
        </w:rPr>
      </w:pPr>
      <w:r w:rsidRPr="007E7C94">
        <w:rPr>
          <w:rFonts w:ascii="Arial" w:hAnsi="Arial" w:cs="Arial"/>
          <w:color w:val="000000"/>
          <w:sz w:val="20"/>
          <w:szCs w:val="20"/>
        </w:rPr>
        <w:t xml:space="preserve">Purposive, criterion-based sampling was employed to select information-rich MOOC cases for comparative documentary analysis. The sampling frame consisted of the </w:t>
      </w:r>
      <w:r w:rsidRPr="007E7C94">
        <w:rPr>
          <w:rFonts w:ascii="Arial" w:hAnsi="Arial" w:cs="Arial"/>
          <w:i/>
          <w:iCs/>
          <w:color w:val="000000"/>
          <w:sz w:val="20"/>
          <w:szCs w:val="20"/>
        </w:rPr>
        <w:t>100 Most Popular Online Courses (2025 Edition)</w:t>
      </w:r>
      <w:r w:rsidRPr="007E7C94">
        <w:rPr>
          <w:rFonts w:ascii="Arial" w:hAnsi="Arial" w:cs="Arial"/>
          <w:color w:val="000000"/>
          <w:sz w:val="20"/>
          <w:szCs w:val="20"/>
        </w:rPr>
        <w:t xml:space="preserve"> published by Class Central, which identified courses first offered in 2024 and ranked them based on publicly available </w:t>
      </w:r>
      <w:r w:rsidRPr="007E7C94">
        <w:rPr>
          <w:rFonts w:ascii="Arial" w:hAnsi="Arial" w:cs="Arial"/>
          <w:color w:val="000000"/>
          <w:sz w:val="20"/>
          <w:szCs w:val="20"/>
          <w:highlight w:val="yellow"/>
        </w:rPr>
        <w:t>enrolment</w:t>
      </w:r>
      <w:r w:rsidRPr="007E7C94">
        <w:rPr>
          <w:rFonts w:ascii="Arial" w:hAnsi="Arial" w:cs="Arial"/>
          <w:color w:val="000000"/>
          <w:sz w:val="20"/>
          <w:szCs w:val="20"/>
        </w:rPr>
        <w:t xml:space="preserve"> figures. Class Central reviewed 5,300 newly offered courses across Coursera, edX, FutureLearn, and Swayam, collected </w:t>
      </w:r>
      <w:r w:rsidRPr="007E7C94">
        <w:rPr>
          <w:rFonts w:ascii="Arial" w:hAnsi="Arial" w:cs="Arial"/>
          <w:color w:val="000000"/>
          <w:sz w:val="20"/>
          <w:szCs w:val="20"/>
          <w:highlight w:val="yellow"/>
        </w:rPr>
        <w:t>enrolment</w:t>
      </w:r>
      <w:r w:rsidRPr="007E7C94">
        <w:rPr>
          <w:rFonts w:ascii="Arial" w:hAnsi="Arial" w:cs="Arial"/>
          <w:color w:val="000000"/>
          <w:sz w:val="20"/>
          <w:szCs w:val="20"/>
        </w:rPr>
        <w:t xml:space="preserve"> data, and retained the 100 courses with the highest </w:t>
      </w:r>
      <w:r w:rsidRPr="007E7C94">
        <w:rPr>
          <w:rFonts w:ascii="Arial" w:hAnsi="Arial" w:cs="Arial"/>
          <w:color w:val="000000"/>
          <w:sz w:val="20"/>
          <w:szCs w:val="20"/>
          <w:highlight w:val="yellow"/>
        </w:rPr>
        <w:t>enrolment</w:t>
      </w:r>
      <w:r w:rsidRPr="007E7C94">
        <w:rPr>
          <w:rFonts w:ascii="Arial" w:hAnsi="Arial" w:cs="Arial"/>
          <w:color w:val="000000"/>
          <w:sz w:val="20"/>
          <w:szCs w:val="20"/>
        </w:rPr>
        <w:t>. To ensure cross-platform balance, Coursera’s representation in the ranking was limited due to its substantially larger course ecosystem compared to other platforms (</w:t>
      </w:r>
      <w:r w:rsidR="006B1C41" w:rsidRPr="006B1C41">
        <w:rPr>
          <w:rFonts w:ascii="Arial" w:hAnsi="Arial" w:cs="Arial"/>
          <w:color w:val="000000"/>
          <w:sz w:val="20"/>
          <w:szCs w:val="20"/>
        </w:rPr>
        <w:t>Shah</w:t>
      </w:r>
      <w:r w:rsidRPr="007E7C94">
        <w:rPr>
          <w:rFonts w:ascii="Arial" w:hAnsi="Arial" w:cs="Arial"/>
          <w:color w:val="000000"/>
          <w:sz w:val="20"/>
          <w:szCs w:val="20"/>
        </w:rPr>
        <w:t xml:space="preserve">, 2025). This ranking provided a transparent and external basis for identifying highly enrolled courses, rather than relying on researcher-defined </w:t>
      </w:r>
      <w:r w:rsidRPr="007E7C94">
        <w:rPr>
          <w:rFonts w:ascii="Arial" w:hAnsi="Arial" w:cs="Arial"/>
          <w:color w:val="000000"/>
          <w:sz w:val="20"/>
          <w:szCs w:val="20"/>
          <w:highlight w:val="yellow"/>
        </w:rPr>
        <w:t>enrolment</w:t>
      </w:r>
      <w:r w:rsidRPr="007E7C94">
        <w:rPr>
          <w:rFonts w:ascii="Arial" w:hAnsi="Arial" w:cs="Arial"/>
          <w:color w:val="000000"/>
          <w:sz w:val="20"/>
          <w:szCs w:val="20"/>
        </w:rPr>
        <w:t xml:space="preserve"> thresholds. Given that </w:t>
      </w:r>
      <w:r w:rsidRPr="007E7C94">
        <w:rPr>
          <w:rFonts w:ascii="Arial" w:hAnsi="Arial" w:cs="Arial"/>
          <w:color w:val="000000"/>
          <w:sz w:val="20"/>
          <w:szCs w:val="20"/>
          <w:highlight w:val="yellow"/>
        </w:rPr>
        <w:t>enrolment</w:t>
      </w:r>
      <w:r w:rsidRPr="007E7C94">
        <w:rPr>
          <w:rFonts w:ascii="Arial" w:hAnsi="Arial" w:cs="Arial"/>
          <w:color w:val="000000"/>
          <w:sz w:val="20"/>
          <w:szCs w:val="20"/>
        </w:rPr>
        <w:t xml:space="preserve"> information on course platforms may change over time, inclusion in Class Central’s 2025 ranking, rather than current Coursera </w:t>
      </w:r>
      <w:r w:rsidRPr="007E7C94">
        <w:rPr>
          <w:rFonts w:ascii="Arial" w:hAnsi="Arial" w:cs="Arial"/>
          <w:color w:val="000000"/>
          <w:sz w:val="20"/>
          <w:szCs w:val="20"/>
          <w:highlight w:val="yellow"/>
        </w:rPr>
        <w:t>enrolment</w:t>
      </w:r>
      <w:r w:rsidRPr="007E7C94">
        <w:rPr>
          <w:rFonts w:ascii="Arial" w:hAnsi="Arial" w:cs="Arial"/>
          <w:color w:val="000000"/>
          <w:sz w:val="20"/>
          <w:szCs w:val="20"/>
        </w:rPr>
        <w:t xml:space="preserve"> figures, served as the basis for identifying highly enrolled MOOCs.</w:t>
      </w:r>
    </w:p>
    <w:p w14:paraId="7E027943" w14:textId="4DFB42EB" w:rsidR="007E7C94" w:rsidRPr="007E7C94" w:rsidRDefault="007E7C94" w:rsidP="007E7C94">
      <w:pPr>
        <w:pStyle w:val="NormalWeb"/>
        <w:spacing w:before="0" w:beforeAutospacing="0" w:after="0" w:afterAutospacing="0"/>
        <w:rPr>
          <w:sz w:val="20"/>
          <w:szCs w:val="20"/>
        </w:rPr>
      </w:pPr>
      <w:r w:rsidRPr="007E7C94">
        <w:rPr>
          <w:rFonts w:ascii="Arial" w:hAnsi="Arial" w:cs="Arial"/>
          <w:color w:val="000000"/>
          <w:sz w:val="20"/>
          <w:szCs w:val="20"/>
        </w:rPr>
        <w:t xml:space="preserve">Coursera was selected as the platform for the comparative sample because it offers a unified environment in which both universities and industry </w:t>
      </w:r>
      <w:r w:rsidRPr="007E7C94">
        <w:rPr>
          <w:rFonts w:ascii="Arial" w:hAnsi="Arial" w:cs="Arial"/>
          <w:color w:val="000000"/>
          <w:sz w:val="20"/>
          <w:szCs w:val="20"/>
          <w:highlight w:val="yellow"/>
        </w:rPr>
        <w:t>organisations</w:t>
      </w:r>
      <w:r w:rsidRPr="007E7C94">
        <w:rPr>
          <w:rFonts w:ascii="Arial" w:hAnsi="Arial" w:cs="Arial"/>
          <w:color w:val="000000"/>
          <w:sz w:val="20"/>
          <w:szCs w:val="20"/>
        </w:rPr>
        <w:t xml:space="preserve"> provide online courses. Its partnership ecosystem explicitly includes both university and industry partners, enabling examination of provider type while holding the platform context constant </w:t>
      </w:r>
      <w:r w:rsidRPr="007E7C94">
        <w:rPr>
          <w:rFonts w:ascii="Arial" w:hAnsi="Arial" w:cs="Arial"/>
          <w:color w:val="000000"/>
          <w:sz w:val="20"/>
          <w:szCs w:val="20"/>
          <w:highlight w:val="yellow"/>
        </w:rPr>
        <w:t xml:space="preserve">(Coursera, </w:t>
      </w:r>
      <w:r w:rsidR="006B1C41" w:rsidRPr="006B1C41">
        <w:rPr>
          <w:rFonts w:ascii="Arial" w:hAnsi="Arial" w:cs="Arial"/>
          <w:color w:val="000000"/>
          <w:sz w:val="20"/>
          <w:szCs w:val="20"/>
        </w:rPr>
        <w:t>n.d.</w:t>
      </w:r>
      <w:r w:rsidRPr="007E7C94">
        <w:rPr>
          <w:rFonts w:ascii="Arial" w:hAnsi="Arial" w:cs="Arial"/>
          <w:color w:val="000000"/>
          <w:sz w:val="20"/>
          <w:szCs w:val="20"/>
          <w:highlight w:val="yellow"/>
        </w:rPr>
        <w:t>)</w:t>
      </w:r>
      <w:r w:rsidRPr="007E7C94">
        <w:rPr>
          <w:rFonts w:ascii="Arial" w:hAnsi="Arial" w:cs="Arial"/>
          <w:color w:val="000000"/>
          <w:sz w:val="20"/>
          <w:szCs w:val="20"/>
        </w:rPr>
        <w:t xml:space="preserve">. This approach reduces the likelihood that observed differences between provider groups are attributable to platform-specific factors rather than to provider </w:t>
      </w:r>
      <w:r w:rsidRPr="007E7C94">
        <w:rPr>
          <w:rFonts w:ascii="Arial" w:hAnsi="Arial" w:cs="Arial"/>
          <w:color w:val="000000"/>
          <w:sz w:val="20"/>
          <w:szCs w:val="20"/>
          <w:highlight w:val="yellow"/>
        </w:rPr>
        <w:t>organisations</w:t>
      </w:r>
      <w:r w:rsidRPr="007E7C94">
        <w:rPr>
          <w:rFonts w:ascii="Arial" w:hAnsi="Arial" w:cs="Arial"/>
          <w:color w:val="000000"/>
          <w:sz w:val="20"/>
          <w:szCs w:val="20"/>
        </w:rPr>
        <w:t>. Additionally, Coursera provides extensive public course information, including provider, instructor, course description, learning activities, skills, and credential details, making its course pages suitable for documentary analysis.</w:t>
      </w:r>
    </w:p>
    <w:p w14:paraId="3FF2F846" w14:textId="381D3A6A" w:rsidR="007E7C94" w:rsidRPr="007E7C94" w:rsidRDefault="007E7C94" w:rsidP="007E7C94">
      <w:pPr>
        <w:pStyle w:val="NormalWeb"/>
        <w:spacing w:before="0" w:beforeAutospacing="0" w:after="0" w:afterAutospacing="0"/>
        <w:rPr>
          <w:sz w:val="20"/>
          <w:szCs w:val="20"/>
        </w:rPr>
      </w:pPr>
      <w:r w:rsidRPr="007E7C94">
        <w:rPr>
          <w:rFonts w:ascii="Arial" w:hAnsi="Arial" w:cs="Arial"/>
          <w:color w:val="000000"/>
          <w:sz w:val="20"/>
          <w:szCs w:val="20"/>
        </w:rPr>
        <w:lastRenderedPageBreak/>
        <w:t xml:space="preserve">University-provided and industry-provided MOOCs were deliberately compared because they represent distinct types of </w:t>
      </w:r>
      <w:r w:rsidRPr="007E7C94">
        <w:rPr>
          <w:rFonts w:ascii="Arial" w:hAnsi="Arial" w:cs="Arial"/>
          <w:color w:val="000000"/>
          <w:sz w:val="20"/>
          <w:szCs w:val="20"/>
          <w:highlight w:val="yellow"/>
        </w:rPr>
        <w:t>signallers</w:t>
      </w:r>
      <w:r w:rsidRPr="007E7C94">
        <w:rPr>
          <w:rFonts w:ascii="Arial" w:hAnsi="Arial" w:cs="Arial"/>
          <w:color w:val="000000"/>
          <w:sz w:val="20"/>
          <w:szCs w:val="20"/>
        </w:rPr>
        <w:t xml:space="preserve"> within the same learning environment. Universities convey academic and institutional authority, while industry </w:t>
      </w:r>
      <w:r w:rsidRPr="007E7C94">
        <w:rPr>
          <w:rFonts w:ascii="Arial" w:hAnsi="Arial" w:cs="Arial"/>
          <w:color w:val="000000"/>
          <w:sz w:val="20"/>
          <w:szCs w:val="20"/>
          <w:highlight w:val="yellow"/>
        </w:rPr>
        <w:t>organisations</w:t>
      </w:r>
      <w:r w:rsidRPr="007E7C94">
        <w:rPr>
          <w:rFonts w:ascii="Arial" w:hAnsi="Arial" w:cs="Arial"/>
          <w:color w:val="000000"/>
          <w:sz w:val="20"/>
          <w:szCs w:val="20"/>
        </w:rPr>
        <w:t xml:space="preserve"> communicate professional, technological, or workplace-oriented authority. Coursera maintains separate university and industry partnership models, supporting the analytical distinction between these provider types </w:t>
      </w:r>
      <w:r w:rsidRPr="007E7C94">
        <w:rPr>
          <w:rFonts w:ascii="Arial" w:hAnsi="Arial" w:cs="Arial"/>
          <w:color w:val="000000"/>
          <w:sz w:val="20"/>
          <w:szCs w:val="20"/>
          <w:highlight w:val="yellow"/>
        </w:rPr>
        <w:t xml:space="preserve">(Coursera, </w:t>
      </w:r>
      <w:r w:rsidR="006B1C41" w:rsidRPr="006B1C41">
        <w:rPr>
          <w:rFonts w:ascii="Arial" w:hAnsi="Arial" w:cs="Arial"/>
          <w:color w:val="000000"/>
          <w:sz w:val="20"/>
          <w:szCs w:val="20"/>
        </w:rPr>
        <w:t>n.d.</w:t>
      </w:r>
      <w:r w:rsidRPr="007E7C94">
        <w:rPr>
          <w:rFonts w:ascii="Arial" w:hAnsi="Arial" w:cs="Arial"/>
          <w:color w:val="000000"/>
          <w:sz w:val="20"/>
          <w:szCs w:val="20"/>
          <w:highlight w:val="yellow"/>
        </w:rPr>
        <w:t>)</w:t>
      </w:r>
      <w:r w:rsidRPr="007E7C94">
        <w:rPr>
          <w:rFonts w:ascii="Arial" w:hAnsi="Arial" w:cs="Arial"/>
          <w:color w:val="000000"/>
          <w:sz w:val="20"/>
          <w:szCs w:val="20"/>
        </w:rPr>
        <w:t xml:space="preserve">. This comparison enables examination of whether different </w:t>
      </w:r>
      <w:r w:rsidRPr="007E7C94">
        <w:rPr>
          <w:rFonts w:ascii="Arial" w:hAnsi="Arial" w:cs="Arial"/>
          <w:color w:val="000000"/>
          <w:sz w:val="20"/>
          <w:szCs w:val="20"/>
          <w:highlight w:val="yellow"/>
        </w:rPr>
        <w:t>organisational</w:t>
      </w:r>
      <w:r w:rsidRPr="007E7C94">
        <w:rPr>
          <w:rFonts w:ascii="Arial" w:hAnsi="Arial" w:cs="Arial"/>
          <w:color w:val="000000"/>
          <w:sz w:val="20"/>
          <w:szCs w:val="20"/>
        </w:rPr>
        <w:t xml:space="preserve"> identities are associated with distinct observable </w:t>
      </w:r>
      <w:r w:rsidRPr="007E7C94">
        <w:rPr>
          <w:rFonts w:ascii="Arial" w:hAnsi="Arial" w:cs="Arial"/>
          <w:color w:val="000000"/>
          <w:sz w:val="20"/>
          <w:szCs w:val="20"/>
          <w:highlight w:val="yellow"/>
        </w:rPr>
        <w:t>signalling</w:t>
      </w:r>
      <w:r w:rsidRPr="007E7C94">
        <w:rPr>
          <w:rFonts w:ascii="Arial" w:hAnsi="Arial" w:cs="Arial"/>
          <w:color w:val="000000"/>
          <w:sz w:val="20"/>
          <w:szCs w:val="20"/>
        </w:rPr>
        <w:t xml:space="preserve"> patterns, without treating provider type itself as a signal.</w:t>
      </w:r>
    </w:p>
    <w:p w14:paraId="672B75DC" w14:textId="77777777" w:rsidR="007E7C94" w:rsidRPr="007E7C94" w:rsidRDefault="007E7C94" w:rsidP="007E7C94">
      <w:pPr>
        <w:pStyle w:val="NormalWeb"/>
        <w:spacing w:before="0" w:beforeAutospacing="0" w:after="0" w:afterAutospacing="0"/>
        <w:rPr>
          <w:sz w:val="20"/>
          <w:szCs w:val="20"/>
        </w:rPr>
      </w:pPr>
      <w:r w:rsidRPr="007E7C94">
        <w:rPr>
          <w:rFonts w:ascii="Arial" w:hAnsi="Arial" w:cs="Arial"/>
          <w:color w:val="000000"/>
          <w:sz w:val="20"/>
          <w:szCs w:val="20"/>
        </w:rPr>
        <w:t>Cases were eligible if they (1) appeared in Class Central’s 2025 Top 100 ranking, (2) were first offered in 2024, (3) were available through Coursera, (4) represented an individual MOOC rather than a Specialization or course series, (5) could be clearly classified as university- or industry-provided, and (6) had publicly accessible course information sufficient for documentary analysis. Application of these criteria resulted in 10 cases: five university-provided and five industry-provided MOOCs. Google AI Essentials, although ranked first by Class Central, was excluded because its current Coursera offering is structured as a Specialization rather than an individual MOOC.</w:t>
      </w:r>
    </w:p>
    <w:p w14:paraId="0955705C" w14:textId="77777777" w:rsidR="00C82F85" w:rsidRPr="00C82F85" w:rsidRDefault="00C82F85" w:rsidP="007E7C94">
      <w:pPr>
        <w:pStyle w:val="NormalWeb"/>
        <w:spacing w:before="0" w:beforeAutospacing="0" w:after="0" w:afterAutospacing="0"/>
        <w:rPr>
          <w:rFonts w:ascii="Arial" w:hAnsi="Arial" w:cs="Arial"/>
          <w:sz w:val="20"/>
          <w:szCs w:val="20"/>
        </w:rPr>
      </w:pPr>
      <w:r w:rsidRPr="00C82F85">
        <w:rPr>
          <w:rFonts w:ascii="Arial" w:hAnsi="Arial" w:cs="Arial"/>
          <w:sz w:val="20"/>
          <w:szCs w:val="20"/>
        </w:rPr>
        <w:t xml:space="preserve">The sample was deliberately limited to 10 cases to facilitate in-depth documentary examination while maintaining a balanced comparative structure. Rather than seeking statistical representation or a predetermined numerical sample size, the study </w:t>
      </w:r>
      <w:r w:rsidRPr="00C82F85">
        <w:rPr>
          <w:rFonts w:ascii="Arial" w:hAnsi="Arial" w:cs="Arial"/>
          <w:sz w:val="20"/>
          <w:szCs w:val="20"/>
          <w:highlight w:val="yellow"/>
        </w:rPr>
        <w:t>prioritised</w:t>
      </w:r>
      <w:r w:rsidRPr="00C82F85">
        <w:rPr>
          <w:rFonts w:ascii="Arial" w:hAnsi="Arial" w:cs="Arial"/>
          <w:sz w:val="20"/>
          <w:szCs w:val="20"/>
        </w:rPr>
        <w:t xml:space="preserve"> information-rich cases that met all eligibility criteria and provided sufficient publicly accessible material for analysis. Five cases were selected from each provider group to establish comparative symmetry for examining within-group patterns and differences between university- and industry-provided MOOCs. This balance was analytically important because the third research question explicitly compares </w:t>
      </w:r>
      <w:r w:rsidRPr="00C82F85">
        <w:rPr>
          <w:rFonts w:ascii="Arial" w:hAnsi="Arial" w:cs="Arial"/>
          <w:sz w:val="20"/>
          <w:szCs w:val="20"/>
          <w:highlight w:val="yellow"/>
        </w:rPr>
        <w:t>signalling</w:t>
      </w:r>
      <w:r w:rsidRPr="00C82F85">
        <w:rPr>
          <w:rFonts w:ascii="Arial" w:hAnsi="Arial" w:cs="Arial"/>
          <w:sz w:val="20"/>
          <w:szCs w:val="20"/>
        </w:rPr>
        <w:t xml:space="preserve"> patterns between the two provider types. The final sample was therefore designed for analytical depth and comparative symmetry, rather than statistical </w:t>
      </w:r>
      <w:r w:rsidRPr="00C82F85">
        <w:rPr>
          <w:rFonts w:ascii="Arial" w:hAnsi="Arial" w:cs="Arial"/>
          <w:sz w:val="20"/>
          <w:szCs w:val="20"/>
          <w:highlight w:val="yellow"/>
        </w:rPr>
        <w:t>generalisation</w:t>
      </w:r>
      <w:r w:rsidRPr="00C82F85">
        <w:rPr>
          <w:rFonts w:ascii="Arial" w:hAnsi="Arial" w:cs="Arial"/>
          <w:sz w:val="20"/>
          <w:szCs w:val="20"/>
        </w:rPr>
        <w:t xml:space="preserve"> to all MOOCs or all Coursera courses.</w:t>
      </w:r>
    </w:p>
    <w:p w14:paraId="2DC4416E" w14:textId="77777777" w:rsidR="007E7C94" w:rsidRDefault="007E7C94" w:rsidP="007E7C94">
      <w:pPr>
        <w:pStyle w:val="NormalWeb"/>
        <w:spacing w:before="0" w:beforeAutospacing="0" w:after="0" w:afterAutospacing="0"/>
        <w:rPr>
          <w:rFonts w:ascii="Arial" w:hAnsi="Arial" w:cs="Arial"/>
          <w:color w:val="000000"/>
          <w:sz w:val="20"/>
          <w:szCs w:val="20"/>
        </w:rPr>
      </w:pPr>
    </w:p>
    <w:p w14:paraId="5D0EE1CA" w14:textId="77777777" w:rsidR="007E7C94" w:rsidRDefault="007E7C94" w:rsidP="007E7C94">
      <w:pPr>
        <w:pStyle w:val="NormalWeb"/>
        <w:spacing w:before="0" w:beforeAutospacing="0" w:after="0" w:afterAutospacing="0"/>
        <w:jc w:val="center"/>
        <w:rPr>
          <w:rFonts w:ascii="Arial" w:hAnsi="Arial" w:cs="Arial"/>
          <w:color w:val="000000"/>
          <w:sz w:val="20"/>
          <w:szCs w:val="20"/>
        </w:rPr>
      </w:pPr>
      <w:r>
        <w:rPr>
          <w:rFonts w:ascii="Arial" w:hAnsi="Arial" w:cs="Arial"/>
          <w:b/>
          <w:bCs/>
          <w:color w:val="000000"/>
          <w:sz w:val="20"/>
          <w:szCs w:val="20"/>
        </w:rPr>
        <w:t>Table 1. Selected MOOCs Included in the Documentary Analysis</w:t>
      </w:r>
    </w:p>
    <w:p w14:paraId="1EF8F181" w14:textId="77777777" w:rsidR="007E7C94" w:rsidRDefault="007E7C94" w:rsidP="007E7C94">
      <w:pPr>
        <w:pStyle w:val="NormalWeb"/>
        <w:spacing w:before="0" w:beforeAutospacing="0" w:after="0" w:afterAutospacing="0"/>
        <w:rPr>
          <w:rFonts w:ascii="Arial" w:hAnsi="Arial" w:cs="Arial"/>
          <w:color w:val="000000"/>
          <w:sz w:val="20"/>
          <w:szCs w:val="20"/>
        </w:rPr>
      </w:pPr>
    </w:p>
    <w:tbl>
      <w:tblPr>
        <w:tblW w:w="9270" w:type="dxa"/>
        <w:jc w:val="center"/>
        <w:tblCellMar>
          <w:top w:w="15" w:type="dxa"/>
          <w:left w:w="15" w:type="dxa"/>
          <w:bottom w:w="15" w:type="dxa"/>
          <w:right w:w="15" w:type="dxa"/>
        </w:tblCellMar>
        <w:tblLook w:val="04A0" w:firstRow="1" w:lastRow="0" w:firstColumn="1" w:lastColumn="0" w:noHBand="0" w:noVBand="1"/>
      </w:tblPr>
      <w:tblGrid>
        <w:gridCol w:w="1635"/>
        <w:gridCol w:w="1617"/>
        <w:gridCol w:w="2813"/>
        <w:gridCol w:w="3205"/>
      </w:tblGrid>
      <w:tr w:rsidR="007E7C94" w14:paraId="44A9EB34" w14:textId="77777777" w:rsidTr="007E7C94">
        <w:trPr>
          <w:trHeight w:val="14"/>
          <w:jc w:val="center"/>
        </w:trPr>
        <w:tc>
          <w:tcPr>
            <w:tcW w:w="1635" w:type="dxa"/>
            <w:tcBorders>
              <w:top w:val="single" w:sz="4" w:space="0" w:color="auto"/>
              <w:bottom w:val="single" w:sz="4" w:space="0" w:color="auto"/>
            </w:tcBorders>
            <w:tcMar>
              <w:top w:w="100" w:type="dxa"/>
              <w:left w:w="100" w:type="dxa"/>
              <w:bottom w:w="100" w:type="dxa"/>
              <w:right w:w="100" w:type="dxa"/>
            </w:tcMar>
            <w:hideMark/>
          </w:tcPr>
          <w:p w14:paraId="4F55A3A6" w14:textId="77777777" w:rsidR="007E7C94" w:rsidRDefault="007E7C94" w:rsidP="007E7C94">
            <w:pPr>
              <w:pStyle w:val="NormalWeb"/>
              <w:spacing w:before="0" w:beforeAutospacing="0" w:after="0" w:afterAutospacing="0"/>
            </w:pPr>
            <w:r>
              <w:rPr>
                <w:rFonts w:ascii="Arial" w:hAnsi="Arial" w:cs="Arial"/>
                <w:b/>
                <w:bCs/>
                <w:color w:val="000000"/>
                <w:sz w:val="20"/>
                <w:szCs w:val="20"/>
              </w:rPr>
              <w:t>Provider Type</w:t>
            </w:r>
          </w:p>
        </w:tc>
        <w:tc>
          <w:tcPr>
            <w:tcW w:w="0" w:type="auto"/>
            <w:tcBorders>
              <w:top w:val="single" w:sz="4" w:space="0" w:color="auto"/>
              <w:bottom w:val="single" w:sz="4" w:space="0" w:color="auto"/>
            </w:tcBorders>
            <w:tcMar>
              <w:top w:w="100" w:type="dxa"/>
              <w:left w:w="100" w:type="dxa"/>
              <w:bottom w:w="100" w:type="dxa"/>
              <w:right w:w="100" w:type="dxa"/>
            </w:tcMar>
            <w:hideMark/>
          </w:tcPr>
          <w:p w14:paraId="23740394" w14:textId="77777777" w:rsidR="007E7C94" w:rsidRDefault="007E7C94" w:rsidP="007E7C94">
            <w:pPr>
              <w:pStyle w:val="NormalWeb"/>
              <w:spacing w:before="0" w:beforeAutospacing="0" w:after="0" w:afterAutospacing="0"/>
            </w:pPr>
            <w:r>
              <w:rPr>
                <w:rFonts w:ascii="Arial" w:hAnsi="Arial" w:cs="Arial"/>
                <w:b/>
                <w:bCs/>
                <w:color w:val="000000"/>
                <w:sz w:val="20"/>
                <w:szCs w:val="20"/>
              </w:rPr>
              <w:t>Provider</w:t>
            </w:r>
          </w:p>
        </w:tc>
        <w:tc>
          <w:tcPr>
            <w:tcW w:w="0" w:type="auto"/>
            <w:tcBorders>
              <w:top w:val="single" w:sz="4" w:space="0" w:color="auto"/>
              <w:bottom w:val="single" w:sz="4" w:space="0" w:color="auto"/>
            </w:tcBorders>
            <w:tcMar>
              <w:top w:w="100" w:type="dxa"/>
              <w:left w:w="100" w:type="dxa"/>
              <w:bottom w:w="100" w:type="dxa"/>
              <w:right w:w="100" w:type="dxa"/>
            </w:tcMar>
            <w:hideMark/>
          </w:tcPr>
          <w:p w14:paraId="34BA0A4D" w14:textId="77777777" w:rsidR="007E7C94" w:rsidRDefault="007E7C94" w:rsidP="007E7C94">
            <w:pPr>
              <w:pStyle w:val="NormalWeb"/>
              <w:spacing w:before="0" w:beforeAutospacing="0" w:after="0" w:afterAutospacing="0"/>
            </w:pPr>
            <w:r>
              <w:rPr>
                <w:rFonts w:ascii="Arial" w:hAnsi="Arial" w:cs="Arial"/>
                <w:b/>
                <w:bCs/>
                <w:color w:val="000000"/>
                <w:sz w:val="20"/>
                <w:szCs w:val="20"/>
              </w:rPr>
              <w:t>Selected MOOC</w:t>
            </w:r>
          </w:p>
        </w:tc>
        <w:tc>
          <w:tcPr>
            <w:tcW w:w="3205" w:type="dxa"/>
            <w:tcBorders>
              <w:top w:val="single" w:sz="4" w:space="0" w:color="auto"/>
              <w:bottom w:val="single" w:sz="4" w:space="0" w:color="auto"/>
            </w:tcBorders>
            <w:tcMar>
              <w:top w:w="100" w:type="dxa"/>
              <w:left w:w="100" w:type="dxa"/>
              <w:bottom w:w="100" w:type="dxa"/>
              <w:right w:w="100" w:type="dxa"/>
            </w:tcMar>
            <w:hideMark/>
          </w:tcPr>
          <w:p w14:paraId="6029F507" w14:textId="77777777" w:rsidR="007E7C94" w:rsidRDefault="007E7C94" w:rsidP="007E7C94">
            <w:pPr>
              <w:pStyle w:val="NormalWeb"/>
              <w:spacing w:before="0" w:beforeAutospacing="0" w:after="0" w:afterAutospacing="0"/>
            </w:pPr>
            <w:r>
              <w:rPr>
                <w:rFonts w:ascii="Arial" w:hAnsi="Arial" w:cs="Arial"/>
                <w:b/>
                <w:bCs/>
                <w:color w:val="000000"/>
                <w:sz w:val="20"/>
                <w:szCs w:val="20"/>
              </w:rPr>
              <w:t>Domain</w:t>
            </w:r>
          </w:p>
        </w:tc>
      </w:tr>
      <w:tr w:rsidR="007E7C94" w14:paraId="478E76F6" w14:textId="77777777" w:rsidTr="007E7C94">
        <w:trPr>
          <w:trHeight w:val="340"/>
          <w:jc w:val="center"/>
        </w:trPr>
        <w:tc>
          <w:tcPr>
            <w:tcW w:w="1635" w:type="dxa"/>
            <w:tcBorders>
              <w:top w:val="single" w:sz="4" w:space="0" w:color="auto"/>
            </w:tcBorders>
            <w:tcMar>
              <w:top w:w="100" w:type="dxa"/>
              <w:left w:w="100" w:type="dxa"/>
              <w:bottom w:w="100" w:type="dxa"/>
              <w:right w:w="100" w:type="dxa"/>
            </w:tcMar>
            <w:hideMark/>
          </w:tcPr>
          <w:p w14:paraId="45B105AE" w14:textId="77777777" w:rsidR="007E7C94" w:rsidRDefault="007E7C94" w:rsidP="007E7C94">
            <w:pPr>
              <w:pStyle w:val="NormalWeb"/>
              <w:spacing w:before="0" w:beforeAutospacing="0" w:after="0" w:afterAutospacing="0"/>
            </w:pPr>
            <w:r>
              <w:rPr>
                <w:rFonts w:ascii="Arial" w:hAnsi="Arial" w:cs="Arial"/>
                <w:color w:val="000000"/>
                <w:sz w:val="20"/>
                <w:szCs w:val="20"/>
              </w:rPr>
              <w:t>University</w:t>
            </w:r>
          </w:p>
        </w:tc>
        <w:tc>
          <w:tcPr>
            <w:tcW w:w="0" w:type="auto"/>
            <w:tcBorders>
              <w:top w:val="single" w:sz="4" w:space="0" w:color="auto"/>
            </w:tcBorders>
            <w:tcMar>
              <w:top w:w="100" w:type="dxa"/>
              <w:left w:w="100" w:type="dxa"/>
              <w:bottom w:w="100" w:type="dxa"/>
              <w:right w:w="100" w:type="dxa"/>
            </w:tcMar>
            <w:hideMark/>
          </w:tcPr>
          <w:p w14:paraId="3333AB3E" w14:textId="77777777" w:rsidR="007E7C94" w:rsidRDefault="007E7C94" w:rsidP="007E7C94">
            <w:pPr>
              <w:pStyle w:val="NormalWeb"/>
              <w:spacing w:before="0" w:beforeAutospacing="0" w:after="0" w:afterAutospacing="0"/>
            </w:pPr>
            <w:r>
              <w:rPr>
                <w:rFonts w:ascii="Arial" w:hAnsi="Arial" w:cs="Arial"/>
                <w:color w:val="000000"/>
                <w:sz w:val="20"/>
                <w:szCs w:val="20"/>
              </w:rPr>
              <w:t>Howard University</w:t>
            </w:r>
          </w:p>
        </w:tc>
        <w:tc>
          <w:tcPr>
            <w:tcW w:w="0" w:type="auto"/>
            <w:tcBorders>
              <w:top w:val="single" w:sz="4" w:space="0" w:color="auto"/>
            </w:tcBorders>
            <w:tcMar>
              <w:top w:w="100" w:type="dxa"/>
              <w:left w:w="100" w:type="dxa"/>
              <w:bottom w:w="100" w:type="dxa"/>
              <w:right w:w="100" w:type="dxa"/>
            </w:tcMar>
            <w:hideMark/>
          </w:tcPr>
          <w:p w14:paraId="603D4ADB" w14:textId="77777777" w:rsidR="007E7C94" w:rsidRDefault="007E7C94" w:rsidP="007E7C94">
            <w:pPr>
              <w:pStyle w:val="NormalWeb"/>
              <w:spacing w:before="0" w:beforeAutospacing="0" w:after="0" w:afterAutospacing="0"/>
            </w:pPr>
            <w:r>
              <w:rPr>
                <w:rFonts w:ascii="Arial" w:hAnsi="Arial" w:cs="Arial"/>
                <w:i/>
                <w:iCs/>
                <w:color w:val="000000"/>
                <w:sz w:val="20"/>
                <w:szCs w:val="20"/>
              </w:rPr>
              <w:t>Project Management Essentials</w:t>
            </w:r>
          </w:p>
        </w:tc>
        <w:tc>
          <w:tcPr>
            <w:tcW w:w="3205" w:type="dxa"/>
            <w:tcBorders>
              <w:top w:val="single" w:sz="4" w:space="0" w:color="auto"/>
            </w:tcBorders>
            <w:tcMar>
              <w:top w:w="100" w:type="dxa"/>
              <w:left w:w="100" w:type="dxa"/>
              <w:bottom w:w="100" w:type="dxa"/>
              <w:right w:w="100" w:type="dxa"/>
            </w:tcMar>
            <w:hideMark/>
          </w:tcPr>
          <w:p w14:paraId="2A6D8B87" w14:textId="77777777" w:rsidR="007E7C94" w:rsidRDefault="007E7C94" w:rsidP="007E7C94">
            <w:pPr>
              <w:pStyle w:val="NormalWeb"/>
              <w:spacing w:before="0" w:beforeAutospacing="0" w:after="0" w:afterAutospacing="0"/>
            </w:pPr>
            <w:r>
              <w:rPr>
                <w:rFonts w:ascii="Arial" w:hAnsi="Arial" w:cs="Arial"/>
                <w:color w:val="000000"/>
                <w:sz w:val="20"/>
                <w:szCs w:val="20"/>
              </w:rPr>
              <w:t>Business/Management</w:t>
            </w:r>
          </w:p>
        </w:tc>
      </w:tr>
      <w:tr w:rsidR="007E7C94" w14:paraId="0C5FF359" w14:textId="77777777" w:rsidTr="007E7C94">
        <w:trPr>
          <w:trHeight w:val="385"/>
          <w:jc w:val="center"/>
        </w:trPr>
        <w:tc>
          <w:tcPr>
            <w:tcW w:w="1635" w:type="dxa"/>
            <w:tcMar>
              <w:top w:w="100" w:type="dxa"/>
              <w:left w:w="100" w:type="dxa"/>
              <w:bottom w:w="100" w:type="dxa"/>
              <w:right w:w="100" w:type="dxa"/>
            </w:tcMar>
            <w:hideMark/>
          </w:tcPr>
          <w:p w14:paraId="3F7688B2" w14:textId="77777777" w:rsidR="007E7C94" w:rsidRDefault="007E7C94" w:rsidP="007E7C94">
            <w:pPr>
              <w:pStyle w:val="NormalWeb"/>
              <w:spacing w:before="0" w:beforeAutospacing="0" w:after="0" w:afterAutospacing="0"/>
            </w:pPr>
            <w:r>
              <w:rPr>
                <w:rFonts w:ascii="Arial" w:hAnsi="Arial" w:cs="Arial"/>
                <w:color w:val="000000"/>
                <w:sz w:val="20"/>
                <w:szCs w:val="20"/>
              </w:rPr>
              <w:t>University</w:t>
            </w:r>
          </w:p>
        </w:tc>
        <w:tc>
          <w:tcPr>
            <w:tcW w:w="0" w:type="auto"/>
            <w:tcMar>
              <w:top w:w="100" w:type="dxa"/>
              <w:left w:w="100" w:type="dxa"/>
              <w:bottom w:w="100" w:type="dxa"/>
              <w:right w:w="100" w:type="dxa"/>
            </w:tcMar>
            <w:hideMark/>
          </w:tcPr>
          <w:p w14:paraId="4166D986" w14:textId="77777777" w:rsidR="007E7C94" w:rsidRDefault="007E7C94" w:rsidP="007E7C94">
            <w:pPr>
              <w:pStyle w:val="NormalWeb"/>
              <w:spacing w:before="0" w:beforeAutospacing="0" w:after="0" w:afterAutospacing="0"/>
            </w:pPr>
            <w:r>
              <w:rPr>
                <w:rFonts w:ascii="Arial" w:hAnsi="Arial" w:cs="Arial"/>
                <w:color w:val="000000"/>
                <w:sz w:val="20"/>
                <w:szCs w:val="20"/>
              </w:rPr>
              <w:t>Rice University</w:t>
            </w:r>
          </w:p>
        </w:tc>
        <w:tc>
          <w:tcPr>
            <w:tcW w:w="0" w:type="auto"/>
            <w:tcMar>
              <w:top w:w="100" w:type="dxa"/>
              <w:left w:w="100" w:type="dxa"/>
              <w:bottom w:w="100" w:type="dxa"/>
              <w:right w:w="100" w:type="dxa"/>
            </w:tcMar>
            <w:hideMark/>
          </w:tcPr>
          <w:p w14:paraId="21B3C0C0" w14:textId="77777777" w:rsidR="007E7C94" w:rsidRDefault="007E7C94" w:rsidP="007E7C94">
            <w:pPr>
              <w:pStyle w:val="NormalWeb"/>
              <w:spacing w:before="0" w:beforeAutospacing="0" w:after="0" w:afterAutospacing="0"/>
            </w:pPr>
            <w:r>
              <w:rPr>
                <w:rFonts w:ascii="Arial" w:hAnsi="Arial" w:cs="Arial"/>
                <w:i/>
                <w:iCs/>
                <w:color w:val="000000"/>
                <w:sz w:val="20"/>
                <w:szCs w:val="20"/>
              </w:rPr>
              <w:t>Fundamentals of Immunology: Complement, MHC I and II, T Cells, and Cytokines</w:t>
            </w:r>
          </w:p>
        </w:tc>
        <w:tc>
          <w:tcPr>
            <w:tcW w:w="3205" w:type="dxa"/>
            <w:tcMar>
              <w:top w:w="100" w:type="dxa"/>
              <w:left w:w="100" w:type="dxa"/>
              <w:bottom w:w="100" w:type="dxa"/>
              <w:right w:w="100" w:type="dxa"/>
            </w:tcMar>
            <w:hideMark/>
          </w:tcPr>
          <w:p w14:paraId="07F63BC7" w14:textId="77777777" w:rsidR="007E7C94" w:rsidRDefault="007E7C94" w:rsidP="007E7C94">
            <w:pPr>
              <w:pStyle w:val="NormalWeb"/>
              <w:spacing w:before="0" w:beforeAutospacing="0" w:after="0" w:afterAutospacing="0"/>
            </w:pPr>
            <w:r>
              <w:rPr>
                <w:rFonts w:ascii="Arial" w:hAnsi="Arial" w:cs="Arial"/>
                <w:color w:val="000000"/>
                <w:sz w:val="20"/>
                <w:szCs w:val="20"/>
              </w:rPr>
              <w:t>Health/Medicine</w:t>
            </w:r>
          </w:p>
        </w:tc>
      </w:tr>
      <w:tr w:rsidR="007E7C94" w14:paraId="4D414429" w14:textId="77777777" w:rsidTr="007E7C94">
        <w:trPr>
          <w:trHeight w:val="160"/>
          <w:jc w:val="center"/>
        </w:trPr>
        <w:tc>
          <w:tcPr>
            <w:tcW w:w="1635" w:type="dxa"/>
            <w:tcMar>
              <w:top w:w="100" w:type="dxa"/>
              <w:left w:w="100" w:type="dxa"/>
              <w:bottom w:w="100" w:type="dxa"/>
              <w:right w:w="100" w:type="dxa"/>
            </w:tcMar>
            <w:hideMark/>
          </w:tcPr>
          <w:p w14:paraId="58075DB2" w14:textId="77777777" w:rsidR="007E7C94" w:rsidRDefault="007E7C94" w:rsidP="007E7C94">
            <w:pPr>
              <w:pStyle w:val="NormalWeb"/>
              <w:spacing w:before="0" w:beforeAutospacing="0" w:after="0" w:afterAutospacing="0"/>
            </w:pPr>
            <w:r>
              <w:rPr>
                <w:rFonts w:ascii="Arial" w:hAnsi="Arial" w:cs="Arial"/>
                <w:color w:val="000000"/>
                <w:sz w:val="20"/>
                <w:szCs w:val="20"/>
              </w:rPr>
              <w:t>University</w:t>
            </w:r>
          </w:p>
        </w:tc>
        <w:tc>
          <w:tcPr>
            <w:tcW w:w="0" w:type="auto"/>
            <w:tcMar>
              <w:top w:w="100" w:type="dxa"/>
              <w:left w:w="100" w:type="dxa"/>
              <w:bottom w:w="100" w:type="dxa"/>
              <w:right w:w="100" w:type="dxa"/>
            </w:tcMar>
            <w:hideMark/>
          </w:tcPr>
          <w:p w14:paraId="2DA250A1" w14:textId="77777777" w:rsidR="007E7C94" w:rsidRDefault="007E7C94" w:rsidP="007E7C94">
            <w:pPr>
              <w:pStyle w:val="NormalWeb"/>
              <w:spacing w:before="0" w:beforeAutospacing="0" w:after="0" w:afterAutospacing="0"/>
            </w:pPr>
            <w:r>
              <w:rPr>
                <w:rFonts w:ascii="Arial" w:hAnsi="Arial" w:cs="Arial"/>
                <w:color w:val="000000"/>
                <w:sz w:val="20"/>
                <w:szCs w:val="20"/>
              </w:rPr>
              <w:t>University of Michigan</w:t>
            </w:r>
          </w:p>
        </w:tc>
        <w:tc>
          <w:tcPr>
            <w:tcW w:w="0" w:type="auto"/>
            <w:tcMar>
              <w:top w:w="100" w:type="dxa"/>
              <w:left w:w="100" w:type="dxa"/>
              <w:bottom w:w="100" w:type="dxa"/>
              <w:right w:w="100" w:type="dxa"/>
            </w:tcMar>
            <w:hideMark/>
          </w:tcPr>
          <w:p w14:paraId="46FBF798" w14:textId="77777777" w:rsidR="007E7C94" w:rsidRDefault="007E7C94" w:rsidP="007E7C94">
            <w:pPr>
              <w:pStyle w:val="NormalWeb"/>
              <w:spacing w:before="0" w:beforeAutospacing="0" w:after="0" w:afterAutospacing="0"/>
            </w:pPr>
            <w:r>
              <w:rPr>
                <w:rFonts w:ascii="Arial" w:hAnsi="Arial" w:cs="Arial"/>
                <w:i/>
                <w:iCs/>
                <w:color w:val="000000"/>
                <w:sz w:val="20"/>
                <w:szCs w:val="20"/>
              </w:rPr>
              <w:t>Generative AI Essentials: Overview and Impact</w:t>
            </w:r>
          </w:p>
        </w:tc>
        <w:tc>
          <w:tcPr>
            <w:tcW w:w="3205" w:type="dxa"/>
            <w:tcMar>
              <w:top w:w="100" w:type="dxa"/>
              <w:left w:w="100" w:type="dxa"/>
              <w:bottom w:w="100" w:type="dxa"/>
              <w:right w:w="100" w:type="dxa"/>
            </w:tcMar>
            <w:hideMark/>
          </w:tcPr>
          <w:p w14:paraId="4B566A85" w14:textId="77777777" w:rsidR="007E7C94" w:rsidRDefault="007E7C94" w:rsidP="007E7C94">
            <w:pPr>
              <w:pStyle w:val="NormalWeb"/>
              <w:spacing w:before="0" w:beforeAutospacing="0" w:after="0" w:afterAutospacing="0"/>
            </w:pPr>
            <w:r>
              <w:rPr>
                <w:rFonts w:ascii="Arial" w:hAnsi="Arial" w:cs="Arial"/>
                <w:color w:val="000000"/>
                <w:sz w:val="20"/>
                <w:szCs w:val="20"/>
              </w:rPr>
              <w:t>Artificial Intelligence/Technology</w:t>
            </w:r>
          </w:p>
        </w:tc>
      </w:tr>
      <w:tr w:rsidR="007E7C94" w14:paraId="447E1385" w14:textId="77777777" w:rsidTr="007E7C94">
        <w:trPr>
          <w:trHeight w:val="14"/>
          <w:jc w:val="center"/>
        </w:trPr>
        <w:tc>
          <w:tcPr>
            <w:tcW w:w="1635" w:type="dxa"/>
            <w:tcMar>
              <w:top w:w="100" w:type="dxa"/>
              <w:left w:w="100" w:type="dxa"/>
              <w:bottom w:w="100" w:type="dxa"/>
              <w:right w:w="100" w:type="dxa"/>
            </w:tcMar>
            <w:hideMark/>
          </w:tcPr>
          <w:p w14:paraId="5BE0BC8C" w14:textId="77777777" w:rsidR="007E7C94" w:rsidRDefault="007E7C94" w:rsidP="007E7C94">
            <w:pPr>
              <w:pStyle w:val="NormalWeb"/>
              <w:spacing w:before="0" w:beforeAutospacing="0" w:after="0" w:afterAutospacing="0"/>
            </w:pPr>
            <w:r>
              <w:rPr>
                <w:rFonts w:ascii="Arial" w:hAnsi="Arial" w:cs="Arial"/>
                <w:color w:val="000000"/>
                <w:sz w:val="20"/>
                <w:szCs w:val="20"/>
              </w:rPr>
              <w:t>University</w:t>
            </w:r>
          </w:p>
        </w:tc>
        <w:tc>
          <w:tcPr>
            <w:tcW w:w="0" w:type="auto"/>
            <w:tcMar>
              <w:top w:w="100" w:type="dxa"/>
              <w:left w:w="100" w:type="dxa"/>
              <w:bottom w:w="100" w:type="dxa"/>
              <w:right w:w="100" w:type="dxa"/>
            </w:tcMar>
            <w:hideMark/>
          </w:tcPr>
          <w:p w14:paraId="57AE3707" w14:textId="77777777" w:rsidR="007E7C94" w:rsidRDefault="007E7C94" w:rsidP="007E7C94">
            <w:pPr>
              <w:pStyle w:val="NormalWeb"/>
              <w:spacing w:before="0" w:beforeAutospacing="0" w:after="0" w:afterAutospacing="0"/>
            </w:pPr>
            <w:r>
              <w:rPr>
                <w:rFonts w:ascii="Arial" w:hAnsi="Arial" w:cs="Arial"/>
                <w:color w:val="000000"/>
                <w:sz w:val="20"/>
                <w:szCs w:val="20"/>
              </w:rPr>
              <w:t>IESE Business School</w:t>
            </w:r>
          </w:p>
        </w:tc>
        <w:tc>
          <w:tcPr>
            <w:tcW w:w="0" w:type="auto"/>
            <w:tcMar>
              <w:top w:w="100" w:type="dxa"/>
              <w:left w:w="100" w:type="dxa"/>
              <w:bottom w:w="100" w:type="dxa"/>
              <w:right w:w="100" w:type="dxa"/>
            </w:tcMar>
            <w:hideMark/>
          </w:tcPr>
          <w:p w14:paraId="5181DE29" w14:textId="77777777" w:rsidR="007E7C94" w:rsidRDefault="007E7C94" w:rsidP="007E7C94">
            <w:pPr>
              <w:pStyle w:val="NormalWeb"/>
              <w:spacing w:before="0" w:beforeAutospacing="0" w:after="0" w:afterAutospacing="0"/>
            </w:pPr>
            <w:r>
              <w:rPr>
                <w:rFonts w:ascii="Arial" w:hAnsi="Arial" w:cs="Arial"/>
                <w:i/>
                <w:iCs/>
                <w:color w:val="000000"/>
                <w:sz w:val="20"/>
                <w:szCs w:val="20"/>
              </w:rPr>
              <w:t>The Art of Storytelling</w:t>
            </w:r>
          </w:p>
        </w:tc>
        <w:tc>
          <w:tcPr>
            <w:tcW w:w="3205" w:type="dxa"/>
            <w:tcMar>
              <w:top w:w="100" w:type="dxa"/>
              <w:left w:w="100" w:type="dxa"/>
              <w:bottom w:w="100" w:type="dxa"/>
              <w:right w:w="100" w:type="dxa"/>
            </w:tcMar>
            <w:hideMark/>
          </w:tcPr>
          <w:p w14:paraId="7E34A3D5" w14:textId="77777777" w:rsidR="007E7C94" w:rsidRDefault="007E7C94" w:rsidP="007E7C94">
            <w:pPr>
              <w:pStyle w:val="NormalWeb"/>
              <w:spacing w:before="0" w:beforeAutospacing="0" w:after="0" w:afterAutospacing="0"/>
            </w:pPr>
            <w:r>
              <w:rPr>
                <w:rFonts w:ascii="Arial" w:hAnsi="Arial" w:cs="Arial"/>
                <w:color w:val="000000"/>
                <w:sz w:val="20"/>
                <w:szCs w:val="20"/>
              </w:rPr>
              <w:t>Business/Communication</w:t>
            </w:r>
          </w:p>
        </w:tc>
      </w:tr>
      <w:tr w:rsidR="007E7C94" w14:paraId="72C48B7D" w14:textId="77777777" w:rsidTr="007E7C94">
        <w:trPr>
          <w:trHeight w:val="79"/>
          <w:jc w:val="center"/>
        </w:trPr>
        <w:tc>
          <w:tcPr>
            <w:tcW w:w="1635" w:type="dxa"/>
            <w:tcMar>
              <w:top w:w="100" w:type="dxa"/>
              <w:left w:w="100" w:type="dxa"/>
              <w:bottom w:w="100" w:type="dxa"/>
              <w:right w:w="100" w:type="dxa"/>
            </w:tcMar>
            <w:hideMark/>
          </w:tcPr>
          <w:p w14:paraId="33BFB9F2" w14:textId="77777777" w:rsidR="007E7C94" w:rsidRDefault="007E7C94" w:rsidP="007E7C94">
            <w:pPr>
              <w:pStyle w:val="NormalWeb"/>
              <w:spacing w:before="0" w:beforeAutospacing="0" w:after="0" w:afterAutospacing="0"/>
            </w:pPr>
            <w:r>
              <w:rPr>
                <w:rFonts w:ascii="Arial" w:hAnsi="Arial" w:cs="Arial"/>
                <w:color w:val="000000"/>
                <w:sz w:val="20"/>
                <w:szCs w:val="20"/>
              </w:rPr>
              <w:t>University</w:t>
            </w:r>
          </w:p>
        </w:tc>
        <w:tc>
          <w:tcPr>
            <w:tcW w:w="0" w:type="auto"/>
            <w:tcMar>
              <w:top w:w="100" w:type="dxa"/>
              <w:left w:w="100" w:type="dxa"/>
              <w:bottom w:w="100" w:type="dxa"/>
              <w:right w:w="100" w:type="dxa"/>
            </w:tcMar>
            <w:hideMark/>
          </w:tcPr>
          <w:p w14:paraId="5D4D5094" w14:textId="77777777" w:rsidR="007E7C94" w:rsidRDefault="007E7C94" w:rsidP="007E7C94">
            <w:pPr>
              <w:pStyle w:val="NormalWeb"/>
              <w:spacing w:before="0" w:beforeAutospacing="0" w:after="0" w:afterAutospacing="0"/>
            </w:pPr>
            <w:r>
              <w:rPr>
                <w:rFonts w:ascii="Arial" w:hAnsi="Arial" w:cs="Arial"/>
                <w:color w:val="000000"/>
                <w:sz w:val="20"/>
                <w:szCs w:val="20"/>
              </w:rPr>
              <w:t>École Polytechnique</w:t>
            </w:r>
          </w:p>
        </w:tc>
        <w:tc>
          <w:tcPr>
            <w:tcW w:w="0" w:type="auto"/>
            <w:tcMar>
              <w:top w:w="100" w:type="dxa"/>
              <w:left w:w="100" w:type="dxa"/>
              <w:bottom w:w="100" w:type="dxa"/>
              <w:right w:w="100" w:type="dxa"/>
            </w:tcMar>
            <w:hideMark/>
          </w:tcPr>
          <w:p w14:paraId="7A192B88" w14:textId="77777777" w:rsidR="007E7C94" w:rsidRDefault="007E7C94" w:rsidP="007E7C94">
            <w:pPr>
              <w:pStyle w:val="NormalWeb"/>
              <w:spacing w:before="0" w:beforeAutospacing="0" w:after="0" w:afterAutospacing="0"/>
            </w:pPr>
            <w:r>
              <w:rPr>
                <w:rFonts w:ascii="Arial" w:hAnsi="Arial" w:cs="Arial"/>
                <w:i/>
                <w:iCs/>
                <w:color w:val="000000"/>
                <w:sz w:val="20"/>
                <w:szCs w:val="20"/>
              </w:rPr>
              <w:t>Comprendre la France, Advanced French Language &amp; Culture</w:t>
            </w:r>
          </w:p>
        </w:tc>
        <w:tc>
          <w:tcPr>
            <w:tcW w:w="3205" w:type="dxa"/>
            <w:tcMar>
              <w:top w:w="100" w:type="dxa"/>
              <w:left w:w="100" w:type="dxa"/>
              <w:bottom w:w="100" w:type="dxa"/>
              <w:right w:w="100" w:type="dxa"/>
            </w:tcMar>
            <w:hideMark/>
          </w:tcPr>
          <w:p w14:paraId="32A80495" w14:textId="77777777" w:rsidR="007E7C94" w:rsidRDefault="007E7C94" w:rsidP="007E7C94">
            <w:pPr>
              <w:pStyle w:val="NormalWeb"/>
              <w:spacing w:before="0" w:beforeAutospacing="0" w:after="0" w:afterAutospacing="0"/>
            </w:pPr>
            <w:r>
              <w:rPr>
                <w:rFonts w:ascii="Arial" w:hAnsi="Arial" w:cs="Arial"/>
                <w:color w:val="000000"/>
                <w:sz w:val="20"/>
                <w:szCs w:val="20"/>
              </w:rPr>
              <w:t>Language/Culture</w:t>
            </w:r>
          </w:p>
        </w:tc>
      </w:tr>
      <w:tr w:rsidR="007E7C94" w14:paraId="2FF0AA1D" w14:textId="77777777" w:rsidTr="007E7C94">
        <w:trPr>
          <w:trHeight w:val="88"/>
          <w:jc w:val="center"/>
        </w:trPr>
        <w:tc>
          <w:tcPr>
            <w:tcW w:w="1635" w:type="dxa"/>
            <w:tcMar>
              <w:top w:w="100" w:type="dxa"/>
              <w:left w:w="100" w:type="dxa"/>
              <w:bottom w:w="100" w:type="dxa"/>
              <w:right w:w="100" w:type="dxa"/>
            </w:tcMar>
            <w:hideMark/>
          </w:tcPr>
          <w:p w14:paraId="79281F8F" w14:textId="77777777" w:rsidR="007E7C94" w:rsidRDefault="007E7C94" w:rsidP="007E7C94">
            <w:pPr>
              <w:pStyle w:val="NormalWeb"/>
              <w:spacing w:before="0" w:beforeAutospacing="0" w:after="0" w:afterAutospacing="0"/>
            </w:pPr>
            <w:r>
              <w:rPr>
                <w:rFonts w:ascii="Arial" w:hAnsi="Arial" w:cs="Arial"/>
                <w:color w:val="000000"/>
                <w:sz w:val="20"/>
                <w:szCs w:val="20"/>
              </w:rPr>
              <w:t>Industry</w:t>
            </w:r>
          </w:p>
        </w:tc>
        <w:tc>
          <w:tcPr>
            <w:tcW w:w="0" w:type="auto"/>
            <w:tcMar>
              <w:top w:w="100" w:type="dxa"/>
              <w:left w:w="100" w:type="dxa"/>
              <w:bottom w:w="100" w:type="dxa"/>
              <w:right w:w="100" w:type="dxa"/>
            </w:tcMar>
            <w:hideMark/>
          </w:tcPr>
          <w:p w14:paraId="134FB98C" w14:textId="77777777" w:rsidR="007E7C94" w:rsidRDefault="007E7C94" w:rsidP="007E7C94">
            <w:pPr>
              <w:pStyle w:val="NormalWeb"/>
              <w:spacing w:before="0" w:beforeAutospacing="0" w:after="0" w:afterAutospacing="0"/>
            </w:pPr>
            <w:r>
              <w:rPr>
                <w:rFonts w:ascii="Arial" w:hAnsi="Arial" w:cs="Arial"/>
                <w:color w:val="000000"/>
                <w:sz w:val="20"/>
                <w:szCs w:val="20"/>
              </w:rPr>
              <w:t>IBM</w:t>
            </w:r>
          </w:p>
        </w:tc>
        <w:tc>
          <w:tcPr>
            <w:tcW w:w="0" w:type="auto"/>
            <w:tcMar>
              <w:top w:w="100" w:type="dxa"/>
              <w:left w:w="100" w:type="dxa"/>
              <w:bottom w:w="100" w:type="dxa"/>
              <w:right w:w="100" w:type="dxa"/>
            </w:tcMar>
            <w:hideMark/>
          </w:tcPr>
          <w:p w14:paraId="748DE86D" w14:textId="77777777" w:rsidR="007E7C94" w:rsidRDefault="007E7C94" w:rsidP="007E7C94">
            <w:pPr>
              <w:pStyle w:val="NormalWeb"/>
              <w:spacing w:before="0" w:beforeAutospacing="0" w:after="0" w:afterAutospacing="0"/>
            </w:pPr>
            <w:r>
              <w:rPr>
                <w:rFonts w:ascii="Arial" w:hAnsi="Arial" w:cs="Arial"/>
                <w:i/>
                <w:iCs/>
                <w:color w:val="000000"/>
                <w:sz w:val="20"/>
                <w:szCs w:val="20"/>
              </w:rPr>
              <w:t>Operating Systems: Overview, Administration, and Security</w:t>
            </w:r>
          </w:p>
        </w:tc>
        <w:tc>
          <w:tcPr>
            <w:tcW w:w="3205" w:type="dxa"/>
            <w:tcMar>
              <w:top w:w="100" w:type="dxa"/>
              <w:left w:w="100" w:type="dxa"/>
              <w:bottom w:w="100" w:type="dxa"/>
              <w:right w:w="100" w:type="dxa"/>
            </w:tcMar>
            <w:hideMark/>
          </w:tcPr>
          <w:p w14:paraId="031AA320" w14:textId="77777777" w:rsidR="007E7C94" w:rsidRDefault="007E7C94" w:rsidP="007E7C94">
            <w:pPr>
              <w:pStyle w:val="NormalWeb"/>
              <w:spacing w:before="0" w:beforeAutospacing="0" w:after="0" w:afterAutospacing="0"/>
            </w:pPr>
            <w:r>
              <w:rPr>
                <w:rFonts w:ascii="Arial" w:hAnsi="Arial" w:cs="Arial"/>
                <w:color w:val="000000"/>
                <w:sz w:val="20"/>
                <w:szCs w:val="20"/>
              </w:rPr>
              <w:t>Information Technology</w:t>
            </w:r>
          </w:p>
        </w:tc>
      </w:tr>
      <w:tr w:rsidR="007E7C94" w14:paraId="1936004C" w14:textId="77777777" w:rsidTr="007E7C94">
        <w:trPr>
          <w:trHeight w:val="14"/>
          <w:jc w:val="center"/>
        </w:trPr>
        <w:tc>
          <w:tcPr>
            <w:tcW w:w="1635" w:type="dxa"/>
            <w:tcMar>
              <w:top w:w="100" w:type="dxa"/>
              <w:left w:w="100" w:type="dxa"/>
              <w:bottom w:w="100" w:type="dxa"/>
              <w:right w:w="100" w:type="dxa"/>
            </w:tcMar>
            <w:hideMark/>
          </w:tcPr>
          <w:p w14:paraId="3EBAE9D0" w14:textId="77777777" w:rsidR="007E7C94" w:rsidRDefault="007E7C94" w:rsidP="007E7C94">
            <w:pPr>
              <w:pStyle w:val="NormalWeb"/>
              <w:spacing w:before="0" w:beforeAutospacing="0" w:after="0" w:afterAutospacing="0"/>
            </w:pPr>
            <w:r>
              <w:rPr>
                <w:rFonts w:ascii="Arial" w:hAnsi="Arial" w:cs="Arial"/>
                <w:color w:val="000000"/>
                <w:sz w:val="20"/>
                <w:szCs w:val="20"/>
              </w:rPr>
              <w:lastRenderedPageBreak/>
              <w:t>Industry</w:t>
            </w:r>
          </w:p>
        </w:tc>
        <w:tc>
          <w:tcPr>
            <w:tcW w:w="0" w:type="auto"/>
            <w:tcMar>
              <w:top w:w="100" w:type="dxa"/>
              <w:left w:w="100" w:type="dxa"/>
              <w:bottom w:w="100" w:type="dxa"/>
              <w:right w:w="100" w:type="dxa"/>
            </w:tcMar>
            <w:hideMark/>
          </w:tcPr>
          <w:p w14:paraId="23A8A1C9" w14:textId="77777777" w:rsidR="007E7C94" w:rsidRDefault="007E7C94" w:rsidP="007E7C94">
            <w:pPr>
              <w:pStyle w:val="NormalWeb"/>
              <w:spacing w:before="0" w:beforeAutospacing="0" w:after="0" w:afterAutospacing="0"/>
            </w:pPr>
            <w:r>
              <w:rPr>
                <w:rFonts w:ascii="Arial" w:hAnsi="Arial" w:cs="Arial"/>
                <w:color w:val="000000"/>
                <w:sz w:val="20"/>
                <w:szCs w:val="20"/>
              </w:rPr>
              <w:t>IBM</w:t>
            </w:r>
          </w:p>
        </w:tc>
        <w:tc>
          <w:tcPr>
            <w:tcW w:w="0" w:type="auto"/>
            <w:tcMar>
              <w:top w:w="100" w:type="dxa"/>
              <w:left w:w="100" w:type="dxa"/>
              <w:bottom w:w="100" w:type="dxa"/>
              <w:right w:w="100" w:type="dxa"/>
            </w:tcMar>
            <w:hideMark/>
          </w:tcPr>
          <w:p w14:paraId="175371F7" w14:textId="77777777" w:rsidR="007E7C94" w:rsidRDefault="007E7C94" w:rsidP="007E7C94">
            <w:pPr>
              <w:pStyle w:val="NormalWeb"/>
              <w:spacing w:before="0" w:beforeAutospacing="0" w:after="0" w:afterAutospacing="0"/>
            </w:pPr>
            <w:r>
              <w:rPr>
                <w:rFonts w:ascii="Arial" w:hAnsi="Arial" w:cs="Arial"/>
                <w:i/>
                <w:iCs/>
                <w:color w:val="000000"/>
                <w:sz w:val="20"/>
                <w:szCs w:val="20"/>
              </w:rPr>
              <w:t>Cybersecurity Compliance Framework, Standards &amp; Regulations</w:t>
            </w:r>
          </w:p>
        </w:tc>
        <w:tc>
          <w:tcPr>
            <w:tcW w:w="3205" w:type="dxa"/>
            <w:tcMar>
              <w:top w:w="100" w:type="dxa"/>
              <w:left w:w="100" w:type="dxa"/>
              <w:bottom w:w="100" w:type="dxa"/>
              <w:right w:w="100" w:type="dxa"/>
            </w:tcMar>
            <w:hideMark/>
          </w:tcPr>
          <w:p w14:paraId="7747D151" w14:textId="77777777" w:rsidR="007E7C94" w:rsidRDefault="007E7C94" w:rsidP="007E7C94">
            <w:pPr>
              <w:pStyle w:val="NormalWeb"/>
              <w:spacing w:before="0" w:beforeAutospacing="0" w:after="0" w:afterAutospacing="0"/>
            </w:pPr>
            <w:r>
              <w:rPr>
                <w:rFonts w:ascii="Arial" w:hAnsi="Arial" w:cs="Arial"/>
                <w:color w:val="000000"/>
                <w:sz w:val="20"/>
                <w:szCs w:val="20"/>
              </w:rPr>
              <w:t>Cybersecurity</w:t>
            </w:r>
          </w:p>
        </w:tc>
      </w:tr>
      <w:tr w:rsidR="007E7C94" w14:paraId="769973F8" w14:textId="77777777" w:rsidTr="007E7C94">
        <w:trPr>
          <w:trHeight w:val="14"/>
          <w:jc w:val="center"/>
        </w:trPr>
        <w:tc>
          <w:tcPr>
            <w:tcW w:w="1635" w:type="dxa"/>
            <w:tcMar>
              <w:top w:w="100" w:type="dxa"/>
              <w:left w:w="100" w:type="dxa"/>
              <w:bottom w:w="100" w:type="dxa"/>
              <w:right w:w="100" w:type="dxa"/>
            </w:tcMar>
            <w:hideMark/>
          </w:tcPr>
          <w:p w14:paraId="47B61E6E" w14:textId="77777777" w:rsidR="007E7C94" w:rsidRDefault="007E7C94" w:rsidP="007E7C94">
            <w:pPr>
              <w:pStyle w:val="NormalWeb"/>
              <w:spacing w:before="0" w:beforeAutospacing="0" w:after="0" w:afterAutospacing="0"/>
            </w:pPr>
            <w:r>
              <w:rPr>
                <w:rFonts w:ascii="Arial" w:hAnsi="Arial" w:cs="Arial"/>
                <w:color w:val="000000"/>
                <w:sz w:val="20"/>
                <w:szCs w:val="20"/>
              </w:rPr>
              <w:t>Industry</w:t>
            </w:r>
          </w:p>
        </w:tc>
        <w:tc>
          <w:tcPr>
            <w:tcW w:w="0" w:type="auto"/>
            <w:tcMar>
              <w:top w:w="100" w:type="dxa"/>
              <w:left w:w="100" w:type="dxa"/>
              <w:bottom w:w="100" w:type="dxa"/>
              <w:right w:w="100" w:type="dxa"/>
            </w:tcMar>
            <w:hideMark/>
          </w:tcPr>
          <w:p w14:paraId="30BA2BFE" w14:textId="77777777" w:rsidR="007E7C94" w:rsidRDefault="007E7C94" w:rsidP="007E7C94">
            <w:pPr>
              <w:pStyle w:val="NormalWeb"/>
              <w:spacing w:before="0" w:beforeAutospacing="0" w:after="0" w:afterAutospacing="0"/>
            </w:pPr>
            <w:r>
              <w:rPr>
                <w:rFonts w:ascii="Arial" w:hAnsi="Arial" w:cs="Arial"/>
                <w:color w:val="000000"/>
                <w:sz w:val="20"/>
                <w:szCs w:val="20"/>
              </w:rPr>
              <w:t>IBM</w:t>
            </w:r>
          </w:p>
        </w:tc>
        <w:tc>
          <w:tcPr>
            <w:tcW w:w="0" w:type="auto"/>
            <w:tcMar>
              <w:top w:w="100" w:type="dxa"/>
              <w:left w:w="100" w:type="dxa"/>
              <w:bottom w:w="100" w:type="dxa"/>
              <w:right w:w="100" w:type="dxa"/>
            </w:tcMar>
            <w:hideMark/>
          </w:tcPr>
          <w:p w14:paraId="7136746E" w14:textId="77777777" w:rsidR="007E7C94" w:rsidRDefault="007E7C94" w:rsidP="007E7C94">
            <w:pPr>
              <w:pStyle w:val="NormalWeb"/>
              <w:spacing w:before="0" w:beforeAutospacing="0" w:after="0" w:afterAutospacing="0"/>
            </w:pPr>
            <w:r>
              <w:rPr>
                <w:rFonts w:ascii="Arial" w:hAnsi="Arial" w:cs="Arial"/>
                <w:i/>
                <w:iCs/>
                <w:color w:val="000000"/>
                <w:sz w:val="20"/>
                <w:szCs w:val="20"/>
              </w:rPr>
              <w:t>Penetration Testing, Threat Hunting, and Cryptography</w:t>
            </w:r>
          </w:p>
        </w:tc>
        <w:tc>
          <w:tcPr>
            <w:tcW w:w="3205" w:type="dxa"/>
            <w:tcMar>
              <w:top w:w="100" w:type="dxa"/>
              <w:left w:w="100" w:type="dxa"/>
              <w:bottom w:w="100" w:type="dxa"/>
              <w:right w:w="100" w:type="dxa"/>
            </w:tcMar>
            <w:hideMark/>
          </w:tcPr>
          <w:p w14:paraId="511D92E6" w14:textId="77777777" w:rsidR="007E7C94" w:rsidRDefault="007E7C94" w:rsidP="007E7C94">
            <w:pPr>
              <w:pStyle w:val="NormalWeb"/>
              <w:spacing w:before="0" w:beforeAutospacing="0" w:after="0" w:afterAutospacing="0"/>
            </w:pPr>
            <w:r>
              <w:rPr>
                <w:rFonts w:ascii="Arial" w:hAnsi="Arial" w:cs="Arial"/>
                <w:color w:val="000000"/>
                <w:sz w:val="20"/>
                <w:szCs w:val="20"/>
              </w:rPr>
              <w:t>Cybersecurity</w:t>
            </w:r>
          </w:p>
        </w:tc>
      </w:tr>
      <w:tr w:rsidR="007E7C94" w14:paraId="43FE811E" w14:textId="77777777" w:rsidTr="007E7C94">
        <w:trPr>
          <w:trHeight w:val="14"/>
          <w:jc w:val="center"/>
        </w:trPr>
        <w:tc>
          <w:tcPr>
            <w:tcW w:w="1635" w:type="dxa"/>
            <w:tcMar>
              <w:top w:w="100" w:type="dxa"/>
              <w:left w:w="100" w:type="dxa"/>
              <w:bottom w:w="100" w:type="dxa"/>
              <w:right w:w="100" w:type="dxa"/>
            </w:tcMar>
            <w:hideMark/>
          </w:tcPr>
          <w:p w14:paraId="7802D8F1" w14:textId="77777777" w:rsidR="007E7C94" w:rsidRDefault="007E7C94" w:rsidP="007E7C94">
            <w:pPr>
              <w:pStyle w:val="NormalWeb"/>
              <w:spacing w:before="0" w:beforeAutospacing="0" w:after="0" w:afterAutospacing="0"/>
            </w:pPr>
            <w:r>
              <w:rPr>
                <w:rFonts w:ascii="Arial" w:hAnsi="Arial" w:cs="Arial"/>
                <w:color w:val="000000"/>
                <w:sz w:val="20"/>
                <w:szCs w:val="20"/>
              </w:rPr>
              <w:t>Industry</w:t>
            </w:r>
          </w:p>
        </w:tc>
        <w:tc>
          <w:tcPr>
            <w:tcW w:w="0" w:type="auto"/>
            <w:tcMar>
              <w:top w:w="100" w:type="dxa"/>
              <w:left w:w="100" w:type="dxa"/>
              <w:bottom w:w="100" w:type="dxa"/>
              <w:right w:w="100" w:type="dxa"/>
            </w:tcMar>
            <w:hideMark/>
          </w:tcPr>
          <w:p w14:paraId="20498C77" w14:textId="77777777" w:rsidR="007E7C94" w:rsidRDefault="007E7C94" w:rsidP="007E7C94">
            <w:pPr>
              <w:pStyle w:val="NormalWeb"/>
              <w:spacing w:before="0" w:beforeAutospacing="0" w:after="0" w:afterAutospacing="0"/>
            </w:pPr>
            <w:r>
              <w:rPr>
                <w:rFonts w:ascii="Arial" w:hAnsi="Arial" w:cs="Arial"/>
                <w:color w:val="000000"/>
                <w:sz w:val="20"/>
                <w:szCs w:val="20"/>
              </w:rPr>
              <w:t>IBM</w:t>
            </w:r>
          </w:p>
        </w:tc>
        <w:tc>
          <w:tcPr>
            <w:tcW w:w="0" w:type="auto"/>
            <w:tcMar>
              <w:top w:w="100" w:type="dxa"/>
              <w:left w:w="100" w:type="dxa"/>
              <w:bottom w:w="100" w:type="dxa"/>
              <w:right w:w="100" w:type="dxa"/>
            </w:tcMar>
            <w:hideMark/>
          </w:tcPr>
          <w:p w14:paraId="409E6EE6" w14:textId="77777777" w:rsidR="007E7C94" w:rsidRDefault="007E7C94" w:rsidP="007E7C94">
            <w:pPr>
              <w:pStyle w:val="NormalWeb"/>
              <w:spacing w:before="0" w:beforeAutospacing="0" w:after="0" w:afterAutospacing="0"/>
            </w:pPr>
            <w:r>
              <w:rPr>
                <w:rFonts w:ascii="Arial" w:hAnsi="Arial" w:cs="Arial"/>
                <w:i/>
                <w:iCs/>
                <w:color w:val="000000"/>
                <w:sz w:val="20"/>
                <w:szCs w:val="20"/>
              </w:rPr>
              <w:t>Incident Response and Digital Forensics</w:t>
            </w:r>
          </w:p>
        </w:tc>
        <w:tc>
          <w:tcPr>
            <w:tcW w:w="3205" w:type="dxa"/>
            <w:tcMar>
              <w:top w:w="100" w:type="dxa"/>
              <w:left w:w="100" w:type="dxa"/>
              <w:bottom w:w="100" w:type="dxa"/>
              <w:right w:w="100" w:type="dxa"/>
            </w:tcMar>
            <w:hideMark/>
          </w:tcPr>
          <w:p w14:paraId="191133D7" w14:textId="77777777" w:rsidR="007E7C94" w:rsidRDefault="007E7C94" w:rsidP="007E7C94">
            <w:pPr>
              <w:pStyle w:val="NormalWeb"/>
              <w:spacing w:before="0" w:beforeAutospacing="0" w:after="0" w:afterAutospacing="0"/>
            </w:pPr>
            <w:r>
              <w:rPr>
                <w:rFonts w:ascii="Arial" w:hAnsi="Arial" w:cs="Arial"/>
                <w:color w:val="000000"/>
                <w:sz w:val="20"/>
                <w:szCs w:val="20"/>
              </w:rPr>
              <w:t>Cybersecurity</w:t>
            </w:r>
          </w:p>
        </w:tc>
      </w:tr>
      <w:tr w:rsidR="007E7C94" w14:paraId="3FD628CC" w14:textId="77777777" w:rsidTr="007E7C94">
        <w:trPr>
          <w:trHeight w:val="14"/>
          <w:jc w:val="center"/>
        </w:trPr>
        <w:tc>
          <w:tcPr>
            <w:tcW w:w="1635" w:type="dxa"/>
            <w:tcBorders>
              <w:bottom w:val="single" w:sz="4" w:space="0" w:color="auto"/>
            </w:tcBorders>
            <w:tcMar>
              <w:top w:w="100" w:type="dxa"/>
              <w:left w:w="100" w:type="dxa"/>
              <w:bottom w:w="100" w:type="dxa"/>
              <w:right w:w="100" w:type="dxa"/>
            </w:tcMar>
            <w:hideMark/>
          </w:tcPr>
          <w:p w14:paraId="15AC36B7" w14:textId="77777777" w:rsidR="007E7C94" w:rsidRDefault="007E7C94" w:rsidP="007E7C94">
            <w:pPr>
              <w:pStyle w:val="NormalWeb"/>
              <w:spacing w:before="0" w:beforeAutospacing="0" w:after="0" w:afterAutospacing="0"/>
            </w:pPr>
            <w:r>
              <w:rPr>
                <w:rFonts w:ascii="Arial" w:hAnsi="Arial" w:cs="Arial"/>
                <w:color w:val="000000"/>
                <w:sz w:val="20"/>
                <w:szCs w:val="20"/>
              </w:rPr>
              <w:t>Industry</w:t>
            </w:r>
          </w:p>
        </w:tc>
        <w:tc>
          <w:tcPr>
            <w:tcW w:w="0" w:type="auto"/>
            <w:tcBorders>
              <w:bottom w:val="single" w:sz="4" w:space="0" w:color="auto"/>
            </w:tcBorders>
            <w:tcMar>
              <w:top w:w="100" w:type="dxa"/>
              <w:left w:w="100" w:type="dxa"/>
              <w:bottom w:w="100" w:type="dxa"/>
              <w:right w:w="100" w:type="dxa"/>
            </w:tcMar>
            <w:hideMark/>
          </w:tcPr>
          <w:p w14:paraId="0ABBC3A8" w14:textId="77777777" w:rsidR="007E7C94" w:rsidRDefault="007E7C94" w:rsidP="007E7C94">
            <w:pPr>
              <w:pStyle w:val="NormalWeb"/>
              <w:spacing w:before="0" w:beforeAutospacing="0" w:after="0" w:afterAutospacing="0"/>
            </w:pPr>
            <w:r>
              <w:rPr>
                <w:rFonts w:ascii="Arial" w:hAnsi="Arial" w:cs="Arial"/>
                <w:color w:val="000000"/>
                <w:sz w:val="20"/>
                <w:szCs w:val="20"/>
              </w:rPr>
              <w:t>Google Cloud</w:t>
            </w:r>
          </w:p>
        </w:tc>
        <w:tc>
          <w:tcPr>
            <w:tcW w:w="0" w:type="auto"/>
            <w:tcBorders>
              <w:bottom w:val="single" w:sz="4" w:space="0" w:color="auto"/>
            </w:tcBorders>
            <w:tcMar>
              <w:top w:w="100" w:type="dxa"/>
              <w:left w:w="100" w:type="dxa"/>
              <w:bottom w:w="100" w:type="dxa"/>
              <w:right w:w="100" w:type="dxa"/>
            </w:tcMar>
            <w:hideMark/>
          </w:tcPr>
          <w:p w14:paraId="604DA7D8" w14:textId="77777777" w:rsidR="007E7C94" w:rsidRDefault="007E7C94" w:rsidP="007E7C94">
            <w:pPr>
              <w:pStyle w:val="NormalWeb"/>
              <w:spacing w:before="0" w:beforeAutospacing="0" w:after="0" w:afterAutospacing="0"/>
            </w:pPr>
            <w:r>
              <w:rPr>
                <w:rFonts w:ascii="Arial" w:hAnsi="Arial" w:cs="Arial"/>
                <w:i/>
                <w:iCs/>
                <w:color w:val="000000"/>
                <w:sz w:val="20"/>
                <w:szCs w:val="20"/>
              </w:rPr>
              <w:t>Introduction to Large Language Models</w:t>
            </w:r>
          </w:p>
        </w:tc>
        <w:tc>
          <w:tcPr>
            <w:tcW w:w="3205" w:type="dxa"/>
            <w:tcBorders>
              <w:bottom w:val="single" w:sz="4" w:space="0" w:color="auto"/>
            </w:tcBorders>
            <w:tcMar>
              <w:top w:w="100" w:type="dxa"/>
              <w:left w:w="100" w:type="dxa"/>
              <w:bottom w:w="100" w:type="dxa"/>
              <w:right w:w="100" w:type="dxa"/>
            </w:tcMar>
            <w:hideMark/>
          </w:tcPr>
          <w:p w14:paraId="1E2D02EE" w14:textId="77777777" w:rsidR="007E7C94" w:rsidRDefault="007E7C94" w:rsidP="007E7C94">
            <w:pPr>
              <w:pStyle w:val="NormalWeb"/>
              <w:spacing w:before="0" w:beforeAutospacing="0" w:after="0" w:afterAutospacing="0"/>
            </w:pPr>
            <w:r>
              <w:rPr>
                <w:rFonts w:ascii="Arial" w:hAnsi="Arial" w:cs="Arial"/>
                <w:color w:val="000000"/>
                <w:sz w:val="20"/>
                <w:szCs w:val="20"/>
              </w:rPr>
              <w:t>Artificial Intelligence/Technology</w:t>
            </w:r>
          </w:p>
        </w:tc>
      </w:tr>
    </w:tbl>
    <w:p w14:paraId="15E7E6C4" w14:textId="77777777" w:rsidR="00B57BC1" w:rsidRDefault="00B57BC1" w:rsidP="00B57BC1"/>
    <w:p w14:paraId="7C8C99B5"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2.3 Documentary Data Sources</w:t>
      </w:r>
    </w:p>
    <w:p w14:paraId="38F1B0E9" w14:textId="77777777" w:rsidR="00B57BC1" w:rsidRDefault="00B57BC1" w:rsidP="00B57BC1"/>
    <w:p w14:paraId="2B1CB3BC" w14:textId="77777777" w:rsidR="008833D1" w:rsidRDefault="008833D1" w:rsidP="008833D1">
      <w:pPr>
        <w:pStyle w:val="NormalWeb"/>
        <w:spacing w:before="0" w:beforeAutospacing="0" w:after="0" w:afterAutospacing="0"/>
      </w:pPr>
      <w:r>
        <w:rPr>
          <w:rFonts w:ascii="Arial" w:hAnsi="Arial" w:cs="Arial"/>
          <w:color w:val="000000"/>
          <w:sz w:val="20"/>
          <w:szCs w:val="20"/>
        </w:rPr>
        <w:t xml:space="preserve">The primary documentary data comprised publicly accessible information presented on the individual Coursera course pages for the ten selected MOOCs. These pages served as the principal documentary sources, as they contain provider-presented information intended for prospective learners within a </w:t>
      </w:r>
      <w:r>
        <w:rPr>
          <w:rFonts w:ascii="Arial" w:hAnsi="Arial" w:cs="Arial"/>
          <w:color w:val="000000"/>
          <w:sz w:val="20"/>
          <w:szCs w:val="20"/>
          <w:highlight w:val="yellow"/>
        </w:rPr>
        <w:t>standardised</w:t>
      </w:r>
      <w:r>
        <w:rPr>
          <w:rFonts w:ascii="Arial" w:hAnsi="Arial" w:cs="Arial"/>
          <w:color w:val="000000"/>
          <w:sz w:val="20"/>
          <w:szCs w:val="20"/>
        </w:rPr>
        <w:t xml:space="preserve"> platform environment. The documentary analysis focused on information relevant to the four </w:t>
      </w:r>
      <w:r>
        <w:rPr>
          <w:rFonts w:ascii="Arial" w:hAnsi="Arial" w:cs="Arial"/>
          <w:color w:val="000000"/>
          <w:sz w:val="20"/>
          <w:szCs w:val="20"/>
          <w:highlight w:val="yellow"/>
        </w:rPr>
        <w:t>signalling</w:t>
      </w:r>
      <w:r>
        <w:rPr>
          <w:rFonts w:ascii="Arial" w:hAnsi="Arial" w:cs="Arial"/>
          <w:color w:val="000000"/>
          <w:sz w:val="20"/>
          <w:szCs w:val="20"/>
        </w:rPr>
        <w:t xml:space="preserve"> categories: course descriptions, provider information, instructor names and publicly stated qualifications or professional backgrounds, learning outcomes, prerequisites, workload, difficulty level (where available), assessments and projects, skills, and certificate or credential information.</w:t>
      </w:r>
    </w:p>
    <w:p w14:paraId="07280C04" w14:textId="77777777" w:rsidR="008833D1" w:rsidRDefault="008833D1" w:rsidP="008833D1">
      <w:pPr>
        <w:pStyle w:val="NormalWeb"/>
        <w:spacing w:before="0" w:beforeAutospacing="0" w:after="0" w:afterAutospacing="0"/>
      </w:pPr>
      <w:r w:rsidRPr="008833D1">
        <w:rPr>
          <w:rFonts w:ascii="Arial" w:hAnsi="Arial" w:cs="Arial"/>
          <w:color w:val="000000"/>
          <w:sz w:val="20"/>
          <w:szCs w:val="20"/>
        </w:rPr>
        <w:t>A clear distinction was maintained between sampling information and substantive documentary evidence throughout the study. Class Central’s 2025 ranking was used exclusively to establish eligibility and identify highly enrolled cases. In contrast, the publicly available Coursera course pages served</w:t>
      </w:r>
      <w:r>
        <w:rPr>
          <w:rFonts w:ascii="Arial" w:hAnsi="Arial" w:cs="Arial"/>
          <w:color w:val="000000"/>
          <w:sz w:val="20"/>
          <w:szCs w:val="20"/>
        </w:rPr>
        <w:t xml:space="preserve"> as the primary sources for </w:t>
      </w:r>
      <w:r>
        <w:rPr>
          <w:rFonts w:ascii="Arial" w:hAnsi="Arial" w:cs="Arial"/>
          <w:color w:val="000000"/>
          <w:sz w:val="20"/>
          <w:szCs w:val="20"/>
          <w:highlight w:val="yellow"/>
        </w:rPr>
        <w:t>analysing</w:t>
      </w:r>
      <w:r>
        <w:rPr>
          <w:rFonts w:ascii="Arial" w:hAnsi="Arial" w:cs="Arial"/>
          <w:color w:val="000000"/>
          <w:sz w:val="20"/>
          <w:szCs w:val="20"/>
        </w:rPr>
        <w:t xml:space="preserve"> the signals communicated by the selected MOOCs. The designation of a course as highly enrolled was based on its inclusion in Class Central’s ranking, not on the current </w:t>
      </w:r>
      <w:r>
        <w:rPr>
          <w:rFonts w:ascii="Arial" w:hAnsi="Arial" w:cs="Arial"/>
          <w:color w:val="000000"/>
          <w:sz w:val="20"/>
          <w:szCs w:val="20"/>
          <w:highlight w:val="yellow"/>
        </w:rPr>
        <w:t>enrolment</w:t>
      </w:r>
      <w:r>
        <w:rPr>
          <w:rFonts w:ascii="Arial" w:hAnsi="Arial" w:cs="Arial"/>
          <w:color w:val="000000"/>
          <w:sz w:val="20"/>
          <w:szCs w:val="20"/>
        </w:rPr>
        <w:t xml:space="preserve"> figures displayed on Coursera. Dynamic </w:t>
      </w:r>
      <w:r>
        <w:rPr>
          <w:rFonts w:ascii="Arial" w:hAnsi="Arial" w:cs="Arial"/>
          <w:color w:val="000000"/>
          <w:sz w:val="20"/>
          <w:szCs w:val="20"/>
          <w:highlight w:val="yellow"/>
        </w:rPr>
        <w:t>enrolment</w:t>
      </w:r>
      <w:r>
        <w:rPr>
          <w:rFonts w:ascii="Arial" w:hAnsi="Arial" w:cs="Arial"/>
          <w:color w:val="000000"/>
          <w:sz w:val="20"/>
          <w:szCs w:val="20"/>
        </w:rPr>
        <w:t xml:space="preserve"> information on Coursera pages was not treated as substantive evidence, as such data may fluctuate over time.</w:t>
      </w:r>
    </w:p>
    <w:p w14:paraId="2661AB54" w14:textId="77777777" w:rsidR="008833D1" w:rsidRDefault="008833D1" w:rsidP="008833D1">
      <w:pPr>
        <w:pStyle w:val="NormalWeb"/>
        <w:spacing w:before="0" w:beforeAutospacing="0" w:after="0" w:afterAutospacing="0"/>
      </w:pPr>
      <w:r>
        <w:rPr>
          <w:rFonts w:ascii="Arial" w:hAnsi="Arial" w:cs="Arial"/>
          <w:color w:val="000000"/>
          <w:sz w:val="20"/>
          <w:szCs w:val="20"/>
        </w:rPr>
        <w:t xml:space="preserve">For each selected course, publicly available information was extracted to provide evidence of provider reputation or prestige, instructor expertise, expected </w:t>
      </w:r>
      <w:r>
        <w:rPr>
          <w:rFonts w:ascii="Arial" w:hAnsi="Arial" w:cs="Arial"/>
          <w:color w:val="000000"/>
          <w:sz w:val="20"/>
          <w:szCs w:val="20"/>
          <w:highlight w:val="yellow"/>
        </w:rPr>
        <w:t>rigour</w:t>
      </w:r>
      <w:r>
        <w:rPr>
          <w:rFonts w:ascii="Arial" w:hAnsi="Arial" w:cs="Arial"/>
          <w:color w:val="000000"/>
          <w:sz w:val="20"/>
          <w:szCs w:val="20"/>
        </w:rPr>
        <w:t xml:space="preserve">, and credential or competence value. Information was deemed relevant if it met the operational definitions established in the study’s analytical framework. Signals were not inferred solely from the presence of a provider or instructor name; instead, the information had to communicate a </w:t>
      </w:r>
      <w:r>
        <w:rPr>
          <w:rFonts w:ascii="Arial" w:hAnsi="Arial" w:cs="Arial"/>
          <w:color w:val="000000"/>
          <w:sz w:val="20"/>
          <w:szCs w:val="20"/>
          <w:highlight w:val="yellow"/>
        </w:rPr>
        <w:t>recognisable</w:t>
      </w:r>
      <w:r>
        <w:rPr>
          <w:rFonts w:ascii="Arial" w:hAnsi="Arial" w:cs="Arial"/>
          <w:color w:val="000000"/>
          <w:sz w:val="20"/>
          <w:szCs w:val="20"/>
        </w:rPr>
        <w:t xml:space="preserve"> cue regarding credibility, expertise, </w:t>
      </w:r>
      <w:r>
        <w:rPr>
          <w:rFonts w:ascii="Arial" w:hAnsi="Arial" w:cs="Arial"/>
          <w:color w:val="000000"/>
          <w:sz w:val="20"/>
          <w:szCs w:val="20"/>
          <w:highlight w:val="yellow"/>
        </w:rPr>
        <w:t>rigour</w:t>
      </w:r>
      <w:r>
        <w:rPr>
          <w:rFonts w:ascii="Arial" w:hAnsi="Arial" w:cs="Arial"/>
          <w:color w:val="000000"/>
          <w:sz w:val="20"/>
          <w:szCs w:val="20"/>
        </w:rPr>
        <w:t>, or competence.</w:t>
      </w:r>
    </w:p>
    <w:p w14:paraId="0BF67FFF" w14:textId="77777777" w:rsidR="008833D1" w:rsidRDefault="008833D1" w:rsidP="008833D1">
      <w:pPr>
        <w:pStyle w:val="NormalWeb"/>
        <w:spacing w:before="0" w:beforeAutospacing="0" w:after="0" w:afterAutospacing="0"/>
      </w:pPr>
      <w:r>
        <w:rPr>
          <w:rFonts w:ascii="Arial" w:hAnsi="Arial" w:cs="Arial"/>
          <w:color w:val="000000"/>
          <w:sz w:val="20"/>
          <w:szCs w:val="20"/>
        </w:rPr>
        <w:t xml:space="preserve">Only information intentionally made publicly accessible on the selected Coursera course pages was included in the substantive analysis. Learner reviews, discussion posts, private course materials, interviews, surveys, and other non-public sources were excluded. Similarly, Class Central information was not </w:t>
      </w:r>
      <w:r>
        <w:rPr>
          <w:rFonts w:ascii="Arial" w:hAnsi="Arial" w:cs="Arial"/>
          <w:color w:val="000000"/>
          <w:sz w:val="20"/>
          <w:szCs w:val="20"/>
          <w:highlight w:val="yellow"/>
        </w:rPr>
        <w:t>analysed</w:t>
      </w:r>
      <w:r>
        <w:rPr>
          <w:rFonts w:ascii="Arial" w:hAnsi="Arial" w:cs="Arial"/>
          <w:color w:val="000000"/>
          <w:sz w:val="20"/>
          <w:szCs w:val="20"/>
        </w:rPr>
        <w:t xml:space="preserve"> as evidence of </w:t>
      </w:r>
      <w:r>
        <w:rPr>
          <w:rFonts w:ascii="Arial" w:hAnsi="Arial" w:cs="Arial"/>
          <w:color w:val="000000"/>
          <w:sz w:val="20"/>
          <w:szCs w:val="20"/>
          <w:highlight w:val="yellow"/>
        </w:rPr>
        <w:t>signalling</w:t>
      </w:r>
      <w:r>
        <w:rPr>
          <w:rFonts w:ascii="Arial" w:hAnsi="Arial" w:cs="Arial"/>
          <w:color w:val="000000"/>
          <w:sz w:val="20"/>
          <w:szCs w:val="20"/>
        </w:rPr>
        <w:t>; its role was limited to identifying cases that met the study’s sampling criteria.</w:t>
      </w:r>
    </w:p>
    <w:p w14:paraId="0A99223F" w14:textId="77777777" w:rsidR="00B57BC1" w:rsidRDefault="00B57BC1" w:rsidP="00B57BC1"/>
    <w:p w14:paraId="2FC37EBD" w14:textId="77777777" w:rsidR="00D32EE8" w:rsidRPr="00D32EE8" w:rsidRDefault="00B57BC1" w:rsidP="00D32EE8">
      <w:pPr>
        <w:pStyle w:val="Heading3"/>
        <w:spacing w:before="0"/>
        <w:rPr>
          <w:b/>
          <w:bCs/>
          <w:sz w:val="22"/>
          <w:szCs w:val="22"/>
        </w:rPr>
      </w:pPr>
      <w:r w:rsidRPr="00D32EE8">
        <w:rPr>
          <w:rFonts w:ascii="Arial" w:hAnsi="Arial" w:cs="Arial"/>
          <w:b/>
          <w:bCs/>
          <w:color w:val="000000"/>
          <w:sz w:val="22"/>
          <w:szCs w:val="22"/>
        </w:rPr>
        <w:t xml:space="preserve">2.4 </w:t>
      </w:r>
      <w:r w:rsidR="00D32EE8" w:rsidRPr="00D32EE8">
        <w:rPr>
          <w:rFonts w:ascii="Arial" w:hAnsi="Arial" w:cs="Arial"/>
          <w:b/>
          <w:bCs/>
          <w:color w:val="000000"/>
          <w:sz w:val="22"/>
          <w:szCs w:val="22"/>
        </w:rPr>
        <w:t>Analytical Framework and Codebook</w:t>
      </w:r>
    </w:p>
    <w:p w14:paraId="79E1E6CF" w14:textId="77777777" w:rsidR="00B57BC1" w:rsidRDefault="00B57BC1" w:rsidP="00B57BC1"/>
    <w:p w14:paraId="6A607E58" w14:textId="77777777" w:rsidR="00D32EE8" w:rsidRDefault="00D32EE8" w:rsidP="00D32EE8">
      <w:pPr>
        <w:pStyle w:val="NormalWeb"/>
        <w:spacing w:before="0" w:beforeAutospacing="0" w:after="0" w:afterAutospacing="0"/>
      </w:pPr>
      <w:r>
        <w:rPr>
          <w:rFonts w:ascii="Arial" w:hAnsi="Arial" w:cs="Arial"/>
          <w:color w:val="000000"/>
          <w:sz w:val="20"/>
          <w:szCs w:val="20"/>
          <w:highlight w:val="yellow"/>
        </w:rPr>
        <w:t>Signalling</w:t>
      </w:r>
      <w:r>
        <w:rPr>
          <w:rFonts w:ascii="Arial" w:hAnsi="Arial" w:cs="Arial"/>
          <w:color w:val="000000"/>
          <w:sz w:val="20"/>
          <w:szCs w:val="20"/>
        </w:rPr>
        <w:t xml:space="preserve"> Theory was adopted as the analytical framework for this study. This theory addresses communication in contexts of information asymmetry, where </w:t>
      </w:r>
      <w:r>
        <w:rPr>
          <w:rFonts w:ascii="Arial" w:hAnsi="Arial" w:cs="Arial"/>
          <w:color w:val="000000"/>
          <w:sz w:val="20"/>
          <w:szCs w:val="20"/>
          <w:highlight w:val="yellow"/>
        </w:rPr>
        <w:t>signallers</w:t>
      </w:r>
      <w:r>
        <w:rPr>
          <w:rFonts w:ascii="Arial" w:hAnsi="Arial" w:cs="Arial"/>
          <w:color w:val="000000"/>
          <w:sz w:val="20"/>
          <w:szCs w:val="20"/>
        </w:rPr>
        <w:t xml:space="preserve"> provide observable information that enables receivers to infer otherwise unobservable qualities (Connelly et al., 2011, 2025). In this context, </w:t>
      </w:r>
      <w:r>
        <w:rPr>
          <w:rFonts w:ascii="Arial" w:hAnsi="Arial" w:cs="Arial"/>
          <w:color w:val="000000"/>
          <w:sz w:val="20"/>
          <w:szCs w:val="20"/>
          <w:highlight w:val="yellow"/>
        </w:rPr>
        <w:t>MOOC providers were conceptualised as signallers, prospective learners were conceptualised as receivers, and publicly available course information was conceptualised as the signalling environment.</w:t>
      </w:r>
    </w:p>
    <w:p w14:paraId="12DBEC95" w14:textId="77777777" w:rsidR="00D32EE8" w:rsidRDefault="00D32EE8" w:rsidP="00D32EE8">
      <w:pPr>
        <w:pStyle w:val="NormalWeb"/>
        <w:spacing w:before="0" w:beforeAutospacing="0" w:after="0" w:afterAutospacing="0"/>
      </w:pPr>
      <w:r>
        <w:rPr>
          <w:rFonts w:ascii="Arial" w:hAnsi="Arial" w:cs="Arial"/>
          <w:color w:val="000000"/>
          <w:sz w:val="20"/>
          <w:szCs w:val="20"/>
        </w:rPr>
        <w:lastRenderedPageBreak/>
        <w:t xml:space="preserve">The codebook was developed deductively by integrating the logic of </w:t>
      </w:r>
      <w:r w:rsidRPr="00D32EE8">
        <w:rPr>
          <w:rFonts w:ascii="Arial" w:hAnsi="Arial" w:cs="Arial"/>
          <w:color w:val="000000"/>
          <w:sz w:val="20"/>
          <w:szCs w:val="20"/>
          <w:highlight w:val="yellow"/>
        </w:rPr>
        <w:t>Signalling</w:t>
      </w:r>
      <w:r w:rsidRPr="00D32EE8">
        <w:rPr>
          <w:rFonts w:ascii="Arial" w:hAnsi="Arial" w:cs="Arial"/>
          <w:color w:val="000000"/>
          <w:sz w:val="20"/>
          <w:szCs w:val="20"/>
        </w:rPr>
        <w:t xml:space="preserve"> Theory with empirical literature on MOOCs and online learning. The four codes represent analytical categories specific to this study, rather than canonical dimensions of </w:t>
      </w:r>
      <w:r w:rsidRPr="00D32EE8">
        <w:rPr>
          <w:rFonts w:ascii="Arial" w:hAnsi="Arial" w:cs="Arial"/>
          <w:color w:val="000000"/>
          <w:sz w:val="20"/>
          <w:szCs w:val="20"/>
          <w:highlight w:val="yellow"/>
        </w:rPr>
        <w:t>Signalling</w:t>
      </w:r>
      <w:r w:rsidRPr="00D32EE8">
        <w:rPr>
          <w:rFonts w:ascii="Arial" w:hAnsi="Arial" w:cs="Arial"/>
          <w:color w:val="000000"/>
          <w:sz w:val="20"/>
          <w:szCs w:val="20"/>
        </w:rPr>
        <w:t xml:space="preserve"> Theory. Course-page features were coded only when they communicated a </w:t>
      </w:r>
      <w:r w:rsidRPr="00D32EE8">
        <w:rPr>
          <w:rFonts w:ascii="Arial" w:hAnsi="Arial" w:cs="Arial"/>
          <w:color w:val="000000"/>
          <w:sz w:val="20"/>
          <w:szCs w:val="20"/>
          <w:highlight w:val="yellow"/>
        </w:rPr>
        <w:t>recognisable</w:t>
      </w:r>
      <w:r>
        <w:rPr>
          <w:rFonts w:ascii="Arial" w:hAnsi="Arial" w:cs="Arial"/>
          <w:color w:val="000000"/>
          <w:sz w:val="20"/>
          <w:szCs w:val="20"/>
        </w:rPr>
        <w:t xml:space="preserve"> cue regarding credibility, expertise, expected demands, competence, or value.</w:t>
      </w:r>
    </w:p>
    <w:p w14:paraId="1A0FD836" w14:textId="77777777" w:rsidR="00D32EE8" w:rsidRDefault="00D32EE8" w:rsidP="00D32EE8">
      <w:pPr>
        <w:pStyle w:val="NormalWeb"/>
        <w:spacing w:before="0" w:beforeAutospacing="0" w:after="0" w:afterAutospacing="0"/>
      </w:pPr>
      <w:r>
        <w:rPr>
          <w:rFonts w:ascii="Arial" w:hAnsi="Arial" w:cs="Arial"/>
          <w:b/>
          <w:bCs/>
          <w:color w:val="000000"/>
          <w:sz w:val="20"/>
          <w:szCs w:val="20"/>
        </w:rPr>
        <w:t>S1 – Provider Reputation/Prestige.</w:t>
      </w:r>
      <w:r>
        <w:rPr>
          <w:rFonts w:ascii="Arial" w:hAnsi="Arial" w:cs="Arial"/>
          <w:color w:val="000000"/>
          <w:sz w:val="20"/>
          <w:szCs w:val="20"/>
        </w:rPr>
        <w:t xml:space="preserve"> This code includes observable information that communicates the credibility, standing, authority, or </w:t>
      </w:r>
      <w:r>
        <w:rPr>
          <w:rFonts w:ascii="Arial" w:hAnsi="Arial" w:cs="Arial"/>
          <w:color w:val="000000"/>
          <w:sz w:val="20"/>
          <w:szCs w:val="20"/>
          <w:highlight w:val="yellow"/>
        </w:rPr>
        <w:t>recognised</w:t>
      </w:r>
      <w:r>
        <w:rPr>
          <w:rFonts w:ascii="Arial" w:hAnsi="Arial" w:cs="Arial"/>
          <w:color w:val="000000"/>
          <w:sz w:val="20"/>
          <w:szCs w:val="20"/>
        </w:rPr>
        <w:t xml:space="preserve"> status of the </w:t>
      </w:r>
      <w:r>
        <w:rPr>
          <w:rFonts w:ascii="Arial" w:hAnsi="Arial" w:cs="Arial"/>
          <w:color w:val="000000"/>
          <w:sz w:val="20"/>
          <w:szCs w:val="20"/>
          <w:highlight w:val="yellow"/>
        </w:rPr>
        <w:t>organisation</w:t>
      </w:r>
      <w:r>
        <w:rPr>
          <w:rFonts w:ascii="Arial" w:hAnsi="Arial" w:cs="Arial"/>
          <w:color w:val="000000"/>
          <w:sz w:val="20"/>
          <w:szCs w:val="20"/>
        </w:rPr>
        <w:t xml:space="preserve"> offering the MOOC. </w:t>
      </w:r>
      <w:r>
        <w:rPr>
          <w:rFonts w:ascii="Arial" w:hAnsi="Arial" w:cs="Arial"/>
          <w:color w:val="000000"/>
          <w:sz w:val="20"/>
          <w:szCs w:val="20"/>
          <w:highlight w:val="yellow"/>
        </w:rPr>
        <w:t>Signalling</w:t>
      </w:r>
      <w:r>
        <w:rPr>
          <w:rFonts w:ascii="Arial" w:hAnsi="Arial" w:cs="Arial"/>
          <w:color w:val="000000"/>
          <w:sz w:val="20"/>
          <w:szCs w:val="20"/>
        </w:rPr>
        <w:t xml:space="preserve"> Theory provides the theoretical basis for treating observable </w:t>
      </w:r>
      <w:r>
        <w:rPr>
          <w:rFonts w:ascii="Arial" w:hAnsi="Arial" w:cs="Arial"/>
          <w:color w:val="000000"/>
          <w:sz w:val="20"/>
          <w:szCs w:val="20"/>
          <w:highlight w:val="yellow"/>
        </w:rPr>
        <w:t>organisational</w:t>
      </w:r>
      <w:r>
        <w:rPr>
          <w:rFonts w:ascii="Arial" w:hAnsi="Arial" w:cs="Arial"/>
          <w:color w:val="000000"/>
          <w:sz w:val="20"/>
          <w:szCs w:val="20"/>
        </w:rPr>
        <w:t xml:space="preserve"> characteristics as potential signals (Connelly et al., 2011, 2025), and MOOC-specific research has identified institutional reputation or prestige as relevant to course selection (Shi &amp; Xu, 2024). Institutional distinctions, rankings presented as credibility cues, </w:t>
      </w:r>
      <w:r>
        <w:rPr>
          <w:rFonts w:ascii="Arial" w:hAnsi="Arial" w:cs="Arial"/>
          <w:color w:val="000000"/>
          <w:sz w:val="20"/>
          <w:szCs w:val="20"/>
          <w:highlight w:val="yellow"/>
        </w:rPr>
        <w:t>recognised</w:t>
      </w:r>
      <w:r>
        <w:rPr>
          <w:rFonts w:ascii="Arial" w:hAnsi="Arial" w:cs="Arial"/>
          <w:color w:val="000000"/>
          <w:sz w:val="20"/>
          <w:szCs w:val="20"/>
        </w:rPr>
        <w:t xml:space="preserve"> status, and established industry standing were coded under S1. The provider name alone was not sufficient unless it was presented or contextualized as evidence of credibility or status.</w:t>
      </w:r>
    </w:p>
    <w:p w14:paraId="6CE65F6A" w14:textId="77777777" w:rsidR="00D32EE8" w:rsidRDefault="00D32EE8" w:rsidP="00D32EE8">
      <w:pPr>
        <w:pStyle w:val="NormalWeb"/>
        <w:spacing w:before="0" w:beforeAutospacing="0" w:after="0" w:afterAutospacing="0"/>
      </w:pPr>
      <w:r>
        <w:rPr>
          <w:rFonts w:ascii="Arial" w:hAnsi="Arial" w:cs="Arial"/>
          <w:b/>
          <w:bCs/>
          <w:color w:val="000000"/>
          <w:sz w:val="20"/>
          <w:szCs w:val="20"/>
        </w:rPr>
        <w:t>S2 – Instructor Expertise.</w:t>
      </w:r>
      <w:r>
        <w:rPr>
          <w:rFonts w:ascii="Arial" w:hAnsi="Arial" w:cs="Arial"/>
          <w:color w:val="000000"/>
          <w:sz w:val="20"/>
          <w:szCs w:val="20"/>
        </w:rPr>
        <w:t xml:space="preserve"> This code pertains to observable information that communicates the academic, professional, research, or industry expertise of instructors. Evidence included academic qualifications, research specialization, professional experience, industry positions, and </w:t>
      </w:r>
      <w:r>
        <w:rPr>
          <w:rFonts w:ascii="Arial" w:hAnsi="Arial" w:cs="Arial"/>
          <w:color w:val="000000"/>
          <w:sz w:val="20"/>
          <w:szCs w:val="20"/>
          <w:highlight w:val="yellow"/>
        </w:rPr>
        <w:t>recognised</w:t>
      </w:r>
      <w:r>
        <w:rPr>
          <w:rFonts w:ascii="Arial" w:hAnsi="Arial" w:cs="Arial"/>
          <w:color w:val="000000"/>
          <w:sz w:val="20"/>
          <w:szCs w:val="20"/>
        </w:rPr>
        <w:t xml:space="preserve"> accomplishments. The theoretical basis follows </w:t>
      </w:r>
      <w:r>
        <w:rPr>
          <w:rFonts w:ascii="Arial" w:hAnsi="Arial" w:cs="Arial"/>
          <w:color w:val="000000"/>
          <w:sz w:val="20"/>
          <w:szCs w:val="20"/>
          <w:highlight w:val="yellow"/>
        </w:rPr>
        <w:t>Signalling</w:t>
      </w:r>
      <w:r>
        <w:rPr>
          <w:rFonts w:ascii="Arial" w:hAnsi="Arial" w:cs="Arial"/>
          <w:color w:val="000000"/>
          <w:sz w:val="20"/>
          <w:szCs w:val="20"/>
        </w:rPr>
        <w:t xml:space="preserve"> Theory's logic that observable characteristics can communicate otherwise less observable qualities (Connelly et al., 2011, 2025), and prior MOOC research identifies instructor credentials and expertise as relevant to course selection (Shi &amp; Xu, 2024). An instructor's name or presence alone was not sufficient for coding.</w:t>
      </w:r>
    </w:p>
    <w:p w14:paraId="5CE75081" w14:textId="77777777" w:rsidR="00D32EE8" w:rsidRDefault="00D32EE8" w:rsidP="00D32EE8">
      <w:pPr>
        <w:pStyle w:val="NormalWeb"/>
        <w:spacing w:before="0" w:beforeAutospacing="0" w:after="0" w:afterAutospacing="0"/>
      </w:pPr>
      <w:r>
        <w:rPr>
          <w:rFonts w:ascii="Arial" w:hAnsi="Arial" w:cs="Arial"/>
          <w:b/>
          <w:bCs/>
          <w:color w:val="000000"/>
          <w:sz w:val="20"/>
          <w:szCs w:val="20"/>
        </w:rPr>
        <w:t xml:space="preserve">S3 – </w:t>
      </w:r>
      <w:r>
        <w:rPr>
          <w:rFonts w:ascii="Arial" w:hAnsi="Arial" w:cs="Arial"/>
          <w:b/>
          <w:bCs/>
          <w:color w:val="000000"/>
          <w:sz w:val="20"/>
          <w:szCs w:val="20"/>
          <w:highlight w:val="yellow"/>
        </w:rPr>
        <w:t>Rigour</w:t>
      </w:r>
      <w:r>
        <w:rPr>
          <w:rFonts w:ascii="Arial" w:hAnsi="Arial" w:cs="Arial"/>
          <w:b/>
          <w:bCs/>
          <w:color w:val="000000"/>
          <w:sz w:val="20"/>
          <w:szCs w:val="20"/>
        </w:rPr>
        <w:t xml:space="preserve"> Signals.</w:t>
      </w:r>
      <w:r>
        <w:rPr>
          <w:rFonts w:ascii="Arial" w:hAnsi="Arial" w:cs="Arial"/>
          <w:color w:val="000000"/>
          <w:sz w:val="20"/>
          <w:szCs w:val="20"/>
        </w:rPr>
        <w:t xml:space="preserve"> This code encompasses observable course characteristics that communicate expected difficulty, effort, seriousness, or academic or technical demands. Shi and Xu (2024) specifically examined stated difficulty and expected effort as MOOC </w:t>
      </w:r>
      <w:r>
        <w:rPr>
          <w:rFonts w:ascii="Arial" w:hAnsi="Arial" w:cs="Arial"/>
          <w:color w:val="000000"/>
          <w:sz w:val="20"/>
          <w:szCs w:val="20"/>
          <w:highlight w:val="yellow"/>
        </w:rPr>
        <w:t>signalling</w:t>
      </w:r>
      <w:r>
        <w:rPr>
          <w:rFonts w:ascii="Arial" w:hAnsi="Arial" w:cs="Arial"/>
          <w:color w:val="000000"/>
          <w:sz w:val="20"/>
          <w:szCs w:val="20"/>
        </w:rPr>
        <w:t xml:space="preserve"> attributes. Prerequisites, stated workload, difficulty level, assessments, graded activities, projects, and technical requirements were coded as </w:t>
      </w:r>
      <w:r>
        <w:rPr>
          <w:rFonts w:ascii="Arial" w:hAnsi="Arial" w:cs="Arial"/>
          <w:color w:val="000000"/>
          <w:sz w:val="20"/>
          <w:szCs w:val="20"/>
          <w:highlight w:val="yellow"/>
        </w:rPr>
        <w:t>rigour</w:t>
      </w:r>
      <w:r>
        <w:rPr>
          <w:rFonts w:ascii="Arial" w:hAnsi="Arial" w:cs="Arial"/>
          <w:color w:val="000000"/>
          <w:sz w:val="20"/>
          <w:szCs w:val="20"/>
        </w:rPr>
        <w:t xml:space="preserve"> signals. These indicators were interpreted as communications of expected </w:t>
      </w:r>
      <w:r>
        <w:rPr>
          <w:rFonts w:ascii="Arial" w:hAnsi="Arial" w:cs="Arial"/>
          <w:color w:val="000000"/>
          <w:sz w:val="20"/>
          <w:szCs w:val="20"/>
          <w:highlight w:val="yellow"/>
        </w:rPr>
        <w:t>rigour</w:t>
      </w:r>
      <w:r>
        <w:rPr>
          <w:rFonts w:ascii="Arial" w:hAnsi="Arial" w:cs="Arial"/>
          <w:color w:val="000000"/>
          <w:sz w:val="20"/>
          <w:szCs w:val="20"/>
        </w:rPr>
        <w:t>, not as objective measures of actual course difficulty.</w:t>
      </w:r>
    </w:p>
    <w:p w14:paraId="31084D64" w14:textId="77777777" w:rsidR="00D32EE8" w:rsidRDefault="00D32EE8" w:rsidP="00D32EE8">
      <w:pPr>
        <w:pStyle w:val="NormalWeb"/>
        <w:spacing w:before="0" w:beforeAutospacing="0" w:after="0" w:afterAutospacing="0"/>
      </w:pPr>
      <w:r>
        <w:rPr>
          <w:rFonts w:ascii="Arial" w:hAnsi="Arial" w:cs="Arial"/>
          <w:b/>
          <w:bCs/>
          <w:color w:val="000000"/>
          <w:sz w:val="20"/>
          <w:szCs w:val="20"/>
        </w:rPr>
        <w:t>S4 – Credential and Competence Signals.</w:t>
      </w:r>
      <w:r>
        <w:rPr>
          <w:rFonts w:ascii="Arial" w:hAnsi="Arial" w:cs="Arial"/>
          <w:color w:val="000000"/>
          <w:sz w:val="20"/>
          <w:szCs w:val="20"/>
        </w:rPr>
        <w:t xml:space="preserve"> This code includes observable information that communicates what successful participation or completion represents in terms of credentials, skills, knowledge, competence, or professional value. Gorbatov et al. (2020) examined MOOC participation and certification as signals of professional value, while Rivas et al. (2020) found that MOOC credentials can generate positive hiring preferences compared to having no listed credential. Evidence coded under S4 included certificates, professional credentials, specified competencies or skills, qualification claims, employer recognition, and explicit statements connecting completion with professional capability.</w:t>
      </w:r>
    </w:p>
    <w:p w14:paraId="268DB7B7" w14:textId="77777777" w:rsidR="00D32EE8" w:rsidRDefault="00D32EE8" w:rsidP="00D32EE8">
      <w:pPr>
        <w:pStyle w:val="NormalWeb"/>
        <w:spacing w:before="0" w:beforeAutospacing="0" w:after="0" w:afterAutospacing="0"/>
      </w:pPr>
      <w:r>
        <w:rPr>
          <w:rFonts w:ascii="Arial" w:hAnsi="Arial" w:cs="Arial"/>
          <w:color w:val="000000"/>
          <w:sz w:val="20"/>
          <w:szCs w:val="20"/>
        </w:rPr>
        <w:t xml:space="preserve">The four-category codebook was applied consistently across all ten cases. </w:t>
      </w:r>
      <w:r>
        <w:rPr>
          <w:rFonts w:ascii="Arial" w:hAnsi="Arial" w:cs="Arial"/>
          <w:b/>
          <w:bCs/>
          <w:color w:val="000000"/>
          <w:sz w:val="20"/>
          <w:szCs w:val="20"/>
        </w:rPr>
        <w:t xml:space="preserve">Course domain </w:t>
      </w:r>
      <w:r w:rsidRPr="00D32EE8">
        <w:rPr>
          <w:rFonts w:ascii="Arial" w:hAnsi="Arial" w:cs="Arial"/>
          <w:color w:val="000000"/>
          <w:sz w:val="20"/>
          <w:szCs w:val="20"/>
        </w:rPr>
        <w:t xml:space="preserve">was not treated as a </w:t>
      </w:r>
      <w:r w:rsidRPr="00D32EE8">
        <w:rPr>
          <w:rFonts w:ascii="Arial" w:hAnsi="Arial" w:cs="Arial"/>
          <w:color w:val="000000"/>
          <w:sz w:val="20"/>
          <w:szCs w:val="20"/>
          <w:highlight w:val="yellow"/>
        </w:rPr>
        <w:t>signalling</w:t>
      </w:r>
      <w:r w:rsidRPr="00D32EE8">
        <w:rPr>
          <w:rFonts w:ascii="Arial" w:hAnsi="Arial" w:cs="Arial"/>
          <w:color w:val="000000"/>
          <w:sz w:val="20"/>
          <w:szCs w:val="20"/>
        </w:rPr>
        <w:t xml:space="preserve"> code but was retained as descriptive contextual information for examining emergent patterns following the primary</w:t>
      </w:r>
      <w:r>
        <w:rPr>
          <w:rFonts w:ascii="Arial" w:hAnsi="Arial" w:cs="Arial"/>
          <w:color w:val="000000"/>
          <w:sz w:val="20"/>
          <w:szCs w:val="20"/>
        </w:rPr>
        <w:t xml:space="preserve"> provider-type comparison. Career relevance, price, duration, accessibility, and other course-page features were not considered independent codes unless their presentation provided evidence relevant to one of the four </w:t>
      </w:r>
      <w:r>
        <w:rPr>
          <w:rFonts w:ascii="Arial" w:hAnsi="Arial" w:cs="Arial"/>
          <w:color w:val="000000"/>
          <w:sz w:val="20"/>
          <w:szCs w:val="20"/>
          <w:highlight w:val="yellow"/>
        </w:rPr>
        <w:t>signalling</w:t>
      </w:r>
      <w:r>
        <w:rPr>
          <w:rFonts w:ascii="Arial" w:hAnsi="Arial" w:cs="Arial"/>
          <w:color w:val="000000"/>
          <w:sz w:val="20"/>
          <w:szCs w:val="20"/>
        </w:rPr>
        <w:t xml:space="preserve"> categories.</w:t>
      </w:r>
    </w:p>
    <w:p w14:paraId="25CDBEC6" w14:textId="77777777" w:rsidR="00B57BC1" w:rsidRDefault="00B57BC1" w:rsidP="00B57BC1"/>
    <w:p w14:paraId="611C7CDB"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 xml:space="preserve">2.5 </w:t>
      </w:r>
      <w:r w:rsidR="00180FAB">
        <w:rPr>
          <w:rFonts w:ascii="Arial" w:hAnsi="Arial" w:cs="Arial"/>
          <w:b/>
          <w:bCs/>
          <w:color w:val="000000"/>
          <w:sz w:val="22"/>
          <w:szCs w:val="22"/>
        </w:rPr>
        <w:t>Data Analysis</w:t>
      </w:r>
    </w:p>
    <w:p w14:paraId="1CEECFFA" w14:textId="77777777" w:rsidR="00B57BC1" w:rsidRDefault="00B57BC1" w:rsidP="00B57BC1"/>
    <w:p w14:paraId="10AD6B50" w14:textId="77777777" w:rsidR="002F322E" w:rsidRPr="00797514" w:rsidRDefault="002F322E" w:rsidP="00797514">
      <w:pPr>
        <w:pStyle w:val="NormalWeb"/>
        <w:spacing w:before="0" w:beforeAutospacing="0" w:after="0" w:afterAutospacing="0"/>
        <w:rPr>
          <w:rFonts w:ascii="Arial" w:hAnsi="Arial" w:cs="Arial"/>
          <w:sz w:val="20"/>
          <w:szCs w:val="20"/>
        </w:rPr>
      </w:pPr>
      <w:r w:rsidRPr="002F322E">
        <w:rPr>
          <w:rFonts w:ascii="Arial" w:hAnsi="Arial" w:cs="Arial"/>
          <w:color w:val="000000"/>
          <w:sz w:val="20"/>
          <w:szCs w:val="20"/>
        </w:rPr>
        <w:t xml:space="preserve">Documentary data were </w:t>
      </w:r>
      <w:r w:rsidRPr="002F322E">
        <w:rPr>
          <w:rFonts w:ascii="Arial" w:hAnsi="Arial" w:cs="Arial"/>
          <w:color w:val="000000"/>
          <w:sz w:val="20"/>
          <w:szCs w:val="20"/>
          <w:highlight w:val="yellow"/>
        </w:rPr>
        <w:t>analysed</w:t>
      </w:r>
      <w:r w:rsidRPr="002F322E">
        <w:rPr>
          <w:rFonts w:ascii="Arial" w:hAnsi="Arial" w:cs="Arial"/>
          <w:color w:val="000000"/>
          <w:sz w:val="20"/>
          <w:szCs w:val="20"/>
        </w:rPr>
        <w:t xml:space="preserve"> using directed qualitative content analysis. This method was selected because the study commenced with an established theoretical framework and a deductively developed codebook, which enabled systematic application of theory-informed categories to textual data (Alyaqoub et al., 2024; Fife &amp; Gossner, 2024). The analysis </w:t>
      </w:r>
      <w:r w:rsidRPr="002F322E">
        <w:rPr>
          <w:rFonts w:ascii="Arial" w:hAnsi="Arial" w:cs="Arial"/>
          <w:color w:val="000000"/>
          <w:sz w:val="20"/>
          <w:szCs w:val="20"/>
          <w:highlight w:val="yellow"/>
        </w:rPr>
        <w:t>prioritised</w:t>
      </w:r>
      <w:r w:rsidRPr="002F322E">
        <w:rPr>
          <w:rFonts w:ascii="Arial" w:hAnsi="Arial" w:cs="Arial"/>
          <w:color w:val="000000"/>
          <w:sz w:val="20"/>
          <w:szCs w:val="20"/>
        </w:rPr>
        <w:t xml:space="preserve"> the identification of observable information serving as signals within the four categories established in Section 2.4.</w:t>
      </w:r>
    </w:p>
    <w:p w14:paraId="67FA8618" w14:textId="77777777" w:rsidR="00797514" w:rsidRPr="00797514" w:rsidRDefault="00797514" w:rsidP="00797514">
      <w:pPr>
        <w:pStyle w:val="isselectedend"/>
        <w:spacing w:before="0" w:beforeAutospacing="0" w:after="0" w:afterAutospacing="0"/>
        <w:rPr>
          <w:rFonts w:ascii="Arial" w:hAnsi="Arial" w:cs="Arial"/>
          <w:sz w:val="20"/>
          <w:szCs w:val="20"/>
        </w:rPr>
      </w:pPr>
      <w:r w:rsidRPr="00797514">
        <w:rPr>
          <w:rFonts w:ascii="Arial" w:hAnsi="Arial" w:cs="Arial"/>
          <w:sz w:val="20"/>
          <w:szCs w:val="20"/>
        </w:rPr>
        <w:lastRenderedPageBreak/>
        <w:t xml:space="preserve">The analysis was conducted in five stages. First, the publicly available course information for each selected MOOC was reviewed and </w:t>
      </w:r>
      <w:r>
        <w:rPr>
          <w:rFonts w:ascii="Arial" w:hAnsi="Arial" w:cs="Arial"/>
          <w:sz w:val="20"/>
          <w:szCs w:val="20"/>
          <w:highlight w:val="yellow"/>
        </w:rPr>
        <w:t>organised</w:t>
      </w:r>
      <w:r>
        <w:rPr>
          <w:rFonts w:ascii="Arial" w:hAnsi="Arial" w:cs="Arial"/>
          <w:sz w:val="20"/>
          <w:szCs w:val="20"/>
        </w:rPr>
        <w:t xml:space="preserve"> by case. Second, meaningful segments of course-page information were identified as units of analysis. </w:t>
      </w:r>
      <w:r w:rsidR="00017722" w:rsidRPr="00017722">
        <w:rPr>
          <w:rFonts w:ascii="Arial" w:hAnsi="Arial" w:cs="Arial"/>
          <w:sz w:val="20"/>
          <w:szCs w:val="20"/>
        </w:rPr>
        <w:t xml:space="preserve">A segment was deemed relevant if it communicated information that could serve as a </w:t>
      </w:r>
      <w:r w:rsidR="00017722" w:rsidRPr="00017722">
        <w:rPr>
          <w:rFonts w:ascii="Arial" w:hAnsi="Arial" w:cs="Arial"/>
          <w:sz w:val="20"/>
          <w:szCs w:val="20"/>
          <w:highlight w:val="yellow"/>
        </w:rPr>
        <w:t>recognisable</w:t>
      </w:r>
      <w:r w:rsidR="00017722" w:rsidRPr="00017722">
        <w:rPr>
          <w:rFonts w:ascii="Arial" w:hAnsi="Arial" w:cs="Arial"/>
          <w:sz w:val="20"/>
          <w:szCs w:val="20"/>
        </w:rPr>
        <w:t xml:space="preserve"> cue regarding provider credibility, instructor expertise, expected </w:t>
      </w:r>
      <w:r w:rsidR="00017722" w:rsidRPr="00017722">
        <w:rPr>
          <w:rFonts w:ascii="Arial" w:hAnsi="Arial" w:cs="Arial"/>
          <w:sz w:val="20"/>
          <w:szCs w:val="20"/>
          <w:highlight w:val="yellow"/>
        </w:rPr>
        <w:t>rigour</w:t>
      </w:r>
      <w:r w:rsidR="00017722" w:rsidRPr="00017722">
        <w:rPr>
          <w:rFonts w:ascii="Arial" w:hAnsi="Arial" w:cs="Arial"/>
          <w:sz w:val="20"/>
          <w:szCs w:val="20"/>
        </w:rPr>
        <w:t xml:space="preserve">, or credential and competence value. </w:t>
      </w:r>
      <w:r w:rsidRPr="00017722">
        <w:rPr>
          <w:rFonts w:ascii="Arial" w:hAnsi="Arial" w:cs="Arial"/>
          <w:sz w:val="20"/>
          <w:szCs w:val="20"/>
        </w:rPr>
        <w:t>Third, the identified segments were deductively</w:t>
      </w:r>
      <w:r w:rsidRPr="00797514">
        <w:rPr>
          <w:rFonts w:ascii="Arial" w:hAnsi="Arial" w:cs="Arial"/>
          <w:sz w:val="20"/>
          <w:szCs w:val="20"/>
        </w:rPr>
        <w:t xml:space="preserve"> coded using the S1–S4 categories according to their operational definitions. Course-page features were coded only if they satisfied the operational definition of the corresponding </w:t>
      </w:r>
      <w:r w:rsidRPr="00797514">
        <w:rPr>
          <w:rFonts w:ascii="Arial" w:hAnsi="Arial" w:cs="Arial"/>
          <w:sz w:val="20"/>
          <w:szCs w:val="20"/>
          <w:highlight w:val="yellow"/>
        </w:rPr>
        <w:t>signalling</w:t>
      </w:r>
      <w:r w:rsidRPr="00797514">
        <w:rPr>
          <w:rFonts w:ascii="Arial" w:hAnsi="Arial" w:cs="Arial"/>
          <w:sz w:val="20"/>
          <w:szCs w:val="20"/>
        </w:rPr>
        <w:t xml:space="preserve"> category.</w:t>
      </w:r>
    </w:p>
    <w:p w14:paraId="10F7431A" w14:textId="77777777" w:rsidR="00797514" w:rsidRPr="00797514" w:rsidRDefault="00797514" w:rsidP="00797514">
      <w:pPr>
        <w:pStyle w:val="NormalWeb"/>
        <w:spacing w:before="0" w:beforeAutospacing="0" w:after="0" w:afterAutospacing="0"/>
        <w:rPr>
          <w:rFonts w:ascii="Arial" w:hAnsi="Arial" w:cs="Arial"/>
          <w:sz w:val="20"/>
          <w:szCs w:val="20"/>
        </w:rPr>
      </w:pPr>
      <w:r w:rsidRPr="00797514">
        <w:rPr>
          <w:rFonts w:ascii="Arial" w:hAnsi="Arial" w:cs="Arial"/>
          <w:sz w:val="20"/>
          <w:szCs w:val="20"/>
        </w:rPr>
        <w:t>Fourth, within-case analysis was conducted to examine the combination and presentation of signals within each MOOC, maintaining the context of individual cases. Fifth, comparative analysis was performed within each provider group and then across university and industry groups to identify similarities, differences, and distinctive combinations of signals. Course domains were subsequently examined descriptively to identify emergent patterns, without treating domains as predetermined analytical categories.</w:t>
      </w:r>
    </w:p>
    <w:p w14:paraId="78D60400" w14:textId="77777777" w:rsidR="002F322E" w:rsidRPr="002F322E" w:rsidRDefault="002F322E" w:rsidP="002F322E">
      <w:pPr>
        <w:pStyle w:val="NormalWeb"/>
        <w:spacing w:before="0" w:beforeAutospacing="0" w:after="0" w:afterAutospacing="0"/>
        <w:rPr>
          <w:rFonts w:ascii="Arial" w:hAnsi="Arial" w:cs="Arial"/>
          <w:color w:val="000000"/>
          <w:sz w:val="20"/>
          <w:szCs w:val="20"/>
        </w:rPr>
      </w:pPr>
      <w:r w:rsidRPr="002F322E">
        <w:rPr>
          <w:rFonts w:ascii="Arial" w:hAnsi="Arial" w:cs="Arial"/>
          <w:color w:val="000000"/>
          <w:sz w:val="20"/>
          <w:szCs w:val="20"/>
        </w:rPr>
        <w:t xml:space="preserve">The analysis </w:t>
      </w:r>
      <w:r w:rsidRPr="002F322E">
        <w:rPr>
          <w:rFonts w:ascii="Arial" w:hAnsi="Arial" w:cs="Arial"/>
          <w:color w:val="000000"/>
          <w:sz w:val="20"/>
          <w:szCs w:val="20"/>
          <w:highlight w:val="yellow"/>
        </w:rPr>
        <w:t>emphasised</w:t>
      </w:r>
      <w:r w:rsidRPr="002F322E">
        <w:rPr>
          <w:rFonts w:ascii="Arial" w:hAnsi="Arial" w:cs="Arial"/>
          <w:color w:val="000000"/>
          <w:sz w:val="20"/>
          <w:szCs w:val="20"/>
        </w:rPr>
        <w:t xml:space="preserve"> patterns of </w:t>
      </w:r>
      <w:r w:rsidRPr="002F322E">
        <w:rPr>
          <w:rFonts w:ascii="Arial" w:hAnsi="Arial" w:cs="Arial"/>
          <w:color w:val="000000"/>
          <w:sz w:val="20"/>
          <w:szCs w:val="20"/>
          <w:highlight w:val="yellow"/>
        </w:rPr>
        <w:t>signalling</w:t>
      </w:r>
      <w:r w:rsidRPr="002F322E">
        <w:rPr>
          <w:rFonts w:ascii="Arial" w:hAnsi="Arial" w:cs="Arial"/>
          <w:color w:val="000000"/>
          <w:sz w:val="20"/>
          <w:szCs w:val="20"/>
        </w:rPr>
        <w:t xml:space="preserve"> rather than numerical frequency or causal effects. No scores, rankings, or statistical tests were assigned to the four codes. </w:t>
      </w:r>
      <w:r w:rsidRPr="002F322E">
        <w:rPr>
          <w:rFonts w:ascii="Arial" w:hAnsi="Arial" w:cs="Arial"/>
          <w:color w:val="000000"/>
          <w:sz w:val="20"/>
          <w:szCs w:val="20"/>
          <w:highlight w:val="yellow"/>
        </w:rPr>
        <w:t>Enrolment</w:t>
      </w:r>
      <w:r w:rsidRPr="002F322E">
        <w:rPr>
          <w:rFonts w:ascii="Arial" w:hAnsi="Arial" w:cs="Arial"/>
          <w:color w:val="000000"/>
          <w:sz w:val="20"/>
          <w:szCs w:val="20"/>
        </w:rPr>
        <w:t xml:space="preserve"> was used exclusively to establish case inclusion through the Class Central sampling frame and was not </w:t>
      </w:r>
      <w:r w:rsidRPr="002F322E">
        <w:rPr>
          <w:rFonts w:ascii="Arial" w:hAnsi="Arial" w:cs="Arial"/>
          <w:color w:val="000000"/>
          <w:sz w:val="20"/>
          <w:szCs w:val="20"/>
          <w:highlight w:val="yellow"/>
        </w:rPr>
        <w:t>analysed</w:t>
      </w:r>
      <w:r w:rsidRPr="002F322E">
        <w:rPr>
          <w:rFonts w:ascii="Arial" w:hAnsi="Arial" w:cs="Arial"/>
          <w:color w:val="000000"/>
          <w:sz w:val="20"/>
          <w:szCs w:val="20"/>
        </w:rPr>
        <w:t xml:space="preserve"> as a dependent variable. This approach precludes causal claims regarding learner </w:t>
      </w:r>
      <w:r w:rsidRPr="002F322E">
        <w:rPr>
          <w:rFonts w:ascii="Arial" w:hAnsi="Arial" w:cs="Arial"/>
          <w:color w:val="000000"/>
          <w:sz w:val="20"/>
          <w:szCs w:val="20"/>
          <w:highlight w:val="yellow"/>
        </w:rPr>
        <w:t>enrolment</w:t>
      </w:r>
      <w:r w:rsidRPr="002F322E">
        <w:rPr>
          <w:rFonts w:ascii="Arial" w:hAnsi="Arial" w:cs="Arial"/>
          <w:color w:val="000000"/>
          <w:sz w:val="20"/>
          <w:szCs w:val="20"/>
        </w:rPr>
        <w:t xml:space="preserve"> in the selected MOOCs and maintains the study’s focus on observable </w:t>
      </w:r>
      <w:r w:rsidRPr="002F322E">
        <w:rPr>
          <w:rFonts w:ascii="Arial" w:hAnsi="Arial" w:cs="Arial"/>
          <w:color w:val="000000"/>
          <w:sz w:val="20"/>
          <w:szCs w:val="20"/>
          <w:highlight w:val="yellow"/>
        </w:rPr>
        <w:t>signalling</w:t>
      </w:r>
      <w:r w:rsidRPr="002F322E">
        <w:rPr>
          <w:rFonts w:ascii="Arial" w:hAnsi="Arial" w:cs="Arial"/>
          <w:color w:val="000000"/>
          <w:sz w:val="20"/>
          <w:szCs w:val="20"/>
        </w:rPr>
        <w:t xml:space="preserve"> patterns communicated through publicly available course information.</w:t>
      </w:r>
    </w:p>
    <w:p w14:paraId="45645FBF"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2.6 Trustworthiness</w:t>
      </w:r>
    </w:p>
    <w:p w14:paraId="36BA0405" w14:textId="77777777" w:rsidR="00B57BC1" w:rsidRDefault="00B57BC1" w:rsidP="00B57BC1"/>
    <w:p w14:paraId="1939014C" w14:textId="77777777" w:rsidR="00C079FD" w:rsidRDefault="00C079FD" w:rsidP="00C079FD">
      <w:pPr>
        <w:pStyle w:val="NormalWeb"/>
        <w:spacing w:before="0" w:beforeAutospacing="0" w:after="0" w:afterAutospacing="0"/>
      </w:pPr>
      <w:r w:rsidRPr="00C079FD">
        <w:rPr>
          <w:rFonts w:ascii="Arial" w:hAnsi="Arial" w:cs="Arial"/>
          <w:color w:val="000000"/>
          <w:sz w:val="20"/>
          <w:szCs w:val="20"/>
        </w:rPr>
        <w:t xml:space="preserve">Methodological </w:t>
      </w:r>
      <w:r w:rsidRPr="00C079FD">
        <w:rPr>
          <w:rFonts w:ascii="Arial" w:hAnsi="Arial" w:cs="Arial"/>
          <w:color w:val="000000"/>
          <w:sz w:val="20"/>
          <w:szCs w:val="20"/>
          <w:highlight w:val="yellow"/>
        </w:rPr>
        <w:t>rigour</w:t>
      </w:r>
      <w:r w:rsidRPr="00C079FD">
        <w:rPr>
          <w:rFonts w:ascii="Arial" w:hAnsi="Arial" w:cs="Arial"/>
          <w:color w:val="000000"/>
          <w:sz w:val="20"/>
          <w:szCs w:val="20"/>
        </w:rPr>
        <w:t xml:space="preserve"> was ensured by applying the four established criteria of qualitative trustworthiness: credibility, transferability, dependability, and confirmability (Lincoln &amp; Guba, 1985; Ahmed, 2024). These criteria guided the processes of sampling</w:t>
      </w:r>
      <w:r>
        <w:rPr>
          <w:rFonts w:ascii="Arial" w:hAnsi="Arial" w:cs="Arial"/>
          <w:color w:val="000000"/>
          <w:sz w:val="20"/>
          <w:szCs w:val="20"/>
        </w:rPr>
        <w:t>, documentary collection, coding, and comparative analysis (Lim, 2025).</w:t>
      </w:r>
    </w:p>
    <w:p w14:paraId="3AF36D0B" w14:textId="77777777" w:rsidR="00C079FD" w:rsidRDefault="00C079FD" w:rsidP="00C079FD">
      <w:pPr>
        <w:pStyle w:val="NormalWeb"/>
        <w:spacing w:before="0" w:beforeAutospacing="0" w:after="0" w:afterAutospacing="0"/>
      </w:pPr>
      <w:r>
        <w:rPr>
          <w:rFonts w:ascii="Arial" w:hAnsi="Arial" w:cs="Arial"/>
          <w:b/>
          <w:bCs/>
          <w:color w:val="000000"/>
          <w:sz w:val="20"/>
          <w:szCs w:val="20"/>
        </w:rPr>
        <w:t>Credibility</w:t>
      </w:r>
      <w:r>
        <w:rPr>
          <w:rFonts w:ascii="Arial" w:hAnsi="Arial" w:cs="Arial"/>
          <w:color w:val="000000"/>
          <w:sz w:val="20"/>
          <w:szCs w:val="20"/>
        </w:rPr>
        <w:t xml:space="preserve"> was established through the use of publicly verifiable primary documentary sources, a clearly defined sampling frame, and a theory-derived codebook with explicit operational definitions. Consistent inclusion criteria and coding rules were applied across all ten cases. The clear distinction between the Class Central ranking for case eligibility and Coursera pages for substantive evidence enhanced the traceability of the analysis.</w:t>
      </w:r>
    </w:p>
    <w:p w14:paraId="27AB0DD3" w14:textId="77777777" w:rsidR="00C079FD" w:rsidRDefault="00C079FD" w:rsidP="00C079FD">
      <w:pPr>
        <w:pStyle w:val="NormalWeb"/>
        <w:spacing w:before="0" w:beforeAutospacing="0" w:after="0" w:afterAutospacing="0"/>
      </w:pPr>
      <w:r>
        <w:rPr>
          <w:rFonts w:ascii="Arial" w:hAnsi="Arial" w:cs="Arial"/>
          <w:b/>
          <w:bCs/>
          <w:color w:val="000000"/>
          <w:sz w:val="20"/>
          <w:szCs w:val="20"/>
        </w:rPr>
        <w:t>Transferability</w:t>
      </w:r>
      <w:r>
        <w:rPr>
          <w:rFonts w:ascii="Arial" w:hAnsi="Arial" w:cs="Arial"/>
          <w:color w:val="000000"/>
          <w:sz w:val="20"/>
          <w:szCs w:val="20"/>
        </w:rPr>
        <w:t xml:space="preserve"> was facilitated by providing detailed descriptions of the platform, sampling frame, provider types, case-selection criteria, documentary sources, and analytical procedures. As purposive sampling was employed, the findings are not intended for statistical </w:t>
      </w:r>
      <w:r>
        <w:rPr>
          <w:rFonts w:ascii="Arial" w:hAnsi="Arial" w:cs="Arial"/>
          <w:color w:val="000000"/>
          <w:sz w:val="20"/>
          <w:szCs w:val="20"/>
          <w:highlight w:val="yellow"/>
        </w:rPr>
        <w:t>generalisation</w:t>
      </w:r>
      <w:r>
        <w:rPr>
          <w:rFonts w:ascii="Arial" w:hAnsi="Arial" w:cs="Arial"/>
          <w:color w:val="000000"/>
          <w:sz w:val="20"/>
          <w:szCs w:val="20"/>
        </w:rPr>
        <w:t>. Instead, the contextual detail allows readers to evaluate the applicability of the results to comparable MOOC settings (Ahmed, 2024; Lim, 2025).</w:t>
      </w:r>
    </w:p>
    <w:p w14:paraId="683E0E6C" w14:textId="77777777" w:rsidR="00C079FD" w:rsidRDefault="00C079FD" w:rsidP="00C079FD">
      <w:pPr>
        <w:pStyle w:val="NormalWeb"/>
        <w:spacing w:before="0" w:beforeAutospacing="0" w:after="0" w:afterAutospacing="0"/>
      </w:pPr>
      <w:r>
        <w:rPr>
          <w:rFonts w:ascii="Arial" w:hAnsi="Arial" w:cs="Arial"/>
          <w:b/>
          <w:bCs/>
          <w:color w:val="000000"/>
          <w:sz w:val="20"/>
          <w:szCs w:val="20"/>
        </w:rPr>
        <w:t>Dependability</w:t>
      </w:r>
      <w:r>
        <w:rPr>
          <w:rFonts w:ascii="Arial" w:hAnsi="Arial" w:cs="Arial"/>
          <w:color w:val="000000"/>
          <w:sz w:val="20"/>
          <w:szCs w:val="20"/>
        </w:rPr>
        <w:t xml:space="preserve"> was ensured by maintaining a documented analytical procedure and an audit trail encompassing case selection, documentary collection, coding decisions, and cross-case comparisons. The operational definitions for S1–S4 were applied consistently across all cases (Noble &amp; Smith, 2025).</w:t>
      </w:r>
    </w:p>
    <w:p w14:paraId="2FBC3CF9" w14:textId="77777777" w:rsidR="00C079FD" w:rsidRDefault="00C079FD" w:rsidP="00C079FD">
      <w:pPr>
        <w:pStyle w:val="NormalWeb"/>
        <w:spacing w:before="0" w:beforeAutospacing="0" w:after="0" w:afterAutospacing="0"/>
      </w:pPr>
      <w:r>
        <w:rPr>
          <w:rFonts w:ascii="Arial" w:hAnsi="Arial" w:cs="Arial"/>
          <w:b/>
          <w:bCs/>
          <w:color w:val="000000"/>
          <w:sz w:val="20"/>
          <w:szCs w:val="20"/>
        </w:rPr>
        <w:t>Confirmability</w:t>
      </w:r>
      <w:r>
        <w:rPr>
          <w:rFonts w:ascii="Arial" w:hAnsi="Arial" w:cs="Arial"/>
          <w:color w:val="000000"/>
          <w:sz w:val="20"/>
          <w:szCs w:val="20"/>
        </w:rPr>
        <w:t xml:space="preserve"> was achieved by grounding interpretations in identifiable documentary evidence and maintaining analytical notes on coding decisions and interpretations. Provider-presented claims were clearly distinguished from the researcher’s analytical conclusions, and reflexive awareness was maintained to </w:t>
      </w:r>
      <w:r>
        <w:rPr>
          <w:rFonts w:ascii="Arial" w:hAnsi="Arial" w:cs="Arial"/>
          <w:color w:val="000000"/>
          <w:sz w:val="20"/>
          <w:szCs w:val="20"/>
          <w:highlight w:val="yellow"/>
        </w:rPr>
        <w:t>minimise</w:t>
      </w:r>
      <w:r>
        <w:rPr>
          <w:rFonts w:ascii="Arial" w:hAnsi="Arial" w:cs="Arial"/>
          <w:color w:val="000000"/>
          <w:sz w:val="20"/>
          <w:szCs w:val="20"/>
        </w:rPr>
        <w:t xml:space="preserve"> unsupported inference (Lim, 2025; Noble &amp; Smith, 2025).</w:t>
      </w:r>
    </w:p>
    <w:p w14:paraId="637BD9F9" w14:textId="77777777" w:rsidR="00C079FD" w:rsidRDefault="00C079FD" w:rsidP="00C079FD">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As the study relied exclusively on public documentary sources and did not involve human participants, member checking and participant-based validation were not applicable. Inter-coder reliability and investigator triangulation were also not claimed, as the study was conducted by a single researcher. Instead, </w:t>
      </w:r>
      <w:r>
        <w:rPr>
          <w:rFonts w:ascii="Arial" w:hAnsi="Arial" w:cs="Arial"/>
          <w:color w:val="000000"/>
          <w:sz w:val="20"/>
          <w:szCs w:val="20"/>
          <w:highlight w:val="yellow"/>
        </w:rPr>
        <w:t>rigour</w:t>
      </w:r>
      <w:r>
        <w:rPr>
          <w:rFonts w:ascii="Arial" w:hAnsi="Arial" w:cs="Arial"/>
          <w:color w:val="000000"/>
          <w:sz w:val="20"/>
          <w:szCs w:val="20"/>
        </w:rPr>
        <w:t xml:space="preserve"> was established through transparency, consistency, documentary evidence trails, and alignment among the research questions, theoretical framework, codebook, and analytical procedures.</w:t>
      </w:r>
    </w:p>
    <w:p w14:paraId="2166042B" w14:textId="77777777" w:rsidR="003B14C4" w:rsidRDefault="003B14C4" w:rsidP="00C079FD">
      <w:pPr>
        <w:pStyle w:val="NormalWeb"/>
        <w:spacing w:before="0" w:beforeAutospacing="0" w:after="0" w:afterAutospacing="0"/>
        <w:rPr>
          <w:rFonts w:ascii="Arial" w:hAnsi="Arial" w:cs="Arial"/>
          <w:color w:val="000000"/>
          <w:sz w:val="20"/>
          <w:szCs w:val="20"/>
        </w:rPr>
      </w:pPr>
    </w:p>
    <w:p w14:paraId="61BAAFE0" w14:textId="77777777" w:rsidR="003B14C4" w:rsidRPr="003B14C4" w:rsidRDefault="003B14C4" w:rsidP="003B14C4">
      <w:pPr>
        <w:pStyle w:val="Heading3"/>
        <w:spacing w:before="0"/>
        <w:rPr>
          <w:b/>
          <w:bCs/>
          <w:sz w:val="22"/>
          <w:szCs w:val="22"/>
        </w:rPr>
      </w:pPr>
      <w:r w:rsidRPr="003B14C4">
        <w:rPr>
          <w:rFonts w:ascii="Arial" w:hAnsi="Arial" w:cs="Arial"/>
          <w:b/>
          <w:bCs/>
          <w:color w:val="000000"/>
          <w:sz w:val="22"/>
          <w:szCs w:val="22"/>
        </w:rPr>
        <w:lastRenderedPageBreak/>
        <w:t>2.7 Ethical Considerations</w:t>
      </w:r>
    </w:p>
    <w:p w14:paraId="51F9FE70" w14:textId="77777777" w:rsidR="003B14C4" w:rsidRDefault="003B14C4" w:rsidP="003B14C4"/>
    <w:p w14:paraId="7EA2F543" w14:textId="77777777" w:rsidR="00790ADA" w:rsidRDefault="00B344FF" w:rsidP="00B344FF">
      <w:pPr>
        <w:pStyle w:val="Body"/>
        <w:spacing w:after="0"/>
        <w:jc w:val="left"/>
        <w:rPr>
          <w:rFonts w:ascii="Arial" w:hAnsi="Arial" w:cs="Arial"/>
          <w:sz w:val="20"/>
          <w:szCs w:val="20"/>
        </w:rPr>
      </w:pPr>
      <w:r w:rsidRPr="00B344FF">
        <w:rPr>
          <w:rFonts w:ascii="Arial" w:hAnsi="Arial" w:cs="Arial"/>
          <w:sz w:val="20"/>
          <w:szCs w:val="20"/>
        </w:rPr>
        <w:t>This study relied exclusively on publicly accessible information, including individual Coursera course pages and the Class Central ranking. No human participants were involved, and no private, restricted, or personally sensitive data were collected or analyzed. Provider-presented claims were treated as documentary evidence of what was publicly communicated rather than as independently verified claims of actual course quality, competence, or outcomes. Sources were acknowledged to ensure transparency and avoid misrepresentation. Because the study involved only publicly accessible documentary materials and no interaction with or collection of data from human participants, participant consent was not applicable.</w:t>
      </w:r>
    </w:p>
    <w:p w14:paraId="4CA7FEBB" w14:textId="77777777" w:rsidR="00B344FF" w:rsidRPr="00B344FF" w:rsidRDefault="00B344FF" w:rsidP="00B344FF">
      <w:pPr>
        <w:pStyle w:val="Body"/>
        <w:spacing w:after="0"/>
        <w:jc w:val="left"/>
        <w:rPr>
          <w:rFonts w:ascii="Arial" w:hAnsi="Arial" w:cs="Arial"/>
          <w:sz w:val="20"/>
          <w:szCs w:val="20"/>
        </w:rPr>
      </w:pPr>
    </w:p>
    <w:p w14:paraId="63E41B48"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40F780B5" w14:textId="77777777" w:rsidR="00790ADA" w:rsidRDefault="00790ADA" w:rsidP="00441B6F">
      <w:pPr>
        <w:pStyle w:val="Head1"/>
        <w:spacing w:after="0"/>
        <w:jc w:val="both"/>
        <w:rPr>
          <w:rFonts w:ascii="Arial" w:hAnsi="Arial" w:cs="Arial"/>
        </w:rPr>
      </w:pPr>
    </w:p>
    <w:p w14:paraId="72117AA4" w14:textId="77777777" w:rsidR="002C16A2" w:rsidRPr="002C16A2" w:rsidRDefault="002C16A2" w:rsidP="002C16A2">
      <w:pPr>
        <w:pStyle w:val="NormalWeb"/>
        <w:spacing w:before="0" w:beforeAutospacing="0" w:after="0" w:afterAutospacing="0"/>
      </w:pPr>
      <w:r w:rsidRPr="00D91944">
        <w:rPr>
          <w:rFonts w:ascii="Arial" w:hAnsi="Arial" w:cs="Arial"/>
          <w:color w:val="000000"/>
          <w:sz w:val="20"/>
          <w:szCs w:val="20"/>
        </w:rPr>
        <w:t xml:space="preserve">The documentary analysis </w:t>
      </w:r>
      <w:r w:rsidR="00D91944" w:rsidRPr="00D91944">
        <w:rPr>
          <w:rFonts w:ascii="Arial" w:hAnsi="Arial" w:cs="Arial"/>
          <w:sz w:val="20"/>
          <w:szCs w:val="20"/>
        </w:rPr>
        <w:t xml:space="preserve">examined the </w:t>
      </w:r>
      <w:r w:rsidR="00D91944" w:rsidRPr="00D91944">
        <w:rPr>
          <w:rFonts w:ascii="Arial" w:hAnsi="Arial" w:cs="Arial"/>
          <w:sz w:val="20"/>
          <w:szCs w:val="20"/>
          <w:highlight w:val="yellow"/>
        </w:rPr>
        <w:t>signalling</w:t>
      </w:r>
      <w:r w:rsidR="00D91944" w:rsidRPr="00D91944">
        <w:rPr>
          <w:rFonts w:ascii="Arial" w:hAnsi="Arial" w:cs="Arial"/>
          <w:sz w:val="20"/>
          <w:szCs w:val="20"/>
        </w:rPr>
        <w:t xml:space="preserve"> patterns communicated </w:t>
      </w:r>
      <w:r w:rsidRPr="00D91944">
        <w:rPr>
          <w:rFonts w:ascii="Arial" w:hAnsi="Arial" w:cs="Arial"/>
          <w:color w:val="000000"/>
          <w:sz w:val="20"/>
          <w:szCs w:val="20"/>
        </w:rPr>
        <w:t>through</w:t>
      </w:r>
      <w:r w:rsidRPr="002C16A2">
        <w:rPr>
          <w:rFonts w:ascii="Arial" w:hAnsi="Arial" w:cs="Arial"/>
          <w:color w:val="000000"/>
          <w:sz w:val="20"/>
          <w:szCs w:val="20"/>
        </w:rPr>
        <w:t xml:space="preserve"> publicly available information for the 10 selected MOOCs, applying the four analytical categories defined in Section 2.4: provider reputation/prestige (S1), instructor expertise (S2), </w:t>
      </w:r>
      <w:r w:rsidRPr="002C16A2">
        <w:rPr>
          <w:rFonts w:ascii="Arial" w:hAnsi="Arial" w:cs="Arial"/>
          <w:color w:val="000000"/>
          <w:sz w:val="20"/>
          <w:szCs w:val="20"/>
          <w:highlight w:val="yellow"/>
        </w:rPr>
        <w:t>rigour</w:t>
      </w:r>
      <w:r w:rsidRPr="002C16A2">
        <w:rPr>
          <w:rFonts w:ascii="Arial" w:hAnsi="Arial" w:cs="Arial"/>
          <w:color w:val="000000"/>
          <w:sz w:val="20"/>
          <w:szCs w:val="20"/>
        </w:rPr>
        <w:t xml:space="preserve"> signals (S3), and credential and competence signals (S4). The analysis </w:t>
      </w:r>
      <w:r w:rsidRPr="002C16A2">
        <w:rPr>
          <w:rFonts w:ascii="Arial" w:hAnsi="Arial" w:cs="Arial"/>
          <w:color w:val="000000"/>
          <w:sz w:val="20"/>
          <w:szCs w:val="20"/>
          <w:highlight w:val="yellow"/>
        </w:rPr>
        <w:t>prioritised</w:t>
      </w:r>
      <w:r w:rsidRPr="002C16A2">
        <w:rPr>
          <w:rFonts w:ascii="Arial" w:hAnsi="Arial" w:cs="Arial"/>
          <w:color w:val="000000"/>
          <w:sz w:val="20"/>
          <w:szCs w:val="20"/>
        </w:rPr>
        <w:t xml:space="preserve"> observable information presented to prospective learners, rather than learners’ perceptions or </w:t>
      </w:r>
      <w:r w:rsidRPr="002C16A2">
        <w:rPr>
          <w:rFonts w:ascii="Arial" w:hAnsi="Arial" w:cs="Arial"/>
          <w:color w:val="000000"/>
          <w:sz w:val="20"/>
          <w:szCs w:val="20"/>
          <w:highlight w:val="yellow"/>
        </w:rPr>
        <w:t>enrolment</w:t>
      </w:r>
      <w:r w:rsidRPr="002C16A2">
        <w:rPr>
          <w:rFonts w:ascii="Arial" w:hAnsi="Arial" w:cs="Arial"/>
          <w:color w:val="000000"/>
          <w:sz w:val="20"/>
          <w:szCs w:val="20"/>
        </w:rPr>
        <w:t xml:space="preserve"> decisions. Consequently, the findings identify </w:t>
      </w:r>
      <w:r w:rsidRPr="002C16A2">
        <w:rPr>
          <w:rFonts w:ascii="Arial" w:hAnsi="Arial" w:cs="Arial"/>
          <w:color w:val="000000"/>
          <w:sz w:val="20"/>
          <w:szCs w:val="20"/>
          <w:highlight w:val="yellow"/>
        </w:rPr>
        <w:t>signalling</w:t>
      </w:r>
      <w:r w:rsidRPr="002C16A2">
        <w:rPr>
          <w:rFonts w:ascii="Arial" w:hAnsi="Arial" w:cs="Arial"/>
          <w:color w:val="000000"/>
          <w:sz w:val="20"/>
          <w:szCs w:val="20"/>
        </w:rPr>
        <w:t xml:space="preserve"> patterns associated with the selected highly enrolled MOOCs but do not claim that any specific signal influenced </w:t>
      </w:r>
      <w:r w:rsidRPr="002C16A2">
        <w:rPr>
          <w:rFonts w:ascii="Arial" w:hAnsi="Arial" w:cs="Arial"/>
          <w:color w:val="000000"/>
          <w:sz w:val="20"/>
          <w:szCs w:val="20"/>
          <w:highlight w:val="yellow"/>
        </w:rPr>
        <w:t>enrolment</w:t>
      </w:r>
      <w:r w:rsidRPr="002C16A2">
        <w:rPr>
          <w:rFonts w:ascii="Arial" w:hAnsi="Arial" w:cs="Arial"/>
          <w:color w:val="000000"/>
          <w:sz w:val="20"/>
          <w:szCs w:val="20"/>
        </w:rPr>
        <w:t xml:space="preserve">. This distinction is critical, as the sample was chosen based on inclusion in Class Central’s ranking, not through a comparative analysis of </w:t>
      </w:r>
      <w:r w:rsidRPr="002C16A2">
        <w:rPr>
          <w:rFonts w:ascii="Arial" w:hAnsi="Arial" w:cs="Arial"/>
          <w:color w:val="000000"/>
          <w:sz w:val="20"/>
          <w:szCs w:val="20"/>
          <w:highlight w:val="yellow"/>
        </w:rPr>
        <w:t>enrolment</w:t>
      </w:r>
      <w:r w:rsidRPr="002C16A2">
        <w:rPr>
          <w:rFonts w:ascii="Arial" w:hAnsi="Arial" w:cs="Arial"/>
          <w:color w:val="000000"/>
          <w:sz w:val="20"/>
          <w:szCs w:val="20"/>
        </w:rPr>
        <w:t xml:space="preserve"> outcomes across courses. This rationale also helps clarify that the study examines publicly visible signals, not decision outcomes or participant responses.</w:t>
      </w:r>
    </w:p>
    <w:p w14:paraId="239ACC15" w14:textId="77777777" w:rsidR="002C16A2" w:rsidRPr="00BC77C7" w:rsidRDefault="00BC77C7" w:rsidP="002C16A2">
      <w:pPr>
        <w:pStyle w:val="NormalWeb"/>
        <w:spacing w:before="0" w:beforeAutospacing="0" w:after="0" w:afterAutospacing="0"/>
        <w:rPr>
          <w:rFonts w:ascii="Arial" w:hAnsi="Arial" w:cs="Arial"/>
          <w:sz w:val="20"/>
          <w:szCs w:val="20"/>
        </w:rPr>
      </w:pPr>
      <w:r w:rsidRPr="00BC77C7">
        <w:rPr>
          <w:rFonts w:ascii="Arial" w:hAnsi="Arial" w:cs="Arial"/>
          <w:sz w:val="20"/>
          <w:szCs w:val="20"/>
        </w:rPr>
        <w:t xml:space="preserve">Four qualitative descriptors were used for comparative interpretation: Strong, indicating that a signal was clearly and substantially communicated through multiple pieces of documentary information; Moderate, indicating clear presence but less supporting information; Limited, indicating minimal communication of the signal; and Not evident, indicating insufficient documentary evidence. These descriptors represent qualitative analytical </w:t>
      </w:r>
      <w:r>
        <w:rPr>
          <w:rFonts w:ascii="Arial" w:hAnsi="Arial" w:cs="Arial"/>
          <w:sz w:val="20"/>
          <w:szCs w:val="20"/>
          <w:highlight w:val="yellow"/>
        </w:rPr>
        <w:t>judgements</w:t>
      </w:r>
      <w:r>
        <w:rPr>
          <w:rFonts w:ascii="Arial" w:hAnsi="Arial" w:cs="Arial"/>
          <w:sz w:val="20"/>
          <w:szCs w:val="20"/>
        </w:rPr>
        <w:t xml:space="preserve"> about the amount and clarity of documentary evidence supporting each signal; they are not numerical scores, measures of course quality, or indicators of </w:t>
      </w:r>
      <w:r w:rsidRPr="00BC77C7">
        <w:rPr>
          <w:rFonts w:ascii="Arial" w:hAnsi="Arial" w:cs="Arial"/>
          <w:sz w:val="20"/>
          <w:szCs w:val="20"/>
          <w:highlight w:val="yellow"/>
        </w:rPr>
        <w:t>enrolment</w:t>
      </w:r>
      <w:r w:rsidRPr="00BC77C7">
        <w:rPr>
          <w:rFonts w:ascii="Arial" w:hAnsi="Arial" w:cs="Arial"/>
          <w:sz w:val="20"/>
          <w:szCs w:val="20"/>
        </w:rPr>
        <w:t xml:space="preserve"> effects. In alignment with </w:t>
      </w:r>
      <w:r w:rsidRPr="00BC77C7">
        <w:rPr>
          <w:rFonts w:ascii="Arial" w:hAnsi="Arial" w:cs="Arial"/>
          <w:sz w:val="20"/>
          <w:szCs w:val="20"/>
          <w:highlight w:val="yellow"/>
        </w:rPr>
        <w:t>Signalling</w:t>
      </w:r>
      <w:r w:rsidRPr="00BC77C7">
        <w:rPr>
          <w:rFonts w:ascii="Arial" w:hAnsi="Arial" w:cs="Arial"/>
          <w:sz w:val="20"/>
          <w:szCs w:val="20"/>
        </w:rPr>
        <w:t xml:space="preserve"> Theory, the analysis focuses on observable cues through which providers may communicate otherwise less visible qualities of an educational offering (Connelly et al., 2011, 2025).</w:t>
      </w:r>
    </w:p>
    <w:p w14:paraId="049407B1" w14:textId="77777777" w:rsidR="00BC77C7" w:rsidRPr="00BC77C7" w:rsidRDefault="00BC77C7" w:rsidP="002C16A2">
      <w:pPr>
        <w:pStyle w:val="NormalWeb"/>
        <w:spacing w:before="0" w:beforeAutospacing="0" w:after="0" w:afterAutospacing="0"/>
        <w:rPr>
          <w:rFonts w:ascii="Arial" w:hAnsi="Arial" w:cs="Arial"/>
          <w:sz w:val="20"/>
          <w:szCs w:val="20"/>
        </w:rPr>
      </w:pPr>
    </w:p>
    <w:p w14:paraId="3DF7BE68" w14:textId="77777777" w:rsidR="002C16A2" w:rsidRDefault="002C16A2" w:rsidP="002C16A2">
      <w:pPr>
        <w:pStyle w:val="Heading3"/>
        <w:spacing w:before="0"/>
        <w:rPr>
          <w:rFonts w:ascii="Arial" w:hAnsi="Arial" w:cs="Arial"/>
          <w:b/>
          <w:bCs/>
          <w:color w:val="000000"/>
          <w:sz w:val="22"/>
          <w:szCs w:val="22"/>
        </w:rPr>
      </w:pPr>
      <w:r w:rsidRPr="002C16A2">
        <w:rPr>
          <w:rFonts w:ascii="Arial" w:hAnsi="Arial" w:cs="Arial"/>
          <w:b/>
          <w:bCs/>
          <w:color w:val="000000"/>
          <w:sz w:val="22"/>
          <w:szCs w:val="22"/>
        </w:rPr>
        <w:t xml:space="preserve">3.1 </w:t>
      </w:r>
      <w:r w:rsidRPr="002C16A2">
        <w:rPr>
          <w:rFonts w:ascii="Arial" w:hAnsi="Arial" w:cs="Arial"/>
          <w:b/>
          <w:bCs/>
          <w:color w:val="000000"/>
          <w:sz w:val="22"/>
          <w:szCs w:val="22"/>
          <w:highlight w:val="yellow"/>
        </w:rPr>
        <w:t>Signalling</w:t>
      </w:r>
      <w:r w:rsidRPr="002C16A2">
        <w:rPr>
          <w:rFonts w:ascii="Arial" w:hAnsi="Arial" w:cs="Arial"/>
          <w:b/>
          <w:bCs/>
          <w:color w:val="000000"/>
          <w:sz w:val="22"/>
          <w:szCs w:val="22"/>
        </w:rPr>
        <w:t xml:space="preserve"> Patterns in University-Provided MOOCs</w:t>
      </w:r>
    </w:p>
    <w:p w14:paraId="645082F5" w14:textId="77777777" w:rsidR="002C16A2" w:rsidRPr="002C16A2" w:rsidRDefault="002C16A2" w:rsidP="002C16A2"/>
    <w:p w14:paraId="7FBCCF69" w14:textId="77777777" w:rsidR="002C16A2" w:rsidRDefault="002C16A2" w:rsidP="002C16A2">
      <w:pPr>
        <w:pStyle w:val="NormalWeb"/>
        <w:spacing w:before="0" w:beforeAutospacing="0" w:after="0" w:afterAutospacing="0"/>
        <w:rPr>
          <w:rFonts w:ascii="Arial" w:hAnsi="Arial" w:cs="Arial"/>
          <w:color w:val="000000"/>
          <w:sz w:val="20"/>
          <w:szCs w:val="20"/>
        </w:rPr>
      </w:pPr>
      <w:r w:rsidRPr="002C16A2">
        <w:rPr>
          <w:rFonts w:ascii="Arial" w:hAnsi="Arial" w:cs="Arial"/>
          <w:color w:val="000000"/>
          <w:sz w:val="20"/>
          <w:szCs w:val="20"/>
        </w:rPr>
        <w:t xml:space="preserve">The five university-provided MOOCs most consistently conveyed credential and competence signals (S4), with all cases assessed as Strong. Instructor expertise (S2) was rated Strong in four cases and Limited in one. Provider reputation/prestige (S1) was Moderate in four cases and Limited in one, while </w:t>
      </w:r>
      <w:r w:rsidRPr="002C16A2">
        <w:rPr>
          <w:rFonts w:ascii="Arial" w:hAnsi="Arial" w:cs="Arial"/>
          <w:color w:val="000000"/>
          <w:sz w:val="20"/>
          <w:szCs w:val="20"/>
          <w:highlight w:val="yellow"/>
        </w:rPr>
        <w:t>rigour</w:t>
      </w:r>
      <w:r w:rsidRPr="002C16A2">
        <w:rPr>
          <w:rFonts w:ascii="Arial" w:hAnsi="Arial" w:cs="Arial"/>
          <w:color w:val="000000"/>
          <w:sz w:val="20"/>
          <w:szCs w:val="20"/>
        </w:rPr>
        <w:t xml:space="preserve"> signals (S3) ranged from Limited to Strong. This pattern suggests that institutional prestige was not the primary form of value communication in these university cases. Instead, public course information most consistently highlighted learner competence and, in most instances, instructor or academic-team expertise, based on the documentary evidence reviewed.</w:t>
      </w:r>
    </w:p>
    <w:p w14:paraId="096DEA41" w14:textId="77777777" w:rsidR="002C16A2" w:rsidRDefault="002C16A2" w:rsidP="002C16A2">
      <w:pPr>
        <w:pStyle w:val="NormalWeb"/>
        <w:spacing w:before="0" w:beforeAutospacing="0" w:after="0" w:afterAutospacing="0"/>
        <w:rPr>
          <w:rFonts w:ascii="Arial" w:hAnsi="Arial" w:cs="Arial"/>
          <w:color w:val="000000"/>
          <w:sz w:val="20"/>
          <w:szCs w:val="20"/>
        </w:rPr>
      </w:pPr>
    </w:p>
    <w:p w14:paraId="58C083DF" w14:textId="77777777" w:rsidR="002C16A2" w:rsidRPr="002C16A2" w:rsidRDefault="002C16A2" w:rsidP="002C16A2">
      <w:pPr>
        <w:pStyle w:val="NormalWeb"/>
        <w:spacing w:before="0" w:beforeAutospacing="0" w:after="0" w:afterAutospacing="0"/>
        <w:jc w:val="center"/>
      </w:pPr>
      <w:r>
        <w:rPr>
          <w:rFonts w:ascii="Arial" w:hAnsi="Arial" w:cs="Arial"/>
          <w:b/>
          <w:bCs/>
          <w:color w:val="000000"/>
          <w:sz w:val="20"/>
          <w:szCs w:val="20"/>
        </w:rPr>
        <w:t>Table 2. Matrix of Signaling Findings for University-Provided MOOCs</w:t>
      </w:r>
    </w:p>
    <w:p w14:paraId="6C8FEE0E" w14:textId="77777777" w:rsidR="00B57BC1" w:rsidRDefault="00B57BC1" w:rsidP="00B57BC1">
      <w:pPr>
        <w:pStyle w:val="NormalWeb"/>
        <w:spacing w:before="0" w:beforeAutospacing="0" w:after="0" w:afterAutospacing="0"/>
        <w:rPr>
          <w:rFonts w:ascii="Arial" w:hAnsi="Arial" w:cs="Arial"/>
          <w:color w:val="000000"/>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1391"/>
        <w:gridCol w:w="1402"/>
        <w:gridCol w:w="1991"/>
        <w:gridCol w:w="1085"/>
        <w:gridCol w:w="1001"/>
        <w:gridCol w:w="1338"/>
      </w:tblGrid>
      <w:tr w:rsidR="002C16A2" w14:paraId="05DCE383" w14:textId="77777777" w:rsidTr="000040A6">
        <w:trPr>
          <w:trHeight w:val="718"/>
        </w:trPr>
        <w:tc>
          <w:tcPr>
            <w:tcW w:w="958" w:type="pct"/>
            <w:tcBorders>
              <w:top w:val="single" w:sz="4" w:space="0" w:color="auto"/>
              <w:bottom w:val="single" w:sz="4" w:space="0" w:color="auto"/>
            </w:tcBorders>
            <w:tcMar>
              <w:top w:w="100" w:type="dxa"/>
              <w:left w:w="100" w:type="dxa"/>
              <w:bottom w:w="100" w:type="dxa"/>
              <w:right w:w="100" w:type="dxa"/>
            </w:tcMar>
            <w:hideMark/>
          </w:tcPr>
          <w:p w14:paraId="68AC8C70"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lastRenderedPageBreak/>
              <w:t>Provider</w:t>
            </w:r>
          </w:p>
        </w:tc>
        <w:tc>
          <w:tcPr>
            <w:tcW w:w="979" w:type="pct"/>
            <w:tcBorders>
              <w:top w:val="single" w:sz="4" w:space="0" w:color="auto"/>
              <w:bottom w:val="single" w:sz="4" w:space="0" w:color="auto"/>
            </w:tcBorders>
            <w:tcMar>
              <w:top w:w="100" w:type="dxa"/>
              <w:left w:w="100" w:type="dxa"/>
              <w:bottom w:w="100" w:type="dxa"/>
              <w:right w:w="100" w:type="dxa"/>
            </w:tcMar>
            <w:hideMark/>
          </w:tcPr>
          <w:p w14:paraId="3E94A08B"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Selected MOOC</w:t>
            </w:r>
          </w:p>
        </w:tc>
        <w:tc>
          <w:tcPr>
            <w:tcW w:w="1037" w:type="pct"/>
            <w:tcBorders>
              <w:top w:val="single" w:sz="4" w:space="0" w:color="auto"/>
              <w:bottom w:val="single" w:sz="4" w:space="0" w:color="auto"/>
            </w:tcBorders>
            <w:tcMar>
              <w:top w:w="100" w:type="dxa"/>
              <w:left w:w="100" w:type="dxa"/>
              <w:bottom w:w="100" w:type="dxa"/>
              <w:right w:w="100" w:type="dxa"/>
            </w:tcMar>
            <w:hideMark/>
          </w:tcPr>
          <w:p w14:paraId="66DFD800"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S1 Provider Reputation/Prestige</w:t>
            </w:r>
          </w:p>
        </w:tc>
        <w:tc>
          <w:tcPr>
            <w:tcW w:w="596" w:type="pct"/>
            <w:tcBorders>
              <w:top w:val="single" w:sz="4" w:space="0" w:color="auto"/>
              <w:bottom w:val="single" w:sz="4" w:space="0" w:color="auto"/>
            </w:tcBorders>
            <w:tcMar>
              <w:top w:w="100" w:type="dxa"/>
              <w:left w:w="100" w:type="dxa"/>
              <w:bottom w:w="100" w:type="dxa"/>
              <w:right w:w="100" w:type="dxa"/>
            </w:tcMar>
            <w:hideMark/>
          </w:tcPr>
          <w:p w14:paraId="346E5A3B"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S2 Instructor Expertise</w:t>
            </w:r>
          </w:p>
        </w:tc>
        <w:tc>
          <w:tcPr>
            <w:tcW w:w="565" w:type="pct"/>
            <w:tcBorders>
              <w:top w:val="single" w:sz="4" w:space="0" w:color="auto"/>
              <w:bottom w:val="single" w:sz="4" w:space="0" w:color="auto"/>
            </w:tcBorders>
            <w:tcMar>
              <w:top w:w="100" w:type="dxa"/>
              <w:left w:w="100" w:type="dxa"/>
              <w:bottom w:w="100" w:type="dxa"/>
              <w:right w:w="100" w:type="dxa"/>
            </w:tcMar>
            <w:hideMark/>
          </w:tcPr>
          <w:p w14:paraId="0888684C"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S3 Rigor Signals</w:t>
            </w:r>
          </w:p>
        </w:tc>
        <w:tc>
          <w:tcPr>
            <w:tcW w:w="866" w:type="pct"/>
            <w:tcBorders>
              <w:top w:val="single" w:sz="4" w:space="0" w:color="auto"/>
              <w:bottom w:val="single" w:sz="4" w:space="0" w:color="auto"/>
            </w:tcBorders>
            <w:tcMar>
              <w:top w:w="100" w:type="dxa"/>
              <w:left w:w="100" w:type="dxa"/>
              <w:bottom w:w="100" w:type="dxa"/>
              <w:right w:w="100" w:type="dxa"/>
            </w:tcMar>
            <w:hideMark/>
          </w:tcPr>
          <w:p w14:paraId="7415DD6F"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S4 Credential &amp; Competence Signals</w:t>
            </w:r>
          </w:p>
        </w:tc>
      </w:tr>
      <w:tr w:rsidR="002C16A2" w14:paraId="04B0E1B6" w14:textId="77777777" w:rsidTr="000040A6">
        <w:trPr>
          <w:trHeight w:val="254"/>
        </w:trPr>
        <w:tc>
          <w:tcPr>
            <w:tcW w:w="958" w:type="pct"/>
            <w:tcBorders>
              <w:top w:val="single" w:sz="4" w:space="0" w:color="auto"/>
            </w:tcBorders>
            <w:tcMar>
              <w:top w:w="100" w:type="dxa"/>
              <w:left w:w="100" w:type="dxa"/>
              <w:bottom w:w="100" w:type="dxa"/>
              <w:right w:w="100" w:type="dxa"/>
            </w:tcMar>
            <w:hideMark/>
          </w:tcPr>
          <w:p w14:paraId="0610D98E"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Howard University</w:t>
            </w:r>
          </w:p>
        </w:tc>
        <w:tc>
          <w:tcPr>
            <w:tcW w:w="979" w:type="pct"/>
            <w:tcBorders>
              <w:top w:val="single" w:sz="4" w:space="0" w:color="auto"/>
            </w:tcBorders>
            <w:tcMar>
              <w:top w:w="100" w:type="dxa"/>
              <w:left w:w="100" w:type="dxa"/>
              <w:bottom w:w="100" w:type="dxa"/>
              <w:right w:w="100" w:type="dxa"/>
            </w:tcMar>
            <w:hideMark/>
          </w:tcPr>
          <w:p w14:paraId="4F76E291" w14:textId="77777777" w:rsidR="002C16A2" w:rsidRPr="002C16A2" w:rsidRDefault="002C16A2">
            <w:pPr>
              <w:pStyle w:val="NormalWeb"/>
              <w:spacing w:before="0" w:beforeAutospacing="0" w:after="0" w:afterAutospacing="0"/>
              <w:rPr>
                <w:sz w:val="20"/>
                <w:szCs w:val="20"/>
              </w:rPr>
            </w:pPr>
            <w:r w:rsidRPr="002C16A2">
              <w:rPr>
                <w:rFonts w:ascii="Arial" w:hAnsi="Arial" w:cs="Arial"/>
                <w:i/>
                <w:iCs/>
                <w:color w:val="000000"/>
                <w:sz w:val="20"/>
                <w:szCs w:val="20"/>
              </w:rPr>
              <w:t>Project Management Essentials</w:t>
            </w:r>
          </w:p>
        </w:tc>
        <w:tc>
          <w:tcPr>
            <w:tcW w:w="1037" w:type="pct"/>
            <w:tcBorders>
              <w:top w:val="single" w:sz="4" w:space="0" w:color="auto"/>
            </w:tcBorders>
            <w:tcMar>
              <w:top w:w="100" w:type="dxa"/>
              <w:left w:w="100" w:type="dxa"/>
              <w:bottom w:w="100" w:type="dxa"/>
              <w:right w:w="100" w:type="dxa"/>
            </w:tcMar>
            <w:hideMark/>
          </w:tcPr>
          <w:p w14:paraId="1EDEC78B"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Limited</w:t>
            </w:r>
          </w:p>
        </w:tc>
        <w:tc>
          <w:tcPr>
            <w:tcW w:w="596" w:type="pct"/>
            <w:tcBorders>
              <w:top w:val="single" w:sz="4" w:space="0" w:color="auto"/>
            </w:tcBorders>
            <w:tcMar>
              <w:top w:w="100" w:type="dxa"/>
              <w:left w:w="100" w:type="dxa"/>
              <w:bottom w:w="100" w:type="dxa"/>
              <w:right w:w="100" w:type="dxa"/>
            </w:tcMar>
            <w:hideMark/>
          </w:tcPr>
          <w:p w14:paraId="6399E46E"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Limited</w:t>
            </w:r>
          </w:p>
        </w:tc>
        <w:tc>
          <w:tcPr>
            <w:tcW w:w="565" w:type="pct"/>
            <w:tcBorders>
              <w:top w:val="single" w:sz="4" w:space="0" w:color="auto"/>
            </w:tcBorders>
            <w:tcMar>
              <w:top w:w="100" w:type="dxa"/>
              <w:left w:w="100" w:type="dxa"/>
              <w:bottom w:w="100" w:type="dxa"/>
              <w:right w:w="100" w:type="dxa"/>
            </w:tcMar>
            <w:hideMark/>
          </w:tcPr>
          <w:p w14:paraId="21DD2E00"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Moderate</w:t>
            </w:r>
          </w:p>
        </w:tc>
        <w:tc>
          <w:tcPr>
            <w:tcW w:w="866" w:type="pct"/>
            <w:tcBorders>
              <w:top w:val="single" w:sz="4" w:space="0" w:color="auto"/>
            </w:tcBorders>
            <w:tcMar>
              <w:top w:w="100" w:type="dxa"/>
              <w:left w:w="100" w:type="dxa"/>
              <w:bottom w:w="100" w:type="dxa"/>
              <w:right w:w="100" w:type="dxa"/>
            </w:tcMar>
            <w:hideMark/>
          </w:tcPr>
          <w:p w14:paraId="3D3A67E7"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r>
      <w:tr w:rsidR="002C16A2" w14:paraId="18D79A4A" w14:textId="77777777" w:rsidTr="000040A6">
        <w:trPr>
          <w:trHeight w:val="1235"/>
        </w:trPr>
        <w:tc>
          <w:tcPr>
            <w:tcW w:w="958" w:type="pct"/>
            <w:tcMar>
              <w:top w:w="100" w:type="dxa"/>
              <w:left w:w="100" w:type="dxa"/>
              <w:bottom w:w="100" w:type="dxa"/>
              <w:right w:w="100" w:type="dxa"/>
            </w:tcMar>
            <w:hideMark/>
          </w:tcPr>
          <w:p w14:paraId="10CFBFF6"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Rice University</w:t>
            </w:r>
          </w:p>
        </w:tc>
        <w:tc>
          <w:tcPr>
            <w:tcW w:w="979" w:type="pct"/>
            <w:tcMar>
              <w:top w:w="100" w:type="dxa"/>
              <w:left w:w="100" w:type="dxa"/>
              <w:bottom w:w="100" w:type="dxa"/>
              <w:right w:w="100" w:type="dxa"/>
            </w:tcMar>
            <w:hideMark/>
          </w:tcPr>
          <w:p w14:paraId="0D0406BA" w14:textId="77777777" w:rsidR="002C16A2" w:rsidRPr="002C16A2" w:rsidRDefault="002C16A2">
            <w:pPr>
              <w:pStyle w:val="NormalWeb"/>
              <w:spacing w:before="0" w:beforeAutospacing="0" w:after="0" w:afterAutospacing="0"/>
              <w:rPr>
                <w:sz w:val="20"/>
                <w:szCs w:val="20"/>
              </w:rPr>
            </w:pPr>
            <w:r w:rsidRPr="002C16A2">
              <w:rPr>
                <w:rFonts w:ascii="Arial" w:hAnsi="Arial" w:cs="Arial"/>
                <w:i/>
                <w:iCs/>
                <w:color w:val="000000"/>
                <w:sz w:val="20"/>
                <w:szCs w:val="20"/>
              </w:rPr>
              <w:t>Fundamentals of Immunology: Complement, MHC I and II, T Cells, and Cytokines</w:t>
            </w:r>
          </w:p>
        </w:tc>
        <w:tc>
          <w:tcPr>
            <w:tcW w:w="1037" w:type="pct"/>
            <w:tcMar>
              <w:top w:w="100" w:type="dxa"/>
              <w:left w:w="100" w:type="dxa"/>
              <w:bottom w:w="100" w:type="dxa"/>
              <w:right w:w="100" w:type="dxa"/>
            </w:tcMar>
            <w:hideMark/>
          </w:tcPr>
          <w:p w14:paraId="6E82D68C"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Moderate</w:t>
            </w:r>
          </w:p>
        </w:tc>
        <w:tc>
          <w:tcPr>
            <w:tcW w:w="596" w:type="pct"/>
            <w:tcMar>
              <w:top w:w="100" w:type="dxa"/>
              <w:left w:w="100" w:type="dxa"/>
              <w:bottom w:w="100" w:type="dxa"/>
              <w:right w:w="100" w:type="dxa"/>
            </w:tcMar>
            <w:hideMark/>
          </w:tcPr>
          <w:p w14:paraId="2C6DB5EB"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565" w:type="pct"/>
            <w:tcMar>
              <w:top w:w="100" w:type="dxa"/>
              <w:left w:w="100" w:type="dxa"/>
              <w:bottom w:w="100" w:type="dxa"/>
              <w:right w:w="100" w:type="dxa"/>
            </w:tcMar>
            <w:hideMark/>
          </w:tcPr>
          <w:p w14:paraId="07E8B1FF"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866" w:type="pct"/>
            <w:tcMar>
              <w:top w:w="100" w:type="dxa"/>
              <w:left w:w="100" w:type="dxa"/>
              <w:bottom w:w="100" w:type="dxa"/>
              <w:right w:w="100" w:type="dxa"/>
            </w:tcMar>
            <w:hideMark/>
          </w:tcPr>
          <w:p w14:paraId="05012AE7"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r>
      <w:tr w:rsidR="002C16A2" w14:paraId="433D949E" w14:textId="77777777" w:rsidTr="000040A6">
        <w:trPr>
          <w:trHeight w:val="605"/>
        </w:trPr>
        <w:tc>
          <w:tcPr>
            <w:tcW w:w="958" w:type="pct"/>
            <w:tcMar>
              <w:top w:w="100" w:type="dxa"/>
              <w:left w:w="100" w:type="dxa"/>
              <w:bottom w:w="100" w:type="dxa"/>
              <w:right w:w="100" w:type="dxa"/>
            </w:tcMar>
            <w:hideMark/>
          </w:tcPr>
          <w:p w14:paraId="2246CF78"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University of Michigan</w:t>
            </w:r>
          </w:p>
        </w:tc>
        <w:tc>
          <w:tcPr>
            <w:tcW w:w="979" w:type="pct"/>
            <w:tcMar>
              <w:top w:w="100" w:type="dxa"/>
              <w:left w:w="100" w:type="dxa"/>
              <w:bottom w:w="100" w:type="dxa"/>
              <w:right w:w="100" w:type="dxa"/>
            </w:tcMar>
            <w:hideMark/>
          </w:tcPr>
          <w:p w14:paraId="1191E61E" w14:textId="77777777" w:rsidR="002C16A2" w:rsidRPr="002C16A2" w:rsidRDefault="002C16A2">
            <w:pPr>
              <w:pStyle w:val="NormalWeb"/>
              <w:spacing w:before="0" w:beforeAutospacing="0" w:after="0" w:afterAutospacing="0"/>
              <w:rPr>
                <w:sz w:val="20"/>
                <w:szCs w:val="20"/>
              </w:rPr>
            </w:pPr>
            <w:r w:rsidRPr="002C16A2">
              <w:rPr>
                <w:rFonts w:ascii="Arial" w:hAnsi="Arial" w:cs="Arial"/>
                <w:i/>
                <w:iCs/>
                <w:color w:val="000000"/>
                <w:sz w:val="20"/>
                <w:szCs w:val="20"/>
              </w:rPr>
              <w:t>Generative AI Essentials: Overview and Impact</w:t>
            </w:r>
          </w:p>
        </w:tc>
        <w:tc>
          <w:tcPr>
            <w:tcW w:w="1037" w:type="pct"/>
            <w:tcMar>
              <w:top w:w="100" w:type="dxa"/>
              <w:left w:w="100" w:type="dxa"/>
              <w:bottom w:w="100" w:type="dxa"/>
              <w:right w:w="100" w:type="dxa"/>
            </w:tcMar>
            <w:hideMark/>
          </w:tcPr>
          <w:p w14:paraId="2535D73B"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Moderate</w:t>
            </w:r>
          </w:p>
        </w:tc>
        <w:tc>
          <w:tcPr>
            <w:tcW w:w="596" w:type="pct"/>
            <w:tcMar>
              <w:top w:w="100" w:type="dxa"/>
              <w:left w:w="100" w:type="dxa"/>
              <w:bottom w:w="100" w:type="dxa"/>
              <w:right w:w="100" w:type="dxa"/>
            </w:tcMar>
            <w:hideMark/>
          </w:tcPr>
          <w:p w14:paraId="1D8EAD1B"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565" w:type="pct"/>
            <w:tcMar>
              <w:top w:w="100" w:type="dxa"/>
              <w:left w:w="100" w:type="dxa"/>
              <w:bottom w:w="100" w:type="dxa"/>
              <w:right w:w="100" w:type="dxa"/>
            </w:tcMar>
            <w:hideMark/>
          </w:tcPr>
          <w:p w14:paraId="0593A0E8"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Limited</w:t>
            </w:r>
          </w:p>
        </w:tc>
        <w:tc>
          <w:tcPr>
            <w:tcW w:w="866" w:type="pct"/>
            <w:tcMar>
              <w:top w:w="100" w:type="dxa"/>
              <w:left w:w="100" w:type="dxa"/>
              <w:bottom w:w="100" w:type="dxa"/>
              <w:right w:w="100" w:type="dxa"/>
            </w:tcMar>
            <w:hideMark/>
          </w:tcPr>
          <w:p w14:paraId="0B908B53"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r>
      <w:tr w:rsidR="002C16A2" w14:paraId="283AE2FF" w14:textId="77777777" w:rsidTr="000040A6">
        <w:trPr>
          <w:trHeight w:val="1040"/>
        </w:trPr>
        <w:tc>
          <w:tcPr>
            <w:tcW w:w="958" w:type="pct"/>
            <w:tcMar>
              <w:top w:w="100" w:type="dxa"/>
              <w:left w:w="100" w:type="dxa"/>
              <w:bottom w:w="100" w:type="dxa"/>
              <w:right w:w="100" w:type="dxa"/>
            </w:tcMar>
            <w:hideMark/>
          </w:tcPr>
          <w:p w14:paraId="2C7B4458"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IESE Business School</w:t>
            </w:r>
          </w:p>
        </w:tc>
        <w:tc>
          <w:tcPr>
            <w:tcW w:w="979" w:type="pct"/>
            <w:tcMar>
              <w:top w:w="100" w:type="dxa"/>
              <w:left w:w="100" w:type="dxa"/>
              <w:bottom w:w="100" w:type="dxa"/>
              <w:right w:w="100" w:type="dxa"/>
            </w:tcMar>
            <w:hideMark/>
          </w:tcPr>
          <w:p w14:paraId="0FF9C0BC" w14:textId="77777777" w:rsidR="002C16A2" w:rsidRPr="002C16A2" w:rsidRDefault="002C16A2">
            <w:pPr>
              <w:pStyle w:val="NormalWeb"/>
              <w:spacing w:before="0" w:beforeAutospacing="0" w:after="0" w:afterAutospacing="0"/>
              <w:rPr>
                <w:sz w:val="20"/>
                <w:szCs w:val="20"/>
              </w:rPr>
            </w:pPr>
            <w:r w:rsidRPr="002C16A2">
              <w:rPr>
                <w:rFonts w:ascii="Arial" w:hAnsi="Arial" w:cs="Arial"/>
                <w:i/>
                <w:iCs/>
                <w:color w:val="000000"/>
                <w:sz w:val="20"/>
                <w:szCs w:val="20"/>
              </w:rPr>
              <w:t>The Art of Storytelling</w:t>
            </w:r>
          </w:p>
        </w:tc>
        <w:tc>
          <w:tcPr>
            <w:tcW w:w="1037" w:type="pct"/>
            <w:tcMar>
              <w:top w:w="100" w:type="dxa"/>
              <w:left w:w="100" w:type="dxa"/>
              <w:bottom w:w="100" w:type="dxa"/>
              <w:right w:w="100" w:type="dxa"/>
            </w:tcMar>
            <w:hideMark/>
          </w:tcPr>
          <w:p w14:paraId="7B639AD3"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Moderate</w:t>
            </w:r>
          </w:p>
        </w:tc>
        <w:tc>
          <w:tcPr>
            <w:tcW w:w="596" w:type="pct"/>
            <w:tcMar>
              <w:top w:w="100" w:type="dxa"/>
              <w:left w:w="100" w:type="dxa"/>
              <w:bottom w:w="100" w:type="dxa"/>
              <w:right w:w="100" w:type="dxa"/>
            </w:tcMar>
            <w:hideMark/>
          </w:tcPr>
          <w:p w14:paraId="37378923"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565" w:type="pct"/>
            <w:tcMar>
              <w:top w:w="100" w:type="dxa"/>
              <w:left w:w="100" w:type="dxa"/>
              <w:bottom w:w="100" w:type="dxa"/>
              <w:right w:w="100" w:type="dxa"/>
            </w:tcMar>
            <w:hideMark/>
          </w:tcPr>
          <w:p w14:paraId="6894E08D"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Limited</w:t>
            </w:r>
          </w:p>
        </w:tc>
        <w:tc>
          <w:tcPr>
            <w:tcW w:w="866" w:type="pct"/>
            <w:tcMar>
              <w:top w:w="100" w:type="dxa"/>
              <w:left w:w="100" w:type="dxa"/>
              <w:bottom w:w="100" w:type="dxa"/>
              <w:right w:w="100" w:type="dxa"/>
            </w:tcMar>
            <w:hideMark/>
          </w:tcPr>
          <w:p w14:paraId="32775D16"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r>
      <w:tr w:rsidR="002C16A2" w14:paraId="6D7A712D" w14:textId="77777777" w:rsidTr="000040A6">
        <w:trPr>
          <w:trHeight w:val="695"/>
        </w:trPr>
        <w:tc>
          <w:tcPr>
            <w:tcW w:w="958" w:type="pct"/>
            <w:tcBorders>
              <w:bottom w:val="single" w:sz="4" w:space="0" w:color="auto"/>
            </w:tcBorders>
            <w:tcMar>
              <w:top w:w="100" w:type="dxa"/>
              <w:left w:w="100" w:type="dxa"/>
              <w:bottom w:w="100" w:type="dxa"/>
              <w:right w:w="100" w:type="dxa"/>
            </w:tcMar>
            <w:hideMark/>
          </w:tcPr>
          <w:p w14:paraId="7623077B"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École Polytechnique</w:t>
            </w:r>
          </w:p>
        </w:tc>
        <w:tc>
          <w:tcPr>
            <w:tcW w:w="979" w:type="pct"/>
            <w:tcBorders>
              <w:bottom w:val="single" w:sz="4" w:space="0" w:color="auto"/>
            </w:tcBorders>
            <w:tcMar>
              <w:top w:w="100" w:type="dxa"/>
              <w:left w:w="100" w:type="dxa"/>
              <w:bottom w:w="100" w:type="dxa"/>
              <w:right w:w="100" w:type="dxa"/>
            </w:tcMar>
            <w:hideMark/>
          </w:tcPr>
          <w:p w14:paraId="38E2F863" w14:textId="77777777" w:rsidR="002C16A2" w:rsidRPr="002C16A2" w:rsidRDefault="002C16A2">
            <w:pPr>
              <w:pStyle w:val="NormalWeb"/>
              <w:spacing w:before="0" w:beforeAutospacing="0" w:after="0" w:afterAutospacing="0"/>
              <w:rPr>
                <w:sz w:val="20"/>
                <w:szCs w:val="20"/>
              </w:rPr>
            </w:pPr>
            <w:r w:rsidRPr="002C16A2">
              <w:rPr>
                <w:rFonts w:ascii="Arial" w:hAnsi="Arial" w:cs="Arial"/>
                <w:i/>
                <w:iCs/>
                <w:color w:val="000000"/>
                <w:sz w:val="20"/>
                <w:szCs w:val="20"/>
              </w:rPr>
              <w:t>Comprendre la France, Advanced French Language &amp; Culture</w:t>
            </w:r>
          </w:p>
        </w:tc>
        <w:tc>
          <w:tcPr>
            <w:tcW w:w="1037" w:type="pct"/>
            <w:tcBorders>
              <w:bottom w:val="single" w:sz="4" w:space="0" w:color="auto"/>
            </w:tcBorders>
            <w:tcMar>
              <w:top w:w="100" w:type="dxa"/>
              <w:left w:w="100" w:type="dxa"/>
              <w:bottom w:w="100" w:type="dxa"/>
              <w:right w:w="100" w:type="dxa"/>
            </w:tcMar>
            <w:hideMark/>
          </w:tcPr>
          <w:p w14:paraId="765FCDCC"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Moderate</w:t>
            </w:r>
          </w:p>
        </w:tc>
        <w:tc>
          <w:tcPr>
            <w:tcW w:w="596" w:type="pct"/>
            <w:tcBorders>
              <w:bottom w:val="single" w:sz="4" w:space="0" w:color="auto"/>
            </w:tcBorders>
            <w:tcMar>
              <w:top w:w="100" w:type="dxa"/>
              <w:left w:w="100" w:type="dxa"/>
              <w:bottom w:w="100" w:type="dxa"/>
              <w:right w:w="100" w:type="dxa"/>
            </w:tcMar>
            <w:hideMark/>
          </w:tcPr>
          <w:p w14:paraId="5466F129"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565" w:type="pct"/>
            <w:tcBorders>
              <w:bottom w:val="single" w:sz="4" w:space="0" w:color="auto"/>
            </w:tcBorders>
            <w:tcMar>
              <w:top w:w="100" w:type="dxa"/>
              <w:left w:w="100" w:type="dxa"/>
              <w:bottom w:w="100" w:type="dxa"/>
              <w:right w:w="100" w:type="dxa"/>
            </w:tcMar>
            <w:hideMark/>
          </w:tcPr>
          <w:p w14:paraId="0C3E9B06"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866" w:type="pct"/>
            <w:tcBorders>
              <w:bottom w:val="single" w:sz="4" w:space="0" w:color="auto"/>
            </w:tcBorders>
            <w:tcMar>
              <w:top w:w="100" w:type="dxa"/>
              <w:left w:w="100" w:type="dxa"/>
              <w:bottom w:w="100" w:type="dxa"/>
              <w:right w:w="100" w:type="dxa"/>
            </w:tcMar>
            <w:hideMark/>
          </w:tcPr>
          <w:p w14:paraId="58CDE296"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r>
    </w:tbl>
    <w:p w14:paraId="0D54BFA4" w14:textId="77777777" w:rsidR="002C16A2" w:rsidRPr="002C16A2" w:rsidRDefault="002C16A2" w:rsidP="002C16A2">
      <w:pPr>
        <w:pStyle w:val="NormalWeb"/>
        <w:spacing w:before="0" w:beforeAutospacing="0" w:after="0" w:afterAutospacing="0"/>
        <w:rPr>
          <w:sz w:val="18"/>
          <w:szCs w:val="18"/>
        </w:rPr>
      </w:pPr>
      <w:r w:rsidRPr="002C16A2">
        <w:rPr>
          <w:rFonts w:ascii="Arial" w:hAnsi="Arial" w:cs="Arial"/>
          <w:i/>
          <w:iCs/>
          <w:color w:val="000000"/>
          <w:sz w:val="18"/>
          <w:szCs w:val="18"/>
        </w:rPr>
        <w:t>Note. Strong = the signal is clearly and substantially communicated through several pieces of documentary information; Moderate = the signal is clearly present but supported by less information; Limited = the signal is present but minimally communicated; Not evident = insufficient documentary evidence was identified. These descriptors are qualitative analytical judgments and are not numerical scores or measures of course quality. The ratings therefore indicate the level of documentary evidence supporting each signal.</w:t>
      </w:r>
    </w:p>
    <w:p w14:paraId="0748A676" w14:textId="77777777" w:rsidR="002C16A2" w:rsidRDefault="002C16A2" w:rsidP="002C16A2"/>
    <w:p w14:paraId="0926B2F8"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 xml:space="preserve">The most uniform finding was </w:t>
      </w:r>
      <w:r w:rsidRPr="000404FE">
        <w:rPr>
          <w:rFonts w:ascii="Arial" w:hAnsi="Arial" w:cs="Arial"/>
          <w:b/>
          <w:bCs/>
          <w:color w:val="000000"/>
          <w:sz w:val="20"/>
          <w:szCs w:val="20"/>
        </w:rPr>
        <w:t xml:space="preserve">S4, credential and competence </w:t>
      </w:r>
      <w:r w:rsidRPr="000404FE">
        <w:rPr>
          <w:rFonts w:ascii="Arial" w:hAnsi="Arial" w:cs="Arial"/>
          <w:b/>
          <w:bCs/>
          <w:color w:val="000000"/>
          <w:sz w:val="20"/>
          <w:szCs w:val="20"/>
          <w:highlight w:val="yellow"/>
        </w:rPr>
        <w:t>signalling</w:t>
      </w:r>
      <w:r w:rsidRPr="000404FE">
        <w:rPr>
          <w:rFonts w:ascii="Arial" w:hAnsi="Arial" w:cs="Arial"/>
          <w:color w:val="000000"/>
          <w:sz w:val="20"/>
          <w:szCs w:val="20"/>
        </w:rPr>
        <w:t xml:space="preserve">. All five university courses issued a completion certificate and provided information on the associated knowledge, skills, or competencies. The specific competence varied by domain. Howard University’s </w:t>
      </w:r>
      <w:r w:rsidRPr="000404FE">
        <w:rPr>
          <w:rFonts w:ascii="Arial" w:hAnsi="Arial" w:cs="Arial"/>
          <w:i/>
          <w:iCs/>
          <w:color w:val="000000"/>
          <w:sz w:val="20"/>
          <w:szCs w:val="20"/>
        </w:rPr>
        <w:t>Project Management Essentials</w:t>
      </w:r>
      <w:r w:rsidRPr="000404FE">
        <w:rPr>
          <w:rFonts w:ascii="Arial" w:hAnsi="Arial" w:cs="Arial"/>
          <w:color w:val="000000"/>
          <w:sz w:val="20"/>
          <w:szCs w:val="20"/>
        </w:rPr>
        <w:t xml:space="preserve"> linked completion to project management methodologies, tools, and professional application. Rice University’s immunology course </w:t>
      </w:r>
      <w:r w:rsidRPr="000404FE">
        <w:rPr>
          <w:rFonts w:ascii="Arial" w:hAnsi="Arial" w:cs="Arial"/>
          <w:color w:val="000000"/>
          <w:sz w:val="20"/>
          <w:szCs w:val="20"/>
          <w:highlight w:val="yellow"/>
        </w:rPr>
        <w:t>emphasised</w:t>
      </w:r>
      <w:r w:rsidRPr="000404FE">
        <w:rPr>
          <w:rFonts w:ascii="Arial" w:hAnsi="Arial" w:cs="Arial"/>
          <w:color w:val="000000"/>
          <w:sz w:val="20"/>
          <w:szCs w:val="20"/>
        </w:rPr>
        <w:t xml:space="preserve"> specialized competencies in immunology and related biological sciences. The University of Michigan course identified competencies involving AI literacy, responsible AI, ethics, intellectual property, regulation, and applications. IESE Business School </w:t>
      </w:r>
      <w:r w:rsidRPr="000404FE">
        <w:rPr>
          <w:rFonts w:ascii="Arial" w:hAnsi="Arial" w:cs="Arial"/>
          <w:color w:val="000000"/>
          <w:sz w:val="20"/>
          <w:szCs w:val="20"/>
          <w:highlight w:val="yellow"/>
        </w:rPr>
        <w:t>emphasised</w:t>
      </w:r>
      <w:r w:rsidRPr="000404FE">
        <w:rPr>
          <w:rFonts w:ascii="Arial" w:hAnsi="Arial" w:cs="Arial"/>
          <w:color w:val="000000"/>
          <w:sz w:val="20"/>
          <w:szCs w:val="20"/>
        </w:rPr>
        <w:t xml:space="preserve"> storytelling, communication, presentation, and public speaking skills, while École Polytechnique </w:t>
      </w:r>
      <w:r w:rsidRPr="000404FE">
        <w:rPr>
          <w:rFonts w:ascii="Arial" w:hAnsi="Arial" w:cs="Arial"/>
          <w:color w:val="000000"/>
          <w:sz w:val="20"/>
          <w:szCs w:val="20"/>
          <w:highlight w:val="yellow"/>
        </w:rPr>
        <w:t>emphasised</w:t>
      </w:r>
      <w:r w:rsidRPr="000404FE">
        <w:rPr>
          <w:rFonts w:ascii="Arial" w:hAnsi="Arial" w:cs="Arial"/>
          <w:color w:val="000000"/>
          <w:sz w:val="20"/>
          <w:szCs w:val="20"/>
        </w:rPr>
        <w:t xml:space="preserve"> language, cultural, social science, and intercultural competencies.</w:t>
      </w:r>
    </w:p>
    <w:p w14:paraId="2CAC8D1E"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lastRenderedPageBreak/>
        <w:t xml:space="preserve">This finding extends beyond the mere presence of a certificate. While a certificate provides evidence of completion, the associated skills and learning outcomes clarify the intended significance of that completion. This distinction aligns with recent research on micro-credentials, where employers </w:t>
      </w:r>
      <w:r w:rsidRPr="000404FE">
        <w:rPr>
          <w:rFonts w:ascii="Arial" w:hAnsi="Arial" w:cs="Arial"/>
          <w:color w:val="000000"/>
          <w:sz w:val="20"/>
          <w:szCs w:val="20"/>
          <w:highlight w:val="yellow"/>
        </w:rPr>
        <w:t>recognise</w:t>
      </w:r>
      <w:r w:rsidRPr="000404FE">
        <w:rPr>
          <w:rFonts w:ascii="Arial" w:hAnsi="Arial" w:cs="Arial"/>
          <w:color w:val="000000"/>
          <w:sz w:val="20"/>
          <w:szCs w:val="20"/>
        </w:rPr>
        <w:t xml:space="preserve"> online credentials as potentially valuable for professional development but </w:t>
      </w:r>
      <w:r w:rsidRPr="000404FE">
        <w:rPr>
          <w:rFonts w:ascii="Arial" w:hAnsi="Arial" w:cs="Arial"/>
          <w:color w:val="000000"/>
          <w:sz w:val="20"/>
          <w:szCs w:val="20"/>
          <w:highlight w:val="yellow"/>
        </w:rPr>
        <w:t>emphasise</w:t>
      </w:r>
      <w:r w:rsidRPr="000404FE">
        <w:rPr>
          <w:rFonts w:ascii="Arial" w:hAnsi="Arial" w:cs="Arial"/>
          <w:color w:val="000000"/>
          <w:sz w:val="20"/>
          <w:szCs w:val="20"/>
        </w:rPr>
        <w:t xml:space="preserve"> the importance of meaningful learning and practical application (Bruguera et al., 2025). The current documentary evidence does not establish that completion resulted in actual competence or employment outcomes; instead, it shows that the courses presented completion and specified competencies as integral components of their publicly visible value proposition.</w:t>
      </w:r>
    </w:p>
    <w:p w14:paraId="72AE7423"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b/>
          <w:bCs/>
          <w:color w:val="000000"/>
          <w:sz w:val="20"/>
          <w:szCs w:val="20"/>
        </w:rPr>
        <w:t>Instructor expertise (S2)</w:t>
      </w:r>
      <w:r w:rsidRPr="000404FE">
        <w:rPr>
          <w:rFonts w:ascii="Arial" w:hAnsi="Arial" w:cs="Arial"/>
          <w:color w:val="000000"/>
          <w:sz w:val="20"/>
          <w:szCs w:val="20"/>
        </w:rPr>
        <w:t xml:space="preserve"> represented the second most prominent pattern. Four of the five university cases provided substantial information enabling prospective learners to associate the course with identifiable academic or professional expertise. Rice University offered extensive details on the instructor’s academic and teaching background in biology and immunology. IESE’s course featured an instructor with a professional background in strategic communication and international media. École Polytechnique identified multiple instructors with relevant academic roles, while the University of Michigan described contributions from university experts in fields related to generative artificial intelligence. Howard University provided less detailed information about individual instructors, resulting in a Limited assessment.</w:t>
      </w:r>
    </w:p>
    <w:p w14:paraId="29AA646B"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This pattern is consistent with empirical evidence that instructor reputation is relevant to the perceived value of MOOCs. Wang and Lee (2024), using survey data from 449 university students, found that instructor reputation positively influenced perceived usefulness and learning attitudes, which were associated with MOOC retention. Although their study examined learner perceptions rather than documentary evidence, it supports treating instructor reputation as a meaningful feature of the MOOC environment. Similarly, Luo et al. (2026) identified teacher competence as one of four dimensions in their validated LMOOC quality evaluation framework. Their findings support the broader relevance of instructor competence in online-course evaluation, while the present study extends this issue by examining how such expertise is publicly communicated before participation.</w:t>
      </w:r>
    </w:p>
    <w:p w14:paraId="08DB2089"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 xml:space="preserve">The role of </w:t>
      </w:r>
      <w:r w:rsidRPr="000404FE">
        <w:rPr>
          <w:rFonts w:ascii="Arial" w:hAnsi="Arial" w:cs="Arial"/>
          <w:b/>
          <w:bCs/>
          <w:color w:val="000000"/>
          <w:sz w:val="20"/>
          <w:szCs w:val="20"/>
        </w:rPr>
        <w:t>S1, provider reputation/prestige</w:t>
      </w:r>
      <w:r w:rsidRPr="000404FE">
        <w:rPr>
          <w:rFonts w:ascii="Arial" w:hAnsi="Arial" w:cs="Arial"/>
          <w:color w:val="000000"/>
          <w:sz w:val="20"/>
          <w:szCs w:val="20"/>
        </w:rPr>
        <w:t xml:space="preserve">, was more limited and contextual. None of the five university cases was assessed as Strong. Although the institutional identities of Howard University, Rice University, the University of Michigan, IESE Business School, and École Polytechnique were clearly visible, the selected course pages did not consistently construct detailed claims about institutional rankings, historical distinction, or comparative prestige. Consequently, institutional identity functioned primarily as a background credibility cue rather than as the principal content of the </w:t>
      </w:r>
      <w:r w:rsidRPr="000404FE">
        <w:rPr>
          <w:rFonts w:ascii="Arial" w:hAnsi="Arial" w:cs="Arial"/>
          <w:color w:val="000000"/>
          <w:sz w:val="20"/>
          <w:szCs w:val="20"/>
          <w:highlight w:val="yellow"/>
        </w:rPr>
        <w:t>signalling</w:t>
      </w:r>
      <w:r w:rsidRPr="000404FE">
        <w:rPr>
          <w:rFonts w:ascii="Arial" w:hAnsi="Arial" w:cs="Arial"/>
          <w:color w:val="000000"/>
          <w:sz w:val="20"/>
          <w:szCs w:val="20"/>
        </w:rPr>
        <w:t xml:space="preserve"> message, as evidenced by the course pages.</w:t>
      </w:r>
    </w:p>
    <w:p w14:paraId="597BDC11"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 xml:space="preserve">This finding is theoretically significant because the presence of a prestigious or </w:t>
      </w:r>
      <w:r w:rsidRPr="000404FE">
        <w:rPr>
          <w:rFonts w:ascii="Arial" w:hAnsi="Arial" w:cs="Arial"/>
          <w:color w:val="000000"/>
          <w:sz w:val="20"/>
          <w:szCs w:val="20"/>
          <w:highlight w:val="yellow"/>
        </w:rPr>
        <w:t>recognisable</w:t>
      </w:r>
      <w:r w:rsidRPr="000404FE">
        <w:rPr>
          <w:rFonts w:ascii="Arial" w:hAnsi="Arial" w:cs="Arial"/>
          <w:color w:val="000000"/>
          <w:sz w:val="20"/>
          <w:szCs w:val="20"/>
        </w:rPr>
        <w:t xml:space="preserve"> university does not necessarily mean that prestige is actively communicated as a course-level signal. According to </w:t>
      </w:r>
      <w:r w:rsidRPr="000404FE">
        <w:rPr>
          <w:rFonts w:ascii="Arial" w:hAnsi="Arial" w:cs="Arial"/>
          <w:color w:val="000000"/>
          <w:sz w:val="20"/>
          <w:szCs w:val="20"/>
          <w:highlight w:val="yellow"/>
        </w:rPr>
        <w:t>Signalling</w:t>
      </w:r>
      <w:r w:rsidRPr="000404FE">
        <w:rPr>
          <w:rFonts w:ascii="Arial" w:hAnsi="Arial" w:cs="Arial"/>
          <w:color w:val="000000"/>
          <w:sz w:val="20"/>
          <w:szCs w:val="20"/>
        </w:rPr>
        <w:t xml:space="preserve"> Theory, the key issue is whether observable information is presented in a manner that supports inferences about the </w:t>
      </w:r>
      <w:r w:rsidRPr="000404FE">
        <w:rPr>
          <w:rFonts w:ascii="Arial" w:hAnsi="Arial" w:cs="Arial"/>
          <w:color w:val="000000"/>
          <w:sz w:val="20"/>
          <w:szCs w:val="20"/>
          <w:highlight w:val="yellow"/>
        </w:rPr>
        <w:t>signaller</w:t>
      </w:r>
      <w:r w:rsidRPr="000404FE">
        <w:rPr>
          <w:rFonts w:ascii="Arial" w:hAnsi="Arial" w:cs="Arial"/>
          <w:color w:val="000000"/>
          <w:sz w:val="20"/>
          <w:szCs w:val="20"/>
        </w:rPr>
        <w:t>’s qualities (Connelly et al., 2011, 2025). In these cases, institutional identity was visible, but course pages more consistently provided course-specific information about instructors, skills, and learning outcomes. Therefore, institutional reputation appears to offer contextual credibility, while instructor expertise and competence serve as more specific signals regarding the learning opportunity.</w:t>
      </w:r>
    </w:p>
    <w:p w14:paraId="7FB67022"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 xml:space="preserve">The greatest variation was observed in </w:t>
      </w:r>
      <w:r w:rsidRPr="000404FE">
        <w:rPr>
          <w:rFonts w:ascii="Arial" w:hAnsi="Arial" w:cs="Arial"/>
          <w:b/>
          <w:bCs/>
          <w:color w:val="000000"/>
          <w:sz w:val="20"/>
          <w:szCs w:val="20"/>
          <w:highlight w:val="yellow"/>
        </w:rPr>
        <w:t>rigour</w:t>
      </w:r>
      <w:r w:rsidRPr="000404FE">
        <w:rPr>
          <w:rFonts w:ascii="Arial" w:hAnsi="Arial" w:cs="Arial"/>
          <w:b/>
          <w:bCs/>
          <w:color w:val="000000"/>
          <w:sz w:val="20"/>
          <w:szCs w:val="20"/>
        </w:rPr>
        <w:t xml:space="preserve"> </w:t>
      </w:r>
      <w:r w:rsidRPr="000404FE">
        <w:rPr>
          <w:rFonts w:ascii="Arial" w:hAnsi="Arial" w:cs="Arial"/>
          <w:b/>
          <w:bCs/>
          <w:color w:val="000000"/>
          <w:sz w:val="20"/>
          <w:szCs w:val="20"/>
          <w:highlight w:val="yellow"/>
        </w:rPr>
        <w:t>signalling</w:t>
      </w:r>
      <w:r w:rsidRPr="000404FE">
        <w:rPr>
          <w:rFonts w:ascii="Arial" w:hAnsi="Arial" w:cs="Arial"/>
          <w:b/>
          <w:bCs/>
          <w:color w:val="000000"/>
          <w:sz w:val="20"/>
          <w:szCs w:val="20"/>
        </w:rPr>
        <w:t xml:space="preserve"> (S3)</w:t>
      </w:r>
      <w:r w:rsidRPr="000404FE">
        <w:rPr>
          <w:rFonts w:ascii="Arial" w:hAnsi="Arial" w:cs="Arial"/>
          <w:color w:val="000000"/>
          <w:sz w:val="20"/>
          <w:szCs w:val="20"/>
        </w:rPr>
        <w:t xml:space="preserve">. Rice University and École Polytechnique conveyed relatively strong signals through their intermediate- or advanced-course positioning, prior-experience expectations, structured modules, substantial learning requirements, and multiple assessment activities. Howard University communicated Moderate </w:t>
      </w:r>
      <w:r w:rsidRPr="000404FE">
        <w:rPr>
          <w:rFonts w:ascii="Arial" w:hAnsi="Arial" w:cs="Arial"/>
          <w:color w:val="000000"/>
          <w:sz w:val="20"/>
          <w:szCs w:val="20"/>
          <w:highlight w:val="yellow"/>
        </w:rPr>
        <w:t>rigour</w:t>
      </w:r>
      <w:r w:rsidRPr="000404FE">
        <w:rPr>
          <w:rFonts w:ascii="Arial" w:hAnsi="Arial" w:cs="Arial"/>
          <w:color w:val="000000"/>
          <w:sz w:val="20"/>
          <w:szCs w:val="20"/>
        </w:rPr>
        <w:t xml:space="preserve"> through structured modules and assignments, despite being positioned at the beginner level. In contrast, the University of Michigan and IESE courses were shorter, introductory offerings with limited prerequisites and comparatively modest time requirements, resulting in Limited </w:t>
      </w:r>
      <w:r w:rsidRPr="000404FE">
        <w:rPr>
          <w:rFonts w:ascii="Arial" w:hAnsi="Arial" w:cs="Arial"/>
          <w:color w:val="000000"/>
          <w:sz w:val="20"/>
          <w:szCs w:val="20"/>
          <w:highlight w:val="yellow"/>
        </w:rPr>
        <w:t>rigour</w:t>
      </w:r>
      <w:r w:rsidRPr="000404FE">
        <w:rPr>
          <w:rFonts w:ascii="Arial" w:hAnsi="Arial" w:cs="Arial"/>
          <w:color w:val="000000"/>
          <w:sz w:val="20"/>
          <w:szCs w:val="20"/>
        </w:rPr>
        <w:t xml:space="preserve"> signals.</w:t>
      </w:r>
    </w:p>
    <w:p w14:paraId="14F8C124"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lastRenderedPageBreak/>
        <w:t xml:space="preserve">The interpretation addresses the communicated expectations of </w:t>
      </w:r>
      <w:r w:rsidRPr="000404FE">
        <w:rPr>
          <w:rFonts w:ascii="Arial" w:hAnsi="Arial" w:cs="Arial"/>
          <w:color w:val="000000"/>
          <w:sz w:val="20"/>
          <w:szCs w:val="20"/>
          <w:highlight w:val="yellow"/>
        </w:rPr>
        <w:t>rigour</w:t>
      </w:r>
      <w:r w:rsidRPr="000404FE">
        <w:rPr>
          <w:rFonts w:ascii="Arial" w:hAnsi="Arial" w:cs="Arial"/>
          <w:color w:val="000000"/>
          <w:sz w:val="20"/>
          <w:szCs w:val="20"/>
        </w:rPr>
        <w:t xml:space="preserve"> rather than the course's objective </w:t>
      </w:r>
      <w:r w:rsidRPr="000404FE">
        <w:rPr>
          <w:rFonts w:ascii="Arial" w:hAnsi="Arial" w:cs="Arial"/>
          <w:color w:val="000000"/>
          <w:sz w:val="20"/>
          <w:szCs w:val="20"/>
          <w:highlight w:val="yellow"/>
        </w:rPr>
        <w:t>rigour</w:t>
      </w:r>
      <w:r w:rsidRPr="000404FE">
        <w:rPr>
          <w:rFonts w:ascii="Arial" w:hAnsi="Arial" w:cs="Arial"/>
          <w:color w:val="000000"/>
          <w:sz w:val="20"/>
          <w:szCs w:val="20"/>
        </w:rPr>
        <w:t xml:space="preserve">. A course page that identifies prerequisites, workload, assessments, or substantial learning activities signals an expectation of effort and engagement but does not, by itself, establish that a course is objectively more rigorous or educationally superior. This distinction aligns with recent MOOC quality research, which considers instructional design, teacher competence, teaching implementation, assessment, and related characteristics as multidimensional aspects of quality rather than as a single measure (Luo et al., 2026). The present study similarly treats these characteristics as observable cues that communicate expected effort or seriousness, not as direct evidence of actual </w:t>
      </w:r>
      <w:r w:rsidRPr="000404FE">
        <w:rPr>
          <w:rFonts w:ascii="Arial" w:hAnsi="Arial" w:cs="Arial"/>
          <w:color w:val="000000"/>
          <w:sz w:val="20"/>
          <w:szCs w:val="20"/>
          <w:highlight w:val="yellow"/>
        </w:rPr>
        <w:t>rigour</w:t>
      </w:r>
      <w:r w:rsidRPr="000404FE">
        <w:rPr>
          <w:rFonts w:ascii="Arial" w:hAnsi="Arial" w:cs="Arial"/>
          <w:color w:val="000000"/>
          <w:sz w:val="20"/>
          <w:szCs w:val="20"/>
        </w:rPr>
        <w:t>.</w:t>
      </w:r>
    </w:p>
    <w:p w14:paraId="26162E10" w14:textId="77777777" w:rsidR="00805F9F" w:rsidRDefault="000404FE" w:rsidP="000404FE">
      <w:pPr>
        <w:pStyle w:val="NormalWeb"/>
        <w:spacing w:before="0" w:beforeAutospacing="0" w:after="0" w:afterAutospacing="0"/>
        <w:rPr>
          <w:rFonts w:ascii="Arial" w:hAnsi="Arial" w:cs="Arial"/>
          <w:color w:val="000000"/>
          <w:sz w:val="20"/>
          <w:szCs w:val="20"/>
        </w:rPr>
      </w:pPr>
      <w:r w:rsidRPr="000404FE">
        <w:rPr>
          <w:rFonts w:ascii="Arial" w:hAnsi="Arial" w:cs="Arial"/>
          <w:color w:val="000000"/>
          <w:sz w:val="20"/>
          <w:szCs w:val="20"/>
        </w:rPr>
        <w:t xml:space="preserve">Collectively, the university cases reveal a </w:t>
      </w:r>
      <w:r w:rsidRPr="000404FE">
        <w:rPr>
          <w:rFonts w:ascii="Arial" w:hAnsi="Arial" w:cs="Arial"/>
          <w:color w:val="000000"/>
          <w:sz w:val="20"/>
          <w:szCs w:val="20"/>
          <w:highlight w:val="yellow"/>
        </w:rPr>
        <w:t>signalling</w:t>
      </w:r>
      <w:r w:rsidRPr="000404FE">
        <w:rPr>
          <w:rFonts w:ascii="Arial" w:hAnsi="Arial" w:cs="Arial"/>
          <w:color w:val="000000"/>
          <w:sz w:val="20"/>
          <w:szCs w:val="20"/>
        </w:rPr>
        <w:t xml:space="preserve"> configuration that prioritizes competence and expertise over institutional prestige alone. The most prominent signal concerned what learners could obtain or demonstrate through course completion, while instructor expertise was highly visible in most cases. Institutional identity provided contextual credibility but was not consistently developed into an explicit prestige message. </w:t>
      </w:r>
      <w:r w:rsidRPr="000404FE">
        <w:rPr>
          <w:rFonts w:ascii="Arial" w:hAnsi="Arial" w:cs="Arial"/>
          <w:color w:val="000000"/>
          <w:sz w:val="20"/>
          <w:szCs w:val="20"/>
          <w:highlight w:val="yellow"/>
        </w:rPr>
        <w:t>Rigour</w:t>
      </w:r>
      <w:r w:rsidRPr="000404FE">
        <w:rPr>
          <w:rFonts w:ascii="Arial" w:hAnsi="Arial" w:cs="Arial"/>
          <w:color w:val="000000"/>
          <w:sz w:val="20"/>
          <w:szCs w:val="20"/>
        </w:rPr>
        <w:t xml:space="preserve"> varied according to the intended level and purpose of each course. </w:t>
      </w:r>
    </w:p>
    <w:p w14:paraId="3BF1E731" w14:textId="77777777" w:rsidR="000404FE" w:rsidRPr="00805F9F" w:rsidRDefault="00805F9F" w:rsidP="000404FE">
      <w:pPr>
        <w:pStyle w:val="NormalWeb"/>
        <w:spacing w:before="0" w:beforeAutospacing="0" w:after="0" w:afterAutospacing="0"/>
        <w:rPr>
          <w:rFonts w:ascii="Arial" w:hAnsi="Arial" w:cs="Arial"/>
          <w:sz w:val="20"/>
          <w:szCs w:val="20"/>
        </w:rPr>
      </w:pPr>
      <w:r w:rsidRPr="00805F9F">
        <w:rPr>
          <w:rFonts w:ascii="Arial" w:hAnsi="Arial" w:cs="Arial"/>
          <w:sz w:val="20"/>
          <w:szCs w:val="20"/>
        </w:rPr>
        <w:t xml:space="preserve">Overall, the university cases reveal a </w:t>
      </w:r>
      <w:r w:rsidRPr="00805F9F">
        <w:rPr>
          <w:rFonts w:ascii="Arial" w:hAnsi="Arial" w:cs="Arial"/>
          <w:sz w:val="20"/>
          <w:szCs w:val="20"/>
          <w:highlight w:val="yellow"/>
        </w:rPr>
        <w:t>signalling</w:t>
      </w:r>
      <w:r w:rsidRPr="00805F9F">
        <w:rPr>
          <w:rFonts w:ascii="Arial" w:hAnsi="Arial" w:cs="Arial"/>
          <w:sz w:val="20"/>
          <w:szCs w:val="20"/>
        </w:rPr>
        <w:t xml:space="preserve"> configuration </w:t>
      </w:r>
      <w:r w:rsidRPr="00805F9F">
        <w:rPr>
          <w:rFonts w:ascii="Arial" w:hAnsi="Arial" w:cs="Arial"/>
          <w:sz w:val="20"/>
          <w:szCs w:val="20"/>
          <w:highlight w:val="yellow"/>
        </w:rPr>
        <w:t>centred</w:t>
      </w:r>
      <w:r w:rsidRPr="00805F9F">
        <w:rPr>
          <w:rFonts w:ascii="Arial" w:hAnsi="Arial" w:cs="Arial"/>
          <w:sz w:val="20"/>
          <w:szCs w:val="20"/>
        </w:rPr>
        <w:t xml:space="preserve"> on credential and competence communication, supported by visible academic or professional expertise. Institutional identity contributed contextual credibility but was not consistently developed into an explicit prestige signal, while </w:t>
      </w:r>
      <w:r w:rsidRPr="00805F9F">
        <w:rPr>
          <w:rFonts w:ascii="Arial" w:hAnsi="Arial" w:cs="Arial"/>
          <w:sz w:val="20"/>
          <w:szCs w:val="20"/>
          <w:highlight w:val="yellow"/>
        </w:rPr>
        <w:t>rigour</w:t>
      </w:r>
      <w:r w:rsidRPr="00805F9F">
        <w:rPr>
          <w:rFonts w:ascii="Arial" w:hAnsi="Arial" w:cs="Arial"/>
          <w:sz w:val="20"/>
          <w:szCs w:val="20"/>
        </w:rPr>
        <w:t xml:space="preserve"> varied according to course level, structure, and expected effort. These findings address </w:t>
      </w:r>
      <w:r w:rsidRPr="00A6479D">
        <w:rPr>
          <w:rFonts w:ascii="Arial" w:hAnsi="Arial" w:cs="Arial"/>
          <w:b/>
          <w:bCs/>
          <w:sz w:val="20"/>
          <w:szCs w:val="20"/>
        </w:rPr>
        <w:t xml:space="preserve">RQ1 </w:t>
      </w:r>
      <w:r w:rsidRPr="00805F9F">
        <w:rPr>
          <w:rFonts w:ascii="Arial" w:hAnsi="Arial" w:cs="Arial"/>
          <w:sz w:val="20"/>
          <w:szCs w:val="20"/>
        </w:rPr>
        <w:t>by showing that the selected highly enrolled university-provided MOOCs communicate value primarily through what learners may demonstrate or obtain through completion and, in most cases, through identifiable academic or professional expertise.</w:t>
      </w:r>
    </w:p>
    <w:p w14:paraId="4A3F124D" w14:textId="77777777" w:rsidR="00472000" w:rsidRPr="00472000" w:rsidRDefault="00472000" w:rsidP="00472000"/>
    <w:p w14:paraId="70ADE318" w14:textId="77777777" w:rsidR="00A643A7" w:rsidRPr="003E6688" w:rsidRDefault="00A643A7" w:rsidP="00A643A7">
      <w:pPr>
        <w:pStyle w:val="Heading1"/>
        <w:spacing w:before="0" w:after="0"/>
        <w:rPr>
          <w:sz w:val="22"/>
          <w:szCs w:val="22"/>
        </w:rPr>
      </w:pPr>
      <w:r w:rsidRPr="003E6688">
        <w:rPr>
          <w:rFonts w:cs="Arial"/>
          <w:color w:val="000000"/>
          <w:sz w:val="22"/>
          <w:szCs w:val="22"/>
        </w:rPr>
        <w:t xml:space="preserve">3.2 </w:t>
      </w:r>
      <w:r w:rsidR="003E6688" w:rsidRPr="003E6688">
        <w:rPr>
          <w:rFonts w:cs="Arial"/>
          <w:color w:val="000000"/>
          <w:sz w:val="22"/>
          <w:szCs w:val="22"/>
          <w:highlight w:val="yellow"/>
        </w:rPr>
        <w:t>Signalling</w:t>
      </w:r>
      <w:r w:rsidR="003E6688" w:rsidRPr="003E6688">
        <w:rPr>
          <w:rFonts w:cs="Arial"/>
          <w:color w:val="000000"/>
          <w:sz w:val="22"/>
          <w:szCs w:val="22"/>
        </w:rPr>
        <w:t xml:space="preserve"> Patterns in Industry-Provided MOOCs</w:t>
      </w:r>
    </w:p>
    <w:p w14:paraId="59EE08BA" w14:textId="77777777" w:rsidR="00A643A7" w:rsidRDefault="00A643A7" w:rsidP="00A643A7"/>
    <w:p w14:paraId="1BD1AEE6" w14:textId="77777777" w:rsidR="003E6688" w:rsidRDefault="003E6688" w:rsidP="003E6688">
      <w:pPr>
        <w:pStyle w:val="NormalWeb"/>
        <w:spacing w:before="0" w:beforeAutospacing="0" w:after="0" w:afterAutospacing="0"/>
        <w:rPr>
          <w:rFonts w:ascii="Arial" w:hAnsi="Arial" w:cs="Arial"/>
          <w:color w:val="000000"/>
          <w:sz w:val="20"/>
          <w:szCs w:val="20"/>
        </w:rPr>
      </w:pPr>
      <w:r w:rsidRPr="003E6688">
        <w:rPr>
          <w:rFonts w:ascii="Arial" w:hAnsi="Arial" w:cs="Arial"/>
          <w:color w:val="000000"/>
          <w:sz w:val="20"/>
          <w:szCs w:val="20"/>
        </w:rPr>
        <w:t xml:space="preserve">The five industry-provided MOOCs showed a more consistent combination of </w:t>
      </w:r>
      <w:r w:rsidRPr="003E6688">
        <w:rPr>
          <w:rFonts w:ascii="Arial" w:hAnsi="Arial" w:cs="Arial"/>
          <w:color w:val="000000"/>
          <w:sz w:val="20"/>
          <w:szCs w:val="20"/>
          <w:highlight w:val="yellow"/>
        </w:rPr>
        <w:t>rigour</w:t>
      </w:r>
      <w:r w:rsidRPr="003E6688">
        <w:rPr>
          <w:rFonts w:ascii="Arial" w:hAnsi="Arial" w:cs="Arial"/>
          <w:color w:val="000000"/>
          <w:sz w:val="20"/>
          <w:szCs w:val="20"/>
        </w:rPr>
        <w:t xml:space="preserve"> signals (S3) and credential and competence signals (S4) than the university-provided cases. S4 was Strong in all five cases, while S3 was Strong in four and Limited in the Google Cloud course. Provider reputation/prestige (S1) was Strong in four cases and Moderate in one. Instructor expertise (S2) was conveyed consistently through </w:t>
      </w:r>
      <w:r w:rsidRPr="003E6688">
        <w:rPr>
          <w:rFonts w:ascii="Arial" w:hAnsi="Arial" w:cs="Arial"/>
          <w:color w:val="000000"/>
          <w:sz w:val="20"/>
          <w:szCs w:val="20"/>
          <w:highlight w:val="yellow"/>
        </w:rPr>
        <w:t>organisational</w:t>
      </w:r>
      <w:r w:rsidRPr="003E6688">
        <w:rPr>
          <w:rFonts w:ascii="Arial" w:hAnsi="Arial" w:cs="Arial"/>
          <w:color w:val="000000"/>
          <w:sz w:val="20"/>
          <w:szCs w:val="20"/>
        </w:rPr>
        <w:t xml:space="preserve"> expertise rather than emphasis on individual instructors. This pattern indicates that industry providers communicate value primarily through </w:t>
      </w:r>
      <w:r w:rsidRPr="003E6688">
        <w:rPr>
          <w:rFonts w:ascii="Arial" w:hAnsi="Arial" w:cs="Arial"/>
          <w:color w:val="000000"/>
          <w:sz w:val="20"/>
          <w:szCs w:val="20"/>
          <w:highlight w:val="yellow"/>
        </w:rPr>
        <w:t>organisational</w:t>
      </w:r>
      <w:r w:rsidRPr="003E6688">
        <w:rPr>
          <w:rFonts w:ascii="Arial" w:hAnsi="Arial" w:cs="Arial"/>
          <w:color w:val="000000"/>
          <w:sz w:val="20"/>
          <w:szCs w:val="20"/>
        </w:rPr>
        <w:t xml:space="preserve"> authority, applied competence, workplace relevance, and visible credentials, rather than through detailed biographies of individual instructors.</w:t>
      </w:r>
    </w:p>
    <w:p w14:paraId="562F7389" w14:textId="77777777" w:rsidR="006D3648" w:rsidRDefault="006D3648" w:rsidP="006D3648">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Table 3. Matrix of Signaling Findings for Industry-Provided MOOCs</w:t>
      </w:r>
    </w:p>
    <w:p w14:paraId="757041A2" w14:textId="77777777" w:rsidR="006D3648" w:rsidRDefault="006D3648" w:rsidP="006D3648">
      <w:pPr>
        <w:pStyle w:val="NormalWeb"/>
        <w:spacing w:before="0" w:beforeAutospacing="0" w:after="0" w:afterAutospacing="0"/>
        <w:jc w:val="center"/>
        <w:rPr>
          <w:rFonts w:ascii="Arial" w:hAnsi="Arial" w:cs="Arial"/>
          <w:b/>
          <w:bCs/>
          <w:color w:val="000000"/>
          <w:sz w:val="20"/>
          <w:szCs w:val="20"/>
        </w:rPr>
      </w:pPr>
    </w:p>
    <w:tbl>
      <w:tblPr>
        <w:tblW w:w="9810" w:type="dxa"/>
        <w:jc w:val="center"/>
        <w:tblCellMar>
          <w:top w:w="15" w:type="dxa"/>
          <w:left w:w="15" w:type="dxa"/>
          <w:bottom w:w="15" w:type="dxa"/>
          <w:right w:w="15" w:type="dxa"/>
        </w:tblCellMar>
        <w:tblLook w:val="04A0" w:firstRow="1" w:lastRow="0" w:firstColumn="1" w:lastColumn="0" w:noHBand="0" w:noVBand="1"/>
      </w:tblPr>
      <w:tblGrid>
        <w:gridCol w:w="1510"/>
        <w:gridCol w:w="2149"/>
        <w:gridCol w:w="2090"/>
        <w:gridCol w:w="1134"/>
        <w:gridCol w:w="1152"/>
        <w:gridCol w:w="1775"/>
      </w:tblGrid>
      <w:tr w:rsidR="006D3648" w:rsidRPr="006D3648" w14:paraId="57C019E3" w14:textId="77777777" w:rsidTr="006D3648">
        <w:trPr>
          <w:trHeight w:val="430"/>
          <w:jc w:val="center"/>
        </w:trPr>
        <w:tc>
          <w:tcPr>
            <w:tcW w:w="1510" w:type="dxa"/>
            <w:tcBorders>
              <w:top w:val="single" w:sz="4" w:space="0" w:color="auto"/>
              <w:bottom w:val="single" w:sz="4" w:space="0" w:color="auto"/>
            </w:tcBorders>
            <w:tcMar>
              <w:top w:w="100" w:type="dxa"/>
              <w:left w:w="100" w:type="dxa"/>
              <w:bottom w:w="100" w:type="dxa"/>
              <w:right w:w="100" w:type="dxa"/>
            </w:tcMar>
            <w:hideMark/>
          </w:tcPr>
          <w:p w14:paraId="6E92CF25"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Provider</w:t>
            </w:r>
          </w:p>
        </w:tc>
        <w:tc>
          <w:tcPr>
            <w:tcW w:w="2149" w:type="dxa"/>
            <w:tcBorders>
              <w:top w:val="single" w:sz="4" w:space="0" w:color="auto"/>
              <w:bottom w:val="single" w:sz="4" w:space="0" w:color="auto"/>
            </w:tcBorders>
            <w:tcMar>
              <w:top w:w="100" w:type="dxa"/>
              <w:left w:w="100" w:type="dxa"/>
              <w:bottom w:w="100" w:type="dxa"/>
              <w:right w:w="100" w:type="dxa"/>
            </w:tcMar>
            <w:hideMark/>
          </w:tcPr>
          <w:p w14:paraId="1121C2D8"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Selected MOOC</w:t>
            </w:r>
          </w:p>
        </w:tc>
        <w:tc>
          <w:tcPr>
            <w:tcW w:w="0" w:type="auto"/>
            <w:tcBorders>
              <w:top w:val="single" w:sz="4" w:space="0" w:color="auto"/>
              <w:bottom w:val="single" w:sz="4" w:space="0" w:color="auto"/>
            </w:tcBorders>
            <w:tcMar>
              <w:top w:w="100" w:type="dxa"/>
              <w:left w:w="100" w:type="dxa"/>
              <w:bottom w:w="100" w:type="dxa"/>
              <w:right w:w="100" w:type="dxa"/>
            </w:tcMar>
            <w:hideMark/>
          </w:tcPr>
          <w:p w14:paraId="573C8A72"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S1 Provider Reputation/Prestige</w:t>
            </w:r>
          </w:p>
        </w:tc>
        <w:tc>
          <w:tcPr>
            <w:tcW w:w="0" w:type="auto"/>
            <w:tcBorders>
              <w:top w:val="single" w:sz="4" w:space="0" w:color="auto"/>
              <w:bottom w:val="single" w:sz="4" w:space="0" w:color="auto"/>
            </w:tcBorders>
            <w:tcMar>
              <w:top w:w="100" w:type="dxa"/>
              <w:left w:w="100" w:type="dxa"/>
              <w:bottom w:w="100" w:type="dxa"/>
              <w:right w:w="100" w:type="dxa"/>
            </w:tcMar>
            <w:hideMark/>
          </w:tcPr>
          <w:p w14:paraId="4898172C"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S2 Instructor Expertise</w:t>
            </w:r>
          </w:p>
        </w:tc>
        <w:tc>
          <w:tcPr>
            <w:tcW w:w="1152" w:type="dxa"/>
            <w:tcBorders>
              <w:top w:val="single" w:sz="4" w:space="0" w:color="auto"/>
              <w:bottom w:val="single" w:sz="4" w:space="0" w:color="auto"/>
            </w:tcBorders>
            <w:tcMar>
              <w:top w:w="100" w:type="dxa"/>
              <w:left w:w="100" w:type="dxa"/>
              <w:bottom w:w="100" w:type="dxa"/>
              <w:right w:w="100" w:type="dxa"/>
            </w:tcMar>
            <w:hideMark/>
          </w:tcPr>
          <w:p w14:paraId="0DBDD212"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S3 Rigor Signals</w:t>
            </w:r>
          </w:p>
        </w:tc>
        <w:tc>
          <w:tcPr>
            <w:tcW w:w="1775" w:type="dxa"/>
            <w:tcBorders>
              <w:top w:val="single" w:sz="4" w:space="0" w:color="auto"/>
              <w:bottom w:val="single" w:sz="4" w:space="0" w:color="auto"/>
            </w:tcBorders>
            <w:tcMar>
              <w:top w:w="100" w:type="dxa"/>
              <w:left w:w="100" w:type="dxa"/>
              <w:bottom w:w="100" w:type="dxa"/>
              <w:right w:w="100" w:type="dxa"/>
            </w:tcMar>
            <w:hideMark/>
          </w:tcPr>
          <w:p w14:paraId="4630C345"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S4 Credential &amp; Competence Signals</w:t>
            </w:r>
          </w:p>
        </w:tc>
      </w:tr>
      <w:tr w:rsidR="006D3648" w:rsidRPr="006D3648" w14:paraId="50774039" w14:textId="77777777" w:rsidTr="006D3648">
        <w:trPr>
          <w:trHeight w:val="520"/>
          <w:jc w:val="center"/>
        </w:trPr>
        <w:tc>
          <w:tcPr>
            <w:tcW w:w="1510" w:type="dxa"/>
            <w:tcBorders>
              <w:top w:val="single" w:sz="4" w:space="0" w:color="auto"/>
            </w:tcBorders>
            <w:tcMar>
              <w:top w:w="100" w:type="dxa"/>
              <w:left w:w="100" w:type="dxa"/>
              <w:bottom w:w="100" w:type="dxa"/>
              <w:right w:w="100" w:type="dxa"/>
            </w:tcMar>
            <w:hideMark/>
          </w:tcPr>
          <w:p w14:paraId="7FAE01E9"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IBM</w:t>
            </w:r>
          </w:p>
        </w:tc>
        <w:tc>
          <w:tcPr>
            <w:tcW w:w="2149" w:type="dxa"/>
            <w:tcBorders>
              <w:top w:val="single" w:sz="4" w:space="0" w:color="auto"/>
            </w:tcBorders>
            <w:tcMar>
              <w:top w:w="100" w:type="dxa"/>
              <w:left w:w="100" w:type="dxa"/>
              <w:bottom w:w="100" w:type="dxa"/>
              <w:right w:w="100" w:type="dxa"/>
            </w:tcMar>
            <w:hideMark/>
          </w:tcPr>
          <w:p w14:paraId="518C4FCA" w14:textId="77777777" w:rsidR="006D3648" w:rsidRPr="006D3648" w:rsidRDefault="006D3648">
            <w:pPr>
              <w:pStyle w:val="NormalWeb"/>
              <w:spacing w:before="0" w:beforeAutospacing="0" w:after="0" w:afterAutospacing="0"/>
              <w:rPr>
                <w:sz w:val="20"/>
                <w:szCs w:val="20"/>
              </w:rPr>
            </w:pPr>
            <w:r w:rsidRPr="006D3648">
              <w:rPr>
                <w:rFonts w:ascii="Arial" w:hAnsi="Arial" w:cs="Arial"/>
                <w:i/>
                <w:iCs/>
                <w:color w:val="000000"/>
                <w:sz w:val="20"/>
                <w:szCs w:val="20"/>
              </w:rPr>
              <w:t>Operating Systems: Overview, Administration, and Security</w:t>
            </w:r>
          </w:p>
        </w:tc>
        <w:tc>
          <w:tcPr>
            <w:tcW w:w="0" w:type="auto"/>
            <w:tcBorders>
              <w:top w:val="single" w:sz="4" w:space="0" w:color="auto"/>
            </w:tcBorders>
            <w:tcMar>
              <w:top w:w="100" w:type="dxa"/>
              <w:left w:w="100" w:type="dxa"/>
              <w:bottom w:w="100" w:type="dxa"/>
              <w:right w:w="100" w:type="dxa"/>
            </w:tcMar>
            <w:hideMark/>
          </w:tcPr>
          <w:p w14:paraId="0EDDD3E0"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0" w:type="auto"/>
            <w:tcBorders>
              <w:top w:val="single" w:sz="4" w:space="0" w:color="auto"/>
            </w:tcBorders>
            <w:tcMar>
              <w:top w:w="100" w:type="dxa"/>
              <w:left w:w="100" w:type="dxa"/>
              <w:bottom w:w="100" w:type="dxa"/>
              <w:right w:w="100" w:type="dxa"/>
            </w:tcMar>
            <w:hideMark/>
          </w:tcPr>
          <w:p w14:paraId="6F15E388"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1152" w:type="dxa"/>
            <w:tcBorders>
              <w:top w:val="single" w:sz="4" w:space="0" w:color="auto"/>
            </w:tcBorders>
            <w:tcMar>
              <w:top w:w="100" w:type="dxa"/>
              <w:left w:w="100" w:type="dxa"/>
              <w:bottom w:w="100" w:type="dxa"/>
              <w:right w:w="100" w:type="dxa"/>
            </w:tcMar>
            <w:hideMark/>
          </w:tcPr>
          <w:p w14:paraId="35C6CA39"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1775" w:type="dxa"/>
            <w:tcBorders>
              <w:top w:val="single" w:sz="4" w:space="0" w:color="auto"/>
            </w:tcBorders>
            <w:tcMar>
              <w:top w:w="100" w:type="dxa"/>
              <w:left w:w="100" w:type="dxa"/>
              <w:bottom w:w="100" w:type="dxa"/>
              <w:right w:w="100" w:type="dxa"/>
            </w:tcMar>
            <w:hideMark/>
          </w:tcPr>
          <w:p w14:paraId="2648C340"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r>
      <w:tr w:rsidR="006D3648" w:rsidRPr="006D3648" w14:paraId="340A435E" w14:textId="77777777" w:rsidTr="006D3648">
        <w:trPr>
          <w:trHeight w:val="305"/>
          <w:jc w:val="center"/>
        </w:trPr>
        <w:tc>
          <w:tcPr>
            <w:tcW w:w="1510" w:type="dxa"/>
            <w:tcMar>
              <w:top w:w="100" w:type="dxa"/>
              <w:left w:w="100" w:type="dxa"/>
              <w:bottom w:w="100" w:type="dxa"/>
              <w:right w:w="100" w:type="dxa"/>
            </w:tcMar>
            <w:hideMark/>
          </w:tcPr>
          <w:p w14:paraId="09E7999C"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IBM</w:t>
            </w:r>
          </w:p>
        </w:tc>
        <w:tc>
          <w:tcPr>
            <w:tcW w:w="2149" w:type="dxa"/>
            <w:tcMar>
              <w:top w:w="100" w:type="dxa"/>
              <w:left w:w="100" w:type="dxa"/>
              <w:bottom w:w="100" w:type="dxa"/>
              <w:right w:w="100" w:type="dxa"/>
            </w:tcMar>
            <w:hideMark/>
          </w:tcPr>
          <w:p w14:paraId="14FCB36A" w14:textId="77777777" w:rsidR="006D3648" w:rsidRPr="006D3648" w:rsidRDefault="006D3648">
            <w:pPr>
              <w:pStyle w:val="NormalWeb"/>
              <w:spacing w:before="0" w:beforeAutospacing="0" w:after="0" w:afterAutospacing="0"/>
              <w:rPr>
                <w:sz w:val="20"/>
                <w:szCs w:val="20"/>
              </w:rPr>
            </w:pPr>
            <w:r w:rsidRPr="006D3648">
              <w:rPr>
                <w:rFonts w:ascii="Arial" w:hAnsi="Arial" w:cs="Arial"/>
                <w:i/>
                <w:iCs/>
                <w:color w:val="000000"/>
                <w:sz w:val="20"/>
                <w:szCs w:val="20"/>
              </w:rPr>
              <w:t>Cybersecurity Compliance Framework, Standards &amp; Regulations</w:t>
            </w:r>
          </w:p>
        </w:tc>
        <w:tc>
          <w:tcPr>
            <w:tcW w:w="0" w:type="auto"/>
            <w:tcMar>
              <w:top w:w="100" w:type="dxa"/>
              <w:left w:w="100" w:type="dxa"/>
              <w:bottom w:w="100" w:type="dxa"/>
              <w:right w:w="100" w:type="dxa"/>
            </w:tcMar>
            <w:hideMark/>
          </w:tcPr>
          <w:p w14:paraId="3D7BB6C2"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0" w:type="auto"/>
            <w:tcMar>
              <w:top w:w="100" w:type="dxa"/>
              <w:left w:w="100" w:type="dxa"/>
              <w:bottom w:w="100" w:type="dxa"/>
              <w:right w:w="100" w:type="dxa"/>
            </w:tcMar>
            <w:hideMark/>
          </w:tcPr>
          <w:p w14:paraId="4E1F14BB"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1152" w:type="dxa"/>
            <w:tcMar>
              <w:top w:w="100" w:type="dxa"/>
              <w:left w:w="100" w:type="dxa"/>
              <w:bottom w:w="100" w:type="dxa"/>
              <w:right w:w="100" w:type="dxa"/>
            </w:tcMar>
            <w:hideMark/>
          </w:tcPr>
          <w:p w14:paraId="196B2520"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1775" w:type="dxa"/>
            <w:tcMar>
              <w:top w:w="100" w:type="dxa"/>
              <w:left w:w="100" w:type="dxa"/>
              <w:bottom w:w="100" w:type="dxa"/>
              <w:right w:w="100" w:type="dxa"/>
            </w:tcMar>
            <w:hideMark/>
          </w:tcPr>
          <w:p w14:paraId="3E7BF246"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r>
      <w:tr w:rsidR="006D3648" w:rsidRPr="006D3648" w14:paraId="2E22BCEA" w14:textId="77777777" w:rsidTr="006D3648">
        <w:trPr>
          <w:trHeight w:val="24"/>
          <w:jc w:val="center"/>
        </w:trPr>
        <w:tc>
          <w:tcPr>
            <w:tcW w:w="1510" w:type="dxa"/>
            <w:tcMar>
              <w:top w:w="100" w:type="dxa"/>
              <w:left w:w="100" w:type="dxa"/>
              <w:bottom w:w="100" w:type="dxa"/>
              <w:right w:w="100" w:type="dxa"/>
            </w:tcMar>
            <w:hideMark/>
          </w:tcPr>
          <w:p w14:paraId="08C7421F"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lastRenderedPageBreak/>
              <w:t>IBM</w:t>
            </w:r>
          </w:p>
        </w:tc>
        <w:tc>
          <w:tcPr>
            <w:tcW w:w="2149" w:type="dxa"/>
            <w:tcMar>
              <w:top w:w="100" w:type="dxa"/>
              <w:left w:w="100" w:type="dxa"/>
              <w:bottom w:w="100" w:type="dxa"/>
              <w:right w:w="100" w:type="dxa"/>
            </w:tcMar>
            <w:hideMark/>
          </w:tcPr>
          <w:p w14:paraId="5F4051FD" w14:textId="77777777" w:rsidR="006D3648" w:rsidRPr="006D3648" w:rsidRDefault="006D3648">
            <w:pPr>
              <w:pStyle w:val="NormalWeb"/>
              <w:spacing w:before="0" w:beforeAutospacing="0" w:after="0" w:afterAutospacing="0"/>
              <w:rPr>
                <w:sz w:val="20"/>
                <w:szCs w:val="20"/>
              </w:rPr>
            </w:pPr>
            <w:r w:rsidRPr="006D3648">
              <w:rPr>
                <w:rFonts w:ascii="Arial" w:hAnsi="Arial" w:cs="Arial"/>
                <w:i/>
                <w:iCs/>
                <w:color w:val="000000"/>
                <w:sz w:val="20"/>
                <w:szCs w:val="20"/>
              </w:rPr>
              <w:t>Penetration Testing, Threat Hunting, and Cryptography</w:t>
            </w:r>
          </w:p>
        </w:tc>
        <w:tc>
          <w:tcPr>
            <w:tcW w:w="0" w:type="auto"/>
            <w:tcMar>
              <w:top w:w="100" w:type="dxa"/>
              <w:left w:w="100" w:type="dxa"/>
              <w:bottom w:w="100" w:type="dxa"/>
              <w:right w:w="100" w:type="dxa"/>
            </w:tcMar>
            <w:hideMark/>
          </w:tcPr>
          <w:p w14:paraId="41962FA0"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0" w:type="auto"/>
            <w:tcMar>
              <w:top w:w="100" w:type="dxa"/>
              <w:left w:w="100" w:type="dxa"/>
              <w:bottom w:w="100" w:type="dxa"/>
              <w:right w:w="100" w:type="dxa"/>
            </w:tcMar>
            <w:hideMark/>
          </w:tcPr>
          <w:p w14:paraId="39ADE95D"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1152" w:type="dxa"/>
            <w:tcMar>
              <w:top w:w="100" w:type="dxa"/>
              <w:left w:w="100" w:type="dxa"/>
              <w:bottom w:w="100" w:type="dxa"/>
              <w:right w:w="100" w:type="dxa"/>
            </w:tcMar>
            <w:hideMark/>
          </w:tcPr>
          <w:p w14:paraId="5FDE5F43"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1775" w:type="dxa"/>
            <w:tcMar>
              <w:top w:w="100" w:type="dxa"/>
              <w:left w:w="100" w:type="dxa"/>
              <w:bottom w:w="100" w:type="dxa"/>
              <w:right w:w="100" w:type="dxa"/>
            </w:tcMar>
            <w:hideMark/>
          </w:tcPr>
          <w:p w14:paraId="70F97C4E"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r>
      <w:tr w:rsidR="006D3648" w:rsidRPr="006D3648" w14:paraId="31469B58" w14:textId="77777777" w:rsidTr="006D3648">
        <w:trPr>
          <w:trHeight w:val="24"/>
          <w:jc w:val="center"/>
        </w:trPr>
        <w:tc>
          <w:tcPr>
            <w:tcW w:w="1510" w:type="dxa"/>
            <w:tcMar>
              <w:top w:w="100" w:type="dxa"/>
              <w:left w:w="100" w:type="dxa"/>
              <w:bottom w:w="100" w:type="dxa"/>
              <w:right w:w="100" w:type="dxa"/>
            </w:tcMar>
            <w:hideMark/>
          </w:tcPr>
          <w:p w14:paraId="05B62B29"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IBM</w:t>
            </w:r>
          </w:p>
        </w:tc>
        <w:tc>
          <w:tcPr>
            <w:tcW w:w="2149" w:type="dxa"/>
            <w:tcMar>
              <w:top w:w="100" w:type="dxa"/>
              <w:left w:w="100" w:type="dxa"/>
              <w:bottom w:w="100" w:type="dxa"/>
              <w:right w:w="100" w:type="dxa"/>
            </w:tcMar>
            <w:hideMark/>
          </w:tcPr>
          <w:p w14:paraId="38A288AE" w14:textId="77777777" w:rsidR="006D3648" w:rsidRPr="006D3648" w:rsidRDefault="006D3648">
            <w:pPr>
              <w:pStyle w:val="NormalWeb"/>
              <w:spacing w:before="0" w:beforeAutospacing="0" w:after="0" w:afterAutospacing="0"/>
              <w:rPr>
                <w:sz w:val="20"/>
                <w:szCs w:val="20"/>
              </w:rPr>
            </w:pPr>
            <w:r w:rsidRPr="006D3648">
              <w:rPr>
                <w:rFonts w:ascii="Arial" w:hAnsi="Arial" w:cs="Arial"/>
                <w:i/>
                <w:iCs/>
                <w:color w:val="000000"/>
                <w:sz w:val="20"/>
                <w:szCs w:val="20"/>
              </w:rPr>
              <w:t>Incident Response and Digital Forensics</w:t>
            </w:r>
          </w:p>
        </w:tc>
        <w:tc>
          <w:tcPr>
            <w:tcW w:w="0" w:type="auto"/>
            <w:tcMar>
              <w:top w:w="100" w:type="dxa"/>
              <w:left w:w="100" w:type="dxa"/>
              <w:bottom w:w="100" w:type="dxa"/>
              <w:right w:w="100" w:type="dxa"/>
            </w:tcMar>
            <w:hideMark/>
          </w:tcPr>
          <w:p w14:paraId="4E624B4F"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0" w:type="auto"/>
            <w:tcMar>
              <w:top w:w="100" w:type="dxa"/>
              <w:left w:w="100" w:type="dxa"/>
              <w:bottom w:w="100" w:type="dxa"/>
              <w:right w:w="100" w:type="dxa"/>
            </w:tcMar>
            <w:hideMark/>
          </w:tcPr>
          <w:p w14:paraId="2BEFF635"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1152" w:type="dxa"/>
            <w:tcMar>
              <w:top w:w="100" w:type="dxa"/>
              <w:left w:w="100" w:type="dxa"/>
              <w:bottom w:w="100" w:type="dxa"/>
              <w:right w:w="100" w:type="dxa"/>
            </w:tcMar>
            <w:hideMark/>
          </w:tcPr>
          <w:p w14:paraId="2FC5274C"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1775" w:type="dxa"/>
            <w:tcMar>
              <w:top w:w="100" w:type="dxa"/>
              <w:left w:w="100" w:type="dxa"/>
              <w:bottom w:w="100" w:type="dxa"/>
              <w:right w:w="100" w:type="dxa"/>
            </w:tcMar>
            <w:hideMark/>
          </w:tcPr>
          <w:p w14:paraId="3981527F"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r>
      <w:tr w:rsidR="006D3648" w:rsidRPr="006D3648" w14:paraId="29DA313A" w14:textId="77777777" w:rsidTr="006D3648">
        <w:trPr>
          <w:trHeight w:val="24"/>
          <w:jc w:val="center"/>
        </w:trPr>
        <w:tc>
          <w:tcPr>
            <w:tcW w:w="1510" w:type="dxa"/>
            <w:tcBorders>
              <w:bottom w:val="single" w:sz="4" w:space="0" w:color="auto"/>
            </w:tcBorders>
            <w:tcMar>
              <w:top w:w="100" w:type="dxa"/>
              <w:left w:w="100" w:type="dxa"/>
              <w:bottom w:w="100" w:type="dxa"/>
              <w:right w:w="100" w:type="dxa"/>
            </w:tcMar>
            <w:hideMark/>
          </w:tcPr>
          <w:p w14:paraId="7CC24433"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Google Cloud</w:t>
            </w:r>
          </w:p>
        </w:tc>
        <w:tc>
          <w:tcPr>
            <w:tcW w:w="2149" w:type="dxa"/>
            <w:tcBorders>
              <w:bottom w:val="single" w:sz="4" w:space="0" w:color="auto"/>
            </w:tcBorders>
            <w:tcMar>
              <w:top w:w="100" w:type="dxa"/>
              <w:left w:w="100" w:type="dxa"/>
              <w:bottom w:w="100" w:type="dxa"/>
              <w:right w:w="100" w:type="dxa"/>
            </w:tcMar>
            <w:hideMark/>
          </w:tcPr>
          <w:p w14:paraId="43BF5270" w14:textId="77777777" w:rsidR="006D3648" w:rsidRPr="006D3648" w:rsidRDefault="006D3648">
            <w:pPr>
              <w:pStyle w:val="NormalWeb"/>
              <w:spacing w:before="0" w:beforeAutospacing="0" w:after="0" w:afterAutospacing="0"/>
              <w:rPr>
                <w:sz w:val="20"/>
                <w:szCs w:val="20"/>
              </w:rPr>
            </w:pPr>
            <w:r w:rsidRPr="006D3648">
              <w:rPr>
                <w:rFonts w:ascii="Arial" w:hAnsi="Arial" w:cs="Arial"/>
                <w:i/>
                <w:iCs/>
                <w:color w:val="000000"/>
                <w:sz w:val="20"/>
                <w:szCs w:val="20"/>
              </w:rPr>
              <w:t>Introduction to Large Language Models</w:t>
            </w:r>
          </w:p>
        </w:tc>
        <w:tc>
          <w:tcPr>
            <w:tcW w:w="0" w:type="auto"/>
            <w:tcBorders>
              <w:bottom w:val="single" w:sz="4" w:space="0" w:color="auto"/>
            </w:tcBorders>
            <w:tcMar>
              <w:top w:w="100" w:type="dxa"/>
              <w:left w:w="100" w:type="dxa"/>
              <w:bottom w:w="100" w:type="dxa"/>
              <w:right w:w="100" w:type="dxa"/>
            </w:tcMar>
            <w:hideMark/>
          </w:tcPr>
          <w:p w14:paraId="1DCA5A8C"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0" w:type="auto"/>
            <w:tcBorders>
              <w:bottom w:val="single" w:sz="4" w:space="0" w:color="auto"/>
            </w:tcBorders>
            <w:tcMar>
              <w:top w:w="100" w:type="dxa"/>
              <w:left w:w="100" w:type="dxa"/>
              <w:bottom w:w="100" w:type="dxa"/>
              <w:right w:w="100" w:type="dxa"/>
            </w:tcMar>
            <w:hideMark/>
          </w:tcPr>
          <w:p w14:paraId="770067C0"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1152" w:type="dxa"/>
            <w:tcBorders>
              <w:bottom w:val="single" w:sz="4" w:space="0" w:color="auto"/>
            </w:tcBorders>
            <w:tcMar>
              <w:top w:w="100" w:type="dxa"/>
              <w:left w:w="100" w:type="dxa"/>
              <w:bottom w:w="100" w:type="dxa"/>
              <w:right w:w="100" w:type="dxa"/>
            </w:tcMar>
            <w:hideMark/>
          </w:tcPr>
          <w:p w14:paraId="6599281C"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Limited</w:t>
            </w:r>
          </w:p>
        </w:tc>
        <w:tc>
          <w:tcPr>
            <w:tcW w:w="1775" w:type="dxa"/>
            <w:tcBorders>
              <w:bottom w:val="single" w:sz="4" w:space="0" w:color="auto"/>
            </w:tcBorders>
            <w:tcMar>
              <w:top w:w="100" w:type="dxa"/>
              <w:left w:w="100" w:type="dxa"/>
              <w:bottom w:w="100" w:type="dxa"/>
              <w:right w:w="100" w:type="dxa"/>
            </w:tcMar>
            <w:hideMark/>
          </w:tcPr>
          <w:p w14:paraId="3FA4A1A6"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r>
    </w:tbl>
    <w:p w14:paraId="329F4255" w14:textId="77777777" w:rsidR="006D3648" w:rsidRDefault="006D3648" w:rsidP="00C631CD">
      <w:pPr>
        <w:pStyle w:val="NormalWeb"/>
        <w:spacing w:before="0" w:beforeAutospacing="0" w:after="0" w:afterAutospacing="0"/>
        <w:rPr>
          <w:rFonts w:ascii="Arial" w:hAnsi="Arial" w:cs="Arial"/>
          <w:sz w:val="20"/>
          <w:szCs w:val="20"/>
        </w:rPr>
      </w:pPr>
    </w:p>
    <w:p w14:paraId="22C07C90"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b/>
          <w:bCs/>
          <w:color w:val="000000"/>
          <w:sz w:val="20"/>
          <w:szCs w:val="20"/>
        </w:rPr>
        <w:t xml:space="preserve">Credential and competence </w:t>
      </w:r>
      <w:r w:rsidRPr="00C631CD">
        <w:rPr>
          <w:rFonts w:ascii="Arial" w:hAnsi="Arial" w:cs="Arial"/>
          <w:b/>
          <w:bCs/>
          <w:color w:val="000000"/>
          <w:sz w:val="20"/>
          <w:szCs w:val="20"/>
          <w:highlight w:val="yellow"/>
        </w:rPr>
        <w:t>signalling</w:t>
      </w:r>
      <w:r w:rsidRPr="00C631CD">
        <w:rPr>
          <w:rFonts w:ascii="Arial" w:hAnsi="Arial" w:cs="Arial"/>
          <w:b/>
          <w:bCs/>
          <w:color w:val="000000"/>
          <w:sz w:val="20"/>
          <w:szCs w:val="20"/>
        </w:rPr>
        <w:t xml:space="preserve"> (S4)</w:t>
      </w:r>
      <w:r w:rsidRPr="00C631CD">
        <w:rPr>
          <w:rFonts w:ascii="Arial" w:hAnsi="Arial" w:cs="Arial"/>
          <w:color w:val="000000"/>
          <w:sz w:val="20"/>
          <w:szCs w:val="20"/>
        </w:rPr>
        <w:t xml:space="preserve"> emerged as the most consistent pattern among industry-provided MOOCs. All five courses offered a shareable certificate and included explicit statements regarding the knowledge, skills, or capabilities that learners could acquire. The IBM courses </w:t>
      </w:r>
      <w:r w:rsidRPr="00C631CD">
        <w:rPr>
          <w:rFonts w:ascii="Arial" w:hAnsi="Arial" w:cs="Arial"/>
          <w:color w:val="000000"/>
          <w:sz w:val="20"/>
          <w:szCs w:val="20"/>
          <w:highlight w:val="yellow"/>
        </w:rPr>
        <w:t>emphasised</w:t>
      </w:r>
      <w:r w:rsidRPr="00C631CD">
        <w:rPr>
          <w:rFonts w:ascii="Arial" w:hAnsi="Arial" w:cs="Arial"/>
          <w:color w:val="000000"/>
          <w:sz w:val="20"/>
          <w:szCs w:val="20"/>
        </w:rPr>
        <w:t xml:space="preserve"> technical competencies such as systems administration, cybersecurity, compliance, penetration testing, threat hunting, digital forensics, and incident response, frequently linking these skills to practical application. For instance, the IBM operating systems course incorporated hands-on work in operating-system administration, security configuration, command-line tools, and a final project. The penetration-testing course connected technical skills with employer-relevant capabilities and resume enhancement. The Google Cloud course presented a narrative </w:t>
      </w:r>
      <w:r w:rsidRPr="00C631CD">
        <w:rPr>
          <w:rFonts w:ascii="Arial" w:hAnsi="Arial" w:cs="Arial"/>
          <w:color w:val="000000"/>
          <w:sz w:val="20"/>
          <w:szCs w:val="20"/>
          <w:highlight w:val="yellow"/>
        </w:rPr>
        <w:t>centred</w:t>
      </w:r>
      <w:r w:rsidRPr="00C631CD">
        <w:rPr>
          <w:rFonts w:ascii="Arial" w:hAnsi="Arial" w:cs="Arial"/>
          <w:color w:val="000000"/>
          <w:sz w:val="20"/>
          <w:szCs w:val="20"/>
        </w:rPr>
        <w:t xml:space="preserve"> on an explicit competence proposition, </w:t>
      </w:r>
      <w:r w:rsidRPr="00C631CD">
        <w:rPr>
          <w:rFonts w:ascii="Arial" w:hAnsi="Arial" w:cs="Arial"/>
          <w:color w:val="000000"/>
          <w:sz w:val="20"/>
          <w:szCs w:val="20"/>
          <w:highlight w:val="yellow"/>
        </w:rPr>
        <w:t>emphasising</w:t>
      </w:r>
      <w:r w:rsidRPr="00C631CD">
        <w:rPr>
          <w:rFonts w:ascii="Arial" w:hAnsi="Arial" w:cs="Arial"/>
          <w:color w:val="000000"/>
          <w:sz w:val="20"/>
          <w:szCs w:val="20"/>
        </w:rPr>
        <w:t xml:space="preserve"> large-language generative AI, prompt tuning, and Google generative AI development tools.</w:t>
      </w:r>
    </w:p>
    <w:p w14:paraId="4D77774E"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The value of the credential derives not solely from the existence of a certificate but also from its association with clearly defined competencies. Research on micro-credentials supports the interpretation of such credentials as meaningful representations of skills and professional development. Bruguera et al. (2025) found that employers considered online micro-credentials useful for updating skills and communicating acquired skills, though concerns remained regarding whether the credentials provide sufficient evidence of actual skill mastery. Similarly, Ha et al. (2024) reported that employers generally viewed micro-credentials as beneficial, but </w:t>
      </w:r>
      <w:r w:rsidRPr="00C631CD">
        <w:rPr>
          <w:rFonts w:ascii="Arial" w:hAnsi="Arial" w:cs="Arial"/>
          <w:color w:val="000000"/>
          <w:sz w:val="20"/>
          <w:szCs w:val="20"/>
          <w:highlight w:val="yellow"/>
        </w:rPr>
        <w:t>emphasised</w:t>
      </w:r>
      <w:r w:rsidRPr="00C631CD">
        <w:rPr>
          <w:rFonts w:ascii="Arial" w:hAnsi="Arial" w:cs="Arial"/>
          <w:color w:val="000000"/>
          <w:sz w:val="20"/>
          <w:szCs w:val="20"/>
        </w:rPr>
        <w:t xml:space="preserve"> that their effectiveness depends on the characteristics of the credential, learner, employer, and provider. These studies do not demonstrate that the certificates in the present sample lead to employment outcomes; rather, they support the interpretation that credentials can communicate claims about learning and competence.</w:t>
      </w:r>
    </w:p>
    <w:p w14:paraId="7B28C0C0"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highlight w:val="yellow"/>
        </w:rPr>
        <w:t>Kässi and Lehdonvirta (2024)</w:t>
      </w:r>
      <w:r w:rsidRPr="00C631CD">
        <w:rPr>
          <w:rFonts w:ascii="Arial" w:hAnsi="Arial" w:cs="Arial"/>
          <w:color w:val="000000"/>
          <w:sz w:val="20"/>
          <w:szCs w:val="20"/>
        </w:rPr>
        <w:t xml:space="preserve"> offer further evidence from a </w:t>
      </w:r>
      <w:r w:rsidRPr="00C631CD">
        <w:rPr>
          <w:rFonts w:ascii="Arial" w:hAnsi="Arial" w:cs="Arial"/>
          <w:color w:val="000000"/>
          <w:sz w:val="20"/>
          <w:szCs w:val="20"/>
          <w:highlight w:val="yellow"/>
        </w:rPr>
        <w:t>labour</w:t>
      </w:r>
      <w:r w:rsidRPr="00C631CD">
        <w:rPr>
          <w:rFonts w:ascii="Arial" w:hAnsi="Arial" w:cs="Arial"/>
          <w:color w:val="000000"/>
          <w:sz w:val="20"/>
          <w:szCs w:val="20"/>
        </w:rPr>
        <w:t xml:space="preserve">-market perspective. Their examination of a microcredentialing scheme in an online </w:t>
      </w:r>
      <w:r w:rsidRPr="00C631CD">
        <w:rPr>
          <w:rFonts w:ascii="Arial" w:hAnsi="Arial" w:cs="Arial"/>
          <w:color w:val="000000"/>
          <w:sz w:val="20"/>
          <w:szCs w:val="20"/>
          <w:highlight w:val="yellow"/>
        </w:rPr>
        <w:t>labour</w:t>
      </w:r>
      <w:r w:rsidRPr="00C631CD">
        <w:rPr>
          <w:rFonts w:ascii="Arial" w:hAnsi="Arial" w:cs="Arial"/>
          <w:color w:val="000000"/>
          <w:sz w:val="20"/>
          <w:szCs w:val="20"/>
        </w:rPr>
        <w:t xml:space="preserve"> market revealed that obtaining a microcredential increased workers’ earnings, primarily by reducing employer uncertainty rather than by increasing worker productivity. This outcome aligns with a </w:t>
      </w:r>
      <w:r w:rsidRPr="00C631CD">
        <w:rPr>
          <w:rFonts w:ascii="Arial" w:hAnsi="Arial" w:cs="Arial"/>
          <w:color w:val="000000"/>
          <w:sz w:val="20"/>
          <w:szCs w:val="20"/>
          <w:highlight w:val="yellow"/>
        </w:rPr>
        <w:t>signalling</w:t>
      </w:r>
      <w:r w:rsidRPr="00C631CD">
        <w:rPr>
          <w:rFonts w:ascii="Arial" w:hAnsi="Arial" w:cs="Arial"/>
          <w:color w:val="000000"/>
          <w:sz w:val="20"/>
          <w:szCs w:val="20"/>
        </w:rPr>
        <w:t xml:space="preserve"> interpretation, where verified credentials provide information about otherwise uncertain worker characteristics. The present study does not assert a causal relationship between Coursera certificates and employment outcomes. Instead, the selected industry MOOCs present credentials alongside identifiable competencies, thereby creating a documentary signal regarding the intended meaning of course completion.</w:t>
      </w:r>
    </w:p>
    <w:p w14:paraId="657788A6"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b/>
          <w:bCs/>
          <w:color w:val="000000"/>
          <w:sz w:val="20"/>
          <w:szCs w:val="20"/>
          <w:highlight w:val="yellow"/>
        </w:rPr>
        <w:t>Rigour</w:t>
      </w:r>
      <w:r w:rsidRPr="00C631CD">
        <w:rPr>
          <w:rFonts w:ascii="Arial" w:hAnsi="Arial" w:cs="Arial"/>
          <w:b/>
          <w:bCs/>
          <w:color w:val="000000"/>
          <w:sz w:val="20"/>
          <w:szCs w:val="20"/>
        </w:rPr>
        <w:t xml:space="preserve"> </w:t>
      </w:r>
      <w:r w:rsidRPr="00C631CD">
        <w:rPr>
          <w:rFonts w:ascii="Arial" w:hAnsi="Arial" w:cs="Arial"/>
          <w:b/>
          <w:bCs/>
          <w:color w:val="000000"/>
          <w:sz w:val="20"/>
          <w:szCs w:val="20"/>
          <w:highlight w:val="yellow"/>
        </w:rPr>
        <w:t>signalling</w:t>
      </w:r>
      <w:r w:rsidRPr="00C631CD">
        <w:rPr>
          <w:rFonts w:ascii="Arial" w:hAnsi="Arial" w:cs="Arial"/>
          <w:b/>
          <w:bCs/>
          <w:color w:val="000000"/>
          <w:sz w:val="20"/>
          <w:szCs w:val="20"/>
        </w:rPr>
        <w:t xml:space="preserve"> (S3) </w:t>
      </w:r>
      <w:r w:rsidRPr="00C631CD">
        <w:rPr>
          <w:rFonts w:ascii="Arial" w:hAnsi="Arial" w:cs="Arial"/>
          <w:color w:val="000000"/>
          <w:sz w:val="20"/>
          <w:szCs w:val="20"/>
        </w:rPr>
        <w:t>was especially prominent in the IBM courses. The four IBM MOOCs incorporated recommended prior experience or intermediate-level positioning, multiple modules, assessments, hands-on activities, laboratories, and final projects. For example, the cybersecurity compliance course addressed governance, risk, compliance, NIST, ISO, IEEE, COBIT, SOC reports, and other standards, and included a final project. The penetration-testing course combined intermediate-level positioning and recommended experience with six modules, assessments, practical tools, hands-on laboratories, and a final project. Although the incident-response course was shorter, it still included recommended experience, multiple assessments, hands-on laboratories, projects, and industry-standard frameworks and tools.</w:t>
      </w:r>
    </w:p>
    <w:p w14:paraId="35C22EBC"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lastRenderedPageBreak/>
        <w:t xml:space="preserve">These findings support the interpretation of </w:t>
      </w:r>
      <w:r w:rsidRPr="00C631CD">
        <w:rPr>
          <w:rFonts w:ascii="Arial" w:hAnsi="Arial" w:cs="Arial"/>
          <w:color w:val="000000"/>
          <w:sz w:val="20"/>
          <w:szCs w:val="20"/>
          <w:highlight w:val="yellow"/>
        </w:rPr>
        <w:t>rigour</w:t>
      </w:r>
      <w:r w:rsidRPr="00C631CD">
        <w:rPr>
          <w:rFonts w:ascii="Arial" w:hAnsi="Arial" w:cs="Arial"/>
          <w:color w:val="000000"/>
          <w:sz w:val="20"/>
          <w:szCs w:val="20"/>
        </w:rPr>
        <w:t xml:space="preserve"> as a communicated expectation of effort and seriousness, rather than as an objective measure of educational quality. Recent MOOC research identifies course design and structure, instructional quality, assessment, and learning outcomes as key dimensions for evaluating MOOCs (Mir &amp; Khan, 2026). Wang et al. (2025) similarly demonstrate that MOOC quality encompasses multiple interacting attributes rather than a single dimension. Chen et al. (2025), </w:t>
      </w:r>
      <w:r w:rsidRPr="00C631CD">
        <w:rPr>
          <w:rFonts w:ascii="Arial" w:hAnsi="Arial" w:cs="Arial"/>
          <w:color w:val="000000"/>
          <w:sz w:val="20"/>
          <w:szCs w:val="20"/>
          <w:highlight w:val="yellow"/>
        </w:rPr>
        <w:t>analysing</w:t>
      </w:r>
      <w:r w:rsidRPr="00C631CD">
        <w:rPr>
          <w:rFonts w:ascii="Arial" w:hAnsi="Arial" w:cs="Arial"/>
          <w:color w:val="000000"/>
          <w:sz w:val="20"/>
          <w:szCs w:val="20"/>
        </w:rPr>
        <w:t xml:space="preserve"> data from 8,602 MOOCs, found that course quality, content richness, and interactivity were associated with learning effectiveness. While these studies do not establish that the IBM courses are objectively more rigorous, they support the interpretation that observable course structure, requirements, assessment, and learning activities communicate expectations about the learning experience.</w:t>
      </w:r>
    </w:p>
    <w:p w14:paraId="7587A162"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The industry cases also displayed a distinctive form of </w:t>
      </w:r>
      <w:r w:rsidRPr="00C631CD">
        <w:rPr>
          <w:rFonts w:ascii="Arial" w:hAnsi="Arial" w:cs="Arial"/>
          <w:b/>
          <w:bCs/>
          <w:color w:val="000000"/>
          <w:sz w:val="20"/>
          <w:szCs w:val="20"/>
        </w:rPr>
        <w:t>S1, provider reputation/prestige</w:t>
      </w:r>
      <w:r w:rsidRPr="00C631CD">
        <w:rPr>
          <w:rFonts w:ascii="Arial" w:hAnsi="Arial" w:cs="Arial"/>
          <w:color w:val="000000"/>
          <w:sz w:val="20"/>
          <w:szCs w:val="20"/>
        </w:rPr>
        <w:t xml:space="preserve">. Unlike the university cases, where institutional identity primarily served as a form of contextual academic credibility, the IBM and Google Cloud courses positioned </w:t>
      </w:r>
      <w:r w:rsidRPr="00C631CD">
        <w:rPr>
          <w:rFonts w:ascii="Arial" w:hAnsi="Arial" w:cs="Arial"/>
          <w:color w:val="000000"/>
          <w:sz w:val="20"/>
          <w:szCs w:val="20"/>
          <w:highlight w:val="yellow"/>
        </w:rPr>
        <w:t>organisational</w:t>
      </w:r>
      <w:r w:rsidRPr="00C631CD">
        <w:rPr>
          <w:rFonts w:ascii="Arial" w:hAnsi="Arial" w:cs="Arial"/>
          <w:color w:val="000000"/>
          <w:sz w:val="20"/>
          <w:szCs w:val="20"/>
        </w:rPr>
        <w:t xml:space="preserve"> identity alongside industry-oriented content and applications. IBM associated its provider identity with cybersecurity, information technology, professional standards, and workplace practices, while Google Cloud associated its identity with contemporary generative AI technologies and its own development tools. The signal, therefore, involved more than displaying a corporate name; it was reinforced by the alignment between </w:t>
      </w:r>
      <w:r w:rsidRPr="00C631CD">
        <w:rPr>
          <w:rFonts w:ascii="Arial" w:hAnsi="Arial" w:cs="Arial"/>
          <w:color w:val="000000"/>
          <w:sz w:val="20"/>
          <w:szCs w:val="20"/>
          <w:highlight w:val="yellow"/>
        </w:rPr>
        <w:t>organisational</w:t>
      </w:r>
      <w:r w:rsidRPr="00C631CD">
        <w:rPr>
          <w:rFonts w:ascii="Arial" w:hAnsi="Arial" w:cs="Arial"/>
          <w:color w:val="000000"/>
          <w:sz w:val="20"/>
          <w:szCs w:val="20"/>
        </w:rPr>
        <w:t xml:space="preserve"> identity and the competencies presented in the course. This alignment was particularly evident in the IBM courses, where industry expertise, job-relevant skills, hands-on projects, and career certificates appeared together.</w:t>
      </w:r>
    </w:p>
    <w:p w14:paraId="6F472A8E"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This interpretation is also pertinent to the uncertainty associated with MOOC selection. Pörzse and Kenesei (2026) found that prospective MOOC learners experience uncertainty regarding the value and risks of course selection, with perceived value constituting a significant aspect of the decision-making environment. In the present study, </w:t>
      </w:r>
      <w:r w:rsidRPr="00C631CD">
        <w:rPr>
          <w:rFonts w:ascii="Arial" w:hAnsi="Arial" w:cs="Arial"/>
          <w:color w:val="000000"/>
          <w:sz w:val="20"/>
          <w:szCs w:val="20"/>
          <w:highlight w:val="yellow"/>
        </w:rPr>
        <w:t>recognisable</w:t>
      </w:r>
      <w:r w:rsidRPr="00C631CD">
        <w:rPr>
          <w:rFonts w:ascii="Arial" w:hAnsi="Arial" w:cs="Arial"/>
          <w:color w:val="000000"/>
          <w:sz w:val="20"/>
          <w:szCs w:val="20"/>
        </w:rPr>
        <w:t xml:space="preserve"> industry providers and industry-specific course content can be interpreted as observable contextual cues about the learning opportunity. However, since this study examines documentary evidence rather than learner perceptions, it cannot determine whether learners actually interpreted these </w:t>
      </w:r>
      <w:r w:rsidRPr="00C631CD">
        <w:rPr>
          <w:rFonts w:ascii="Arial" w:hAnsi="Arial" w:cs="Arial"/>
          <w:color w:val="000000"/>
          <w:sz w:val="20"/>
          <w:szCs w:val="20"/>
          <w:highlight w:val="yellow"/>
        </w:rPr>
        <w:t>organisational</w:t>
      </w:r>
      <w:r w:rsidRPr="00C631CD">
        <w:rPr>
          <w:rFonts w:ascii="Arial" w:hAnsi="Arial" w:cs="Arial"/>
          <w:color w:val="000000"/>
          <w:sz w:val="20"/>
          <w:szCs w:val="20"/>
        </w:rPr>
        <w:t xml:space="preserve"> cues in this manner.</w:t>
      </w:r>
    </w:p>
    <w:p w14:paraId="18387077"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The most pronounced difference from the university cases involved </w:t>
      </w:r>
      <w:r w:rsidRPr="00C631CD">
        <w:rPr>
          <w:rFonts w:ascii="Arial" w:hAnsi="Arial" w:cs="Arial"/>
          <w:b/>
          <w:bCs/>
          <w:color w:val="000000"/>
          <w:sz w:val="20"/>
          <w:szCs w:val="20"/>
        </w:rPr>
        <w:t>S2, instructor expertise</w:t>
      </w:r>
      <w:r w:rsidRPr="00C631CD">
        <w:rPr>
          <w:rFonts w:ascii="Arial" w:hAnsi="Arial" w:cs="Arial"/>
          <w:color w:val="000000"/>
          <w:sz w:val="20"/>
          <w:szCs w:val="20"/>
        </w:rPr>
        <w:t xml:space="preserve">. All five industry courses identified an instructional team, but the public presentation </w:t>
      </w:r>
      <w:r w:rsidRPr="00C631CD">
        <w:rPr>
          <w:rFonts w:ascii="Arial" w:hAnsi="Arial" w:cs="Arial"/>
          <w:color w:val="000000"/>
          <w:sz w:val="20"/>
          <w:szCs w:val="20"/>
          <w:highlight w:val="yellow"/>
        </w:rPr>
        <w:t>emphasised</w:t>
      </w:r>
      <w:r w:rsidRPr="00C631CD">
        <w:rPr>
          <w:rFonts w:ascii="Arial" w:hAnsi="Arial" w:cs="Arial"/>
          <w:color w:val="000000"/>
          <w:sz w:val="20"/>
          <w:szCs w:val="20"/>
        </w:rPr>
        <w:t xml:space="preserve"> the </w:t>
      </w:r>
      <w:r w:rsidRPr="00C631CD">
        <w:rPr>
          <w:rFonts w:ascii="Arial" w:hAnsi="Arial" w:cs="Arial"/>
          <w:color w:val="000000"/>
          <w:sz w:val="20"/>
          <w:szCs w:val="20"/>
          <w:highlight w:val="yellow"/>
        </w:rPr>
        <w:t>organisation</w:t>
      </w:r>
      <w:r w:rsidRPr="00C631CD">
        <w:rPr>
          <w:rFonts w:ascii="Arial" w:hAnsi="Arial" w:cs="Arial"/>
          <w:color w:val="000000"/>
          <w:sz w:val="20"/>
          <w:szCs w:val="20"/>
        </w:rPr>
        <w:t xml:space="preserve"> or training team rather than providing detailed biographies of individual instructors. IBM’s courses identified the IBM Skills Network Team, while Google Cloud identified Google Cloud Training. As a result, expertise was visible primarily as </w:t>
      </w:r>
      <w:r w:rsidRPr="00C631CD">
        <w:rPr>
          <w:rFonts w:ascii="Arial" w:hAnsi="Arial" w:cs="Arial"/>
          <w:color w:val="000000"/>
          <w:sz w:val="20"/>
          <w:szCs w:val="20"/>
          <w:highlight w:val="yellow"/>
        </w:rPr>
        <w:t>organisational</w:t>
      </w:r>
      <w:r w:rsidRPr="00C631CD">
        <w:rPr>
          <w:rFonts w:ascii="Arial" w:hAnsi="Arial" w:cs="Arial"/>
          <w:color w:val="000000"/>
          <w:sz w:val="20"/>
          <w:szCs w:val="20"/>
        </w:rPr>
        <w:t xml:space="preserve"> expertise rather than individual academic or professional reputation. In these cases, the </w:t>
      </w:r>
      <w:r w:rsidRPr="00C631CD">
        <w:rPr>
          <w:rFonts w:ascii="Arial" w:hAnsi="Arial" w:cs="Arial"/>
          <w:color w:val="000000"/>
          <w:sz w:val="20"/>
          <w:szCs w:val="20"/>
          <w:highlight w:val="yellow"/>
        </w:rPr>
        <w:t>organisation</w:t>
      </w:r>
      <w:r w:rsidRPr="00C631CD">
        <w:rPr>
          <w:rFonts w:ascii="Arial" w:hAnsi="Arial" w:cs="Arial"/>
          <w:color w:val="000000"/>
          <w:sz w:val="20"/>
          <w:szCs w:val="20"/>
        </w:rPr>
        <w:t xml:space="preserve"> functioned as the principal source of instructional authority.</w:t>
      </w:r>
    </w:p>
    <w:p w14:paraId="483F47D7"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The Google Cloud course demonstrates that the four signals should not be regarded as a single, unified package. Its </w:t>
      </w:r>
      <w:r w:rsidRPr="00C631CD">
        <w:rPr>
          <w:rFonts w:ascii="Arial" w:hAnsi="Arial" w:cs="Arial"/>
          <w:i/>
          <w:iCs/>
          <w:color w:val="000000"/>
          <w:sz w:val="20"/>
          <w:szCs w:val="20"/>
        </w:rPr>
        <w:t>Introduction to Large Language Models</w:t>
      </w:r>
      <w:r w:rsidRPr="00C631CD">
        <w:rPr>
          <w:rFonts w:ascii="Arial" w:hAnsi="Arial" w:cs="Arial"/>
          <w:color w:val="000000"/>
          <w:sz w:val="20"/>
          <w:szCs w:val="20"/>
        </w:rPr>
        <w:t xml:space="preserve"> course was a beginner-level, one-hour offering requiring no prior experience, with one module and one assignment. As a result, it provided </w:t>
      </w:r>
      <w:r w:rsidRPr="00C631CD">
        <w:rPr>
          <w:rFonts w:ascii="Arial" w:hAnsi="Arial" w:cs="Arial"/>
          <w:b/>
          <w:bCs/>
          <w:color w:val="000000"/>
          <w:sz w:val="20"/>
          <w:szCs w:val="20"/>
        </w:rPr>
        <w:t>Limited S3</w:t>
      </w:r>
      <w:r w:rsidRPr="00C631CD">
        <w:rPr>
          <w:rFonts w:ascii="Arial" w:hAnsi="Arial" w:cs="Arial"/>
          <w:color w:val="000000"/>
          <w:sz w:val="20"/>
          <w:szCs w:val="20"/>
        </w:rPr>
        <w:t xml:space="preserve">, but still offered </w:t>
      </w:r>
      <w:r w:rsidRPr="00C631CD">
        <w:rPr>
          <w:rFonts w:ascii="Arial" w:hAnsi="Arial" w:cs="Arial"/>
          <w:b/>
          <w:bCs/>
          <w:color w:val="000000"/>
          <w:sz w:val="20"/>
          <w:szCs w:val="20"/>
        </w:rPr>
        <w:t>Strong S4</w:t>
      </w:r>
      <w:r w:rsidRPr="00C631CD">
        <w:rPr>
          <w:rFonts w:ascii="Arial" w:hAnsi="Arial" w:cs="Arial"/>
          <w:color w:val="000000"/>
          <w:sz w:val="20"/>
          <w:szCs w:val="20"/>
        </w:rPr>
        <w:t xml:space="preserve"> through clearly specified competencies and a shareable career certificate suitable for inclusion on a learner’s LinkedIn profile, resume, or CV. This case shows that competence and credential </w:t>
      </w:r>
      <w:r w:rsidRPr="00C631CD">
        <w:rPr>
          <w:rFonts w:ascii="Arial" w:hAnsi="Arial" w:cs="Arial"/>
          <w:color w:val="000000"/>
          <w:sz w:val="20"/>
          <w:szCs w:val="20"/>
          <w:highlight w:val="yellow"/>
        </w:rPr>
        <w:t>signalling</w:t>
      </w:r>
      <w:r w:rsidRPr="00C631CD">
        <w:rPr>
          <w:rFonts w:ascii="Arial" w:hAnsi="Arial" w:cs="Arial"/>
          <w:color w:val="000000"/>
          <w:sz w:val="20"/>
          <w:szCs w:val="20"/>
        </w:rPr>
        <w:t xml:space="preserve"> can be strong even when communicated </w:t>
      </w:r>
      <w:r w:rsidRPr="00C631CD">
        <w:rPr>
          <w:rFonts w:ascii="Arial" w:hAnsi="Arial" w:cs="Arial"/>
          <w:color w:val="000000"/>
          <w:sz w:val="20"/>
          <w:szCs w:val="20"/>
          <w:highlight w:val="yellow"/>
        </w:rPr>
        <w:t>rigour</w:t>
      </w:r>
      <w:r w:rsidRPr="00C631CD">
        <w:rPr>
          <w:rFonts w:ascii="Arial" w:hAnsi="Arial" w:cs="Arial"/>
          <w:color w:val="000000"/>
          <w:sz w:val="20"/>
          <w:szCs w:val="20"/>
        </w:rPr>
        <w:t xml:space="preserve"> is limited. Therefore, the findings do not support the assumption that highly enrolled industry MOOCs must communicate value through intensive course requirements.</w:t>
      </w:r>
    </w:p>
    <w:p w14:paraId="3EB3EF4D" w14:textId="77777777" w:rsidR="00FC5CD1" w:rsidRPr="00FC5CD1" w:rsidRDefault="00FC5CD1" w:rsidP="00FC5CD1">
      <w:pPr>
        <w:pStyle w:val="pdq2pgselectionanchorcontainer"/>
        <w:spacing w:before="0" w:beforeAutospacing="0" w:after="0" w:afterAutospacing="0"/>
        <w:rPr>
          <w:rFonts w:ascii="Arial" w:hAnsi="Arial" w:cs="Arial"/>
          <w:sz w:val="20"/>
          <w:szCs w:val="20"/>
        </w:rPr>
      </w:pPr>
      <w:r w:rsidRPr="00FC5CD1">
        <w:rPr>
          <w:rStyle w:val="Strong"/>
          <w:rFonts w:ascii="Arial" w:hAnsi="Arial" w:cs="Arial"/>
          <w:b w:val="0"/>
          <w:bCs w:val="0"/>
          <w:sz w:val="20"/>
          <w:szCs w:val="20"/>
        </w:rPr>
        <w:t xml:space="preserve">Overall, the industry cases reveal a </w:t>
      </w:r>
      <w:r w:rsidRPr="00FC5CD1">
        <w:rPr>
          <w:rStyle w:val="Strong"/>
          <w:rFonts w:ascii="Arial" w:hAnsi="Arial" w:cs="Arial"/>
          <w:b w:val="0"/>
          <w:bCs w:val="0"/>
          <w:sz w:val="20"/>
          <w:szCs w:val="20"/>
          <w:highlight w:val="yellow"/>
        </w:rPr>
        <w:t>signalling</w:t>
      </w:r>
      <w:r w:rsidRPr="00FC5CD1">
        <w:rPr>
          <w:rStyle w:val="Strong"/>
          <w:rFonts w:ascii="Arial" w:hAnsi="Arial" w:cs="Arial"/>
          <w:b w:val="0"/>
          <w:bCs w:val="0"/>
          <w:sz w:val="20"/>
          <w:szCs w:val="20"/>
        </w:rPr>
        <w:t xml:space="preserve"> configuration </w:t>
      </w:r>
      <w:r w:rsidRPr="00FC5CD1">
        <w:rPr>
          <w:rStyle w:val="Strong"/>
          <w:rFonts w:ascii="Arial" w:hAnsi="Arial" w:cs="Arial"/>
          <w:b w:val="0"/>
          <w:bCs w:val="0"/>
          <w:sz w:val="20"/>
          <w:szCs w:val="20"/>
          <w:highlight w:val="yellow"/>
        </w:rPr>
        <w:t>centred</w:t>
      </w:r>
      <w:r w:rsidRPr="00FC5CD1">
        <w:rPr>
          <w:rStyle w:val="Strong"/>
          <w:rFonts w:ascii="Arial" w:hAnsi="Arial" w:cs="Arial"/>
          <w:b w:val="0"/>
          <w:bCs w:val="0"/>
          <w:sz w:val="20"/>
          <w:szCs w:val="20"/>
        </w:rPr>
        <w:t xml:space="preserve"> on </w:t>
      </w:r>
      <w:r w:rsidRPr="00FC5CD1">
        <w:rPr>
          <w:rStyle w:val="Strong"/>
          <w:rFonts w:ascii="Arial" w:hAnsi="Arial" w:cs="Arial"/>
          <w:b w:val="0"/>
          <w:bCs w:val="0"/>
          <w:sz w:val="20"/>
          <w:szCs w:val="20"/>
          <w:highlight w:val="yellow"/>
        </w:rPr>
        <w:t>organisational</w:t>
      </w:r>
      <w:r w:rsidRPr="00FC5CD1">
        <w:rPr>
          <w:rStyle w:val="Strong"/>
          <w:rFonts w:ascii="Arial" w:hAnsi="Arial" w:cs="Arial"/>
          <w:b w:val="0"/>
          <w:bCs w:val="0"/>
          <w:sz w:val="20"/>
          <w:szCs w:val="20"/>
        </w:rPr>
        <w:t xml:space="preserve"> authority, applied competence, and career-oriented credentials, with </w:t>
      </w:r>
      <w:r w:rsidRPr="00FC5CD1">
        <w:rPr>
          <w:rStyle w:val="Strong"/>
          <w:rFonts w:ascii="Arial" w:hAnsi="Arial" w:cs="Arial"/>
          <w:b w:val="0"/>
          <w:bCs w:val="0"/>
          <w:sz w:val="20"/>
          <w:szCs w:val="20"/>
          <w:highlight w:val="yellow"/>
        </w:rPr>
        <w:t>rigour</w:t>
      </w:r>
      <w:r w:rsidRPr="00FC5CD1">
        <w:rPr>
          <w:rStyle w:val="Strong"/>
          <w:rFonts w:ascii="Arial" w:hAnsi="Arial" w:cs="Arial"/>
          <w:b w:val="0"/>
          <w:bCs w:val="0"/>
          <w:sz w:val="20"/>
          <w:szCs w:val="20"/>
        </w:rPr>
        <w:t xml:space="preserve"> strongly communicated in the more technically demanding IBM offerings. Individual instructor biographies were less prominent than in the university cases, indicating that the primary carrier of expertise was more often the provider </w:t>
      </w:r>
      <w:r w:rsidRPr="00FC5CD1">
        <w:rPr>
          <w:rStyle w:val="Strong"/>
          <w:rFonts w:ascii="Arial" w:hAnsi="Arial" w:cs="Arial"/>
          <w:b w:val="0"/>
          <w:bCs w:val="0"/>
          <w:sz w:val="20"/>
          <w:szCs w:val="20"/>
          <w:highlight w:val="yellow"/>
        </w:rPr>
        <w:t>organisation</w:t>
      </w:r>
      <w:r w:rsidRPr="00FC5CD1">
        <w:rPr>
          <w:rStyle w:val="Strong"/>
          <w:rFonts w:ascii="Arial" w:hAnsi="Arial" w:cs="Arial"/>
          <w:b w:val="0"/>
          <w:bCs w:val="0"/>
          <w:sz w:val="20"/>
          <w:szCs w:val="20"/>
        </w:rPr>
        <w:t xml:space="preserve"> or instructional team. These findings address </w:t>
      </w:r>
      <w:r w:rsidRPr="00A6479D">
        <w:rPr>
          <w:rStyle w:val="Strong"/>
          <w:rFonts w:ascii="Arial" w:hAnsi="Arial" w:cs="Arial"/>
          <w:sz w:val="20"/>
          <w:szCs w:val="20"/>
        </w:rPr>
        <w:t>RQ2</w:t>
      </w:r>
      <w:r w:rsidRPr="00FC5CD1">
        <w:rPr>
          <w:rStyle w:val="Strong"/>
          <w:rFonts w:ascii="Arial" w:hAnsi="Arial" w:cs="Arial"/>
          <w:b w:val="0"/>
          <w:bCs w:val="0"/>
          <w:sz w:val="20"/>
          <w:szCs w:val="20"/>
        </w:rPr>
        <w:t xml:space="preserve"> by showing that the selected highly enrolled industry-provided </w:t>
      </w:r>
      <w:r w:rsidRPr="00FC5CD1">
        <w:rPr>
          <w:rStyle w:val="Strong"/>
          <w:rFonts w:ascii="Arial" w:hAnsi="Arial" w:cs="Arial"/>
          <w:b w:val="0"/>
          <w:bCs w:val="0"/>
          <w:sz w:val="20"/>
          <w:szCs w:val="20"/>
        </w:rPr>
        <w:lastRenderedPageBreak/>
        <w:t xml:space="preserve">MOOCs communicate value primarily through identifiable technical or professional competencies, credentials, practical application, and </w:t>
      </w:r>
      <w:r w:rsidRPr="00FC5CD1">
        <w:rPr>
          <w:rStyle w:val="Strong"/>
          <w:rFonts w:ascii="Arial" w:hAnsi="Arial" w:cs="Arial"/>
          <w:b w:val="0"/>
          <w:bCs w:val="0"/>
          <w:sz w:val="20"/>
          <w:szCs w:val="20"/>
          <w:highlight w:val="yellow"/>
        </w:rPr>
        <w:t>organisational</w:t>
      </w:r>
      <w:r w:rsidRPr="00FC5CD1">
        <w:rPr>
          <w:rStyle w:val="Strong"/>
          <w:rFonts w:ascii="Arial" w:hAnsi="Arial" w:cs="Arial"/>
          <w:b w:val="0"/>
          <w:bCs w:val="0"/>
          <w:sz w:val="20"/>
          <w:szCs w:val="20"/>
        </w:rPr>
        <w:t xml:space="preserve"> authority. </w:t>
      </w:r>
      <w:r w:rsidRPr="00FC5CD1">
        <w:rPr>
          <w:rStyle w:val="Strong"/>
          <w:rFonts w:ascii="Arial" w:hAnsi="Arial" w:cs="Arial"/>
          <w:b w:val="0"/>
          <w:bCs w:val="0"/>
          <w:sz w:val="20"/>
          <w:szCs w:val="20"/>
          <w:highlight w:val="yellow"/>
        </w:rPr>
        <w:t>Rigour</w:t>
      </w:r>
      <w:r w:rsidRPr="00FC5CD1">
        <w:rPr>
          <w:rStyle w:val="Strong"/>
          <w:rFonts w:ascii="Arial" w:hAnsi="Arial" w:cs="Arial"/>
          <w:b w:val="0"/>
          <w:bCs w:val="0"/>
          <w:sz w:val="20"/>
          <w:szCs w:val="20"/>
        </w:rPr>
        <w:t xml:space="preserve"> was strongly communicated in most cases but varied according to course scope and level.</w:t>
      </w:r>
    </w:p>
    <w:p w14:paraId="17F041E7" w14:textId="77777777" w:rsidR="00E57BDA" w:rsidRPr="00FC5CD1" w:rsidRDefault="00E57BDA" w:rsidP="00FC5CD1">
      <w:pPr>
        <w:pStyle w:val="NormalWeb"/>
        <w:spacing w:before="0" w:beforeAutospacing="0" w:after="0" w:afterAutospacing="0"/>
        <w:rPr>
          <w:rFonts w:ascii="Arial" w:hAnsi="Arial" w:cs="Arial"/>
          <w:sz w:val="20"/>
          <w:szCs w:val="20"/>
        </w:rPr>
      </w:pPr>
    </w:p>
    <w:p w14:paraId="771D0817" w14:textId="77777777" w:rsidR="00312CEB" w:rsidRPr="00C50E31" w:rsidRDefault="00312CEB" w:rsidP="00312CEB">
      <w:pPr>
        <w:pStyle w:val="Heading1"/>
        <w:spacing w:before="0" w:after="0"/>
        <w:rPr>
          <w:sz w:val="22"/>
          <w:szCs w:val="22"/>
        </w:rPr>
      </w:pPr>
      <w:r w:rsidRPr="00C50E31">
        <w:rPr>
          <w:rFonts w:cs="Arial"/>
          <w:color w:val="000000"/>
          <w:sz w:val="22"/>
          <w:szCs w:val="22"/>
        </w:rPr>
        <w:t>3</w:t>
      </w:r>
      <w:r w:rsidRPr="004E1273">
        <w:rPr>
          <w:rFonts w:cs="Arial"/>
          <w:color w:val="000000"/>
          <w:sz w:val="22"/>
          <w:szCs w:val="22"/>
        </w:rPr>
        <w:t xml:space="preserve">.3 </w:t>
      </w:r>
      <w:r w:rsidR="004E1273" w:rsidRPr="004E1273">
        <w:rPr>
          <w:sz w:val="22"/>
          <w:szCs w:val="22"/>
        </w:rPr>
        <w:t xml:space="preserve">Comparative </w:t>
      </w:r>
      <w:r w:rsidR="004E1273" w:rsidRPr="004E1273">
        <w:rPr>
          <w:sz w:val="22"/>
          <w:szCs w:val="22"/>
          <w:highlight w:val="yellow"/>
        </w:rPr>
        <w:t>Signalling</w:t>
      </w:r>
      <w:r w:rsidR="004E1273" w:rsidRPr="004E1273">
        <w:rPr>
          <w:sz w:val="22"/>
          <w:szCs w:val="22"/>
        </w:rPr>
        <w:t xml:space="preserve"> Patterns Between University and Industry MOOCs</w:t>
      </w:r>
    </w:p>
    <w:p w14:paraId="2FCC5E01" w14:textId="77777777" w:rsidR="00312CEB" w:rsidRDefault="00312CEB" w:rsidP="00312CEB"/>
    <w:p w14:paraId="4E3F2BBF" w14:textId="77777777" w:rsidR="00C50E31" w:rsidRDefault="00C50E31" w:rsidP="00C50E31">
      <w:pPr>
        <w:pStyle w:val="NormalWeb"/>
        <w:spacing w:before="0" w:beforeAutospacing="0" w:after="0" w:afterAutospacing="0"/>
      </w:pPr>
      <w:r>
        <w:rPr>
          <w:rFonts w:ascii="Arial" w:hAnsi="Arial" w:cs="Arial"/>
          <w:color w:val="000000"/>
          <w:sz w:val="20"/>
          <w:szCs w:val="20"/>
        </w:rPr>
        <w:t xml:space="preserve">A comparison of five university-provided and five industry-provided MOOCs demonstrates that both groups communicated similar broad categories of value, yet differed in the location of credibility and the framing of competence. University cases more frequently highlighted identifiable academic or professional expertise and discipline-specific competence. In </w:t>
      </w:r>
      <w:r w:rsidRPr="00C50E31">
        <w:rPr>
          <w:rFonts w:ascii="Arial" w:hAnsi="Arial" w:cs="Arial"/>
          <w:color w:val="000000"/>
          <w:sz w:val="20"/>
          <w:szCs w:val="20"/>
        </w:rPr>
        <w:t xml:space="preserve">contrast, industry cases more consistently associated </w:t>
      </w:r>
      <w:r w:rsidRPr="00C50E31">
        <w:rPr>
          <w:rFonts w:ascii="Arial" w:hAnsi="Arial" w:cs="Arial"/>
          <w:color w:val="000000"/>
          <w:sz w:val="20"/>
          <w:szCs w:val="20"/>
          <w:highlight w:val="yellow"/>
        </w:rPr>
        <w:t>organisational</w:t>
      </w:r>
      <w:r w:rsidRPr="00C50E31">
        <w:rPr>
          <w:rFonts w:ascii="Arial" w:hAnsi="Arial" w:cs="Arial"/>
          <w:color w:val="000000"/>
          <w:sz w:val="20"/>
          <w:szCs w:val="20"/>
        </w:rPr>
        <w:t xml:space="preserve"> identity with applied technical competence and professional practice. Thus, the primary distinction lies in the carriers and framing of signals, rather than in the presence or absence of value communication by either provider group</w:t>
      </w:r>
      <w:r>
        <w:rPr>
          <w:rFonts w:ascii="Arial" w:hAnsi="Arial" w:cs="Arial"/>
          <w:color w:val="000000"/>
          <w:sz w:val="20"/>
          <w:szCs w:val="20"/>
        </w:rPr>
        <w:t>.</w:t>
      </w:r>
    </w:p>
    <w:p w14:paraId="687E20FD" w14:textId="77777777" w:rsidR="00312CEB" w:rsidRDefault="00312CEB" w:rsidP="00312CEB">
      <w:pPr>
        <w:pStyle w:val="NormalWeb"/>
        <w:spacing w:before="0" w:beforeAutospacing="0" w:after="0" w:afterAutospacing="0"/>
        <w:rPr>
          <w:rFonts w:ascii="Arial" w:hAnsi="Arial" w:cs="Arial"/>
          <w:color w:val="000000"/>
          <w:sz w:val="20"/>
          <w:szCs w:val="20"/>
        </w:rPr>
      </w:pPr>
    </w:p>
    <w:p w14:paraId="49C48B9C" w14:textId="77777777" w:rsidR="00C50E31" w:rsidRPr="00333201" w:rsidRDefault="00C50E31" w:rsidP="00333201">
      <w:pPr>
        <w:pStyle w:val="NormalWeb"/>
        <w:spacing w:before="0" w:beforeAutospacing="0" w:after="0" w:afterAutospacing="0"/>
        <w:jc w:val="center"/>
        <w:rPr>
          <w:rFonts w:ascii="Arial" w:hAnsi="Arial" w:cs="Arial"/>
          <w:color w:val="000000"/>
          <w:sz w:val="20"/>
          <w:szCs w:val="20"/>
        </w:rPr>
      </w:pPr>
      <w:r>
        <w:rPr>
          <w:rFonts w:ascii="Arial" w:hAnsi="Arial" w:cs="Arial"/>
          <w:b/>
          <w:bCs/>
          <w:color w:val="000000"/>
          <w:sz w:val="20"/>
          <w:szCs w:val="20"/>
        </w:rPr>
        <w:t xml:space="preserve">Table 4. </w:t>
      </w:r>
      <w:r w:rsidR="00B22429" w:rsidRPr="00B22429">
        <w:rPr>
          <w:rFonts w:ascii="Arial" w:hAnsi="Arial" w:cs="Arial"/>
          <w:b/>
          <w:bCs/>
          <w:sz w:val="20"/>
          <w:szCs w:val="20"/>
        </w:rPr>
        <w:t>Comparative Signaling Patterns of University and Industry MOOCs</w:t>
      </w:r>
    </w:p>
    <w:tbl>
      <w:tblPr>
        <w:tblW w:w="5877" w:type="pct"/>
        <w:jc w:val="center"/>
        <w:tblCellMar>
          <w:top w:w="15" w:type="dxa"/>
          <w:left w:w="15" w:type="dxa"/>
          <w:bottom w:w="15" w:type="dxa"/>
          <w:right w:w="15" w:type="dxa"/>
        </w:tblCellMar>
        <w:tblLook w:val="04A0" w:firstRow="1" w:lastRow="0" w:firstColumn="1" w:lastColumn="0" w:noHBand="0" w:noVBand="1"/>
      </w:tblPr>
      <w:tblGrid>
        <w:gridCol w:w="2699"/>
        <w:gridCol w:w="1712"/>
        <w:gridCol w:w="1800"/>
        <w:gridCol w:w="3437"/>
      </w:tblGrid>
      <w:tr w:rsidR="00C50E31" w:rsidRPr="00333201" w14:paraId="627057FB" w14:textId="77777777" w:rsidTr="00C50E31">
        <w:trPr>
          <w:tblHeader/>
          <w:jc w:val="center"/>
        </w:trPr>
        <w:tc>
          <w:tcPr>
            <w:tcW w:w="1399" w:type="pct"/>
            <w:tcBorders>
              <w:top w:val="single" w:sz="4" w:space="0" w:color="auto"/>
              <w:bottom w:val="single" w:sz="4" w:space="0" w:color="auto"/>
            </w:tcBorders>
            <w:tcMar>
              <w:top w:w="120" w:type="dxa"/>
              <w:left w:w="120" w:type="dxa"/>
              <w:bottom w:w="120" w:type="dxa"/>
              <w:right w:w="120" w:type="dxa"/>
            </w:tcMar>
            <w:hideMark/>
          </w:tcPr>
          <w:p w14:paraId="142CC9A0" w14:textId="77777777" w:rsidR="00C50E31" w:rsidRPr="00C50E31" w:rsidRDefault="00C50E31" w:rsidP="00C50E31">
            <w:pPr>
              <w:rPr>
                <w:rFonts w:ascii="Arial" w:hAnsi="Arial" w:cs="Arial"/>
                <w:b/>
                <w:bCs/>
                <w:sz w:val="20"/>
                <w:szCs w:val="20"/>
              </w:rPr>
            </w:pPr>
            <w:r w:rsidRPr="00C50E31">
              <w:rPr>
                <w:rFonts w:ascii="Arial" w:hAnsi="Arial" w:cs="Arial"/>
                <w:b/>
                <w:bCs/>
                <w:color w:val="000000"/>
                <w:sz w:val="20"/>
                <w:szCs w:val="20"/>
              </w:rPr>
              <w:t>Signaling Category</w:t>
            </w:r>
          </w:p>
        </w:tc>
        <w:tc>
          <w:tcPr>
            <w:tcW w:w="887" w:type="pct"/>
            <w:tcBorders>
              <w:top w:val="single" w:sz="4" w:space="0" w:color="auto"/>
              <w:bottom w:val="single" w:sz="4" w:space="0" w:color="auto"/>
            </w:tcBorders>
            <w:tcMar>
              <w:top w:w="120" w:type="dxa"/>
              <w:left w:w="120" w:type="dxa"/>
              <w:bottom w:w="120" w:type="dxa"/>
              <w:right w:w="120" w:type="dxa"/>
            </w:tcMar>
            <w:hideMark/>
          </w:tcPr>
          <w:p w14:paraId="153FAC76" w14:textId="77777777" w:rsidR="00C50E31" w:rsidRPr="00C50E31" w:rsidRDefault="00C50E31" w:rsidP="00C50E31">
            <w:pPr>
              <w:rPr>
                <w:rFonts w:ascii="Arial" w:hAnsi="Arial" w:cs="Arial"/>
                <w:b/>
                <w:bCs/>
                <w:sz w:val="20"/>
                <w:szCs w:val="20"/>
              </w:rPr>
            </w:pPr>
            <w:r w:rsidRPr="00C50E31">
              <w:rPr>
                <w:rFonts w:ascii="Arial" w:hAnsi="Arial" w:cs="Arial"/>
                <w:b/>
                <w:bCs/>
                <w:color w:val="000000"/>
                <w:sz w:val="20"/>
                <w:szCs w:val="20"/>
              </w:rPr>
              <w:t>University-Provided MOOCs</w:t>
            </w:r>
          </w:p>
        </w:tc>
        <w:tc>
          <w:tcPr>
            <w:tcW w:w="933" w:type="pct"/>
            <w:tcBorders>
              <w:top w:val="single" w:sz="4" w:space="0" w:color="auto"/>
              <w:bottom w:val="single" w:sz="4" w:space="0" w:color="auto"/>
            </w:tcBorders>
            <w:tcMar>
              <w:top w:w="120" w:type="dxa"/>
              <w:left w:w="120" w:type="dxa"/>
              <w:bottom w:w="120" w:type="dxa"/>
              <w:right w:w="120" w:type="dxa"/>
            </w:tcMar>
            <w:hideMark/>
          </w:tcPr>
          <w:p w14:paraId="46C7DA39" w14:textId="77777777" w:rsidR="00C50E31" w:rsidRPr="00C50E31" w:rsidRDefault="00C50E31" w:rsidP="00C50E31">
            <w:pPr>
              <w:rPr>
                <w:rFonts w:ascii="Arial" w:hAnsi="Arial" w:cs="Arial"/>
                <w:b/>
                <w:bCs/>
                <w:sz w:val="20"/>
                <w:szCs w:val="20"/>
              </w:rPr>
            </w:pPr>
            <w:r w:rsidRPr="00C50E31">
              <w:rPr>
                <w:rFonts w:ascii="Arial" w:hAnsi="Arial" w:cs="Arial"/>
                <w:b/>
                <w:bCs/>
                <w:color w:val="000000"/>
                <w:sz w:val="20"/>
                <w:szCs w:val="20"/>
              </w:rPr>
              <w:t>Industry-Provided MOOCs</w:t>
            </w:r>
          </w:p>
        </w:tc>
        <w:tc>
          <w:tcPr>
            <w:tcW w:w="1781" w:type="pct"/>
            <w:tcBorders>
              <w:top w:val="single" w:sz="4" w:space="0" w:color="auto"/>
              <w:bottom w:val="single" w:sz="4" w:space="0" w:color="auto"/>
            </w:tcBorders>
            <w:tcMar>
              <w:top w:w="120" w:type="dxa"/>
              <w:left w:w="120" w:type="dxa"/>
              <w:bottom w:w="120" w:type="dxa"/>
              <w:right w:w="120" w:type="dxa"/>
            </w:tcMar>
            <w:hideMark/>
          </w:tcPr>
          <w:p w14:paraId="7C0B8EC0" w14:textId="77777777" w:rsidR="00C50E31" w:rsidRPr="00C50E31" w:rsidRDefault="00C50E31" w:rsidP="00C50E31">
            <w:pPr>
              <w:rPr>
                <w:rFonts w:ascii="Arial" w:hAnsi="Arial" w:cs="Arial"/>
                <w:b/>
                <w:bCs/>
                <w:sz w:val="20"/>
                <w:szCs w:val="20"/>
              </w:rPr>
            </w:pPr>
            <w:r w:rsidRPr="00C50E31">
              <w:rPr>
                <w:rFonts w:ascii="Arial" w:hAnsi="Arial" w:cs="Arial"/>
                <w:b/>
                <w:bCs/>
                <w:color w:val="000000"/>
                <w:sz w:val="20"/>
                <w:szCs w:val="20"/>
              </w:rPr>
              <w:t>Comparative Interpretation</w:t>
            </w:r>
          </w:p>
        </w:tc>
      </w:tr>
      <w:tr w:rsidR="00C50E31" w:rsidRPr="00333201" w14:paraId="06D61A99" w14:textId="77777777" w:rsidTr="00C50E31">
        <w:trPr>
          <w:jc w:val="center"/>
        </w:trPr>
        <w:tc>
          <w:tcPr>
            <w:tcW w:w="1399" w:type="pct"/>
            <w:tcBorders>
              <w:top w:val="single" w:sz="4" w:space="0" w:color="auto"/>
            </w:tcBorders>
            <w:tcMar>
              <w:top w:w="120" w:type="dxa"/>
              <w:left w:w="120" w:type="dxa"/>
              <w:bottom w:w="120" w:type="dxa"/>
              <w:right w:w="120" w:type="dxa"/>
            </w:tcMar>
            <w:hideMark/>
          </w:tcPr>
          <w:p w14:paraId="0AEC1852" w14:textId="77777777" w:rsidR="00C50E31" w:rsidRPr="00333201" w:rsidRDefault="00C50E31" w:rsidP="00C50E31">
            <w:pPr>
              <w:rPr>
                <w:rFonts w:ascii="Arial" w:hAnsi="Arial" w:cs="Arial"/>
                <w:sz w:val="20"/>
                <w:szCs w:val="20"/>
              </w:rPr>
            </w:pPr>
            <w:r>
              <w:rPr>
                <w:rFonts w:ascii="Arial" w:hAnsi="Arial" w:cs="Arial"/>
                <w:b/>
                <w:bCs/>
                <w:color w:val="000000"/>
                <w:sz w:val="20"/>
                <w:szCs w:val="20"/>
              </w:rPr>
              <w:t>S1 Provider Reputation/Prestige</w:t>
            </w:r>
          </w:p>
        </w:tc>
        <w:tc>
          <w:tcPr>
            <w:tcW w:w="887" w:type="pct"/>
            <w:tcBorders>
              <w:top w:val="single" w:sz="4" w:space="0" w:color="auto"/>
            </w:tcBorders>
            <w:tcMar>
              <w:top w:w="120" w:type="dxa"/>
              <w:left w:w="120" w:type="dxa"/>
              <w:bottom w:w="120" w:type="dxa"/>
              <w:right w:w="120" w:type="dxa"/>
            </w:tcMar>
            <w:hideMark/>
          </w:tcPr>
          <w:p w14:paraId="1E6DB6FE" w14:textId="77777777" w:rsidR="00C50E31" w:rsidRPr="00333201" w:rsidRDefault="00C50E31" w:rsidP="00C50E31">
            <w:pPr>
              <w:rPr>
                <w:rFonts w:ascii="Arial" w:hAnsi="Arial" w:cs="Arial"/>
                <w:sz w:val="20"/>
                <w:szCs w:val="20"/>
              </w:rPr>
            </w:pPr>
            <w:r>
              <w:rPr>
                <w:rFonts w:ascii="Arial" w:hAnsi="Arial" w:cs="Arial"/>
                <w:color w:val="000000"/>
                <w:sz w:val="20"/>
                <w:szCs w:val="20"/>
              </w:rPr>
              <w:t>Moderate in 4/5 cases; Limited in 1/5</w:t>
            </w:r>
          </w:p>
        </w:tc>
        <w:tc>
          <w:tcPr>
            <w:tcW w:w="933" w:type="pct"/>
            <w:tcBorders>
              <w:top w:val="single" w:sz="4" w:space="0" w:color="auto"/>
            </w:tcBorders>
            <w:tcMar>
              <w:top w:w="120" w:type="dxa"/>
              <w:left w:w="120" w:type="dxa"/>
              <w:bottom w:w="120" w:type="dxa"/>
              <w:right w:w="120" w:type="dxa"/>
            </w:tcMar>
            <w:hideMark/>
          </w:tcPr>
          <w:p w14:paraId="7211E066" w14:textId="77777777" w:rsidR="00C50E31" w:rsidRPr="00333201" w:rsidRDefault="00C50E31" w:rsidP="00C50E31">
            <w:pPr>
              <w:rPr>
                <w:rFonts w:ascii="Arial" w:hAnsi="Arial" w:cs="Arial"/>
                <w:sz w:val="20"/>
                <w:szCs w:val="20"/>
              </w:rPr>
            </w:pPr>
            <w:r>
              <w:rPr>
                <w:rFonts w:ascii="Arial" w:hAnsi="Arial" w:cs="Arial"/>
                <w:color w:val="000000"/>
                <w:sz w:val="20"/>
                <w:szCs w:val="20"/>
              </w:rPr>
              <w:t>Strong in 4/5 cases; Moderate in 1/5</w:t>
            </w:r>
          </w:p>
        </w:tc>
        <w:tc>
          <w:tcPr>
            <w:tcW w:w="1781" w:type="pct"/>
            <w:tcBorders>
              <w:top w:val="single" w:sz="4" w:space="0" w:color="auto"/>
            </w:tcBorders>
            <w:tcMar>
              <w:top w:w="120" w:type="dxa"/>
              <w:left w:w="120" w:type="dxa"/>
              <w:bottom w:w="120" w:type="dxa"/>
              <w:right w:w="120" w:type="dxa"/>
            </w:tcMar>
            <w:hideMark/>
          </w:tcPr>
          <w:p w14:paraId="32DA96C0" w14:textId="77777777" w:rsidR="00C50E31" w:rsidRPr="00333201" w:rsidRDefault="00C50E31" w:rsidP="00C50E31">
            <w:pPr>
              <w:rPr>
                <w:rFonts w:ascii="Arial" w:hAnsi="Arial" w:cs="Arial"/>
                <w:sz w:val="20"/>
                <w:szCs w:val="20"/>
              </w:rPr>
            </w:pPr>
            <w:r>
              <w:rPr>
                <w:rFonts w:ascii="Arial" w:hAnsi="Arial" w:cs="Arial"/>
                <w:color w:val="000000"/>
                <w:sz w:val="20"/>
                <w:szCs w:val="20"/>
              </w:rPr>
              <w:t>Both communicate provider credibility, but universities emphasize academic institutional identity, whereas industry providers more closely connect organizational identity with domain authority</w:t>
            </w:r>
          </w:p>
        </w:tc>
      </w:tr>
      <w:tr w:rsidR="00C50E31" w:rsidRPr="00333201" w14:paraId="12F7C98B" w14:textId="77777777" w:rsidTr="00C50E31">
        <w:trPr>
          <w:jc w:val="center"/>
        </w:trPr>
        <w:tc>
          <w:tcPr>
            <w:tcW w:w="1399" w:type="pct"/>
            <w:tcMar>
              <w:top w:w="120" w:type="dxa"/>
              <w:left w:w="120" w:type="dxa"/>
              <w:bottom w:w="120" w:type="dxa"/>
              <w:right w:w="120" w:type="dxa"/>
            </w:tcMar>
            <w:hideMark/>
          </w:tcPr>
          <w:p w14:paraId="5EC700B3" w14:textId="77777777" w:rsidR="00C50E31" w:rsidRPr="00333201" w:rsidRDefault="00C50E31" w:rsidP="00C50E31">
            <w:pPr>
              <w:rPr>
                <w:rFonts w:ascii="Arial" w:hAnsi="Arial" w:cs="Arial"/>
                <w:sz w:val="20"/>
                <w:szCs w:val="20"/>
              </w:rPr>
            </w:pPr>
            <w:r>
              <w:rPr>
                <w:rFonts w:ascii="Arial" w:hAnsi="Arial" w:cs="Arial"/>
                <w:b/>
                <w:bCs/>
                <w:color w:val="000000"/>
                <w:sz w:val="20"/>
                <w:szCs w:val="20"/>
              </w:rPr>
              <w:t>S2 Instructor Expertise</w:t>
            </w:r>
          </w:p>
        </w:tc>
        <w:tc>
          <w:tcPr>
            <w:tcW w:w="887" w:type="pct"/>
            <w:tcMar>
              <w:top w:w="120" w:type="dxa"/>
              <w:left w:w="120" w:type="dxa"/>
              <w:bottom w:w="120" w:type="dxa"/>
              <w:right w:w="120" w:type="dxa"/>
            </w:tcMar>
            <w:hideMark/>
          </w:tcPr>
          <w:p w14:paraId="1372B7CF" w14:textId="77777777" w:rsidR="00C50E31" w:rsidRPr="00333201" w:rsidRDefault="00C50E31" w:rsidP="00C50E31">
            <w:pPr>
              <w:rPr>
                <w:rFonts w:ascii="Arial" w:hAnsi="Arial" w:cs="Arial"/>
                <w:sz w:val="20"/>
                <w:szCs w:val="20"/>
              </w:rPr>
            </w:pPr>
            <w:r>
              <w:rPr>
                <w:rFonts w:ascii="Arial" w:hAnsi="Arial" w:cs="Arial"/>
                <w:color w:val="000000"/>
                <w:sz w:val="20"/>
                <w:szCs w:val="20"/>
              </w:rPr>
              <w:t>Strong in 4/5 cases; Limited in 1/5</w:t>
            </w:r>
          </w:p>
        </w:tc>
        <w:tc>
          <w:tcPr>
            <w:tcW w:w="933" w:type="pct"/>
            <w:tcMar>
              <w:top w:w="120" w:type="dxa"/>
              <w:left w:w="120" w:type="dxa"/>
              <w:bottom w:w="120" w:type="dxa"/>
              <w:right w:w="120" w:type="dxa"/>
            </w:tcMar>
            <w:hideMark/>
          </w:tcPr>
          <w:p w14:paraId="33023F71" w14:textId="77777777" w:rsidR="00C50E31" w:rsidRPr="00333201" w:rsidRDefault="00C50E31" w:rsidP="00C50E31">
            <w:pPr>
              <w:rPr>
                <w:rFonts w:ascii="Arial" w:hAnsi="Arial" w:cs="Arial"/>
                <w:sz w:val="20"/>
                <w:szCs w:val="20"/>
              </w:rPr>
            </w:pPr>
            <w:r>
              <w:rPr>
                <w:rFonts w:ascii="Arial" w:hAnsi="Arial" w:cs="Arial"/>
                <w:color w:val="000000"/>
                <w:sz w:val="20"/>
                <w:szCs w:val="20"/>
              </w:rPr>
              <w:t>Moderate in all 5 cases</w:t>
            </w:r>
          </w:p>
        </w:tc>
        <w:tc>
          <w:tcPr>
            <w:tcW w:w="1781" w:type="pct"/>
            <w:tcMar>
              <w:top w:w="120" w:type="dxa"/>
              <w:left w:w="120" w:type="dxa"/>
              <w:bottom w:w="120" w:type="dxa"/>
              <w:right w:w="120" w:type="dxa"/>
            </w:tcMar>
            <w:hideMark/>
          </w:tcPr>
          <w:p w14:paraId="78489136" w14:textId="77777777" w:rsidR="00C50E31" w:rsidRPr="00333201" w:rsidRDefault="00C50E31" w:rsidP="00C50E31">
            <w:pPr>
              <w:rPr>
                <w:rFonts w:ascii="Arial" w:hAnsi="Arial" w:cs="Arial"/>
                <w:sz w:val="20"/>
                <w:szCs w:val="20"/>
              </w:rPr>
            </w:pPr>
            <w:r>
              <w:rPr>
                <w:rFonts w:ascii="Arial" w:hAnsi="Arial" w:cs="Arial"/>
                <w:color w:val="000000"/>
                <w:sz w:val="20"/>
                <w:szCs w:val="20"/>
              </w:rPr>
              <w:t>University expertise is more often attached to identifiable individuals; industry expertise is more often attached to the organization or instructional team</w:t>
            </w:r>
          </w:p>
        </w:tc>
      </w:tr>
      <w:tr w:rsidR="00C50E31" w:rsidRPr="00333201" w14:paraId="586F8943" w14:textId="77777777" w:rsidTr="00C50E31">
        <w:trPr>
          <w:jc w:val="center"/>
        </w:trPr>
        <w:tc>
          <w:tcPr>
            <w:tcW w:w="1399" w:type="pct"/>
            <w:tcMar>
              <w:top w:w="120" w:type="dxa"/>
              <w:left w:w="120" w:type="dxa"/>
              <w:bottom w:w="120" w:type="dxa"/>
              <w:right w:w="120" w:type="dxa"/>
            </w:tcMar>
            <w:hideMark/>
          </w:tcPr>
          <w:p w14:paraId="46FB95F7" w14:textId="77777777" w:rsidR="00C50E31" w:rsidRPr="00333201" w:rsidRDefault="00C50E31" w:rsidP="00C50E31">
            <w:pPr>
              <w:rPr>
                <w:rFonts w:ascii="Arial" w:hAnsi="Arial" w:cs="Arial"/>
                <w:sz w:val="20"/>
                <w:szCs w:val="20"/>
              </w:rPr>
            </w:pPr>
            <w:r>
              <w:rPr>
                <w:rFonts w:ascii="Arial" w:hAnsi="Arial" w:cs="Arial"/>
                <w:b/>
                <w:bCs/>
                <w:color w:val="000000"/>
                <w:sz w:val="20"/>
                <w:szCs w:val="20"/>
              </w:rPr>
              <w:t>S3 Rigor Signals</w:t>
            </w:r>
          </w:p>
        </w:tc>
        <w:tc>
          <w:tcPr>
            <w:tcW w:w="887" w:type="pct"/>
            <w:tcMar>
              <w:top w:w="120" w:type="dxa"/>
              <w:left w:w="120" w:type="dxa"/>
              <w:bottom w:w="120" w:type="dxa"/>
              <w:right w:w="120" w:type="dxa"/>
            </w:tcMar>
            <w:hideMark/>
          </w:tcPr>
          <w:p w14:paraId="3CB4EE9C" w14:textId="77777777" w:rsidR="00C50E31" w:rsidRPr="00333201" w:rsidRDefault="00C50E31" w:rsidP="00C50E31">
            <w:pPr>
              <w:rPr>
                <w:rFonts w:ascii="Arial" w:hAnsi="Arial" w:cs="Arial"/>
                <w:sz w:val="20"/>
                <w:szCs w:val="20"/>
              </w:rPr>
            </w:pPr>
            <w:r>
              <w:rPr>
                <w:rFonts w:ascii="Arial" w:hAnsi="Arial" w:cs="Arial"/>
                <w:color w:val="000000"/>
                <w:sz w:val="20"/>
                <w:szCs w:val="20"/>
              </w:rPr>
              <w:t>Variable: Limited to Strong</w:t>
            </w:r>
          </w:p>
        </w:tc>
        <w:tc>
          <w:tcPr>
            <w:tcW w:w="933" w:type="pct"/>
            <w:tcMar>
              <w:top w:w="120" w:type="dxa"/>
              <w:left w:w="120" w:type="dxa"/>
              <w:bottom w:w="120" w:type="dxa"/>
              <w:right w:w="120" w:type="dxa"/>
            </w:tcMar>
            <w:hideMark/>
          </w:tcPr>
          <w:p w14:paraId="0432B443" w14:textId="77777777" w:rsidR="00C50E31" w:rsidRPr="00333201" w:rsidRDefault="00C50E31" w:rsidP="00C50E31">
            <w:pPr>
              <w:rPr>
                <w:rFonts w:ascii="Arial" w:hAnsi="Arial" w:cs="Arial"/>
                <w:sz w:val="20"/>
                <w:szCs w:val="20"/>
              </w:rPr>
            </w:pPr>
            <w:r>
              <w:rPr>
                <w:rFonts w:ascii="Arial" w:hAnsi="Arial" w:cs="Arial"/>
                <w:color w:val="000000"/>
                <w:sz w:val="20"/>
                <w:szCs w:val="20"/>
              </w:rPr>
              <w:t>Strong in 4/5 cases; Limited in 1/5</w:t>
            </w:r>
          </w:p>
        </w:tc>
        <w:tc>
          <w:tcPr>
            <w:tcW w:w="1781" w:type="pct"/>
            <w:tcMar>
              <w:top w:w="120" w:type="dxa"/>
              <w:left w:w="120" w:type="dxa"/>
              <w:bottom w:w="120" w:type="dxa"/>
              <w:right w:w="120" w:type="dxa"/>
            </w:tcMar>
            <w:hideMark/>
          </w:tcPr>
          <w:p w14:paraId="283A1CCC" w14:textId="77777777" w:rsidR="00C50E31" w:rsidRPr="00333201" w:rsidRDefault="00C50E31" w:rsidP="00C50E31">
            <w:pPr>
              <w:rPr>
                <w:rFonts w:ascii="Arial" w:hAnsi="Arial" w:cs="Arial"/>
                <w:sz w:val="20"/>
                <w:szCs w:val="20"/>
              </w:rPr>
            </w:pPr>
            <w:r>
              <w:rPr>
                <w:rFonts w:ascii="Arial" w:hAnsi="Arial" w:cs="Arial"/>
                <w:color w:val="000000"/>
                <w:sz w:val="20"/>
                <w:szCs w:val="20"/>
              </w:rPr>
              <w:t>Industry cases communicate applied rigor more consistently in this sample, although neither group is uniformly rigorous</w:t>
            </w:r>
          </w:p>
        </w:tc>
      </w:tr>
      <w:tr w:rsidR="00C50E31" w:rsidRPr="00333201" w14:paraId="3C20DB4F" w14:textId="77777777" w:rsidTr="00C50E31">
        <w:trPr>
          <w:jc w:val="center"/>
        </w:trPr>
        <w:tc>
          <w:tcPr>
            <w:tcW w:w="1399" w:type="pct"/>
            <w:tcBorders>
              <w:bottom w:val="single" w:sz="4" w:space="0" w:color="auto"/>
            </w:tcBorders>
            <w:tcMar>
              <w:top w:w="120" w:type="dxa"/>
              <w:left w:w="120" w:type="dxa"/>
              <w:bottom w:w="120" w:type="dxa"/>
              <w:right w:w="120" w:type="dxa"/>
            </w:tcMar>
            <w:hideMark/>
          </w:tcPr>
          <w:p w14:paraId="49F1B04C" w14:textId="77777777" w:rsidR="00C50E31" w:rsidRPr="00333201" w:rsidRDefault="00C50E31" w:rsidP="00C50E31">
            <w:pPr>
              <w:rPr>
                <w:rFonts w:ascii="Arial" w:hAnsi="Arial" w:cs="Arial"/>
                <w:sz w:val="20"/>
                <w:szCs w:val="20"/>
              </w:rPr>
            </w:pPr>
            <w:r>
              <w:rPr>
                <w:rFonts w:ascii="Arial" w:hAnsi="Arial" w:cs="Arial"/>
                <w:b/>
                <w:bCs/>
                <w:color w:val="000000"/>
                <w:sz w:val="20"/>
                <w:szCs w:val="20"/>
              </w:rPr>
              <w:t>S4 Credential &amp; Competence Signals</w:t>
            </w:r>
          </w:p>
        </w:tc>
        <w:tc>
          <w:tcPr>
            <w:tcW w:w="887" w:type="pct"/>
            <w:tcBorders>
              <w:bottom w:val="single" w:sz="4" w:space="0" w:color="auto"/>
            </w:tcBorders>
            <w:tcMar>
              <w:top w:w="120" w:type="dxa"/>
              <w:left w:w="120" w:type="dxa"/>
              <w:bottom w:w="120" w:type="dxa"/>
              <w:right w:w="120" w:type="dxa"/>
            </w:tcMar>
            <w:hideMark/>
          </w:tcPr>
          <w:p w14:paraId="58052F18" w14:textId="77777777" w:rsidR="00C50E31" w:rsidRPr="00333201" w:rsidRDefault="00C50E31" w:rsidP="00C50E31">
            <w:pPr>
              <w:rPr>
                <w:rFonts w:ascii="Arial" w:hAnsi="Arial" w:cs="Arial"/>
                <w:sz w:val="20"/>
                <w:szCs w:val="20"/>
              </w:rPr>
            </w:pPr>
            <w:r>
              <w:rPr>
                <w:rFonts w:ascii="Arial" w:hAnsi="Arial" w:cs="Arial"/>
                <w:color w:val="000000"/>
                <w:sz w:val="20"/>
                <w:szCs w:val="20"/>
              </w:rPr>
              <w:t>Strong in all 5 cases</w:t>
            </w:r>
          </w:p>
        </w:tc>
        <w:tc>
          <w:tcPr>
            <w:tcW w:w="933" w:type="pct"/>
            <w:tcBorders>
              <w:bottom w:val="single" w:sz="4" w:space="0" w:color="auto"/>
            </w:tcBorders>
            <w:tcMar>
              <w:top w:w="120" w:type="dxa"/>
              <w:left w:w="120" w:type="dxa"/>
              <w:bottom w:w="120" w:type="dxa"/>
              <w:right w:w="120" w:type="dxa"/>
            </w:tcMar>
            <w:hideMark/>
          </w:tcPr>
          <w:p w14:paraId="59ECA39A" w14:textId="77777777" w:rsidR="00C50E31" w:rsidRPr="00333201" w:rsidRDefault="00C50E31" w:rsidP="00C50E31">
            <w:pPr>
              <w:rPr>
                <w:rFonts w:ascii="Arial" w:hAnsi="Arial" w:cs="Arial"/>
                <w:sz w:val="20"/>
                <w:szCs w:val="20"/>
              </w:rPr>
            </w:pPr>
            <w:r>
              <w:rPr>
                <w:rFonts w:ascii="Arial" w:hAnsi="Arial" w:cs="Arial"/>
                <w:color w:val="000000"/>
                <w:sz w:val="20"/>
                <w:szCs w:val="20"/>
              </w:rPr>
              <w:t>Strong in all 5 cases</w:t>
            </w:r>
          </w:p>
        </w:tc>
        <w:tc>
          <w:tcPr>
            <w:tcW w:w="1781" w:type="pct"/>
            <w:tcBorders>
              <w:bottom w:val="single" w:sz="4" w:space="0" w:color="auto"/>
            </w:tcBorders>
            <w:tcMar>
              <w:top w:w="120" w:type="dxa"/>
              <w:left w:w="120" w:type="dxa"/>
              <w:bottom w:w="120" w:type="dxa"/>
              <w:right w:w="120" w:type="dxa"/>
            </w:tcMar>
            <w:hideMark/>
          </w:tcPr>
          <w:p w14:paraId="664D3CC2" w14:textId="77777777" w:rsidR="00C50E31" w:rsidRPr="00333201" w:rsidRDefault="00C50E31" w:rsidP="00C50E31">
            <w:pPr>
              <w:rPr>
                <w:rFonts w:ascii="Arial" w:hAnsi="Arial" w:cs="Arial"/>
                <w:sz w:val="20"/>
                <w:szCs w:val="20"/>
              </w:rPr>
            </w:pPr>
            <w:r>
              <w:rPr>
                <w:rFonts w:ascii="Arial" w:hAnsi="Arial" w:cs="Arial"/>
                <w:color w:val="000000"/>
                <w:sz w:val="20"/>
                <w:szCs w:val="20"/>
              </w:rPr>
              <w:t>The strongest common signal across both groups, but competence is framed more academically/disciplinarily in university cases and more practically/professionally in industry cases</w:t>
            </w:r>
          </w:p>
        </w:tc>
      </w:tr>
    </w:tbl>
    <w:p w14:paraId="538A30B4" w14:textId="77777777" w:rsidR="00803527" w:rsidRPr="00803527" w:rsidRDefault="00803527" w:rsidP="00A643A7">
      <w:pPr>
        <w:rPr>
          <w:rFonts w:ascii="Arial" w:hAnsi="Arial" w:cs="Arial"/>
          <w:sz w:val="18"/>
          <w:szCs w:val="18"/>
        </w:rPr>
      </w:pPr>
    </w:p>
    <w:p w14:paraId="777B3C68"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 most significant commonality was </w:t>
      </w:r>
      <w:r w:rsidRPr="00C50E31">
        <w:rPr>
          <w:rFonts w:ascii="Arial" w:hAnsi="Arial" w:cs="Arial"/>
          <w:b/>
          <w:bCs/>
          <w:color w:val="000000"/>
          <w:sz w:val="20"/>
          <w:szCs w:val="20"/>
        </w:rPr>
        <w:t xml:space="preserve">S4, which pertains to credential and competence </w:t>
      </w:r>
      <w:r w:rsidRPr="00C50E31">
        <w:rPr>
          <w:rFonts w:ascii="Arial" w:hAnsi="Arial" w:cs="Arial"/>
          <w:b/>
          <w:bCs/>
          <w:color w:val="000000"/>
          <w:sz w:val="20"/>
          <w:szCs w:val="20"/>
          <w:highlight w:val="yellow"/>
        </w:rPr>
        <w:t>signalling</w:t>
      </w:r>
      <w:r w:rsidRPr="00C50E31">
        <w:rPr>
          <w:rFonts w:ascii="Arial" w:hAnsi="Arial" w:cs="Arial"/>
          <w:color w:val="000000"/>
          <w:sz w:val="20"/>
          <w:szCs w:val="20"/>
        </w:rPr>
        <w:t xml:space="preserve">. All ten MOOCs were rated as Strong in this category, as each combined a completion credential with clearly identifiable knowledge, skills, or competencies. However, the context for presenting competence varied. University MOOCs typically linked competencies to academic or disciplinary learning. For example, the Rice University course </w:t>
      </w:r>
      <w:r w:rsidRPr="00C50E31">
        <w:rPr>
          <w:rFonts w:ascii="Arial" w:hAnsi="Arial" w:cs="Arial"/>
          <w:color w:val="000000"/>
          <w:sz w:val="20"/>
          <w:szCs w:val="20"/>
          <w:highlight w:val="yellow"/>
        </w:rPr>
        <w:t>emphasised</w:t>
      </w:r>
      <w:r w:rsidRPr="00C50E31">
        <w:rPr>
          <w:rFonts w:ascii="Arial" w:hAnsi="Arial" w:cs="Arial"/>
          <w:color w:val="000000"/>
          <w:sz w:val="20"/>
          <w:szCs w:val="20"/>
        </w:rPr>
        <w:t xml:space="preserve"> specialized immunology and biological-science knowledge, while the University </w:t>
      </w:r>
      <w:r w:rsidRPr="00C50E31">
        <w:rPr>
          <w:rFonts w:ascii="Arial" w:hAnsi="Arial" w:cs="Arial"/>
          <w:color w:val="000000"/>
          <w:sz w:val="20"/>
          <w:szCs w:val="20"/>
        </w:rPr>
        <w:lastRenderedPageBreak/>
        <w:t>of Michigan course addressed competencies in AI literacy, responsible AI, ethics, regulation, and applications. In contrast, industry MOOCs more frequently conveyed competencies through technical applications and professional practice, such as systems administration, cybersecurity, compliance, penetration testing, digital forensics, and generative AI tools.</w:t>
      </w:r>
    </w:p>
    <w:p w14:paraId="4DC96BE0"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This finding indicates that both provider groups communicate competence, yet they frame its meaning differently. University cases generally present competence as disciplinary or educational attainment, while industry cases more often frame competence as applied technical capability. Recent research on online-course quality supports the view that course content and learning resources are multidimensional rather than singular indicators of quality. For instance, Wang et al. (2024) identified course resource construction, course implementation, and teaching effectiveness as distinct dimensions in their evaluation of 541 online courses. Similarly, </w:t>
      </w:r>
      <w:r w:rsidRPr="00C50E31">
        <w:rPr>
          <w:rFonts w:ascii="Arial" w:hAnsi="Arial" w:cs="Arial"/>
          <w:color w:val="000000"/>
          <w:sz w:val="20"/>
          <w:szCs w:val="20"/>
          <w:highlight w:val="yellow"/>
        </w:rPr>
        <w:t>Chen, Xie, et al. (2024)</w:t>
      </w:r>
      <w:r w:rsidRPr="00C50E31">
        <w:rPr>
          <w:rFonts w:ascii="Arial" w:hAnsi="Arial" w:cs="Arial"/>
          <w:color w:val="000000"/>
          <w:sz w:val="20"/>
          <w:szCs w:val="20"/>
        </w:rPr>
        <w:t xml:space="preserve"> demonstrated that online-course evaluation can distinguish among multiple course characteristics and learner feedback, rather than reducing course quality to a single attribute. Although these studies do not validate the present coding categories, they provide contextual support for interpreting competence-related information as part of a broader configuration of observable course characteristics.</w:t>
      </w:r>
    </w:p>
    <w:p w14:paraId="433C4139"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 comparison also reveals a difference in </w:t>
      </w:r>
      <w:r w:rsidRPr="00C50E31">
        <w:rPr>
          <w:rFonts w:ascii="Arial" w:hAnsi="Arial" w:cs="Arial"/>
          <w:b/>
          <w:bCs/>
          <w:color w:val="000000"/>
          <w:sz w:val="20"/>
          <w:szCs w:val="20"/>
        </w:rPr>
        <w:t>S2, instructor expertise</w:t>
      </w:r>
      <w:r w:rsidRPr="00C50E31">
        <w:rPr>
          <w:rFonts w:ascii="Arial" w:hAnsi="Arial" w:cs="Arial"/>
          <w:color w:val="000000"/>
          <w:sz w:val="20"/>
          <w:szCs w:val="20"/>
        </w:rPr>
        <w:t>. Instructor expertise was rated as Strong in four university cases and Limited in one, whereas all five industry cases were assessed as Moderate. More notably, the carrier of expertise varied. University courses more often attributed expertise to named individuals or identifiable academic professionals. For example, Rice University provided extensive information about the instructor’s academic and teaching background, IESE offered a detailed professional biography, and École Polytechnique identified instructors with relevant academic positions and expertise. The University of Michigan similarly presented the course as drawing on experts from several university fields.</w:t>
      </w:r>
    </w:p>
    <w:p w14:paraId="799F012B"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In industry cases, the carrier of expertise generally shifted from the individual instructor to the provider </w:t>
      </w:r>
      <w:r w:rsidRPr="00C50E31">
        <w:rPr>
          <w:rFonts w:ascii="Arial" w:hAnsi="Arial" w:cs="Arial"/>
          <w:color w:val="000000"/>
          <w:sz w:val="20"/>
          <w:szCs w:val="20"/>
          <w:highlight w:val="yellow"/>
        </w:rPr>
        <w:t>organisation</w:t>
      </w:r>
      <w:r w:rsidRPr="00C50E31">
        <w:rPr>
          <w:rFonts w:ascii="Arial" w:hAnsi="Arial" w:cs="Arial"/>
          <w:color w:val="000000"/>
          <w:sz w:val="20"/>
          <w:szCs w:val="20"/>
        </w:rPr>
        <w:t xml:space="preserve"> or instructional team. IBM’s courses identified the IBM Skills Network Team, while Google Cloud referenced Google Cloud Training. Thus, expertise remained visible but was communicated primarily through </w:t>
      </w:r>
      <w:r w:rsidRPr="00C50E31">
        <w:rPr>
          <w:rFonts w:ascii="Arial" w:hAnsi="Arial" w:cs="Arial"/>
          <w:color w:val="000000"/>
          <w:sz w:val="20"/>
          <w:szCs w:val="20"/>
          <w:highlight w:val="yellow"/>
        </w:rPr>
        <w:t>organisational</w:t>
      </w:r>
      <w:r w:rsidRPr="00C50E31">
        <w:rPr>
          <w:rFonts w:ascii="Arial" w:hAnsi="Arial" w:cs="Arial"/>
          <w:color w:val="000000"/>
          <w:sz w:val="20"/>
          <w:szCs w:val="20"/>
        </w:rPr>
        <w:t xml:space="preserve"> affiliation and the provider’s professional domain.</w:t>
      </w:r>
    </w:p>
    <w:p w14:paraId="63FCCA2D"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This distinction should not be interpreted as evidence that learners inherently value one form of expertise over the other. Instead, it reflects how expertise was made observable in the documentary sources. Broader online learning research supports this, demonstrating that instructor-related and course-design factors are analytically distinct. Levinsson et al. (2024), </w:t>
      </w:r>
      <w:r w:rsidRPr="00C50E31">
        <w:rPr>
          <w:rFonts w:ascii="Arial" w:hAnsi="Arial" w:cs="Arial"/>
          <w:color w:val="000000"/>
          <w:sz w:val="20"/>
          <w:szCs w:val="20"/>
          <w:highlight w:val="yellow"/>
        </w:rPr>
        <w:t>analysing</w:t>
      </w:r>
      <w:r w:rsidRPr="00C50E31">
        <w:rPr>
          <w:rFonts w:ascii="Arial" w:hAnsi="Arial" w:cs="Arial"/>
          <w:color w:val="000000"/>
          <w:sz w:val="20"/>
          <w:szCs w:val="20"/>
        </w:rPr>
        <w:t xml:space="preserve"> over 6,000 student evaluations, found that course design was a stronger predictor of perceived quality and student engagement than teacher ratings, although teacher ratings still contributed to perceived quality. This finding underscores the importance of treating instructor expertise and course characteristics as separate analytical features, rather than assuming one can substitute for the other.</w:t>
      </w:r>
    </w:p>
    <w:p w14:paraId="73E50E6A"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 comparison of </w:t>
      </w:r>
      <w:r w:rsidRPr="00C50E31">
        <w:rPr>
          <w:rFonts w:ascii="Arial" w:hAnsi="Arial" w:cs="Arial"/>
          <w:b/>
          <w:bCs/>
          <w:color w:val="000000"/>
          <w:sz w:val="20"/>
          <w:szCs w:val="20"/>
        </w:rPr>
        <w:t>S1, provider reputation or prestige, also requires</w:t>
      </w:r>
      <w:r w:rsidRPr="00C50E31">
        <w:rPr>
          <w:rFonts w:ascii="Arial" w:hAnsi="Arial" w:cs="Arial"/>
          <w:color w:val="000000"/>
          <w:sz w:val="20"/>
          <w:szCs w:val="20"/>
        </w:rPr>
        <w:t xml:space="preserve"> caution. University providers were generally rated as Moderate, with Howard University assessed as Limited, while four industry cases were rated as Strong and Google Cloud as Moderate. This should not be interpreted as evidence that industry </w:t>
      </w:r>
      <w:r w:rsidRPr="00C50E31">
        <w:rPr>
          <w:rFonts w:ascii="Arial" w:hAnsi="Arial" w:cs="Arial"/>
          <w:color w:val="000000"/>
          <w:sz w:val="20"/>
          <w:szCs w:val="20"/>
          <w:highlight w:val="yellow"/>
        </w:rPr>
        <w:t>organisations</w:t>
      </w:r>
      <w:r w:rsidRPr="00C50E31">
        <w:rPr>
          <w:rFonts w:ascii="Arial" w:hAnsi="Arial" w:cs="Arial"/>
          <w:color w:val="000000"/>
          <w:sz w:val="20"/>
          <w:szCs w:val="20"/>
        </w:rPr>
        <w:t xml:space="preserve"> possess greater prestige than universities. A more defensible interpretation concerns how provider identity was connected to the course offering.</w:t>
      </w:r>
    </w:p>
    <w:p w14:paraId="3566F231"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In university cases, institutional identity primarily served as an academic credibility cue. The university name established the institutional context of the course, but course pages did not consistently </w:t>
      </w:r>
      <w:r w:rsidRPr="00C50E31">
        <w:rPr>
          <w:rFonts w:ascii="Arial" w:hAnsi="Arial" w:cs="Arial"/>
          <w:color w:val="000000"/>
          <w:sz w:val="20"/>
          <w:szCs w:val="20"/>
          <w:highlight w:val="yellow"/>
        </w:rPr>
        <w:t>emphasise</w:t>
      </w:r>
      <w:r w:rsidRPr="00C50E31">
        <w:rPr>
          <w:rFonts w:ascii="Arial" w:hAnsi="Arial" w:cs="Arial"/>
          <w:color w:val="000000"/>
          <w:sz w:val="20"/>
          <w:szCs w:val="20"/>
        </w:rPr>
        <w:t xml:space="preserve"> rankings, historical distinction, or comparative prestige. In contrast, industry cases more closely integrated </w:t>
      </w:r>
      <w:r w:rsidRPr="00C50E31">
        <w:rPr>
          <w:rFonts w:ascii="Arial" w:hAnsi="Arial" w:cs="Arial"/>
          <w:color w:val="000000"/>
          <w:sz w:val="20"/>
          <w:szCs w:val="20"/>
          <w:highlight w:val="yellow"/>
        </w:rPr>
        <w:t>organisational</w:t>
      </w:r>
      <w:r w:rsidRPr="00C50E31">
        <w:rPr>
          <w:rFonts w:ascii="Arial" w:hAnsi="Arial" w:cs="Arial"/>
          <w:color w:val="000000"/>
          <w:sz w:val="20"/>
          <w:szCs w:val="20"/>
        </w:rPr>
        <w:t xml:space="preserve"> identity with the subject matter. IBM’s courses linked the provider to information technology, cybersecurity, professional standards, and workplace practice, while Google Cloud’s course associated the provider with contemporary generative-AI technologies and its own development tools. </w:t>
      </w:r>
      <w:r w:rsidRPr="00C50E31">
        <w:rPr>
          <w:rFonts w:ascii="Arial" w:hAnsi="Arial" w:cs="Arial"/>
          <w:color w:val="000000"/>
          <w:sz w:val="20"/>
          <w:szCs w:val="20"/>
          <w:highlight w:val="yellow"/>
        </w:rPr>
        <w:t xml:space="preserve">The difference is </w:t>
      </w:r>
      <w:r w:rsidRPr="00C50E31">
        <w:rPr>
          <w:rFonts w:ascii="Arial" w:hAnsi="Arial" w:cs="Arial"/>
          <w:color w:val="000000"/>
          <w:sz w:val="20"/>
          <w:szCs w:val="20"/>
          <w:highlight w:val="yellow"/>
        </w:rPr>
        <w:lastRenderedPageBreak/>
        <w:t>better understood as a difference in forms of authority than as a simple difference in prestige.</w:t>
      </w:r>
      <w:r w:rsidRPr="00C50E31">
        <w:rPr>
          <w:rFonts w:ascii="Arial" w:hAnsi="Arial" w:cs="Arial"/>
          <w:color w:val="000000"/>
          <w:sz w:val="20"/>
          <w:szCs w:val="20"/>
        </w:rPr>
        <w:t xml:space="preserve"> University providers communicated credibility largely through their institutional academic identity, whereas industry providers more frequently embedded </w:t>
      </w:r>
      <w:r w:rsidRPr="00C50E31">
        <w:rPr>
          <w:rFonts w:ascii="Arial" w:hAnsi="Arial" w:cs="Arial"/>
          <w:color w:val="000000"/>
          <w:sz w:val="20"/>
          <w:szCs w:val="20"/>
          <w:highlight w:val="yellow"/>
        </w:rPr>
        <w:t>organisational</w:t>
      </w:r>
      <w:r w:rsidRPr="00C50E31">
        <w:rPr>
          <w:rFonts w:ascii="Arial" w:hAnsi="Arial" w:cs="Arial"/>
          <w:color w:val="000000"/>
          <w:sz w:val="20"/>
          <w:szCs w:val="20"/>
        </w:rPr>
        <w:t xml:space="preserve"> identity within the course's technical or professional domain. The documentary evidence therefore suggests that provider reputation functions differently according to the </w:t>
      </w:r>
      <w:r w:rsidRPr="00C50E31">
        <w:rPr>
          <w:rFonts w:ascii="Arial" w:hAnsi="Arial" w:cs="Arial"/>
          <w:color w:val="000000"/>
          <w:sz w:val="20"/>
          <w:szCs w:val="20"/>
          <w:highlight w:val="yellow"/>
        </w:rPr>
        <w:t>organisational</w:t>
      </w:r>
      <w:r w:rsidRPr="00C50E31">
        <w:rPr>
          <w:rFonts w:ascii="Arial" w:hAnsi="Arial" w:cs="Arial"/>
          <w:color w:val="000000"/>
          <w:sz w:val="20"/>
          <w:szCs w:val="20"/>
        </w:rPr>
        <w:t xml:space="preserve"> context in which the signal is presented.</w:t>
      </w:r>
    </w:p>
    <w:p w14:paraId="49661B0A"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 groups also differed in </w:t>
      </w:r>
      <w:r w:rsidRPr="00C50E31">
        <w:rPr>
          <w:rFonts w:ascii="Arial" w:hAnsi="Arial" w:cs="Arial"/>
          <w:b/>
          <w:bCs/>
          <w:color w:val="000000"/>
          <w:sz w:val="20"/>
          <w:szCs w:val="20"/>
        </w:rPr>
        <w:t xml:space="preserve">S3, which concerns </w:t>
      </w:r>
      <w:r w:rsidRPr="00C50E31">
        <w:rPr>
          <w:rFonts w:ascii="Arial" w:hAnsi="Arial" w:cs="Arial"/>
          <w:b/>
          <w:bCs/>
          <w:color w:val="000000"/>
          <w:sz w:val="20"/>
          <w:szCs w:val="20"/>
          <w:highlight w:val="yellow"/>
        </w:rPr>
        <w:t>rigour</w:t>
      </w:r>
      <w:r w:rsidRPr="00C50E31">
        <w:rPr>
          <w:rFonts w:ascii="Arial" w:hAnsi="Arial" w:cs="Arial"/>
          <w:b/>
          <w:bCs/>
          <w:color w:val="000000"/>
          <w:sz w:val="20"/>
          <w:szCs w:val="20"/>
        </w:rPr>
        <w:t xml:space="preserve"> </w:t>
      </w:r>
      <w:r w:rsidRPr="00C50E31">
        <w:rPr>
          <w:rFonts w:ascii="Arial" w:hAnsi="Arial" w:cs="Arial"/>
          <w:b/>
          <w:bCs/>
          <w:color w:val="000000"/>
          <w:sz w:val="20"/>
          <w:szCs w:val="20"/>
          <w:highlight w:val="yellow"/>
        </w:rPr>
        <w:t>signalling</w:t>
      </w:r>
      <w:r w:rsidRPr="00C50E31">
        <w:rPr>
          <w:rFonts w:ascii="Arial" w:hAnsi="Arial" w:cs="Arial"/>
          <w:color w:val="000000"/>
          <w:sz w:val="20"/>
          <w:szCs w:val="20"/>
        </w:rPr>
        <w:t xml:space="preserve">. University cases ranged from Limited to Strong. Rice University and École Polytechnique communicated relatively strong expectations through intermediate or advanced positioning, prior-experience requirements, substantial learning activities, and multiple assessments. Howard University demonstrated Moderate </w:t>
      </w:r>
      <w:r w:rsidRPr="00C50E31">
        <w:rPr>
          <w:rFonts w:ascii="Arial" w:hAnsi="Arial" w:cs="Arial"/>
          <w:color w:val="000000"/>
          <w:sz w:val="20"/>
          <w:szCs w:val="20"/>
          <w:highlight w:val="yellow"/>
        </w:rPr>
        <w:t>rigour</w:t>
      </w:r>
      <w:r w:rsidRPr="00C50E31">
        <w:rPr>
          <w:rFonts w:ascii="Arial" w:hAnsi="Arial" w:cs="Arial"/>
          <w:color w:val="000000"/>
          <w:sz w:val="20"/>
          <w:szCs w:val="20"/>
        </w:rPr>
        <w:t xml:space="preserve">, while the shorter introductory courses from the University of Michigan and IESE demonstrated Limited </w:t>
      </w:r>
      <w:r w:rsidRPr="00C50E31">
        <w:rPr>
          <w:rFonts w:ascii="Arial" w:hAnsi="Arial" w:cs="Arial"/>
          <w:color w:val="000000"/>
          <w:sz w:val="20"/>
          <w:szCs w:val="20"/>
          <w:highlight w:val="yellow"/>
        </w:rPr>
        <w:t>rigour</w:t>
      </w:r>
      <w:r w:rsidRPr="00C50E31">
        <w:rPr>
          <w:rFonts w:ascii="Arial" w:hAnsi="Arial" w:cs="Arial"/>
          <w:color w:val="000000"/>
          <w:sz w:val="20"/>
          <w:szCs w:val="20"/>
        </w:rPr>
        <w:t>.</w:t>
      </w:r>
    </w:p>
    <w:p w14:paraId="6D283548"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Industry cases were more consistent, with four IBM courses assessed as Strong and the Google Cloud course as Limited. The IBM courses frequently combined prior-experience expectations, multiple modules, assessments, laboratories, hands-on activities, and projects. </w:t>
      </w:r>
      <w:r w:rsidRPr="00C50E31">
        <w:rPr>
          <w:rFonts w:ascii="Arial" w:hAnsi="Arial" w:cs="Arial"/>
          <w:color w:val="000000"/>
          <w:sz w:val="20"/>
          <w:szCs w:val="20"/>
          <w:highlight w:val="yellow"/>
        </w:rPr>
        <w:t>Thus, the difference concerns the visibility of applied course requirements rather than indicating that industry courses are objectively more rigorous.</w:t>
      </w:r>
    </w:p>
    <w:p w14:paraId="3A910584"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This interpretation aligns with recent research on online-course quality. McInnes et al. (2024), in a scoping review of 75 online-course quality evaluation instruments, identified learning design, assessment and evaluation, usability and accessibility, social interaction, and technology as recurring domains of course quality. Similarly, Wang et al. (2024) distinguished course resource construction, course implementation, and teaching effectiveness in their evaluation framework. These studies support the treatment of observable course structure and requirements as multidimensional characteristics, rather than reducing them to a single quality </w:t>
      </w:r>
      <w:r>
        <w:rPr>
          <w:rFonts w:ascii="Arial" w:hAnsi="Arial" w:cs="Arial"/>
          <w:color w:val="000000"/>
          <w:sz w:val="20"/>
          <w:szCs w:val="20"/>
          <w:highlight w:val="yellow"/>
        </w:rPr>
        <w:t>judgement</w:t>
      </w:r>
      <w:r>
        <w:rPr>
          <w:rFonts w:ascii="Arial" w:hAnsi="Arial" w:cs="Arial"/>
          <w:color w:val="000000"/>
          <w:sz w:val="20"/>
          <w:szCs w:val="20"/>
        </w:rPr>
        <w:t xml:space="preserve">. In this study, S3 therefore represents how </w:t>
      </w:r>
      <w:r w:rsidRPr="00C50E31">
        <w:rPr>
          <w:rFonts w:ascii="Arial" w:hAnsi="Arial" w:cs="Arial"/>
          <w:color w:val="000000"/>
          <w:sz w:val="20"/>
          <w:szCs w:val="20"/>
          <w:highlight w:val="yellow"/>
        </w:rPr>
        <w:t>rigour</w:t>
      </w:r>
      <w:r w:rsidRPr="00C50E31">
        <w:rPr>
          <w:rFonts w:ascii="Arial" w:hAnsi="Arial" w:cs="Arial"/>
          <w:color w:val="000000"/>
          <w:sz w:val="20"/>
          <w:szCs w:val="20"/>
        </w:rPr>
        <w:t xml:space="preserve"> or expected effort is communicated, rather than whether a course is objectively more rigorous.</w:t>
      </w:r>
    </w:p>
    <w:p w14:paraId="688D6441"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 Google Cloud case further illustrates why the four signals should not be treated as a single continuum. Its </w:t>
      </w:r>
      <w:r w:rsidRPr="00C50E31">
        <w:rPr>
          <w:rFonts w:ascii="Arial" w:hAnsi="Arial" w:cs="Arial"/>
          <w:i/>
          <w:iCs/>
          <w:color w:val="000000"/>
          <w:sz w:val="20"/>
          <w:szCs w:val="20"/>
        </w:rPr>
        <w:t>Introduction to Large Language Models</w:t>
      </w:r>
      <w:r w:rsidRPr="00C50E31">
        <w:rPr>
          <w:rFonts w:ascii="Arial" w:hAnsi="Arial" w:cs="Arial"/>
          <w:color w:val="000000"/>
          <w:sz w:val="20"/>
          <w:szCs w:val="20"/>
        </w:rPr>
        <w:t xml:space="preserve"> course was a beginner-level, one-hour course requiring no prior experience, with one module and a limited assessment structure. As a result, it received a Limited S3 assessment but a Strong S4 rating. This case demonstrates that strong competence and credential </w:t>
      </w:r>
      <w:r w:rsidRPr="00C50E31">
        <w:rPr>
          <w:rFonts w:ascii="Arial" w:hAnsi="Arial" w:cs="Arial"/>
          <w:color w:val="000000"/>
          <w:sz w:val="20"/>
          <w:szCs w:val="20"/>
          <w:highlight w:val="yellow"/>
        </w:rPr>
        <w:t>signalling</w:t>
      </w:r>
      <w:r w:rsidRPr="00C50E31">
        <w:rPr>
          <w:rFonts w:ascii="Arial" w:hAnsi="Arial" w:cs="Arial"/>
          <w:color w:val="000000"/>
          <w:sz w:val="20"/>
          <w:szCs w:val="20"/>
        </w:rPr>
        <w:t xml:space="preserve"> can coexist with limited </w:t>
      </w:r>
      <w:r w:rsidRPr="00C50E31">
        <w:rPr>
          <w:rFonts w:ascii="Arial" w:hAnsi="Arial" w:cs="Arial"/>
          <w:color w:val="000000"/>
          <w:sz w:val="20"/>
          <w:szCs w:val="20"/>
          <w:highlight w:val="yellow"/>
        </w:rPr>
        <w:t>rigour</w:t>
      </w:r>
      <w:r w:rsidRPr="00C50E31">
        <w:rPr>
          <w:rFonts w:ascii="Arial" w:hAnsi="Arial" w:cs="Arial"/>
          <w:color w:val="000000"/>
          <w:sz w:val="20"/>
          <w:szCs w:val="20"/>
        </w:rPr>
        <w:t xml:space="preserve"> </w:t>
      </w:r>
      <w:r w:rsidRPr="00C50E31">
        <w:rPr>
          <w:rFonts w:ascii="Arial" w:hAnsi="Arial" w:cs="Arial"/>
          <w:color w:val="000000"/>
          <w:sz w:val="20"/>
          <w:szCs w:val="20"/>
          <w:highlight w:val="yellow"/>
        </w:rPr>
        <w:t>signalling</w:t>
      </w:r>
      <w:r w:rsidRPr="00C50E31">
        <w:rPr>
          <w:rFonts w:ascii="Arial" w:hAnsi="Arial" w:cs="Arial"/>
          <w:color w:val="000000"/>
          <w:sz w:val="20"/>
          <w:szCs w:val="20"/>
        </w:rPr>
        <w:t>. Therefore, the industry pattern should not be interpreted as a uniform preference for lengthy or demanding courses.</w:t>
      </w:r>
    </w:p>
    <w:p w14:paraId="134C0083"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In summary, the comparison reveals two distinct </w:t>
      </w:r>
      <w:r w:rsidRPr="00C50E31">
        <w:rPr>
          <w:rFonts w:ascii="Arial" w:hAnsi="Arial" w:cs="Arial"/>
          <w:color w:val="000000"/>
          <w:sz w:val="20"/>
          <w:szCs w:val="20"/>
          <w:highlight w:val="yellow"/>
        </w:rPr>
        <w:t>signalling</w:t>
      </w:r>
      <w:r w:rsidRPr="00C50E31">
        <w:rPr>
          <w:rFonts w:ascii="Arial" w:hAnsi="Arial" w:cs="Arial"/>
          <w:color w:val="000000"/>
          <w:sz w:val="20"/>
          <w:szCs w:val="20"/>
        </w:rPr>
        <w:t xml:space="preserve"> configurations. University-provided MOOCs tend to locate credibility in the academic institution and in identifiable academic or professional experts, framing competence primarily in terms of disciplinary or educational knowledge. In contrast, industry-provided MOOCs tend to locate credibility in the provider </w:t>
      </w:r>
      <w:r w:rsidRPr="00C50E31">
        <w:rPr>
          <w:rFonts w:ascii="Arial" w:hAnsi="Arial" w:cs="Arial"/>
          <w:color w:val="000000"/>
          <w:sz w:val="20"/>
          <w:szCs w:val="20"/>
          <w:highlight w:val="yellow"/>
        </w:rPr>
        <w:t>organisation</w:t>
      </w:r>
      <w:r w:rsidRPr="00C50E31">
        <w:rPr>
          <w:rFonts w:ascii="Arial" w:hAnsi="Arial" w:cs="Arial"/>
          <w:color w:val="000000"/>
          <w:sz w:val="20"/>
          <w:szCs w:val="20"/>
        </w:rPr>
        <w:t xml:space="preserve"> itself and more frequently frame competence in terms of applied technical skills and professional practice. Both groups strongly communicate credentials and competence, but the carrier and framing of these signals differ according to provider type.</w:t>
      </w:r>
    </w:p>
    <w:p w14:paraId="65BC4E78" w14:textId="77777777" w:rsidR="00C50E31" w:rsidRDefault="00C50E31" w:rsidP="00C50E31">
      <w:pPr>
        <w:pStyle w:val="NormalWeb"/>
        <w:spacing w:before="0" w:beforeAutospacing="0" w:after="0" w:afterAutospacing="0"/>
        <w:rPr>
          <w:rFonts w:ascii="Arial" w:hAnsi="Arial" w:cs="Arial"/>
          <w:color w:val="000000"/>
          <w:sz w:val="20"/>
          <w:szCs w:val="20"/>
        </w:rPr>
      </w:pPr>
      <w:r w:rsidRPr="00C50E31">
        <w:rPr>
          <w:rFonts w:ascii="Arial" w:hAnsi="Arial" w:cs="Arial"/>
          <w:color w:val="000000"/>
          <w:sz w:val="20"/>
          <w:szCs w:val="20"/>
        </w:rPr>
        <w:t xml:space="preserve">The comparison also demonstrates why it would be inappropriate to conclude that universities signal prestige while industry providers signal employability. Such a conclusion would overlook the strong S4 findings for both groups, the substantial S2 </w:t>
      </w:r>
      <w:r w:rsidRPr="00C50E31">
        <w:rPr>
          <w:rFonts w:ascii="Arial" w:hAnsi="Arial" w:cs="Arial"/>
          <w:color w:val="000000"/>
          <w:sz w:val="20"/>
          <w:szCs w:val="20"/>
          <w:highlight w:val="yellow"/>
        </w:rPr>
        <w:t>signalling</w:t>
      </w:r>
      <w:r w:rsidRPr="00C50E31">
        <w:rPr>
          <w:rFonts w:ascii="Arial" w:hAnsi="Arial" w:cs="Arial"/>
          <w:color w:val="000000"/>
          <w:sz w:val="20"/>
          <w:szCs w:val="20"/>
        </w:rPr>
        <w:t xml:space="preserve"> in university cases, and the variation in S3 among industry cases. A more defensible conclusion is that both provider types communicate value through overlapping signals, but draw on different sources of authority and contexts for framing competence.</w:t>
      </w:r>
    </w:p>
    <w:p w14:paraId="041B4A3B" w14:textId="77777777" w:rsidR="00013DDC" w:rsidRPr="00013DDC" w:rsidRDefault="00013DDC" w:rsidP="00C50E31">
      <w:pPr>
        <w:pStyle w:val="NormalWeb"/>
        <w:spacing w:before="0" w:beforeAutospacing="0" w:after="0" w:afterAutospacing="0"/>
        <w:rPr>
          <w:rFonts w:ascii="Arial" w:hAnsi="Arial" w:cs="Arial"/>
          <w:sz w:val="20"/>
          <w:szCs w:val="20"/>
        </w:rPr>
      </w:pPr>
      <w:r w:rsidRPr="00013DDC">
        <w:rPr>
          <w:rFonts w:ascii="Arial" w:hAnsi="Arial" w:cs="Arial"/>
          <w:sz w:val="20"/>
          <w:szCs w:val="20"/>
        </w:rPr>
        <w:t xml:space="preserve">These findings address </w:t>
      </w:r>
      <w:r w:rsidRPr="00A6479D">
        <w:rPr>
          <w:rFonts w:ascii="Arial" w:hAnsi="Arial" w:cs="Arial"/>
          <w:b/>
          <w:bCs/>
          <w:sz w:val="20"/>
          <w:szCs w:val="20"/>
        </w:rPr>
        <w:t>RQ3</w:t>
      </w:r>
      <w:r w:rsidRPr="00013DDC">
        <w:rPr>
          <w:rFonts w:ascii="Arial" w:hAnsi="Arial" w:cs="Arial"/>
          <w:sz w:val="20"/>
          <w:szCs w:val="20"/>
        </w:rPr>
        <w:t xml:space="preserve"> by demonstrating that university- and industry-provided MOOCs communicate overlapping forms of credibility, expertise, </w:t>
      </w:r>
      <w:r w:rsidRPr="00013DDC">
        <w:rPr>
          <w:rFonts w:ascii="Arial" w:hAnsi="Arial" w:cs="Arial"/>
          <w:sz w:val="20"/>
          <w:szCs w:val="20"/>
          <w:highlight w:val="yellow"/>
        </w:rPr>
        <w:t>rigour</w:t>
      </w:r>
      <w:r w:rsidRPr="00013DDC">
        <w:rPr>
          <w:rFonts w:ascii="Arial" w:hAnsi="Arial" w:cs="Arial"/>
          <w:sz w:val="20"/>
          <w:szCs w:val="20"/>
        </w:rPr>
        <w:t xml:space="preserve">, credentials, and competence, but differ in the primary carriers and framing of these signals. University providers more frequently make individual academic or professional expertise and disciplinary competence visible, whereas industry providers more often highlight </w:t>
      </w:r>
      <w:r w:rsidRPr="00013DDC">
        <w:rPr>
          <w:rFonts w:ascii="Arial" w:hAnsi="Arial" w:cs="Arial"/>
          <w:sz w:val="20"/>
          <w:szCs w:val="20"/>
          <w:highlight w:val="yellow"/>
        </w:rPr>
        <w:t>organisational</w:t>
      </w:r>
      <w:r w:rsidRPr="00013DDC">
        <w:rPr>
          <w:rFonts w:ascii="Arial" w:hAnsi="Arial" w:cs="Arial"/>
          <w:sz w:val="20"/>
          <w:szCs w:val="20"/>
        </w:rPr>
        <w:t xml:space="preserve"> authority, applied competence, and technical practice. The central </w:t>
      </w:r>
      <w:r w:rsidRPr="00013DDC">
        <w:rPr>
          <w:rFonts w:ascii="Arial" w:hAnsi="Arial" w:cs="Arial"/>
          <w:sz w:val="20"/>
          <w:szCs w:val="20"/>
        </w:rPr>
        <w:lastRenderedPageBreak/>
        <w:t xml:space="preserve">comparative finding is therefore not that one provider type signals quality more effectively than the other, but that different </w:t>
      </w:r>
      <w:r w:rsidRPr="00013DDC">
        <w:rPr>
          <w:rFonts w:ascii="Arial" w:hAnsi="Arial" w:cs="Arial"/>
          <w:sz w:val="20"/>
          <w:szCs w:val="20"/>
          <w:highlight w:val="yellow"/>
        </w:rPr>
        <w:t>organisational</w:t>
      </w:r>
      <w:r w:rsidRPr="00013DDC">
        <w:rPr>
          <w:rFonts w:ascii="Arial" w:hAnsi="Arial" w:cs="Arial"/>
          <w:sz w:val="20"/>
          <w:szCs w:val="20"/>
        </w:rPr>
        <w:t xml:space="preserve"> identities are associated with distinct observable configurations of </w:t>
      </w:r>
      <w:r w:rsidRPr="00013DDC">
        <w:rPr>
          <w:rFonts w:ascii="Arial" w:hAnsi="Arial" w:cs="Arial"/>
          <w:sz w:val="20"/>
          <w:szCs w:val="20"/>
          <w:highlight w:val="yellow"/>
        </w:rPr>
        <w:t>signalling</w:t>
      </w:r>
      <w:r w:rsidRPr="00013DDC">
        <w:rPr>
          <w:rFonts w:ascii="Arial" w:hAnsi="Arial" w:cs="Arial"/>
          <w:sz w:val="20"/>
          <w:szCs w:val="20"/>
        </w:rPr>
        <w:t xml:space="preserve"> within the same online learning environment. Because the study examines only highly enrolled cases and does not include learner-level evidence or a low-</w:t>
      </w:r>
      <w:r w:rsidRPr="00013DDC">
        <w:rPr>
          <w:rFonts w:ascii="Arial" w:hAnsi="Arial" w:cs="Arial"/>
          <w:sz w:val="20"/>
          <w:szCs w:val="20"/>
          <w:highlight w:val="yellow"/>
        </w:rPr>
        <w:t>enrolment</w:t>
      </w:r>
      <w:r w:rsidRPr="00013DDC">
        <w:rPr>
          <w:rFonts w:ascii="Arial" w:hAnsi="Arial" w:cs="Arial"/>
          <w:sz w:val="20"/>
          <w:szCs w:val="20"/>
        </w:rPr>
        <w:t xml:space="preserve"> comparison group, these patterns should be interpreted as comparative </w:t>
      </w:r>
      <w:r w:rsidRPr="00013DDC">
        <w:rPr>
          <w:rFonts w:ascii="Arial" w:hAnsi="Arial" w:cs="Arial"/>
          <w:sz w:val="20"/>
          <w:szCs w:val="20"/>
          <w:highlight w:val="yellow"/>
        </w:rPr>
        <w:t>signalling</w:t>
      </w:r>
      <w:r w:rsidRPr="00013DDC">
        <w:rPr>
          <w:rFonts w:ascii="Arial" w:hAnsi="Arial" w:cs="Arial"/>
          <w:sz w:val="20"/>
          <w:szCs w:val="20"/>
        </w:rPr>
        <w:t xml:space="preserve"> configurations rather than causal explanations of </w:t>
      </w:r>
      <w:r w:rsidRPr="00013DDC">
        <w:rPr>
          <w:rFonts w:ascii="Arial" w:hAnsi="Arial" w:cs="Arial"/>
          <w:sz w:val="20"/>
          <w:szCs w:val="20"/>
          <w:highlight w:val="yellow"/>
        </w:rPr>
        <w:t>enrolment</w:t>
      </w:r>
      <w:r w:rsidRPr="00013DDC">
        <w:rPr>
          <w:rFonts w:ascii="Arial" w:hAnsi="Arial" w:cs="Arial"/>
          <w:sz w:val="20"/>
          <w:szCs w:val="20"/>
        </w:rPr>
        <w:t>.</w:t>
      </w:r>
    </w:p>
    <w:p w14:paraId="25FB7DD8" w14:textId="77777777" w:rsidR="00964D0D" w:rsidRPr="00964D0D" w:rsidRDefault="00964D0D" w:rsidP="00964D0D"/>
    <w:p w14:paraId="3C179B17" w14:textId="77777777" w:rsidR="00964D0D" w:rsidRPr="00C50E31" w:rsidRDefault="00964D0D" w:rsidP="00964D0D">
      <w:pPr>
        <w:outlineLvl w:val="0"/>
        <w:rPr>
          <w:b/>
          <w:bCs/>
          <w:kern w:val="36"/>
          <w:sz w:val="22"/>
          <w:szCs w:val="22"/>
        </w:rPr>
      </w:pPr>
      <w:r w:rsidRPr="00C50E31">
        <w:rPr>
          <w:rFonts w:ascii="Arial" w:hAnsi="Arial" w:cs="Arial"/>
          <w:b/>
          <w:bCs/>
          <w:color w:val="000000"/>
          <w:kern w:val="36"/>
          <w:sz w:val="22"/>
          <w:szCs w:val="22"/>
        </w:rPr>
        <w:t xml:space="preserve">3.4 </w:t>
      </w:r>
      <w:r w:rsidR="00C50E31" w:rsidRPr="00C50E31">
        <w:rPr>
          <w:rFonts w:ascii="Arial" w:hAnsi="Arial" w:cs="Arial"/>
          <w:b/>
          <w:bCs/>
          <w:color w:val="000000"/>
          <w:sz w:val="22"/>
          <w:szCs w:val="22"/>
        </w:rPr>
        <w:t>Emergent Patterns Across Course Domains</w:t>
      </w:r>
    </w:p>
    <w:p w14:paraId="70A5901A" w14:textId="77777777" w:rsidR="00964D0D" w:rsidRPr="00964D0D" w:rsidRDefault="00964D0D" w:rsidP="00964D0D"/>
    <w:p w14:paraId="1A9631FB" w14:textId="77777777" w:rsidR="00C50E31" w:rsidRPr="00C50E31" w:rsidRDefault="00C50E31" w:rsidP="00C50E31">
      <w:pPr>
        <w:pStyle w:val="NormalWeb"/>
        <w:spacing w:before="0" w:beforeAutospacing="0" w:after="0" w:afterAutospacing="0"/>
      </w:pPr>
      <w:r w:rsidRPr="00C50E31">
        <w:rPr>
          <w:rFonts w:ascii="Arial" w:hAnsi="Arial" w:cs="Arial"/>
          <w:color w:val="000000"/>
          <w:sz w:val="20"/>
          <w:szCs w:val="20"/>
        </w:rPr>
        <w:t xml:space="preserve">Course domain was not used as a sampling or coding criterion; however, several domain-related patterns emerged across the 10 cases. These observations are descriptive rather than causal, given the small and unevenly distributed sample across fields. Industry cases were concentrated in cybersecurity, information technology, and artificial intelligence, while university cases represented a more heterogeneous set of fields, including project management, immunology, generative AI, storytelling, and language and culture. Thus, domain should be understood as a contextual feature of the </w:t>
      </w:r>
      <w:r w:rsidRPr="00C50E31">
        <w:rPr>
          <w:rFonts w:ascii="Arial" w:hAnsi="Arial" w:cs="Arial"/>
          <w:color w:val="000000"/>
          <w:sz w:val="20"/>
          <w:szCs w:val="20"/>
          <w:highlight w:val="yellow"/>
        </w:rPr>
        <w:t>signalling</w:t>
      </w:r>
      <w:r w:rsidRPr="00C50E31">
        <w:rPr>
          <w:rFonts w:ascii="Arial" w:hAnsi="Arial" w:cs="Arial"/>
          <w:color w:val="000000"/>
          <w:sz w:val="20"/>
          <w:szCs w:val="20"/>
        </w:rPr>
        <w:t xml:space="preserve"> environment rather than as an independent explanation for </w:t>
      </w:r>
      <w:r w:rsidRPr="00C50E31">
        <w:rPr>
          <w:rFonts w:ascii="Arial" w:hAnsi="Arial" w:cs="Arial"/>
          <w:color w:val="000000"/>
          <w:sz w:val="20"/>
          <w:szCs w:val="20"/>
          <w:highlight w:val="yellow"/>
        </w:rPr>
        <w:t>enrolment</w:t>
      </w:r>
      <w:r w:rsidRPr="00C50E31">
        <w:rPr>
          <w:rFonts w:ascii="Arial" w:hAnsi="Arial" w:cs="Arial"/>
          <w:color w:val="000000"/>
          <w:sz w:val="20"/>
          <w:szCs w:val="20"/>
        </w:rPr>
        <w:t xml:space="preserve"> or </w:t>
      </w:r>
      <w:r w:rsidRPr="00C50E31">
        <w:rPr>
          <w:rFonts w:ascii="Arial" w:hAnsi="Arial" w:cs="Arial"/>
          <w:color w:val="000000"/>
          <w:sz w:val="20"/>
          <w:szCs w:val="20"/>
          <w:highlight w:val="yellow"/>
        </w:rPr>
        <w:t>signalling</w:t>
      </w:r>
      <w:r w:rsidRPr="00C50E31">
        <w:rPr>
          <w:rFonts w:ascii="Arial" w:hAnsi="Arial" w:cs="Arial"/>
          <w:color w:val="000000"/>
          <w:sz w:val="20"/>
          <w:szCs w:val="20"/>
        </w:rPr>
        <w:t xml:space="preserve"> differences.</w:t>
      </w:r>
    </w:p>
    <w:p w14:paraId="0F081977" w14:textId="77777777" w:rsidR="00C50E31" w:rsidRPr="00C50E31" w:rsidRDefault="00C50E31" w:rsidP="00C50E31">
      <w:pPr>
        <w:pStyle w:val="NormalWeb"/>
        <w:spacing w:before="0" w:beforeAutospacing="0" w:after="0" w:afterAutospacing="0"/>
      </w:pPr>
      <w:r w:rsidRPr="00C50E31">
        <w:rPr>
          <w:rFonts w:ascii="Arial" w:hAnsi="Arial" w:cs="Arial"/>
          <w:color w:val="000000"/>
          <w:sz w:val="20"/>
          <w:szCs w:val="20"/>
        </w:rPr>
        <w:t xml:space="preserve">The most prominent pattern was that the form of competence </w:t>
      </w:r>
      <w:r w:rsidRPr="00C50E31">
        <w:rPr>
          <w:rFonts w:ascii="Arial" w:hAnsi="Arial" w:cs="Arial"/>
          <w:color w:val="000000"/>
          <w:sz w:val="20"/>
          <w:szCs w:val="20"/>
          <w:highlight w:val="yellow"/>
        </w:rPr>
        <w:t>signalling</w:t>
      </w:r>
      <w:r w:rsidRPr="00C50E31">
        <w:rPr>
          <w:rFonts w:ascii="Arial" w:hAnsi="Arial" w:cs="Arial"/>
          <w:color w:val="000000"/>
          <w:sz w:val="20"/>
          <w:szCs w:val="20"/>
        </w:rPr>
        <w:t xml:space="preserve"> varied according to subject matter. The IBM cybersecurity and information technology courses </w:t>
      </w:r>
      <w:r w:rsidRPr="00C50E31">
        <w:rPr>
          <w:rFonts w:ascii="Arial" w:hAnsi="Arial" w:cs="Arial"/>
          <w:color w:val="000000"/>
          <w:sz w:val="20"/>
          <w:szCs w:val="20"/>
          <w:highlight w:val="yellow"/>
        </w:rPr>
        <w:t>emphasised</w:t>
      </w:r>
      <w:r w:rsidRPr="00C50E31">
        <w:rPr>
          <w:rFonts w:ascii="Arial" w:hAnsi="Arial" w:cs="Arial"/>
          <w:color w:val="000000"/>
          <w:sz w:val="20"/>
          <w:szCs w:val="20"/>
        </w:rPr>
        <w:t xml:space="preserve"> technical skills, standards, tools, procedures, and applied activities, thereby making professional competence particularly visible. In contrast, the Rice University immunology course </w:t>
      </w:r>
      <w:r w:rsidRPr="00C50E31">
        <w:rPr>
          <w:rFonts w:ascii="Arial" w:hAnsi="Arial" w:cs="Arial"/>
          <w:color w:val="000000"/>
          <w:sz w:val="20"/>
          <w:szCs w:val="20"/>
          <w:highlight w:val="yellow"/>
        </w:rPr>
        <w:t>emphasised</w:t>
      </w:r>
      <w:r w:rsidRPr="00C50E31">
        <w:rPr>
          <w:rFonts w:ascii="Arial" w:hAnsi="Arial" w:cs="Arial"/>
          <w:color w:val="000000"/>
          <w:sz w:val="20"/>
          <w:szCs w:val="20"/>
        </w:rPr>
        <w:t xml:space="preserve"> specialized disciplinary knowledge, while the École Polytechnique course highlighted language and cultural competence. The IESE course focused on communication and storytelling capabilities. This variation aligns with research indicating that online course design decisions differ across disciplinary contexts (Richardson et al., 2025). Similarly, </w:t>
      </w:r>
      <w:r w:rsidRPr="00C50E31">
        <w:rPr>
          <w:rFonts w:ascii="Arial" w:hAnsi="Arial" w:cs="Arial"/>
          <w:color w:val="000000"/>
          <w:sz w:val="20"/>
          <w:szCs w:val="20"/>
          <w:highlight w:val="yellow"/>
        </w:rPr>
        <w:t>Chen, Dums, et al. (2024)</w:t>
      </w:r>
      <w:r w:rsidRPr="00C50E31">
        <w:rPr>
          <w:rFonts w:ascii="Arial" w:hAnsi="Arial" w:cs="Arial"/>
          <w:color w:val="000000"/>
          <w:sz w:val="20"/>
          <w:szCs w:val="20"/>
        </w:rPr>
        <w:t xml:space="preserve"> demonstrated that the perceived value of activities in an online biotechnology professional development course was closely linked to field-specific career preparation and practical activities. Therefore, the type of competence that can be visibly communicated may depend in part on the nature of the subject matter.</w:t>
      </w:r>
    </w:p>
    <w:p w14:paraId="44C5B54F" w14:textId="77777777" w:rsidR="00C50E31" w:rsidRPr="00C50E31" w:rsidRDefault="00C50E31" w:rsidP="00C50E31">
      <w:pPr>
        <w:pStyle w:val="NormalWeb"/>
        <w:spacing w:before="0" w:beforeAutospacing="0" w:after="0" w:afterAutospacing="0"/>
      </w:pPr>
      <w:r w:rsidRPr="00C50E31">
        <w:rPr>
          <w:rFonts w:ascii="Arial" w:hAnsi="Arial" w:cs="Arial"/>
          <w:color w:val="000000"/>
          <w:sz w:val="20"/>
          <w:szCs w:val="20"/>
        </w:rPr>
        <w:t xml:space="preserve">The professional orientation of certain domains also appeared to strengthen credential and competence </w:t>
      </w:r>
      <w:r w:rsidRPr="00C50E31">
        <w:rPr>
          <w:rFonts w:ascii="Arial" w:hAnsi="Arial" w:cs="Arial"/>
          <w:color w:val="000000"/>
          <w:sz w:val="20"/>
          <w:szCs w:val="20"/>
          <w:highlight w:val="yellow"/>
        </w:rPr>
        <w:t>signalling</w:t>
      </w:r>
      <w:r w:rsidRPr="00C50E31">
        <w:rPr>
          <w:rFonts w:ascii="Arial" w:hAnsi="Arial" w:cs="Arial"/>
          <w:color w:val="000000"/>
          <w:sz w:val="20"/>
          <w:szCs w:val="20"/>
        </w:rPr>
        <w:t xml:space="preserve">. Industry-oriented cases frequently presented skills and certificates in ways that linked course completion with specific technical or workplace capabilities. This observation aligns with research indicating that human-resource professionals increasingly consider micro-credentials in relation to qualifications, recruitment, continuing education, and workplace development (Alasmari, 2024). Research on e-learning micro-credentials further suggests that perceived credential value is influenced by the credential source and by characteristics such as academic </w:t>
      </w:r>
      <w:r w:rsidRPr="00C50E31">
        <w:rPr>
          <w:rFonts w:ascii="Arial" w:hAnsi="Arial" w:cs="Arial"/>
          <w:color w:val="000000"/>
          <w:sz w:val="20"/>
          <w:szCs w:val="20"/>
          <w:highlight w:val="yellow"/>
        </w:rPr>
        <w:t>rigour</w:t>
      </w:r>
      <w:r w:rsidRPr="00C50E31">
        <w:rPr>
          <w:rFonts w:ascii="Arial" w:hAnsi="Arial" w:cs="Arial"/>
          <w:color w:val="000000"/>
          <w:sz w:val="20"/>
          <w:szCs w:val="20"/>
        </w:rPr>
        <w:t xml:space="preserve"> and the nature of the credential itself (Narayanaswamy et al., 2024). These findings contextualize why S4 was strongly communicated across the industry cases, although the present study does not assess employers’ or learners’ perceptions of those credentials.</w:t>
      </w:r>
    </w:p>
    <w:p w14:paraId="6FC971AF" w14:textId="77777777" w:rsidR="00C50E31" w:rsidRPr="00C50E31" w:rsidRDefault="00C50E31" w:rsidP="00C50E31">
      <w:pPr>
        <w:pStyle w:val="NormalWeb"/>
        <w:spacing w:before="0" w:beforeAutospacing="0" w:after="0" w:afterAutospacing="0"/>
      </w:pPr>
      <w:r w:rsidRPr="00C50E31">
        <w:rPr>
          <w:rFonts w:ascii="Arial" w:hAnsi="Arial" w:cs="Arial"/>
          <w:color w:val="000000"/>
          <w:sz w:val="20"/>
          <w:szCs w:val="20"/>
        </w:rPr>
        <w:t xml:space="preserve">The comparison further demonstrated that similar domains may exhibit different </w:t>
      </w:r>
      <w:r w:rsidRPr="00C50E31">
        <w:rPr>
          <w:rFonts w:ascii="Arial" w:hAnsi="Arial" w:cs="Arial"/>
          <w:color w:val="000000"/>
          <w:sz w:val="20"/>
          <w:szCs w:val="20"/>
          <w:highlight w:val="yellow"/>
        </w:rPr>
        <w:t>signalling</w:t>
      </w:r>
      <w:r w:rsidRPr="00C50E31">
        <w:rPr>
          <w:rFonts w:ascii="Arial" w:hAnsi="Arial" w:cs="Arial"/>
          <w:color w:val="000000"/>
          <w:sz w:val="20"/>
          <w:szCs w:val="20"/>
        </w:rPr>
        <w:t xml:space="preserve"> configurations depending on provider context. Generative AI was represented by both the University of Michigan and Google Cloud; however, the university course </w:t>
      </w:r>
      <w:r w:rsidRPr="00C50E31">
        <w:rPr>
          <w:rFonts w:ascii="Arial" w:hAnsi="Arial" w:cs="Arial"/>
          <w:color w:val="000000"/>
          <w:sz w:val="20"/>
          <w:szCs w:val="20"/>
          <w:highlight w:val="yellow"/>
        </w:rPr>
        <w:t>emphasised</w:t>
      </w:r>
      <w:r w:rsidRPr="00C50E31">
        <w:rPr>
          <w:rFonts w:ascii="Arial" w:hAnsi="Arial" w:cs="Arial"/>
          <w:color w:val="000000"/>
          <w:sz w:val="20"/>
          <w:szCs w:val="20"/>
        </w:rPr>
        <w:t xml:space="preserve"> AI literacy, responsible use, ethics, intellectual property, regulation, and broader applications, while the Google Cloud course focused on large language models, practical use cases, prompt tuning, and generative AI development. Thus, the same broad domain did not produce an identical </w:t>
      </w:r>
      <w:r w:rsidRPr="00C50E31">
        <w:rPr>
          <w:rFonts w:ascii="Arial" w:hAnsi="Arial" w:cs="Arial"/>
          <w:color w:val="000000"/>
          <w:sz w:val="20"/>
          <w:szCs w:val="20"/>
          <w:highlight w:val="yellow"/>
        </w:rPr>
        <w:t>signalling</w:t>
      </w:r>
      <w:r w:rsidRPr="00C50E31">
        <w:rPr>
          <w:rFonts w:ascii="Arial" w:hAnsi="Arial" w:cs="Arial"/>
          <w:color w:val="000000"/>
          <w:sz w:val="20"/>
          <w:szCs w:val="20"/>
        </w:rPr>
        <w:t xml:space="preserve"> package. Instead, subject matter and provider context appeared to interact in determining which aspects of competence, expertise, and practical value were made visible. Research on online course design also suggests that disciplinary practices influence how course elements are designed and communicated (Richardson et al., 2025).</w:t>
      </w:r>
    </w:p>
    <w:p w14:paraId="1E1B4C8C" w14:textId="77777777" w:rsidR="00C50E31" w:rsidRPr="00C50E31" w:rsidRDefault="00C50E31" w:rsidP="00C50E31">
      <w:pPr>
        <w:pStyle w:val="NormalWeb"/>
        <w:spacing w:before="0" w:beforeAutospacing="0" w:after="0" w:afterAutospacing="0"/>
      </w:pPr>
      <w:r w:rsidRPr="00C50E31">
        <w:rPr>
          <w:rFonts w:ascii="Arial" w:hAnsi="Arial" w:cs="Arial"/>
          <w:color w:val="000000"/>
          <w:sz w:val="20"/>
          <w:szCs w:val="20"/>
        </w:rPr>
        <w:t xml:space="preserve">In summary, the domain-level observations reinforce the broader finding that </w:t>
      </w:r>
      <w:r w:rsidRPr="00C50E31">
        <w:rPr>
          <w:rFonts w:ascii="Arial" w:hAnsi="Arial" w:cs="Arial"/>
          <w:color w:val="000000"/>
          <w:sz w:val="20"/>
          <w:szCs w:val="20"/>
          <w:highlight w:val="yellow"/>
        </w:rPr>
        <w:t>signalling</w:t>
      </w:r>
      <w:r w:rsidRPr="00C50E31">
        <w:rPr>
          <w:rFonts w:ascii="Arial" w:hAnsi="Arial" w:cs="Arial"/>
          <w:color w:val="000000"/>
          <w:sz w:val="20"/>
          <w:szCs w:val="20"/>
        </w:rPr>
        <w:t xml:space="preserve"> is context-dependent. Subject matter influences which types of competence and practical value </w:t>
      </w:r>
      <w:r w:rsidRPr="00C50E31">
        <w:rPr>
          <w:rFonts w:ascii="Arial" w:hAnsi="Arial" w:cs="Arial"/>
          <w:color w:val="000000"/>
          <w:sz w:val="20"/>
          <w:szCs w:val="20"/>
        </w:rPr>
        <w:lastRenderedPageBreak/>
        <w:t xml:space="preserve">can be made visible, while provider type shapes how those qualities are framed and who conveys the credibility signal. However, because domains were neither sampled nor balanced systematically, these observations should not be interpreted as evidence that particular fields inherently produce stronger signals or higher </w:t>
      </w:r>
      <w:r w:rsidRPr="00C50E31">
        <w:rPr>
          <w:rFonts w:ascii="Arial" w:hAnsi="Arial" w:cs="Arial"/>
          <w:color w:val="000000"/>
          <w:sz w:val="20"/>
          <w:szCs w:val="20"/>
          <w:highlight w:val="yellow"/>
        </w:rPr>
        <w:t>enrolment</w:t>
      </w:r>
      <w:r w:rsidRPr="00C50E31">
        <w:rPr>
          <w:rFonts w:ascii="Arial" w:hAnsi="Arial" w:cs="Arial"/>
          <w:color w:val="000000"/>
          <w:sz w:val="20"/>
          <w:szCs w:val="20"/>
        </w:rPr>
        <w:t>. Rather, they identify contextual patterns that may be examined more systematically in future comparative research.</w:t>
      </w:r>
    </w:p>
    <w:p w14:paraId="18546802" w14:textId="77777777" w:rsidR="00964D0D" w:rsidRDefault="00964D0D" w:rsidP="00964D0D"/>
    <w:p w14:paraId="7926E3B3" w14:textId="77777777" w:rsidR="008A5658" w:rsidRDefault="008A5658" w:rsidP="008A5658">
      <w:pPr>
        <w:pStyle w:val="Heading1"/>
        <w:spacing w:before="0" w:after="0"/>
        <w:rPr>
          <w:sz w:val="48"/>
          <w:szCs w:val="48"/>
        </w:rPr>
      </w:pPr>
      <w:r>
        <w:rPr>
          <w:rFonts w:cs="Arial"/>
          <w:color w:val="000000"/>
          <w:sz w:val="20"/>
          <w:szCs w:val="20"/>
        </w:rPr>
        <w:t>4. CONCLUSION</w:t>
      </w:r>
      <w:r w:rsidR="003B4D94">
        <w:rPr>
          <w:rFonts w:cs="Arial"/>
          <w:color w:val="000000"/>
          <w:sz w:val="20"/>
          <w:szCs w:val="20"/>
        </w:rPr>
        <w:t xml:space="preserve"> AND IMPLICATIONS</w:t>
      </w:r>
    </w:p>
    <w:p w14:paraId="63FA3519" w14:textId="77777777" w:rsidR="008A5658" w:rsidRDefault="008A5658" w:rsidP="008A5658"/>
    <w:p w14:paraId="10D3EFA7" w14:textId="77777777" w:rsidR="003B4D94" w:rsidRPr="002F11E0" w:rsidRDefault="003B4D94" w:rsidP="002F11E0">
      <w:pPr>
        <w:pStyle w:val="Heading3"/>
        <w:spacing w:before="0"/>
        <w:rPr>
          <w:rFonts w:ascii="Arial" w:hAnsi="Arial" w:cs="Arial"/>
          <w:b/>
          <w:bCs/>
          <w:sz w:val="22"/>
          <w:szCs w:val="22"/>
        </w:rPr>
      </w:pPr>
      <w:r w:rsidRPr="002F11E0">
        <w:rPr>
          <w:rFonts w:ascii="Arial" w:hAnsi="Arial" w:cs="Arial"/>
          <w:b/>
          <w:bCs/>
          <w:color w:val="000000"/>
          <w:sz w:val="22"/>
          <w:szCs w:val="22"/>
        </w:rPr>
        <w:t>4.1 Conclusion</w:t>
      </w:r>
    </w:p>
    <w:p w14:paraId="2D9D9EE7" w14:textId="77777777" w:rsidR="003B4D94" w:rsidRPr="002F11E0" w:rsidRDefault="003B4D94" w:rsidP="002F11E0">
      <w:pPr>
        <w:rPr>
          <w:rFonts w:ascii="Arial" w:hAnsi="Arial" w:cs="Arial"/>
          <w:sz w:val="20"/>
          <w:szCs w:val="20"/>
        </w:rPr>
      </w:pPr>
    </w:p>
    <w:p w14:paraId="12E5D777" w14:textId="77777777" w:rsidR="002F11E0" w:rsidRPr="002F11E0" w:rsidRDefault="00D83B1A" w:rsidP="002F11E0">
      <w:pPr>
        <w:pStyle w:val="pdq2pgselectionanchorcontainer"/>
        <w:spacing w:before="0" w:beforeAutospacing="0" w:after="0" w:afterAutospacing="0"/>
        <w:rPr>
          <w:rFonts w:ascii="Arial" w:hAnsi="Arial" w:cs="Arial"/>
          <w:sz w:val="20"/>
          <w:szCs w:val="20"/>
        </w:rPr>
      </w:pPr>
      <w:r w:rsidRPr="00D83B1A">
        <w:rPr>
          <w:rFonts w:ascii="Arial" w:hAnsi="Arial" w:cs="Arial"/>
          <w:sz w:val="20"/>
          <w:szCs w:val="20"/>
        </w:rPr>
        <w:t xml:space="preserve">This study comparatively examined </w:t>
      </w:r>
      <w:r w:rsidRPr="00D83B1A">
        <w:rPr>
          <w:rFonts w:ascii="Arial" w:hAnsi="Arial" w:cs="Arial"/>
          <w:sz w:val="20"/>
          <w:szCs w:val="20"/>
          <w:highlight w:val="yellow"/>
        </w:rPr>
        <w:t>signalling</w:t>
      </w:r>
      <w:r w:rsidRPr="00D83B1A">
        <w:rPr>
          <w:rFonts w:ascii="Arial" w:hAnsi="Arial" w:cs="Arial"/>
          <w:sz w:val="20"/>
          <w:szCs w:val="20"/>
        </w:rPr>
        <w:t xml:space="preserve"> patterns communicated through </w:t>
      </w:r>
      <w:r w:rsidRPr="00D83B1A">
        <w:rPr>
          <w:rFonts w:ascii="Arial" w:hAnsi="Arial" w:cs="Arial"/>
          <w:sz w:val="20"/>
          <w:szCs w:val="20"/>
          <w:highlight w:val="yellow"/>
        </w:rPr>
        <w:t>publicly available information on highly enrolled university- and industry-provided MOOCs.</w:t>
      </w:r>
      <w:r w:rsidRPr="00D83B1A">
        <w:rPr>
          <w:rFonts w:ascii="Arial" w:hAnsi="Arial" w:cs="Arial"/>
          <w:sz w:val="20"/>
          <w:szCs w:val="20"/>
        </w:rPr>
        <w:t xml:space="preserve"> </w:t>
      </w:r>
      <w:r w:rsidR="002F11E0" w:rsidRPr="00D83B1A">
        <w:rPr>
          <w:rStyle w:val="Strong"/>
          <w:rFonts w:ascii="Arial" w:hAnsi="Arial" w:cs="Arial"/>
          <w:b w:val="0"/>
          <w:bCs w:val="0"/>
          <w:sz w:val="20"/>
          <w:szCs w:val="20"/>
        </w:rPr>
        <w:t xml:space="preserve">The findings show that MOOC course pages function as </w:t>
      </w:r>
      <w:r w:rsidR="002F11E0" w:rsidRPr="00D83B1A">
        <w:rPr>
          <w:rStyle w:val="Strong"/>
          <w:rFonts w:ascii="Arial" w:hAnsi="Arial" w:cs="Arial"/>
          <w:b w:val="0"/>
          <w:bCs w:val="0"/>
          <w:sz w:val="20"/>
          <w:szCs w:val="20"/>
          <w:highlight w:val="yellow"/>
        </w:rPr>
        <w:t>signalling</w:t>
      </w:r>
      <w:r w:rsidR="002F11E0" w:rsidRPr="00D83B1A">
        <w:rPr>
          <w:rStyle w:val="Strong"/>
          <w:rFonts w:ascii="Arial" w:hAnsi="Arial" w:cs="Arial"/>
          <w:b w:val="0"/>
          <w:bCs w:val="0"/>
          <w:sz w:val="20"/>
          <w:szCs w:val="20"/>
        </w:rPr>
        <w:t xml:space="preserve"> environments in which</w:t>
      </w:r>
      <w:r w:rsidR="002F11E0" w:rsidRPr="002F11E0">
        <w:rPr>
          <w:rStyle w:val="Strong"/>
          <w:rFonts w:ascii="Arial" w:hAnsi="Arial" w:cs="Arial"/>
          <w:b w:val="0"/>
          <w:bCs w:val="0"/>
          <w:sz w:val="20"/>
          <w:szCs w:val="20"/>
        </w:rPr>
        <w:t xml:space="preserve"> providers make aspects of credibility, expertise, expected course demands, and competence value observable to prospective learners.</w:t>
      </w:r>
    </w:p>
    <w:p w14:paraId="1687B804" w14:textId="77777777" w:rsidR="002F11E0" w:rsidRPr="002F11E0" w:rsidRDefault="0012183F" w:rsidP="002F11E0">
      <w:pPr>
        <w:pStyle w:val="NormalWeb"/>
        <w:spacing w:before="0" w:beforeAutospacing="0" w:after="0" w:afterAutospacing="0"/>
        <w:rPr>
          <w:rFonts w:ascii="Arial" w:hAnsi="Arial" w:cs="Arial"/>
          <w:sz w:val="20"/>
          <w:szCs w:val="20"/>
        </w:rPr>
      </w:pPr>
      <w:r w:rsidRPr="0012183F">
        <w:rPr>
          <w:rFonts w:ascii="Arial" w:hAnsi="Arial" w:cs="Arial"/>
          <w:sz w:val="20"/>
          <w:szCs w:val="20"/>
        </w:rPr>
        <w:t xml:space="preserve">The central conclusion is that university and industry providers communicate overlapping </w:t>
      </w:r>
      <w:r w:rsidRPr="0012183F">
        <w:rPr>
          <w:rFonts w:ascii="Arial" w:hAnsi="Arial" w:cs="Arial"/>
          <w:sz w:val="20"/>
          <w:szCs w:val="20"/>
          <w:highlight w:val="yellow"/>
        </w:rPr>
        <w:t>signalling</w:t>
      </w:r>
      <w:r w:rsidRPr="0012183F">
        <w:rPr>
          <w:rFonts w:ascii="Arial" w:hAnsi="Arial" w:cs="Arial"/>
          <w:sz w:val="20"/>
          <w:szCs w:val="20"/>
        </w:rPr>
        <w:t xml:space="preserve"> patterns, but differ in the configuration, carrier, and framing of those signals. </w:t>
      </w:r>
      <w:r w:rsidR="002F11E0" w:rsidRPr="0012183F">
        <w:rPr>
          <w:rStyle w:val="Strong"/>
          <w:rFonts w:ascii="Arial" w:hAnsi="Arial" w:cs="Arial"/>
          <w:b w:val="0"/>
          <w:bCs w:val="0"/>
          <w:sz w:val="20"/>
          <w:szCs w:val="20"/>
        </w:rPr>
        <w:t>University-provided MOOCs more frequently make identifiable academic or</w:t>
      </w:r>
      <w:r w:rsidR="002F11E0" w:rsidRPr="002F11E0">
        <w:rPr>
          <w:rStyle w:val="Strong"/>
          <w:rFonts w:ascii="Arial" w:hAnsi="Arial" w:cs="Arial"/>
          <w:b w:val="0"/>
          <w:bCs w:val="0"/>
          <w:sz w:val="20"/>
          <w:szCs w:val="20"/>
        </w:rPr>
        <w:t xml:space="preserve"> professional expertise and disciplinary competence visible, whereas industry-provided MOOCs more often associate </w:t>
      </w:r>
      <w:r w:rsidR="002F11E0" w:rsidRPr="002F11E0">
        <w:rPr>
          <w:rStyle w:val="Strong"/>
          <w:rFonts w:ascii="Arial" w:hAnsi="Arial" w:cs="Arial"/>
          <w:b w:val="0"/>
          <w:bCs w:val="0"/>
          <w:sz w:val="20"/>
          <w:szCs w:val="20"/>
          <w:highlight w:val="yellow"/>
        </w:rPr>
        <w:t>organisational</w:t>
      </w:r>
      <w:r w:rsidR="002F11E0" w:rsidRPr="002F11E0">
        <w:rPr>
          <w:rStyle w:val="Strong"/>
          <w:rFonts w:ascii="Arial" w:hAnsi="Arial" w:cs="Arial"/>
          <w:b w:val="0"/>
          <w:bCs w:val="0"/>
          <w:sz w:val="20"/>
          <w:szCs w:val="20"/>
        </w:rPr>
        <w:t xml:space="preserve"> authority with applied technical competence and professional practice. Thus, provider differences are better understood as differences in </w:t>
      </w:r>
      <w:r w:rsidR="002F11E0" w:rsidRPr="002F11E0">
        <w:rPr>
          <w:rStyle w:val="Strong"/>
          <w:rFonts w:ascii="Arial" w:hAnsi="Arial" w:cs="Arial"/>
          <w:b w:val="0"/>
          <w:bCs w:val="0"/>
          <w:sz w:val="20"/>
          <w:szCs w:val="20"/>
          <w:highlight w:val="yellow"/>
        </w:rPr>
        <w:t>signalling</w:t>
      </w:r>
      <w:r w:rsidR="002F11E0" w:rsidRPr="002F11E0">
        <w:rPr>
          <w:rStyle w:val="Strong"/>
          <w:rFonts w:ascii="Arial" w:hAnsi="Arial" w:cs="Arial"/>
          <w:b w:val="0"/>
          <w:bCs w:val="0"/>
          <w:sz w:val="20"/>
          <w:szCs w:val="20"/>
        </w:rPr>
        <w:t xml:space="preserve"> configuration than as fundamentally different forms of value communication.</w:t>
      </w:r>
    </w:p>
    <w:p w14:paraId="6FAB2560" w14:textId="77777777" w:rsidR="003B4D94" w:rsidRDefault="00FE256C" w:rsidP="003B4D94">
      <w:pPr>
        <w:rPr>
          <w:rFonts w:ascii="Arial" w:hAnsi="Arial" w:cs="Arial"/>
          <w:sz w:val="20"/>
          <w:szCs w:val="20"/>
        </w:rPr>
      </w:pPr>
      <w:r w:rsidRPr="00FE256C">
        <w:rPr>
          <w:rFonts w:ascii="Arial" w:hAnsi="Arial" w:cs="Arial"/>
          <w:sz w:val="20"/>
          <w:szCs w:val="20"/>
        </w:rPr>
        <w:t xml:space="preserve">The study also establishes an important distinction between signal communication and signal effectiveness. The presence of a signal on a course page demonstrates that a provider has made a particular quality or value claim observable, but does not establish that learners noticed, trusted, or acted upon that signal. Accordingly, the findings describe </w:t>
      </w:r>
      <w:r w:rsidRPr="00FE256C">
        <w:rPr>
          <w:rFonts w:ascii="Arial" w:hAnsi="Arial" w:cs="Arial"/>
          <w:sz w:val="20"/>
          <w:szCs w:val="20"/>
          <w:highlight w:val="yellow"/>
        </w:rPr>
        <w:t>signalling</w:t>
      </w:r>
      <w:r w:rsidRPr="00FE256C">
        <w:rPr>
          <w:rFonts w:ascii="Arial" w:hAnsi="Arial" w:cs="Arial"/>
          <w:sz w:val="20"/>
          <w:szCs w:val="20"/>
        </w:rPr>
        <w:t xml:space="preserve"> configurations associated with highly enrolled MOOCs rather than causal explanations of </w:t>
      </w:r>
      <w:r w:rsidRPr="00FE256C">
        <w:rPr>
          <w:rFonts w:ascii="Arial" w:hAnsi="Arial" w:cs="Arial"/>
          <w:sz w:val="20"/>
          <w:szCs w:val="20"/>
          <w:highlight w:val="yellow"/>
        </w:rPr>
        <w:t>enrolment</w:t>
      </w:r>
      <w:r w:rsidRPr="00FE256C">
        <w:rPr>
          <w:rFonts w:ascii="Arial" w:hAnsi="Arial" w:cs="Arial"/>
          <w:sz w:val="20"/>
          <w:szCs w:val="20"/>
        </w:rPr>
        <w:t xml:space="preserve">. This distinction defines the contribution of the study: it examines provider-generated communication while leaving learner interpretation and </w:t>
      </w:r>
      <w:r w:rsidRPr="00FE256C">
        <w:rPr>
          <w:rFonts w:ascii="Arial" w:hAnsi="Arial" w:cs="Arial"/>
          <w:sz w:val="20"/>
          <w:szCs w:val="20"/>
          <w:highlight w:val="yellow"/>
        </w:rPr>
        <w:t>behavioural</w:t>
      </w:r>
      <w:r w:rsidRPr="00FE256C">
        <w:rPr>
          <w:rFonts w:ascii="Arial" w:hAnsi="Arial" w:cs="Arial"/>
          <w:sz w:val="20"/>
          <w:szCs w:val="20"/>
        </w:rPr>
        <w:t xml:space="preserve"> effects for future research.</w:t>
      </w:r>
    </w:p>
    <w:p w14:paraId="13C5CF5C" w14:textId="77777777" w:rsidR="00FE256C" w:rsidRPr="00FE256C" w:rsidRDefault="00FE256C" w:rsidP="003B4D94">
      <w:pPr>
        <w:rPr>
          <w:rFonts w:ascii="Arial" w:hAnsi="Arial" w:cs="Arial"/>
          <w:sz w:val="20"/>
          <w:szCs w:val="20"/>
        </w:rPr>
      </w:pPr>
    </w:p>
    <w:p w14:paraId="26B0BD16" w14:textId="77777777" w:rsidR="003B4D94" w:rsidRPr="003B4D94" w:rsidRDefault="003B4D94" w:rsidP="003B4D94">
      <w:pPr>
        <w:pStyle w:val="Heading3"/>
        <w:spacing w:before="0"/>
        <w:rPr>
          <w:b/>
          <w:bCs/>
          <w:sz w:val="22"/>
          <w:szCs w:val="22"/>
        </w:rPr>
      </w:pPr>
      <w:r w:rsidRPr="003B4D94">
        <w:rPr>
          <w:rFonts w:ascii="Arial" w:hAnsi="Arial" w:cs="Arial"/>
          <w:b/>
          <w:bCs/>
          <w:color w:val="000000"/>
          <w:sz w:val="22"/>
          <w:szCs w:val="22"/>
        </w:rPr>
        <w:t>4.2 Contributions to Literature</w:t>
      </w:r>
    </w:p>
    <w:p w14:paraId="6552C577" w14:textId="77777777" w:rsidR="003B4D94" w:rsidRDefault="003B4D94" w:rsidP="003B4D94"/>
    <w:p w14:paraId="336E4338"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 xml:space="preserve">The study makes four related contributions to the literature on </w:t>
      </w:r>
      <w:r w:rsidRPr="003B4D94">
        <w:rPr>
          <w:rFonts w:ascii="Arial" w:hAnsi="Arial" w:cs="Arial"/>
          <w:color w:val="000000"/>
          <w:sz w:val="20"/>
          <w:szCs w:val="20"/>
          <w:highlight w:val="yellow"/>
        </w:rPr>
        <w:t>signalling</w:t>
      </w:r>
      <w:r w:rsidRPr="003B4D94">
        <w:rPr>
          <w:rFonts w:ascii="Arial" w:hAnsi="Arial" w:cs="Arial"/>
          <w:color w:val="000000"/>
          <w:sz w:val="20"/>
          <w:szCs w:val="20"/>
        </w:rPr>
        <w:t xml:space="preserve"> and online learning.</w:t>
      </w:r>
    </w:p>
    <w:p w14:paraId="28157EC8"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 xml:space="preserve">First, this study extends the application of </w:t>
      </w:r>
      <w:r w:rsidRPr="003B4D94">
        <w:rPr>
          <w:rFonts w:ascii="Arial" w:hAnsi="Arial" w:cs="Arial"/>
          <w:color w:val="000000"/>
          <w:sz w:val="20"/>
          <w:szCs w:val="20"/>
          <w:highlight w:val="yellow"/>
        </w:rPr>
        <w:t>Signalling</w:t>
      </w:r>
      <w:r w:rsidRPr="003B4D94">
        <w:rPr>
          <w:rFonts w:ascii="Arial" w:hAnsi="Arial" w:cs="Arial"/>
          <w:color w:val="000000"/>
          <w:sz w:val="20"/>
          <w:szCs w:val="20"/>
        </w:rPr>
        <w:t xml:space="preserve"> Theory to the provider-generated information environment of MOOCs. </w:t>
      </w:r>
      <w:r w:rsidRPr="003B4D94">
        <w:rPr>
          <w:rFonts w:ascii="Arial" w:hAnsi="Arial" w:cs="Arial"/>
          <w:color w:val="000000"/>
          <w:sz w:val="20"/>
          <w:szCs w:val="20"/>
          <w:highlight w:val="yellow"/>
        </w:rPr>
        <w:t>Signalling</w:t>
      </w:r>
      <w:r w:rsidRPr="003B4D94">
        <w:rPr>
          <w:rFonts w:ascii="Arial" w:hAnsi="Arial" w:cs="Arial"/>
          <w:color w:val="000000"/>
          <w:sz w:val="20"/>
          <w:szCs w:val="20"/>
        </w:rPr>
        <w:t xml:space="preserve"> Theory has traditionally addressed how actors communicate information about otherwise difficult-to-observe qualities under conditions of information asymmetry (Connelly et al., 2011, 2025). In this context, the study demonstrates that publicly accessible course information constitutes an observable setting in which providers communicate such qualities without direct access to learner perceptions. This positions the MOOC course page as more than a repository of course information and allows it to be examined as a structured </w:t>
      </w:r>
      <w:r w:rsidRPr="003B4D94">
        <w:rPr>
          <w:rFonts w:ascii="Arial" w:hAnsi="Arial" w:cs="Arial"/>
          <w:color w:val="000000"/>
          <w:sz w:val="20"/>
          <w:szCs w:val="20"/>
          <w:highlight w:val="yellow"/>
        </w:rPr>
        <w:t>signalling</w:t>
      </w:r>
      <w:r w:rsidRPr="003B4D94">
        <w:rPr>
          <w:rFonts w:ascii="Arial" w:hAnsi="Arial" w:cs="Arial"/>
          <w:color w:val="000000"/>
          <w:sz w:val="20"/>
          <w:szCs w:val="20"/>
        </w:rPr>
        <w:t xml:space="preserve"> environment.</w:t>
      </w:r>
    </w:p>
    <w:p w14:paraId="5BAD846A"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 xml:space="preserve">Second, the findings offer a more contextualized understanding of how </w:t>
      </w:r>
      <w:r w:rsidRPr="003B4D94">
        <w:rPr>
          <w:rFonts w:ascii="Arial" w:hAnsi="Arial" w:cs="Arial"/>
          <w:color w:val="000000"/>
          <w:sz w:val="20"/>
          <w:szCs w:val="20"/>
          <w:highlight w:val="yellow"/>
        </w:rPr>
        <w:t>organisational</w:t>
      </w:r>
      <w:r w:rsidRPr="003B4D94">
        <w:rPr>
          <w:rFonts w:ascii="Arial" w:hAnsi="Arial" w:cs="Arial"/>
          <w:color w:val="000000"/>
          <w:sz w:val="20"/>
          <w:szCs w:val="20"/>
        </w:rPr>
        <w:t xml:space="preserve"> identity shapes </w:t>
      </w:r>
      <w:r w:rsidRPr="003B4D94">
        <w:rPr>
          <w:rFonts w:ascii="Arial" w:hAnsi="Arial" w:cs="Arial"/>
          <w:color w:val="000000"/>
          <w:sz w:val="20"/>
          <w:szCs w:val="20"/>
          <w:highlight w:val="yellow"/>
        </w:rPr>
        <w:t>signalling</w:t>
      </w:r>
      <w:r w:rsidRPr="003B4D94">
        <w:rPr>
          <w:rFonts w:ascii="Arial" w:hAnsi="Arial" w:cs="Arial"/>
          <w:color w:val="000000"/>
          <w:sz w:val="20"/>
          <w:szCs w:val="20"/>
        </w:rPr>
        <w:t xml:space="preserve">. The comparison indicates that provider type influences the primary carrier through which credibility and expertise are made observable. University-provided MOOCs more frequently highlight expertise through identifiable academic or professional individuals, while industry-provided MOOCs tend to associate expertise and authority with the provider </w:t>
      </w:r>
      <w:r w:rsidRPr="003B4D94">
        <w:rPr>
          <w:rFonts w:ascii="Arial" w:hAnsi="Arial" w:cs="Arial"/>
          <w:color w:val="000000"/>
          <w:sz w:val="20"/>
          <w:szCs w:val="20"/>
          <w:highlight w:val="yellow"/>
        </w:rPr>
        <w:t>organisation</w:t>
      </w:r>
      <w:r w:rsidRPr="003B4D94">
        <w:rPr>
          <w:rFonts w:ascii="Arial" w:hAnsi="Arial" w:cs="Arial"/>
          <w:color w:val="000000"/>
          <w:sz w:val="20"/>
          <w:szCs w:val="20"/>
        </w:rPr>
        <w:t xml:space="preserve"> or instructional team. The theoretical implication is that the same broad signal category may be communicated through different </w:t>
      </w:r>
      <w:r w:rsidRPr="003B4D94">
        <w:rPr>
          <w:rFonts w:ascii="Arial" w:hAnsi="Arial" w:cs="Arial"/>
          <w:color w:val="000000"/>
          <w:sz w:val="20"/>
          <w:szCs w:val="20"/>
          <w:highlight w:val="yellow"/>
        </w:rPr>
        <w:t>organisational</w:t>
      </w:r>
      <w:r w:rsidRPr="003B4D94">
        <w:rPr>
          <w:rFonts w:ascii="Arial" w:hAnsi="Arial" w:cs="Arial"/>
          <w:color w:val="000000"/>
          <w:sz w:val="20"/>
          <w:szCs w:val="20"/>
        </w:rPr>
        <w:t xml:space="preserve"> carriers. Therefore, </w:t>
      </w:r>
      <w:r w:rsidRPr="003B4D94">
        <w:rPr>
          <w:rFonts w:ascii="Arial" w:hAnsi="Arial" w:cs="Arial"/>
          <w:color w:val="000000"/>
          <w:sz w:val="20"/>
          <w:szCs w:val="20"/>
          <w:highlight w:val="yellow"/>
        </w:rPr>
        <w:t>signalling should be examined not only in terms of the presence of a signal but also in terms of the entity that carries the signal and the manner in which it is framed.</w:t>
      </w:r>
    </w:p>
    <w:p w14:paraId="2ABDB478"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lastRenderedPageBreak/>
        <w:t xml:space="preserve">Third, the study advances understanding of </w:t>
      </w:r>
      <w:r w:rsidRPr="003B4D94">
        <w:rPr>
          <w:rFonts w:ascii="Arial" w:hAnsi="Arial" w:cs="Arial"/>
          <w:color w:val="000000"/>
          <w:sz w:val="20"/>
          <w:szCs w:val="20"/>
          <w:highlight w:val="yellow"/>
        </w:rPr>
        <w:t>signalling</w:t>
      </w:r>
      <w:r w:rsidRPr="003B4D94">
        <w:rPr>
          <w:rFonts w:ascii="Arial" w:hAnsi="Arial" w:cs="Arial"/>
          <w:color w:val="000000"/>
          <w:sz w:val="20"/>
          <w:szCs w:val="20"/>
        </w:rPr>
        <w:t xml:space="preserve"> configurations rather than focusing on isolated signals. The four analytical categories examined should not be interpreted as independent measures of course quality. Instead, the findings indicate that credibility, expertise, </w:t>
      </w:r>
      <w:r w:rsidRPr="003B4D94">
        <w:rPr>
          <w:rFonts w:ascii="Arial" w:hAnsi="Arial" w:cs="Arial"/>
          <w:color w:val="000000"/>
          <w:sz w:val="20"/>
          <w:szCs w:val="20"/>
          <w:highlight w:val="yellow"/>
        </w:rPr>
        <w:t>rigour</w:t>
      </w:r>
      <w:r w:rsidRPr="003B4D94">
        <w:rPr>
          <w:rFonts w:ascii="Arial" w:hAnsi="Arial" w:cs="Arial"/>
          <w:color w:val="000000"/>
          <w:sz w:val="20"/>
          <w:szCs w:val="20"/>
        </w:rPr>
        <w:t xml:space="preserve">, and competence-related information can be combined in various configurations. Notably, strong credential and competence </w:t>
      </w:r>
      <w:r w:rsidRPr="003B4D94">
        <w:rPr>
          <w:rFonts w:ascii="Arial" w:hAnsi="Arial" w:cs="Arial"/>
          <w:color w:val="000000"/>
          <w:sz w:val="20"/>
          <w:szCs w:val="20"/>
          <w:highlight w:val="yellow"/>
        </w:rPr>
        <w:t>signalling</w:t>
      </w:r>
      <w:r w:rsidRPr="003B4D94">
        <w:rPr>
          <w:rFonts w:ascii="Arial" w:hAnsi="Arial" w:cs="Arial"/>
          <w:color w:val="000000"/>
          <w:sz w:val="20"/>
          <w:szCs w:val="20"/>
        </w:rPr>
        <w:t xml:space="preserve"> was evident across both provider groups, despite differences in the sources of authority and framing. This suggests that the meaning of an observable signal may depend in part on its relationship with other signals and the </w:t>
      </w:r>
      <w:r w:rsidRPr="003B4D94">
        <w:rPr>
          <w:rFonts w:ascii="Arial" w:hAnsi="Arial" w:cs="Arial"/>
          <w:color w:val="000000"/>
          <w:sz w:val="20"/>
          <w:szCs w:val="20"/>
          <w:highlight w:val="yellow"/>
        </w:rPr>
        <w:t>organisational</w:t>
      </w:r>
      <w:r w:rsidRPr="003B4D94">
        <w:rPr>
          <w:rFonts w:ascii="Arial" w:hAnsi="Arial" w:cs="Arial"/>
          <w:color w:val="000000"/>
          <w:sz w:val="20"/>
          <w:szCs w:val="20"/>
        </w:rPr>
        <w:t xml:space="preserve"> context in which it is presented.</w:t>
      </w:r>
    </w:p>
    <w:p w14:paraId="4AC130E4"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 xml:space="preserve">Fourth, the study offers a methodological contribution to MOOC research by demonstrating how comparative documentary analysis can examine </w:t>
      </w:r>
      <w:r w:rsidRPr="003B4D94">
        <w:rPr>
          <w:rFonts w:ascii="Arial" w:hAnsi="Arial" w:cs="Arial"/>
          <w:color w:val="000000"/>
          <w:sz w:val="20"/>
          <w:szCs w:val="20"/>
          <w:highlight w:val="yellow"/>
        </w:rPr>
        <w:t>signalling</w:t>
      </w:r>
      <w:r w:rsidRPr="003B4D94">
        <w:rPr>
          <w:rFonts w:ascii="Arial" w:hAnsi="Arial" w:cs="Arial"/>
          <w:color w:val="000000"/>
          <w:sz w:val="20"/>
          <w:szCs w:val="20"/>
        </w:rPr>
        <w:t xml:space="preserve"> without conflating provider communication with learner response. Public course information enables researchers to systematically </w:t>
      </w:r>
      <w:r w:rsidRPr="003B4D94">
        <w:rPr>
          <w:rFonts w:ascii="Arial" w:hAnsi="Arial" w:cs="Arial"/>
          <w:color w:val="000000"/>
          <w:sz w:val="20"/>
          <w:szCs w:val="20"/>
          <w:highlight w:val="yellow"/>
        </w:rPr>
        <w:t>analyse</w:t>
      </w:r>
      <w:r w:rsidRPr="003B4D94">
        <w:rPr>
          <w:rFonts w:ascii="Arial" w:hAnsi="Arial" w:cs="Arial"/>
          <w:color w:val="000000"/>
          <w:sz w:val="20"/>
          <w:szCs w:val="20"/>
        </w:rPr>
        <w:t xml:space="preserve"> what providers make observable, while maintaining a clear distinction between communicated signals and their presumed effects. This approach establishes a foundation for future research that can connect documentary evidence with learner perceptions, </w:t>
      </w:r>
      <w:r w:rsidRPr="003B4D94">
        <w:rPr>
          <w:rFonts w:ascii="Arial" w:hAnsi="Arial" w:cs="Arial"/>
          <w:color w:val="000000"/>
          <w:sz w:val="20"/>
          <w:szCs w:val="20"/>
          <w:highlight w:val="yellow"/>
        </w:rPr>
        <w:t>enrolment</w:t>
      </w:r>
      <w:r w:rsidRPr="003B4D94">
        <w:rPr>
          <w:rFonts w:ascii="Arial" w:hAnsi="Arial" w:cs="Arial"/>
          <w:color w:val="000000"/>
          <w:sz w:val="20"/>
          <w:szCs w:val="20"/>
        </w:rPr>
        <w:t xml:space="preserve"> </w:t>
      </w:r>
      <w:r w:rsidRPr="003B4D94">
        <w:rPr>
          <w:rFonts w:ascii="Arial" w:hAnsi="Arial" w:cs="Arial"/>
          <w:color w:val="000000"/>
          <w:sz w:val="20"/>
          <w:szCs w:val="20"/>
          <w:highlight w:val="yellow"/>
        </w:rPr>
        <w:t>behaviour</w:t>
      </w:r>
      <w:r w:rsidRPr="003B4D94">
        <w:rPr>
          <w:rFonts w:ascii="Arial" w:hAnsi="Arial" w:cs="Arial"/>
          <w:color w:val="000000"/>
          <w:sz w:val="20"/>
          <w:szCs w:val="20"/>
        </w:rPr>
        <w:t>, completion, or other outcomes.</w:t>
      </w:r>
    </w:p>
    <w:p w14:paraId="707D77BD"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 xml:space="preserve">Collectively, these contributions indicate that provider differences in MOOCs cannot be adequately </w:t>
      </w:r>
      <w:r w:rsidRPr="003B4D94">
        <w:rPr>
          <w:rFonts w:ascii="Arial" w:hAnsi="Arial" w:cs="Arial"/>
          <w:color w:val="000000"/>
          <w:sz w:val="20"/>
          <w:szCs w:val="20"/>
          <w:highlight w:val="yellow"/>
        </w:rPr>
        <w:t>characterised</w:t>
      </w:r>
      <w:r w:rsidRPr="003B4D94">
        <w:rPr>
          <w:rFonts w:ascii="Arial" w:hAnsi="Arial" w:cs="Arial"/>
          <w:color w:val="000000"/>
          <w:sz w:val="20"/>
          <w:szCs w:val="20"/>
        </w:rPr>
        <w:t xml:space="preserve"> by a simple distinction between academic and employment-oriented value. A more effective theoretical perspective considers how </w:t>
      </w:r>
      <w:r w:rsidRPr="003B4D94">
        <w:rPr>
          <w:rFonts w:ascii="Arial" w:hAnsi="Arial" w:cs="Arial"/>
          <w:color w:val="000000"/>
          <w:sz w:val="20"/>
          <w:szCs w:val="20"/>
          <w:highlight w:val="yellow"/>
        </w:rPr>
        <w:t>organisational</w:t>
      </w:r>
      <w:r w:rsidRPr="003B4D94">
        <w:rPr>
          <w:rFonts w:ascii="Arial" w:hAnsi="Arial" w:cs="Arial"/>
          <w:color w:val="000000"/>
          <w:sz w:val="20"/>
          <w:szCs w:val="20"/>
        </w:rPr>
        <w:t xml:space="preserve"> context determines the source, carrier, framing, and configuration of observable signals.</w:t>
      </w:r>
    </w:p>
    <w:p w14:paraId="1867707E" w14:textId="77777777" w:rsidR="003B4D94" w:rsidRDefault="003B4D94" w:rsidP="003B4D94"/>
    <w:p w14:paraId="53535BBA" w14:textId="77777777" w:rsidR="003B4D94" w:rsidRPr="003B4D94" w:rsidRDefault="003B4D94" w:rsidP="003B4D94">
      <w:pPr>
        <w:pStyle w:val="Heading3"/>
        <w:spacing w:before="0"/>
        <w:rPr>
          <w:b/>
          <w:bCs/>
          <w:sz w:val="22"/>
          <w:szCs w:val="22"/>
        </w:rPr>
      </w:pPr>
      <w:r w:rsidRPr="003B4D94">
        <w:rPr>
          <w:rFonts w:ascii="Arial" w:hAnsi="Arial" w:cs="Arial"/>
          <w:b/>
          <w:bCs/>
          <w:color w:val="000000"/>
          <w:sz w:val="22"/>
          <w:szCs w:val="22"/>
        </w:rPr>
        <w:t>4.3 Practical Implications</w:t>
      </w:r>
    </w:p>
    <w:p w14:paraId="3FF2D320" w14:textId="77777777" w:rsidR="003B4D94" w:rsidRPr="00A50107" w:rsidRDefault="003B4D94" w:rsidP="00A50107">
      <w:pPr>
        <w:rPr>
          <w:rFonts w:ascii="Arial" w:hAnsi="Arial" w:cs="Arial"/>
          <w:sz w:val="20"/>
          <w:szCs w:val="20"/>
        </w:rPr>
      </w:pPr>
    </w:p>
    <w:p w14:paraId="619A4352" w14:textId="77777777" w:rsidR="00A50107" w:rsidRPr="00A50107" w:rsidRDefault="00A50107" w:rsidP="00A50107">
      <w:pPr>
        <w:pStyle w:val="pdq2pgselectionanchorcontainer"/>
        <w:spacing w:before="0" w:beforeAutospacing="0" w:after="0" w:afterAutospacing="0"/>
        <w:rPr>
          <w:rFonts w:ascii="Arial" w:hAnsi="Arial" w:cs="Arial"/>
          <w:sz w:val="20"/>
          <w:szCs w:val="20"/>
        </w:rPr>
      </w:pPr>
      <w:r w:rsidRPr="00A50107">
        <w:rPr>
          <w:rStyle w:val="Strong"/>
          <w:rFonts w:ascii="Arial" w:hAnsi="Arial" w:cs="Arial"/>
          <w:b w:val="0"/>
          <w:bCs w:val="0"/>
          <w:sz w:val="20"/>
          <w:szCs w:val="20"/>
        </w:rPr>
        <w:t>The findings have implications for how MOOC providers design and present publicly accessible course information. Providers should consider not only what information is available to prospective learners but also whether important aspects of credibility, expertise, expected course demands, and competence are sufficiently observable. Making these qualities explicit can improve the informational transparency of course pages and help prospective learners evaluate the nature and potential value of an offering.</w:t>
      </w:r>
    </w:p>
    <w:p w14:paraId="761592AD" w14:textId="77777777" w:rsidR="00A50107" w:rsidRPr="00A50107" w:rsidRDefault="00A50107" w:rsidP="00A50107">
      <w:pPr>
        <w:pStyle w:val="NormalWeb"/>
        <w:spacing w:before="0" w:beforeAutospacing="0" w:after="0" w:afterAutospacing="0"/>
        <w:rPr>
          <w:rFonts w:ascii="Arial" w:hAnsi="Arial" w:cs="Arial"/>
          <w:sz w:val="20"/>
          <w:szCs w:val="20"/>
        </w:rPr>
      </w:pPr>
      <w:r w:rsidRPr="00A50107">
        <w:rPr>
          <w:rStyle w:val="Strong"/>
          <w:rFonts w:ascii="Arial" w:hAnsi="Arial" w:cs="Arial"/>
          <w:b w:val="0"/>
          <w:bCs w:val="0"/>
          <w:sz w:val="20"/>
          <w:szCs w:val="20"/>
        </w:rPr>
        <w:t xml:space="preserve">For universities, this may involve making instructor expertise and disciplinary authority more visible alongside institutional identity. For industry providers, </w:t>
      </w:r>
      <w:r w:rsidRPr="00A50107">
        <w:rPr>
          <w:rStyle w:val="Strong"/>
          <w:rFonts w:ascii="Arial" w:hAnsi="Arial" w:cs="Arial"/>
          <w:b w:val="0"/>
          <w:bCs w:val="0"/>
          <w:sz w:val="20"/>
          <w:szCs w:val="20"/>
          <w:highlight w:val="yellow"/>
        </w:rPr>
        <w:t>organisational</w:t>
      </w:r>
      <w:r w:rsidRPr="00A50107">
        <w:rPr>
          <w:rStyle w:val="Strong"/>
          <w:rFonts w:ascii="Arial" w:hAnsi="Arial" w:cs="Arial"/>
          <w:b w:val="0"/>
          <w:bCs w:val="0"/>
          <w:sz w:val="20"/>
          <w:szCs w:val="20"/>
        </w:rPr>
        <w:t xml:space="preserve"> expertise already serves as an important source of authority, but clearer information about instructional teams and the competencies associated with course completion may provide additional context. Both provider types can communicate credentials and competencies in ways that clarify what successful completion represents.</w:t>
      </w:r>
    </w:p>
    <w:p w14:paraId="34A8FAA6" w14:textId="77777777" w:rsidR="003B4D94" w:rsidRDefault="003B4D94" w:rsidP="003B4D94">
      <w:pPr>
        <w:pStyle w:val="NormalWeb"/>
        <w:spacing w:before="0" w:beforeAutospacing="0" w:after="0" w:afterAutospacing="0"/>
      </w:pPr>
      <w:r>
        <w:rPr>
          <w:rFonts w:ascii="Arial" w:hAnsi="Arial" w:cs="Arial"/>
          <w:color w:val="000000"/>
          <w:sz w:val="20"/>
          <w:szCs w:val="20"/>
        </w:rPr>
        <w:t xml:space="preserve">These implications should not be interpreted as a formula for increasing </w:t>
      </w:r>
      <w:r>
        <w:rPr>
          <w:rFonts w:ascii="Arial" w:hAnsi="Arial" w:cs="Arial"/>
          <w:color w:val="000000"/>
          <w:sz w:val="20"/>
          <w:szCs w:val="20"/>
          <w:highlight w:val="yellow"/>
        </w:rPr>
        <w:t>enrolment</w:t>
      </w:r>
      <w:r>
        <w:rPr>
          <w:rFonts w:ascii="Arial" w:hAnsi="Arial" w:cs="Arial"/>
          <w:color w:val="000000"/>
          <w:sz w:val="20"/>
          <w:szCs w:val="20"/>
        </w:rPr>
        <w:t xml:space="preserve">, as the present study does not establish that particular signals cause prospective learners to </w:t>
      </w:r>
      <w:r>
        <w:rPr>
          <w:rFonts w:ascii="Arial" w:hAnsi="Arial" w:cs="Arial"/>
          <w:color w:val="000000"/>
          <w:sz w:val="20"/>
          <w:szCs w:val="20"/>
          <w:highlight w:val="yellow"/>
        </w:rPr>
        <w:t>enrol</w:t>
      </w:r>
      <w:r>
        <w:rPr>
          <w:rFonts w:ascii="Arial" w:hAnsi="Arial" w:cs="Arial"/>
          <w:color w:val="000000"/>
          <w:sz w:val="20"/>
          <w:szCs w:val="20"/>
        </w:rPr>
        <w:t xml:space="preserve">. Instead, the practical implication is that providers can enhance the transparency of their course communication by making the basis of credibility, expected learning demands, and intended competence more explicit. Clearer </w:t>
      </w:r>
      <w:r>
        <w:rPr>
          <w:rFonts w:ascii="Arial" w:hAnsi="Arial" w:cs="Arial"/>
          <w:color w:val="000000"/>
          <w:sz w:val="20"/>
          <w:szCs w:val="20"/>
          <w:highlight w:val="yellow"/>
        </w:rPr>
        <w:t>signalling</w:t>
      </w:r>
      <w:r>
        <w:rPr>
          <w:rFonts w:ascii="Arial" w:hAnsi="Arial" w:cs="Arial"/>
          <w:color w:val="000000"/>
          <w:sz w:val="20"/>
          <w:szCs w:val="20"/>
        </w:rPr>
        <w:t xml:space="preserve"> may enable prospective learners to conduct more informed course evaluations.</w:t>
      </w:r>
    </w:p>
    <w:p w14:paraId="51A47943" w14:textId="77777777" w:rsidR="003B4D94" w:rsidRDefault="003B4D94" w:rsidP="003B4D94"/>
    <w:p w14:paraId="2DCCD9B4" w14:textId="77777777" w:rsidR="003B4D94" w:rsidRPr="003B4D94" w:rsidRDefault="003B4D94" w:rsidP="003B4D94">
      <w:pPr>
        <w:pStyle w:val="Heading3"/>
        <w:spacing w:before="0"/>
        <w:rPr>
          <w:b/>
          <w:bCs/>
          <w:sz w:val="22"/>
          <w:szCs w:val="22"/>
        </w:rPr>
      </w:pPr>
      <w:r w:rsidRPr="003B4D94">
        <w:rPr>
          <w:rFonts w:ascii="Arial" w:hAnsi="Arial" w:cs="Arial"/>
          <w:b/>
          <w:bCs/>
          <w:color w:val="000000"/>
          <w:sz w:val="22"/>
          <w:szCs w:val="22"/>
        </w:rPr>
        <w:t>4.4 Limitations and Future Research</w:t>
      </w:r>
    </w:p>
    <w:p w14:paraId="26C8AA7B" w14:textId="77777777" w:rsidR="003B4D94" w:rsidRDefault="003B4D94" w:rsidP="003B4D94"/>
    <w:p w14:paraId="7B40ED39" w14:textId="77777777" w:rsidR="003B4D94" w:rsidRDefault="007B172E" w:rsidP="003B4D94">
      <w:pPr>
        <w:pStyle w:val="NormalWeb"/>
        <w:spacing w:before="0" w:beforeAutospacing="0" w:after="0" w:afterAutospacing="0"/>
      </w:pPr>
      <w:r w:rsidRPr="007B172E">
        <w:rPr>
          <w:rFonts w:ascii="Arial" w:hAnsi="Arial" w:cs="Arial"/>
          <w:sz w:val="20"/>
          <w:szCs w:val="20"/>
        </w:rPr>
        <w:t xml:space="preserve">The study has several limitations that constrain the interpretation, transferability, and </w:t>
      </w:r>
      <w:r w:rsidRPr="007B172E">
        <w:rPr>
          <w:rFonts w:ascii="Arial" w:hAnsi="Arial" w:cs="Arial"/>
          <w:sz w:val="20"/>
          <w:szCs w:val="20"/>
          <w:highlight w:val="yellow"/>
        </w:rPr>
        <w:t>generalisability</w:t>
      </w:r>
      <w:r w:rsidRPr="007B172E">
        <w:rPr>
          <w:rFonts w:ascii="Arial" w:hAnsi="Arial" w:cs="Arial"/>
          <w:sz w:val="20"/>
          <w:szCs w:val="20"/>
        </w:rPr>
        <w:t xml:space="preserve"> of its findings</w:t>
      </w:r>
      <w:r w:rsidR="003B4D94" w:rsidRPr="007B172E">
        <w:rPr>
          <w:rFonts w:ascii="Arial" w:hAnsi="Arial" w:cs="Arial"/>
          <w:color w:val="000000"/>
          <w:sz w:val="20"/>
          <w:szCs w:val="20"/>
        </w:rPr>
        <w:t>. First, the analysis was limited to ten highly enrolled MOOCs identified through the Class Central</w:t>
      </w:r>
      <w:r w:rsidR="003B4D94">
        <w:rPr>
          <w:rFonts w:ascii="Arial" w:hAnsi="Arial" w:cs="Arial"/>
          <w:color w:val="000000"/>
          <w:sz w:val="20"/>
          <w:szCs w:val="20"/>
        </w:rPr>
        <w:t xml:space="preserve"> 2025 ranking and offered on Coursera. The balanced selection of five university and five industry cases enabled systematic comparison, but was not intended to represent the broader MOOC population. Second, because only highly enrolled courses were examined, the study cannot determine whether the identified </w:t>
      </w:r>
      <w:r w:rsidR="003B4D94">
        <w:rPr>
          <w:rFonts w:ascii="Arial" w:hAnsi="Arial" w:cs="Arial"/>
          <w:color w:val="000000"/>
          <w:sz w:val="20"/>
          <w:szCs w:val="20"/>
          <w:highlight w:val="yellow"/>
        </w:rPr>
        <w:t>signalling</w:t>
      </w:r>
      <w:r w:rsidR="003B4D94">
        <w:rPr>
          <w:rFonts w:ascii="Arial" w:hAnsi="Arial" w:cs="Arial"/>
          <w:color w:val="000000"/>
          <w:sz w:val="20"/>
          <w:szCs w:val="20"/>
        </w:rPr>
        <w:t xml:space="preserve"> configurations distinguish highly enrolled MOOCs from those with lower </w:t>
      </w:r>
      <w:r w:rsidR="003B4D94">
        <w:rPr>
          <w:rFonts w:ascii="Arial" w:hAnsi="Arial" w:cs="Arial"/>
          <w:color w:val="000000"/>
          <w:sz w:val="20"/>
          <w:szCs w:val="20"/>
          <w:highlight w:val="yellow"/>
        </w:rPr>
        <w:t>enrolment</w:t>
      </w:r>
      <w:r w:rsidR="003B4D94">
        <w:rPr>
          <w:rFonts w:ascii="Arial" w:hAnsi="Arial" w:cs="Arial"/>
          <w:color w:val="000000"/>
          <w:sz w:val="20"/>
          <w:szCs w:val="20"/>
        </w:rPr>
        <w:t xml:space="preserve">. Third, the study relied exclusively on publicly available course information and therefore cannot establish how learners perceived, interpreted, trusted, or acted upon the identified signals. Fourth, course domains were unevenly represented and were treated as descriptive </w:t>
      </w:r>
      <w:r w:rsidR="003B4D94">
        <w:rPr>
          <w:rFonts w:ascii="Arial" w:hAnsi="Arial" w:cs="Arial"/>
          <w:color w:val="000000"/>
          <w:sz w:val="20"/>
          <w:szCs w:val="20"/>
        </w:rPr>
        <w:lastRenderedPageBreak/>
        <w:t>contextual features rather than systematically sampled categories. Finally, the documentary sources are dynamic, so publicly displayed course information may change over time.</w:t>
      </w:r>
    </w:p>
    <w:p w14:paraId="04D99AEC" w14:textId="77777777" w:rsidR="003B4D94" w:rsidRDefault="003B4D94" w:rsidP="003B4D94">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These limitations suggest several directions for future research. Comparative studies that include both highly and less-enrolled MOOCs could examine whether specific </w:t>
      </w:r>
      <w:r>
        <w:rPr>
          <w:rFonts w:ascii="Arial" w:hAnsi="Arial" w:cs="Arial"/>
          <w:color w:val="000000"/>
          <w:sz w:val="20"/>
          <w:szCs w:val="20"/>
          <w:highlight w:val="yellow"/>
        </w:rPr>
        <w:t>signalling</w:t>
      </w:r>
      <w:r>
        <w:rPr>
          <w:rFonts w:ascii="Arial" w:hAnsi="Arial" w:cs="Arial"/>
          <w:color w:val="000000"/>
          <w:sz w:val="20"/>
          <w:szCs w:val="20"/>
        </w:rPr>
        <w:t xml:space="preserve"> configurations are associated with differences in </w:t>
      </w:r>
      <w:r>
        <w:rPr>
          <w:rFonts w:ascii="Arial" w:hAnsi="Arial" w:cs="Arial"/>
          <w:color w:val="000000"/>
          <w:sz w:val="20"/>
          <w:szCs w:val="20"/>
          <w:highlight w:val="yellow"/>
        </w:rPr>
        <w:t>enrolment</w:t>
      </w:r>
      <w:r>
        <w:rPr>
          <w:rFonts w:ascii="Arial" w:hAnsi="Arial" w:cs="Arial"/>
          <w:color w:val="000000"/>
          <w:sz w:val="20"/>
          <w:szCs w:val="20"/>
        </w:rPr>
        <w:t xml:space="preserve">. </w:t>
      </w:r>
      <w:r>
        <w:rPr>
          <w:rFonts w:ascii="Arial" w:hAnsi="Arial" w:cs="Arial"/>
          <w:color w:val="000000"/>
          <w:sz w:val="20"/>
          <w:szCs w:val="20"/>
          <w:highlight w:val="yellow"/>
        </w:rPr>
        <w:t>Learner-centred</w:t>
      </w:r>
      <w:r>
        <w:rPr>
          <w:rFonts w:ascii="Arial" w:hAnsi="Arial" w:cs="Arial"/>
          <w:color w:val="000000"/>
          <w:sz w:val="20"/>
          <w:szCs w:val="20"/>
        </w:rPr>
        <w:t xml:space="preserve"> research could investigate how prospective learners interpret particular signals and whether these interpretations align with the intentions of providers. Longitudinal research could assess whether changes in course-page information correspond with changes in </w:t>
      </w:r>
      <w:r>
        <w:rPr>
          <w:rFonts w:ascii="Arial" w:hAnsi="Arial" w:cs="Arial"/>
          <w:color w:val="000000"/>
          <w:sz w:val="20"/>
          <w:szCs w:val="20"/>
          <w:highlight w:val="yellow"/>
        </w:rPr>
        <w:t>enrolment</w:t>
      </w:r>
      <w:r>
        <w:rPr>
          <w:rFonts w:ascii="Arial" w:hAnsi="Arial" w:cs="Arial"/>
          <w:color w:val="000000"/>
          <w:sz w:val="20"/>
          <w:szCs w:val="20"/>
        </w:rPr>
        <w:t xml:space="preserve">, completion, or other learner outcomes. Future studies could also broaden the comparison to additional MOOC platforms and systematically examine whether </w:t>
      </w:r>
      <w:r>
        <w:rPr>
          <w:rFonts w:ascii="Arial" w:hAnsi="Arial" w:cs="Arial"/>
          <w:color w:val="000000"/>
          <w:sz w:val="20"/>
          <w:szCs w:val="20"/>
          <w:highlight w:val="yellow"/>
        </w:rPr>
        <w:t>signalling</w:t>
      </w:r>
      <w:r>
        <w:rPr>
          <w:rFonts w:ascii="Arial" w:hAnsi="Arial" w:cs="Arial"/>
          <w:color w:val="000000"/>
          <w:sz w:val="20"/>
          <w:szCs w:val="20"/>
        </w:rPr>
        <w:t xml:space="preserve"> configurations vary across disciplinary domains. Such research would enable the documentary patterns identified here to be linked more directly to learner </w:t>
      </w:r>
      <w:r>
        <w:rPr>
          <w:rFonts w:ascii="Arial" w:hAnsi="Arial" w:cs="Arial"/>
          <w:color w:val="000000"/>
          <w:sz w:val="20"/>
          <w:szCs w:val="20"/>
          <w:highlight w:val="yellow"/>
        </w:rPr>
        <w:t>behaviour</w:t>
      </w:r>
      <w:r>
        <w:rPr>
          <w:rFonts w:ascii="Arial" w:hAnsi="Arial" w:cs="Arial"/>
          <w:color w:val="000000"/>
          <w:sz w:val="20"/>
          <w:szCs w:val="20"/>
        </w:rPr>
        <w:t>, while maintaining the distinction between provider communication and learner response.</w:t>
      </w:r>
    </w:p>
    <w:p w14:paraId="2B1902E9" w14:textId="77777777" w:rsidR="001C6056" w:rsidRDefault="001C6056" w:rsidP="003B4D94">
      <w:pPr>
        <w:pStyle w:val="NormalWeb"/>
        <w:spacing w:before="0" w:beforeAutospacing="0" w:after="0" w:afterAutospacing="0"/>
        <w:rPr>
          <w:rFonts w:ascii="Arial" w:hAnsi="Arial" w:cs="Arial"/>
          <w:color w:val="000000"/>
          <w:sz w:val="20"/>
          <w:szCs w:val="20"/>
        </w:rPr>
      </w:pPr>
    </w:p>
    <w:p w14:paraId="799180CE" w14:textId="77777777" w:rsidR="001C6056" w:rsidRDefault="001C6056" w:rsidP="003B4D94">
      <w:pPr>
        <w:pStyle w:val="NormalWeb"/>
        <w:spacing w:before="0" w:beforeAutospacing="0" w:after="0" w:afterAutospacing="0"/>
        <w:rPr>
          <w:rFonts w:ascii="Arial" w:hAnsi="Arial" w:cs="Arial"/>
          <w:color w:val="000000"/>
          <w:sz w:val="20"/>
          <w:szCs w:val="20"/>
        </w:rPr>
      </w:pPr>
    </w:p>
    <w:p w14:paraId="5E0748B5" w14:textId="77777777" w:rsidR="001C6056" w:rsidRDefault="001C6056" w:rsidP="003B4D94">
      <w:pPr>
        <w:pStyle w:val="NormalWeb"/>
        <w:spacing w:before="0" w:beforeAutospacing="0" w:after="0" w:afterAutospacing="0"/>
        <w:rPr>
          <w:rFonts w:ascii="Arial" w:hAnsi="Arial" w:cs="Arial"/>
          <w:color w:val="000000"/>
          <w:sz w:val="20"/>
          <w:szCs w:val="20"/>
        </w:rPr>
      </w:pPr>
    </w:p>
    <w:p w14:paraId="587D3AEB" w14:textId="77777777" w:rsidR="001C6056" w:rsidRDefault="001C6056" w:rsidP="003B4D94">
      <w:pPr>
        <w:pStyle w:val="NormalWeb"/>
        <w:spacing w:before="0" w:beforeAutospacing="0" w:after="0" w:afterAutospacing="0"/>
      </w:pPr>
    </w:p>
    <w:p w14:paraId="574A2A2D" w14:textId="77777777" w:rsidR="00315186" w:rsidRPr="004C2541" w:rsidRDefault="00315186" w:rsidP="004C2541">
      <w:pPr>
        <w:rPr>
          <w:rFonts w:ascii="Arial" w:hAnsi="Arial" w:cs="Arial"/>
          <w:color w:val="000000" w:themeColor="text1"/>
          <w:sz w:val="20"/>
          <w:szCs w:val="20"/>
        </w:rPr>
      </w:pPr>
    </w:p>
    <w:p w14:paraId="5340F443" w14:textId="77777777" w:rsidR="00344BA2" w:rsidRDefault="00344BA2" w:rsidP="00344BA2">
      <w:pPr>
        <w:rPr>
          <w:b/>
        </w:rPr>
      </w:pPr>
      <w:r w:rsidRPr="000839CE">
        <w:rPr>
          <w:b/>
        </w:rPr>
        <w:t>Declaration of AI Use</w:t>
      </w:r>
    </w:p>
    <w:p w14:paraId="7DE7881A" w14:textId="77777777" w:rsidR="00344BA2" w:rsidRDefault="00344BA2" w:rsidP="00344BA2">
      <w:pPr>
        <w:rPr>
          <w:b/>
        </w:rPr>
      </w:pPr>
    </w:p>
    <w:p w14:paraId="365D3E83" w14:textId="77777777" w:rsidR="00344BA2" w:rsidRPr="002D08AC" w:rsidRDefault="00344BA2" w:rsidP="00344BA2">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234052D" w14:textId="77777777" w:rsidR="004C2541" w:rsidRPr="004C2541" w:rsidRDefault="004C2541" w:rsidP="004C2541">
      <w:pPr>
        <w:rPr>
          <w:rFonts w:ascii="Arial" w:hAnsi="Arial" w:cs="Arial"/>
          <w:color w:val="000000" w:themeColor="text1"/>
          <w:sz w:val="20"/>
          <w:szCs w:val="20"/>
        </w:rPr>
      </w:pPr>
    </w:p>
    <w:p w14:paraId="10B7642B"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t>Competing interests</w:t>
      </w:r>
    </w:p>
    <w:p w14:paraId="668A90C6" w14:textId="77777777" w:rsidR="00860000" w:rsidRPr="004C2541" w:rsidRDefault="00860000" w:rsidP="004C2541">
      <w:pPr>
        <w:pStyle w:val="ReferHead"/>
        <w:spacing w:after="0"/>
        <w:jc w:val="both"/>
        <w:rPr>
          <w:rFonts w:ascii="Arial" w:hAnsi="Arial" w:cs="Arial"/>
          <w:sz w:val="20"/>
          <w:szCs w:val="20"/>
        </w:rPr>
      </w:pPr>
    </w:p>
    <w:p w14:paraId="6CE0DCE2" w14:textId="77777777" w:rsidR="00860000" w:rsidRPr="00C42725"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0986CBF5" w14:textId="77777777" w:rsidR="00C42725" w:rsidRDefault="00C42725" w:rsidP="00441B6F">
      <w:pPr>
        <w:pStyle w:val="ReferHead"/>
        <w:spacing w:after="0"/>
        <w:jc w:val="both"/>
        <w:rPr>
          <w:rFonts w:ascii="Arial" w:hAnsi="Arial" w:cs="Arial"/>
        </w:rPr>
      </w:pPr>
    </w:p>
    <w:p w14:paraId="134B213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446F395" w14:textId="77777777" w:rsidR="00790ADA" w:rsidRPr="00FB3A86" w:rsidRDefault="00790ADA" w:rsidP="00441B6F">
      <w:pPr>
        <w:pStyle w:val="ReferHead"/>
        <w:spacing w:after="0"/>
        <w:jc w:val="both"/>
        <w:rPr>
          <w:rFonts w:ascii="Arial" w:hAnsi="Arial" w:cs="Arial"/>
        </w:rPr>
      </w:pPr>
    </w:p>
    <w:p w14:paraId="70FB6D79" w14:textId="77777777" w:rsidR="004D4277" w:rsidRPr="00FB3A86" w:rsidRDefault="004D4277" w:rsidP="00441B6F">
      <w:pPr>
        <w:pStyle w:val="Appendix"/>
        <w:spacing w:after="0"/>
        <w:jc w:val="both"/>
        <w:rPr>
          <w:rFonts w:ascii="Arial" w:hAnsi="Arial" w:cs="Arial"/>
          <w:b w:val="0"/>
        </w:rPr>
        <w:sectPr w:rsidR="004D4277" w:rsidRPr="00FB3A86" w:rsidSect="00A17174">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3FFAE6F0"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Ahmed, S. K. (2024). The pillars of trustworthiness in qualitative research. </w:t>
      </w:r>
      <w:r w:rsidRPr="006B1C41">
        <w:rPr>
          <w:i/>
          <w:iCs/>
          <w:lang w:val="en-US"/>
        </w:rPr>
        <w:t>Journal of Medicine, Surgery, and Public Health, 2</w:t>
      </w:r>
      <w:r w:rsidRPr="006B1C41">
        <w:rPr>
          <w:lang w:val="en-US"/>
        </w:rPr>
        <w:t xml:space="preserve">, 100051. </w:t>
      </w:r>
      <w:hyperlink r:id="rId18" w:history="1">
        <w:r w:rsidRPr="006B1C41">
          <w:rPr>
            <w:color w:val="0000FF"/>
            <w:u w:val="single"/>
            <w:lang w:val="en-US"/>
          </w:rPr>
          <w:t>https://doi.org/10.1016/j.glmedi.2024.100051</w:t>
        </w:r>
      </w:hyperlink>
    </w:p>
    <w:p w14:paraId="177A5DFB"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Alasmari, T. (2024). Reshaping vocational training: A study on the recognition of micro-credentials in job markets. </w:t>
      </w:r>
      <w:r w:rsidRPr="006B1C41">
        <w:rPr>
          <w:i/>
          <w:iCs/>
          <w:lang w:val="en-US"/>
        </w:rPr>
        <w:t>Education + Training, 66</w:t>
      </w:r>
      <w:r w:rsidRPr="006B1C41">
        <w:rPr>
          <w:lang w:val="en-US"/>
        </w:rPr>
        <w:t xml:space="preserve">(2–3), 233–251. </w:t>
      </w:r>
      <w:hyperlink r:id="rId19" w:history="1">
        <w:r w:rsidRPr="006B1C41">
          <w:rPr>
            <w:color w:val="0000FF"/>
            <w:u w:val="single"/>
            <w:lang w:val="en-US"/>
          </w:rPr>
          <w:t>https://doi.org/10.1108/ET-07-2023-0282</w:t>
        </w:r>
      </w:hyperlink>
    </w:p>
    <w:p w14:paraId="4C742306" w14:textId="77777777" w:rsidR="006B1C41" w:rsidRPr="006B1C41" w:rsidRDefault="006B1C41" w:rsidP="006B1C41">
      <w:pPr>
        <w:spacing w:before="100" w:beforeAutospacing="1" w:after="100" w:afterAutospacing="1"/>
        <w:ind w:left="540" w:hanging="540"/>
        <w:jc w:val="both"/>
        <w:rPr>
          <w:lang w:val="en-US"/>
        </w:rPr>
      </w:pPr>
      <w:r w:rsidRPr="006B1C41">
        <w:rPr>
          <w:lang w:val="nl-BE"/>
        </w:rPr>
        <w:t xml:space="preserve">Alraimi, K. M., Zo, H., &amp; Ciganek, A. P. (2015). </w:t>
      </w:r>
      <w:r w:rsidRPr="006B1C41">
        <w:rPr>
          <w:lang w:val="en-US"/>
        </w:rPr>
        <w:t xml:space="preserve">Understanding the MOOCs continuance: The role of openness and reputation. </w:t>
      </w:r>
      <w:r w:rsidRPr="006B1C41">
        <w:rPr>
          <w:i/>
          <w:iCs/>
          <w:lang w:val="en-US"/>
        </w:rPr>
        <w:t>Computers &amp; Education, 80</w:t>
      </w:r>
      <w:r w:rsidRPr="006B1C41">
        <w:rPr>
          <w:lang w:val="en-US"/>
        </w:rPr>
        <w:t xml:space="preserve">, 28–38. </w:t>
      </w:r>
      <w:hyperlink r:id="rId20" w:history="1">
        <w:r w:rsidRPr="006B1C41">
          <w:rPr>
            <w:color w:val="0000FF"/>
            <w:u w:val="single"/>
            <w:lang w:val="en-US"/>
          </w:rPr>
          <w:t>https://doi.org/10.1016/j.compedu.2014.08.006</w:t>
        </w:r>
      </w:hyperlink>
    </w:p>
    <w:p w14:paraId="1E7089E7"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Alshehri, A. (2025). Reviewing grievances of automated decisions in UK administrative justice: Qualitative documentary analysis methodology. </w:t>
      </w:r>
      <w:r w:rsidRPr="006B1C41">
        <w:rPr>
          <w:i/>
          <w:iCs/>
          <w:lang w:val="en-US"/>
        </w:rPr>
        <w:t>Journal of Legal Research Methodology, 4</w:t>
      </w:r>
      <w:r w:rsidRPr="006B1C41">
        <w:rPr>
          <w:lang w:val="en-US"/>
        </w:rPr>
        <w:t xml:space="preserve">(1). </w:t>
      </w:r>
      <w:hyperlink r:id="rId21" w:history="1">
        <w:r w:rsidRPr="006B1C41">
          <w:rPr>
            <w:color w:val="0000FF"/>
            <w:u w:val="single"/>
            <w:lang w:val="en-US"/>
          </w:rPr>
          <w:t>https://doi.org/10.19164/jlrm.v4i1.1699</w:t>
        </w:r>
      </w:hyperlink>
    </w:p>
    <w:p w14:paraId="5E672BE6" w14:textId="77777777" w:rsidR="006B1C41" w:rsidRPr="006B1C41" w:rsidRDefault="006B1C41" w:rsidP="006B1C41">
      <w:pPr>
        <w:spacing w:before="100" w:beforeAutospacing="1" w:after="100" w:afterAutospacing="1"/>
        <w:ind w:left="540" w:hanging="540"/>
        <w:jc w:val="both"/>
        <w:rPr>
          <w:lang w:val="en-US"/>
        </w:rPr>
      </w:pPr>
      <w:r w:rsidRPr="006B1C41">
        <w:rPr>
          <w:lang w:val="nl-BE"/>
        </w:rPr>
        <w:lastRenderedPageBreak/>
        <w:t xml:space="preserve">Alterkait, M. A., &amp; Alduaij, M. Y. (2024). </w:t>
      </w:r>
      <w:r w:rsidRPr="006B1C41">
        <w:rPr>
          <w:lang w:val="en-US"/>
        </w:rPr>
        <w:t xml:space="preserve">Impact of information quality on satisfaction with e-learning platforms: Moderating role of instructor and learner quality. </w:t>
      </w:r>
      <w:r w:rsidRPr="006B1C41">
        <w:rPr>
          <w:i/>
          <w:iCs/>
          <w:lang w:val="en-US"/>
        </w:rPr>
        <w:t>SAGE Open, 14</w:t>
      </w:r>
      <w:r w:rsidRPr="006B1C41">
        <w:rPr>
          <w:lang w:val="en-US"/>
        </w:rPr>
        <w:t xml:space="preserve">(1), 1–13. </w:t>
      </w:r>
      <w:hyperlink r:id="rId22" w:history="1">
        <w:r w:rsidRPr="006B1C41">
          <w:rPr>
            <w:color w:val="0000FF"/>
            <w:u w:val="single"/>
            <w:lang w:val="en-US"/>
          </w:rPr>
          <w:t>https://doi.org/10.1177/21582440241233400</w:t>
        </w:r>
      </w:hyperlink>
    </w:p>
    <w:p w14:paraId="370BED3F"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Alyaqoub, R., Alsharairi, A., &amp; Aslam, M. Z. (2024). Elaboration of underpinning methods and data analysis process of directed qualitative content analysis for communication studies. </w:t>
      </w:r>
      <w:r w:rsidRPr="006B1C41">
        <w:rPr>
          <w:i/>
          <w:iCs/>
          <w:lang w:val="en-US"/>
        </w:rPr>
        <w:t>Journal of Intercultural Communication, 24</w:t>
      </w:r>
      <w:r w:rsidRPr="006B1C41">
        <w:rPr>
          <w:lang w:val="en-US"/>
        </w:rPr>
        <w:t xml:space="preserve">(2), 108–116. </w:t>
      </w:r>
      <w:hyperlink r:id="rId23" w:history="1">
        <w:r w:rsidRPr="006B1C41">
          <w:rPr>
            <w:color w:val="0000FF"/>
            <w:u w:val="single"/>
            <w:lang w:val="en-US"/>
          </w:rPr>
          <w:t>https://doi.org/10.36923/jicc.v24i2.573</w:t>
        </w:r>
      </w:hyperlink>
    </w:p>
    <w:p w14:paraId="5F9969CB"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Bruguera, C., Pagés, C., Peters, M., &amp; Fitó, À. (2025). Micro-credentials and soft skills in online education: The employers’ perspective. </w:t>
      </w:r>
      <w:r w:rsidRPr="006B1C41">
        <w:rPr>
          <w:i/>
          <w:iCs/>
          <w:lang w:val="en-US"/>
        </w:rPr>
        <w:t>Distance Education, 46</w:t>
      </w:r>
      <w:r w:rsidRPr="006B1C41">
        <w:rPr>
          <w:lang w:val="en-US"/>
        </w:rPr>
        <w:t xml:space="preserve">(1), 56–76. </w:t>
      </w:r>
      <w:hyperlink r:id="rId24" w:history="1">
        <w:r w:rsidRPr="006B1C41">
          <w:rPr>
            <w:color w:val="0000FF"/>
            <w:u w:val="single"/>
            <w:lang w:val="en-US"/>
          </w:rPr>
          <w:t>https://doi.org/10.1080/01587919.2024.2435645</w:t>
        </w:r>
      </w:hyperlink>
    </w:p>
    <w:p w14:paraId="1B7C7DC5"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Campos, R., Pereira dos Santos, R., &amp; Oliveira, J. (2025). Solutions and trends of recommendation systems for massive open online courses. </w:t>
      </w:r>
      <w:r w:rsidRPr="006B1C41">
        <w:rPr>
          <w:i/>
          <w:iCs/>
          <w:lang w:val="en-US"/>
        </w:rPr>
        <w:t>Technological Forecasting and Social Change, 217</w:t>
      </w:r>
      <w:r w:rsidRPr="006B1C41">
        <w:rPr>
          <w:lang w:val="en-US"/>
        </w:rPr>
        <w:t xml:space="preserve">, 124118. </w:t>
      </w:r>
      <w:hyperlink r:id="rId25" w:history="1">
        <w:r w:rsidRPr="006B1C41">
          <w:rPr>
            <w:color w:val="0000FF"/>
            <w:u w:val="single"/>
            <w:lang w:val="en-US"/>
          </w:rPr>
          <w:t>https://doi.org/10.1016/j.techfore.2025.124118</w:t>
        </w:r>
      </w:hyperlink>
    </w:p>
    <w:p w14:paraId="11F1AD0F"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Case, S. (2024). </w:t>
      </w:r>
      <w:r w:rsidRPr="006B1C41">
        <w:rPr>
          <w:i/>
          <w:iCs/>
          <w:lang w:val="en-US"/>
        </w:rPr>
        <w:t>Youth justice: Towards a contextualised understanding of policy-making</w:t>
      </w:r>
      <w:r w:rsidRPr="006B1C41">
        <w:rPr>
          <w:lang w:val="en-US"/>
        </w:rPr>
        <w:t xml:space="preserve">. Policy Press. </w:t>
      </w:r>
      <w:hyperlink r:id="rId26" w:history="1">
        <w:r w:rsidRPr="006B1C41">
          <w:rPr>
            <w:color w:val="0000FF"/>
            <w:u w:val="single"/>
            <w:lang w:val="en-US"/>
          </w:rPr>
          <w:t>https://doi.org/10.1332/policypress/9781447369660.001.0001</w:t>
        </w:r>
      </w:hyperlink>
    </w:p>
    <w:p w14:paraId="7F88DEA7"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Chen, S. H., Dums, J. T., &amp; Hasley, A. O. (2024). Building a valuable professional development course: Instructor effort vs. perceived student value of activities in an online biotechnology course. </w:t>
      </w:r>
      <w:r w:rsidRPr="006B1C41">
        <w:rPr>
          <w:i/>
          <w:iCs/>
          <w:lang w:val="en-US"/>
        </w:rPr>
        <w:t>Frontiers in Education, 9</w:t>
      </w:r>
      <w:r w:rsidRPr="006B1C41">
        <w:rPr>
          <w:lang w:val="en-US"/>
        </w:rPr>
        <w:t xml:space="preserve">, 1464387. </w:t>
      </w:r>
      <w:hyperlink r:id="rId27" w:history="1">
        <w:r w:rsidRPr="006B1C41">
          <w:rPr>
            <w:color w:val="0000FF"/>
            <w:u w:val="single"/>
            <w:lang w:val="en-US"/>
          </w:rPr>
          <w:t>https://doi.org/10.3389/feduc.2024.1464387</w:t>
        </w:r>
      </w:hyperlink>
    </w:p>
    <w:p w14:paraId="40D2B470"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Chen, X., Xie, H., Tao, X., Wang, F. L., &amp; Cao, J. (2024). Leveraging text mining and analytic hierarchy process for the automatic evaluation of online courses. </w:t>
      </w:r>
      <w:r w:rsidRPr="006B1C41">
        <w:rPr>
          <w:i/>
          <w:iCs/>
          <w:lang w:val="en-US"/>
        </w:rPr>
        <w:t>International Journal of Machine Learning and Cybernetics, 15</w:t>
      </w:r>
      <w:r w:rsidRPr="006B1C41">
        <w:rPr>
          <w:lang w:val="en-US"/>
        </w:rPr>
        <w:t xml:space="preserve">(11), 4973–4998. </w:t>
      </w:r>
      <w:hyperlink r:id="rId28" w:history="1">
        <w:r w:rsidRPr="006B1C41">
          <w:rPr>
            <w:color w:val="0000FF"/>
            <w:u w:val="single"/>
            <w:lang w:val="en-US"/>
          </w:rPr>
          <w:t>https://doi.org/10.1007/s13042-024-02203-6</w:t>
        </w:r>
      </w:hyperlink>
    </w:p>
    <w:p w14:paraId="6E610B9E" w14:textId="77777777" w:rsidR="006B1C41" w:rsidRPr="006B1C41" w:rsidRDefault="006B1C41" w:rsidP="006B1C41">
      <w:pPr>
        <w:spacing w:before="100" w:beforeAutospacing="1" w:after="100" w:afterAutospacing="1"/>
        <w:ind w:left="540" w:hanging="540"/>
        <w:jc w:val="both"/>
        <w:rPr>
          <w:lang w:val="en-US"/>
        </w:rPr>
      </w:pPr>
      <w:r w:rsidRPr="006B1C41">
        <w:rPr>
          <w:lang w:val="nl-BE"/>
        </w:rPr>
        <w:t xml:space="preserve">Chen, Z., Liu, M., &amp; Zhou, R. (2025). </w:t>
      </w:r>
      <w:r w:rsidRPr="006B1C41">
        <w:rPr>
          <w:lang w:val="en-US"/>
        </w:rPr>
        <w:t xml:space="preserve">The more the better? How excessive content and online interaction hinder the learning effectiveness of high-quality MOOCs. </w:t>
      </w:r>
      <w:r w:rsidRPr="006B1C41">
        <w:rPr>
          <w:i/>
          <w:iCs/>
          <w:lang w:val="en-US"/>
        </w:rPr>
        <w:t>British Journal of Educational Technology, 56</w:t>
      </w:r>
      <w:r w:rsidRPr="006B1C41">
        <w:rPr>
          <w:lang w:val="en-US"/>
        </w:rPr>
        <w:t xml:space="preserve">(4), 1640–1670. </w:t>
      </w:r>
      <w:hyperlink r:id="rId29" w:history="1">
        <w:r w:rsidRPr="006B1C41">
          <w:rPr>
            <w:color w:val="0000FF"/>
            <w:u w:val="single"/>
            <w:lang w:val="en-US"/>
          </w:rPr>
          <w:t>https://doi.org/10.1111/bjet.13539</w:t>
        </w:r>
      </w:hyperlink>
    </w:p>
    <w:p w14:paraId="1C07B1EC"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Shah, D. (2025, January 4). </w:t>
      </w:r>
      <w:r w:rsidRPr="006B1C41">
        <w:rPr>
          <w:i/>
          <w:iCs/>
          <w:lang w:val="en-US"/>
        </w:rPr>
        <w:t>The 100 most popular online courses (2025 edition).</w:t>
      </w:r>
      <w:r w:rsidRPr="006B1C41">
        <w:rPr>
          <w:lang w:val="en-US"/>
        </w:rPr>
        <w:t xml:space="preserve"> The Report by Class Central. </w:t>
      </w:r>
      <w:hyperlink r:id="rId30" w:history="1">
        <w:r w:rsidRPr="006B1C41">
          <w:rPr>
            <w:color w:val="0000FF"/>
            <w:u w:val="single"/>
            <w:lang w:val="en-US"/>
          </w:rPr>
          <w:t>https://www.classcentral.com/report/most-popular-courses-2025/</w:t>
        </w:r>
      </w:hyperlink>
    </w:p>
    <w:p w14:paraId="60BBE1C4"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Connelly, B. L., Certo, S. T., Ireland, R. D., &amp; Reutzel, C. R. (2011). Signaling theory: A review and assessment. </w:t>
      </w:r>
      <w:r w:rsidRPr="006B1C41">
        <w:rPr>
          <w:i/>
          <w:iCs/>
          <w:lang w:val="en-US"/>
        </w:rPr>
        <w:t>Journal of Management, 37</w:t>
      </w:r>
      <w:r w:rsidRPr="006B1C41">
        <w:rPr>
          <w:lang w:val="en-US"/>
        </w:rPr>
        <w:t xml:space="preserve">(1), 39–67. </w:t>
      </w:r>
      <w:hyperlink r:id="rId31" w:history="1">
        <w:r w:rsidRPr="006B1C41">
          <w:rPr>
            <w:color w:val="0000FF"/>
            <w:u w:val="single"/>
            <w:lang w:val="en-US"/>
          </w:rPr>
          <w:t>https://doi.org/10.1177/0149206310388419</w:t>
        </w:r>
      </w:hyperlink>
    </w:p>
    <w:p w14:paraId="22D0FCF0" w14:textId="77777777" w:rsidR="006B1C41" w:rsidRPr="006B1C41" w:rsidRDefault="006B1C41" w:rsidP="006B1C41">
      <w:pPr>
        <w:spacing w:before="100" w:beforeAutospacing="1" w:after="100" w:afterAutospacing="1"/>
        <w:ind w:left="540" w:hanging="540"/>
        <w:jc w:val="both"/>
        <w:rPr>
          <w:lang w:val="en-US"/>
        </w:rPr>
      </w:pPr>
      <w:r w:rsidRPr="006B1C41">
        <w:rPr>
          <w:lang w:val="en-US"/>
        </w:rPr>
        <w:lastRenderedPageBreak/>
        <w:t xml:space="preserve">Connelly, B. L., Certo, S. T., Reutzel, C. R., DesJardine, M. R., &amp; Zhou, Y. S. (2025). Signaling theory: State of the theory and its future. </w:t>
      </w:r>
      <w:r w:rsidRPr="006B1C41">
        <w:rPr>
          <w:i/>
          <w:iCs/>
          <w:lang w:val="en-US"/>
        </w:rPr>
        <w:t>Journal of Management, 51</w:t>
      </w:r>
      <w:r w:rsidRPr="006B1C41">
        <w:rPr>
          <w:lang w:val="en-US"/>
        </w:rPr>
        <w:t xml:space="preserve">(1), 24–61. </w:t>
      </w:r>
      <w:hyperlink r:id="rId32" w:history="1">
        <w:r w:rsidRPr="006B1C41">
          <w:rPr>
            <w:color w:val="0000FF"/>
            <w:u w:val="single"/>
            <w:lang w:val="en-US"/>
          </w:rPr>
          <w:t>https://doi.org/10.1177/01492063241268459</w:t>
        </w:r>
      </w:hyperlink>
    </w:p>
    <w:p w14:paraId="468449C5"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Coursera. (n.d.). </w:t>
      </w:r>
      <w:r w:rsidRPr="006B1C41">
        <w:rPr>
          <w:i/>
          <w:iCs/>
          <w:lang w:val="en-US"/>
        </w:rPr>
        <w:t>Partner with Coursera: Teach the world.</w:t>
      </w:r>
      <w:r w:rsidRPr="006B1C41">
        <w:rPr>
          <w:lang w:val="en-US"/>
        </w:rPr>
        <w:t xml:space="preserve"> Retrieved September 16, 2026, from </w:t>
      </w:r>
      <w:hyperlink r:id="rId33" w:history="1">
        <w:r w:rsidRPr="006B1C41">
          <w:rPr>
            <w:color w:val="0000FF"/>
            <w:u w:val="single"/>
            <w:lang w:val="en-US"/>
          </w:rPr>
          <w:t>https://www.coursera.org/partnerships</w:t>
        </w:r>
      </w:hyperlink>
    </w:p>
    <w:p w14:paraId="42F87478"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Deng, R., Benckendorff, P., &amp; Gannaway, D. (2019). Progress and new directions for teaching and learning in MOOCs. </w:t>
      </w:r>
      <w:r w:rsidRPr="006B1C41">
        <w:rPr>
          <w:i/>
          <w:iCs/>
          <w:lang w:val="en-US"/>
        </w:rPr>
        <w:t>Computers &amp; Education, 129</w:t>
      </w:r>
      <w:r w:rsidRPr="006B1C41">
        <w:rPr>
          <w:lang w:val="en-US"/>
        </w:rPr>
        <w:t xml:space="preserve">, 48–60. </w:t>
      </w:r>
      <w:hyperlink r:id="rId34" w:history="1">
        <w:r w:rsidRPr="006B1C41">
          <w:rPr>
            <w:color w:val="0000FF"/>
            <w:u w:val="single"/>
            <w:lang w:val="en-US"/>
          </w:rPr>
          <w:t>https://doi.org/10.1016/j.compedu.2018.10.019</w:t>
        </w:r>
      </w:hyperlink>
    </w:p>
    <w:p w14:paraId="509900A0"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Fife, S. T., &amp; Gossner, J. D. (2024). Deductive qualitative analysis: Evaluating, expanding, and refining theory. </w:t>
      </w:r>
      <w:r w:rsidRPr="006B1C41">
        <w:rPr>
          <w:i/>
          <w:iCs/>
          <w:lang w:val="en-US"/>
        </w:rPr>
        <w:t>International Journal of Qualitative Methods, 23</w:t>
      </w:r>
      <w:r w:rsidRPr="006B1C41">
        <w:rPr>
          <w:lang w:val="en-US"/>
        </w:rPr>
        <w:t xml:space="preserve">. </w:t>
      </w:r>
      <w:hyperlink r:id="rId35" w:history="1">
        <w:r w:rsidRPr="006B1C41">
          <w:rPr>
            <w:color w:val="0000FF"/>
            <w:u w:val="single"/>
            <w:lang w:val="en-US"/>
          </w:rPr>
          <w:t>https://doi.org/10.1177/16094069241244856</w:t>
        </w:r>
      </w:hyperlink>
    </w:p>
    <w:p w14:paraId="18B9DC95"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Gorbatov, S., Hamori, M., Khapova, S. N., Lysova, E. I., &amp; Oostrom, J. K. (2020). More than a course: Participation in MOOCs to signal professional value. In K. Setzekorn, C. Farrelly, N. S. Patnayakuni, &amp; T. Burton (Eds.), </w:t>
      </w:r>
      <w:r w:rsidRPr="006B1C41">
        <w:rPr>
          <w:i/>
          <w:iCs/>
          <w:lang w:val="en-US"/>
        </w:rPr>
        <w:t>Socioeconomics, diversity, and the politics of online education</w:t>
      </w:r>
      <w:r w:rsidRPr="006B1C41">
        <w:rPr>
          <w:lang w:val="en-US"/>
        </w:rPr>
        <w:t xml:space="preserve"> (pp. 50–77). IGI Global. </w:t>
      </w:r>
      <w:hyperlink r:id="rId36" w:history="1">
        <w:r w:rsidRPr="006B1C41">
          <w:rPr>
            <w:color w:val="0000FF"/>
            <w:u w:val="single"/>
            <w:lang w:val="en-US"/>
          </w:rPr>
          <w:t>https://doi.org/10.4018/978-1-7998-3583-7.ch004</w:t>
        </w:r>
      </w:hyperlink>
    </w:p>
    <w:p w14:paraId="2D500D88"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Griffiths, D., Burgos, D., &amp; Aceto, S. (2024). Open education and alternative digital credentials in Europe. </w:t>
      </w:r>
      <w:r w:rsidRPr="006B1C41">
        <w:rPr>
          <w:i/>
          <w:iCs/>
          <w:lang w:val="en-US"/>
        </w:rPr>
        <w:t>The International Review of Research in Open and Distributed Learning, 25</w:t>
      </w:r>
      <w:r w:rsidRPr="006B1C41">
        <w:rPr>
          <w:lang w:val="en-US"/>
        </w:rPr>
        <w:t xml:space="preserve">(1), 89–108. </w:t>
      </w:r>
      <w:hyperlink r:id="rId37" w:history="1">
        <w:r w:rsidRPr="006B1C41">
          <w:rPr>
            <w:color w:val="0000FF"/>
            <w:u w:val="single"/>
            <w:lang w:val="en-US"/>
          </w:rPr>
          <w:t>https://doi.org/10.19173/irrodl.v25i1.7412</w:t>
        </w:r>
      </w:hyperlink>
    </w:p>
    <w:p w14:paraId="7323E63B"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Thi Ngoc Ha, N., Van Dyke, N., Spittle, M., Watt, A., &amp; Smallridge, A. (2024). Micro-credentials through the eyes of employers: Benefits, challenges and enablers of effectiveness. </w:t>
      </w:r>
      <w:r w:rsidRPr="006B1C41">
        <w:rPr>
          <w:i/>
          <w:iCs/>
          <w:lang w:val="en-US"/>
        </w:rPr>
        <w:t>Education + Training, 66</w:t>
      </w:r>
      <w:r w:rsidRPr="006B1C41">
        <w:rPr>
          <w:lang w:val="en-US"/>
        </w:rPr>
        <w:t xml:space="preserve">(7), 948–963. </w:t>
      </w:r>
      <w:hyperlink r:id="rId38" w:history="1">
        <w:r w:rsidRPr="006B1C41">
          <w:rPr>
            <w:color w:val="0000FF"/>
            <w:u w:val="single"/>
            <w:lang w:val="en-US"/>
          </w:rPr>
          <w:t>https://doi.org/10.1108/ET-08-2023-0340</w:t>
        </w:r>
      </w:hyperlink>
    </w:p>
    <w:p w14:paraId="30F37BDC"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Hew, K. F., Hu, X., Qiao, C., &amp; Tang, Y. (2020). What predicts student satisfaction with MOOCs: A gradient boosting trees supervised machine learning and sentiment analysis approach. </w:t>
      </w:r>
      <w:r w:rsidRPr="006B1C41">
        <w:rPr>
          <w:i/>
          <w:iCs/>
          <w:lang w:val="en-US"/>
        </w:rPr>
        <w:t>Computers &amp; Education, 145</w:t>
      </w:r>
      <w:r w:rsidRPr="006B1C41">
        <w:rPr>
          <w:lang w:val="en-US"/>
        </w:rPr>
        <w:t xml:space="preserve">, 103724. </w:t>
      </w:r>
      <w:hyperlink r:id="rId39" w:history="1">
        <w:r w:rsidRPr="006B1C41">
          <w:rPr>
            <w:color w:val="0000FF"/>
            <w:u w:val="single"/>
            <w:lang w:val="en-US"/>
          </w:rPr>
          <w:t>https://doi.org/10.1016/j.compedu.2019.103724</w:t>
        </w:r>
      </w:hyperlink>
    </w:p>
    <w:p w14:paraId="07E382CA"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Jordan, K. (2015). Massive open online course completion rates revisited: Assessment, length and attrition. </w:t>
      </w:r>
      <w:r w:rsidRPr="006B1C41">
        <w:rPr>
          <w:i/>
          <w:iCs/>
          <w:lang w:val="en-US"/>
        </w:rPr>
        <w:t>The International Review of Research in Open and Distributed Learning, 16</w:t>
      </w:r>
      <w:r w:rsidRPr="006B1C41">
        <w:rPr>
          <w:lang w:val="en-US"/>
        </w:rPr>
        <w:t xml:space="preserve">(3). </w:t>
      </w:r>
      <w:hyperlink r:id="rId40" w:history="1">
        <w:r w:rsidRPr="006B1C41">
          <w:rPr>
            <w:color w:val="0000FF"/>
            <w:u w:val="single"/>
            <w:lang w:val="en-US"/>
          </w:rPr>
          <w:t>https://doi.org/10.19173/irrodl.v16i3.2112</w:t>
        </w:r>
      </w:hyperlink>
    </w:p>
    <w:p w14:paraId="3E1D2705"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Kässi, O., &amp; Lehdonvirta, V. (2024). Do microcredentials help new workers enter the market? Evidence from an online labor platform. </w:t>
      </w:r>
      <w:r w:rsidRPr="006B1C41">
        <w:rPr>
          <w:i/>
          <w:iCs/>
          <w:lang w:val="en-US"/>
        </w:rPr>
        <w:t>Journal of Human Resources, 59</w:t>
      </w:r>
      <w:r w:rsidRPr="006B1C41">
        <w:rPr>
          <w:lang w:val="en-US"/>
        </w:rPr>
        <w:t xml:space="preserve">(4), 1284–1318. </w:t>
      </w:r>
      <w:hyperlink r:id="rId41" w:history="1">
        <w:r w:rsidRPr="006B1C41">
          <w:rPr>
            <w:color w:val="0000FF"/>
            <w:u w:val="single"/>
            <w:lang w:val="en-US"/>
          </w:rPr>
          <w:t>https://doi.org/10.3368/jhr.0519-10226R3</w:t>
        </w:r>
      </w:hyperlink>
    </w:p>
    <w:p w14:paraId="7F6EC806"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Levinsson, H., Nilsson, A., Mårtensson, K., &amp; Persson, S. D. (2024). Course design as a stronger predictor of student evaluation of quality and student engagement </w:t>
      </w:r>
      <w:r w:rsidRPr="006B1C41">
        <w:rPr>
          <w:lang w:val="en-US"/>
        </w:rPr>
        <w:lastRenderedPageBreak/>
        <w:t xml:space="preserve">than teacher ratings. </w:t>
      </w:r>
      <w:r w:rsidRPr="006B1C41">
        <w:rPr>
          <w:i/>
          <w:iCs/>
          <w:lang w:val="en-US"/>
        </w:rPr>
        <w:t>Higher Education, 88</w:t>
      </w:r>
      <w:r w:rsidRPr="006B1C41">
        <w:rPr>
          <w:lang w:val="en-US"/>
        </w:rPr>
        <w:t xml:space="preserve">, 1997–2013. </w:t>
      </w:r>
      <w:hyperlink r:id="rId42" w:history="1">
        <w:r w:rsidRPr="006B1C41">
          <w:rPr>
            <w:color w:val="0000FF"/>
            <w:u w:val="single"/>
            <w:lang w:val="en-US"/>
          </w:rPr>
          <w:t>https://doi.org/10.1007/s10734-024-01197-y</w:t>
        </w:r>
      </w:hyperlink>
    </w:p>
    <w:p w14:paraId="57FC8CE2"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Lim, W. M. (2025). What is qualitative research? An overview and guidelines. </w:t>
      </w:r>
      <w:r w:rsidRPr="006B1C41">
        <w:rPr>
          <w:i/>
          <w:iCs/>
          <w:lang w:val="en-US"/>
        </w:rPr>
        <w:t>Australasian Marketing Journal, 33</w:t>
      </w:r>
      <w:r w:rsidRPr="006B1C41">
        <w:rPr>
          <w:lang w:val="en-US"/>
        </w:rPr>
        <w:t xml:space="preserve">(2), 199–229. </w:t>
      </w:r>
      <w:hyperlink r:id="rId43" w:history="1">
        <w:r w:rsidRPr="006B1C41">
          <w:rPr>
            <w:color w:val="0000FF"/>
            <w:u w:val="single"/>
            <w:lang w:val="en-US"/>
          </w:rPr>
          <w:t>https://doi.org/10.1177/14413582241264619</w:t>
        </w:r>
      </w:hyperlink>
    </w:p>
    <w:p w14:paraId="0EB599F0"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Lincoln, Y. S., &amp; Guba, E. G. (1985). </w:t>
      </w:r>
      <w:r w:rsidRPr="006B1C41">
        <w:rPr>
          <w:i/>
          <w:iCs/>
          <w:lang w:val="en-US"/>
        </w:rPr>
        <w:t>Naturalistic inquiry</w:t>
      </w:r>
      <w:r w:rsidRPr="006B1C41">
        <w:rPr>
          <w:lang w:val="en-US"/>
        </w:rPr>
        <w:t xml:space="preserve">. SAGE Publications. </w:t>
      </w:r>
      <w:hyperlink r:id="rId44" w:history="1">
        <w:r w:rsidRPr="006B1C41">
          <w:rPr>
            <w:color w:val="0000FF"/>
            <w:u w:val="single"/>
            <w:lang w:val="en-US"/>
          </w:rPr>
          <w:t>https://www.sagepub.com/shop/buy-a-book/naturalistic-inquiry-1-842</w:t>
        </w:r>
      </w:hyperlink>
    </w:p>
    <w:p w14:paraId="67DF4BE0"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Luo, R., Huang, R., &amp; Shi, G. (2026). Development and validation of an LMOOC quality evaluation scale: A large-scale mixed-method approach. </w:t>
      </w:r>
      <w:r w:rsidRPr="006B1C41">
        <w:rPr>
          <w:i/>
          <w:iCs/>
          <w:lang w:val="en-US"/>
        </w:rPr>
        <w:t>ReCALL, 38</w:t>
      </w:r>
      <w:r w:rsidRPr="006B1C41">
        <w:rPr>
          <w:lang w:val="en-US"/>
        </w:rPr>
        <w:t xml:space="preserve">(1), 4–21. </w:t>
      </w:r>
      <w:hyperlink r:id="rId45" w:history="1">
        <w:r w:rsidRPr="006B1C41">
          <w:rPr>
            <w:color w:val="0000FF"/>
            <w:u w:val="single"/>
            <w:lang w:val="en-US"/>
          </w:rPr>
          <w:t>https://doi.org/10.1017/S0958344025000072</w:t>
        </w:r>
      </w:hyperlink>
    </w:p>
    <w:p w14:paraId="7C6EB959"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McInnes, R., Hobson, J. E., Johnson, K. L., Cramp, J., Aitchison, C., &amp; Baldock, K. L. (2024). Online course quality evaluation instruments: A scoping review. </w:t>
      </w:r>
      <w:r w:rsidRPr="006B1C41">
        <w:rPr>
          <w:i/>
          <w:iCs/>
          <w:lang w:val="en-US"/>
        </w:rPr>
        <w:t>Australasian Journal of Educational Technology, 40</w:t>
      </w:r>
      <w:r w:rsidRPr="006B1C41">
        <w:rPr>
          <w:lang w:val="en-US"/>
        </w:rPr>
        <w:t xml:space="preserve">(2), 55–75. </w:t>
      </w:r>
      <w:hyperlink r:id="rId46" w:history="1">
        <w:r w:rsidRPr="006B1C41">
          <w:rPr>
            <w:color w:val="0000FF"/>
            <w:u w:val="single"/>
            <w:lang w:val="en-US"/>
          </w:rPr>
          <w:t>https://doi.org/10.14742/ajet.8978</w:t>
        </w:r>
      </w:hyperlink>
    </w:p>
    <w:p w14:paraId="3EC97787"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Mir, S. M., &amp; Khan, N. A. (2026). A systematic review of MOOC platforms, evaluation frameworks and development of integrated model. </w:t>
      </w:r>
      <w:r w:rsidRPr="006B1C41">
        <w:rPr>
          <w:i/>
          <w:iCs/>
          <w:lang w:val="en-US"/>
        </w:rPr>
        <w:t>Discover Education, 5</w:t>
      </w:r>
      <w:r w:rsidRPr="006B1C41">
        <w:rPr>
          <w:lang w:val="en-US"/>
        </w:rPr>
        <w:t xml:space="preserve">, 105. </w:t>
      </w:r>
      <w:hyperlink r:id="rId47" w:history="1">
        <w:r w:rsidRPr="006B1C41">
          <w:rPr>
            <w:color w:val="0000FF"/>
            <w:u w:val="single"/>
            <w:lang w:val="en-US"/>
          </w:rPr>
          <w:t>https://doi.org/10.1007/s44217-025-01085-2</w:t>
        </w:r>
      </w:hyperlink>
    </w:p>
    <w:p w14:paraId="51FB5AF8"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Narayanaswamy, R., Albers, C. S., Knotts, T. L., &amp; Albers, N. D. (2024). Sustaining and reinforcing the perceived value of higher education: E-learning with micro-credentials. </w:t>
      </w:r>
      <w:r w:rsidRPr="006B1C41">
        <w:rPr>
          <w:i/>
          <w:iCs/>
          <w:lang w:val="en-US"/>
        </w:rPr>
        <w:t>Sustainability, 16</w:t>
      </w:r>
      <w:r w:rsidRPr="006B1C41">
        <w:rPr>
          <w:lang w:val="en-US"/>
        </w:rPr>
        <w:t xml:space="preserve">(20), 8860. </w:t>
      </w:r>
      <w:hyperlink r:id="rId48" w:history="1">
        <w:r w:rsidRPr="006B1C41">
          <w:rPr>
            <w:color w:val="0000FF"/>
            <w:u w:val="single"/>
            <w:lang w:val="en-US"/>
          </w:rPr>
          <w:t>https://doi.org/10.3390/su16208860</w:t>
        </w:r>
      </w:hyperlink>
    </w:p>
    <w:p w14:paraId="32DDCFA2"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Noble, H., &amp; Smith, J. (2025). Ensuring validity and reliability in qualitative research. </w:t>
      </w:r>
      <w:r w:rsidRPr="006B1C41">
        <w:rPr>
          <w:i/>
          <w:iCs/>
          <w:lang w:val="en-US"/>
        </w:rPr>
        <w:t>Evidence-Based Nursing, 28</w:t>
      </w:r>
      <w:r w:rsidRPr="006B1C41">
        <w:rPr>
          <w:lang w:val="en-US"/>
        </w:rPr>
        <w:t xml:space="preserve">(4), 206–208. </w:t>
      </w:r>
      <w:hyperlink r:id="rId49" w:history="1">
        <w:r w:rsidRPr="006B1C41">
          <w:rPr>
            <w:color w:val="0000FF"/>
            <w:u w:val="single"/>
            <w:lang w:val="en-US"/>
          </w:rPr>
          <w:t>https://doi.org/10.1136/ebnurs-2024-104232</w:t>
        </w:r>
      </w:hyperlink>
    </w:p>
    <w:p w14:paraId="02735724"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Patra, S., Dutta, A. K., &amp; Upadhyay, P. (2024). MOOCs: Determinants of enrolment and completion rate among learners of higher education institutions in India. </w:t>
      </w:r>
      <w:r w:rsidRPr="006B1C41">
        <w:rPr>
          <w:i/>
          <w:iCs/>
          <w:lang w:val="en-US"/>
        </w:rPr>
        <w:t>Asian Journal of Education and Social Studies, 50</w:t>
      </w:r>
      <w:r w:rsidRPr="006B1C41">
        <w:rPr>
          <w:lang w:val="en-US"/>
        </w:rPr>
        <w:t xml:space="preserve">(4), 200–211. </w:t>
      </w:r>
      <w:hyperlink r:id="rId50" w:history="1">
        <w:r w:rsidRPr="006B1C41">
          <w:rPr>
            <w:color w:val="0000FF"/>
            <w:u w:val="single"/>
            <w:lang w:val="en-US"/>
          </w:rPr>
          <w:t>https://doi.org/10.9734/ajess/2024/v50i41323</w:t>
        </w:r>
      </w:hyperlink>
    </w:p>
    <w:p w14:paraId="1DE2B907"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Pörzse, G., &amp; Kenesei, Z. (2026). To enrol or not to enrol: What are the risks in choosing a massive open online course (MOOC)? </w:t>
      </w:r>
      <w:r w:rsidRPr="006B1C41">
        <w:rPr>
          <w:i/>
          <w:iCs/>
          <w:lang w:val="en-US"/>
        </w:rPr>
        <w:t>International Review of Education, 72</w:t>
      </w:r>
      <w:r w:rsidRPr="006B1C41">
        <w:rPr>
          <w:lang w:val="en-US"/>
        </w:rPr>
        <w:t xml:space="preserve">, 345–367. </w:t>
      </w:r>
      <w:hyperlink r:id="rId51" w:history="1">
        <w:r w:rsidRPr="006B1C41">
          <w:rPr>
            <w:color w:val="0000FF"/>
            <w:u w:val="single"/>
            <w:lang w:val="en-US"/>
          </w:rPr>
          <w:t>https://doi.org/10.1007/s11159-025-10170-5</w:t>
        </w:r>
      </w:hyperlink>
    </w:p>
    <w:p w14:paraId="1DE0F6D2"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Richardson, J. C., Koehler, A. A., Tagare, D., Urena-Rodriguez, L., Xu, Q., Zhang, Z., Fiock, H., Long, Y., &amp; Shams Ud Duha, M. (2025). Community of Inquiry design decisions across disciplines. </w:t>
      </w:r>
      <w:r w:rsidRPr="006B1C41">
        <w:rPr>
          <w:i/>
          <w:iCs/>
          <w:lang w:val="en-US"/>
        </w:rPr>
        <w:t>Journal of Computing in Higher Education, 37</w:t>
      </w:r>
      <w:r w:rsidRPr="006B1C41">
        <w:rPr>
          <w:lang w:val="en-US"/>
        </w:rPr>
        <w:t xml:space="preserve">, 1119–1160. </w:t>
      </w:r>
      <w:hyperlink r:id="rId52" w:history="1">
        <w:r w:rsidRPr="006B1C41">
          <w:rPr>
            <w:color w:val="0000FF"/>
            <w:u w:val="single"/>
            <w:lang w:val="en-US"/>
          </w:rPr>
          <w:t>https://doi.org/10.1007/s12528-024-09417-1</w:t>
        </w:r>
      </w:hyperlink>
    </w:p>
    <w:p w14:paraId="5A69A663" w14:textId="77777777" w:rsidR="006B1C41" w:rsidRPr="006B1C41" w:rsidRDefault="006B1C41" w:rsidP="006B1C41">
      <w:pPr>
        <w:spacing w:before="100" w:beforeAutospacing="1" w:after="100" w:afterAutospacing="1"/>
        <w:ind w:left="540" w:hanging="540"/>
        <w:jc w:val="both"/>
        <w:rPr>
          <w:lang w:val="en-US"/>
        </w:rPr>
      </w:pPr>
      <w:r w:rsidRPr="006B1C41">
        <w:rPr>
          <w:lang w:val="en-US"/>
        </w:rPr>
        <w:lastRenderedPageBreak/>
        <w:t xml:space="preserve">Rivas, M. J., Baker, R. B., &amp; Evans, B. J. (2020). Do MOOCs make you more marketable? An experimental analysis of the value of MOOCs relative to traditional credentials and experience. </w:t>
      </w:r>
      <w:r w:rsidRPr="006B1C41">
        <w:rPr>
          <w:i/>
          <w:iCs/>
          <w:lang w:val="en-US"/>
        </w:rPr>
        <w:t>AERA Open, 6</w:t>
      </w:r>
      <w:r w:rsidRPr="006B1C41">
        <w:rPr>
          <w:lang w:val="en-US"/>
        </w:rPr>
        <w:t xml:space="preserve">(4). </w:t>
      </w:r>
      <w:hyperlink r:id="rId53" w:history="1">
        <w:r w:rsidRPr="006B1C41">
          <w:rPr>
            <w:color w:val="0000FF"/>
            <w:u w:val="single"/>
            <w:lang w:val="en-US"/>
          </w:rPr>
          <w:t>https://doi.org/10.1177/2332858420973577</w:t>
        </w:r>
      </w:hyperlink>
    </w:p>
    <w:p w14:paraId="2221047A"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Shi, Y., &amp; Xu, A. T. (2024). A comparative study of Coursera and edX on unveiling the enigma of MOOC platforms’ signalling effects: A mixed-method approach. </w:t>
      </w:r>
      <w:r w:rsidRPr="006B1C41">
        <w:rPr>
          <w:i/>
          <w:iCs/>
          <w:lang w:val="en-US"/>
        </w:rPr>
        <w:t>ACIS 2024 Proceedings</w:t>
      </w:r>
      <w:r w:rsidRPr="006B1C41">
        <w:rPr>
          <w:lang w:val="en-US"/>
        </w:rPr>
        <w:t xml:space="preserve">. AIS Electronic Library. </w:t>
      </w:r>
      <w:hyperlink r:id="rId54" w:history="1">
        <w:r w:rsidRPr="006B1C41">
          <w:rPr>
            <w:color w:val="0000FF"/>
            <w:u w:val="single"/>
            <w:lang w:val="en-US"/>
          </w:rPr>
          <w:t>https://aisel.aisnet.org/acis2024/12</w:t>
        </w:r>
      </w:hyperlink>
    </w:p>
    <w:p w14:paraId="67B56DFF"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Srivastava, N., Nawaz, S., Tsai, Y.-S., &amp; Gašević, D. (2024). Curriculum analytics of course choices: Links with academic performance. </w:t>
      </w:r>
      <w:r w:rsidRPr="006B1C41">
        <w:rPr>
          <w:i/>
          <w:iCs/>
          <w:lang w:val="en-US"/>
        </w:rPr>
        <w:t>Journal of Learning Analytics, 11</w:t>
      </w:r>
      <w:r w:rsidRPr="006B1C41">
        <w:rPr>
          <w:lang w:val="en-US"/>
        </w:rPr>
        <w:t xml:space="preserve">(1), 116–131. </w:t>
      </w:r>
      <w:hyperlink r:id="rId55" w:history="1">
        <w:r w:rsidRPr="006B1C41">
          <w:rPr>
            <w:color w:val="0000FF"/>
            <w:u w:val="single"/>
            <w:lang w:val="en-US"/>
          </w:rPr>
          <w:t>https://doi.org/10.18608/jla.2024.8095</w:t>
        </w:r>
      </w:hyperlink>
    </w:p>
    <w:p w14:paraId="3649B9E3" w14:textId="77777777" w:rsidR="006B1C41" w:rsidRPr="006B1C41" w:rsidRDefault="006B1C41" w:rsidP="006B1C41">
      <w:pPr>
        <w:spacing w:before="100" w:beforeAutospacing="1" w:after="100" w:afterAutospacing="1"/>
        <w:ind w:left="540" w:hanging="540"/>
        <w:jc w:val="both"/>
        <w:rPr>
          <w:lang w:val="en-US"/>
        </w:rPr>
      </w:pPr>
      <w:r w:rsidRPr="006B1C41">
        <w:rPr>
          <w:lang w:val="nl-BE"/>
        </w:rPr>
        <w:t xml:space="preserve">Wang, J., Yang, X., &amp; Liu, D. (2024). </w:t>
      </w:r>
      <w:r w:rsidRPr="006B1C41">
        <w:rPr>
          <w:lang w:val="en-US"/>
        </w:rPr>
        <w:t xml:space="preserve">A comparison of the validity of online courses quality evaluation models. </w:t>
      </w:r>
      <w:r w:rsidRPr="006B1C41">
        <w:rPr>
          <w:i/>
          <w:iCs/>
          <w:lang w:val="en-US"/>
        </w:rPr>
        <w:t>International Journal of Web-Based Learning and Teaching Technologies, 19</w:t>
      </w:r>
      <w:r w:rsidRPr="006B1C41">
        <w:rPr>
          <w:lang w:val="en-US"/>
        </w:rPr>
        <w:t xml:space="preserve">(1), 1–17. </w:t>
      </w:r>
      <w:hyperlink r:id="rId56" w:history="1">
        <w:r w:rsidRPr="006B1C41">
          <w:rPr>
            <w:color w:val="0000FF"/>
            <w:u w:val="single"/>
            <w:lang w:val="en-US"/>
          </w:rPr>
          <w:t>https://doi.org/10.4018/IJWLTT.349984</w:t>
        </w:r>
      </w:hyperlink>
    </w:p>
    <w:p w14:paraId="456D02AB" w14:textId="77777777" w:rsidR="006B1C41" w:rsidRPr="006B1C41" w:rsidRDefault="006B1C41" w:rsidP="006B1C41">
      <w:pPr>
        <w:spacing w:before="100" w:beforeAutospacing="1" w:after="100" w:afterAutospacing="1"/>
        <w:ind w:left="540" w:hanging="540"/>
        <w:jc w:val="both"/>
        <w:rPr>
          <w:lang w:val="en-US"/>
        </w:rPr>
      </w:pPr>
      <w:r w:rsidRPr="006B1C41">
        <w:rPr>
          <w:lang w:val="nl-BE"/>
        </w:rPr>
        <w:t xml:space="preserve">Wang, S., &amp; Lee, S.-K. (2024). </w:t>
      </w:r>
      <w:r w:rsidRPr="006B1C41">
        <w:rPr>
          <w:lang w:val="en-US"/>
        </w:rPr>
        <w:t xml:space="preserve">Exploring the role of learning goal orientation, instructor reputation, parasocial interaction, and tutor intervention in university students’ MOOC retention: A TAM-TRA based examination. </w:t>
      </w:r>
      <w:r w:rsidRPr="006B1C41">
        <w:rPr>
          <w:i/>
          <w:iCs/>
          <w:lang w:val="en-US"/>
        </w:rPr>
        <w:t>PLOS ONE, 19</w:t>
      </w:r>
      <w:r w:rsidRPr="006B1C41">
        <w:rPr>
          <w:lang w:val="en-US"/>
        </w:rPr>
        <w:t xml:space="preserve">(9), e0299014. </w:t>
      </w:r>
      <w:hyperlink r:id="rId57" w:history="1">
        <w:r w:rsidRPr="006B1C41">
          <w:rPr>
            <w:color w:val="0000FF"/>
            <w:u w:val="single"/>
            <w:lang w:val="en-US"/>
          </w:rPr>
          <w:t>https://doi.org/10.1371/journal.pone.0299014</w:t>
        </w:r>
      </w:hyperlink>
    </w:p>
    <w:p w14:paraId="020C45B9"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Wang, W. Z., Chen, Y., Yang, Z., Hu, Y., Deveci, M., &amp; Tomášková, H. (2025). The quality appraisal of massive open online courses using decision support model. </w:t>
      </w:r>
      <w:r w:rsidRPr="006B1C41">
        <w:rPr>
          <w:i/>
          <w:iCs/>
          <w:lang w:val="en-US"/>
        </w:rPr>
        <w:t>Complex &amp; Intelligent Systems, 11</w:t>
      </w:r>
      <w:r w:rsidRPr="006B1C41">
        <w:rPr>
          <w:lang w:val="en-US"/>
        </w:rPr>
        <w:t xml:space="preserve">, 355. </w:t>
      </w:r>
      <w:hyperlink r:id="rId58" w:history="1">
        <w:r w:rsidRPr="006B1C41">
          <w:rPr>
            <w:color w:val="0000FF"/>
            <w:u w:val="single"/>
            <w:lang w:val="en-US"/>
          </w:rPr>
          <w:t>https://doi.org/10.1007/s40747-025-01927-4</w:t>
        </w:r>
      </w:hyperlink>
    </w:p>
    <w:p w14:paraId="2BDB7764"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Wenjing, X., Marešová, H., &amp; Khan, S. (2026). Micro-credentials in higher education: Transforming credentialing for lifelong learning and workforce alignment. </w:t>
      </w:r>
      <w:r w:rsidRPr="006B1C41">
        <w:rPr>
          <w:i/>
          <w:iCs/>
          <w:lang w:val="en-US"/>
        </w:rPr>
        <w:t>Frontiers in Computer Science, 8</w:t>
      </w:r>
      <w:r w:rsidRPr="006B1C41">
        <w:rPr>
          <w:lang w:val="en-US"/>
        </w:rPr>
        <w:t xml:space="preserve">, 1853493. </w:t>
      </w:r>
      <w:hyperlink r:id="rId59" w:history="1">
        <w:r w:rsidRPr="006B1C41">
          <w:rPr>
            <w:color w:val="0000FF"/>
            <w:u w:val="single"/>
            <w:lang w:val="en-US"/>
          </w:rPr>
          <w:t>https://doi.org/10.3389/fcomp.2026.1853493</w:t>
        </w:r>
      </w:hyperlink>
    </w:p>
    <w:p w14:paraId="1D7FFF1D" w14:textId="77777777" w:rsidR="006B1C41" w:rsidRPr="006B1C41" w:rsidRDefault="006B1C41" w:rsidP="006B1C41">
      <w:pPr>
        <w:spacing w:before="100" w:beforeAutospacing="1" w:after="100" w:afterAutospacing="1"/>
        <w:ind w:left="540" w:hanging="540"/>
        <w:jc w:val="both"/>
        <w:rPr>
          <w:lang w:val="en-US"/>
        </w:rPr>
      </w:pPr>
      <w:r w:rsidRPr="006B1C41">
        <w:rPr>
          <w:lang w:val="en-US"/>
        </w:rPr>
        <w:t xml:space="preserve">Yang, M. (2024). Unveiling the dynamics of platform ecosystems: Implications for education. </w:t>
      </w:r>
      <w:r w:rsidRPr="006B1C41">
        <w:rPr>
          <w:i/>
          <w:iCs/>
          <w:lang w:val="en-US"/>
        </w:rPr>
        <w:t>Journal of Global Research in Education and Social Science, 18</w:t>
      </w:r>
      <w:r w:rsidRPr="006B1C41">
        <w:rPr>
          <w:lang w:val="en-US"/>
        </w:rPr>
        <w:t xml:space="preserve">(1), 33–43. </w:t>
      </w:r>
      <w:hyperlink r:id="rId60" w:history="1">
        <w:r w:rsidRPr="006B1C41">
          <w:rPr>
            <w:color w:val="0000FF"/>
            <w:u w:val="single"/>
            <w:lang w:val="en-US"/>
          </w:rPr>
          <w:t>https://doi.org/10.56557/jogress/2024/v18i18599</w:t>
        </w:r>
      </w:hyperlink>
    </w:p>
    <w:p w14:paraId="526AC676" w14:textId="77777777" w:rsidR="006B1C41" w:rsidRPr="006B1C41" w:rsidRDefault="006B1C41" w:rsidP="006B1C41">
      <w:pPr>
        <w:spacing w:before="100" w:beforeAutospacing="1" w:after="100" w:afterAutospacing="1"/>
        <w:ind w:left="540" w:hanging="540"/>
        <w:jc w:val="both"/>
        <w:rPr>
          <w:lang w:val="en-US"/>
        </w:rPr>
      </w:pPr>
      <w:r w:rsidRPr="006B1C41">
        <w:rPr>
          <w:lang w:val="nl-BE"/>
        </w:rPr>
        <w:t xml:space="preserve">Yu, X., Mao, Q., Wang, X., Yin, Q., Che, X., &amp; Zheng, X. (2024). </w:t>
      </w:r>
      <w:r w:rsidRPr="006B1C41">
        <w:rPr>
          <w:lang w:val="en-US"/>
        </w:rPr>
        <w:t xml:space="preserve">CR-LCRP: Course recommendation based on learner–course relation prediction with data augmentation in a heterogeneous view. </w:t>
      </w:r>
      <w:r w:rsidRPr="006B1C41">
        <w:rPr>
          <w:i/>
          <w:iCs/>
          <w:lang w:val="en-US"/>
        </w:rPr>
        <w:t>Expert Systems with Applications, 249</w:t>
      </w:r>
      <w:r w:rsidRPr="006B1C41">
        <w:rPr>
          <w:lang w:val="en-US"/>
        </w:rPr>
        <w:t xml:space="preserve">, 123777. </w:t>
      </w:r>
      <w:hyperlink r:id="rId61" w:history="1">
        <w:r w:rsidRPr="006B1C41">
          <w:rPr>
            <w:color w:val="0000FF"/>
            <w:u w:val="single"/>
            <w:lang w:val="en-US"/>
          </w:rPr>
          <w:t>https://doi.org/10.1016/j.eswa.2024.123777</w:t>
        </w:r>
      </w:hyperlink>
    </w:p>
    <w:p w14:paraId="2572CC37" w14:textId="03AA869D" w:rsidR="00636540" w:rsidRPr="00636540" w:rsidRDefault="00636540" w:rsidP="006B1C41">
      <w:pPr>
        <w:pStyle w:val="NormalWeb"/>
        <w:spacing w:before="0" w:beforeAutospacing="0" w:after="0" w:afterAutospacing="0"/>
        <w:ind w:left="450" w:hanging="450"/>
        <w:rPr>
          <w:rFonts w:ascii="Arial" w:hAnsi="Arial" w:cs="Arial"/>
          <w:color w:val="000000" w:themeColor="text1"/>
          <w:sz w:val="20"/>
          <w:szCs w:val="20"/>
        </w:rPr>
      </w:pPr>
    </w:p>
    <w:sectPr w:rsidR="00636540" w:rsidRPr="00636540" w:rsidSect="00A17174">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D52A2" w14:textId="77777777" w:rsidR="00CA7B5F" w:rsidRDefault="00CA7B5F" w:rsidP="00C37E61">
      <w:r>
        <w:separator/>
      </w:r>
    </w:p>
  </w:endnote>
  <w:endnote w:type="continuationSeparator" w:id="0">
    <w:p w14:paraId="4331475A" w14:textId="77777777" w:rsidR="00CA7B5F" w:rsidRDefault="00CA7B5F"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D15A2" w14:textId="77777777" w:rsidR="00A17174" w:rsidRDefault="00A171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A8C3" w14:textId="77777777" w:rsidR="00A17174" w:rsidRDefault="00A171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0B65" w14:textId="77777777" w:rsidR="00754C9A" w:rsidRPr="00A17174" w:rsidRDefault="00754C9A" w:rsidP="00A171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FAA88"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C016B" w14:textId="77777777" w:rsidR="00CA7B5F" w:rsidRDefault="00CA7B5F" w:rsidP="00C37E61">
      <w:r>
        <w:separator/>
      </w:r>
    </w:p>
  </w:footnote>
  <w:footnote w:type="continuationSeparator" w:id="0">
    <w:p w14:paraId="4D4E89CA" w14:textId="77777777" w:rsidR="00CA7B5F" w:rsidRDefault="00CA7B5F"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F6E2" w14:textId="77777777" w:rsidR="00A17174" w:rsidRDefault="00000000">
    <w:pPr>
      <w:pStyle w:val="Header"/>
    </w:pPr>
    <w:r>
      <w:rPr>
        <w:noProof/>
      </w:rPr>
      <w:pict w14:anchorId="2125D3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26" o:spid="_x0000_s1033" type="#_x0000_t136" alt="" style="position:absolute;margin-left:0;margin-top:0;width:520.65pt;height:57.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969F" w14:textId="77777777" w:rsidR="00A17174" w:rsidRDefault="00000000">
    <w:pPr>
      <w:pStyle w:val="Header"/>
    </w:pPr>
    <w:r>
      <w:rPr>
        <w:noProof/>
      </w:rPr>
      <w:pict w14:anchorId="0D9582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27" o:spid="_x0000_s1032" type="#_x0000_t136" alt="" style="position:absolute;margin-left:0;margin-top:0;width:520.65pt;height:57.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95D09" w14:textId="77777777" w:rsidR="00296529" w:rsidRPr="00296529" w:rsidRDefault="00000000" w:rsidP="00296529">
    <w:pPr>
      <w:ind w:left="2160"/>
      <w:jc w:val="center"/>
      <w:rPr>
        <w:rFonts w:eastAsia="Calibri"/>
        <w:i/>
        <w:sz w:val="18"/>
        <w:szCs w:val="22"/>
      </w:rPr>
    </w:pPr>
    <w:r>
      <w:rPr>
        <w:noProof/>
      </w:rPr>
      <w:pict w14:anchorId="4B4EBA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25" o:spid="_x0000_s1031" type="#_x0000_t136" alt="" style="position:absolute;left:0;text-align:left;margin-left:0;margin-top:0;width:520.65pt;height:57.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3A32EFBF"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4F24452F" w14:textId="77777777" w:rsidR="00296529" w:rsidRPr="00296529" w:rsidRDefault="00754C9A" w:rsidP="00296529">
    <w:pPr>
      <w:jc w:val="center"/>
      <w:rPr>
        <w:rFonts w:eastAsia="Calibri"/>
        <w:i/>
        <w:sz w:val="18"/>
        <w:szCs w:val="22"/>
      </w:rPr>
    </w:pPr>
    <w:r>
      <w:rPr>
        <w:rFonts w:eastAsia="Calibri"/>
        <w:i/>
        <w:sz w:val="18"/>
        <w:szCs w:val="22"/>
      </w:rPr>
      <w:t>.</w:t>
    </w:r>
  </w:p>
  <w:p w14:paraId="3D7EEAE6"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490656B1"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133895AD"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7CD2CB5C"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D43E7" w14:textId="77777777" w:rsidR="00A17174" w:rsidRDefault="00000000">
    <w:pPr>
      <w:pStyle w:val="Header"/>
    </w:pPr>
    <w:r>
      <w:rPr>
        <w:noProof/>
      </w:rPr>
      <w:pict w14:anchorId="314C1C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29" o:spid="_x0000_s1030" type="#_x0000_t136" alt="" style="position:absolute;margin-left:0;margin-top:0;width:520.65pt;height:57.8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68E1BAA8">
        <v:shape id="_x0000_s1029" type="#_x0000_t136" alt="" style="position:absolute;margin-left:0;margin-top:0;width:520.65pt;height:57.8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EE0D" w14:textId="77777777" w:rsidR="00A17174" w:rsidRDefault="00000000">
    <w:pPr>
      <w:pStyle w:val="Header"/>
    </w:pPr>
    <w:r>
      <w:rPr>
        <w:noProof/>
      </w:rPr>
      <w:pict w14:anchorId="1BF75F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30" o:spid="_x0000_s1028" type="#_x0000_t136" alt="" style="position:absolute;margin-left:0;margin-top:0;width:520.65pt;height:57.8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30B0FF3F">
        <v:shape id="_x0000_s1027" type="#_x0000_t136" alt="" style="position:absolute;margin-left:0;margin-top:0;width:520.65pt;height:57.8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F5B4" w14:textId="77777777" w:rsidR="00A17174" w:rsidRPr="00296529" w:rsidRDefault="00000000" w:rsidP="00296529">
    <w:pPr>
      <w:ind w:left="2160"/>
      <w:jc w:val="center"/>
      <w:rPr>
        <w:rFonts w:eastAsia="Calibri"/>
        <w:i/>
        <w:sz w:val="18"/>
        <w:szCs w:val="22"/>
      </w:rPr>
    </w:pPr>
    <w:r>
      <w:rPr>
        <w:noProof/>
      </w:rPr>
      <w:pict w14:anchorId="7D0E85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28" o:spid="_x0000_s1026" type="#_x0000_t136" alt="" style="position:absolute;left:0;text-align:left;margin-left:0;margin-top:0;width:520.65pt;height:57.85pt;rotation:315;z-index:-251649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0A560269">
        <v:shape id="_x0000_s1025" type="#_x0000_t136" alt="" style="position:absolute;left:0;text-align:left;margin-left:0;margin-top:0;width:520.65pt;height:57.85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1BE4CDDD" w14:textId="77777777" w:rsidR="00A17174" w:rsidRPr="00296529" w:rsidRDefault="00A17174"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33BA5819" w14:textId="77777777" w:rsidR="00A17174" w:rsidRPr="00296529" w:rsidRDefault="00A17174" w:rsidP="00296529">
    <w:pPr>
      <w:jc w:val="center"/>
      <w:rPr>
        <w:rFonts w:eastAsia="Calibri"/>
        <w:i/>
        <w:sz w:val="18"/>
        <w:szCs w:val="22"/>
      </w:rPr>
    </w:pPr>
    <w:r>
      <w:rPr>
        <w:rFonts w:eastAsia="Calibri"/>
        <w:i/>
        <w:sz w:val="18"/>
        <w:szCs w:val="22"/>
      </w:rPr>
      <w:t>.</w:t>
    </w:r>
  </w:p>
  <w:p w14:paraId="0ED2957F" w14:textId="77777777" w:rsidR="00A17174" w:rsidRPr="00296529" w:rsidRDefault="00A17174"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3FBDD785" w14:textId="77777777" w:rsidR="00A17174" w:rsidRDefault="00A17174" w:rsidP="00296529">
    <w:pPr>
      <w:jc w:val="center"/>
      <w:rPr>
        <w:rFonts w:eastAsia="Calibri"/>
        <w:i/>
        <w:sz w:val="18"/>
        <w:szCs w:val="22"/>
      </w:rPr>
    </w:pPr>
    <w:r w:rsidRPr="00296529">
      <w:rPr>
        <w:rFonts w:eastAsia="Calibri"/>
        <w:i/>
        <w:sz w:val="18"/>
        <w:szCs w:val="22"/>
      </w:rPr>
      <w:t xml:space="preserve">                     </w:t>
    </w:r>
  </w:p>
  <w:p w14:paraId="7101CD80" w14:textId="77777777" w:rsidR="00A17174" w:rsidRDefault="00A17174" w:rsidP="00296529">
    <w:pPr>
      <w:tabs>
        <w:tab w:val="left" w:pos="2145"/>
      </w:tabs>
      <w:rPr>
        <w:rFonts w:eastAsia="Calibri"/>
        <w:i/>
        <w:sz w:val="18"/>
        <w:szCs w:val="22"/>
      </w:rPr>
    </w:pPr>
    <w:r>
      <w:rPr>
        <w:rFonts w:eastAsia="Calibri"/>
        <w:i/>
        <w:sz w:val="18"/>
        <w:szCs w:val="22"/>
      </w:rPr>
      <w:tab/>
      <w:t>.</w:t>
    </w:r>
  </w:p>
  <w:p w14:paraId="6D358C93" w14:textId="77777777" w:rsidR="00A17174" w:rsidRDefault="00A17174">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3D4406"/>
    <w:multiLevelType w:val="multilevel"/>
    <w:tmpl w:val="D20CC0F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379330E4"/>
    <w:multiLevelType w:val="multilevel"/>
    <w:tmpl w:val="B8E6C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3B0CA7"/>
    <w:multiLevelType w:val="multilevel"/>
    <w:tmpl w:val="4016E8C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1" w15:restartNumberingAfterBreak="0">
    <w:nsid w:val="525843B6"/>
    <w:multiLevelType w:val="multilevel"/>
    <w:tmpl w:val="A8C28BC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F55711"/>
    <w:multiLevelType w:val="hybridMultilevel"/>
    <w:tmpl w:val="E5D82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7"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9"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1"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4"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20"/>
  </w:num>
  <w:num w:numId="3" w16cid:durableId="25179208">
    <w:abstractNumId w:val="30"/>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7"/>
  </w:num>
  <w:num w:numId="6" w16cid:durableId="541678199">
    <w:abstractNumId w:val="6"/>
  </w:num>
  <w:num w:numId="7" w16cid:durableId="1753699232">
    <w:abstractNumId w:val="1"/>
  </w:num>
  <w:num w:numId="8" w16cid:durableId="592710641">
    <w:abstractNumId w:val="15"/>
  </w:num>
  <w:num w:numId="9" w16cid:durableId="976835453">
    <w:abstractNumId w:val="33"/>
  </w:num>
  <w:num w:numId="10" w16cid:durableId="249659283">
    <w:abstractNumId w:val="2"/>
  </w:num>
  <w:num w:numId="11" w16cid:durableId="1732656361">
    <w:abstractNumId w:val="25"/>
  </w:num>
  <w:num w:numId="12" w16cid:durableId="1657537769">
    <w:abstractNumId w:val="3"/>
  </w:num>
  <w:num w:numId="13" w16cid:durableId="1538161017">
    <w:abstractNumId w:val="24"/>
  </w:num>
  <w:num w:numId="14" w16cid:durableId="1156144008">
    <w:abstractNumId w:val="8"/>
  </w:num>
  <w:num w:numId="15" w16cid:durableId="283007475">
    <w:abstractNumId w:val="28"/>
  </w:num>
  <w:num w:numId="16" w16cid:durableId="1659307781">
    <w:abstractNumId w:val="5"/>
  </w:num>
  <w:num w:numId="17" w16cid:durableId="1898470046">
    <w:abstractNumId w:val="29"/>
  </w:num>
  <w:num w:numId="18" w16cid:durableId="73864778">
    <w:abstractNumId w:val="17"/>
  </w:num>
  <w:num w:numId="19" w16cid:durableId="713584812">
    <w:abstractNumId w:val="36"/>
  </w:num>
  <w:num w:numId="20" w16cid:durableId="453714349">
    <w:abstractNumId w:val="13"/>
  </w:num>
  <w:num w:numId="21" w16cid:durableId="1178041074">
    <w:abstractNumId w:val="10"/>
  </w:num>
  <w:num w:numId="22" w16cid:durableId="359479019">
    <w:abstractNumId w:val="16"/>
  </w:num>
  <w:num w:numId="23" w16cid:durableId="644360971">
    <w:abstractNumId w:val="26"/>
  </w:num>
  <w:num w:numId="24" w16cid:durableId="874537813">
    <w:abstractNumId w:val="34"/>
  </w:num>
  <w:num w:numId="25" w16cid:durableId="1393698916">
    <w:abstractNumId w:val="4"/>
  </w:num>
  <w:num w:numId="26" w16cid:durableId="629020859">
    <w:abstractNumId w:val="22"/>
  </w:num>
  <w:num w:numId="27" w16cid:durableId="1995836081">
    <w:abstractNumId w:val="27"/>
  </w:num>
  <w:num w:numId="28" w16cid:durableId="493186585">
    <w:abstractNumId w:val="35"/>
  </w:num>
  <w:num w:numId="29" w16cid:durableId="1522937024">
    <w:abstractNumId w:val="32"/>
  </w:num>
  <w:num w:numId="30" w16cid:durableId="319311731">
    <w:abstractNumId w:val="11"/>
  </w:num>
  <w:num w:numId="31" w16cid:durableId="855971305">
    <w:abstractNumId w:val="9"/>
  </w:num>
  <w:num w:numId="32" w16cid:durableId="206531686">
    <w:abstractNumId w:val="31"/>
  </w:num>
  <w:num w:numId="33" w16cid:durableId="1325476200">
    <w:abstractNumId w:val="12"/>
  </w:num>
  <w:num w:numId="34" w16cid:durableId="710956616">
    <w:abstractNumId w:val="18"/>
  </w:num>
  <w:num w:numId="35" w16cid:durableId="1935437038">
    <w:abstractNumId w:val="19"/>
  </w:num>
  <w:num w:numId="36" w16cid:durableId="1111776243">
    <w:abstractNumId w:val="14"/>
  </w:num>
  <w:num w:numId="37" w16cid:durableId="825586876">
    <w:abstractNumId w:val="21"/>
  </w:num>
  <w:num w:numId="38" w16cid:durableId="152825581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40A6"/>
    <w:rsid w:val="0000448F"/>
    <w:rsid w:val="00007D93"/>
    <w:rsid w:val="00013DDC"/>
    <w:rsid w:val="00017722"/>
    <w:rsid w:val="00030174"/>
    <w:rsid w:val="000404FE"/>
    <w:rsid w:val="0004579C"/>
    <w:rsid w:val="00045C72"/>
    <w:rsid w:val="00055FCE"/>
    <w:rsid w:val="000A47FA"/>
    <w:rsid w:val="000A65D3"/>
    <w:rsid w:val="000B1E33"/>
    <w:rsid w:val="000B5B2A"/>
    <w:rsid w:val="000D0E11"/>
    <w:rsid w:val="000D689F"/>
    <w:rsid w:val="000E7B7B"/>
    <w:rsid w:val="000E7D62"/>
    <w:rsid w:val="00103357"/>
    <w:rsid w:val="001064A5"/>
    <w:rsid w:val="0012183F"/>
    <w:rsid w:val="00123C9F"/>
    <w:rsid w:val="00126190"/>
    <w:rsid w:val="00130F17"/>
    <w:rsid w:val="001320BF"/>
    <w:rsid w:val="00163BC4"/>
    <w:rsid w:val="001739B2"/>
    <w:rsid w:val="00180FAB"/>
    <w:rsid w:val="00183FA9"/>
    <w:rsid w:val="00191062"/>
    <w:rsid w:val="00192B72"/>
    <w:rsid w:val="001A29D8"/>
    <w:rsid w:val="001A5CAA"/>
    <w:rsid w:val="001B0427"/>
    <w:rsid w:val="001C6056"/>
    <w:rsid w:val="001D3A51"/>
    <w:rsid w:val="001E10D2"/>
    <w:rsid w:val="001E25B4"/>
    <w:rsid w:val="001E44FE"/>
    <w:rsid w:val="001F3917"/>
    <w:rsid w:val="00200595"/>
    <w:rsid w:val="00201442"/>
    <w:rsid w:val="0020183E"/>
    <w:rsid w:val="00204835"/>
    <w:rsid w:val="00231920"/>
    <w:rsid w:val="0023195C"/>
    <w:rsid w:val="0024282C"/>
    <w:rsid w:val="00244F25"/>
    <w:rsid w:val="002455E6"/>
    <w:rsid w:val="002460DC"/>
    <w:rsid w:val="00250985"/>
    <w:rsid w:val="002556F6"/>
    <w:rsid w:val="0026707F"/>
    <w:rsid w:val="002815E6"/>
    <w:rsid w:val="00283105"/>
    <w:rsid w:val="00284C4C"/>
    <w:rsid w:val="00287E68"/>
    <w:rsid w:val="00296529"/>
    <w:rsid w:val="002B27FB"/>
    <w:rsid w:val="002B685A"/>
    <w:rsid w:val="002C16A2"/>
    <w:rsid w:val="002C2BE9"/>
    <w:rsid w:val="002C57D2"/>
    <w:rsid w:val="002E0D56"/>
    <w:rsid w:val="002F11E0"/>
    <w:rsid w:val="002F322E"/>
    <w:rsid w:val="00312CEB"/>
    <w:rsid w:val="0031390C"/>
    <w:rsid w:val="00315186"/>
    <w:rsid w:val="00333201"/>
    <w:rsid w:val="0033343E"/>
    <w:rsid w:val="00344BA2"/>
    <w:rsid w:val="003512C2"/>
    <w:rsid w:val="00360E33"/>
    <w:rsid w:val="0036457D"/>
    <w:rsid w:val="00371FB6"/>
    <w:rsid w:val="003763C1"/>
    <w:rsid w:val="00376BBE"/>
    <w:rsid w:val="00386261"/>
    <w:rsid w:val="0039224F"/>
    <w:rsid w:val="003A43A4"/>
    <w:rsid w:val="003A7E18"/>
    <w:rsid w:val="003B14C4"/>
    <w:rsid w:val="003B4D94"/>
    <w:rsid w:val="003C4C86"/>
    <w:rsid w:val="003C6258"/>
    <w:rsid w:val="003E2904"/>
    <w:rsid w:val="003E6688"/>
    <w:rsid w:val="00401927"/>
    <w:rsid w:val="0041027F"/>
    <w:rsid w:val="00412475"/>
    <w:rsid w:val="00423789"/>
    <w:rsid w:val="004243E6"/>
    <w:rsid w:val="00440F43"/>
    <w:rsid w:val="00441B6F"/>
    <w:rsid w:val="00446221"/>
    <w:rsid w:val="00450E62"/>
    <w:rsid w:val="0045381C"/>
    <w:rsid w:val="004539DB"/>
    <w:rsid w:val="00471A80"/>
    <w:rsid w:val="00472000"/>
    <w:rsid w:val="004973B8"/>
    <w:rsid w:val="004B6832"/>
    <w:rsid w:val="004C2541"/>
    <w:rsid w:val="004C6910"/>
    <w:rsid w:val="004D305E"/>
    <w:rsid w:val="004D3E28"/>
    <w:rsid w:val="004D4277"/>
    <w:rsid w:val="004E1273"/>
    <w:rsid w:val="005014AD"/>
    <w:rsid w:val="00502516"/>
    <w:rsid w:val="00505F06"/>
    <w:rsid w:val="00506828"/>
    <w:rsid w:val="0053056E"/>
    <w:rsid w:val="00554FDA"/>
    <w:rsid w:val="005C784C"/>
    <w:rsid w:val="005D17F6"/>
    <w:rsid w:val="005E5539"/>
    <w:rsid w:val="00602BF5"/>
    <w:rsid w:val="00617FDD"/>
    <w:rsid w:val="00633614"/>
    <w:rsid w:val="00633F68"/>
    <w:rsid w:val="00636540"/>
    <w:rsid w:val="00636EB2"/>
    <w:rsid w:val="00637219"/>
    <w:rsid w:val="006375B8"/>
    <w:rsid w:val="00654682"/>
    <w:rsid w:val="0066510A"/>
    <w:rsid w:val="00673F9F"/>
    <w:rsid w:val="00686953"/>
    <w:rsid w:val="00687DEA"/>
    <w:rsid w:val="00687E67"/>
    <w:rsid w:val="006909DC"/>
    <w:rsid w:val="006967F7"/>
    <w:rsid w:val="006A250C"/>
    <w:rsid w:val="006B1C41"/>
    <w:rsid w:val="006B21D3"/>
    <w:rsid w:val="006B404C"/>
    <w:rsid w:val="006B57D0"/>
    <w:rsid w:val="006D30FF"/>
    <w:rsid w:val="006D3648"/>
    <w:rsid w:val="006D6940"/>
    <w:rsid w:val="006F11EC"/>
    <w:rsid w:val="006F3343"/>
    <w:rsid w:val="0070082C"/>
    <w:rsid w:val="007107AE"/>
    <w:rsid w:val="00725077"/>
    <w:rsid w:val="007369E6"/>
    <w:rsid w:val="00746E59"/>
    <w:rsid w:val="00754C9A"/>
    <w:rsid w:val="007556F4"/>
    <w:rsid w:val="0075599A"/>
    <w:rsid w:val="00761D52"/>
    <w:rsid w:val="0077749E"/>
    <w:rsid w:val="00790ADA"/>
    <w:rsid w:val="00797514"/>
    <w:rsid w:val="007A109F"/>
    <w:rsid w:val="007B172E"/>
    <w:rsid w:val="007C0507"/>
    <w:rsid w:val="007D2288"/>
    <w:rsid w:val="007E088F"/>
    <w:rsid w:val="007E7C94"/>
    <w:rsid w:val="007F7B32"/>
    <w:rsid w:val="00803527"/>
    <w:rsid w:val="00804BC2"/>
    <w:rsid w:val="00805F9F"/>
    <w:rsid w:val="0081431A"/>
    <w:rsid w:val="0083216F"/>
    <w:rsid w:val="00860000"/>
    <w:rsid w:val="00863BD3"/>
    <w:rsid w:val="008641ED"/>
    <w:rsid w:val="00866D66"/>
    <w:rsid w:val="008671C6"/>
    <w:rsid w:val="00875803"/>
    <w:rsid w:val="008833D1"/>
    <w:rsid w:val="008A5658"/>
    <w:rsid w:val="008B3F0D"/>
    <w:rsid w:val="008B459E"/>
    <w:rsid w:val="008E13AE"/>
    <w:rsid w:val="008E1506"/>
    <w:rsid w:val="008E710C"/>
    <w:rsid w:val="008F69D6"/>
    <w:rsid w:val="00902823"/>
    <w:rsid w:val="009034BF"/>
    <w:rsid w:val="00915CA6"/>
    <w:rsid w:val="00927834"/>
    <w:rsid w:val="00946635"/>
    <w:rsid w:val="009500A6"/>
    <w:rsid w:val="00957C18"/>
    <w:rsid w:val="00964D0D"/>
    <w:rsid w:val="009659BA"/>
    <w:rsid w:val="009735FB"/>
    <w:rsid w:val="00983040"/>
    <w:rsid w:val="00984661"/>
    <w:rsid w:val="009B3FB9"/>
    <w:rsid w:val="009B6B47"/>
    <w:rsid w:val="009C2465"/>
    <w:rsid w:val="009D35A0"/>
    <w:rsid w:val="009D4E33"/>
    <w:rsid w:val="009D7EB7"/>
    <w:rsid w:val="009E048A"/>
    <w:rsid w:val="009E08E9"/>
    <w:rsid w:val="009E3DB9"/>
    <w:rsid w:val="009E6E35"/>
    <w:rsid w:val="009F0EDA"/>
    <w:rsid w:val="00A03B96"/>
    <w:rsid w:val="00A05B19"/>
    <w:rsid w:val="00A1134E"/>
    <w:rsid w:val="00A12423"/>
    <w:rsid w:val="00A17174"/>
    <w:rsid w:val="00A24E7E"/>
    <w:rsid w:val="00A258C3"/>
    <w:rsid w:val="00A347C0"/>
    <w:rsid w:val="00A50107"/>
    <w:rsid w:val="00A51431"/>
    <w:rsid w:val="00A539AD"/>
    <w:rsid w:val="00A643A7"/>
    <w:rsid w:val="00A6479D"/>
    <w:rsid w:val="00A6649A"/>
    <w:rsid w:val="00A7654B"/>
    <w:rsid w:val="00A94063"/>
    <w:rsid w:val="00AA6219"/>
    <w:rsid w:val="00AA74E0"/>
    <w:rsid w:val="00AB703F"/>
    <w:rsid w:val="00AC6BB8"/>
    <w:rsid w:val="00AE008F"/>
    <w:rsid w:val="00B01FCD"/>
    <w:rsid w:val="00B1776C"/>
    <w:rsid w:val="00B22429"/>
    <w:rsid w:val="00B2615A"/>
    <w:rsid w:val="00B344FF"/>
    <w:rsid w:val="00B52583"/>
    <w:rsid w:val="00B52896"/>
    <w:rsid w:val="00B57BC1"/>
    <w:rsid w:val="00B95236"/>
    <w:rsid w:val="00B96BD9"/>
    <w:rsid w:val="00BA1B01"/>
    <w:rsid w:val="00BA2641"/>
    <w:rsid w:val="00BB37AA"/>
    <w:rsid w:val="00BC53A0"/>
    <w:rsid w:val="00BC77C7"/>
    <w:rsid w:val="00BE20E1"/>
    <w:rsid w:val="00BE62AD"/>
    <w:rsid w:val="00BF121F"/>
    <w:rsid w:val="00BF1F80"/>
    <w:rsid w:val="00BF5421"/>
    <w:rsid w:val="00C079FD"/>
    <w:rsid w:val="00C166EF"/>
    <w:rsid w:val="00C17EB0"/>
    <w:rsid w:val="00C27F5F"/>
    <w:rsid w:val="00C30A0F"/>
    <w:rsid w:val="00C37E61"/>
    <w:rsid w:val="00C42725"/>
    <w:rsid w:val="00C50E31"/>
    <w:rsid w:val="00C631CD"/>
    <w:rsid w:val="00C70F1B"/>
    <w:rsid w:val="00C71A47"/>
    <w:rsid w:val="00C721AF"/>
    <w:rsid w:val="00C7464C"/>
    <w:rsid w:val="00C82F85"/>
    <w:rsid w:val="00C85588"/>
    <w:rsid w:val="00CA7B5F"/>
    <w:rsid w:val="00CD6755"/>
    <w:rsid w:val="00CD6856"/>
    <w:rsid w:val="00CE0089"/>
    <w:rsid w:val="00CE793C"/>
    <w:rsid w:val="00CF193C"/>
    <w:rsid w:val="00D00E39"/>
    <w:rsid w:val="00D173F1"/>
    <w:rsid w:val="00D32EE8"/>
    <w:rsid w:val="00D348E9"/>
    <w:rsid w:val="00D74CB0"/>
    <w:rsid w:val="00D7505C"/>
    <w:rsid w:val="00D8295D"/>
    <w:rsid w:val="00D83B1A"/>
    <w:rsid w:val="00D848F2"/>
    <w:rsid w:val="00D91944"/>
    <w:rsid w:val="00DA05CD"/>
    <w:rsid w:val="00DC2A65"/>
    <w:rsid w:val="00DE15F0"/>
    <w:rsid w:val="00DE5663"/>
    <w:rsid w:val="00DE78AA"/>
    <w:rsid w:val="00E053D0"/>
    <w:rsid w:val="00E15994"/>
    <w:rsid w:val="00E16642"/>
    <w:rsid w:val="00E24FB2"/>
    <w:rsid w:val="00E3114E"/>
    <w:rsid w:val="00E31A70"/>
    <w:rsid w:val="00E35B02"/>
    <w:rsid w:val="00E379DE"/>
    <w:rsid w:val="00E57BDA"/>
    <w:rsid w:val="00E66496"/>
    <w:rsid w:val="00E66B35"/>
    <w:rsid w:val="00E66E10"/>
    <w:rsid w:val="00E769F6"/>
    <w:rsid w:val="00E8407C"/>
    <w:rsid w:val="00E84F3C"/>
    <w:rsid w:val="00E86B2A"/>
    <w:rsid w:val="00EA012C"/>
    <w:rsid w:val="00EA3341"/>
    <w:rsid w:val="00EB5A3B"/>
    <w:rsid w:val="00EC6A55"/>
    <w:rsid w:val="00ED0288"/>
    <w:rsid w:val="00EE52CB"/>
    <w:rsid w:val="00EF581D"/>
    <w:rsid w:val="00EF7FD8"/>
    <w:rsid w:val="00F06F59"/>
    <w:rsid w:val="00F17988"/>
    <w:rsid w:val="00F469F0"/>
    <w:rsid w:val="00F53273"/>
    <w:rsid w:val="00F7506A"/>
    <w:rsid w:val="00F755E4"/>
    <w:rsid w:val="00F77D02"/>
    <w:rsid w:val="00FB3A86"/>
    <w:rsid w:val="00FC4AE7"/>
    <w:rsid w:val="00FC5CD1"/>
    <w:rsid w:val="00FD36C8"/>
    <w:rsid w:val="00FE2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860B3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201"/>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paragraph" w:customStyle="1" w:styleId="isselectedend">
    <w:name w:val="isselectedend"/>
    <w:basedOn w:val="Normal"/>
    <w:rsid w:val="00797514"/>
    <w:pPr>
      <w:spacing w:before="100" w:beforeAutospacing="1" w:after="100" w:afterAutospacing="1"/>
    </w:pPr>
  </w:style>
  <w:style w:type="paragraph" w:customStyle="1" w:styleId="pdq2pgselectionanchorcontainer">
    <w:name w:val="pdq2pg_selectionanchorcontainer"/>
    <w:basedOn w:val="Normal"/>
    <w:rsid w:val="00007D93"/>
    <w:pPr>
      <w:spacing w:before="100" w:beforeAutospacing="1" w:after="100" w:afterAutospacing="1"/>
    </w:pPr>
  </w:style>
  <w:style w:type="paragraph" w:styleId="ListParagraph">
    <w:name w:val="List Paragraph"/>
    <w:basedOn w:val="Normal"/>
    <w:uiPriority w:val="34"/>
    <w:qFormat/>
    <w:rsid w:val="006B1C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glmedi.2024.100051" TargetMode="External"/><Relationship Id="rId26" Type="http://schemas.openxmlformats.org/officeDocument/2006/relationships/hyperlink" Target="https://doi.org/10.1332/policypress/9781447369660.001.0001" TargetMode="External"/><Relationship Id="rId39" Type="http://schemas.openxmlformats.org/officeDocument/2006/relationships/hyperlink" Target="https://doi.org/10.1016/j.compedu.2019.103724" TargetMode="External"/><Relationship Id="rId21" Type="http://schemas.openxmlformats.org/officeDocument/2006/relationships/hyperlink" Target="https://doi.org/10.19164/jlrm.v4i1.1699" TargetMode="External"/><Relationship Id="rId34" Type="http://schemas.openxmlformats.org/officeDocument/2006/relationships/hyperlink" Target="https://doi.org/10.1016/j.compedu.2018.10.019" TargetMode="External"/><Relationship Id="rId42" Type="http://schemas.openxmlformats.org/officeDocument/2006/relationships/hyperlink" Target="https://doi.org/10.1007/s10734-024-01197-y" TargetMode="External"/><Relationship Id="rId47" Type="http://schemas.openxmlformats.org/officeDocument/2006/relationships/hyperlink" Target="https://doi.org/10.1007/s44217-025-01085-2" TargetMode="External"/><Relationship Id="rId50" Type="http://schemas.openxmlformats.org/officeDocument/2006/relationships/hyperlink" Target="https://doi.org/10.9734/ajess/2024/v50i41323" TargetMode="External"/><Relationship Id="rId55" Type="http://schemas.openxmlformats.org/officeDocument/2006/relationships/hyperlink" Target="https://doi.org/10.18608/jla.2024.8095"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111/bjet.13539" TargetMode="External"/><Relationship Id="rId11" Type="http://schemas.openxmlformats.org/officeDocument/2006/relationships/footer" Target="footer2.xml"/><Relationship Id="rId24" Type="http://schemas.openxmlformats.org/officeDocument/2006/relationships/hyperlink" Target="https://doi.org/10.1080/01587919.2024.2435645" TargetMode="External"/><Relationship Id="rId32" Type="http://schemas.openxmlformats.org/officeDocument/2006/relationships/hyperlink" Target="https://doi.org/10.1177/01492063241268459" TargetMode="External"/><Relationship Id="rId37" Type="http://schemas.openxmlformats.org/officeDocument/2006/relationships/hyperlink" Target="https://doi.org/10.19173/irrodl.v25i1.7412" TargetMode="External"/><Relationship Id="rId40" Type="http://schemas.openxmlformats.org/officeDocument/2006/relationships/hyperlink" Target="https://doi.org/10.19173/irrodl.v16i3.2112" TargetMode="External"/><Relationship Id="rId45" Type="http://schemas.openxmlformats.org/officeDocument/2006/relationships/hyperlink" Target="https://doi.org/10.1017/S0958344025000072" TargetMode="External"/><Relationship Id="rId53" Type="http://schemas.openxmlformats.org/officeDocument/2006/relationships/hyperlink" Target="https://doi.org/10.1177/2332858420973577" TargetMode="External"/><Relationship Id="rId58" Type="http://schemas.openxmlformats.org/officeDocument/2006/relationships/hyperlink" Target="https://doi.org/10.1007/s40747-025-01927-4" TargetMode="External"/><Relationship Id="rId5" Type="http://schemas.openxmlformats.org/officeDocument/2006/relationships/webSettings" Target="webSettings.xml"/><Relationship Id="rId61" Type="http://schemas.openxmlformats.org/officeDocument/2006/relationships/hyperlink" Target="https://doi.org/10.1016/j.eswa.2024.123777" TargetMode="External"/><Relationship Id="rId19" Type="http://schemas.openxmlformats.org/officeDocument/2006/relationships/hyperlink" Target="https://doi.org/10.1108/ET-07-2023-0282" TargetMode="External"/><Relationship Id="rId14" Type="http://schemas.openxmlformats.org/officeDocument/2006/relationships/header" Target="header4.xml"/><Relationship Id="rId22" Type="http://schemas.openxmlformats.org/officeDocument/2006/relationships/hyperlink" Target="https://doi.org/10.1177/21582440241233400" TargetMode="External"/><Relationship Id="rId27" Type="http://schemas.openxmlformats.org/officeDocument/2006/relationships/hyperlink" Target="https://doi.org/10.3389/feduc.2024.1464387" TargetMode="External"/><Relationship Id="rId30" Type="http://schemas.openxmlformats.org/officeDocument/2006/relationships/hyperlink" Target="https://www.classcentral.com/report/most-popular-courses-2025/" TargetMode="External"/><Relationship Id="rId35" Type="http://schemas.openxmlformats.org/officeDocument/2006/relationships/hyperlink" Target="https://doi.org/10.1177/16094069241244856" TargetMode="External"/><Relationship Id="rId43" Type="http://schemas.openxmlformats.org/officeDocument/2006/relationships/hyperlink" Target="https://doi.org/10.1177/14413582241264619" TargetMode="External"/><Relationship Id="rId48" Type="http://schemas.openxmlformats.org/officeDocument/2006/relationships/hyperlink" Target="https://doi.org/10.3390/su16208860" TargetMode="External"/><Relationship Id="rId56" Type="http://schemas.openxmlformats.org/officeDocument/2006/relationships/hyperlink" Target="https://doi.org/10.4018/IJWLTT.349984" TargetMode="External"/><Relationship Id="rId8" Type="http://schemas.openxmlformats.org/officeDocument/2006/relationships/header" Target="header1.xml"/><Relationship Id="rId51" Type="http://schemas.openxmlformats.org/officeDocument/2006/relationships/hyperlink" Target="https://doi.org/10.1007/s11159-025-10170-5"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1016/j.techfore.2025.124118" TargetMode="External"/><Relationship Id="rId33" Type="http://schemas.openxmlformats.org/officeDocument/2006/relationships/hyperlink" Target="https://www.coursera.org/partnerships" TargetMode="External"/><Relationship Id="rId38" Type="http://schemas.openxmlformats.org/officeDocument/2006/relationships/hyperlink" Target="https://doi.org/10.1108/ET-08-2023-0340" TargetMode="External"/><Relationship Id="rId46" Type="http://schemas.openxmlformats.org/officeDocument/2006/relationships/hyperlink" Target="https://doi.org/10.14742/ajet.8978" TargetMode="External"/><Relationship Id="rId59" Type="http://schemas.openxmlformats.org/officeDocument/2006/relationships/hyperlink" Target="https://doi.org/10.3389/fcomp.2026.1853493" TargetMode="External"/><Relationship Id="rId20" Type="http://schemas.openxmlformats.org/officeDocument/2006/relationships/hyperlink" Target="https://doi.org/10.1016/j.compedu.2014.08.006" TargetMode="External"/><Relationship Id="rId41" Type="http://schemas.openxmlformats.org/officeDocument/2006/relationships/hyperlink" Target="https://doi.org/10.3368/jhr.0519-10226R3" TargetMode="External"/><Relationship Id="rId54" Type="http://schemas.openxmlformats.org/officeDocument/2006/relationships/hyperlink" Target="https://aisel.aisnet.org/acis2024/12"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doi.org/10.36923/jicc.v24i2.573" TargetMode="External"/><Relationship Id="rId28" Type="http://schemas.openxmlformats.org/officeDocument/2006/relationships/hyperlink" Target="https://doi.org/10.1007/s13042-024-02203-6" TargetMode="External"/><Relationship Id="rId36" Type="http://schemas.openxmlformats.org/officeDocument/2006/relationships/hyperlink" Target="https://doi.org/10.4018/978-1-7998-3583-7.ch004" TargetMode="External"/><Relationship Id="rId49" Type="http://schemas.openxmlformats.org/officeDocument/2006/relationships/hyperlink" Target="https://doi.org/10.1136/ebnurs-2024-104232" TargetMode="External"/><Relationship Id="rId57" Type="http://schemas.openxmlformats.org/officeDocument/2006/relationships/hyperlink" Target="https://doi.org/10.1371/journal.pone.0299014" TargetMode="External"/><Relationship Id="rId10" Type="http://schemas.openxmlformats.org/officeDocument/2006/relationships/footer" Target="footer1.xml"/><Relationship Id="rId31" Type="http://schemas.openxmlformats.org/officeDocument/2006/relationships/hyperlink" Target="https://doi.org/10.1177/0149206310388419" TargetMode="External"/><Relationship Id="rId44" Type="http://schemas.openxmlformats.org/officeDocument/2006/relationships/hyperlink" Target="https://www.sagepub.com/shop/buy-a-book/naturalistic-inquiry-1-842" TargetMode="External"/><Relationship Id="rId52" Type="http://schemas.openxmlformats.org/officeDocument/2006/relationships/hyperlink" Target="https://doi.org/10.1007/s12528-024-09417-1" TargetMode="External"/><Relationship Id="rId60" Type="http://schemas.openxmlformats.org/officeDocument/2006/relationships/hyperlink" Target="https://doi.org/10.56557/jogress/2024/v18i18599" TargetMode="Externa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61</TotalTime>
  <Pages>25</Pages>
  <Words>13258</Words>
  <Characters>75572</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88653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62</cp:revision>
  <cp:lastPrinted>1999-07-06T11:00:00Z</cp:lastPrinted>
  <dcterms:created xsi:type="dcterms:W3CDTF">2026-09-06T16:14:00Z</dcterms:created>
  <dcterms:modified xsi:type="dcterms:W3CDTF">2026-09-16T13:04:00Z</dcterms:modified>
</cp:coreProperties>
</file>