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84285" w14:textId="77777777" w:rsidR="00DC2FC1" w:rsidRPr="00DC2FC1" w:rsidRDefault="00DC2FC1" w:rsidP="00DC2FC1">
      <w:pPr>
        <w:pStyle w:val="Title"/>
        <w:rPr>
          <w:bCs/>
          <w:i/>
          <w:iCs/>
          <w:u w:val="single"/>
        </w:rPr>
      </w:pPr>
      <w:r w:rsidRPr="00DC2FC1">
        <w:rPr>
          <w:bCs/>
          <w:i/>
          <w:iCs/>
          <w:u w:val="single"/>
        </w:rPr>
        <w:t>Review Article</w:t>
      </w:r>
    </w:p>
    <w:p w14:paraId="171CDA10" w14:textId="77777777" w:rsidR="00805D42" w:rsidRPr="00C264CF" w:rsidRDefault="00000000">
      <w:pPr>
        <w:pStyle w:val="Title"/>
        <w:rPr>
          <w:color w:val="auto"/>
        </w:rPr>
      </w:pPr>
      <w:r w:rsidRPr="00C264CF">
        <w:rPr>
          <w:color w:val="auto"/>
        </w:rPr>
        <w:t>Beyond the H&amp;E Slide: Uncovering Hidden Histopathological Signatures with Spatial Omics and Artificial Intelligence</w:t>
      </w:r>
    </w:p>
    <w:p w14:paraId="48E64C69" w14:textId="77777777" w:rsidR="00805D42" w:rsidRPr="00C264CF" w:rsidRDefault="00000000">
      <w:pPr>
        <w:spacing w:before="60"/>
        <w:ind w:firstLine="0"/>
      </w:pPr>
      <w:r w:rsidRPr="00C264CF">
        <w:rPr>
          <w:b/>
          <w:sz w:val="24"/>
        </w:rPr>
        <w:t>Abstract</w:t>
      </w:r>
    </w:p>
    <w:p w14:paraId="460E459D" w14:textId="77777777" w:rsidR="00805D42" w:rsidRPr="00C264CF" w:rsidRDefault="00000000">
      <w:pPr>
        <w:spacing w:after="120" w:line="264" w:lineRule="auto"/>
        <w:ind w:firstLine="0"/>
      </w:pPr>
      <w:r w:rsidRPr="00C264CF">
        <w:t>Haematoxylin-and-eosin (H&amp;E) histology remains the visual backbone of tissue diagnosis, yet routine morphology is only a partial projection of the molecular and cellular states that generate it. Spatial transcriptomics, multiplexed spatial proteomics and related spatial molecular technologies now provide a means to test which latent biological programmes are genuinely coupled to microscopic architecture, while artificial intelligence (AI) can learn those cross-modal relationships at scales inaccessible to unaided visual assessment. This critical narrative review examines how spatial omics and AI are changing the interpretation of H&amp;E sections from descriptive morphology towards spatially grounded molecular phenotyping. Literature published from 1 January 2015 to 3 July 2026 was appraised, with earlier or adjacent evidence considered only when necessary to establish methodological context. The strongest evidence shows that histology contains reproducible signals of cellular composition, proliferation, immune organisation, stromal state and selected molecular programmes, and that paired spatial omics can localise and validate those associations. However, predictive success is uneven across genes, tissues and acquisition settings. Spatial autocorrelation, mixed-cell capture spots, section-registration error, library-size effects, stain and scanner variation, gene-selection bias and patient-level data leakage can create apparently convincing spatial predictions without establishing cell-intrinsic molecular inference. Recent foundation models improve representation quality and data efficiency, but their scale does not remove the need for molecular ground truth, external validation or uncertainty calibration. The most defensible near-term role for virtual spatial omics is therefore not replacement of definitive assays, but triage, cohort enrichment, hypothesis generation and targeted confirmation. Progress towards clinical deployment will require patient-level and institution-level validation, explicit morphology-to-molecule identifiability limits, spatially appropriate metrics, prospective workflow studies and models trained against high-resolution multimodal reference data. Spatial omics is most valuable not because it makes H&amp;E obsolete, but because it provides the reference layer needed to determine what H&amp;E truly contains and what AI merely appears to infer.</w:t>
      </w:r>
    </w:p>
    <w:p w14:paraId="2C918056" w14:textId="77777777" w:rsidR="00805D42" w:rsidRPr="00C264CF" w:rsidRDefault="00000000">
      <w:pPr>
        <w:spacing w:after="180"/>
        <w:ind w:firstLine="0"/>
      </w:pPr>
      <w:r w:rsidRPr="00C264CF">
        <w:rPr>
          <w:b/>
          <w:sz w:val="21"/>
        </w:rPr>
        <w:t xml:space="preserve">Keywords: </w:t>
      </w:r>
      <w:r w:rsidRPr="00C264CF">
        <w:rPr>
          <w:sz w:val="21"/>
        </w:rPr>
        <w:t>computational pathology; digital pathology; spatial transcriptomics; spatial proteomics; multimodal learning; foundation models; molecular pathology; tumour microenvironment</w:t>
      </w:r>
    </w:p>
    <w:p w14:paraId="64F53716" w14:textId="77777777" w:rsidR="00805D42" w:rsidRPr="00C264CF" w:rsidRDefault="00000000">
      <w:pPr>
        <w:pStyle w:val="Heading1"/>
        <w:rPr>
          <w:color w:val="auto"/>
        </w:rPr>
      </w:pPr>
      <w:r w:rsidRPr="00C264CF">
        <w:rPr>
          <w:color w:val="auto"/>
        </w:rPr>
        <w:t>1. Introduction</w:t>
      </w:r>
    </w:p>
    <w:p w14:paraId="2E4F2AA6" w14:textId="77777777" w:rsidR="00805D42" w:rsidRPr="00C264CF" w:rsidRDefault="00000000">
      <w:r w:rsidRPr="00C264CF">
        <w:t>Histopathology is fundamentally a study of phenotype in place. The H&amp;E section records tissue architecture, nuclear and cytoplasmic morphology, extracellular matrix, inflammatory infiltrates, necrosis, vascular structures and the spatial relationships among these elements. For more than a century, those visual features have supported diagnosis, grading and classification because cellular state leaves morphological consequences. Yet the same section is also an information bottleneck: many distinct molecular states can produce similar appearances, subtle molecular differences may be visually imperceptible, and conventional interpretation compresses a gigapixel image into categorical descriptors. The central question is therefore not whether H&amp;E contains molecular information, but which molecular states are identifiable from morphology, at what spatial scale, with what uncertainty, and under which technical and biological conditions.</w:t>
      </w:r>
    </w:p>
    <w:p w14:paraId="2E23EC1C" w14:textId="77777777" w:rsidR="00805D42" w:rsidRPr="00C264CF" w:rsidRDefault="00000000">
      <w:r w:rsidRPr="00C264CF">
        <w:t xml:space="preserve">Early computational pathology demonstrated that H&amp;E images can carry signals associated with genomic or transcriptomic phenotypes. Deep learning distinguished lung cancer subtypes and predicted selected mutations, while related work predicted microsatellite instability from gastrointestinal cancer histology and developed weakly supervised whole-slide systems capable of learning clinically relevant </w:t>
      </w:r>
      <w:r w:rsidRPr="00C264CF">
        <w:lastRenderedPageBreak/>
        <w:t>morphological representations (Campanella et al., 2019; Coudray et al., 2018; Kather et al., 2019). HE2RNA subsequently showed that slide-level RNA-sequencing profiles could be predicted to varying degrees from whole-slide images and used model attribution to generate virtual spatial maps (Schmauch et al., 2020). These studies were important proofs of principle, but the molecular labels were usually bulk or slide-level measurements. They could establish image–molecular association, yet could not determine whether a locally highlighted region truly expressed the predicted programme.</w:t>
      </w:r>
      <w:r>
        <w:rPr>
          <w:highlight w:val="yellow"/>
        </w:rPr>
        <w:t xml:space="preserve"> Recent whole-slide approaches have extended this concept to multi-omic inference and have used spatial transcriptomic or immunohistochemical measurements to assess the localisation of image-derived molecular predictions (Şenbabaoğlu et al., 2024).</w:t>
      </w:r>
    </w:p>
    <w:p w14:paraId="3325C4CA" w14:textId="77777777" w:rsidR="00805D42" w:rsidRPr="00C264CF" w:rsidRDefault="00000000">
      <w:r w:rsidRPr="00C264CF">
        <w:t>Spatial omics changes that evidential problem. Spatial transcriptomic technologies preserve the position of RNA measurements within tissue, beginning with array-based spatial transcriptomics and advancing through denser sequencing arrays and imaging-based methods capable of cellular or subcellular localisation (Chen et al., 2015; Eng et al., 2019; Rodriques et al., 2019; Ståhl et al., 2016; Stickels et al., 2021; Vickovic et al., 2019). Multiplexed protein imaging provides a complementary view in which cell identities, signalling states and neighbourhoods can be measured in situ (Goltsev et al., 2018; Jackson et al., 2020; Keren et al., 2018; Schürch et al., 2020). These platforms do more than add another data layer. They create spatially explicit reference measurements against which the biological content of morphology can be tested.</w:t>
      </w:r>
    </w:p>
    <w:p w14:paraId="4AFB5253" w14:textId="77777777" w:rsidR="00805D42" w:rsidRPr="00C264CF" w:rsidRDefault="00000000">
      <w:r w:rsidRPr="00C264CF">
        <w:t>The resulting research field has developed along two reciprocal directions. In one, histology assists analysis of spatial omics by improving spatial-domain identification, interpretation or multimodal alignment, as illustrated by SpaGCN, iIMPACT and related graph-based or image-integrative approaches (Hu et al., 2021; Jiang et al., 2024). In the other, spatial molecular data supervise models that infer gene expression or molecular states from H&amp;E alone. ST-Net established a direct local mapping from breast tumour morphology to spatial gene expression, followed by architectures that model longer-range spatial context, graph structure, multimodal representation or super-resolution, including Hist2ST and iStar (He et al., 2020; Zeng et al., 2022; Zhang et al., 2024). The direction of travel is towards increasingly fine predicted maps, but finer output grids do not necessarily imply finer molecular truth.</w:t>
      </w:r>
      <w:r>
        <w:rPr>
          <w:highlight w:val="yellow"/>
        </w:rPr>
        <w:t xml:space="preserve"> More recent visual–omics models have explicitly aligned histology with spatial transcriptomic data to support cross-modal retrieval and spatial gene-expression prediction (Chen et al., 2025).</w:t>
      </w:r>
    </w:p>
    <w:p w14:paraId="269204EF" w14:textId="77777777" w:rsidR="00805D42" w:rsidRPr="00C264CF" w:rsidRDefault="00000000">
      <w:r w:rsidRPr="00C264CF">
        <w:t>Recent pathology foundation models further alter the computational landscape. Large self-supervised image encoders and visual-language models can learn transferable tissue representations from very large H&amp;E corpora, while whole-slide foundation models capture context beyond individual tiles (Chen et al., 2024; Lu et al., 2024; Xu et al., 2024). These representations reduce task-specific annotation requirements and may improve cross-modal mapping. Nevertheless, their pre-training objectives are not equivalent to spatial molecular supervision. A representation can be excellent for tumour classification, retrieval or report alignment yet remain poorly calibrated for a particular gene, protein state or cell–cell interaction. The crucial distinction is between a visually predictive representation and a biologically identified molecular mechanism.</w:t>
      </w:r>
      <w:r>
        <w:rPr>
          <w:highlight w:val="yellow"/>
        </w:rPr>
        <w:t xml:space="preserve"> Generative pretraining on paired whole-slide and spatial transcriptomic data has also been used to broaden morphology-to-expression modelling across genes, organs and sequencing contexts (Huang et al., 2025). Multimodal foundation-model frameworks have additionally combined histopathology representations with spatial multi-omic information for spatial-domain analysis and related tissue-level tasks (Liu et al., 2026).</w:t>
      </w:r>
    </w:p>
    <w:p w14:paraId="4AD402F0" w14:textId="77777777" w:rsidR="00805D42" w:rsidRPr="00C264CF" w:rsidRDefault="00000000">
      <w:r w:rsidRPr="00C264CF">
        <w:t xml:space="preserve">Several recent reviews have catalogued spatial multi-omics technologies, AI integration strategies and the growing role of histopathology in spatial analysis (Agrawal &amp; Thomann, 2026; McKenzie et al., 2026; Patel &amp; Klimowicz, 2026). Hao et al. (2026) organise the histopathology-centred computational field into integration, mapping and foundation-model paradigms. That taxonomy clarifies the computational evolution, but an unresolved interpretive problem remains: when AI predicts a molecular map from H&amp;E, what exactly has been uncovered? A model may learn cell composition, local architecture, tissue-processing artefacts, cohort-specific shortcuts or genuine cell-intrinsic molecular state, and common performance metrics do not </w:t>
      </w:r>
      <w:r w:rsidRPr="00C264CF">
        <w:lastRenderedPageBreak/>
        <w:t>reliably distinguish among these possibilities. This question is central to whether “hidden histopathological signatures” become useful biomarkers or merely compelling visualisations.</w:t>
      </w:r>
    </w:p>
    <w:p w14:paraId="4281A148" w14:textId="77777777" w:rsidR="00805D42" w:rsidRPr="00C264CF" w:rsidRDefault="00000000">
      <w:pPr>
        <w:pStyle w:val="Heading2"/>
        <w:rPr>
          <w:color w:val="auto"/>
        </w:rPr>
      </w:pPr>
      <w:r w:rsidRPr="00C264CF">
        <w:rPr>
          <w:color w:val="auto"/>
        </w:rPr>
        <w:t>1.1 Scope, Research Gap and Objectives</w:t>
      </w:r>
    </w:p>
    <w:p w14:paraId="021516CF" w14:textId="77777777" w:rsidR="00454C92" w:rsidRDefault="00000000">
      <w:r>
        <w:rPr>
          <w:highlight w:val="yellow"/>
        </w:rPr>
        <w:t>Despite this progress, a research gap remains in distinguishing molecular information that is genuinely identifiable from morphology from signals driven by tissue composition, spatial autocorrelation, assay resolution, technical artefacts or cohort-specific provenance. This distinction is essential because visually plausible molecular maps can exceed the evidential resolution of their reference data, limiting confidence in biological interpretation and clinical translation.</w:t>
      </w:r>
    </w:p>
    <w:p w14:paraId="7E18B9E5" w14:textId="77777777" w:rsidR="00805D42" w:rsidRPr="00C264CF" w:rsidRDefault="00000000">
      <w:r w:rsidRPr="00C264CF">
        <w:t>This review focuses on the interface between routine H&amp;E histopathology, spatially resolved molecular measurements and AI-based inference. The primary emphasis is human disease tissue, particularly cancer because it currently provides the deepest paired histology–spatial-omics evidence, while methodologically informative non-neoplastic studies are included where they clarify general principles. Spatial transcriptomics and multiplexed spatial proteomics receive greatest attention because they offer the most mature reference data for linking morphology to molecular state. The review does not attempt to catalogue every spatial-omics platform or every computational architecture. Instead, it evaluates what constitutes a defensible hidden histopathological signature, how spatial omics can validate or falsify image-derived molecular claims, why benchmark performance can be misleading, and what evidence is required before inferred spatial molecular maps can influence clinical decisions. The intended contribution is an integrated framework that separates morphological association from spatial molecular validation and, in turn, from clinical actionability.</w:t>
      </w:r>
    </w:p>
    <w:p w14:paraId="15A076F7" w14:textId="77777777" w:rsidR="00805D42" w:rsidRPr="00C264CF" w:rsidRDefault="00000000">
      <w:pPr>
        <w:pStyle w:val="Heading1"/>
        <w:rPr>
          <w:color w:val="auto"/>
        </w:rPr>
      </w:pPr>
      <w:r w:rsidRPr="00C264CF">
        <w:rPr>
          <w:color w:val="auto"/>
        </w:rPr>
        <w:t>2. Methods for Literature Selection</w:t>
      </w:r>
    </w:p>
    <w:p w14:paraId="48009402" w14:textId="77777777" w:rsidR="00805D42" w:rsidRPr="00C264CF" w:rsidRDefault="00000000">
      <w:pPr>
        <w:pStyle w:val="Heading2"/>
        <w:rPr>
          <w:color w:val="auto"/>
        </w:rPr>
      </w:pPr>
      <w:r w:rsidRPr="00C264CF">
        <w:rPr>
          <w:color w:val="auto"/>
        </w:rPr>
        <w:t>2.1 Review Design and Rationale</w:t>
      </w:r>
    </w:p>
    <w:p w14:paraId="593AE5FE" w14:textId="77777777" w:rsidR="00805D42" w:rsidRPr="00C264CF" w:rsidRDefault="00000000">
      <w:r w:rsidRPr="00C264CF">
        <w:t>A critical narrative review design was selected because the relevant evidence spans laboratory technology, computational method development, pathology AI, spatial statistics, multimodal integration and translational studies, with substantial heterogeneity in assays, tissues, outcomes and validation strategies. These differences make a single pooled effect estimate neither meaningful nor methodologically defensible. The review nevertheless used an explicit literature-selection and appraisal process. Narrative-review quality principles were informed by the SANRA framework, particularly the requirements for a clearly justified review question, transparent information sources, appropriate referencing, scientific reasoning and presentation of relevant endpoint data (Baethge et al., 2019). The purpose was not to claim systematic-review completeness, but to reduce unsystematic selection and to make the basis of the critical synthesis reproducible.</w:t>
      </w:r>
    </w:p>
    <w:p w14:paraId="4396363D" w14:textId="77777777" w:rsidR="00805D42" w:rsidRPr="00C264CF" w:rsidRDefault="00000000">
      <w:pPr>
        <w:pStyle w:val="Heading2"/>
        <w:rPr>
          <w:color w:val="auto"/>
        </w:rPr>
      </w:pPr>
      <w:r w:rsidRPr="00C264CF">
        <w:rPr>
          <w:color w:val="auto"/>
        </w:rPr>
        <w:t>2.2 Information Sources</w:t>
      </w:r>
    </w:p>
    <w:p w14:paraId="74AB8A63" w14:textId="77777777" w:rsidR="00805D42" w:rsidRPr="00C264CF" w:rsidRDefault="00000000">
      <w:r w:rsidRPr="00C264CF">
        <w:t>Literature searching used PubMed, Europe PMC, PubMed Central, OpenAlex, OpenAIRE, DOAJ, Semantic Scholar and Google Scholar. Crossref records and DOI landing pages were used to verify bibliographic metadata and DOI resolution. Search results were supplemented by backward citation searching from foundational and recent reviews, forward citation searching of key spatial-transcriptomics and computational-pathology papers, and related-article searching for benchmark, validation and methodological studies. PubMed and PubMed Central were particularly useful for biomedical studies with complete author and DOI metadata, while the broader scholarly indexes were used to identify computational and cross-disciplinary work not consistently retrieved by a single biomedical search.</w:t>
      </w:r>
    </w:p>
    <w:p w14:paraId="73E8FC10" w14:textId="77777777" w:rsidR="00805D42" w:rsidRPr="00C264CF" w:rsidRDefault="00000000">
      <w:pPr>
        <w:pStyle w:val="Heading2"/>
        <w:rPr>
          <w:color w:val="auto"/>
        </w:rPr>
      </w:pPr>
      <w:r w:rsidRPr="00C264CF">
        <w:rPr>
          <w:color w:val="auto"/>
        </w:rPr>
        <w:lastRenderedPageBreak/>
        <w:t>2.3 Search Strategy and Search Period</w:t>
      </w:r>
    </w:p>
    <w:p w14:paraId="4C1AD4A4" w14:textId="77777777" w:rsidR="00805D42" w:rsidRPr="00C264CF" w:rsidRDefault="00000000">
      <w:r w:rsidRPr="00C264CF">
        <w:t>The principal search period was 1 January 2015 to 3 July 2026. The starting point corresponds to the emergence of highly multiplexed spatial RNA imaging and the period immediately preceding array-based spatial transcriptomics, after which direct spatial molecular–histological integration became technically feasible. Searches combined terms for routine histology ("H&amp;E", "haematoxylin eosin", "histopathology", "whole slide image"), spatial molecular profiling ("spatial transcriptomics", "spatial omics", "spatial proteomics", "multiplexed imaging", "single-cell spatial"), and computation ("artificial intelligence", "deep learning", "foundation model", "multimodal", "graph neural network", "gene expression prediction", "super-resolution", "molecular prediction"). Representative Boolean combinations included ("H&amp;E" OR histopathology) AND ("spatial transcriptomics" OR "spatial omics") AND ("deep learning" OR "artificial intelligence"), and (histology AND "gene expression prediction") AND (spatial OR transcriptomics). Searches for limitations combined these concepts with "benchmark", "generalisation", "domain shift", "data leakage", "spatial autocorrelation", "normalisation", "spot swapping" and "uncertainty".</w:t>
      </w:r>
    </w:p>
    <w:p w14:paraId="3C5C87E5" w14:textId="77777777" w:rsidR="00805D42" w:rsidRPr="00C264CF" w:rsidRDefault="00000000">
      <w:pPr>
        <w:pStyle w:val="Heading2"/>
        <w:rPr>
          <w:color w:val="auto"/>
        </w:rPr>
      </w:pPr>
      <w:r w:rsidRPr="00C264CF">
        <w:rPr>
          <w:color w:val="auto"/>
        </w:rPr>
        <w:t>2.4 Eligibility Criteria</w:t>
      </w:r>
    </w:p>
    <w:p w14:paraId="44D640BF" w14:textId="77777777" w:rsidR="00805D42" w:rsidRPr="00C264CF" w:rsidRDefault="00000000">
      <w:r w:rsidRPr="00C264CF">
        <w:t>Eligible sources were peer-reviewed journal articles that contributed directly to one or more of the following: development or validation of spatial molecular technologies relevant to tissue histology; computational integration of histology with spatial omics; prediction of molecular phenotypes or spatial gene expression from pathology images; spatially resolved analysis of tissue microenvironments; pathology foundation models relevant to multimodal inference; or methodological evidence concerning artefacts, generalisability and translational validity. Human studies were prioritised for interpretive and clinical claims. Method-development studies using animal tissue were retained where they established technical capabilities or analytical limitations with direct relevance to human pathology. English-language articles were used because reliable full bibliographic and methodological verification was required. Conference abstracts, commercial promotional material, unverifiable publications and preprints with a peer-reviewed version available were excluded. No geographical restriction was applied.</w:t>
      </w:r>
    </w:p>
    <w:p w14:paraId="6A7EB015" w14:textId="77777777" w:rsidR="00805D42" w:rsidRPr="00C264CF" w:rsidRDefault="00000000">
      <w:pPr>
        <w:pStyle w:val="Heading2"/>
        <w:rPr>
          <w:color w:val="auto"/>
        </w:rPr>
      </w:pPr>
      <w:r w:rsidRPr="00C264CF">
        <w:rPr>
          <w:color w:val="auto"/>
        </w:rPr>
        <w:t>2.5 Screening, Duplicate Handling and Study Selection</w:t>
      </w:r>
    </w:p>
    <w:p w14:paraId="19360786" w14:textId="77777777" w:rsidR="00805D42" w:rsidRPr="00C264CF" w:rsidRDefault="00000000">
      <w:r w:rsidRPr="00C264CF">
        <w:t>Titles and abstracts were assessed for direct relevance to morphology–molecule relationships, spatial validation or methodological validity. Full texts or detailed indexed records were then examined when needed to establish study design, tissue source, spatial resolution, model input and output, validation approach and limitations. Duplicate records were reconciled using DOI, PubMed identifier and exact-title matching, with the peer-reviewed version retained when a preprint and journal article described the same work. Sources whose identity, publication status or DOI could not be verified were not used. Numerical screening counts are not reported because selection was iterative and purposive, consistent with the critical narrative design rather than a prospectively registered systematic-review workflow.</w:t>
      </w:r>
    </w:p>
    <w:p w14:paraId="48CB56C0" w14:textId="77777777" w:rsidR="00805D42" w:rsidRPr="00C264CF" w:rsidRDefault="00000000">
      <w:pPr>
        <w:pStyle w:val="Heading2"/>
        <w:rPr>
          <w:color w:val="auto"/>
        </w:rPr>
      </w:pPr>
      <w:r w:rsidRPr="00C264CF">
        <w:rPr>
          <w:color w:val="auto"/>
        </w:rPr>
        <w:t>2.6 Critical Appraisal and Evidence Synthesis</w:t>
      </w:r>
    </w:p>
    <w:p w14:paraId="3BCBF0FF" w14:textId="77777777" w:rsidR="00805D42" w:rsidRPr="00C264CF" w:rsidRDefault="00000000">
      <w:r w:rsidRPr="00C264CF">
        <w:t xml:space="preserve">Evidence was appraised according to the question each study was capable of answering. For assay papers, emphasis was placed on spatial resolution, molecular breadth, sensitivity, tissue compatibility and sources of measurement error. For AI studies, appraisal considered the level of molecular supervision, patient-level independence of training and testing, external validation, spatial resolution of ground truth, tissue and scanner diversity, gene-selection procedures, metric choice, uncertainty reporting and evidence that the inferred signal was cell-intrinsic rather than neighbourhood- or composition-driven. For translational claims, greater weight was given to multi-institutional or out-of-domain validation than to within-cohort cross-validation. No formal risk-of-bias score was assigned because the evidence comprises fundamentally different study classes. The synthesis was organised around the evidential chain from morphology, through </w:t>
      </w:r>
      <w:r w:rsidRPr="00C264CF">
        <w:lastRenderedPageBreak/>
        <w:t>spatial molecular validation, to potential clinical use, with contradictions interpreted in relation to assay granularity, biological identifiability and dataset structure.</w:t>
      </w:r>
    </w:p>
    <w:p w14:paraId="19E93A09" w14:textId="77777777" w:rsidR="00805D42" w:rsidRPr="00C264CF" w:rsidRDefault="00000000">
      <w:pPr>
        <w:pStyle w:val="Heading1"/>
        <w:rPr>
          <w:color w:val="auto"/>
        </w:rPr>
      </w:pPr>
      <w:r w:rsidRPr="00C264CF">
        <w:rPr>
          <w:color w:val="auto"/>
        </w:rPr>
        <w:t>3. Why H&amp;E Contains More Than Meets the Eye: Morphology as a Molecular Phenotype</w:t>
      </w:r>
    </w:p>
    <w:p w14:paraId="2364251E" w14:textId="77777777" w:rsidR="00805D42" w:rsidRPr="00C264CF" w:rsidRDefault="00000000">
      <w:r w:rsidRPr="00C264CF">
        <w:t>The proposition that H&amp;E contains latent molecular information is biologically plausible because morphology is produced by molecular processes. Proliferation changes nuclear density and mitotic activity; differentiation alters cytoplasmic architecture; extracellular-matrix programmes reshape stroma; immune activation changes the abundance and organisation of inflammatory cells; hypoxia and metabolic stress can accompany necrosis and altered vascular patterns. A machine-learning model can therefore detect statistical traces of biology that are difficult to formalise as conventional diagnostic features. The important qualification is that morphology reflects an integrated phenotype. The same visual pattern can arise from different molecular causes, and a molecular programme can exist before it produces a visible structural consequence. Morphology-to-molecule inference is thus an inverse problem that is intrinsically many-to-one in some regions of biological state space.</w:t>
      </w:r>
    </w:p>
    <w:p w14:paraId="53F0AC11" w14:textId="77777777" w:rsidR="00805D42" w:rsidRPr="00C264CF" w:rsidRDefault="00000000">
      <w:r w:rsidRPr="00C264CF">
        <w:t>Whole-slide molecular prediction studies established this inverse problem before spatial omics became widely available. Coudray et al. (2018) showed that deep learning could predict selected mutations in lung adenocarcinoma from H&amp;E with heterogeneous performance across genes, and Kather et al. (2019) showed that microsatellite instability could be inferred from gastrointestinal cancer images with external validation. HE2RNA extended the concept from discrete biomarkers to transcriptome-wide regression, showing that some gene-expression signals were substantially more predictable than others and that image regions contributing to prediction could be localised computationally (Schmauch et al., 2020). These results should not be read as evidence that the transcriptome is visually encoded in full. Rather, they show that subsets of molecular variation covary with tissue phenotype strongly enough to be recoverable from images.</w:t>
      </w:r>
    </w:p>
    <w:p w14:paraId="5305DC8B" w14:textId="77777777" w:rsidR="00805D42" w:rsidRPr="00C264CF" w:rsidRDefault="00000000">
      <w:r w:rsidRPr="00C264CF">
        <w:t>Spatial transcriptomics provides a stronger test because prediction can be evaluated against local rather than whole-tissue measurements. The original spatial transcriptomics approach retained two-dimensional positional information while measuring broad gene expression in tissue sections, and later technologies increased capture density and sensitivity (Rodriques et al., 2019; Ståhl et al., 2016; Stickels et al., 2021; Vickovic et al., 2019). Imaging-based methods such as MERFISH and seqFISH+ take a different route by locating transcripts directly within cells and can reach cellular or subcellular spatial precision for targeted or highly multiplexed panels (Chen et al., 2015; Eng et al., 2019). The two technological families therefore pose different validation questions: sequencing-based platforms offer broad molecular coverage but can mix cells within capture units, whereas imaging-based platforms improve spatial attribution but may trade breadth, throughput or assay complexity.</w:t>
      </w:r>
    </w:p>
    <w:p w14:paraId="22EAAE91" w14:textId="77777777" w:rsidR="00805D42" w:rsidRPr="00C264CF" w:rsidRDefault="00000000">
      <w:r w:rsidRPr="00C264CF">
        <w:t>A central consequence is that “ground truth” in spatial pathology is assay-dependent. A Visium-sized spot may represent several cells, so a model that predicts the spot transcriptome from a local H&amp;E patch can succeed primarily by recognising cell composition. That is biologically useful, but it differs from inferring the transcriptional state of each individual cell. Near-cellular arrays reduce mixture but do not eliminate capture efficiency and contamination issues. Imaging-based spatial transcriptomics can localise transcripts more precisely, yet segmentation errors can assign transcripts to the wrong cell, and targeted panels constrain discovery. The appropriate interpretation of an AI output must therefore match the spatial and molecular resolution of its training label rather than the visual resolution of the output map.</w:t>
      </w:r>
    </w:p>
    <w:p w14:paraId="2037C400" w14:textId="77777777" w:rsidR="00805D42" w:rsidRPr="00C264CF" w:rsidRDefault="00000000">
      <w:r w:rsidRPr="00C264CF">
        <w:t xml:space="preserve">Spatial proteomics demonstrates another dimension of hidden histological information. CODEX and imaging mass cytometry have shown that tissues with similar conventional appearances can contain distinct cell phenotypes and neighbourhood arrangements. In triple-negative breast cancer, multiplexed ion beam imaging revealed compartmentalised versus mixed tumour–immune architectures and spatially patterned checkpoint expression (Keren et al., 2018). Imaging mass cytometry across hundreds of breast cancers </w:t>
      </w:r>
      <w:r w:rsidRPr="00C264CF">
        <w:lastRenderedPageBreak/>
        <w:t>identified single-cell phenotypes and multicellular structures associated with distinct clinical outcomes (Jackson et al., 2020), while CODEX analysis of colorectal cancer described conserved cellular neighbourhoods at the invasive front (Schürch et al., 2020). These findings emphasise that clinically relevant tissue state is often relational: which cells are adjacent, segregated or organised into boundaries can matter as much as the abundance of any one marker.</w:t>
      </w:r>
    </w:p>
    <w:p w14:paraId="1666E6E1" w14:textId="77777777" w:rsidR="00805D42" w:rsidRPr="00C264CF" w:rsidRDefault="00000000">
      <w:r w:rsidRPr="00C264CF">
        <w:t>The spatial reference layer also changes how image features are interpreted. Conventional saliency maps show which pixels influence a prediction but cannot identify the biological process responsible. When image patches are co-registered with spatial RNA or protein measurements, image features can instead be associated with locally measured pathways, cell states or neighbourhoods. SpaGCN explicitly integrates expression, physical location and histology to identify coherent spatial domains, whereas iIMPACT reconstructs histology-informed domains and links them to differential expression (Hu et al., 2021; Jiang et al., 2024). These approaches move interpretation from “the model looked here” towards “this morphological region is associated with this measured molecular state”, although association still does not establish causality.</w:t>
      </w:r>
    </w:p>
    <w:p w14:paraId="04B40608" w14:textId="77777777" w:rsidR="00805D42" w:rsidRPr="00C264CF" w:rsidRDefault="00000000">
      <w:r w:rsidRPr="00C264CF">
        <w:t>Spatial molecular measurements themselves are not neutral observers. Ni et al. (2022) demonstrated spot swapping, in which RNA associated with one location can contaminate nearby locations in array-based spatial transcriptomics. Bhuva et al. (2024) showed that library size can correlate with genuine tissue structure, meaning routine single-cell normalisation practices can inadvertently remove biological spatial variation. These examples are particularly relevant to AI because a model can learn any reproducible property of the label, including technical structure. If spatial artefacts correlate with morphology or tissue boundaries, an image model may reproduce the artefact faithfully and appear biologically accurate. Validation therefore requires understanding the measurement process that generated the target, not only the prediction metric.</w:t>
      </w:r>
    </w:p>
    <w:p w14:paraId="09580E8B" w14:textId="77777777" w:rsidR="00805D42" w:rsidRPr="00C264CF" w:rsidRDefault="00000000">
      <w:r w:rsidRPr="00C264CF">
        <w:t>The strongest conceptual model is consequently not that H&amp;E is a compressed omics assay, but that it is a phenotype layer generated by partly observable biological processes. Some processes have high morphological penetrance, such as broad cell composition, mitotic activity, necrosis or dense lymphoid aggregation. Others may be weakly or conditionally visible, such as receptor signalling states, subtle metabolic programmes or mutations without a distinctive phenotype. Spatial omics helps estimate where along this continuum a candidate signature lies. It can also reveal when a model's apparent molecular skill is actually explained by a more proximate variable such as tumour purity, lymphocyte density or stromal content.</w:t>
      </w:r>
    </w:p>
    <w:p w14:paraId="12328F5D" w14:textId="77777777" w:rsidR="00805D42" w:rsidRPr="00C264CF" w:rsidRDefault="00000000">
      <w:r w:rsidRPr="00C264CF">
        <w:t>Taken together, the spatial modalities differ in what they can legitimately validate. Table 1 summarises the main molecular lenses relevant to H&amp;E-centred inference and highlights why “resolution” must be interpreted together with molecular breadth, capture mechanism and analytical vulnerability. No single platform supplies an error-free reference; triangulation across modalities is therefore more persuasive than agreement with one assay alone.</w:t>
      </w:r>
    </w:p>
    <w:p w14:paraId="38B2A459" w14:textId="77777777" w:rsidR="00805D42" w:rsidRPr="00C264CF" w:rsidRDefault="00000000">
      <w:pPr>
        <w:keepNext/>
        <w:spacing w:before="160" w:after="20"/>
      </w:pPr>
      <w:r w:rsidRPr="00C264CF">
        <w:rPr>
          <w:b/>
          <w:sz w:val="18"/>
        </w:rPr>
        <w:t>Table 1</w:t>
      </w:r>
    </w:p>
    <w:p w14:paraId="3857C1B3" w14:textId="77777777" w:rsidR="00805D42" w:rsidRPr="00C264CF" w:rsidRDefault="00000000">
      <w:pPr>
        <w:keepNext/>
        <w:spacing w:after="80"/>
      </w:pPr>
      <w:r w:rsidRPr="00C264CF">
        <w:rPr>
          <w:i/>
          <w:sz w:val="18"/>
        </w:rPr>
        <w:t>Spatial omics modalities as molecular lenses on H&amp;E morphology</w:t>
      </w:r>
    </w:p>
    <w:tbl>
      <w:tblPr>
        <w:tblStyle w:val="TableGrid"/>
        <w:tblW w:w="0" w:type="auto"/>
        <w:jc w:val="center"/>
        <w:tblLayout w:type="fixed"/>
        <w:tblLook w:val="04A0" w:firstRow="1" w:lastRow="0" w:firstColumn="1" w:lastColumn="0" w:noHBand="0" w:noVBand="1"/>
      </w:tblPr>
      <w:tblGrid>
        <w:gridCol w:w="1339"/>
        <w:gridCol w:w="1325"/>
        <w:gridCol w:w="1181"/>
        <w:gridCol w:w="1728"/>
        <w:gridCol w:w="1728"/>
        <w:gridCol w:w="1987"/>
      </w:tblGrid>
      <w:tr w:rsidR="00C264CF" w:rsidRPr="00C264CF" w14:paraId="03A78E8F" w14:textId="77777777">
        <w:trPr>
          <w:tblHeader/>
          <w:jc w:val="center"/>
        </w:trPr>
        <w:tc>
          <w:tcPr>
            <w:tcW w:w="1339" w:type="dxa"/>
            <w:shd w:val="clear" w:color="auto" w:fill="D9E2F3"/>
            <w:tcMar>
              <w:top w:w="80" w:type="dxa"/>
              <w:left w:w="90" w:type="dxa"/>
              <w:bottom w:w="80" w:type="dxa"/>
              <w:right w:w="90" w:type="dxa"/>
            </w:tcMar>
            <w:vAlign w:val="center"/>
          </w:tcPr>
          <w:p w14:paraId="19AEC1ED" w14:textId="77777777" w:rsidR="00805D42" w:rsidRPr="00C264CF" w:rsidRDefault="00000000">
            <w:pPr>
              <w:spacing w:before="20" w:after="20" w:line="240" w:lineRule="auto"/>
              <w:jc w:val="center"/>
            </w:pPr>
            <w:r w:rsidRPr="00C264CF">
              <w:rPr>
                <w:b/>
                <w:sz w:val="15"/>
              </w:rPr>
              <w:t>Modality</w:t>
            </w:r>
          </w:p>
        </w:tc>
        <w:tc>
          <w:tcPr>
            <w:tcW w:w="1325" w:type="dxa"/>
            <w:shd w:val="clear" w:color="auto" w:fill="D9E2F3"/>
            <w:tcMar>
              <w:top w:w="80" w:type="dxa"/>
              <w:left w:w="90" w:type="dxa"/>
              <w:bottom w:w="80" w:type="dxa"/>
              <w:right w:w="90" w:type="dxa"/>
            </w:tcMar>
            <w:vAlign w:val="center"/>
          </w:tcPr>
          <w:p w14:paraId="60526907" w14:textId="77777777" w:rsidR="00805D42" w:rsidRPr="00C264CF" w:rsidRDefault="00000000">
            <w:pPr>
              <w:spacing w:before="20" w:after="20" w:line="240" w:lineRule="auto"/>
              <w:jc w:val="center"/>
            </w:pPr>
            <w:r w:rsidRPr="00C264CF">
              <w:rPr>
                <w:b/>
                <w:sz w:val="15"/>
              </w:rPr>
              <w:t>Typical spatial unit</w:t>
            </w:r>
          </w:p>
        </w:tc>
        <w:tc>
          <w:tcPr>
            <w:tcW w:w="1181" w:type="dxa"/>
            <w:shd w:val="clear" w:color="auto" w:fill="D9E2F3"/>
            <w:tcMar>
              <w:top w:w="80" w:type="dxa"/>
              <w:left w:w="90" w:type="dxa"/>
              <w:bottom w:w="80" w:type="dxa"/>
              <w:right w:w="90" w:type="dxa"/>
            </w:tcMar>
            <w:vAlign w:val="center"/>
          </w:tcPr>
          <w:p w14:paraId="549419C4" w14:textId="77777777" w:rsidR="00805D42" w:rsidRPr="00C264CF" w:rsidRDefault="00000000">
            <w:pPr>
              <w:spacing w:before="20" w:after="20" w:line="240" w:lineRule="auto"/>
              <w:jc w:val="center"/>
            </w:pPr>
            <w:r w:rsidRPr="00C264CF">
              <w:rPr>
                <w:b/>
                <w:sz w:val="15"/>
              </w:rPr>
              <w:t>Molecular breadth</w:t>
            </w:r>
          </w:p>
        </w:tc>
        <w:tc>
          <w:tcPr>
            <w:tcW w:w="1728" w:type="dxa"/>
            <w:shd w:val="clear" w:color="auto" w:fill="D9E2F3"/>
            <w:tcMar>
              <w:top w:w="80" w:type="dxa"/>
              <w:left w:w="90" w:type="dxa"/>
              <w:bottom w:w="80" w:type="dxa"/>
              <w:right w:w="90" w:type="dxa"/>
            </w:tcMar>
            <w:vAlign w:val="center"/>
          </w:tcPr>
          <w:p w14:paraId="50AD6771" w14:textId="77777777" w:rsidR="00805D42" w:rsidRPr="00C264CF" w:rsidRDefault="00000000">
            <w:pPr>
              <w:spacing w:before="20" w:after="20" w:line="240" w:lineRule="auto"/>
              <w:jc w:val="center"/>
            </w:pPr>
            <w:r w:rsidRPr="00C264CF">
              <w:rPr>
                <w:b/>
                <w:sz w:val="15"/>
              </w:rPr>
              <w:t>What it reveals beyond H&amp;E</w:t>
            </w:r>
          </w:p>
        </w:tc>
        <w:tc>
          <w:tcPr>
            <w:tcW w:w="1728" w:type="dxa"/>
            <w:shd w:val="clear" w:color="auto" w:fill="D9E2F3"/>
            <w:tcMar>
              <w:top w:w="80" w:type="dxa"/>
              <w:left w:w="90" w:type="dxa"/>
              <w:bottom w:w="80" w:type="dxa"/>
              <w:right w:w="90" w:type="dxa"/>
            </w:tcMar>
            <w:vAlign w:val="center"/>
          </w:tcPr>
          <w:p w14:paraId="276641D4" w14:textId="77777777" w:rsidR="00805D42" w:rsidRPr="00C264CF" w:rsidRDefault="00000000">
            <w:pPr>
              <w:spacing w:before="20" w:after="20" w:line="240" w:lineRule="auto"/>
              <w:jc w:val="center"/>
            </w:pPr>
            <w:r w:rsidRPr="00C264CF">
              <w:rPr>
                <w:b/>
                <w:sz w:val="15"/>
              </w:rPr>
              <w:t>Principal analytical vulnerability</w:t>
            </w:r>
          </w:p>
        </w:tc>
        <w:tc>
          <w:tcPr>
            <w:tcW w:w="1987" w:type="dxa"/>
            <w:shd w:val="clear" w:color="auto" w:fill="D9E2F3"/>
            <w:tcMar>
              <w:top w:w="80" w:type="dxa"/>
              <w:left w:w="90" w:type="dxa"/>
              <w:bottom w:w="80" w:type="dxa"/>
              <w:right w:w="90" w:type="dxa"/>
            </w:tcMar>
            <w:vAlign w:val="center"/>
          </w:tcPr>
          <w:p w14:paraId="18F82B73" w14:textId="77777777" w:rsidR="00805D42" w:rsidRPr="00C264CF" w:rsidRDefault="00000000">
            <w:pPr>
              <w:spacing w:before="20" w:after="20" w:line="240" w:lineRule="auto"/>
              <w:jc w:val="center"/>
            </w:pPr>
            <w:r w:rsidRPr="00C264CF">
              <w:rPr>
                <w:b/>
                <w:sz w:val="15"/>
              </w:rPr>
              <w:t>Supporting references</w:t>
            </w:r>
          </w:p>
        </w:tc>
      </w:tr>
      <w:tr w:rsidR="00C264CF" w:rsidRPr="00034575" w14:paraId="11539B6F" w14:textId="77777777">
        <w:trPr>
          <w:cantSplit/>
          <w:jc w:val="center"/>
        </w:trPr>
        <w:tc>
          <w:tcPr>
            <w:tcW w:w="1339" w:type="dxa"/>
            <w:tcMar>
              <w:top w:w="75" w:type="dxa"/>
              <w:left w:w="85" w:type="dxa"/>
              <w:bottom w:w="75" w:type="dxa"/>
              <w:right w:w="85" w:type="dxa"/>
            </w:tcMar>
            <w:vAlign w:val="center"/>
          </w:tcPr>
          <w:p w14:paraId="4E14A4C4" w14:textId="77777777" w:rsidR="00805D42" w:rsidRPr="00C264CF" w:rsidRDefault="00000000">
            <w:pPr>
              <w:spacing w:after="0" w:line="240" w:lineRule="auto"/>
              <w:jc w:val="left"/>
            </w:pPr>
            <w:r w:rsidRPr="00C264CF">
              <w:rPr>
                <w:sz w:val="14"/>
              </w:rPr>
              <w:t>Array-based spatial transcriptomics</w:t>
            </w:r>
          </w:p>
        </w:tc>
        <w:tc>
          <w:tcPr>
            <w:tcW w:w="1325" w:type="dxa"/>
            <w:tcMar>
              <w:top w:w="75" w:type="dxa"/>
              <w:left w:w="85" w:type="dxa"/>
              <w:bottom w:w="75" w:type="dxa"/>
              <w:right w:w="85" w:type="dxa"/>
            </w:tcMar>
            <w:vAlign w:val="center"/>
          </w:tcPr>
          <w:p w14:paraId="0901E27A" w14:textId="77777777" w:rsidR="00805D42" w:rsidRPr="00C264CF" w:rsidRDefault="00000000">
            <w:pPr>
              <w:spacing w:after="0" w:line="240" w:lineRule="auto"/>
              <w:jc w:val="left"/>
            </w:pPr>
            <w:r w:rsidRPr="00C264CF">
              <w:rPr>
                <w:sz w:val="14"/>
              </w:rPr>
              <w:t>Multicellular spot to near-cellular capture unit</w:t>
            </w:r>
          </w:p>
        </w:tc>
        <w:tc>
          <w:tcPr>
            <w:tcW w:w="1181" w:type="dxa"/>
            <w:tcMar>
              <w:top w:w="75" w:type="dxa"/>
              <w:left w:w="85" w:type="dxa"/>
              <w:bottom w:w="75" w:type="dxa"/>
              <w:right w:w="85" w:type="dxa"/>
            </w:tcMar>
            <w:vAlign w:val="center"/>
          </w:tcPr>
          <w:p w14:paraId="285A0BAF" w14:textId="77777777" w:rsidR="00805D42" w:rsidRPr="00C264CF" w:rsidRDefault="00000000">
            <w:pPr>
              <w:spacing w:after="0" w:line="240" w:lineRule="auto"/>
              <w:jc w:val="left"/>
            </w:pPr>
            <w:r w:rsidRPr="00C264CF">
              <w:rPr>
                <w:sz w:val="14"/>
              </w:rPr>
              <w:t>Broad transcriptome</w:t>
            </w:r>
          </w:p>
        </w:tc>
        <w:tc>
          <w:tcPr>
            <w:tcW w:w="1728" w:type="dxa"/>
            <w:tcMar>
              <w:top w:w="75" w:type="dxa"/>
              <w:left w:w="85" w:type="dxa"/>
              <w:bottom w:w="75" w:type="dxa"/>
              <w:right w:w="85" w:type="dxa"/>
            </w:tcMar>
            <w:vAlign w:val="center"/>
          </w:tcPr>
          <w:p w14:paraId="217EF63E" w14:textId="77777777" w:rsidR="00805D42" w:rsidRPr="00C264CF" w:rsidRDefault="00000000">
            <w:pPr>
              <w:spacing w:after="0" w:line="240" w:lineRule="auto"/>
              <w:jc w:val="left"/>
            </w:pPr>
            <w:r w:rsidRPr="00C264CF">
              <w:rPr>
                <w:sz w:val="14"/>
              </w:rPr>
              <w:t>Local gene programmes, compartment composition and tissue gradients</w:t>
            </w:r>
          </w:p>
        </w:tc>
        <w:tc>
          <w:tcPr>
            <w:tcW w:w="1728" w:type="dxa"/>
            <w:tcMar>
              <w:top w:w="75" w:type="dxa"/>
              <w:left w:w="85" w:type="dxa"/>
              <w:bottom w:w="75" w:type="dxa"/>
              <w:right w:w="85" w:type="dxa"/>
            </w:tcMar>
            <w:vAlign w:val="center"/>
          </w:tcPr>
          <w:p w14:paraId="1EB96ECF" w14:textId="77777777" w:rsidR="00805D42" w:rsidRPr="00C264CF" w:rsidRDefault="00000000">
            <w:pPr>
              <w:spacing w:after="0" w:line="240" w:lineRule="auto"/>
              <w:jc w:val="left"/>
            </w:pPr>
            <w:r w:rsidRPr="00C264CF">
              <w:rPr>
                <w:sz w:val="14"/>
              </w:rPr>
              <w:t>Cell mixing, variable capture, spot swapping and resolution-dependent attribution</w:t>
            </w:r>
          </w:p>
        </w:tc>
        <w:tc>
          <w:tcPr>
            <w:tcW w:w="1987" w:type="dxa"/>
            <w:tcMar>
              <w:top w:w="75" w:type="dxa"/>
              <w:left w:w="85" w:type="dxa"/>
              <w:bottom w:w="75" w:type="dxa"/>
              <w:right w:w="85" w:type="dxa"/>
            </w:tcMar>
            <w:vAlign w:val="center"/>
          </w:tcPr>
          <w:p w14:paraId="4ADCBD36" w14:textId="77777777" w:rsidR="00805D42" w:rsidRPr="00034575" w:rsidRDefault="00000000">
            <w:pPr>
              <w:spacing w:after="0" w:line="240" w:lineRule="auto"/>
              <w:jc w:val="left"/>
              <w:rPr>
                <w:lang w:val="nl-BE"/>
              </w:rPr>
            </w:pPr>
            <w:r w:rsidRPr="00034575">
              <w:rPr>
                <w:sz w:val="14"/>
                <w:lang w:val="nl-BE"/>
              </w:rPr>
              <w:t>(Ni et al., 2022; Ståhl et al., 2016; Stickels et al., 2021; Vickovic et al., 2019)</w:t>
            </w:r>
          </w:p>
        </w:tc>
      </w:tr>
      <w:tr w:rsidR="00C264CF" w:rsidRPr="00034575" w14:paraId="59C1BC01" w14:textId="77777777">
        <w:trPr>
          <w:cantSplit/>
          <w:jc w:val="center"/>
        </w:trPr>
        <w:tc>
          <w:tcPr>
            <w:tcW w:w="1339" w:type="dxa"/>
            <w:shd w:val="clear" w:color="auto" w:fill="F7F9FC"/>
            <w:tcMar>
              <w:top w:w="75" w:type="dxa"/>
              <w:left w:w="85" w:type="dxa"/>
              <w:bottom w:w="75" w:type="dxa"/>
              <w:right w:w="85" w:type="dxa"/>
            </w:tcMar>
            <w:vAlign w:val="center"/>
          </w:tcPr>
          <w:p w14:paraId="4F7EAA7E" w14:textId="77777777" w:rsidR="00805D42" w:rsidRPr="00C264CF" w:rsidRDefault="00000000">
            <w:pPr>
              <w:spacing w:after="0" w:line="240" w:lineRule="auto"/>
              <w:jc w:val="left"/>
            </w:pPr>
            <w:r w:rsidRPr="00C264CF">
              <w:rPr>
                <w:sz w:val="14"/>
              </w:rPr>
              <w:t>Bead-based high-density sequencing</w:t>
            </w:r>
          </w:p>
        </w:tc>
        <w:tc>
          <w:tcPr>
            <w:tcW w:w="1325" w:type="dxa"/>
            <w:shd w:val="clear" w:color="auto" w:fill="F7F9FC"/>
            <w:tcMar>
              <w:top w:w="75" w:type="dxa"/>
              <w:left w:w="85" w:type="dxa"/>
              <w:bottom w:w="75" w:type="dxa"/>
              <w:right w:w="85" w:type="dxa"/>
            </w:tcMar>
            <w:vAlign w:val="center"/>
          </w:tcPr>
          <w:p w14:paraId="495F9451" w14:textId="77777777" w:rsidR="00805D42" w:rsidRPr="00C264CF" w:rsidRDefault="00000000">
            <w:pPr>
              <w:spacing w:after="0" w:line="240" w:lineRule="auto"/>
              <w:jc w:val="left"/>
            </w:pPr>
            <w:r w:rsidRPr="00C264CF">
              <w:rPr>
                <w:sz w:val="14"/>
              </w:rPr>
              <w:t>Near-cellular bead array</w:t>
            </w:r>
          </w:p>
        </w:tc>
        <w:tc>
          <w:tcPr>
            <w:tcW w:w="1181" w:type="dxa"/>
            <w:shd w:val="clear" w:color="auto" w:fill="F7F9FC"/>
            <w:tcMar>
              <w:top w:w="75" w:type="dxa"/>
              <w:left w:w="85" w:type="dxa"/>
              <w:bottom w:w="75" w:type="dxa"/>
              <w:right w:w="85" w:type="dxa"/>
            </w:tcMar>
            <w:vAlign w:val="center"/>
          </w:tcPr>
          <w:p w14:paraId="72C9BA85" w14:textId="77777777" w:rsidR="00805D42" w:rsidRPr="00C264CF" w:rsidRDefault="00000000">
            <w:pPr>
              <w:spacing w:after="0" w:line="240" w:lineRule="auto"/>
              <w:jc w:val="left"/>
            </w:pPr>
            <w:r w:rsidRPr="00C264CF">
              <w:rPr>
                <w:sz w:val="14"/>
              </w:rPr>
              <w:t>Broad transcriptome</w:t>
            </w:r>
          </w:p>
        </w:tc>
        <w:tc>
          <w:tcPr>
            <w:tcW w:w="1728" w:type="dxa"/>
            <w:shd w:val="clear" w:color="auto" w:fill="F7F9FC"/>
            <w:tcMar>
              <w:top w:w="75" w:type="dxa"/>
              <w:left w:w="85" w:type="dxa"/>
              <w:bottom w:w="75" w:type="dxa"/>
              <w:right w:w="85" w:type="dxa"/>
            </w:tcMar>
            <w:vAlign w:val="center"/>
          </w:tcPr>
          <w:p w14:paraId="40056B04" w14:textId="77777777" w:rsidR="00805D42" w:rsidRPr="00C264CF" w:rsidRDefault="00000000">
            <w:pPr>
              <w:spacing w:after="0" w:line="240" w:lineRule="auto"/>
              <w:jc w:val="left"/>
            </w:pPr>
            <w:r w:rsidRPr="00C264CF">
              <w:rPr>
                <w:sz w:val="14"/>
              </w:rPr>
              <w:t>Finer molecular boundaries and local gradients than conventional spot arrays</w:t>
            </w:r>
          </w:p>
        </w:tc>
        <w:tc>
          <w:tcPr>
            <w:tcW w:w="1728" w:type="dxa"/>
            <w:shd w:val="clear" w:color="auto" w:fill="F7F9FC"/>
            <w:tcMar>
              <w:top w:w="75" w:type="dxa"/>
              <w:left w:w="85" w:type="dxa"/>
              <w:bottom w:w="75" w:type="dxa"/>
              <w:right w:w="85" w:type="dxa"/>
            </w:tcMar>
            <w:vAlign w:val="center"/>
          </w:tcPr>
          <w:p w14:paraId="2AE7451B" w14:textId="77777777" w:rsidR="00805D42" w:rsidRPr="00C264CF" w:rsidRDefault="00000000">
            <w:pPr>
              <w:spacing w:after="0" w:line="240" w:lineRule="auto"/>
              <w:jc w:val="left"/>
            </w:pPr>
            <w:r w:rsidRPr="00C264CF">
              <w:rPr>
                <w:sz w:val="14"/>
              </w:rPr>
              <w:t>Sensitivity, sparse counts, registration and effective capture area</w:t>
            </w:r>
          </w:p>
        </w:tc>
        <w:tc>
          <w:tcPr>
            <w:tcW w:w="1987" w:type="dxa"/>
            <w:shd w:val="clear" w:color="auto" w:fill="F7F9FC"/>
            <w:tcMar>
              <w:top w:w="75" w:type="dxa"/>
              <w:left w:w="85" w:type="dxa"/>
              <w:bottom w:w="75" w:type="dxa"/>
              <w:right w:w="85" w:type="dxa"/>
            </w:tcMar>
            <w:vAlign w:val="center"/>
          </w:tcPr>
          <w:p w14:paraId="0552EFAF" w14:textId="77777777" w:rsidR="00805D42" w:rsidRPr="00034575" w:rsidRDefault="00000000">
            <w:pPr>
              <w:spacing w:after="0" w:line="240" w:lineRule="auto"/>
              <w:jc w:val="left"/>
              <w:rPr>
                <w:lang w:val="nl-BE"/>
              </w:rPr>
            </w:pPr>
            <w:r w:rsidRPr="00034575">
              <w:rPr>
                <w:sz w:val="14"/>
                <w:lang w:val="nl-BE"/>
              </w:rPr>
              <w:t>(Rodriques et al., 2019; Stickels et al., 2021)</w:t>
            </w:r>
          </w:p>
        </w:tc>
      </w:tr>
      <w:tr w:rsidR="00C264CF" w:rsidRPr="00034575" w14:paraId="4DEB4EFE" w14:textId="77777777">
        <w:trPr>
          <w:cantSplit/>
          <w:jc w:val="center"/>
        </w:trPr>
        <w:tc>
          <w:tcPr>
            <w:tcW w:w="1339" w:type="dxa"/>
            <w:tcMar>
              <w:top w:w="75" w:type="dxa"/>
              <w:left w:w="85" w:type="dxa"/>
              <w:bottom w:w="75" w:type="dxa"/>
              <w:right w:w="85" w:type="dxa"/>
            </w:tcMar>
            <w:vAlign w:val="center"/>
          </w:tcPr>
          <w:p w14:paraId="78564B60" w14:textId="77777777" w:rsidR="00805D42" w:rsidRPr="00C264CF" w:rsidRDefault="00000000">
            <w:pPr>
              <w:spacing w:after="0" w:line="240" w:lineRule="auto"/>
              <w:jc w:val="left"/>
            </w:pPr>
            <w:r w:rsidRPr="00C264CF">
              <w:rPr>
                <w:sz w:val="14"/>
              </w:rPr>
              <w:lastRenderedPageBreak/>
              <w:t>Imaging-based RNA profiling</w:t>
            </w:r>
          </w:p>
        </w:tc>
        <w:tc>
          <w:tcPr>
            <w:tcW w:w="1325" w:type="dxa"/>
            <w:tcMar>
              <w:top w:w="75" w:type="dxa"/>
              <w:left w:w="85" w:type="dxa"/>
              <w:bottom w:w="75" w:type="dxa"/>
              <w:right w:w="85" w:type="dxa"/>
            </w:tcMar>
            <w:vAlign w:val="center"/>
          </w:tcPr>
          <w:p w14:paraId="219699FD" w14:textId="77777777" w:rsidR="00805D42" w:rsidRPr="00C264CF" w:rsidRDefault="00000000">
            <w:pPr>
              <w:spacing w:after="0" w:line="240" w:lineRule="auto"/>
              <w:jc w:val="left"/>
            </w:pPr>
            <w:r w:rsidRPr="00C264CF">
              <w:rPr>
                <w:sz w:val="14"/>
              </w:rPr>
              <w:t>Single cell to subcellular</w:t>
            </w:r>
          </w:p>
        </w:tc>
        <w:tc>
          <w:tcPr>
            <w:tcW w:w="1181" w:type="dxa"/>
            <w:tcMar>
              <w:top w:w="75" w:type="dxa"/>
              <w:left w:w="85" w:type="dxa"/>
              <w:bottom w:w="75" w:type="dxa"/>
              <w:right w:w="85" w:type="dxa"/>
            </w:tcMar>
            <w:vAlign w:val="center"/>
          </w:tcPr>
          <w:p w14:paraId="299E38FB" w14:textId="77777777" w:rsidR="00805D42" w:rsidRPr="00C264CF" w:rsidRDefault="00000000">
            <w:pPr>
              <w:spacing w:after="0" w:line="240" w:lineRule="auto"/>
              <w:jc w:val="left"/>
            </w:pPr>
            <w:r w:rsidRPr="00C264CF">
              <w:rPr>
                <w:sz w:val="14"/>
              </w:rPr>
              <w:t>Targeted to very high multiplexity</w:t>
            </w:r>
          </w:p>
        </w:tc>
        <w:tc>
          <w:tcPr>
            <w:tcW w:w="1728" w:type="dxa"/>
            <w:tcMar>
              <w:top w:w="75" w:type="dxa"/>
              <w:left w:w="85" w:type="dxa"/>
              <w:bottom w:w="75" w:type="dxa"/>
              <w:right w:w="85" w:type="dxa"/>
            </w:tcMar>
            <w:vAlign w:val="center"/>
          </w:tcPr>
          <w:p w14:paraId="35FCC642" w14:textId="77777777" w:rsidR="00805D42" w:rsidRPr="00C264CF" w:rsidRDefault="00000000">
            <w:pPr>
              <w:spacing w:after="0" w:line="240" w:lineRule="auto"/>
              <w:jc w:val="left"/>
            </w:pPr>
            <w:r w:rsidRPr="00C264CF">
              <w:rPr>
                <w:sz w:val="14"/>
              </w:rPr>
              <w:t>Cell-state heterogeneity and subcellular transcript localisation</w:t>
            </w:r>
          </w:p>
        </w:tc>
        <w:tc>
          <w:tcPr>
            <w:tcW w:w="1728" w:type="dxa"/>
            <w:tcMar>
              <w:top w:w="75" w:type="dxa"/>
              <w:left w:w="85" w:type="dxa"/>
              <w:bottom w:w="75" w:type="dxa"/>
              <w:right w:w="85" w:type="dxa"/>
            </w:tcMar>
            <w:vAlign w:val="center"/>
          </w:tcPr>
          <w:p w14:paraId="3D4E99FC" w14:textId="77777777" w:rsidR="00805D42" w:rsidRPr="00C264CF" w:rsidRDefault="00000000">
            <w:pPr>
              <w:spacing w:after="0" w:line="240" w:lineRule="auto"/>
              <w:jc w:val="left"/>
            </w:pPr>
            <w:r w:rsidRPr="00C264CF">
              <w:rPr>
                <w:sz w:val="14"/>
              </w:rPr>
              <w:t>Segmentation, optical crowding, panel design and tissue-specific assay performance</w:t>
            </w:r>
          </w:p>
        </w:tc>
        <w:tc>
          <w:tcPr>
            <w:tcW w:w="1987" w:type="dxa"/>
            <w:tcMar>
              <w:top w:w="75" w:type="dxa"/>
              <w:left w:w="85" w:type="dxa"/>
              <w:bottom w:w="75" w:type="dxa"/>
              <w:right w:w="85" w:type="dxa"/>
            </w:tcMar>
            <w:vAlign w:val="center"/>
          </w:tcPr>
          <w:p w14:paraId="0B762161" w14:textId="77777777" w:rsidR="00805D42" w:rsidRPr="00034575" w:rsidRDefault="00000000">
            <w:pPr>
              <w:spacing w:after="0" w:line="240" w:lineRule="auto"/>
              <w:jc w:val="left"/>
              <w:rPr>
                <w:lang w:val="nl-BE"/>
              </w:rPr>
            </w:pPr>
            <w:r w:rsidRPr="00034575">
              <w:rPr>
                <w:sz w:val="14"/>
                <w:lang w:val="nl-BE"/>
              </w:rPr>
              <w:t>(Chen et al., 2015; Eng et al., 2019)</w:t>
            </w:r>
          </w:p>
        </w:tc>
      </w:tr>
      <w:tr w:rsidR="00C264CF" w:rsidRPr="00034575" w14:paraId="33388257" w14:textId="77777777">
        <w:trPr>
          <w:cantSplit/>
          <w:jc w:val="center"/>
        </w:trPr>
        <w:tc>
          <w:tcPr>
            <w:tcW w:w="1339" w:type="dxa"/>
            <w:shd w:val="clear" w:color="auto" w:fill="F7F9FC"/>
            <w:tcMar>
              <w:top w:w="75" w:type="dxa"/>
              <w:left w:w="85" w:type="dxa"/>
              <w:bottom w:w="75" w:type="dxa"/>
              <w:right w:w="85" w:type="dxa"/>
            </w:tcMar>
            <w:vAlign w:val="center"/>
          </w:tcPr>
          <w:p w14:paraId="57424E6C" w14:textId="77777777" w:rsidR="00805D42" w:rsidRPr="00C264CF" w:rsidRDefault="00000000">
            <w:pPr>
              <w:spacing w:after="0" w:line="240" w:lineRule="auto"/>
              <w:jc w:val="left"/>
            </w:pPr>
            <w:r w:rsidRPr="00C264CF">
              <w:rPr>
                <w:sz w:val="14"/>
              </w:rPr>
              <w:t>Multiplexed spatial proteomics</w:t>
            </w:r>
          </w:p>
        </w:tc>
        <w:tc>
          <w:tcPr>
            <w:tcW w:w="1325" w:type="dxa"/>
            <w:shd w:val="clear" w:color="auto" w:fill="F7F9FC"/>
            <w:tcMar>
              <w:top w:w="75" w:type="dxa"/>
              <w:left w:w="85" w:type="dxa"/>
              <w:bottom w:w="75" w:type="dxa"/>
              <w:right w:w="85" w:type="dxa"/>
            </w:tcMar>
            <w:vAlign w:val="center"/>
          </w:tcPr>
          <w:p w14:paraId="25C77182" w14:textId="77777777" w:rsidR="00805D42" w:rsidRPr="00C264CF" w:rsidRDefault="00000000">
            <w:pPr>
              <w:spacing w:after="0" w:line="240" w:lineRule="auto"/>
              <w:jc w:val="left"/>
            </w:pPr>
            <w:r w:rsidRPr="00C264CF">
              <w:rPr>
                <w:sz w:val="14"/>
              </w:rPr>
              <w:t>Single cell to subcellular</w:t>
            </w:r>
          </w:p>
        </w:tc>
        <w:tc>
          <w:tcPr>
            <w:tcW w:w="1181" w:type="dxa"/>
            <w:shd w:val="clear" w:color="auto" w:fill="F7F9FC"/>
            <w:tcMar>
              <w:top w:w="75" w:type="dxa"/>
              <w:left w:w="85" w:type="dxa"/>
              <w:bottom w:w="75" w:type="dxa"/>
              <w:right w:w="85" w:type="dxa"/>
            </w:tcMar>
            <w:vAlign w:val="center"/>
          </w:tcPr>
          <w:p w14:paraId="6F5A4DC2" w14:textId="77777777" w:rsidR="00805D42" w:rsidRPr="00C264CF" w:rsidRDefault="00000000">
            <w:pPr>
              <w:spacing w:after="0" w:line="240" w:lineRule="auto"/>
              <w:jc w:val="left"/>
            </w:pPr>
            <w:r w:rsidRPr="00C264CF">
              <w:rPr>
                <w:sz w:val="14"/>
              </w:rPr>
              <w:t>Targeted protein panels</w:t>
            </w:r>
          </w:p>
        </w:tc>
        <w:tc>
          <w:tcPr>
            <w:tcW w:w="1728" w:type="dxa"/>
            <w:shd w:val="clear" w:color="auto" w:fill="F7F9FC"/>
            <w:tcMar>
              <w:top w:w="75" w:type="dxa"/>
              <w:left w:w="85" w:type="dxa"/>
              <w:bottom w:w="75" w:type="dxa"/>
              <w:right w:w="85" w:type="dxa"/>
            </w:tcMar>
            <w:vAlign w:val="center"/>
          </w:tcPr>
          <w:p w14:paraId="7665FAE4" w14:textId="77777777" w:rsidR="00805D42" w:rsidRPr="00C264CF" w:rsidRDefault="00000000">
            <w:pPr>
              <w:spacing w:after="0" w:line="240" w:lineRule="auto"/>
              <w:jc w:val="left"/>
            </w:pPr>
            <w:r w:rsidRPr="00C264CF">
              <w:rPr>
                <w:sz w:val="14"/>
              </w:rPr>
              <w:t>Phenotype, signalling state, cell–cell adjacency and immune/stromal neighbourhoods</w:t>
            </w:r>
          </w:p>
        </w:tc>
        <w:tc>
          <w:tcPr>
            <w:tcW w:w="1728" w:type="dxa"/>
            <w:shd w:val="clear" w:color="auto" w:fill="F7F9FC"/>
            <w:tcMar>
              <w:top w:w="75" w:type="dxa"/>
              <w:left w:w="85" w:type="dxa"/>
              <w:bottom w:w="75" w:type="dxa"/>
              <w:right w:w="85" w:type="dxa"/>
            </w:tcMar>
            <w:vAlign w:val="center"/>
          </w:tcPr>
          <w:p w14:paraId="415700ED" w14:textId="77777777" w:rsidR="00805D42" w:rsidRPr="00C264CF" w:rsidRDefault="00000000">
            <w:pPr>
              <w:spacing w:after="0" w:line="240" w:lineRule="auto"/>
              <w:jc w:val="left"/>
            </w:pPr>
            <w:r w:rsidRPr="00C264CF">
              <w:rPr>
                <w:sz w:val="14"/>
              </w:rPr>
              <w:t>Marker-panel dependence, segmentation and antibody performance</w:t>
            </w:r>
          </w:p>
        </w:tc>
        <w:tc>
          <w:tcPr>
            <w:tcW w:w="1987" w:type="dxa"/>
            <w:shd w:val="clear" w:color="auto" w:fill="F7F9FC"/>
            <w:tcMar>
              <w:top w:w="75" w:type="dxa"/>
              <w:left w:w="85" w:type="dxa"/>
              <w:bottom w:w="75" w:type="dxa"/>
              <w:right w:w="85" w:type="dxa"/>
            </w:tcMar>
            <w:vAlign w:val="center"/>
          </w:tcPr>
          <w:p w14:paraId="41CB66EE" w14:textId="77777777" w:rsidR="00805D42" w:rsidRPr="00034575" w:rsidRDefault="00000000">
            <w:pPr>
              <w:spacing w:after="0" w:line="240" w:lineRule="auto"/>
              <w:jc w:val="left"/>
              <w:rPr>
                <w:lang w:val="nl-BE"/>
              </w:rPr>
            </w:pPr>
            <w:r w:rsidRPr="00034575">
              <w:rPr>
                <w:sz w:val="14"/>
                <w:lang w:val="nl-BE"/>
              </w:rPr>
              <w:t>(Goltsev et al., 2018; Jackson et al., 2020; Keren et al., 2018; Schürch et al., 2020)</w:t>
            </w:r>
          </w:p>
        </w:tc>
      </w:tr>
      <w:tr w:rsidR="00C264CF" w:rsidRPr="00034575" w14:paraId="66BBE3E1" w14:textId="77777777">
        <w:trPr>
          <w:cantSplit/>
          <w:jc w:val="center"/>
        </w:trPr>
        <w:tc>
          <w:tcPr>
            <w:tcW w:w="1339" w:type="dxa"/>
            <w:tcMar>
              <w:top w:w="75" w:type="dxa"/>
              <w:left w:w="85" w:type="dxa"/>
              <w:bottom w:w="75" w:type="dxa"/>
              <w:right w:w="85" w:type="dxa"/>
            </w:tcMar>
            <w:vAlign w:val="center"/>
          </w:tcPr>
          <w:p w14:paraId="19ED2132" w14:textId="77777777" w:rsidR="00805D42" w:rsidRPr="00C264CF" w:rsidRDefault="00000000">
            <w:pPr>
              <w:spacing w:after="0" w:line="240" w:lineRule="auto"/>
              <w:jc w:val="left"/>
            </w:pPr>
            <w:r w:rsidRPr="00C264CF">
              <w:rPr>
                <w:sz w:val="14"/>
              </w:rPr>
              <w:t>Integrated multimodal spatial analysis</w:t>
            </w:r>
          </w:p>
        </w:tc>
        <w:tc>
          <w:tcPr>
            <w:tcW w:w="1325" w:type="dxa"/>
            <w:tcMar>
              <w:top w:w="75" w:type="dxa"/>
              <w:left w:w="85" w:type="dxa"/>
              <w:bottom w:w="75" w:type="dxa"/>
              <w:right w:w="85" w:type="dxa"/>
            </w:tcMar>
            <w:vAlign w:val="center"/>
          </w:tcPr>
          <w:p w14:paraId="391F299F" w14:textId="77777777" w:rsidR="00805D42" w:rsidRPr="00C264CF" w:rsidRDefault="00000000">
            <w:pPr>
              <w:spacing w:after="0" w:line="240" w:lineRule="auto"/>
              <w:jc w:val="left"/>
            </w:pPr>
            <w:r w:rsidRPr="00C264CF">
              <w:rPr>
                <w:sz w:val="14"/>
              </w:rPr>
              <w:t>Cross-scale, depending on component assays</w:t>
            </w:r>
          </w:p>
        </w:tc>
        <w:tc>
          <w:tcPr>
            <w:tcW w:w="1181" w:type="dxa"/>
            <w:tcMar>
              <w:top w:w="75" w:type="dxa"/>
              <w:left w:w="85" w:type="dxa"/>
              <w:bottom w:w="75" w:type="dxa"/>
              <w:right w:w="85" w:type="dxa"/>
            </w:tcMar>
            <w:vAlign w:val="center"/>
          </w:tcPr>
          <w:p w14:paraId="7B8C83E9" w14:textId="77777777" w:rsidR="00805D42" w:rsidRPr="00C264CF" w:rsidRDefault="00000000">
            <w:pPr>
              <w:spacing w:after="0" w:line="240" w:lineRule="auto"/>
              <w:jc w:val="left"/>
            </w:pPr>
            <w:r w:rsidRPr="00C264CF">
              <w:rPr>
                <w:sz w:val="14"/>
              </w:rPr>
              <w:t>RNA, protein and/or cell-state layers</w:t>
            </w:r>
          </w:p>
        </w:tc>
        <w:tc>
          <w:tcPr>
            <w:tcW w:w="1728" w:type="dxa"/>
            <w:tcMar>
              <w:top w:w="75" w:type="dxa"/>
              <w:left w:w="85" w:type="dxa"/>
              <w:bottom w:w="75" w:type="dxa"/>
              <w:right w:w="85" w:type="dxa"/>
            </w:tcMar>
            <w:vAlign w:val="center"/>
          </w:tcPr>
          <w:p w14:paraId="58AD88F7" w14:textId="77777777" w:rsidR="00805D42" w:rsidRPr="00C264CF" w:rsidRDefault="00000000">
            <w:pPr>
              <w:spacing w:after="0" w:line="240" w:lineRule="auto"/>
              <w:jc w:val="left"/>
            </w:pPr>
            <w:r w:rsidRPr="00C264CF">
              <w:rPr>
                <w:sz w:val="14"/>
              </w:rPr>
              <w:t>Triangulation of morphology, cell identity and local molecular state</w:t>
            </w:r>
          </w:p>
        </w:tc>
        <w:tc>
          <w:tcPr>
            <w:tcW w:w="1728" w:type="dxa"/>
            <w:tcMar>
              <w:top w:w="75" w:type="dxa"/>
              <w:left w:w="85" w:type="dxa"/>
              <w:bottom w:w="75" w:type="dxa"/>
              <w:right w:w="85" w:type="dxa"/>
            </w:tcMar>
            <w:vAlign w:val="center"/>
          </w:tcPr>
          <w:p w14:paraId="146C475F" w14:textId="77777777" w:rsidR="00805D42" w:rsidRPr="00C264CF" w:rsidRDefault="00000000">
            <w:pPr>
              <w:spacing w:after="0" w:line="240" w:lineRule="auto"/>
              <w:jc w:val="left"/>
            </w:pPr>
            <w:r w:rsidRPr="00C264CF">
              <w:rPr>
                <w:sz w:val="14"/>
              </w:rPr>
              <w:t>Cross-modality registration, batch effects and discordant spatial resolution</w:t>
            </w:r>
          </w:p>
        </w:tc>
        <w:tc>
          <w:tcPr>
            <w:tcW w:w="1987" w:type="dxa"/>
            <w:tcMar>
              <w:top w:w="75" w:type="dxa"/>
              <w:left w:w="85" w:type="dxa"/>
              <w:bottom w:w="75" w:type="dxa"/>
              <w:right w:w="85" w:type="dxa"/>
            </w:tcMar>
            <w:vAlign w:val="center"/>
          </w:tcPr>
          <w:p w14:paraId="18FAC09C" w14:textId="77777777" w:rsidR="00805D42" w:rsidRPr="00034575" w:rsidRDefault="00000000">
            <w:pPr>
              <w:spacing w:after="0" w:line="240" w:lineRule="auto"/>
              <w:jc w:val="left"/>
              <w:rPr>
                <w:lang w:val="nl-BE"/>
              </w:rPr>
            </w:pPr>
            <w:r w:rsidRPr="00034575">
              <w:rPr>
                <w:sz w:val="14"/>
                <w:lang w:val="nl-BE"/>
              </w:rPr>
              <w:t>(Biancalani et al., 2021; Janesick et al., 2023; Kleshchevnikov et al., 2022)</w:t>
            </w:r>
          </w:p>
        </w:tc>
      </w:tr>
    </w:tbl>
    <w:p w14:paraId="51222C51" w14:textId="77777777" w:rsidR="00805D42" w:rsidRPr="00C264CF" w:rsidRDefault="00000000">
      <w:pPr>
        <w:spacing w:before="60" w:after="160"/>
      </w:pPr>
      <w:r w:rsidRPr="00C264CF">
        <w:rPr>
          <w:i/>
          <w:sz w:val="16"/>
        </w:rPr>
        <w:t xml:space="preserve">Note. </w:t>
      </w:r>
      <w:r w:rsidRPr="00C264CF">
        <w:rPr>
          <w:sz w:val="16"/>
        </w:rPr>
        <w:t xml:space="preserve">H&amp;E, </w:t>
      </w:r>
      <w:proofErr w:type="spellStart"/>
      <w:r w:rsidRPr="00C264CF">
        <w:rPr>
          <w:sz w:val="16"/>
        </w:rPr>
        <w:t>haematoxylin</w:t>
      </w:r>
      <w:proofErr w:type="spellEnd"/>
      <w:r w:rsidRPr="00C264CF">
        <w:rPr>
          <w:sz w:val="16"/>
        </w:rPr>
        <w:t xml:space="preserve"> and eosin; RNA, ribonucleic acid.</w:t>
      </w:r>
    </w:p>
    <w:p w14:paraId="270B09C0" w14:textId="77777777" w:rsidR="00805D42" w:rsidRPr="00C264CF" w:rsidRDefault="00000000">
      <w:pPr>
        <w:pStyle w:val="Heading1"/>
        <w:rPr>
          <w:color w:val="auto"/>
        </w:rPr>
      </w:pPr>
      <w:r w:rsidRPr="00C264CF">
        <w:rPr>
          <w:color w:val="auto"/>
        </w:rPr>
        <w:t>4. From Co-registration to Prediction: AI Paradigms Linking H&amp;E and Spatial Omics</w:t>
      </w:r>
    </w:p>
    <w:p w14:paraId="6D81DAEC" w14:textId="77777777" w:rsidR="00805D42" w:rsidRPr="00C264CF" w:rsidRDefault="00000000">
      <w:r w:rsidRPr="00C264CF">
        <w:t>AI enters the spatial-omics workflow at several distinct levels, and conflating them can obscure what a model has actually learned. The least speculative use is histology-assisted interpretation of measured spatial omics: image features improve domain detection, segmentation or alignment while molecular data remain directly observed. A second use is multimodal integration, in which histology and omics are embedded jointly to identify shared tissue states. A third is mapping, where measured spatial omics supervise a model that later predicts molecular values from H&amp;E alone. A fourth is super-resolution, where coarse molecular measurements are redistributed or inferred at a finer spatial grid. The evidential burden increases along this sequence because later paradigms increasingly create molecular information computationally rather than merely organising observed measurements.</w:t>
      </w:r>
    </w:p>
    <w:p w14:paraId="29B87736" w14:textId="77777777" w:rsidR="00805D42" w:rsidRPr="00C264CF" w:rsidRDefault="00000000">
      <w:r w:rsidRPr="00C264CF">
        <w:t>Histology-informed spatial-domain methods illustrate the first two paradigms. SpaGCN represents spots as a graph and integrates gene expression, spatial coordinates and histological information, improving the delineation of domains whose boundaries may be clearer morphologically than transcriptionally (Hu et al., 2021). iIMPACT similarly uses image and molecular profiles to define histology-based spatial domains and identify domain-specific differentially expressed genes (Jiang et al., 2024). STAGATE learns spatially informed latent representations from gene expression and neighbourhood structure, while cell2location and Tangram address complementary problems of deconvolving or mapping cell states into spatial measurements (Biancalani et al., 2021; Dong &amp; Zhang, 2022; Kleshchevnikov et al., 2022). These approaches demonstrate an important principle: spatial molecular data are rarely interpretable without explicit modelling of neighbourhood structure and cell mixture.</w:t>
      </w:r>
    </w:p>
    <w:p w14:paraId="24C2269D" w14:textId="77777777" w:rsidR="00805D42" w:rsidRPr="00C264CF" w:rsidRDefault="00000000">
      <w:r w:rsidRPr="00C264CF">
        <w:t>Direct morphology-to-spatial-expression prediction began with relatively local models. ST-Net paired breast cancer H&amp;E patches with spatial transcriptomic spots and showed that more than one hundred genes exhibited predictable local expression at approximately the scale of the underlying capture regions (He et al., 2020). Hist2ST introduced transformer and graph components to model visual and spatial dependencies, representing a shift from independent patch regression towards models that use neighbourhood structure explicitly (Zeng et al., 2022). These studies improved benchmark correlations, yet their output remains constrained by the spatial granularity and noise of the data used for training.</w:t>
      </w:r>
    </w:p>
    <w:p w14:paraId="47502043" w14:textId="77777777" w:rsidR="00805D42" w:rsidRPr="00C264CF" w:rsidRDefault="00000000">
      <w:r w:rsidRPr="00C264CF">
        <w:t xml:space="preserve">Newer models increasingly use powerful image representations or contrastive alignment. iStar extracts hierarchical image features and integrates them with measured spatial transcriptomics to infer super-resolution tissue architecture (Zhang et al., 2024). A recent multimodal transformer framework aligns histology and transcriptomic representations through contrastive learning, illustrating the move from simple regression towards explicit cross-modal representation learning (Wang et al., 2026). In parallel, whole-slide models such as SEQUOIA show that image-based transcriptomic prediction can scale across tumour types </w:t>
      </w:r>
      <w:r w:rsidRPr="00C264CF">
        <w:lastRenderedPageBreak/>
        <w:t>and external cohorts, with local spatial analyses used as an additional validation layer (Pizurica et al., 2024). The common ambition is to learn a representation in which morphological proximity corresponds to biologically meaningful molecular proximity.</w:t>
      </w:r>
    </w:p>
    <w:p w14:paraId="67F29243" w14:textId="77777777" w:rsidR="00805D42" w:rsidRPr="00C264CF" w:rsidRDefault="00000000">
      <w:r w:rsidRPr="00C264CF">
        <w:t>Benchmarking reveals that architecture alone does not determine translational performance. Wang et al. (2025) reproduced and compared eleven spatial gene-expression prediction methods across five spatially resolved transcriptomic datasets and then assessed external relevance using The Cancer Genome Atlas. Their results confirmed that histology contains learnable spatial expression signal while also exposing limitations in generalisability, usability and translational potential. This is a crucial corrective to single-dataset leaderboards. In a small spatial cohort, a model can improve average correlation by exploiting cohort-specific staining, recurring anatomical regions or local autocorrelation; only external data begin to test whether the learnt relation survives new patients, laboratories and tissue-processing conditions.</w:t>
      </w:r>
    </w:p>
    <w:p w14:paraId="5FE21211" w14:textId="77777777" w:rsidR="00805D42" w:rsidRPr="00C264CF" w:rsidRDefault="00000000">
      <w:r w:rsidRPr="00C264CF">
        <w:t>The multiscale MISO study provides a particularly informative example of both progress and limitation. Schmauch et al. (2025) trained on 72 colorectal cancer Visium samples, expanded evaluation to hundreds of samples from multiple indications and tested out-of-domain transfer on the heterogeneous HEST-1k resource. Performance declined in heterogeneous external data relative to more closely matched settings, and improved when image resolution was better matched and when training diversity increased. Rather than undermining the method, this pattern is scientifically useful: it shows that morphology-to-expression mapping is conditional on acquisition domain, tissue context and training support. The study also introduced gene-specific estimates of an upper predictive bound, foregrounding the idea that some targets are intrinsically more recoverable from morphology than others.</w:t>
      </w:r>
    </w:p>
    <w:p w14:paraId="7EDC0E6F" w14:textId="77777777" w:rsidR="00805D42" w:rsidRPr="00C264CF" w:rsidRDefault="00000000">
      <w:r w:rsidRPr="00C264CF">
        <w:t>Claims of single-cell or super-resolution inference deserve special scrutiny. A model may be trained on spot-level values and then output expression on a much finer grid through architectural interpolation, distillation or image conditioning. Such a map can be spatially plausible while containing information that was never independently observed at that resolution. iStar mitigates this concern by integrating high-resolution histology with measured spatial transcriptomics and evaluating super-resolution tissue architecture (Zhang et al., 2024). GHIST goes further by training against subcellular spatial transcriptomic information and using multi-task biological constraints to predict expression at single-cell resolution (Fu et al., 2025). These advances strengthen the reference layer, but the label “single-cell” should still be reserved for outputs validated against independently measured single-cell or subcellular molecular data rather than inferred segmentation alone.</w:t>
      </w:r>
    </w:p>
    <w:p w14:paraId="5B22A69E" w14:textId="77777777" w:rsidR="00805D42" w:rsidRPr="00C264CF" w:rsidRDefault="00000000">
      <w:r w:rsidRPr="00C264CF">
        <w:t>Foundation models change the feature extractor but not the epistemic requirements. UNI was trained on very large collections of H&amp;E images and demonstrated transfer across numerous computational-pathology tasks, CONCH aligned histopathology images with biomedical text, and Prov-GigaPath learnt both tile-level and whole-slide representations from real-world data at substantial scale (Chen et al., 2024; Lu et al., 2024; Xu et al., 2024). These models provide richer representations than ImageNet-pretrained backbones and can reduce the paired spatial-omics sample size needed for downstream learning. Yet a foundation model may also encode institution, scanner, stain, specimen type or diagnostic context. Cross-modal fine-tuning with spatial omics is therefore not simply an enhancement; it is the step that tests whether a general pathology representation aligns with molecular biology rather than with correlated provenance.</w:t>
      </w:r>
    </w:p>
    <w:p w14:paraId="5B5EE39F" w14:textId="77777777" w:rsidR="00805D42" w:rsidRPr="00C264CF" w:rsidRDefault="00000000">
      <w:r w:rsidRPr="00C264CF">
        <w:t xml:space="preserve">A further emerging paradigm uses spatial omics to explain outcome-associated morphology rather than to predict every gene. (Kulkarni et al., 2026) combined pathology foundation-model features, weakly supervised outcome modelling and spatial transcriptomic analysis to connect morphological patterns in HER2-positive breast cancer with candidate molecular mechanisms. Conceptually, this reverses the usual question. Instead of asking whether H&amp;E can reconstruct a transcriptome, it asks which molecular programmes may drive an image pattern that already carries outcome information. Such targeted cross-modal </w:t>
      </w:r>
      <w:r w:rsidRPr="00C264CF">
        <w:lastRenderedPageBreak/>
        <w:t>explanation may be more biologically efficient than exhaustive gene prediction because it narrows molecular inference to clinically relevant morphological strata.</w:t>
      </w:r>
    </w:p>
    <w:p w14:paraId="624F3E00" w14:textId="77777777" w:rsidR="00805D42" w:rsidRPr="00C264CF" w:rsidRDefault="00000000">
      <w:r w:rsidRPr="00C264CF">
        <w:t>Table 2 distinguishes these AI paradigms by the direction of information flow and by their dominant failure modes. This distinction matters for interpretation: a model that integrates observed omics is not equivalent to one that synthesises omics, and a super-resolved output cannot be assumed to have super-resolved molecular accuracy unless the validation data have comparable resolution.</w:t>
      </w:r>
    </w:p>
    <w:p w14:paraId="150A6DC7" w14:textId="77777777" w:rsidR="00805D42" w:rsidRPr="00C264CF" w:rsidRDefault="00000000">
      <w:pPr>
        <w:keepNext/>
        <w:spacing w:before="160" w:after="20"/>
      </w:pPr>
      <w:r w:rsidRPr="00C264CF">
        <w:rPr>
          <w:b/>
          <w:sz w:val="18"/>
        </w:rPr>
        <w:t>Table 2</w:t>
      </w:r>
    </w:p>
    <w:p w14:paraId="4C2234B9" w14:textId="77777777" w:rsidR="00805D42" w:rsidRPr="00C264CF" w:rsidRDefault="00000000">
      <w:pPr>
        <w:keepNext/>
        <w:spacing w:after="80"/>
      </w:pPr>
      <w:r w:rsidRPr="00C264CF">
        <w:rPr>
          <w:i/>
          <w:sz w:val="18"/>
        </w:rPr>
        <w:t>AI paradigms linking morphology and spatial molecular data</w:t>
      </w:r>
    </w:p>
    <w:tbl>
      <w:tblPr>
        <w:tblStyle w:val="TableGrid"/>
        <w:tblW w:w="0" w:type="auto"/>
        <w:jc w:val="center"/>
        <w:tblLayout w:type="fixed"/>
        <w:tblLook w:val="04A0" w:firstRow="1" w:lastRow="0" w:firstColumn="1" w:lastColumn="0" w:noHBand="0" w:noVBand="1"/>
      </w:tblPr>
      <w:tblGrid>
        <w:gridCol w:w="1339"/>
        <w:gridCol w:w="1325"/>
        <w:gridCol w:w="1181"/>
        <w:gridCol w:w="1728"/>
        <w:gridCol w:w="1728"/>
        <w:gridCol w:w="1987"/>
      </w:tblGrid>
      <w:tr w:rsidR="00C264CF" w:rsidRPr="00C264CF" w14:paraId="78AC6908" w14:textId="77777777">
        <w:trPr>
          <w:tblHeader/>
          <w:jc w:val="center"/>
        </w:trPr>
        <w:tc>
          <w:tcPr>
            <w:tcW w:w="1339" w:type="dxa"/>
            <w:shd w:val="clear" w:color="auto" w:fill="D9E2F3"/>
            <w:tcMar>
              <w:top w:w="80" w:type="dxa"/>
              <w:left w:w="90" w:type="dxa"/>
              <w:bottom w:w="80" w:type="dxa"/>
              <w:right w:w="90" w:type="dxa"/>
            </w:tcMar>
            <w:vAlign w:val="center"/>
          </w:tcPr>
          <w:p w14:paraId="574D7758" w14:textId="77777777" w:rsidR="00805D42" w:rsidRPr="00C264CF" w:rsidRDefault="00000000">
            <w:pPr>
              <w:spacing w:before="20" w:after="20" w:line="240" w:lineRule="auto"/>
              <w:jc w:val="center"/>
            </w:pPr>
            <w:r w:rsidRPr="00C264CF">
              <w:rPr>
                <w:b/>
                <w:sz w:val="15"/>
              </w:rPr>
              <w:t>Paradigm</w:t>
            </w:r>
          </w:p>
        </w:tc>
        <w:tc>
          <w:tcPr>
            <w:tcW w:w="1325" w:type="dxa"/>
            <w:shd w:val="clear" w:color="auto" w:fill="D9E2F3"/>
            <w:tcMar>
              <w:top w:w="80" w:type="dxa"/>
              <w:left w:w="90" w:type="dxa"/>
              <w:bottom w:w="80" w:type="dxa"/>
              <w:right w:w="90" w:type="dxa"/>
            </w:tcMar>
            <w:vAlign w:val="center"/>
          </w:tcPr>
          <w:p w14:paraId="51E85883" w14:textId="77777777" w:rsidR="00805D42" w:rsidRPr="00C264CF" w:rsidRDefault="00000000">
            <w:pPr>
              <w:spacing w:before="20" w:after="20" w:line="240" w:lineRule="auto"/>
              <w:jc w:val="center"/>
            </w:pPr>
            <w:r w:rsidRPr="00C264CF">
              <w:rPr>
                <w:b/>
                <w:sz w:val="15"/>
              </w:rPr>
              <w:t>Information flow</w:t>
            </w:r>
          </w:p>
        </w:tc>
        <w:tc>
          <w:tcPr>
            <w:tcW w:w="1181" w:type="dxa"/>
            <w:shd w:val="clear" w:color="auto" w:fill="D9E2F3"/>
            <w:tcMar>
              <w:top w:w="80" w:type="dxa"/>
              <w:left w:w="90" w:type="dxa"/>
              <w:bottom w:w="80" w:type="dxa"/>
              <w:right w:w="90" w:type="dxa"/>
            </w:tcMar>
            <w:vAlign w:val="center"/>
          </w:tcPr>
          <w:p w14:paraId="599888DB" w14:textId="77777777" w:rsidR="00805D42" w:rsidRPr="00C264CF" w:rsidRDefault="00000000">
            <w:pPr>
              <w:spacing w:before="20" w:after="20" w:line="240" w:lineRule="auto"/>
              <w:jc w:val="center"/>
            </w:pPr>
            <w:r w:rsidRPr="00C264CF">
              <w:rPr>
                <w:b/>
                <w:sz w:val="15"/>
              </w:rPr>
              <w:t>Representative examples</w:t>
            </w:r>
          </w:p>
        </w:tc>
        <w:tc>
          <w:tcPr>
            <w:tcW w:w="1728" w:type="dxa"/>
            <w:shd w:val="clear" w:color="auto" w:fill="D9E2F3"/>
            <w:tcMar>
              <w:top w:w="80" w:type="dxa"/>
              <w:left w:w="90" w:type="dxa"/>
              <w:bottom w:w="80" w:type="dxa"/>
              <w:right w:w="90" w:type="dxa"/>
            </w:tcMar>
            <w:vAlign w:val="center"/>
          </w:tcPr>
          <w:p w14:paraId="4BC72FA5" w14:textId="77777777" w:rsidR="00805D42" w:rsidRPr="00C264CF" w:rsidRDefault="00000000">
            <w:pPr>
              <w:spacing w:before="20" w:after="20" w:line="240" w:lineRule="auto"/>
              <w:jc w:val="center"/>
            </w:pPr>
            <w:r w:rsidRPr="00C264CF">
              <w:rPr>
                <w:b/>
                <w:sz w:val="15"/>
              </w:rPr>
              <w:t>Main inferential strength</w:t>
            </w:r>
          </w:p>
        </w:tc>
        <w:tc>
          <w:tcPr>
            <w:tcW w:w="1728" w:type="dxa"/>
            <w:shd w:val="clear" w:color="auto" w:fill="D9E2F3"/>
            <w:tcMar>
              <w:top w:w="80" w:type="dxa"/>
              <w:left w:w="90" w:type="dxa"/>
              <w:bottom w:w="80" w:type="dxa"/>
              <w:right w:w="90" w:type="dxa"/>
            </w:tcMar>
            <w:vAlign w:val="center"/>
          </w:tcPr>
          <w:p w14:paraId="337BB0F9" w14:textId="77777777" w:rsidR="00805D42" w:rsidRPr="00C264CF" w:rsidRDefault="00000000">
            <w:pPr>
              <w:spacing w:before="20" w:after="20" w:line="240" w:lineRule="auto"/>
              <w:jc w:val="center"/>
            </w:pPr>
            <w:r w:rsidRPr="00C264CF">
              <w:rPr>
                <w:b/>
                <w:sz w:val="15"/>
              </w:rPr>
              <w:t>Dominant failure mode</w:t>
            </w:r>
          </w:p>
        </w:tc>
        <w:tc>
          <w:tcPr>
            <w:tcW w:w="1987" w:type="dxa"/>
            <w:shd w:val="clear" w:color="auto" w:fill="D9E2F3"/>
            <w:tcMar>
              <w:top w:w="80" w:type="dxa"/>
              <w:left w:w="90" w:type="dxa"/>
              <w:bottom w:w="80" w:type="dxa"/>
              <w:right w:w="90" w:type="dxa"/>
            </w:tcMar>
            <w:vAlign w:val="center"/>
          </w:tcPr>
          <w:p w14:paraId="2B4106BE" w14:textId="77777777" w:rsidR="00805D42" w:rsidRPr="00C264CF" w:rsidRDefault="00000000">
            <w:pPr>
              <w:spacing w:before="20" w:after="20" w:line="240" w:lineRule="auto"/>
              <w:jc w:val="center"/>
            </w:pPr>
            <w:r w:rsidRPr="00C264CF">
              <w:rPr>
                <w:b/>
                <w:sz w:val="15"/>
              </w:rPr>
              <w:t>Supporting references</w:t>
            </w:r>
          </w:p>
        </w:tc>
      </w:tr>
      <w:tr w:rsidR="00C264CF" w:rsidRPr="00034575" w14:paraId="06C12F4A" w14:textId="77777777">
        <w:trPr>
          <w:cantSplit/>
          <w:jc w:val="center"/>
        </w:trPr>
        <w:tc>
          <w:tcPr>
            <w:tcW w:w="1339" w:type="dxa"/>
            <w:tcMar>
              <w:top w:w="75" w:type="dxa"/>
              <w:left w:w="85" w:type="dxa"/>
              <w:bottom w:w="75" w:type="dxa"/>
              <w:right w:w="85" w:type="dxa"/>
            </w:tcMar>
            <w:vAlign w:val="center"/>
          </w:tcPr>
          <w:p w14:paraId="09465916" w14:textId="77777777" w:rsidR="00805D42" w:rsidRPr="00C264CF" w:rsidRDefault="00000000">
            <w:pPr>
              <w:spacing w:after="0" w:line="240" w:lineRule="auto"/>
              <w:jc w:val="left"/>
            </w:pPr>
            <w:r w:rsidRPr="00C264CF">
              <w:rPr>
                <w:sz w:val="14"/>
              </w:rPr>
              <w:t>Histology-assisted spatial-domain analysis</w:t>
            </w:r>
          </w:p>
        </w:tc>
        <w:tc>
          <w:tcPr>
            <w:tcW w:w="1325" w:type="dxa"/>
            <w:tcMar>
              <w:top w:w="75" w:type="dxa"/>
              <w:left w:w="85" w:type="dxa"/>
              <w:bottom w:w="75" w:type="dxa"/>
              <w:right w:w="85" w:type="dxa"/>
            </w:tcMar>
            <w:vAlign w:val="center"/>
          </w:tcPr>
          <w:p w14:paraId="6AD45A29" w14:textId="77777777" w:rsidR="00805D42" w:rsidRPr="00C264CF" w:rsidRDefault="00000000">
            <w:pPr>
              <w:spacing w:after="0" w:line="240" w:lineRule="auto"/>
              <w:jc w:val="left"/>
            </w:pPr>
            <w:r w:rsidRPr="00C264CF">
              <w:rPr>
                <w:sz w:val="14"/>
              </w:rPr>
              <w:t>H&amp;E + measured spatial omics → domains</w:t>
            </w:r>
          </w:p>
        </w:tc>
        <w:tc>
          <w:tcPr>
            <w:tcW w:w="1181" w:type="dxa"/>
            <w:tcMar>
              <w:top w:w="75" w:type="dxa"/>
              <w:left w:w="85" w:type="dxa"/>
              <w:bottom w:w="75" w:type="dxa"/>
              <w:right w:w="85" w:type="dxa"/>
            </w:tcMar>
            <w:vAlign w:val="center"/>
          </w:tcPr>
          <w:p w14:paraId="6F93C76F" w14:textId="77777777" w:rsidR="00805D42" w:rsidRPr="00C264CF" w:rsidRDefault="00000000">
            <w:pPr>
              <w:spacing w:after="0" w:line="240" w:lineRule="auto"/>
              <w:jc w:val="left"/>
            </w:pPr>
            <w:r w:rsidRPr="00C264CF">
              <w:rPr>
                <w:sz w:val="14"/>
              </w:rPr>
              <w:t>SpaGCN; iIMPACT</w:t>
            </w:r>
          </w:p>
        </w:tc>
        <w:tc>
          <w:tcPr>
            <w:tcW w:w="1728" w:type="dxa"/>
            <w:tcMar>
              <w:top w:w="75" w:type="dxa"/>
              <w:left w:w="85" w:type="dxa"/>
              <w:bottom w:w="75" w:type="dxa"/>
              <w:right w:w="85" w:type="dxa"/>
            </w:tcMar>
            <w:vAlign w:val="center"/>
          </w:tcPr>
          <w:p w14:paraId="1356E6F0" w14:textId="77777777" w:rsidR="00805D42" w:rsidRPr="00C264CF" w:rsidRDefault="00000000">
            <w:pPr>
              <w:spacing w:after="0" w:line="240" w:lineRule="auto"/>
              <w:jc w:val="left"/>
            </w:pPr>
            <w:r w:rsidRPr="00C264CF">
              <w:rPr>
                <w:sz w:val="14"/>
              </w:rPr>
              <w:t>Uses morphology to sharpen or interpret molecular tissue boundaries</w:t>
            </w:r>
          </w:p>
        </w:tc>
        <w:tc>
          <w:tcPr>
            <w:tcW w:w="1728" w:type="dxa"/>
            <w:tcMar>
              <w:top w:w="75" w:type="dxa"/>
              <w:left w:w="85" w:type="dxa"/>
              <w:bottom w:w="75" w:type="dxa"/>
              <w:right w:w="85" w:type="dxa"/>
            </w:tcMar>
            <w:vAlign w:val="center"/>
          </w:tcPr>
          <w:p w14:paraId="07E6312D" w14:textId="77777777" w:rsidR="00805D42" w:rsidRPr="00C264CF" w:rsidRDefault="00000000">
            <w:pPr>
              <w:spacing w:after="0" w:line="240" w:lineRule="auto"/>
              <w:jc w:val="left"/>
            </w:pPr>
            <w:r w:rsidRPr="00C264CF">
              <w:rPr>
                <w:sz w:val="14"/>
              </w:rPr>
              <w:t>Image contrast can dominate weak molecular evidence or reinforce artefactual boundaries</w:t>
            </w:r>
          </w:p>
        </w:tc>
        <w:tc>
          <w:tcPr>
            <w:tcW w:w="1987" w:type="dxa"/>
            <w:tcMar>
              <w:top w:w="75" w:type="dxa"/>
              <w:left w:w="85" w:type="dxa"/>
              <w:bottom w:w="75" w:type="dxa"/>
              <w:right w:w="85" w:type="dxa"/>
            </w:tcMar>
            <w:vAlign w:val="center"/>
          </w:tcPr>
          <w:p w14:paraId="24F9305D" w14:textId="77777777" w:rsidR="00805D42" w:rsidRPr="00034575" w:rsidRDefault="00000000">
            <w:pPr>
              <w:spacing w:after="0" w:line="240" w:lineRule="auto"/>
              <w:jc w:val="left"/>
              <w:rPr>
                <w:lang w:val="nl-BE"/>
              </w:rPr>
            </w:pPr>
            <w:r w:rsidRPr="00034575">
              <w:rPr>
                <w:sz w:val="14"/>
                <w:lang w:val="nl-BE"/>
              </w:rPr>
              <w:t>(Hu et al., 2021; Jiang et al., 2024)</w:t>
            </w:r>
          </w:p>
        </w:tc>
      </w:tr>
      <w:tr w:rsidR="00C264CF" w:rsidRPr="00034575" w14:paraId="08B7B08D" w14:textId="77777777">
        <w:trPr>
          <w:cantSplit/>
          <w:jc w:val="center"/>
        </w:trPr>
        <w:tc>
          <w:tcPr>
            <w:tcW w:w="1339" w:type="dxa"/>
            <w:shd w:val="clear" w:color="auto" w:fill="F7F9FC"/>
            <w:tcMar>
              <w:top w:w="75" w:type="dxa"/>
              <w:left w:w="85" w:type="dxa"/>
              <w:bottom w:w="75" w:type="dxa"/>
              <w:right w:w="85" w:type="dxa"/>
            </w:tcMar>
            <w:vAlign w:val="center"/>
          </w:tcPr>
          <w:p w14:paraId="3C3FD2A5" w14:textId="77777777" w:rsidR="00805D42" w:rsidRPr="00C264CF" w:rsidRDefault="00000000">
            <w:pPr>
              <w:spacing w:after="0" w:line="240" w:lineRule="auto"/>
              <w:jc w:val="left"/>
            </w:pPr>
            <w:r w:rsidRPr="00C264CF">
              <w:rPr>
                <w:sz w:val="14"/>
              </w:rPr>
              <w:t>Cross-modal mapping and deconvolution</w:t>
            </w:r>
          </w:p>
        </w:tc>
        <w:tc>
          <w:tcPr>
            <w:tcW w:w="1325" w:type="dxa"/>
            <w:shd w:val="clear" w:color="auto" w:fill="F7F9FC"/>
            <w:tcMar>
              <w:top w:w="75" w:type="dxa"/>
              <w:left w:w="85" w:type="dxa"/>
              <w:bottom w:w="75" w:type="dxa"/>
              <w:right w:w="85" w:type="dxa"/>
            </w:tcMar>
            <w:vAlign w:val="center"/>
          </w:tcPr>
          <w:p w14:paraId="7780D696" w14:textId="77777777" w:rsidR="00805D42" w:rsidRPr="00C264CF" w:rsidRDefault="00000000">
            <w:pPr>
              <w:spacing w:after="0" w:line="240" w:lineRule="auto"/>
              <w:jc w:val="left"/>
            </w:pPr>
            <w:r w:rsidRPr="00C264CF">
              <w:rPr>
                <w:sz w:val="14"/>
              </w:rPr>
              <w:t>Single-cell/molecular reference ↔ spatial assay</w:t>
            </w:r>
          </w:p>
        </w:tc>
        <w:tc>
          <w:tcPr>
            <w:tcW w:w="1181" w:type="dxa"/>
            <w:shd w:val="clear" w:color="auto" w:fill="F7F9FC"/>
            <w:tcMar>
              <w:top w:w="75" w:type="dxa"/>
              <w:left w:w="85" w:type="dxa"/>
              <w:bottom w:w="75" w:type="dxa"/>
              <w:right w:w="85" w:type="dxa"/>
            </w:tcMar>
            <w:vAlign w:val="center"/>
          </w:tcPr>
          <w:p w14:paraId="24B51FBF" w14:textId="77777777" w:rsidR="00805D42" w:rsidRPr="00C264CF" w:rsidRDefault="00000000">
            <w:pPr>
              <w:spacing w:after="0" w:line="240" w:lineRule="auto"/>
              <w:jc w:val="left"/>
            </w:pPr>
            <w:r w:rsidRPr="00C264CF">
              <w:rPr>
                <w:sz w:val="14"/>
              </w:rPr>
              <w:t>Tangram; cell2location; STAGATE</w:t>
            </w:r>
          </w:p>
        </w:tc>
        <w:tc>
          <w:tcPr>
            <w:tcW w:w="1728" w:type="dxa"/>
            <w:shd w:val="clear" w:color="auto" w:fill="F7F9FC"/>
            <w:tcMar>
              <w:top w:w="75" w:type="dxa"/>
              <w:left w:w="85" w:type="dxa"/>
              <w:bottom w:w="75" w:type="dxa"/>
              <w:right w:w="85" w:type="dxa"/>
            </w:tcMar>
            <w:vAlign w:val="center"/>
          </w:tcPr>
          <w:p w14:paraId="538FA18D" w14:textId="77777777" w:rsidR="00805D42" w:rsidRPr="00C264CF" w:rsidRDefault="00000000">
            <w:pPr>
              <w:spacing w:after="0" w:line="240" w:lineRule="auto"/>
              <w:jc w:val="left"/>
            </w:pPr>
            <w:r w:rsidRPr="00C264CF">
              <w:rPr>
                <w:sz w:val="14"/>
              </w:rPr>
              <w:t>Places cell states into tissue context and resolves mixed capture units</w:t>
            </w:r>
          </w:p>
        </w:tc>
        <w:tc>
          <w:tcPr>
            <w:tcW w:w="1728" w:type="dxa"/>
            <w:shd w:val="clear" w:color="auto" w:fill="F7F9FC"/>
            <w:tcMar>
              <w:top w:w="75" w:type="dxa"/>
              <w:left w:w="85" w:type="dxa"/>
              <w:bottom w:w="75" w:type="dxa"/>
              <w:right w:w="85" w:type="dxa"/>
            </w:tcMar>
            <w:vAlign w:val="center"/>
          </w:tcPr>
          <w:p w14:paraId="48357CC8" w14:textId="77777777" w:rsidR="00805D42" w:rsidRPr="00C264CF" w:rsidRDefault="00000000">
            <w:pPr>
              <w:spacing w:after="0" w:line="240" w:lineRule="auto"/>
              <w:jc w:val="left"/>
            </w:pPr>
            <w:r w:rsidRPr="00C264CF">
              <w:rPr>
                <w:sz w:val="14"/>
              </w:rPr>
              <w:t>Reference mismatch, compositional assumptions and neighbourhood smoothing</w:t>
            </w:r>
          </w:p>
        </w:tc>
        <w:tc>
          <w:tcPr>
            <w:tcW w:w="1987" w:type="dxa"/>
            <w:shd w:val="clear" w:color="auto" w:fill="F7F9FC"/>
            <w:tcMar>
              <w:top w:w="75" w:type="dxa"/>
              <w:left w:w="85" w:type="dxa"/>
              <w:bottom w:w="75" w:type="dxa"/>
              <w:right w:w="85" w:type="dxa"/>
            </w:tcMar>
            <w:vAlign w:val="center"/>
          </w:tcPr>
          <w:p w14:paraId="4700E756" w14:textId="77777777" w:rsidR="00805D42" w:rsidRPr="00034575" w:rsidRDefault="00000000">
            <w:pPr>
              <w:spacing w:after="0" w:line="240" w:lineRule="auto"/>
              <w:jc w:val="left"/>
              <w:rPr>
                <w:lang w:val="nl-BE"/>
              </w:rPr>
            </w:pPr>
            <w:r w:rsidRPr="00034575">
              <w:rPr>
                <w:sz w:val="14"/>
                <w:lang w:val="nl-BE"/>
              </w:rPr>
              <w:t>(Biancalani et al., 2021; Dong &amp; Zhang, 2022; Kleshchevnikov et al., 2022)</w:t>
            </w:r>
          </w:p>
        </w:tc>
      </w:tr>
      <w:tr w:rsidR="00C264CF" w:rsidRPr="00034575" w14:paraId="474AC670" w14:textId="77777777">
        <w:trPr>
          <w:cantSplit/>
          <w:jc w:val="center"/>
        </w:trPr>
        <w:tc>
          <w:tcPr>
            <w:tcW w:w="1339" w:type="dxa"/>
            <w:tcMar>
              <w:top w:w="75" w:type="dxa"/>
              <w:left w:w="85" w:type="dxa"/>
              <w:bottom w:w="75" w:type="dxa"/>
              <w:right w:w="85" w:type="dxa"/>
            </w:tcMar>
            <w:vAlign w:val="center"/>
          </w:tcPr>
          <w:p w14:paraId="09FCD0B1" w14:textId="77777777" w:rsidR="00805D42" w:rsidRPr="00C264CF" w:rsidRDefault="00000000">
            <w:pPr>
              <w:spacing w:after="0" w:line="240" w:lineRule="auto"/>
              <w:jc w:val="left"/>
            </w:pPr>
            <w:r w:rsidRPr="00C264CF">
              <w:rPr>
                <w:sz w:val="14"/>
              </w:rPr>
              <w:t>Direct H&amp;E-to-spatial expression</w:t>
            </w:r>
          </w:p>
        </w:tc>
        <w:tc>
          <w:tcPr>
            <w:tcW w:w="1325" w:type="dxa"/>
            <w:tcMar>
              <w:top w:w="75" w:type="dxa"/>
              <w:left w:w="85" w:type="dxa"/>
              <w:bottom w:w="75" w:type="dxa"/>
              <w:right w:w="85" w:type="dxa"/>
            </w:tcMar>
            <w:vAlign w:val="center"/>
          </w:tcPr>
          <w:p w14:paraId="42DEC402" w14:textId="77777777" w:rsidR="00805D42" w:rsidRPr="00C264CF" w:rsidRDefault="00000000">
            <w:pPr>
              <w:spacing w:after="0" w:line="240" w:lineRule="auto"/>
              <w:jc w:val="left"/>
            </w:pPr>
            <w:r w:rsidRPr="00C264CF">
              <w:rPr>
                <w:sz w:val="14"/>
              </w:rPr>
              <w:t>H&amp;E → local gene expression</w:t>
            </w:r>
          </w:p>
        </w:tc>
        <w:tc>
          <w:tcPr>
            <w:tcW w:w="1181" w:type="dxa"/>
            <w:tcMar>
              <w:top w:w="75" w:type="dxa"/>
              <w:left w:w="85" w:type="dxa"/>
              <w:bottom w:w="75" w:type="dxa"/>
              <w:right w:w="85" w:type="dxa"/>
            </w:tcMar>
            <w:vAlign w:val="center"/>
          </w:tcPr>
          <w:p w14:paraId="771252EB" w14:textId="77777777" w:rsidR="00805D42" w:rsidRPr="00C264CF" w:rsidRDefault="00000000">
            <w:pPr>
              <w:spacing w:after="0" w:line="240" w:lineRule="auto"/>
              <w:jc w:val="left"/>
            </w:pPr>
            <w:r w:rsidRPr="00C264CF">
              <w:rPr>
                <w:sz w:val="14"/>
              </w:rPr>
              <w:t>ST-Net; Hist2ST; later multimodal predictors</w:t>
            </w:r>
          </w:p>
        </w:tc>
        <w:tc>
          <w:tcPr>
            <w:tcW w:w="1728" w:type="dxa"/>
            <w:tcMar>
              <w:top w:w="75" w:type="dxa"/>
              <w:left w:w="85" w:type="dxa"/>
              <w:bottom w:w="75" w:type="dxa"/>
              <w:right w:w="85" w:type="dxa"/>
            </w:tcMar>
            <w:vAlign w:val="center"/>
          </w:tcPr>
          <w:p w14:paraId="15040B8B" w14:textId="77777777" w:rsidR="00805D42" w:rsidRPr="00C264CF" w:rsidRDefault="00000000">
            <w:pPr>
              <w:spacing w:after="0" w:line="240" w:lineRule="auto"/>
              <w:jc w:val="left"/>
            </w:pPr>
            <w:r w:rsidRPr="00C264CF">
              <w:rPr>
                <w:sz w:val="14"/>
              </w:rPr>
              <w:t>Tests which molecular programmes are locally recoverable from routine morphology</w:t>
            </w:r>
          </w:p>
        </w:tc>
        <w:tc>
          <w:tcPr>
            <w:tcW w:w="1728" w:type="dxa"/>
            <w:tcMar>
              <w:top w:w="75" w:type="dxa"/>
              <w:left w:w="85" w:type="dxa"/>
              <w:bottom w:w="75" w:type="dxa"/>
              <w:right w:w="85" w:type="dxa"/>
            </w:tcMar>
            <w:vAlign w:val="center"/>
          </w:tcPr>
          <w:p w14:paraId="573B84DF" w14:textId="77777777" w:rsidR="00805D42" w:rsidRPr="00C264CF" w:rsidRDefault="00000000">
            <w:pPr>
              <w:spacing w:after="0" w:line="240" w:lineRule="auto"/>
              <w:jc w:val="left"/>
            </w:pPr>
            <w:r w:rsidRPr="00C264CF">
              <w:rPr>
                <w:sz w:val="14"/>
              </w:rPr>
              <w:t>Small patient numbers, spot-level supervision and gene-dependent identifiability</w:t>
            </w:r>
          </w:p>
        </w:tc>
        <w:tc>
          <w:tcPr>
            <w:tcW w:w="1987" w:type="dxa"/>
            <w:tcMar>
              <w:top w:w="75" w:type="dxa"/>
              <w:left w:w="85" w:type="dxa"/>
              <w:bottom w:w="75" w:type="dxa"/>
              <w:right w:w="85" w:type="dxa"/>
            </w:tcMar>
            <w:vAlign w:val="center"/>
          </w:tcPr>
          <w:p w14:paraId="216553C1" w14:textId="77777777" w:rsidR="00805D42" w:rsidRPr="00034575" w:rsidRDefault="00000000">
            <w:pPr>
              <w:spacing w:after="0" w:line="240" w:lineRule="auto"/>
              <w:jc w:val="left"/>
              <w:rPr>
                <w:lang w:val="nl-BE"/>
              </w:rPr>
            </w:pPr>
            <w:r w:rsidRPr="00034575">
              <w:rPr>
                <w:sz w:val="14"/>
                <w:lang w:val="nl-BE"/>
              </w:rPr>
              <w:t>(He et al., 2020; Wang et al., 2025, 2026; Zeng et al., 2022)</w:t>
            </w:r>
          </w:p>
        </w:tc>
      </w:tr>
      <w:tr w:rsidR="00C264CF" w:rsidRPr="00034575" w14:paraId="2ABBB6F3" w14:textId="77777777">
        <w:trPr>
          <w:cantSplit/>
          <w:jc w:val="center"/>
        </w:trPr>
        <w:tc>
          <w:tcPr>
            <w:tcW w:w="1339" w:type="dxa"/>
            <w:shd w:val="clear" w:color="auto" w:fill="F7F9FC"/>
            <w:tcMar>
              <w:top w:w="75" w:type="dxa"/>
              <w:left w:w="85" w:type="dxa"/>
              <w:bottom w:w="75" w:type="dxa"/>
              <w:right w:w="85" w:type="dxa"/>
            </w:tcMar>
            <w:vAlign w:val="center"/>
          </w:tcPr>
          <w:p w14:paraId="1AABA0CA" w14:textId="77777777" w:rsidR="00805D42" w:rsidRPr="00C264CF" w:rsidRDefault="00000000">
            <w:pPr>
              <w:spacing w:after="0" w:line="240" w:lineRule="auto"/>
              <w:jc w:val="left"/>
            </w:pPr>
            <w:r w:rsidRPr="00C264CF">
              <w:rPr>
                <w:sz w:val="14"/>
              </w:rPr>
              <w:t>Super-resolution molecular mapping</w:t>
            </w:r>
          </w:p>
        </w:tc>
        <w:tc>
          <w:tcPr>
            <w:tcW w:w="1325" w:type="dxa"/>
            <w:shd w:val="clear" w:color="auto" w:fill="F7F9FC"/>
            <w:tcMar>
              <w:top w:w="75" w:type="dxa"/>
              <w:left w:w="85" w:type="dxa"/>
              <w:bottom w:w="75" w:type="dxa"/>
              <w:right w:w="85" w:type="dxa"/>
            </w:tcMar>
            <w:vAlign w:val="center"/>
          </w:tcPr>
          <w:p w14:paraId="454420A7" w14:textId="77777777" w:rsidR="00805D42" w:rsidRPr="00C264CF" w:rsidRDefault="00000000">
            <w:pPr>
              <w:spacing w:after="0" w:line="240" w:lineRule="auto"/>
              <w:jc w:val="left"/>
            </w:pPr>
            <w:r w:rsidRPr="00C264CF">
              <w:rPr>
                <w:sz w:val="14"/>
              </w:rPr>
              <w:t>Measured coarse spatial data + H&amp;E → finer predicted map</w:t>
            </w:r>
          </w:p>
        </w:tc>
        <w:tc>
          <w:tcPr>
            <w:tcW w:w="1181" w:type="dxa"/>
            <w:shd w:val="clear" w:color="auto" w:fill="F7F9FC"/>
            <w:tcMar>
              <w:top w:w="75" w:type="dxa"/>
              <w:left w:w="85" w:type="dxa"/>
              <w:bottom w:w="75" w:type="dxa"/>
              <w:right w:w="85" w:type="dxa"/>
            </w:tcMar>
            <w:vAlign w:val="center"/>
          </w:tcPr>
          <w:p w14:paraId="61A57424" w14:textId="77777777" w:rsidR="00805D42" w:rsidRPr="00C264CF" w:rsidRDefault="00000000">
            <w:pPr>
              <w:spacing w:after="0" w:line="240" w:lineRule="auto"/>
              <w:jc w:val="left"/>
            </w:pPr>
            <w:r w:rsidRPr="00C264CF">
              <w:rPr>
                <w:sz w:val="14"/>
              </w:rPr>
              <w:t>iStar; MISO; GHIST</w:t>
            </w:r>
          </w:p>
        </w:tc>
        <w:tc>
          <w:tcPr>
            <w:tcW w:w="1728" w:type="dxa"/>
            <w:shd w:val="clear" w:color="auto" w:fill="F7F9FC"/>
            <w:tcMar>
              <w:top w:w="75" w:type="dxa"/>
              <w:left w:w="85" w:type="dxa"/>
              <w:bottom w:w="75" w:type="dxa"/>
              <w:right w:w="85" w:type="dxa"/>
            </w:tcMar>
            <w:vAlign w:val="center"/>
          </w:tcPr>
          <w:p w14:paraId="2365823D" w14:textId="77777777" w:rsidR="00805D42" w:rsidRPr="00C264CF" w:rsidRDefault="00000000">
            <w:pPr>
              <w:spacing w:after="0" w:line="240" w:lineRule="auto"/>
              <w:jc w:val="left"/>
            </w:pPr>
            <w:r w:rsidRPr="00C264CF">
              <w:rPr>
                <w:sz w:val="14"/>
              </w:rPr>
              <w:t>Uses high-resolution morphology to localise molecular programmes more finely</w:t>
            </w:r>
          </w:p>
        </w:tc>
        <w:tc>
          <w:tcPr>
            <w:tcW w:w="1728" w:type="dxa"/>
            <w:shd w:val="clear" w:color="auto" w:fill="F7F9FC"/>
            <w:tcMar>
              <w:top w:w="75" w:type="dxa"/>
              <w:left w:w="85" w:type="dxa"/>
              <w:bottom w:w="75" w:type="dxa"/>
              <w:right w:w="85" w:type="dxa"/>
            </w:tcMar>
            <w:vAlign w:val="center"/>
          </w:tcPr>
          <w:p w14:paraId="08422CFD" w14:textId="77777777" w:rsidR="00805D42" w:rsidRPr="00C264CF" w:rsidRDefault="00000000">
            <w:pPr>
              <w:spacing w:after="0" w:line="240" w:lineRule="auto"/>
              <w:jc w:val="left"/>
            </w:pPr>
            <w:r w:rsidRPr="00C264CF">
              <w:rPr>
                <w:sz w:val="14"/>
              </w:rPr>
              <w:t>Rendered resolution can exceed independently measured molecular resolution</w:t>
            </w:r>
          </w:p>
        </w:tc>
        <w:tc>
          <w:tcPr>
            <w:tcW w:w="1987" w:type="dxa"/>
            <w:shd w:val="clear" w:color="auto" w:fill="F7F9FC"/>
            <w:tcMar>
              <w:top w:w="75" w:type="dxa"/>
              <w:left w:w="85" w:type="dxa"/>
              <w:bottom w:w="75" w:type="dxa"/>
              <w:right w:w="85" w:type="dxa"/>
            </w:tcMar>
            <w:vAlign w:val="center"/>
          </w:tcPr>
          <w:p w14:paraId="6DC49CAE" w14:textId="77777777" w:rsidR="00805D42" w:rsidRPr="00034575" w:rsidRDefault="00000000">
            <w:pPr>
              <w:spacing w:after="0" w:line="240" w:lineRule="auto"/>
              <w:jc w:val="left"/>
              <w:rPr>
                <w:lang w:val="nl-BE"/>
              </w:rPr>
            </w:pPr>
            <w:r w:rsidRPr="00034575">
              <w:rPr>
                <w:sz w:val="14"/>
                <w:lang w:val="nl-BE"/>
              </w:rPr>
              <w:t>(Fu et al., 2025; Schmauch et al., 2025; Zhang et al., 2024)</w:t>
            </w:r>
          </w:p>
        </w:tc>
      </w:tr>
      <w:tr w:rsidR="00C264CF" w:rsidRPr="00034575" w14:paraId="3875459F" w14:textId="77777777">
        <w:trPr>
          <w:cantSplit/>
          <w:jc w:val="center"/>
        </w:trPr>
        <w:tc>
          <w:tcPr>
            <w:tcW w:w="1339" w:type="dxa"/>
            <w:tcMar>
              <w:top w:w="75" w:type="dxa"/>
              <w:left w:w="85" w:type="dxa"/>
              <w:bottom w:w="75" w:type="dxa"/>
              <w:right w:w="85" w:type="dxa"/>
            </w:tcMar>
            <w:vAlign w:val="center"/>
          </w:tcPr>
          <w:p w14:paraId="7E6645F1" w14:textId="77777777" w:rsidR="00805D42" w:rsidRPr="00C264CF" w:rsidRDefault="00000000">
            <w:pPr>
              <w:spacing w:after="0" w:line="240" w:lineRule="auto"/>
              <w:jc w:val="left"/>
            </w:pPr>
            <w:r w:rsidRPr="00C264CF">
              <w:rPr>
                <w:sz w:val="14"/>
              </w:rPr>
              <w:t>Foundation-model adaptation</w:t>
            </w:r>
          </w:p>
        </w:tc>
        <w:tc>
          <w:tcPr>
            <w:tcW w:w="1325" w:type="dxa"/>
            <w:tcMar>
              <w:top w:w="75" w:type="dxa"/>
              <w:left w:w="85" w:type="dxa"/>
              <w:bottom w:w="75" w:type="dxa"/>
              <w:right w:w="85" w:type="dxa"/>
            </w:tcMar>
            <w:vAlign w:val="center"/>
          </w:tcPr>
          <w:p w14:paraId="34961B33" w14:textId="77777777" w:rsidR="00805D42" w:rsidRPr="00C264CF" w:rsidRDefault="00000000">
            <w:pPr>
              <w:spacing w:after="0" w:line="240" w:lineRule="auto"/>
              <w:jc w:val="left"/>
            </w:pPr>
            <w:r w:rsidRPr="00C264CF">
              <w:rPr>
                <w:sz w:val="14"/>
              </w:rPr>
              <w:t>Large pathology pretraining → spatial/molecular task</w:t>
            </w:r>
          </w:p>
        </w:tc>
        <w:tc>
          <w:tcPr>
            <w:tcW w:w="1181" w:type="dxa"/>
            <w:tcMar>
              <w:top w:w="75" w:type="dxa"/>
              <w:left w:w="85" w:type="dxa"/>
              <w:bottom w:w="75" w:type="dxa"/>
              <w:right w:w="85" w:type="dxa"/>
            </w:tcMar>
            <w:vAlign w:val="center"/>
          </w:tcPr>
          <w:p w14:paraId="7D9E35B0" w14:textId="77777777" w:rsidR="00805D42" w:rsidRPr="00C264CF" w:rsidRDefault="00000000">
            <w:pPr>
              <w:spacing w:after="0" w:line="240" w:lineRule="auto"/>
              <w:jc w:val="left"/>
            </w:pPr>
            <w:r w:rsidRPr="00C264CF">
              <w:rPr>
                <w:sz w:val="14"/>
              </w:rPr>
              <w:t>UNI; CONCH; Prov-GigaPath</w:t>
            </w:r>
          </w:p>
        </w:tc>
        <w:tc>
          <w:tcPr>
            <w:tcW w:w="1728" w:type="dxa"/>
            <w:tcMar>
              <w:top w:w="75" w:type="dxa"/>
              <w:left w:w="85" w:type="dxa"/>
              <w:bottom w:w="75" w:type="dxa"/>
              <w:right w:w="85" w:type="dxa"/>
            </w:tcMar>
            <w:vAlign w:val="center"/>
          </w:tcPr>
          <w:p w14:paraId="397E89B0" w14:textId="77777777" w:rsidR="00805D42" w:rsidRPr="00C264CF" w:rsidRDefault="00000000">
            <w:pPr>
              <w:spacing w:after="0" w:line="240" w:lineRule="auto"/>
              <w:jc w:val="left"/>
            </w:pPr>
            <w:r w:rsidRPr="00C264CF">
              <w:rPr>
                <w:sz w:val="14"/>
              </w:rPr>
              <w:t>Provides broad morphology representations with reduced task-specific annotation</w:t>
            </w:r>
          </w:p>
        </w:tc>
        <w:tc>
          <w:tcPr>
            <w:tcW w:w="1728" w:type="dxa"/>
            <w:tcMar>
              <w:top w:w="75" w:type="dxa"/>
              <w:left w:w="85" w:type="dxa"/>
              <w:bottom w:w="75" w:type="dxa"/>
              <w:right w:w="85" w:type="dxa"/>
            </w:tcMar>
            <w:vAlign w:val="center"/>
          </w:tcPr>
          <w:p w14:paraId="4674FC61" w14:textId="77777777" w:rsidR="00805D42" w:rsidRPr="00C264CF" w:rsidRDefault="00000000">
            <w:pPr>
              <w:spacing w:after="0" w:line="240" w:lineRule="auto"/>
              <w:jc w:val="left"/>
            </w:pPr>
            <w:r w:rsidRPr="00C264CF">
              <w:rPr>
                <w:sz w:val="14"/>
              </w:rPr>
              <w:t>Pretraining diversity does not guarantee sensitivity to a target molecular state</w:t>
            </w:r>
          </w:p>
        </w:tc>
        <w:tc>
          <w:tcPr>
            <w:tcW w:w="1987" w:type="dxa"/>
            <w:tcMar>
              <w:top w:w="75" w:type="dxa"/>
              <w:left w:w="85" w:type="dxa"/>
              <w:bottom w:w="75" w:type="dxa"/>
              <w:right w:w="85" w:type="dxa"/>
            </w:tcMar>
            <w:vAlign w:val="center"/>
          </w:tcPr>
          <w:p w14:paraId="1102EE1B" w14:textId="77777777" w:rsidR="00805D42" w:rsidRPr="00034575" w:rsidRDefault="00000000">
            <w:pPr>
              <w:spacing w:after="0" w:line="240" w:lineRule="auto"/>
              <w:jc w:val="left"/>
              <w:rPr>
                <w:lang w:val="nl-BE"/>
              </w:rPr>
            </w:pPr>
            <w:r w:rsidRPr="00034575">
              <w:rPr>
                <w:sz w:val="14"/>
                <w:lang w:val="nl-BE"/>
              </w:rPr>
              <w:t>(Chen et al., 2024; Lu et al., 2024; Xu et al., 2024)</w:t>
            </w:r>
          </w:p>
        </w:tc>
      </w:tr>
      <w:tr w:rsidR="00C264CF" w:rsidRPr="00C264CF" w14:paraId="67D854A1" w14:textId="77777777">
        <w:trPr>
          <w:cantSplit/>
          <w:jc w:val="center"/>
        </w:trPr>
        <w:tc>
          <w:tcPr>
            <w:tcW w:w="1339" w:type="dxa"/>
            <w:shd w:val="clear" w:color="auto" w:fill="F7F9FC"/>
            <w:tcMar>
              <w:top w:w="75" w:type="dxa"/>
              <w:left w:w="85" w:type="dxa"/>
              <w:bottom w:w="75" w:type="dxa"/>
              <w:right w:w="85" w:type="dxa"/>
            </w:tcMar>
            <w:vAlign w:val="center"/>
          </w:tcPr>
          <w:p w14:paraId="05FCA701" w14:textId="77777777" w:rsidR="00805D42" w:rsidRPr="00C264CF" w:rsidRDefault="00000000">
            <w:pPr>
              <w:spacing w:after="0" w:line="240" w:lineRule="auto"/>
              <w:jc w:val="left"/>
            </w:pPr>
            <w:r w:rsidRPr="00C264CF">
              <w:rPr>
                <w:sz w:val="14"/>
              </w:rPr>
              <w:t>Outcome-to-morphology-to-mechanism analysis</w:t>
            </w:r>
          </w:p>
        </w:tc>
        <w:tc>
          <w:tcPr>
            <w:tcW w:w="1325" w:type="dxa"/>
            <w:shd w:val="clear" w:color="auto" w:fill="F7F9FC"/>
            <w:tcMar>
              <w:top w:w="75" w:type="dxa"/>
              <w:left w:w="85" w:type="dxa"/>
              <w:bottom w:w="75" w:type="dxa"/>
              <w:right w:w="85" w:type="dxa"/>
            </w:tcMar>
            <w:vAlign w:val="center"/>
          </w:tcPr>
          <w:p w14:paraId="489F745B" w14:textId="77777777" w:rsidR="00805D42" w:rsidRPr="00C264CF" w:rsidRDefault="00000000">
            <w:pPr>
              <w:spacing w:after="0" w:line="240" w:lineRule="auto"/>
              <w:jc w:val="left"/>
            </w:pPr>
            <w:r w:rsidRPr="00C264CF">
              <w:rPr>
                <w:sz w:val="14"/>
              </w:rPr>
              <w:t>Clinical outcome → image phenotype → spatial molecular explanation</w:t>
            </w:r>
          </w:p>
        </w:tc>
        <w:tc>
          <w:tcPr>
            <w:tcW w:w="1181" w:type="dxa"/>
            <w:shd w:val="clear" w:color="auto" w:fill="F7F9FC"/>
            <w:tcMar>
              <w:top w:w="75" w:type="dxa"/>
              <w:left w:w="85" w:type="dxa"/>
              <w:bottom w:w="75" w:type="dxa"/>
              <w:right w:w="85" w:type="dxa"/>
            </w:tcMar>
            <w:vAlign w:val="center"/>
          </w:tcPr>
          <w:p w14:paraId="283F9A3B" w14:textId="77777777" w:rsidR="00805D42" w:rsidRPr="00C264CF" w:rsidRDefault="00000000">
            <w:pPr>
              <w:spacing w:after="0" w:line="240" w:lineRule="auto"/>
              <w:jc w:val="left"/>
            </w:pPr>
            <w:r w:rsidRPr="00C264CF">
              <w:rPr>
                <w:sz w:val="14"/>
              </w:rPr>
              <w:t>Multimodal outcome-associated morphology framework</w:t>
            </w:r>
          </w:p>
        </w:tc>
        <w:tc>
          <w:tcPr>
            <w:tcW w:w="1728" w:type="dxa"/>
            <w:shd w:val="clear" w:color="auto" w:fill="F7F9FC"/>
            <w:tcMar>
              <w:top w:w="75" w:type="dxa"/>
              <w:left w:w="85" w:type="dxa"/>
              <w:bottom w:w="75" w:type="dxa"/>
              <w:right w:w="85" w:type="dxa"/>
            </w:tcMar>
            <w:vAlign w:val="center"/>
          </w:tcPr>
          <w:p w14:paraId="2B0C94BD" w14:textId="77777777" w:rsidR="00805D42" w:rsidRPr="00C264CF" w:rsidRDefault="00000000">
            <w:pPr>
              <w:spacing w:after="0" w:line="240" w:lineRule="auto"/>
              <w:jc w:val="left"/>
            </w:pPr>
            <w:r w:rsidRPr="00C264CF">
              <w:rPr>
                <w:sz w:val="14"/>
              </w:rPr>
              <w:t>Links a clinically relevant image pattern to spatially localised candidate mechanisms</w:t>
            </w:r>
          </w:p>
        </w:tc>
        <w:tc>
          <w:tcPr>
            <w:tcW w:w="1728" w:type="dxa"/>
            <w:shd w:val="clear" w:color="auto" w:fill="F7F9FC"/>
            <w:tcMar>
              <w:top w:w="75" w:type="dxa"/>
              <w:left w:w="85" w:type="dxa"/>
              <w:bottom w:w="75" w:type="dxa"/>
              <w:right w:w="85" w:type="dxa"/>
            </w:tcMar>
            <w:vAlign w:val="center"/>
          </w:tcPr>
          <w:p w14:paraId="1CB2DF31" w14:textId="77777777" w:rsidR="00805D42" w:rsidRPr="00C264CF" w:rsidRDefault="00000000">
            <w:pPr>
              <w:spacing w:after="0" w:line="240" w:lineRule="auto"/>
              <w:jc w:val="left"/>
            </w:pPr>
            <w:r w:rsidRPr="00C264CF">
              <w:rPr>
                <w:sz w:val="14"/>
              </w:rPr>
              <w:t>Mechanistic interpretation remains associative without perturbation or orthogonal confirmation</w:t>
            </w:r>
          </w:p>
        </w:tc>
        <w:tc>
          <w:tcPr>
            <w:tcW w:w="1987" w:type="dxa"/>
            <w:shd w:val="clear" w:color="auto" w:fill="F7F9FC"/>
            <w:tcMar>
              <w:top w:w="75" w:type="dxa"/>
              <w:left w:w="85" w:type="dxa"/>
              <w:bottom w:w="75" w:type="dxa"/>
              <w:right w:w="85" w:type="dxa"/>
            </w:tcMar>
            <w:vAlign w:val="center"/>
          </w:tcPr>
          <w:p w14:paraId="15292E0D" w14:textId="77777777" w:rsidR="00805D42" w:rsidRPr="00C264CF" w:rsidRDefault="00000000">
            <w:pPr>
              <w:spacing w:after="0" w:line="240" w:lineRule="auto"/>
              <w:jc w:val="left"/>
            </w:pPr>
            <w:r w:rsidRPr="00C264CF">
              <w:rPr>
                <w:sz w:val="14"/>
              </w:rPr>
              <w:t>(Kulkarni et al., 2026)</w:t>
            </w:r>
          </w:p>
        </w:tc>
      </w:tr>
    </w:tbl>
    <w:p w14:paraId="71338F42" w14:textId="77777777" w:rsidR="00805D42" w:rsidRPr="00C264CF" w:rsidRDefault="00000000">
      <w:pPr>
        <w:spacing w:before="60" w:after="160"/>
      </w:pPr>
      <w:r w:rsidRPr="00C264CF">
        <w:rPr>
          <w:i/>
          <w:sz w:val="16"/>
        </w:rPr>
        <w:t xml:space="preserve">Note. </w:t>
      </w:r>
      <w:r w:rsidRPr="00C264CF">
        <w:rPr>
          <w:sz w:val="16"/>
        </w:rPr>
        <w:t>AI, artificial intelligence; H&amp;E, haematoxylin and eosin.</w:t>
      </w:r>
    </w:p>
    <w:p w14:paraId="620BD0F5" w14:textId="77777777" w:rsidR="00805D42" w:rsidRPr="00C264CF" w:rsidRDefault="00000000">
      <w:pPr>
        <w:pStyle w:val="Heading1"/>
        <w:rPr>
          <w:color w:val="auto"/>
        </w:rPr>
      </w:pPr>
      <w:r w:rsidRPr="00C264CF">
        <w:rPr>
          <w:color w:val="auto"/>
        </w:rPr>
        <w:t>5. Hidden Histopathological Signatures Revealed by Spatially Grounded Models</w:t>
      </w:r>
    </w:p>
    <w:p w14:paraId="7A5C3C1D" w14:textId="77777777" w:rsidR="00805D42" w:rsidRPr="00C264CF" w:rsidRDefault="00000000">
      <w:r w:rsidRPr="00C264CF">
        <w:t>The phrase “hidden histopathological signature” is useful only if it denotes more than a high-dimensional image feature. A defensible signature should satisfy at least three conditions: it is reproducibly detectable in morphology, it corresponds to a locally measured biological state, and the relationship survives relevant technical and patient-level variation. Spatial omics is uniquely suited to the second condition because it can test whether an image-defined region contains the proposed molecular programme. The evidence to date suggests that hidden signatures are most credible when they arise from tissue composition and organised multicellular states, and less secure when they claim highly specific cell-intrinsic molecular events without a strong morphological consequence.</w:t>
      </w:r>
    </w:p>
    <w:p w14:paraId="3F7B2111" w14:textId="77777777" w:rsidR="00805D42" w:rsidRPr="00C264CF" w:rsidRDefault="00000000">
      <w:r w:rsidRPr="00C264CF">
        <w:t xml:space="preserve">Tumour-cell programmes provide one class of signature. ST-Net demonstrated local prediction of gene expression linked to tumour growth and immune activation in breast cancer (He et al., 2020), while later models extended local prediction to broader and more heterogeneous settings (Fu et al., 2025; Wang et al., 2025; Zeng et al., 2022). At the whole-slide level, Coudray et al. (2018), Kather et al. (2019) and Schmauch et al. (2020) showed that morphology contains signals of selected mutations, microsatellite instability and transcriptomic programmes. The critical pattern across these studies is selectivity: predictive performance is </w:t>
      </w:r>
      <w:r w:rsidRPr="00C264CF">
        <w:lastRenderedPageBreak/>
        <w:t>not uniform across molecular targets. Genes involved in proliferation, differentiation, immune infiltration or abundant lineage programmes tend to have stronger morphological correlates than sparsely expressed or weakly phenotype-coupled genes.</w:t>
      </w:r>
    </w:p>
    <w:p w14:paraId="71B05ED1" w14:textId="77777777" w:rsidR="00805D42" w:rsidRPr="00C264CF" w:rsidRDefault="00000000">
      <w:r w:rsidRPr="00C264CF">
        <w:t>Immune organisation is among the strongest spatially grounded signatures because immune cells are themselves morphologically visible and their arrangement creates tissue-scale patterns. Keren et al. (2018) showed that triple-negative breast cancers could be distinguished by mixed versus compartmentalised tumour–immune organisation, with spatially patterned immune-regulatory proteins. Schürch et al. (2020) identified coordinated cellular neighbourhoods at the colorectal cancer invasive front, demonstrating that prognostic information can reside in local cell combinations rather than global immune-cell abundance. Spatial-LDA formalised this idea by learning recurring tissue microenvironments from multiplexed images (Chen et al., 2020). For H&amp;E AI, these studies imply that a model may predict immune-related transcriptomic signals because it sees lymphocyte density, tertiary lymphoid structures, tumour–immune boundaries and stromal context rather than because it directly recognises individual cytokine transcripts.</w:t>
      </w:r>
    </w:p>
    <w:p w14:paraId="1632695F" w14:textId="77777777" w:rsidR="00805D42" w:rsidRPr="00C264CF" w:rsidRDefault="00000000">
      <w:r w:rsidRPr="00C264CF">
        <w:t>Stromal and extracellular-matrix states form another plausible class. Fibroblast-rich regions, desmoplasia, collagen organisation, vascularity and invasive interfaces have direct morphological manifestations. Spatial transcriptomics can resolve whether such regions are associated with fibroblast subtypes, extracellular-matrix programmes or tumour-cell states, while spatial proteomics can quantify the phenotype of adjacent stromal and immune cells. In squamous cell carcinoma, multimodal spatial analysis revealed distinct tumour, stromal and immune states arranged across tissue architecture (Ji et al., 2020). In breast cancer, imaging mass cytometry showed that multicellular tissue organisation can stratify tumours beyond conventional morphology (Jackson et al., 2020). These findings support the idea that AI can expose histologically subtle stromal programmes, but they also warn against reducing a stromal molecular signature to one cell type when the image pattern reflects a multicellular niche.</w:t>
      </w:r>
    </w:p>
    <w:p w14:paraId="2701154A" w14:textId="77777777" w:rsidR="00805D42" w:rsidRPr="00C264CF" w:rsidRDefault="00000000">
      <w:r w:rsidRPr="00C264CF">
        <w:t>Spatial omics can also reveal boundary states that are difficult to appreciate visually. Janesick et al. (2023), integrating single-cell, spatial and in situ measurements in breast cancer, identified rare boundary cells at the myoepithelial interface and molecular differences associated with progression towards invasion. Such states exemplify why spatial information matters: bulk sequencing would dilute a rare boundary population, while routine H&amp;E might register only a subtle architectural change. A paired model can potentially learn the morphology of that interface, but its validity depends on sufficient examples across patients and on precise co-registration. Otherwise, the model may learn a generic ductal boundary rather than the specific molecular transition of interest.</w:t>
      </w:r>
    </w:p>
    <w:p w14:paraId="6F9A7F10" w14:textId="77777777" w:rsidR="00805D42" w:rsidRPr="00C264CF" w:rsidRDefault="00000000">
      <w:r w:rsidRPr="00C264CF">
        <w:t>A further category comprises molecular phenotypes whose morphological correlate is indirect. Microsatellite instability, receptor signalling, pathway activation and selected genomic alterations can influence cell composition, differentiation or immune infiltration, creating inferable image signatures without being visually represented as molecular events themselves (Coudray et al., 2018; Kather et al., 2019). This distinction is clinically important. If an AI model predicts a mutation because the mutation commonly causes a recognisable phenotype in the training cohort, the prediction can be useful as a screening biomarker, but it is not a visual measurement of genotype. Spatial omics can help unpack the mediation chain by determining whether the image region corresponds to a downstream cellular programme rather than to the molecular alteration directly.</w:t>
      </w:r>
    </w:p>
    <w:p w14:paraId="15097815" w14:textId="77777777" w:rsidR="00805D42" w:rsidRPr="00C264CF" w:rsidRDefault="00000000">
      <w:r w:rsidRPr="00C264CF">
        <w:t xml:space="preserve">The relation between morphology and mechanism becomes clearer when models are used to interrogate outcome-associated patterns. Kulkarni et al. (2026) linked morphological patterns associated with trastuzumab response to spatially localised molecular programmes in HER2-positive breast cancer. This type of design is attractive because it begins with a clinically relevant morphological signal, then asks which spatial molecular mechanisms distinguish it. It reduces the temptation to interpret every predicted gene as equally meaningful and can generate testable mechanistic hypotheses. The weakness is that mechanism </w:t>
      </w:r>
      <w:r w:rsidRPr="00C264CF">
        <w:lastRenderedPageBreak/>
        <w:t>remains associative unless followed by perturbation, functional validation or prospective confirmation. Spatial colocalisation narrows the hypothesis but does not prove that the identified pathway caused the morphological pattern or treatment response.</w:t>
      </w:r>
    </w:p>
    <w:p w14:paraId="27508D6E" w14:textId="77777777" w:rsidR="00805D42" w:rsidRPr="00C264CF" w:rsidRDefault="00000000">
      <w:r w:rsidRPr="00C264CF">
        <w:t>The evidence is therefore strongest for signatures that are spatial, compositional and mesoscale: tumour–immune compartmentalisation, cellular neighbourhoods, invasive interfaces, proliferative zones and stromal programmes. Confidence decreases for narrowly specified molecular states when training labels are coarse, samples are small or validation is within the same cohort. Table 3 summarises representative hidden signatures, the biological basis for their visibility and the principal interpretive caveat. The central lesson is that the most credible “hidden” signal is often not an invisible molecule but an overlooked spatial organisation of visible cells that spatial omics assigns a molecular meaning.</w:t>
      </w:r>
    </w:p>
    <w:p w14:paraId="584E7998" w14:textId="77777777" w:rsidR="00805D42" w:rsidRPr="00C264CF" w:rsidRDefault="00000000">
      <w:pPr>
        <w:keepNext/>
        <w:spacing w:before="160" w:after="20"/>
      </w:pPr>
      <w:r w:rsidRPr="00C264CF">
        <w:rPr>
          <w:b/>
          <w:sz w:val="18"/>
        </w:rPr>
        <w:t>Table 3</w:t>
      </w:r>
    </w:p>
    <w:p w14:paraId="559BA4BE" w14:textId="77777777" w:rsidR="00805D42" w:rsidRPr="00C264CF" w:rsidRDefault="00000000">
      <w:pPr>
        <w:keepNext/>
        <w:spacing w:after="80"/>
      </w:pPr>
      <w:r w:rsidRPr="00C264CF">
        <w:rPr>
          <w:i/>
          <w:sz w:val="18"/>
        </w:rPr>
        <w:t>Representative hidden histopathological signatures and the evidential basis for interpreting them</w:t>
      </w:r>
    </w:p>
    <w:tbl>
      <w:tblPr>
        <w:tblStyle w:val="TableGrid"/>
        <w:tblW w:w="0" w:type="auto"/>
        <w:jc w:val="center"/>
        <w:tblLayout w:type="fixed"/>
        <w:tblLook w:val="04A0" w:firstRow="1" w:lastRow="0" w:firstColumn="1" w:lastColumn="0" w:noHBand="0" w:noVBand="1"/>
      </w:tblPr>
      <w:tblGrid>
        <w:gridCol w:w="1339"/>
        <w:gridCol w:w="1325"/>
        <w:gridCol w:w="1181"/>
        <w:gridCol w:w="1728"/>
        <w:gridCol w:w="1728"/>
        <w:gridCol w:w="1987"/>
      </w:tblGrid>
      <w:tr w:rsidR="00C264CF" w:rsidRPr="00C264CF" w14:paraId="37C8EC75" w14:textId="77777777">
        <w:trPr>
          <w:tblHeader/>
          <w:jc w:val="center"/>
        </w:trPr>
        <w:tc>
          <w:tcPr>
            <w:tcW w:w="1339" w:type="dxa"/>
            <w:shd w:val="clear" w:color="auto" w:fill="D9E2F3"/>
            <w:tcMar>
              <w:top w:w="80" w:type="dxa"/>
              <w:left w:w="90" w:type="dxa"/>
              <w:bottom w:w="80" w:type="dxa"/>
              <w:right w:w="90" w:type="dxa"/>
            </w:tcMar>
            <w:vAlign w:val="center"/>
          </w:tcPr>
          <w:p w14:paraId="4F0BF5C6" w14:textId="77777777" w:rsidR="00805D42" w:rsidRPr="00C264CF" w:rsidRDefault="00000000">
            <w:pPr>
              <w:spacing w:before="20" w:after="20" w:line="240" w:lineRule="auto"/>
              <w:jc w:val="center"/>
            </w:pPr>
            <w:r w:rsidRPr="00C264CF">
              <w:rPr>
                <w:b/>
                <w:sz w:val="15"/>
              </w:rPr>
              <w:t>Signature</w:t>
            </w:r>
          </w:p>
        </w:tc>
        <w:tc>
          <w:tcPr>
            <w:tcW w:w="1325" w:type="dxa"/>
            <w:shd w:val="clear" w:color="auto" w:fill="D9E2F3"/>
            <w:tcMar>
              <w:top w:w="80" w:type="dxa"/>
              <w:left w:w="90" w:type="dxa"/>
              <w:bottom w:w="80" w:type="dxa"/>
              <w:right w:w="90" w:type="dxa"/>
            </w:tcMar>
            <w:vAlign w:val="center"/>
          </w:tcPr>
          <w:p w14:paraId="18E08439" w14:textId="77777777" w:rsidR="00805D42" w:rsidRPr="00C264CF" w:rsidRDefault="00000000">
            <w:pPr>
              <w:spacing w:before="20" w:after="20" w:line="240" w:lineRule="auto"/>
              <w:jc w:val="center"/>
            </w:pPr>
            <w:r w:rsidRPr="00C264CF">
              <w:rPr>
                <w:b/>
                <w:sz w:val="15"/>
              </w:rPr>
              <w:t>Morphological carrier</w:t>
            </w:r>
          </w:p>
        </w:tc>
        <w:tc>
          <w:tcPr>
            <w:tcW w:w="1181" w:type="dxa"/>
            <w:shd w:val="clear" w:color="auto" w:fill="D9E2F3"/>
            <w:tcMar>
              <w:top w:w="80" w:type="dxa"/>
              <w:left w:w="90" w:type="dxa"/>
              <w:bottom w:w="80" w:type="dxa"/>
              <w:right w:w="90" w:type="dxa"/>
            </w:tcMar>
            <w:vAlign w:val="center"/>
          </w:tcPr>
          <w:p w14:paraId="783D49A2" w14:textId="77777777" w:rsidR="00805D42" w:rsidRPr="00C264CF" w:rsidRDefault="00000000">
            <w:pPr>
              <w:spacing w:before="20" w:after="20" w:line="240" w:lineRule="auto"/>
              <w:jc w:val="center"/>
            </w:pPr>
            <w:r w:rsidRPr="00C264CF">
              <w:rPr>
                <w:b/>
                <w:sz w:val="15"/>
              </w:rPr>
              <w:t>Spatial-omics evidence</w:t>
            </w:r>
          </w:p>
        </w:tc>
        <w:tc>
          <w:tcPr>
            <w:tcW w:w="1728" w:type="dxa"/>
            <w:shd w:val="clear" w:color="auto" w:fill="D9E2F3"/>
            <w:tcMar>
              <w:top w:w="80" w:type="dxa"/>
              <w:left w:w="90" w:type="dxa"/>
              <w:bottom w:w="80" w:type="dxa"/>
              <w:right w:w="90" w:type="dxa"/>
            </w:tcMar>
            <w:vAlign w:val="center"/>
          </w:tcPr>
          <w:p w14:paraId="623EBE44" w14:textId="77777777" w:rsidR="00805D42" w:rsidRPr="00C264CF" w:rsidRDefault="00000000">
            <w:pPr>
              <w:spacing w:before="20" w:after="20" w:line="240" w:lineRule="auto"/>
              <w:jc w:val="center"/>
            </w:pPr>
            <w:r w:rsidRPr="00C264CF">
              <w:rPr>
                <w:b/>
                <w:sz w:val="15"/>
              </w:rPr>
              <w:t>Current confidence</w:t>
            </w:r>
          </w:p>
        </w:tc>
        <w:tc>
          <w:tcPr>
            <w:tcW w:w="1728" w:type="dxa"/>
            <w:shd w:val="clear" w:color="auto" w:fill="D9E2F3"/>
            <w:tcMar>
              <w:top w:w="80" w:type="dxa"/>
              <w:left w:w="90" w:type="dxa"/>
              <w:bottom w:w="80" w:type="dxa"/>
              <w:right w:w="90" w:type="dxa"/>
            </w:tcMar>
            <w:vAlign w:val="center"/>
          </w:tcPr>
          <w:p w14:paraId="1C161EA2" w14:textId="77777777" w:rsidR="00805D42" w:rsidRPr="00C264CF" w:rsidRDefault="00000000">
            <w:pPr>
              <w:spacing w:before="20" w:after="20" w:line="240" w:lineRule="auto"/>
              <w:jc w:val="center"/>
            </w:pPr>
            <w:r w:rsidRPr="00C264CF">
              <w:rPr>
                <w:b/>
                <w:sz w:val="15"/>
              </w:rPr>
              <w:t>Main caveat</w:t>
            </w:r>
          </w:p>
        </w:tc>
        <w:tc>
          <w:tcPr>
            <w:tcW w:w="1987" w:type="dxa"/>
            <w:shd w:val="clear" w:color="auto" w:fill="D9E2F3"/>
            <w:tcMar>
              <w:top w:w="80" w:type="dxa"/>
              <w:left w:w="90" w:type="dxa"/>
              <w:bottom w:w="80" w:type="dxa"/>
              <w:right w:w="90" w:type="dxa"/>
            </w:tcMar>
            <w:vAlign w:val="center"/>
          </w:tcPr>
          <w:p w14:paraId="17A1DDDC" w14:textId="77777777" w:rsidR="00805D42" w:rsidRPr="00C264CF" w:rsidRDefault="00000000">
            <w:pPr>
              <w:spacing w:before="20" w:after="20" w:line="240" w:lineRule="auto"/>
              <w:jc w:val="center"/>
            </w:pPr>
            <w:r w:rsidRPr="00C264CF">
              <w:rPr>
                <w:b/>
                <w:sz w:val="15"/>
              </w:rPr>
              <w:t>Supporting references</w:t>
            </w:r>
          </w:p>
        </w:tc>
      </w:tr>
      <w:tr w:rsidR="00C264CF" w:rsidRPr="00034575" w14:paraId="655A19EC" w14:textId="77777777">
        <w:trPr>
          <w:cantSplit/>
          <w:jc w:val="center"/>
        </w:trPr>
        <w:tc>
          <w:tcPr>
            <w:tcW w:w="1339" w:type="dxa"/>
            <w:tcMar>
              <w:top w:w="75" w:type="dxa"/>
              <w:left w:w="85" w:type="dxa"/>
              <w:bottom w:w="75" w:type="dxa"/>
              <w:right w:w="85" w:type="dxa"/>
            </w:tcMar>
            <w:vAlign w:val="center"/>
          </w:tcPr>
          <w:p w14:paraId="32240C70" w14:textId="77777777" w:rsidR="00805D42" w:rsidRPr="00C264CF" w:rsidRDefault="00000000">
            <w:pPr>
              <w:spacing w:after="0" w:line="240" w:lineRule="auto"/>
              <w:jc w:val="left"/>
            </w:pPr>
            <w:r w:rsidRPr="00C264CF">
              <w:rPr>
                <w:sz w:val="14"/>
              </w:rPr>
              <w:t xml:space="preserve">Cell composition and lineage </w:t>
            </w:r>
            <w:proofErr w:type="spellStart"/>
            <w:r w:rsidRPr="00C264CF">
              <w:rPr>
                <w:sz w:val="14"/>
              </w:rPr>
              <w:t>programme</w:t>
            </w:r>
            <w:proofErr w:type="spellEnd"/>
          </w:p>
        </w:tc>
        <w:tc>
          <w:tcPr>
            <w:tcW w:w="1325" w:type="dxa"/>
            <w:tcMar>
              <w:top w:w="75" w:type="dxa"/>
              <w:left w:w="85" w:type="dxa"/>
              <w:bottom w:w="75" w:type="dxa"/>
              <w:right w:w="85" w:type="dxa"/>
            </w:tcMar>
            <w:vAlign w:val="center"/>
          </w:tcPr>
          <w:p w14:paraId="2BFDE68D" w14:textId="77777777" w:rsidR="00805D42" w:rsidRPr="00C264CF" w:rsidRDefault="00000000">
            <w:pPr>
              <w:spacing w:after="0" w:line="240" w:lineRule="auto"/>
              <w:jc w:val="left"/>
            </w:pPr>
            <w:r w:rsidRPr="00C264CF">
              <w:rPr>
                <w:sz w:val="14"/>
              </w:rPr>
              <w:t>Cell density, nuclear/cytoplasmic form, glandular or stromal architecture</w:t>
            </w:r>
          </w:p>
        </w:tc>
        <w:tc>
          <w:tcPr>
            <w:tcW w:w="1181" w:type="dxa"/>
            <w:tcMar>
              <w:top w:w="75" w:type="dxa"/>
              <w:left w:w="85" w:type="dxa"/>
              <w:bottom w:w="75" w:type="dxa"/>
              <w:right w:w="85" w:type="dxa"/>
            </w:tcMar>
            <w:vAlign w:val="center"/>
          </w:tcPr>
          <w:p w14:paraId="46827C19" w14:textId="77777777" w:rsidR="00805D42" w:rsidRPr="00C264CF" w:rsidRDefault="00000000">
            <w:pPr>
              <w:spacing w:after="0" w:line="240" w:lineRule="auto"/>
              <w:jc w:val="left"/>
            </w:pPr>
            <w:r w:rsidRPr="00C264CF">
              <w:rPr>
                <w:sz w:val="14"/>
              </w:rPr>
              <w:t>Spatial RNA and cell-mapping methods resolve local cell-type mixtures and states</w:t>
            </w:r>
          </w:p>
        </w:tc>
        <w:tc>
          <w:tcPr>
            <w:tcW w:w="1728" w:type="dxa"/>
            <w:tcMar>
              <w:top w:w="75" w:type="dxa"/>
              <w:left w:w="85" w:type="dxa"/>
              <w:bottom w:w="75" w:type="dxa"/>
              <w:right w:w="85" w:type="dxa"/>
            </w:tcMar>
            <w:vAlign w:val="center"/>
          </w:tcPr>
          <w:p w14:paraId="16DFB2DC" w14:textId="77777777" w:rsidR="00805D42" w:rsidRPr="00C264CF" w:rsidRDefault="00000000">
            <w:pPr>
              <w:spacing w:after="0" w:line="240" w:lineRule="auto"/>
              <w:jc w:val="left"/>
            </w:pPr>
            <w:r w:rsidRPr="00C264CF">
              <w:rPr>
                <w:sz w:val="14"/>
              </w:rPr>
              <w:t>High for broad composition; lower for fine states</w:t>
            </w:r>
          </w:p>
        </w:tc>
        <w:tc>
          <w:tcPr>
            <w:tcW w:w="1728" w:type="dxa"/>
            <w:tcMar>
              <w:top w:w="75" w:type="dxa"/>
              <w:left w:w="85" w:type="dxa"/>
              <w:bottom w:w="75" w:type="dxa"/>
              <w:right w:w="85" w:type="dxa"/>
            </w:tcMar>
            <w:vAlign w:val="center"/>
          </w:tcPr>
          <w:p w14:paraId="1EDD6B5B" w14:textId="77777777" w:rsidR="00805D42" w:rsidRPr="00C264CF" w:rsidRDefault="00000000">
            <w:pPr>
              <w:spacing w:after="0" w:line="240" w:lineRule="auto"/>
              <w:jc w:val="left"/>
            </w:pPr>
            <w:r w:rsidRPr="00C264CF">
              <w:rPr>
                <w:sz w:val="14"/>
              </w:rPr>
              <w:t>Spot-level prediction may mainly recover composition rather than cell-intrinsic expression</w:t>
            </w:r>
          </w:p>
        </w:tc>
        <w:tc>
          <w:tcPr>
            <w:tcW w:w="1987" w:type="dxa"/>
            <w:tcMar>
              <w:top w:w="75" w:type="dxa"/>
              <w:left w:w="85" w:type="dxa"/>
              <w:bottom w:w="75" w:type="dxa"/>
              <w:right w:w="85" w:type="dxa"/>
            </w:tcMar>
            <w:vAlign w:val="center"/>
          </w:tcPr>
          <w:p w14:paraId="2F6C35D6" w14:textId="77777777" w:rsidR="00805D42" w:rsidRPr="00034575" w:rsidRDefault="00000000">
            <w:pPr>
              <w:spacing w:after="0" w:line="240" w:lineRule="auto"/>
              <w:jc w:val="left"/>
              <w:rPr>
                <w:lang w:val="nl-BE"/>
              </w:rPr>
            </w:pPr>
            <w:r w:rsidRPr="00034575">
              <w:rPr>
                <w:sz w:val="14"/>
                <w:lang w:val="nl-BE"/>
              </w:rPr>
              <w:t>(He et al., 2020; Janesick et al., 2023; Kleshchevnikov et al., 2022)</w:t>
            </w:r>
          </w:p>
        </w:tc>
      </w:tr>
      <w:tr w:rsidR="00C264CF" w:rsidRPr="00034575" w14:paraId="23589EC7" w14:textId="77777777">
        <w:trPr>
          <w:cantSplit/>
          <w:jc w:val="center"/>
        </w:trPr>
        <w:tc>
          <w:tcPr>
            <w:tcW w:w="1339" w:type="dxa"/>
            <w:shd w:val="clear" w:color="auto" w:fill="F7F9FC"/>
            <w:tcMar>
              <w:top w:w="75" w:type="dxa"/>
              <w:left w:w="85" w:type="dxa"/>
              <w:bottom w:w="75" w:type="dxa"/>
              <w:right w:w="85" w:type="dxa"/>
            </w:tcMar>
            <w:vAlign w:val="center"/>
          </w:tcPr>
          <w:p w14:paraId="4CA16201" w14:textId="77777777" w:rsidR="00805D42" w:rsidRPr="00C264CF" w:rsidRDefault="00000000">
            <w:pPr>
              <w:spacing w:after="0" w:line="240" w:lineRule="auto"/>
              <w:jc w:val="left"/>
            </w:pPr>
            <w:r w:rsidRPr="00C264CF">
              <w:rPr>
                <w:sz w:val="14"/>
              </w:rPr>
              <w:t xml:space="preserve">Proliferative and metabolic </w:t>
            </w:r>
            <w:proofErr w:type="spellStart"/>
            <w:r w:rsidRPr="00C264CF">
              <w:rPr>
                <w:sz w:val="14"/>
              </w:rPr>
              <w:t>programmes</w:t>
            </w:r>
            <w:proofErr w:type="spellEnd"/>
          </w:p>
        </w:tc>
        <w:tc>
          <w:tcPr>
            <w:tcW w:w="1325" w:type="dxa"/>
            <w:shd w:val="clear" w:color="auto" w:fill="F7F9FC"/>
            <w:tcMar>
              <w:top w:w="75" w:type="dxa"/>
              <w:left w:w="85" w:type="dxa"/>
              <w:bottom w:w="75" w:type="dxa"/>
              <w:right w:w="85" w:type="dxa"/>
            </w:tcMar>
            <w:vAlign w:val="center"/>
          </w:tcPr>
          <w:p w14:paraId="66399016" w14:textId="77777777" w:rsidR="00805D42" w:rsidRPr="00C264CF" w:rsidRDefault="00000000">
            <w:pPr>
              <w:spacing w:after="0" w:line="240" w:lineRule="auto"/>
              <w:jc w:val="left"/>
            </w:pPr>
            <w:r w:rsidRPr="00C264CF">
              <w:rPr>
                <w:sz w:val="14"/>
              </w:rPr>
              <w:t>Mitotic activity, cellularity, necrosis and growth pattern</w:t>
            </w:r>
          </w:p>
        </w:tc>
        <w:tc>
          <w:tcPr>
            <w:tcW w:w="1181" w:type="dxa"/>
            <w:shd w:val="clear" w:color="auto" w:fill="F7F9FC"/>
            <w:tcMar>
              <w:top w:w="75" w:type="dxa"/>
              <w:left w:w="85" w:type="dxa"/>
              <w:bottom w:w="75" w:type="dxa"/>
              <w:right w:w="85" w:type="dxa"/>
            </w:tcMar>
            <w:vAlign w:val="center"/>
          </w:tcPr>
          <w:p w14:paraId="49598005" w14:textId="77777777" w:rsidR="00805D42" w:rsidRPr="00C264CF" w:rsidRDefault="00000000">
            <w:pPr>
              <w:spacing w:after="0" w:line="240" w:lineRule="auto"/>
              <w:jc w:val="left"/>
            </w:pPr>
            <w:r w:rsidRPr="00C264CF">
              <w:rPr>
                <w:sz w:val="14"/>
              </w:rPr>
              <w:t>Image-derived transcriptomic models recover subsets of cell-cycle and metabolic expression programmes</w:t>
            </w:r>
          </w:p>
        </w:tc>
        <w:tc>
          <w:tcPr>
            <w:tcW w:w="1728" w:type="dxa"/>
            <w:shd w:val="clear" w:color="auto" w:fill="F7F9FC"/>
            <w:tcMar>
              <w:top w:w="75" w:type="dxa"/>
              <w:left w:w="85" w:type="dxa"/>
              <w:bottom w:w="75" w:type="dxa"/>
              <w:right w:w="85" w:type="dxa"/>
            </w:tcMar>
            <w:vAlign w:val="center"/>
          </w:tcPr>
          <w:p w14:paraId="09912C77" w14:textId="77777777" w:rsidR="00805D42" w:rsidRPr="00C264CF" w:rsidRDefault="00000000">
            <w:pPr>
              <w:spacing w:after="0" w:line="240" w:lineRule="auto"/>
              <w:jc w:val="left"/>
            </w:pPr>
            <w:r w:rsidRPr="00C264CF">
              <w:rPr>
                <w:sz w:val="14"/>
              </w:rPr>
              <w:t>Moderate and gene dependent</w:t>
            </w:r>
          </w:p>
        </w:tc>
        <w:tc>
          <w:tcPr>
            <w:tcW w:w="1728" w:type="dxa"/>
            <w:shd w:val="clear" w:color="auto" w:fill="F7F9FC"/>
            <w:tcMar>
              <w:top w:w="75" w:type="dxa"/>
              <w:left w:w="85" w:type="dxa"/>
              <w:bottom w:w="75" w:type="dxa"/>
              <w:right w:w="85" w:type="dxa"/>
            </w:tcMar>
            <w:vAlign w:val="center"/>
          </w:tcPr>
          <w:p w14:paraId="2163933F" w14:textId="77777777" w:rsidR="00805D42" w:rsidRPr="00C264CF" w:rsidRDefault="00000000">
            <w:pPr>
              <w:spacing w:after="0" w:line="240" w:lineRule="auto"/>
              <w:jc w:val="left"/>
            </w:pPr>
            <w:r w:rsidRPr="00C264CF">
              <w:rPr>
                <w:sz w:val="14"/>
              </w:rPr>
              <w:t>Predictability varies with tumour type and may reflect correlated composition</w:t>
            </w:r>
          </w:p>
        </w:tc>
        <w:tc>
          <w:tcPr>
            <w:tcW w:w="1987" w:type="dxa"/>
            <w:shd w:val="clear" w:color="auto" w:fill="F7F9FC"/>
            <w:tcMar>
              <w:top w:w="75" w:type="dxa"/>
              <w:left w:w="85" w:type="dxa"/>
              <w:bottom w:w="75" w:type="dxa"/>
              <w:right w:w="85" w:type="dxa"/>
            </w:tcMar>
            <w:vAlign w:val="center"/>
          </w:tcPr>
          <w:p w14:paraId="04148C57" w14:textId="77777777" w:rsidR="00805D42" w:rsidRPr="00034575" w:rsidRDefault="00000000">
            <w:pPr>
              <w:spacing w:after="0" w:line="240" w:lineRule="auto"/>
              <w:jc w:val="left"/>
              <w:rPr>
                <w:lang w:val="nl-BE"/>
              </w:rPr>
            </w:pPr>
            <w:r w:rsidRPr="00034575">
              <w:rPr>
                <w:sz w:val="14"/>
                <w:lang w:val="nl-BE"/>
              </w:rPr>
              <w:t>(Pizurica et al., 2024; Schmauch et al., 2020; Wang et al., 2025)</w:t>
            </w:r>
          </w:p>
        </w:tc>
      </w:tr>
      <w:tr w:rsidR="00C264CF" w:rsidRPr="00034575" w14:paraId="47998D49" w14:textId="77777777">
        <w:trPr>
          <w:cantSplit/>
          <w:jc w:val="center"/>
        </w:trPr>
        <w:tc>
          <w:tcPr>
            <w:tcW w:w="1339" w:type="dxa"/>
            <w:tcMar>
              <w:top w:w="75" w:type="dxa"/>
              <w:left w:w="85" w:type="dxa"/>
              <w:bottom w:w="75" w:type="dxa"/>
              <w:right w:w="85" w:type="dxa"/>
            </w:tcMar>
            <w:vAlign w:val="center"/>
          </w:tcPr>
          <w:p w14:paraId="19D0027A" w14:textId="77777777" w:rsidR="00805D42" w:rsidRPr="00C264CF" w:rsidRDefault="00000000">
            <w:pPr>
              <w:spacing w:after="0" w:line="240" w:lineRule="auto"/>
              <w:jc w:val="left"/>
            </w:pPr>
            <w:r w:rsidRPr="00C264CF">
              <w:rPr>
                <w:sz w:val="14"/>
              </w:rPr>
              <w:t xml:space="preserve">Immune </w:t>
            </w:r>
            <w:proofErr w:type="spellStart"/>
            <w:r w:rsidRPr="00C264CF">
              <w:rPr>
                <w:sz w:val="14"/>
              </w:rPr>
              <w:t>neighbourhoods</w:t>
            </w:r>
            <w:proofErr w:type="spellEnd"/>
          </w:p>
        </w:tc>
        <w:tc>
          <w:tcPr>
            <w:tcW w:w="1325" w:type="dxa"/>
            <w:tcMar>
              <w:top w:w="75" w:type="dxa"/>
              <w:left w:w="85" w:type="dxa"/>
              <w:bottom w:w="75" w:type="dxa"/>
              <w:right w:w="85" w:type="dxa"/>
            </w:tcMar>
            <w:vAlign w:val="center"/>
          </w:tcPr>
          <w:p w14:paraId="5BFBAF0D" w14:textId="77777777" w:rsidR="00805D42" w:rsidRPr="00C264CF" w:rsidRDefault="00000000">
            <w:pPr>
              <w:spacing w:after="0" w:line="240" w:lineRule="auto"/>
              <w:jc w:val="left"/>
            </w:pPr>
            <w:r w:rsidRPr="00C264CF">
              <w:rPr>
                <w:sz w:val="14"/>
              </w:rPr>
              <w:t>Lymphocyte-rich regions, immune exclusion and tumour–immune boundaries</w:t>
            </w:r>
          </w:p>
        </w:tc>
        <w:tc>
          <w:tcPr>
            <w:tcW w:w="1181" w:type="dxa"/>
            <w:tcMar>
              <w:top w:w="75" w:type="dxa"/>
              <w:left w:w="85" w:type="dxa"/>
              <w:bottom w:w="75" w:type="dxa"/>
              <w:right w:w="85" w:type="dxa"/>
            </w:tcMar>
            <w:vAlign w:val="center"/>
          </w:tcPr>
          <w:p w14:paraId="6177706B" w14:textId="77777777" w:rsidR="00805D42" w:rsidRPr="00C264CF" w:rsidRDefault="00000000">
            <w:pPr>
              <w:spacing w:after="0" w:line="240" w:lineRule="auto"/>
              <w:jc w:val="left"/>
            </w:pPr>
            <w:r w:rsidRPr="00C264CF">
              <w:rPr>
                <w:sz w:val="14"/>
              </w:rPr>
              <w:t>Multiplexed protein imaging resolves mixed versus compartmentalised immune organisation and cellular neighbourhoods</w:t>
            </w:r>
          </w:p>
        </w:tc>
        <w:tc>
          <w:tcPr>
            <w:tcW w:w="1728" w:type="dxa"/>
            <w:tcMar>
              <w:top w:w="75" w:type="dxa"/>
              <w:left w:w="85" w:type="dxa"/>
              <w:bottom w:w="75" w:type="dxa"/>
              <w:right w:w="85" w:type="dxa"/>
            </w:tcMar>
            <w:vAlign w:val="center"/>
          </w:tcPr>
          <w:p w14:paraId="3E20ABE3" w14:textId="77777777" w:rsidR="00805D42" w:rsidRPr="00C264CF" w:rsidRDefault="00000000">
            <w:pPr>
              <w:spacing w:after="0" w:line="240" w:lineRule="auto"/>
              <w:jc w:val="left"/>
            </w:pPr>
            <w:r w:rsidRPr="00C264CF">
              <w:rPr>
                <w:sz w:val="14"/>
              </w:rPr>
              <w:t>High for mesoscale architecture</w:t>
            </w:r>
          </w:p>
        </w:tc>
        <w:tc>
          <w:tcPr>
            <w:tcW w:w="1728" w:type="dxa"/>
            <w:tcMar>
              <w:top w:w="75" w:type="dxa"/>
              <w:left w:w="85" w:type="dxa"/>
              <w:bottom w:w="75" w:type="dxa"/>
              <w:right w:w="85" w:type="dxa"/>
            </w:tcMar>
            <w:vAlign w:val="center"/>
          </w:tcPr>
          <w:p w14:paraId="066EF657" w14:textId="77777777" w:rsidR="00805D42" w:rsidRPr="00C264CF" w:rsidRDefault="00000000">
            <w:pPr>
              <w:spacing w:after="0" w:line="240" w:lineRule="auto"/>
              <w:jc w:val="left"/>
            </w:pPr>
            <w:r w:rsidRPr="00C264CF">
              <w:rPr>
                <w:sz w:val="14"/>
              </w:rPr>
              <w:t>Marker panels and segmentation limit cell-state definition; outcome association is context dependent</w:t>
            </w:r>
          </w:p>
        </w:tc>
        <w:tc>
          <w:tcPr>
            <w:tcW w:w="1987" w:type="dxa"/>
            <w:tcMar>
              <w:top w:w="75" w:type="dxa"/>
              <w:left w:w="85" w:type="dxa"/>
              <w:bottom w:w="75" w:type="dxa"/>
              <w:right w:w="85" w:type="dxa"/>
            </w:tcMar>
            <w:vAlign w:val="center"/>
          </w:tcPr>
          <w:p w14:paraId="69ED1708" w14:textId="77777777" w:rsidR="00805D42" w:rsidRPr="00034575" w:rsidRDefault="00000000">
            <w:pPr>
              <w:spacing w:after="0" w:line="240" w:lineRule="auto"/>
              <w:jc w:val="left"/>
              <w:rPr>
                <w:lang w:val="nl-BE"/>
              </w:rPr>
            </w:pPr>
            <w:r w:rsidRPr="00034575">
              <w:rPr>
                <w:sz w:val="14"/>
                <w:lang w:val="nl-BE"/>
              </w:rPr>
              <w:t>(Jackson et al., 2020; Keren et al., 2018; Schürch et al., 2020)</w:t>
            </w:r>
          </w:p>
        </w:tc>
      </w:tr>
      <w:tr w:rsidR="00C264CF" w:rsidRPr="00034575" w14:paraId="6CB70B8C" w14:textId="77777777">
        <w:trPr>
          <w:cantSplit/>
          <w:jc w:val="center"/>
        </w:trPr>
        <w:tc>
          <w:tcPr>
            <w:tcW w:w="1339" w:type="dxa"/>
            <w:shd w:val="clear" w:color="auto" w:fill="F7F9FC"/>
            <w:tcMar>
              <w:top w:w="75" w:type="dxa"/>
              <w:left w:w="85" w:type="dxa"/>
              <w:bottom w:w="75" w:type="dxa"/>
              <w:right w:w="85" w:type="dxa"/>
            </w:tcMar>
            <w:vAlign w:val="center"/>
          </w:tcPr>
          <w:p w14:paraId="68CDFB44" w14:textId="77777777" w:rsidR="00805D42" w:rsidRPr="00C264CF" w:rsidRDefault="00000000">
            <w:pPr>
              <w:spacing w:after="0" w:line="240" w:lineRule="auto"/>
              <w:jc w:val="left"/>
            </w:pPr>
            <w:r w:rsidRPr="00C264CF">
              <w:rPr>
                <w:sz w:val="14"/>
              </w:rPr>
              <w:t>Stromal and extracellular-matrix states</w:t>
            </w:r>
          </w:p>
        </w:tc>
        <w:tc>
          <w:tcPr>
            <w:tcW w:w="1325" w:type="dxa"/>
            <w:shd w:val="clear" w:color="auto" w:fill="F7F9FC"/>
            <w:tcMar>
              <w:top w:w="75" w:type="dxa"/>
              <w:left w:w="85" w:type="dxa"/>
              <w:bottom w:w="75" w:type="dxa"/>
              <w:right w:w="85" w:type="dxa"/>
            </w:tcMar>
            <w:vAlign w:val="center"/>
          </w:tcPr>
          <w:p w14:paraId="412D4010" w14:textId="77777777" w:rsidR="00805D42" w:rsidRPr="00C264CF" w:rsidRDefault="00000000">
            <w:pPr>
              <w:spacing w:after="0" w:line="240" w:lineRule="auto"/>
              <w:jc w:val="left"/>
            </w:pPr>
            <w:r w:rsidRPr="00C264CF">
              <w:rPr>
                <w:sz w:val="14"/>
              </w:rPr>
              <w:t>Desmoplasia, collagen-rich stroma, vessel-associated and fibroblast-rich regions</w:t>
            </w:r>
          </w:p>
        </w:tc>
        <w:tc>
          <w:tcPr>
            <w:tcW w:w="1181" w:type="dxa"/>
            <w:shd w:val="clear" w:color="auto" w:fill="F7F9FC"/>
            <w:tcMar>
              <w:top w:w="75" w:type="dxa"/>
              <w:left w:w="85" w:type="dxa"/>
              <w:bottom w:w="75" w:type="dxa"/>
              <w:right w:w="85" w:type="dxa"/>
            </w:tcMar>
            <w:vAlign w:val="center"/>
          </w:tcPr>
          <w:p w14:paraId="7FFF6FEA" w14:textId="77777777" w:rsidR="00805D42" w:rsidRPr="00C264CF" w:rsidRDefault="00000000">
            <w:pPr>
              <w:spacing w:after="0" w:line="240" w:lineRule="auto"/>
              <w:jc w:val="left"/>
            </w:pPr>
            <w:r w:rsidRPr="00C264CF">
              <w:rPr>
                <w:sz w:val="14"/>
              </w:rPr>
              <w:t>Spatial molecular domains distinguish stromal programmes that can look similar on H&amp;E</w:t>
            </w:r>
          </w:p>
        </w:tc>
        <w:tc>
          <w:tcPr>
            <w:tcW w:w="1728" w:type="dxa"/>
            <w:shd w:val="clear" w:color="auto" w:fill="F7F9FC"/>
            <w:tcMar>
              <w:top w:w="75" w:type="dxa"/>
              <w:left w:w="85" w:type="dxa"/>
              <w:bottom w:w="75" w:type="dxa"/>
              <w:right w:w="85" w:type="dxa"/>
            </w:tcMar>
            <w:vAlign w:val="center"/>
          </w:tcPr>
          <w:p w14:paraId="05755681" w14:textId="77777777" w:rsidR="00805D42" w:rsidRPr="00C264CF" w:rsidRDefault="00000000">
            <w:pPr>
              <w:spacing w:after="0" w:line="240" w:lineRule="auto"/>
              <w:jc w:val="left"/>
            </w:pPr>
            <w:r w:rsidRPr="00C264CF">
              <w:rPr>
                <w:sz w:val="14"/>
              </w:rPr>
              <w:t>Moderate to high for broad stromal states</w:t>
            </w:r>
          </w:p>
        </w:tc>
        <w:tc>
          <w:tcPr>
            <w:tcW w:w="1728" w:type="dxa"/>
            <w:shd w:val="clear" w:color="auto" w:fill="F7F9FC"/>
            <w:tcMar>
              <w:top w:w="75" w:type="dxa"/>
              <w:left w:w="85" w:type="dxa"/>
              <w:bottom w:w="75" w:type="dxa"/>
              <w:right w:w="85" w:type="dxa"/>
            </w:tcMar>
            <w:vAlign w:val="center"/>
          </w:tcPr>
          <w:p w14:paraId="018434F6" w14:textId="77777777" w:rsidR="00805D42" w:rsidRPr="00C264CF" w:rsidRDefault="00000000">
            <w:pPr>
              <w:spacing w:after="0" w:line="240" w:lineRule="auto"/>
              <w:jc w:val="left"/>
            </w:pPr>
            <w:r w:rsidRPr="00C264CF">
              <w:rPr>
                <w:sz w:val="14"/>
              </w:rPr>
              <w:t>Serial-section registration and stromal heterogeneity can weaken localisation</w:t>
            </w:r>
          </w:p>
        </w:tc>
        <w:tc>
          <w:tcPr>
            <w:tcW w:w="1987" w:type="dxa"/>
            <w:shd w:val="clear" w:color="auto" w:fill="F7F9FC"/>
            <w:tcMar>
              <w:top w:w="75" w:type="dxa"/>
              <w:left w:w="85" w:type="dxa"/>
              <w:bottom w:w="75" w:type="dxa"/>
              <w:right w:w="85" w:type="dxa"/>
            </w:tcMar>
            <w:vAlign w:val="center"/>
          </w:tcPr>
          <w:p w14:paraId="47F06748" w14:textId="77777777" w:rsidR="00805D42" w:rsidRPr="00034575" w:rsidRDefault="00000000">
            <w:pPr>
              <w:spacing w:after="0" w:line="240" w:lineRule="auto"/>
              <w:jc w:val="left"/>
              <w:rPr>
                <w:lang w:val="nl-BE"/>
              </w:rPr>
            </w:pPr>
            <w:r w:rsidRPr="00034575">
              <w:rPr>
                <w:sz w:val="14"/>
                <w:lang w:val="nl-BE"/>
              </w:rPr>
              <w:t>Ji et al. (2020); (Hu et al., 2021; Jiang et al., 2024)</w:t>
            </w:r>
          </w:p>
        </w:tc>
      </w:tr>
      <w:tr w:rsidR="00C264CF" w:rsidRPr="00034575" w14:paraId="74112166" w14:textId="77777777">
        <w:trPr>
          <w:cantSplit/>
          <w:jc w:val="center"/>
        </w:trPr>
        <w:tc>
          <w:tcPr>
            <w:tcW w:w="1339" w:type="dxa"/>
            <w:tcMar>
              <w:top w:w="75" w:type="dxa"/>
              <w:left w:w="85" w:type="dxa"/>
              <w:bottom w:w="75" w:type="dxa"/>
              <w:right w:w="85" w:type="dxa"/>
            </w:tcMar>
            <w:vAlign w:val="center"/>
          </w:tcPr>
          <w:p w14:paraId="4542EFB9" w14:textId="77777777" w:rsidR="00805D42" w:rsidRPr="00C264CF" w:rsidRDefault="00000000">
            <w:pPr>
              <w:spacing w:after="0" w:line="240" w:lineRule="auto"/>
              <w:jc w:val="left"/>
            </w:pPr>
            <w:r w:rsidRPr="00C264CF">
              <w:rPr>
                <w:sz w:val="14"/>
              </w:rPr>
              <w:t xml:space="preserve">Invasive and </w:t>
            </w:r>
            <w:proofErr w:type="spellStart"/>
            <w:r w:rsidRPr="00C264CF">
              <w:rPr>
                <w:sz w:val="14"/>
              </w:rPr>
              <w:t>tumour</w:t>
            </w:r>
            <w:proofErr w:type="spellEnd"/>
            <w:r w:rsidRPr="00C264CF">
              <w:rPr>
                <w:sz w:val="14"/>
              </w:rPr>
              <w:t>-state boundaries</w:t>
            </w:r>
          </w:p>
        </w:tc>
        <w:tc>
          <w:tcPr>
            <w:tcW w:w="1325" w:type="dxa"/>
            <w:tcMar>
              <w:top w:w="75" w:type="dxa"/>
              <w:left w:w="85" w:type="dxa"/>
              <w:bottom w:w="75" w:type="dxa"/>
              <w:right w:w="85" w:type="dxa"/>
            </w:tcMar>
            <w:vAlign w:val="center"/>
          </w:tcPr>
          <w:p w14:paraId="33F35B68" w14:textId="77777777" w:rsidR="00805D42" w:rsidRPr="00C264CF" w:rsidRDefault="00000000">
            <w:pPr>
              <w:spacing w:after="0" w:line="240" w:lineRule="auto"/>
              <w:jc w:val="left"/>
            </w:pPr>
            <w:r w:rsidRPr="00C264CF">
              <w:rPr>
                <w:sz w:val="14"/>
              </w:rPr>
              <w:t>Tumour–stroma interface, differentiated/undifferentiated edges and transition zones</w:t>
            </w:r>
          </w:p>
        </w:tc>
        <w:tc>
          <w:tcPr>
            <w:tcW w:w="1181" w:type="dxa"/>
            <w:tcMar>
              <w:top w:w="75" w:type="dxa"/>
              <w:left w:w="85" w:type="dxa"/>
              <w:bottom w:w="75" w:type="dxa"/>
              <w:right w:w="85" w:type="dxa"/>
            </w:tcMar>
            <w:vAlign w:val="center"/>
          </w:tcPr>
          <w:p w14:paraId="1A067E66" w14:textId="77777777" w:rsidR="00805D42" w:rsidRPr="00C264CF" w:rsidRDefault="00000000">
            <w:pPr>
              <w:spacing w:after="0" w:line="240" w:lineRule="auto"/>
              <w:jc w:val="left"/>
            </w:pPr>
            <w:r w:rsidRPr="00C264CF">
              <w:rPr>
                <w:sz w:val="14"/>
              </w:rPr>
              <w:t>Integrated single-cell and spatial assays identify molecularly distinct boundary states</w:t>
            </w:r>
          </w:p>
        </w:tc>
        <w:tc>
          <w:tcPr>
            <w:tcW w:w="1728" w:type="dxa"/>
            <w:tcMar>
              <w:top w:w="75" w:type="dxa"/>
              <w:left w:w="85" w:type="dxa"/>
              <w:bottom w:w="75" w:type="dxa"/>
              <w:right w:w="85" w:type="dxa"/>
            </w:tcMar>
            <w:vAlign w:val="center"/>
          </w:tcPr>
          <w:p w14:paraId="062BCBD3" w14:textId="77777777" w:rsidR="00805D42" w:rsidRPr="00C264CF" w:rsidRDefault="00000000">
            <w:pPr>
              <w:spacing w:after="0" w:line="240" w:lineRule="auto"/>
              <w:jc w:val="left"/>
            </w:pPr>
            <w:r w:rsidRPr="00C264CF">
              <w:rPr>
                <w:sz w:val="14"/>
              </w:rPr>
              <w:t>High when boundaries are independently measured</w:t>
            </w:r>
          </w:p>
        </w:tc>
        <w:tc>
          <w:tcPr>
            <w:tcW w:w="1728" w:type="dxa"/>
            <w:tcMar>
              <w:top w:w="75" w:type="dxa"/>
              <w:left w:w="85" w:type="dxa"/>
              <w:bottom w:w="75" w:type="dxa"/>
              <w:right w:w="85" w:type="dxa"/>
            </w:tcMar>
            <w:vAlign w:val="center"/>
          </w:tcPr>
          <w:p w14:paraId="59371D0A" w14:textId="77777777" w:rsidR="00805D42" w:rsidRPr="00C264CF" w:rsidRDefault="00000000">
            <w:pPr>
              <w:spacing w:after="0" w:line="240" w:lineRule="auto"/>
              <w:jc w:val="left"/>
            </w:pPr>
            <w:r w:rsidRPr="00C264CF">
              <w:rPr>
                <w:sz w:val="14"/>
              </w:rPr>
              <w:t>Boundary definitions may depend on assay resolution and section geometry</w:t>
            </w:r>
          </w:p>
        </w:tc>
        <w:tc>
          <w:tcPr>
            <w:tcW w:w="1987" w:type="dxa"/>
            <w:tcMar>
              <w:top w:w="75" w:type="dxa"/>
              <w:left w:w="85" w:type="dxa"/>
              <w:bottom w:w="75" w:type="dxa"/>
              <w:right w:w="85" w:type="dxa"/>
            </w:tcMar>
            <w:vAlign w:val="center"/>
          </w:tcPr>
          <w:p w14:paraId="3261FC19" w14:textId="77777777" w:rsidR="00805D42" w:rsidRPr="00034575" w:rsidRDefault="00000000">
            <w:pPr>
              <w:spacing w:after="0" w:line="240" w:lineRule="auto"/>
              <w:jc w:val="left"/>
              <w:rPr>
                <w:lang w:val="nl-BE"/>
              </w:rPr>
            </w:pPr>
            <w:r w:rsidRPr="00034575">
              <w:rPr>
                <w:sz w:val="14"/>
                <w:lang w:val="nl-BE"/>
              </w:rPr>
              <w:t>(Janesick et al., 2023; Ji et al., 2020; Schürch et al., 2020)</w:t>
            </w:r>
          </w:p>
        </w:tc>
      </w:tr>
      <w:tr w:rsidR="00C264CF" w:rsidRPr="00C264CF" w14:paraId="6C428C49" w14:textId="77777777">
        <w:trPr>
          <w:cantSplit/>
          <w:jc w:val="center"/>
        </w:trPr>
        <w:tc>
          <w:tcPr>
            <w:tcW w:w="1339" w:type="dxa"/>
            <w:shd w:val="clear" w:color="auto" w:fill="F7F9FC"/>
            <w:tcMar>
              <w:top w:w="75" w:type="dxa"/>
              <w:left w:w="85" w:type="dxa"/>
              <w:bottom w:w="75" w:type="dxa"/>
              <w:right w:w="85" w:type="dxa"/>
            </w:tcMar>
            <w:vAlign w:val="center"/>
          </w:tcPr>
          <w:p w14:paraId="503B297C" w14:textId="77777777" w:rsidR="00805D42" w:rsidRPr="00C264CF" w:rsidRDefault="00000000">
            <w:pPr>
              <w:spacing w:after="0" w:line="240" w:lineRule="auto"/>
              <w:jc w:val="left"/>
            </w:pPr>
            <w:r w:rsidRPr="00C264CF">
              <w:rPr>
                <w:sz w:val="14"/>
              </w:rPr>
              <w:t>Selected genomic or receptor surrogates</w:t>
            </w:r>
          </w:p>
        </w:tc>
        <w:tc>
          <w:tcPr>
            <w:tcW w:w="1325" w:type="dxa"/>
            <w:shd w:val="clear" w:color="auto" w:fill="F7F9FC"/>
            <w:tcMar>
              <w:top w:w="75" w:type="dxa"/>
              <w:left w:w="85" w:type="dxa"/>
              <w:bottom w:w="75" w:type="dxa"/>
              <w:right w:w="85" w:type="dxa"/>
            </w:tcMar>
            <w:vAlign w:val="center"/>
          </w:tcPr>
          <w:p w14:paraId="08B35563" w14:textId="77777777" w:rsidR="00805D42" w:rsidRPr="00C264CF" w:rsidRDefault="00000000">
            <w:pPr>
              <w:spacing w:after="0" w:line="240" w:lineRule="auto"/>
              <w:jc w:val="left"/>
            </w:pPr>
            <w:r w:rsidRPr="00C264CF">
              <w:rPr>
                <w:sz w:val="14"/>
              </w:rPr>
              <w:t>Distributed morphology, tumour architecture and microenvironmental correlates</w:t>
            </w:r>
          </w:p>
        </w:tc>
        <w:tc>
          <w:tcPr>
            <w:tcW w:w="1181" w:type="dxa"/>
            <w:shd w:val="clear" w:color="auto" w:fill="F7F9FC"/>
            <w:tcMar>
              <w:top w:w="75" w:type="dxa"/>
              <w:left w:w="85" w:type="dxa"/>
              <w:bottom w:w="75" w:type="dxa"/>
              <w:right w:w="85" w:type="dxa"/>
            </w:tcMar>
            <w:vAlign w:val="center"/>
          </w:tcPr>
          <w:p w14:paraId="62DF7A8C" w14:textId="77777777" w:rsidR="00805D42" w:rsidRPr="00C264CF" w:rsidRDefault="00000000">
            <w:pPr>
              <w:spacing w:after="0" w:line="240" w:lineRule="auto"/>
              <w:jc w:val="left"/>
            </w:pPr>
            <w:r w:rsidRPr="00C264CF">
              <w:rPr>
                <w:sz w:val="14"/>
              </w:rPr>
              <w:t>Whole-slide AI predicts selected mutations or molecular phenotypes; spatial data can localise associated tissue programmes</w:t>
            </w:r>
          </w:p>
        </w:tc>
        <w:tc>
          <w:tcPr>
            <w:tcW w:w="1728" w:type="dxa"/>
            <w:shd w:val="clear" w:color="auto" w:fill="F7F9FC"/>
            <w:tcMar>
              <w:top w:w="75" w:type="dxa"/>
              <w:left w:w="85" w:type="dxa"/>
              <w:bottom w:w="75" w:type="dxa"/>
              <w:right w:w="85" w:type="dxa"/>
            </w:tcMar>
            <w:vAlign w:val="center"/>
          </w:tcPr>
          <w:p w14:paraId="326D46EB" w14:textId="77777777" w:rsidR="00805D42" w:rsidRPr="00C264CF" w:rsidRDefault="00000000">
            <w:pPr>
              <w:spacing w:after="0" w:line="240" w:lineRule="auto"/>
              <w:jc w:val="left"/>
            </w:pPr>
            <w:r w:rsidRPr="00C264CF">
              <w:rPr>
                <w:sz w:val="14"/>
              </w:rPr>
              <w:t>Moderate for selected targets; not generalisable to all genes</w:t>
            </w:r>
          </w:p>
        </w:tc>
        <w:tc>
          <w:tcPr>
            <w:tcW w:w="1728" w:type="dxa"/>
            <w:shd w:val="clear" w:color="auto" w:fill="F7F9FC"/>
            <w:tcMar>
              <w:top w:w="75" w:type="dxa"/>
              <w:left w:w="85" w:type="dxa"/>
              <w:bottom w:w="75" w:type="dxa"/>
              <w:right w:w="85" w:type="dxa"/>
            </w:tcMar>
            <w:vAlign w:val="center"/>
          </w:tcPr>
          <w:p w14:paraId="25467B17" w14:textId="77777777" w:rsidR="00805D42" w:rsidRPr="00C264CF" w:rsidRDefault="00000000">
            <w:pPr>
              <w:spacing w:after="0" w:line="240" w:lineRule="auto"/>
              <w:jc w:val="left"/>
            </w:pPr>
            <w:r w:rsidRPr="00C264CF">
              <w:rPr>
                <w:sz w:val="14"/>
              </w:rPr>
              <w:t>A molecular alteration without a stable morphological phenotype is poorly identifiable from H&amp;E</w:t>
            </w:r>
          </w:p>
        </w:tc>
        <w:tc>
          <w:tcPr>
            <w:tcW w:w="1987" w:type="dxa"/>
            <w:shd w:val="clear" w:color="auto" w:fill="F7F9FC"/>
            <w:tcMar>
              <w:top w:w="75" w:type="dxa"/>
              <w:left w:w="85" w:type="dxa"/>
              <w:bottom w:w="75" w:type="dxa"/>
              <w:right w:w="85" w:type="dxa"/>
            </w:tcMar>
            <w:vAlign w:val="center"/>
          </w:tcPr>
          <w:p w14:paraId="1BECF368" w14:textId="77777777" w:rsidR="00805D42" w:rsidRPr="00C264CF" w:rsidRDefault="00000000">
            <w:pPr>
              <w:spacing w:after="0" w:line="240" w:lineRule="auto"/>
              <w:jc w:val="left"/>
            </w:pPr>
            <w:r w:rsidRPr="00034575">
              <w:rPr>
                <w:sz w:val="14"/>
                <w:lang w:val="nl-BE"/>
              </w:rPr>
              <w:t xml:space="preserve">Coudray et al. (2018); Kather et al. </w:t>
            </w:r>
            <w:r w:rsidRPr="00C264CF">
              <w:rPr>
                <w:sz w:val="14"/>
              </w:rPr>
              <w:t>(2019); (Kulkarni et al., 2026)</w:t>
            </w:r>
          </w:p>
        </w:tc>
      </w:tr>
    </w:tbl>
    <w:p w14:paraId="500CAC81" w14:textId="77777777" w:rsidR="00805D42" w:rsidRPr="00C264CF" w:rsidRDefault="00000000">
      <w:pPr>
        <w:spacing w:before="60" w:after="160"/>
      </w:pPr>
      <w:r w:rsidRPr="00C264CF">
        <w:rPr>
          <w:i/>
          <w:sz w:val="16"/>
        </w:rPr>
        <w:t xml:space="preserve">Note. </w:t>
      </w:r>
      <w:r w:rsidRPr="00C264CF">
        <w:rPr>
          <w:sz w:val="16"/>
        </w:rPr>
        <w:t>Confidence is a qualitative judgement from the reviewed evidence and is not a formal risk-of-bias score. H&amp;E, haematoxylin and eosin; RNA, ribonucleic acid.</w:t>
      </w:r>
    </w:p>
    <w:p w14:paraId="11429E91" w14:textId="77777777" w:rsidR="00805D42" w:rsidRPr="00C264CF" w:rsidRDefault="00000000">
      <w:pPr>
        <w:pStyle w:val="Heading1"/>
        <w:rPr>
          <w:color w:val="auto"/>
        </w:rPr>
      </w:pPr>
      <w:r w:rsidRPr="00C264CF">
        <w:rPr>
          <w:color w:val="auto"/>
        </w:rPr>
        <w:lastRenderedPageBreak/>
        <w:t>6. Why Impressive Benchmarks Can Mislead: Methodological and Epistemic Failure Modes</w:t>
      </w:r>
    </w:p>
    <w:p w14:paraId="43C9E203" w14:textId="77777777" w:rsidR="00805D42" w:rsidRPr="00C264CF" w:rsidRDefault="00000000">
      <w:r w:rsidRPr="00C264CF">
        <w:t>The technical sophistication of a morphology-to-omics model can obscure a simpler question: was the test genuinely independent of the information available during training? Spatial datasets are unusually vulnerable to leakage because thousands of spots or cells can arise from a small number of patients. If spots from the same tissue section are randomly divided between training and testing, the model encounters nearly identical staining, anatomy, clone structure and local neighbourhoods on both sides of the split. High spot-level performance can then coexist with poor patient-level generalisation. Patient-level splitting is therefore the minimum credible unit of independence, and institution-level or acquisition-domain validation is required for claims of broad translational robustness.</w:t>
      </w:r>
    </w:p>
    <w:p w14:paraId="32F075EA" w14:textId="77777777" w:rsidR="00805D42" w:rsidRPr="00C264CF" w:rsidRDefault="00000000">
      <w:r w:rsidRPr="00C264CF">
        <w:t>Spatial autocorrelation compounds this problem. Adjacent spots tend to share both morphology and gene expression, so a model can predict a target partly by learning that nearby regions resemble one another. Graph and transformer architectures deliberately exploit this structure because it is biologically informative, but benchmarking must distinguish beneficial spatial modelling from leakage across train–test boundaries. Performance should be reported at multiple levels, including gene-wise and patient-wise metrics, and external tissue sections should remain entirely unseen. For super-resolution methods, validation against the same coarse spots that supervised the model cannot demonstrate that subspot variation is correct.</w:t>
      </w:r>
    </w:p>
    <w:p w14:paraId="4DE87044" w14:textId="77777777" w:rsidR="00805D42" w:rsidRPr="00C264CF" w:rsidRDefault="00000000">
      <w:r w:rsidRPr="00C264CF">
        <w:t>The target assay can introduce additional artefacts. Spot swapping causes transcripts to appear at neighbouring capture locations and can blur biological boundaries (Ni et al., 2022). Library size is not merely a nuisance covariate in spatial data because it may itself follow tissue structure; inappropriate normalisation can therefore erase or distort real domains (Bhuva et al., 2024). Cell segmentation in imaging-based assays can misassign transcripts or proteins, and capture efficiency varies by molecule and tissue preparation. An AI model trained against such data learns the operational assay measurement, not a Platonic molecular truth. Cross-platform validation is valuable precisely because different technologies fail in different ways.</w:t>
      </w:r>
    </w:p>
    <w:p w14:paraId="6927CDDF" w14:textId="77777777" w:rsidR="00805D42" w:rsidRPr="00C264CF" w:rsidRDefault="00000000">
      <w:r w:rsidRPr="00C264CF">
        <w:t>Co-registration is another underappreciated source of uncertainty. H&amp;E and spatial molecular measurements may derive from the same section, a serial section or a section that undergoes sequential processing. Tissue distortion, tearing, differential shrinkage and section-to-section biological variation can misalign cells and molecular labels. At coarse spot resolution, small registration errors may be tolerable; at single-cell or subcellular resolution, they become decisive. A predicted signal that appears shifted by one cell diameter may be scored as wrong despite being biologically plausible, or conversely may appear correct because spatial smoothing masks misregistration. Claims of near-cellular inference therefore require explicit reporting of registration accuracy and of how unmatched regions were handled.</w:t>
      </w:r>
    </w:p>
    <w:p w14:paraId="3711D6CD" w14:textId="77777777" w:rsidR="00805D42" w:rsidRPr="00C264CF" w:rsidRDefault="00000000">
      <w:r w:rsidRPr="00C264CF">
        <w:t>Gene selection can also inflate apparent performance. Many methods restrict training or reporting to highly expressed, highly variable or spatially variable genes because these targets have better signal-to-noise ratios. This is statistically reasonable but changes the scientific question from “can histology predict the transcriptome?” to “can histology predict a selected set of relatively learnable genes?”. MISO directly addressed this issue by estimating a gene-specific upper performance bound and selecting targets with sufficient expected predictability (Schmauch et al., 2025). Such identifiability-aware evaluation is preferable to averaging correlations across an arbitrary gene panel, because a low score for a biologically invisible target should not be interpreted in the same way as a low score for a strongly morphology-linked target.</w:t>
      </w:r>
    </w:p>
    <w:p w14:paraId="426A5ACD" w14:textId="77777777" w:rsidR="00805D42" w:rsidRPr="00C264CF" w:rsidRDefault="00000000">
      <w:r w:rsidRPr="00C264CF">
        <w:t xml:space="preserve">Metric dependence presents a related problem. Pearson correlation emphasises linear agreement and can be dominated by broad spatial gradients; Spearman correlation rewards rank ordering; mean-squared error is sensitive to scale; and top-k gene or pathway metrics may favour abundant signals. A model can reproduce the location of tumour versus stroma and thereby achieve substantial correlation for many genes without resolving cell-intrinsic variation within either compartment. Translational evaluation should therefore include </w:t>
      </w:r>
      <w:r w:rsidRPr="00C264CF">
        <w:lastRenderedPageBreak/>
        <w:t>spatial boundary accuracy, cell-type-conditional performance, pathway-level agreement, calibration and uncertainty, as well as negative controls in which image–omics pairing is permuted or morphology-independent genes are tested. No single correlation coefficient can establish molecular validity.</w:t>
      </w:r>
    </w:p>
    <w:p w14:paraId="052A4CA2" w14:textId="77777777" w:rsidR="00805D42" w:rsidRPr="00C264CF" w:rsidRDefault="00000000">
      <w:r w:rsidRPr="00C264CF">
        <w:t>Domain shift is particularly important in pathology. H&amp;E appearance varies with fixation, section thickness, staining chemistry, laboratory workflow, scanner optics and image compression. Frozen sections used in many spatial transcriptomic studies differ visibly from formalin-fixed paraffin-embedded diagnostic material. Foundation models can improve robustness by learning broad representations, but they can also encode provenance. Prov-GigaPath and UNI demonstrate the benefits of large and diverse pathology pre-training, yet downstream morphology-to-omics models still require validation across the specific specimen types and institutions in which they will be used (Chen et al., 2024; Xu et al., 2024). The out-of-domain degradation observed in spatial-expression benchmarks and MISO is therefore expected rather than exceptional (Schmauch et al., 2025; Wang et al., 2025).</w:t>
      </w:r>
    </w:p>
    <w:p w14:paraId="42CA9461" w14:textId="77777777" w:rsidR="00805D42" w:rsidRPr="00C264CF" w:rsidRDefault="00000000">
      <w:r w:rsidRPr="00C264CF">
        <w:t>Biological domain shift is equally consequential. A morphology–expression relation learnt in breast cancer may not hold in liver, lung or inflammatory disease, and even within one cancer type the same pathway can have different morphological consequences according to treatment, genotype or tissue site. Wang et al. (2026) reported improved prediction on a human liver spatial dataset using multimodal contrastive learning, but a single-organ benchmark does not establish pan-tissue validity. Conversely, pan-cancer pretraining can dilute rare tissue-specific relations. Evaluation should therefore separate transfer within a tissue type, transfer across institutions, and transfer across diseases rather than treating “external validation” as a single category.</w:t>
      </w:r>
    </w:p>
    <w:p w14:paraId="70AB298C" w14:textId="77777777" w:rsidR="00805D42" w:rsidRPr="00C264CF" w:rsidRDefault="00000000">
      <w:r w:rsidRPr="00C264CF">
        <w:t>Interpretability is another frequent source of overclaim. Attention maps, feature attribution and image retrieval can identify regions that contributed to a prediction, but they do not by themselves reveal a mechanism. A model may focus on lymphocyte-rich stroma when predicting an immune gene, which is reassuring, yet the image feature could still be a proxy for cell density rather than pathway activation. Spatial molecular co-localisation improves interpretability because it adds biological measurement, as in histology-integrative domain methods and targeted morphology–mechanism frameworks (Jiang et al., 2024; Kulkarni et al., 2026). Mechanistic language should nevertheless be reserved for designs that manipulate or independently validate the implicated pathway.</w:t>
      </w:r>
    </w:p>
    <w:p w14:paraId="7165D7AB" w14:textId="77777777" w:rsidR="00805D42" w:rsidRPr="00C264CF" w:rsidRDefault="00000000">
      <w:r w:rsidRPr="00C264CF">
        <w:t>Finally, apparent resolution must be separated from information resolution. A neural network can output a value for every pixel, every nucleus or every segmented cell even when its supervision came from multicellular spots. Such maps are visually persuasive because they align with cell boundaries. Yet the extra spatial detail may be generated by morphological priors and local smoothness rather than by independently observed molecular variation. Models trained against subcellular assays, such as GHIST, raise the evidential standard because the molecular labels themselves are more granular (Fu et al., 2025). Even then, cell segmentation and transcript assignment define the effective ground truth. The correct claim is therefore resolution-specific: predicted at single-cell coordinates and validated against single-cell measurements, not simply rendered at single-cell scale.</w:t>
      </w:r>
    </w:p>
    <w:p w14:paraId="6B0FA60B" w14:textId="77777777" w:rsidR="00805D42" w:rsidRPr="00C264CF" w:rsidRDefault="00000000">
      <w:r w:rsidRPr="00C264CF">
        <w:t>Table 4 consolidates the principal threats to valid morphology–omics inference and the corresponding safeguards. These are not secondary implementation details. They determine whether a model has discovered a transferable histopathological signature or has reproduced spatial structure and technical provenance present in its development dataset.</w:t>
      </w:r>
    </w:p>
    <w:p w14:paraId="5261D5A0" w14:textId="77777777" w:rsidR="00805D42" w:rsidRPr="00C264CF" w:rsidRDefault="00000000">
      <w:pPr>
        <w:keepNext/>
        <w:spacing w:before="160" w:after="20"/>
      </w:pPr>
      <w:r w:rsidRPr="00C264CF">
        <w:rPr>
          <w:b/>
          <w:sz w:val="18"/>
        </w:rPr>
        <w:t>Table 4</w:t>
      </w:r>
    </w:p>
    <w:p w14:paraId="0E4D4F0B" w14:textId="77777777" w:rsidR="00805D42" w:rsidRPr="00C264CF" w:rsidRDefault="00000000">
      <w:pPr>
        <w:keepNext/>
        <w:spacing w:after="80"/>
      </w:pPr>
      <w:r w:rsidRPr="00C264CF">
        <w:rPr>
          <w:i/>
          <w:sz w:val="18"/>
        </w:rPr>
        <w:t>Threats to valid morphology–omics inference and preferred safeguards</w:t>
      </w:r>
    </w:p>
    <w:tbl>
      <w:tblPr>
        <w:tblStyle w:val="TableGrid"/>
        <w:tblW w:w="0" w:type="auto"/>
        <w:jc w:val="center"/>
        <w:tblLayout w:type="fixed"/>
        <w:tblLook w:val="04A0" w:firstRow="1" w:lastRow="0" w:firstColumn="1" w:lastColumn="0" w:noHBand="0" w:noVBand="1"/>
      </w:tblPr>
      <w:tblGrid>
        <w:gridCol w:w="1483"/>
        <w:gridCol w:w="2088"/>
        <w:gridCol w:w="1757"/>
        <w:gridCol w:w="2045"/>
        <w:gridCol w:w="1915"/>
      </w:tblGrid>
      <w:tr w:rsidR="00C264CF" w:rsidRPr="00C264CF" w14:paraId="74EE1A1D" w14:textId="77777777">
        <w:trPr>
          <w:tblHeader/>
          <w:jc w:val="center"/>
        </w:trPr>
        <w:tc>
          <w:tcPr>
            <w:tcW w:w="1483" w:type="dxa"/>
            <w:shd w:val="clear" w:color="auto" w:fill="D9E2F3"/>
            <w:tcMar>
              <w:top w:w="80" w:type="dxa"/>
              <w:left w:w="90" w:type="dxa"/>
              <w:bottom w:w="80" w:type="dxa"/>
              <w:right w:w="90" w:type="dxa"/>
            </w:tcMar>
            <w:vAlign w:val="center"/>
          </w:tcPr>
          <w:p w14:paraId="46DE0C66" w14:textId="77777777" w:rsidR="00805D42" w:rsidRPr="00C264CF" w:rsidRDefault="00000000">
            <w:pPr>
              <w:spacing w:before="20" w:after="20" w:line="240" w:lineRule="auto"/>
              <w:jc w:val="center"/>
            </w:pPr>
            <w:r w:rsidRPr="00C264CF">
              <w:rPr>
                <w:b/>
                <w:sz w:val="15"/>
              </w:rPr>
              <w:t>Threat</w:t>
            </w:r>
          </w:p>
        </w:tc>
        <w:tc>
          <w:tcPr>
            <w:tcW w:w="2088" w:type="dxa"/>
            <w:shd w:val="clear" w:color="auto" w:fill="D9E2F3"/>
            <w:tcMar>
              <w:top w:w="80" w:type="dxa"/>
              <w:left w:w="90" w:type="dxa"/>
              <w:bottom w:w="80" w:type="dxa"/>
              <w:right w:w="90" w:type="dxa"/>
            </w:tcMar>
            <w:vAlign w:val="center"/>
          </w:tcPr>
          <w:p w14:paraId="4F8E6FC2" w14:textId="77777777" w:rsidR="00805D42" w:rsidRPr="00C264CF" w:rsidRDefault="00000000">
            <w:pPr>
              <w:spacing w:before="20" w:after="20" w:line="240" w:lineRule="auto"/>
              <w:jc w:val="center"/>
            </w:pPr>
            <w:r w:rsidRPr="00C264CF">
              <w:rPr>
                <w:b/>
                <w:sz w:val="15"/>
              </w:rPr>
              <w:t>How it can mislead</w:t>
            </w:r>
          </w:p>
        </w:tc>
        <w:tc>
          <w:tcPr>
            <w:tcW w:w="1757" w:type="dxa"/>
            <w:shd w:val="clear" w:color="auto" w:fill="D9E2F3"/>
            <w:tcMar>
              <w:top w:w="80" w:type="dxa"/>
              <w:left w:w="90" w:type="dxa"/>
              <w:bottom w:w="80" w:type="dxa"/>
              <w:right w:w="90" w:type="dxa"/>
            </w:tcMar>
            <w:vAlign w:val="center"/>
          </w:tcPr>
          <w:p w14:paraId="266242FD" w14:textId="77777777" w:rsidR="00805D42" w:rsidRPr="00C264CF" w:rsidRDefault="00000000">
            <w:pPr>
              <w:spacing w:before="20" w:after="20" w:line="240" w:lineRule="auto"/>
              <w:jc w:val="center"/>
            </w:pPr>
            <w:r w:rsidRPr="00C264CF">
              <w:rPr>
                <w:b/>
                <w:sz w:val="15"/>
              </w:rPr>
              <w:t>Warning sign</w:t>
            </w:r>
          </w:p>
        </w:tc>
        <w:tc>
          <w:tcPr>
            <w:tcW w:w="2045" w:type="dxa"/>
            <w:shd w:val="clear" w:color="auto" w:fill="D9E2F3"/>
            <w:tcMar>
              <w:top w:w="80" w:type="dxa"/>
              <w:left w:w="90" w:type="dxa"/>
              <w:bottom w:w="80" w:type="dxa"/>
              <w:right w:w="90" w:type="dxa"/>
            </w:tcMar>
            <w:vAlign w:val="center"/>
          </w:tcPr>
          <w:p w14:paraId="22B0B1C3" w14:textId="77777777" w:rsidR="00805D42" w:rsidRPr="00C264CF" w:rsidRDefault="00000000">
            <w:pPr>
              <w:spacing w:before="20" w:after="20" w:line="240" w:lineRule="auto"/>
              <w:jc w:val="center"/>
            </w:pPr>
            <w:r w:rsidRPr="00C264CF">
              <w:rPr>
                <w:b/>
                <w:sz w:val="15"/>
              </w:rPr>
              <w:t>Preferred safeguard</w:t>
            </w:r>
          </w:p>
        </w:tc>
        <w:tc>
          <w:tcPr>
            <w:tcW w:w="1915" w:type="dxa"/>
            <w:shd w:val="clear" w:color="auto" w:fill="D9E2F3"/>
            <w:tcMar>
              <w:top w:w="80" w:type="dxa"/>
              <w:left w:w="90" w:type="dxa"/>
              <w:bottom w:w="80" w:type="dxa"/>
              <w:right w:w="90" w:type="dxa"/>
            </w:tcMar>
            <w:vAlign w:val="center"/>
          </w:tcPr>
          <w:p w14:paraId="6FA0551D" w14:textId="77777777" w:rsidR="00805D42" w:rsidRPr="00C264CF" w:rsidRDefault="00000000">
            <w:pPr>
              <w:spacing w:before="20" w:after="20" w:line="240" w:lineRule="auto"/>
              <w:jc w:val="center"/>
            </w:pPr>
            <w:r w:rsidRPr="00C264CF">
              <w:rPr>
                <w:b/>
                <w:sz w:val="15"/>
              </w:rPr>
              <w:t>Supporting references</w:t>
            </w:r>
          </w:p>
        </w:tc>
      </w:tr>
      <w:tr w:rsidR="00C264CF" w:rsidRPr="00034575" w14:paraId="32C25D4C" w14:textId="77777777">
        <w:trPr>
          <w:cantSplit/>
          <w:jc w:val="center"/>
        </w:trPr>
        <w:tc>
          <w:tcPr>
            <w:tcW w:w="1483" w:type="dxa"/>
            <w:tcMar>
              <w:top w:w="75" w:type="dxa"/>
              <w:left w:w="85" w:type="dxa"/>
              <w:bottom w:w="75" w:type="dxa"/>
              <w:right w:w="85" w:type="dxa"/>
            </w:tcMar>
            <w:vAlign w:val="center"/>
          </w:tcPr>
          <w:p w14:paraId="6D6CCFFB" w14:textId="77777777" w:rsidR="00805D42" w:rsidRPr="00C264CF" w:rsidRDefault="00000000">
            <w:pPr>
              <w:spacing w:after="0" w:line="240" w:lineRule="auto"/>
              <w:jc w:val="left"/>
            </w:pPr>
            <w:r w:rsidRPr="00C264CF">
              <w:rPr>
                <w:sz w:val="14"/>
              </w:rPr>
              <w:lastRenderedPageBreak/>
              <w:t>Patient leakage and spatial autocorrelation</w:t>
            </w:r>
          </w:p>
        </w:tc>
        <w:tc>
          <w:tcPr>
            <w:tcW w:w="2088" w:type="dxa"/>
            <w:tcMar>
              <w:top w:w="75" w:type="dxa"/>
              <w:left w:w="85" w:type="dxa"/>
              <w:bottom w:w="75" w:type="dxa"/>
              <w:right w:w="85" w:type="dxa"/>
            </w:tcMar>
            <w:vAlign w:val="center"/>
          </w:tcPr>
          <w:p w14:paraId="0273BD5C" w14:textId="77777777" w:rsidR="00805D42" w:rsidRPr="00C264CF" w:rsidRDefault="00000000">
            <w:pPr>
              <w:spacing w:after="0" w:line="240" w:lineRule="auto"/>
              <w:jc w:val="left"/>
            </w:pPr>
            <w:r w:rsidRPr="00C264CF">
              <w:rPr>
                <w:sz w:val="14"/>
              </w:rPr>
              <w:t>Neighbouring spots or same-patient sections appear in both training and testing</w:t>
            </w:r>
          </w:p>
        </w:tc>
        <w:tc>
          <w:tcPr>
            <w:tcW w:w="1757" w:type="dxa"/>
            <w:tcMar>
              <w:top w:w="75" w:type="dxa"/>
              <w:left w:w="85" w:type="dxa"/>
              <w:bottom w:w="75" w:type="dxa"/>
              <w:right w:w="85" w:type="dxa"/>
            </w:tcMar>
            <w:vAlign w:val="center"/>
          </w:tcPr>
          <w:p w14:paraId="2D341890" w14:textId="77777777" w:rsidR="00805D42" w:rsidRPr="00C264CF" w:rsidRDefault="00000000">
            <w:pPr>
              <w:spacing w:after="0" w:line="240" w:lineRule="auto"/>
              <w:jc w:val="left"/>
            </w:pPr>
            <w:r w:rsidRPr="00C264CF">
              <w:rPr>
                <w:sz w:val="14"/>
              </w:rPr>
              <w:t>Very high spot-level performance with few independent patients</w:t>
            </w:r>
          </w:p>
        </w:tc>
        <w:tc>
          <w:tcPr>
            <w:tcW w:w="2045" w:type="dxa"/>
            <w:tcMar>
              <w:top w:w="75" w:type="dxa"/>
              <w:left w:w="85" w:type="dxa"/>
              <w:bottom w:w="75" w:type="dxa"/>
              <w:right w:w="85" w:type="dxa"/>
            </w:tcMar>
            <w:vAlign w:val="center"/>
          </w:tcPr>
          <w:p w14:paraId="429F1140" w14:textId="77777777" w:rsidR="00805D42" w:rsidRPr="00C264CF" w:rsidRDefault="00000000">
            <w:pPr>
              <w:spacing w:after="0" w:line="240" w:lineRule="auto"/>
              <w:jc w:val="left"/>
            </w:pPr>
            <w:r w:rsidRPr="00C264CF">
              <w:rPr>
                <w:sz w:val="14"/>
              </w:rPr>
              <w:t>Patient-level splitting; institution-level or acquisition-domain external validation</w:t>
            </w:r>
          </w:p>
        </w:tc>
        <w:tc>
          <w:tcPr>
            <w:tcW w:w="1915" w:type="dxa"/>
            <w:tcMar>
              <w:top w:w="75" w:type="dxa"/>
              <w:left w:w="85" w:type="dxa"/>
              <w:bottom w:w="75" w:type="dxa"/>
              <w:right w:w="85" w:type="dxa"/>
            </w:tcMar>
            <w:vAlign w:val="center"/>
          </w:tcPr>
          <w:p w14:paraId="6B6592EC" w14:textId="77777777" w:rsidR="00805D42" w:rsidRPr="00034575" w:rsidRDefault="00000000">
            <w:pPr>
              <w:spacing w:after="0" w:line="240" w:lineRule="auto"/>
              <w:jc w:val="left"/>
              <w:rPr>
                <w:lang w:val="nl-BE"/>
              </w:rPr>
            </w:pPr>
            <w:r w:rsidRPr="00034575">
              <w:rPr>
                <w:sz w:val="14"/>
                <w:lang w:val="nl-BE"/>
              </w:rPr>
              <w:t>(Schmauch et al., 2025; Wang et al., 2025)</w:t>
            </w:r>
          </w:p>
        </w:tc>
      </w:tr>
      <w:tr w:rsidR="00C264CF" w:rsidRPr="00034575" w14:paraId="57D5DBA8" w14:textId="77777777">
        <w:trPr>
          <w:cantSplit/>
          <w:jc w:val="center"/>
        </w:trPr>
        <w:tc>
          <w:tcPr>
            <w:tcW w:w="1483" w:type="dxa"/>
            <w:shd w:val="clear" w:color="auto" w:fill="F7F9FC"/>
            <w:tcMar>
              <w:top w:w="75" w:type="dxa"/>
              <w:left w:w="85" w:type="dxa"/>
              <w:bottom w:w="75" w:type="dxa"/>
              <w:right w:w="85" w:type="dxa"/>
            </w:tcMar>
            <w:vAlign w:val="center"/>
          </w:tcPr>
          <w:p w14:paraId="6582064C" w14:textId="77777777" w:rsidR="00805D42" w:rsidRPr="00C264CF" w:rsidRDefault="00000000">
            <w:pPr>
              <w:spacing w:after="0" w:line="240" w:lineRule="auto"/>
              <w:jc w:val="left"/>
            </w:pPr>
            <w:r w:rsidRPr="00C264CF">
              <w:rPr>
                <w:sz w:val="14"/>
              </w:rPr>
              <w:t>Spot mixture and spot swapping</w:t>
            </w:r>
          </w:p>
        </w:tc>
        <w:tc>
          <w:tcPr>
            <w:tcW w:w="2088" w:type="dxa"/>
            <w:shd w:val="clear" w:color="auto" w:fill="F7F9FC"/>
            <w:tcMar>
              <w:top w:w="75" w:type="dxa"/>
              <w:left w:w="85" w:type="dxa"/>
              <w:bottom w:w="75" w:type="dxa"/>
              <w:right w:w="85" w:type="dxa"/>
            </w:tcMar>
            <w:vAlign w:val="center"/>
          </w:tcPr>
          <w:p w14:paraId="48387BB5" w14:textId="77777777" w:rsidR="00805D42" w:rsidRPr="00C264CF" w:rsidRDefault="00000000">
            <w:pPr>
              <w:spacing w:after="0" w:line="240" w:lineRule="auto"/>
              <w:jc w:val="left"/>
            </w:pPr>
            <w:r w:rsidRPr="00C264CF">
              <w:rPr>
                <w:sz w:val="14"/>
              </w:rPr>
              <w:t>Model learns multicellular composition or contamination rather than local cell-intrinsic state</w:t>
            </w:r>
          </w:p>
        </w:tc>
        <w:tc>
          <w:tcPr>
            <w:tcW w:w="1757" w:type="dxa"/>
            <w:shd w:val="clear" w:color="auto" w:fill="F7F9FC"/>
            <w:tcMar>
              <w:top w:w="75" w:type="dxa"/>
              <w:left w:w="85" w:type="dxa"/>
              <w:bottom w:w="75" w:type="dxa"/>
              <w:right w:w="85" w:type="dxa"/>
            </w:tcMar>
            <w:vAlign w:val="center"/>
          </w:tcPr>
          <w:p w14:paraId="39EEB063" w14:textId="77777777" w:rsidR="00805D42" w:rsidRPr="00C264CF" w:rsidRDefault="00000000">
            <w:pPr>
              <w:spacing w:after="0" w:line="240" w:lineRule="auto"/>
              <w:jc w:val="left"/>
            </w:pPr>
            <w:r w:rsidRPr="00C264CF">
              <w:rPr>
                <w:sz w:val="14"/>
              </w:rPr>
              <w:t>Smooth signals crossing sharp histological boundaries</w:t>
            </w:r>
          </w:p>
        </w:tc>
        <w:tc>
          <w:tcPr>
            <w:tcW w:w="2045" w:type="dxa"/>
            <w:shd w:val="clear" w:color="auto" w:fill="F7F9FC"/>
            <w:tcMar>
              <w:top w:w="75" w:type="dxa"/>
              <w:left w:w="85" w:type="dxa"/>
              <w:bottom w:w="75" w:type="dxa"/>
              <w:right w:w="85" w:type="dxa"/>
            </w:tcMar>
            <w:vAlign w:val="center"/>
          </w:tcPr>
          <w:p w14:paraId="14F19372" w14:textId="77777777" w:rsidR="00805D42" w:rsidRPr="00C264CF" w:rsidRDefault="00000000">
            <w:pPr>
              <w:spacing w:after="0" w:line="240" w:lineRule="auto"/>
              <w:jc w:val="left"/>
            </w:pPr>
            <w:r w:rsidRPr="00C264CF">
              <w:rPr>
                <w:sz w:val="14"/>
              </w:rPr>
              <w:t>Deconvolution, contamination-aware preprocessing and validation with finer-resolution assays</w:t>
            </w:r>
          </w:p>
        </w:tc>
        <w:tc>
          <w:tcPr>
            <w:tcW w:w="1915" w:type="dxa"/>
            <w:shd w:val="clear" w:color="auto" w:fill="F7F9FC"/>
            <w:tcMar>
              <w:top w:w="75" w:type="dxa"/>
              <w:left w:w="85" w:type="dxa"/>
              <w:bottom w:w="75" w:type="dxa"/>
              <w:right w:w="85" w:type="dxa"/>
            </w:tcMar>
            <w:vAlign w:val="center"/>
          </w:tcPr>
          <w:p w14:paraId="12B228DA" w14:textId="77777777" w:rsidR="00805D42" w:rsidRPr="00034575" w:rsidRDefault="00000000">
            <w:pPr>
              <w:spacing w:after="0" w:line="240" w:lineRule="auto"/>
              <w:jc w:val="left"/>
              <w:rPr>
                <w:lang w:val="nl-BE"/>
              </w:rPr>
            </w:pPr>
            <w:r w:rsidRPr="00034575">
              <w:rPr>
                <w:sz w:val="14"/>
                <w:lang w:val="nl-BE"/>
              </w:rPr>
              <w:t>(Kleshchevnikov et al., 2022; Ni et al., 2022)</w:t>
            </w:r>
          </w:p>
        </w:tc>
      </w:tr>
      <w:tr w:rsidR="00C264CF" w:rsidRPr="00C264CF" w14:paraId="4593F856" w14:textId="77777777">
        <w:trPr>
          <w:cantSplit/>
          <w:jc w:val="center"/>
        </w:trPr>
        <w:tc>
          <w:tcPr>
            <w:tcW w:w="1483" w:type="dxa"/>
            <w:tcMar>
              <w:top w:w="75" w:type="dxa"/>
              <w:left w:w="85" w:type="dxa"/>
              <w:bottom w:w="75" w:type="dxa"/>
              <w:right w:w="85" w:type="dxa"/>
            </w:tcMar>
            <w:vAlign w:val="center"/>
          </w:tcPr>
          <w:p w14:paraId="4258992B" w14:textId="77777777" w:rsidR="00805D42" w:rsidRPr="00C264CF" w:rsidRDefault="00000000">
            <w:pPr>
              <w:spacing w:after="0" w:line="240" w:lineRule="auto"/>
              <w:jc w:val="left"/>
            </w:pPr>
            <w:r w:rsidRPr="00C264CF">
              <w:rPr>
                <w:sz w:val="14"/>
              </w:rPr>
              <w:t xml:space="preserve">Library-size and </w:t>
            </w:r>
            <w:proofErr w:type="spellStart"/>
            <w:r w:rsidRPr="00C264CF">
              <w:rPr>
                <w:sz w:val="14"/>
              </w:rPr>
              <w:t>normalisation</w:t>
            </w:r>
            <w:proofErr w:type="spellEnd"/>
            <w:r w:rsidRPr="00C264CF">
              <w:rPr>
                <w:sz w:val="14"/>
              </w:rPr>
              <w:t xml:space="preserve"> confounding</w:t>
            </w:r>
          </w:p>
        </w:tc>
        <w:tc>
          <w:tcPr>
            <w:tcW w:w="2088" w:type="dxa"/>
            <w:tcMar>
              <w:top w:w="75" w:type="dxa"/>
              <w:left w:w="85" w:type="dxa"/>
              <w:bottom w:w="75" w:type="dxa"/>
              <w:right w:w="85" w:type="dxa"/>
            </w:tcMar>
            <w:vAlign w:val="center"/>
          </w:tcPr>
          <w:p w14:paraId="5BF8D7FE" w14:textId="77777777" w:rsidR="00805D42" w:rsidRPr="00C264CF" w:rsidRDefault="00000000">
            <w:pPr>
              <w:spacing w:after="0" w:line="240" w:lineRule="auto"/>
              <w:jc w:val="left"/>
            </w:pPr>
            <w:r w:rsidRPr="00C264CF">
              <w:rPr>
                <w:sz w:val="14"/>
              </w:rPr>
              <w:t>Technical or biologically structured depth is removed or reproduced as if it were gene regulation</w:t>
            </w:r>
          </w:p>
        </w:tc>
        <w:tc>
          <w:tcPr>
            <w:tcW w:w="1757" w:type="dxa"/>
            <w:tcMar>
              <w:top w:w="75" w:type="dxa"/>
              <w:left w:w="85" w:type="dxa"/>
              <w:bottom w:w="75" w:type="dxa"/>
              <w:right w:w="85" w:type="dxa"/>
            </w:tcMar>
            <w:vAlign w:val="center"/>
          </w:tcPr>
          <w:p w14:paraId="74830F26" w14:textId="77777777" w:rsidR="00805D42" w:rsidRPr="00C264CF" w:rsidRDefault="00000000">
            <w:pPr>
              <w:spacing w:after="0" w:line="240" w:lineRule="auto"/>
              <w:jc w:val="left"/>
            </w:pPr>
            <w:r w:rsidRPr="00C264CF">
              <w:rPr>
                <w:sz w:val="14"/>
              </w:rPr>
              <w:t>Domains track total counts or tissue density more strongly than target biology</w:t>
            </w:r>
          </w:p>
        </w:tc>
        <w:tc>
          <w:tcPr>
            <w:tcW w:w="2045" w:type="dxa"/>
            <w:tcMar>
              <w:top w:w="75" w:type="dxa"/>
              <w:left w:w="85" w:type="dxa"/>
              <w:bottom w:w="75" w:type="dxa"/>
              <w:right w:w="85" w:type="dxa"/>
            </w:tcMar>
            <w:vAlign w:val="center"/>
          </w:tcPr>
          <w:p w14:paraId="62E929E0" w14:textId="77777777" w:rsidR="00805D42" w:rsidRPr="00C264CF" w:rsidRDefault="00000000">
            <w:pPr>
              <w:spacing w:after="0" w:line="240" w:lineRule="auto"/>
              <w:jc w:val="left"/>
            </w:pPr>
            <w:r w:rsidRPr="00C264CF">
              <w:rPr>
                <w:sz w:val="14"/>
              </w:rPr>
              <w:t>Report count-depth structure; test alternative normalisation; include technical covariates</w:t>
            </w:r>
          </w:p>
        </w:tc>
        <w:tc>
          <w:tcPr>
            <w:tcW w:w="1915" w:type="dxa"/>
            <w:tcMar>
              <w:top w:w="75" w:type="dxa"/>
              <w:left w:w="85" w:type="dxa"/>
              <w:bottom w:w="75" w:type="dxa"/>
              <w:right w:w="85" w:type="dxa"/>
            </w:tcMar>
            <w:vAlign w:val="center"/>
          </w:tcPr>
          <w:p w14:paraId="25F866FE" w14:textId="77777777" w:rsidR="00805D42" w:rsidRPr="00C264CF" w:rsidRDefault="00000000">
            <w:pPr>
              <w:spacing w:after="0" w:line="240" w:lineRule="auto"/>
              <w:jc w:val="left"/>
            </w:pPr>
            <w:r w:rsidRPr="00C264CF">
              <w:rPr>
                <w:sz w:val="14"/>
              </w:rPr>
              <w:t>(Bhuva et al., 2024)</w:t>
            </w:r>
          </w:p>
        </w:tc>
      </w:tr>
      <w:tr w:rsidR="00C264CF" w:rsidRPr="00034575" w14:paraId="252D138B" w14:textId="77777777">
        <w:trPr>
          <w:cantSplit/>
          <w:jc w:val="center"/>
        </w:trPr>
        <w:tc>
          <w:tcPr>
            <w:tcW w:w="1483" w:type="dxa"/>
            <w:shd w:val="clear" w:color="auto" w:fill="F7F9FC"/>
            <w:tcMar>
              <w:top w:w="75" w:type="dxa"/>
              <w:left w:w="85" w:type="dxa"/>
              <w:bottom w:w="75" w:type="dxa"/>
              <w:right w:w="85" w:type="dxa"/>
            </w:tcMar>
            <w:vAlign w:val="center"/>
          </w:tcPr>
          <w:p w14:paraId="58AAE1D1" w14:textId="77777777" w:rsidR="00805D42" w:rsidRPr="00C264CF" w:rsidRDefault="00000000">
            <w:pPr>
              <w:spacing w:after="0" w:line="240" w:lineRule="auto"/>
              <w:jc w:val="left"/>
            </w:pPr>
            <w:r w:rsidRPr="00C264CF">
              <w:rPr>
                <w:sz w:val="14"/>
              </w:rPr>
              <w:t>Image–omics misregistration</w:t>
            </w:r>
          </w:p>
        </w:tc>
        <w:tc>
          <w:tcPr>
            <w:tcW w:w="2088" w:type="dxa"/>
            <w:shd w:val="clear" w:color="auto" w:fill="F7F9FC"/>
            <w:tcMar>
              <w:top w:w="75" w:type="dxa"/>
              <w:left w:w="85" w:type="dxa"/>
              <w:bottom w:w="75" w:type="dxa"/>
              <w:right w:w="85" w:type="dxa"/>
            </w:tcMar>
            <w:vAlign w:val="center"/>
          </w:tcPr>
          <w:p w14:paraId="2EA60251" w14:textId="77777777" w:rsidR="00805D42" w:rsidRPr="00C264CF" w:rsidRDefault="00000000">
            <w:pPr>
              <w:spacing w:after="0" w:line="240" w:lineRule="auto"/>
              <w:jc w:val="left"/>
            </w:pPr>
            <w:r w:rsidRPr="00C264CF">
              <w:rPr>
                <w:sz w:val="14"/>
              </w:rPr>
              <w:t>Molecular labels are assigned to the wrong cells or regions</w:t>
            </w:r>
          </w:p>
        </w:tc>
        <w:tc>
          <w:tcPr>
            <w:tcW w:w="1757" w:type="dxa"/>
            <w:shd w:val="clear" w:color="auto" w:fill="F7F9FC"/>
            <w:tcMar>
              <w:top w:w="75" w:type="dxa"/>
              <w:left w:w="85" w:type="dxa"/>
              <w:bottom w:w="75" w:type="dxa"/>
              <w:right w:w="85" w:type="dxa"/>
            </w:tcMar>
            <w:vAlign w:val="center"/>
          </w:tcPr>
          <w:p w14:paraId="31B3ACC7" w14:textId="77777777" w:rsidR="00805D42" w:rsidRPr="00C264CF" w:rsidRDefault="00000000">
            <w:pPr>
              <w:spacing w:after="0" w:line="240" w:lineRule="auto"/>
              <w:jc w:val="left"/>
            </w:pPr>
            <w:r w:rsidRPr="00C264CF">
              <w:rPr>
                <w:sz w:val="14"/>
              </w:rPr>
              <w:t>Boundary disagreement concentrated around tissue interfaces</w:t>
            </w:r>
          </w:p>
        </w:tc>
        <w:tc>
          <w:tcPr>
            <w:tcW w:w="2045" w:type="dxa"/>
            <w:shd w:val="clear" w:color="auto" w:fill="F7F9FC"/>
            <w:tcMar>
              <w:top w:w="75" w:type="dxa"/>
              <w:left w:w="85" w:type="dxa"/>
              <w:bottom w:w="75" w:type="dxa"/>
              <w:right w:w="85" w:type="dxa"/>
            </w:tcMar>
            <w:vAlign w:val="center"/>
          </w:tcPr>
          <w:p w14:paraId="54F80F7B" w14:textId="77777777" w:rsidR="00805D42" w:rsidRPr="00C264CF" w:rsidRDefault="00000000">
            <w:pPr>
              <w:spacing w:after="0" w:line="240" w:lineRule="auto"/>
              <w:jc w:val="left"/>
            </w:pPr>
            <w:r w:rsidRPr="00C264CF">
              <w:rPr>
                <w:sz w:val="14"/>
              </w:rPr>
              <w:t>Quantify registration error; exclude unmatched regions; use same-section or high-quality serial-section alignment</w:t>
            </w:r>
          </w:p>
        </w:tc>
        <w:tc>
          <w:tcPr>
            <w:tcW w:w="1915" w:type="dxa"/>
            <w:shd w:val="clear" w:color="auto" w:fill="F7F9FC"/>
            <w:tcMar>
              <w:top w:w="75" w:type="dxa"/>
              <w:left w:w="85" w:type="dxa"/>
              <w:bottom w:w="75" w:type="dxa"/>
              <w:right w:w="85" w:type="dxa"/>
            </w:tcMar>
            <w:vAlign w:val="center"/>
          </w:tcPr>
          <w:p w14:paraId="4B76BC92" w14:textId="77777777" w:rsidR="00805D42" w:rsidRPr="00034575" w:rsidRDefault="00000000">
            <w:pPr>
              <w:spacing w:after="0" w:line="240" w:lineRule="auto"/>
              <w:jc w:val="left"/>
              <w:rPr>
                <w:lang w:val="nl-BE"/>
              </w:rPr>
            </w:pPr>
            <w:r w:rsidRPr="00034575">
              <w:rPr>
                <w:sz w:val="14"/>
                <w:lang w:val="nl-BE"/>
              </w:rPr>
              <w:t>(Janesick et al., 2023; Zhang et al., 2024)</w:t>
            </w:r>
          </w:p>
        </w:tc>
      </w:tr>
      <w:tr w:rsidR="00C264CF" w:rsidRPr="00034575" w14:paraId="02675E53" w14:textId="77777777">
        <w:trPr>
          <w:cantSplit/>
          <w:jc w:val="center"/>
        </w:trPr>
        <w:tc>
          <w:tcPr>
            <w:tcW w:w="1483" w:type="dxa"/>
            <w:tcMar>
              <w:top w:w="75" w:type="dxa"/>
              <w:left w:w="85" w:type="dxa"/>
              <w:bottom w:w="75" w:type="dxa"/>
              <w:right w:w="85" w:type="dxa"/>
            </w:tcMar>
            <w:vAlign w:val="center"/>
          </w:tcPr>
          <w:p w14:paraId="4D53818E" w14:textId="77777777" w:rsidR="00805D42" w:rsidRPr="00C264CF" w:rsidRDefault="00000000">
            <w:pPr>
              <w:spacing w:after="0" w:line="240" w:lineRule="auto"/>
              <w:jc w:val="left"/>
            </w:pPr>
            <w:r w:rsidRPr="00C264CF">
              <w:rPr>
                <w:sz w:val="14"/>
              </w:rPr>
              <w:t>Gene and metric selection</w:t>
            </w:r>
          </w:p>
        </w:tc>
        <w:tc>
          <w:tcPr>
            <w:tcW w:w="2088" w:type="dxa"/>
            <w:tcMar>
              <w:top w:w="75" w:type="dxa"/>
              <w:left w:w="85" w:type="dxa"/>
              <w:bottom w:w="75" w:type="dxa"/>
              <w:right w:w="85" w:type="dxa"/>
            </w:tcMar>
            <w:vAlign w:val="center"/>
          </w:tcPr>
          <w:p w14:paraId="179DF80F" w14:textId="77777777" w:rsidR="00805D42" w:rsidRPr="00C264CF" w:rsidRDefault="00000000">
            <w:pPr>
              <w:spacing w:after="0" w:line="240" w:lineRule="auto"/>
              <w:jc w:val="left"/>
            </w:pPr>
            <w:r w:rsidRPr="00C264CF">
              <w:rPr>
                <w:sz w:val="14"/>
              </w:rPr>
              <w:t>Only learnable genes or favourable metrics are emphasised</w:t>
            </w:r>
          </w:p>
        </w:tc>
        <w:tc>
          <w:tcPr>
            <w:tcW w:w="1757" w:type="dxa"/>
            <w:tcMar>
              <w:top w:w="75" w:type="dxa"/>
              <w:left w:w="85" w:type="dxa"/>
              <w:bottom w:w="75" w:type="dxa"/>
              <w:right w:w="85" w:type="dxa"/>
            </w:tcMar>
            <w:vAlign w:val="center"/>
          </w:tcPr>
          <w:p w14:paraId="22421844" w14:textId="77777777" w:rsidR="00805D42" w:rsidRPr="00C264CF" w:rsidRDefault="00000000">
            <w:pPr>
              <w:spacing w:after="0" w:line="240" w:lineRule="auto"/>
              <w:jc w:val="left"/>
            </w:pPr>
            <w:r w:rsidRPr="00C264CF">
              <w:rPr>
                <w:sz w:val="14"/>
              </w:rPr>
              <w:t>Large differences across targets but a single mean score is highlighted</w:t>
            </w:r>
          </w:p>
        </w:tc>
        <w:tc>
          <w:tcPr>
            <w:tcW w:w="2045" w:type="dxa"/>
            <w:tcMar>
              <w:top w:w="75" w:type="dxa"/>
              <w:left w:w="85" w:type="dxa"/>
              <w:bottom w:w="75" w:type="dxa"/>
              <w:right w:w="85" w:type="dxa"/>
            </w:tcMar>
            <w:vAlign w:val="center"/>
          </w:tcPr>
          <w:p w14:paraId="5CA9A0C0" w14:textId="77777777" w:rsidR="00805D42" w:rsidRPr="00C264CF" w:rsidRDefault="00000000">
            <w:pPr>
              <w:spacing w:after="0" w:line="240" w:lineRule="auto"/>
              <w:jc w:val="left"/>
            </w:pPr>
            <w:r w:rsidRPr="00C264CF">
              <w:rPr>
                <w:sz w:val="14"/>
              </w:rPr>
              <w:t>Prespecify gene sets; report per-gene distributions; use identifiability-aware and multiple complementary metrics</w:t>
            </w:r>
          </w:p>
        </w:tc>
        <w:tc>
          <w:tcPr>
            <w:tcW w:w="1915" w:type="dxa"/>
            <w:tcMar>
              <w:top w:w="75" w:type="dxa"/>
              <w:left w:w="85" w:type="dxa"/>
              <w:bottom w:w="75" w:type="dxa"/>
              <w:right w:w="85" w:type="dxa"/>
            </w:tcMar>
            <w:vAlign w:val="center"/>
          </w:tcPr>
          <w:p w14:paraId="7288BA7E" w14:textId="77777777" w:rsidR="00805D42" w:rsidRPr="00034575" w:rsidRDefault="00000000">
            <w:pPr>
              <w:spacing w:after="0" w:line="240" w:lineRule="auto"/>
              <w:jc w:val="left"/>
              <w:rPr>
                <w:lang w:val="nl-BE"/>
              </w:rPr>
            </w:pPr>
            <w:r w:rsidRPr="00034575">
              <w:rPr>
                <w:sz w:val="14"/>
                <w:lang w:val="nl-BE"/>
              </w:rPr>
              <w:t>(Schmauch et al., 2025; Wang et al., 2025)</w:t>
            </w:r>
          </w:p>
        </w:tc>
      </w:tr>
      <w:tr w:rsidR="00C264CF" w:rsidRPr="00034575" w14:paraId="01EE4316" w14:textId="77777777">
        <w:trPr>
          <w:cantSplit/>
          <w:jc w:val="center"/>
        </w:trPr>
        <w:tc>
          <w:tcPr>
            <w:tcW w:w="1483" w:type="dxa"/>
            <w:shd w:val="clear" w:color="auto" w:fill="F7F9FC"/>
            <w:tcMar>
              <w:top w:w="75" w:type="dxa"/>
              <w:left w:w="85" w:type="dxa"/>
              <w:bottom w:w="75" w:type="dxa"/>
              <w:right w:w="85" w:type="dxa"/>
            </w:tcMar>
            <w:vAlign w:val="center"/>
          </w:tcPr>
          <w:p w14:paraId="529A5504" w14:textId="77777777" w:rsidR="00805D42" w:rsidRPr="00C264CF" w:rsidRDefault="00000000">
            <w:pPr>
              <w:spacing w:after="0" w:line="240" w:lineRule="auto"/>
              <w:jc w:val="left"/>
            </w:pPr>
            <w:r w:rsidRPr="00C264CF">
              <w:rPr>
                <w:sz w:val="14"/>
              </w:rPr>
              <w:t>Technical and biological domain shift</w:t>
            </w:r>
          </w:p>
        </w:tc>
        <w:tc>
          <w:tcPr>
            <w:tcW w:w="2088" w:type="dxa"/>
            <w:shd w:val="clear" w:color="auto" w:fill="F7F9FC"/>
            <w:tcMar>
              <w:top w:w="75" w:type="dxa"/>
              <w:left w:w="85" w:type="dxa"/>
              <w:bottom w:w="75" w:type="dxa"/>
              <w:right w:w="85" w:type="dxa"/>
            </w:tcMar>
            <w:vAlign w:val="center"/>
          </w:tcPr>
          <w:p w14:paraId="05BC6382" w14:textId="77777777" w:rsidR="00805D42" w:rsidRPr="00C264CF" w:rsidRDefault="00000000">
            <w:pPr>
              <w:spacing w:after="0" w:line="240" w:lineRule="auto"/>
              <w:jc w:val="left"/>
            </w:pPr>
            <w:r w:rsidRPr="00C264CF">
              <w:rPr>
                <w:sz w:val="14"/>
              </w:rPr>
              <w:t>Stain, scanner, specimen or disease differences break morphology–molecule relationships</w:t>
            </w:r>
          </w:p>
        </w:tc>
        <w:tc>
          <w:tcPr>
            <w:tcW w:w="1757" w:type="dxa"/>
            <w:shd w:val="clear" w:color="auto" w:fill="F7F9FC"/>
            <w:tcMar>
              <w:top w:w="75" w:type="dxa"/>
              <w:left w:w="85" w:type="dxa"/>
              <w:bottom w:w="75" w:type="dxa"/>
              <w:right w:w="85" w:type="dxa"/>
            </w:tcMar>
            <w:vAlign w:val="center"/>
          </w:tcPr>
          <w:p w14:paraId="27422FAB" w14:textId="77777777" w:rsidR="00805D42" w:rsidRPr="00C264CF" w:rsidRDefault="00000000">
            <w:pPr>
              <w:spacing w:after="0" w:line="240" w:lineRule="auto"/>
              <w:jc w:val="left"/>
            </w:pPr>
            <w:r w:rsidRPr="00C264CF">
              <w:rPr>
                <w:sz w:val="14"/>
              </w:rPr>
              <w:t>Sharp performance decline outside the development cohort</w:t>
            </w:r>
          </w:p>
        </w:tc>
        <w:tc>
          <w:tcPr>
            <w:tcW w:w="2045" w:type="dxa"/>
            <w:shd w:val="clear" w:color="auto" w:fill="F7F9FC"/>
            <w:tcMar>
              <w:top w:w="75" w:type="dxa"/>
              <w:left w:w="85" w:type="dxa"/>
              <w:bottom w:w="75" w:type="dxa"/>
              <w:right w:w="85" w:type="dxa"/>
            </w:tcMar>
            <w:vAlign w:val="center"/>
          </w:tcPr>
          <w:p w14:paraId="312B8ADD" w14:textId="77777777" w:rsidR="00805D42" w:rsidRPr="00C264CF" w:rsidRDefault="00000000">
            <w:pPr>
              <w:spacing w:after="0" w:line="240" w:lineRule="auto"/>
              <w:jc w:val="left"/>
            </w:pPr>
            <w:r w:rsidRPr="00C264CF">
              <w:rPr>
                <w:sz w:val="14"/>
              </w:rPr>
              <w:t>External validation stratified by acquisition and biology; adaptation with held-out evaluation</w:t>
            </w:r>
          </w:p>
        </w:tc>
        <w:tc>
          <w:tcPr>
            <w:tcW w:w="1915" w:type="dxa"/>
            <w:shd w:val="clear" w:color="auto" w:fill="F7F9FC"/>
            <w:tcMar>
              <w:top w:w="75" w:type="dxa"/>
              <w:left w:w="85" w:type="dxa"/>
              <w:bottom w:w="75" w:type="dxa"/>
              <w:right w:w="85" w:type="dxa"/>
            </w:tcMar>
            <w:vAlign w:val="center"/>
          </w:tcPr>
          <w:p w14:paraId="6E7B0EA8" w14:textId="77777777" w:rsidR="00805D42" w:rsidRPr="00034575" w:rsidRDefault="00000000">
            <w:pPr>
              <w:spacing w:after="0" w:line="240" w:lineRule="auto"/>
              <w:jc w:val="left"/>
              <w:rPr>
                <w:lang w:val="nl-BE"/>
              </w:rPr>
            </w:pPr>
            <w:r w:rsidRPr="00034575">
              <w:rPr>
                <w:sz w:val="14"/>
                <w:lang w:val="nl-BE"/>
              </w:rPr>
              <w:t>(Chen et al., 2024; Schmauch et al., 2025; Xu et al., 2024)</w:t>
            </w:r>
          </w:p>
        </w:tc>
      </w:tr>
      <w:tr w:rsidR="00C264CF" w:rsidRPr="00034575" w14:paraId="77A549F3" w14:textId="77777777">
        <w:trPr>
          <w:cantSplit/>
          <w:jc w:val="center"/>
        </w:trPr>
        <w:tc>
          <w:tcPr>
            <w:tcW w:w="1483" w:type="dxa"/>
            <w:tcMar>
              <w:top w:w="75" w:type="dxa"/>
              <w:left w:w="85" w:type="dxa"/>
              <w:bottom w:w="75" w:type="dxa"/>
              <w:right w:w="85" w:type="dxa"/>
            </w:tcMar>
            <w:vAlign w:val="center"/>
          </w:tcPr>
          <w:p w14:paraId="2C9066CE" w14:textId="77777777" w:rsidR="00805D42" w:rsidRPr="00C264CF" w:rsidRDefault="00000000">
            <w:pPr>
              <w:spacing w:after="0" w:line="240" w:lineRule="auto"/>
              <w:jc w:val="left"/>
            </w:pPr>
            <w:r w:rsidRPr="00C264CF">
              <w:rPr>
                <w:sz w:val="14"/>
              </w:rPr>
              <w:t>Resolution inflation</w:t>
            </w:r>
          </w:p>
        </w:tc>
        <w:tc>
          <w:tcPr>
            <w:tcW w:w="2088" w:type="dxa"/>
            <w:tcMar>
              <w:top w:w="75" w:type="dxa"/>
              <w:left w:w="85" w:type="dxa"/>
              <w:bottom w:w="75" w:type="dxa"/>
              <w:right w:w="85" w:type="dxa"/>
            </w:tcMar>
            <w:vAlign w:val="center"/>
          </w:tcPr>
          <w:p w14:paraId="3AC4AF13" w14:textId="77777777" w:rsidR="00805D42" w:rsidRPr="00C264CF" w:rsidRDefault="00000000">
            <w:pPr>
              <w:spacing w:after="0" w:line="240" w:lineRule="auto"/>
              <w:jc w:val="left"/>
            </w:pPr>
            <w:r w:rsidRPr="00C264CF">
              <w:rPr>
                <w:sz w:val="14"/>
              </w:rPr>
              <w:t>A fine output grid is interpreted as independently validated fine molecular measurement</w:t>
            </w:r>
          </w:p>
        </w:tc>
        <w:tc>
          <w:tcPr>
            <w:tcW w:w="1757" w:type="dxa"/>
            <w:tcMar>
              <w:top w:w="75" w:type="dxa"/>
              <w:left w:w="85" w:type="dxa"/>
              <w:bottom w:w="75" w:type="dxa"/>
              <w:right w:w="85" w:type="dxa"/>
            </w:tcMar>
            <w:vAlign w:val="center"/>
          </w:tcPr>
          <w:p w14:paraId="267D4C43" w14:textId="77777777" w:rsidR="00805D42" w:rsidRPr="00C264CF" w:rsidRDefault="00000000">
            <w:pPr>
              <w:spacing w:after="0" w:line="240" w:lineRule="auto"/>
              <w:jc w:val="left"/>
            </w:pPr>
            <w:r w:rsidRPr="00C264CF">
              <w:rPr>
                <w:sz w:val="14"/>
              </w:rPr>
              <w:t>Single-cell-looking maps trained only on multicellular spot labels</w:t>
            </w:r>
          </w:p>
        </w:tc>
        <w:tc>
          <w:tcPr>
            <w:tcW w:w="2045" w:type="dxa"/>
            <w:tcMar>
              <w:top w:w="75" w:type="dxa"/>
              <w:left w:w="85" w:type="dxa"/>
              <w:bottom w:w="75" w:type="dxa"/>
              <w:right w:w="85" w:type="dxa"/>
            </w:tcMar>
            <w:vAlign w:val="center"/>
          </w:tcPr>
          <w:p w14:paraId="2FE37072" w14:textId="77777777" w:rsidR="00805D42" w:rsidRPr="00C264CF" w:rsidRDefault="00000000">
            <w:pPr>
              <w:spacing w:after="0" w:line="240" w:lineRule="auto"/>
              <w:jc w:val="left"/>
            </w:pPr>
            <w:r w:rsidRPr="00C264CF">
              <w:rPr>
                <w:sz w:val="14"/>
              </w:rPr>
              <w:t>Match claims to reference resolution; validate fine-scale outputs against cell- or subcellular assays</w:t>
            </w:r>
          </w:p>
        </w:tc>
        <w:tc>
          <w:tcPr>
            <w:tcW w:w="1915" w:type="dxa"/>
            <w:tcMar>
              <w:top w:w="75" w:type="dxa"/>
              <w:left w:w="85" w:type="dxa"/>
              <w:bottom w:w="75" w:type="dxa"/>
              <w:right w:w="85" w:type="dxa"/>
            </w:tcMar>
            <w:vAlign w:val="center"/>
          </w:tcPr>
          <w:p w14:paraId="435D918B" w14:textId="77777777" w:rsidR="00805D42" w:rsidRPr="00034575" w:rsidRDefault="00000000">
            <w:pPr>
              <w:spacing w:after="0" w:line="240" w:lineRule="auto"/>
              <w:jc w:val="left"/>
              <w:rPr>
                <w:lang w:val="nl-BE"/>
              </w:rPr>
            </w:pPr>
            <w:r w:rsidRPr="00034575">
              <w:rPr>
                <w:sz w:val="14"/>
                <w:lang w:val="nl-BE"/>
              </w:rPr>
              <w:t>(Fu et al., 2025; Zhang et al., 2024)</w:t>
            </w:r>
          </w:p>
        </w:tc>
      </w:tr>
    </w:tbl>
    <w:p w14:paraId="1B12E1EC" w14:textId="77777777" w:rsidR="00805D42" w:rsidRPr="00C264CF" w:rsidRDefault="00000000">
      <w:pPr>
        <w:spacing w:before="60" w:after="160"/>
      </w:pPr>
      <w:r w:rsidRPr="00C264CF">
        <w:rPr>
          <w:i/>
          <w:sz w:val="16"/>
        </w:rPr>
        <w:t xml:space="preserve">Note. </w:t>
      </w:r>
      <w:r w:rsidRPr="00C264CF">
        <w:rPr>
          <w:sz w:val="16"/>
        </w:rPr>
        <w:t>Safeguards are methodological priorities derived from the reviewed evidence; they are not a regulatory checklist.</w:t>
      </w:r>
    </w:p>
    <w:p w14:paraId="3E71CAEA" w14:textId="77777777" w:rsidR="00805D42" w:rsidRPr="00C264CF" w:rsidRDefault="00000000">
      <w:pPr>
        <w:pStyle w:val="Heading1"/>
        <w:rPr>
          <w:color w:val="auto"/>
        </w:rPr>
      </w:pPr>
      <w:r w:rsidRPr="00C264CF">
        <w:rPr>
          <w:color w:val="auto"/>
        </w:rPr>
        <w:t>7. Translational Pathology: Where Virtual Spatial Omics Could Add Value—and Where It Should Not</w:t>
      </w:r>
    </w:p>
    <w:p w14:paraId="2E8244FB" w14:textId="77777777" w:rsidR="00805D42" w:rsidRPr="00C264CF" w:rsidRDefault="00000000">
      <w:r w:rsidRPr="00C264CF">
        <w:t>The translational attraction of image-derived spatial molecular maps is straightforward: H&amp;E slides are already generated at enormous scale, whereas spatial omics remains expensive, tissue-consuming and technically demanding. If a validated model could recover a clinically relevant spatial signature from routine histology, it could extend molecularly informed tissue analysis to archival material and to cohorts for which spatial assays are infeasible. Yet this economic logic should not be confused with evidential equivalence. A predicted map is a model output conditioned on morphology; a spatial-omics measurement is an experimental observation with its own measurement error. The two may be highly concordant for selected signals without being interchangeable. Clinical value therefore depends on whether the prediction is sufficiently accurate for a defined decision, not on whether the output resembles an omics heat map.</w:t>
      </w:r>
    </w:p>
    <w:p w14:paraId="569D2015" w14:textId="77777777" w:rsidR="00805D42" w:rsidRPr="00C264CF" w:rsidRDefault="00000000">
      <w:r w:rsidRPr="00C264CF">
        <w:t>The most defensible near-term use is discovery and cohort-scale phenotyping. Large retrospective H&amp;E archives can be screened to identify candidate regions, tissue architectures or molecularly associated phenotypes, after which a smaller, strategically selected subset can undergo spatial transcriptomic or proteomic profiling. This design reverses the usual cost structure: rather than applying spatial omics broadly and analysing morphology afterwards, morphology becomes a sampling instrument for molecular experimentation. Foundation models may strengthen this workflow by providing robust tissue representations across large image collections, while spatial omics supplies mechanistic labels for focused validation (Chen et al., 2024; Lu et al., 2024; Xu et al., 2024). The resulting value lies in prioritisation and hypothesis generation rather than replacement of measurement.</w:t>
      </w:r>
    </w:p>
    <w:p w14:paraId="64E4A9BB" w14:textId="77777777" w:rsidR="00805D42" w:rsidRPr="00C264CF" w:rsidRDefault="00000000">
      <w:r w:rsidRPr="00C264CF">
        <w:t xml:space="preserve">A second plausible use is computational enrichment of clinical-trial and translational-research cohorts. Many trials possess digitised H&amp;E but have limited residual tissue or incomplete molecular profiling. Image </w:t>
      </w:r>
      <w:r w:rsidRPr="00C264CF">
        <w:lastRenderedPageBreak/>
        <w:t>models could estimate spatially organised immune, stromal or proliferative phenotypes across all cases, enabling investigators to test whether a spatially validated morphology signature associates with treatment response or prognosis. Kulkarni et al. (2026) exemplify this logic by identifying outcome-associated morphology and then using spatial transcriptomics to investigate molecular programmes linked to that morphology. The important methodological sequence is independent outcome discovery, spatial molecular anchoring and external validation. If the same small spatial dataset is used both to discover and to validate the signature, the apparent mechanistic explanation can be circular.</w:t>
      </w:r>
    </w:p>
    <w:p w14:paraId="33505E8D" w14:textId="77777777" w:rsidR="00805D42" w:rsidRPr="00C264CF" w:rsidRDefault="00000000">
      <w:r w:rsidRPr="00C264CF">
        <w:t>A third use is quality control and target selection for expensive assays. Models that identify regions predicted to contain high immune activity, rare cellular niches, invasive fronts or heterogeneous tumour programmes could guide region-of-interest selection for multiplexed imaging, laser-capture microdissection or targeted spatial sequencing. This use does not require every predicted gene to be quantitatively exact. It requires high sensitivity and spatial localisation for the biological state that determines sampling. Because pathology specimens frequently contain necrosis, cautery, folds, sparse tumour or abundant benign tissue, image-guided sampling can also reduce the risk that molecular assays are spent on uninformative regions. The model must nevertheless disclose uncertainty so that rare or visually atypical biology is not systematically excluded from downstream measurement.</w:t>
      </w:r>
    </w:p>
    <w:p w14:paraId="2D48051D" w14:textId="77777777" w:rsidR="00805D42" w:rsidRPr="00C264CF" w:rsidRDefault="00000000">
      <w:r w:rsidRPr="00C264CF">
        <w:t>The case for direct diagnostic substitution is much weaker. Whole-slide AI has shown that clinically relevant tasks can be performed with strong internal and external performance when the target is well defined, as demonstrated by weakly supervised diagnostic classification and selected molecular-biomarker prediction studies (Campanella et al., 2019; Coudray et al., 2018; Kather et al., 2019). Spatial gene-expression prediction introduces an additional layer of uncertainty because the target is high-dimensional, spatially dependent and frequently measured in small cohorts. The 2025 benchmarking study by Wang et al. found substantial variation across genes, datasets and evaluation settings, while MISO showed meaningful out-of-domain degradation that improved when image-resolution conditions were better matched (Schmauch et al., 2025; Wang et al., 2025). These results argue against treating a broad virtual transcriptomic profile as a drop-in clinical assay.</w:t>
      </w:r>
    </w:p>
    <w:p w14:paraId="3EF904B9" w14:textId="77777777" w:rsidR="00805D42" w:rsidRPr="00C264CF" w:rsidRDefault="00000000">
      <w:r w:rsidRPr="00C264CF">
        <w:t>A more realistic clinical design is confirmatory triage. An H&amp;E model could flag a specimen or region as having a high probability of a spatially organised molecular phenotype and trigger an orthogonal test when the result would alter management. This architecture is analogous to screening rather than definitive diagnosis. Its acceptability depends on the consequences of false negatives and false positives, the availability of confirmatory testing and whether the predicted phenotype is stable across tissue processing and patient populations. For a high-stakes biomarker, the key performance measure is not merely correlation with spatial expression but the error rate around the clinical decision threshold, including uncertainty and calibration. Current spatial-expression literature rarely reaches that evidential level.</w:t>
      </w:r>
    </w:p>
    <w:p w14:paraId="72370937" w14:textId="77777777" w:rsidR="00805D42" w:rsidRPr="00C264CF" w:rsidRDefault="00000000">
      <w:r w:rsidRPr="00C264CF">
        <w:t xml:space="preserve">Spatially derived signatures may also improve pathology reporting without attempting to name individual genes. Cellular-neighbourhood phenotypes, tumour–immune boundaries and stromal architectures are closer to the visual domain and may prove more stable than transcript-level predictions. </w:t>
      </w:r>
      <w:r w:rsidRPr="00034575">
        <w:rPr>
          <w:lang w:val="nl-BE"/>
        </w:rPr>
        <w:t xml:space="preserve">Keren et al. (2018), Jackson et al. (2020) and Schürch et al. </w:t>
      </w:r>
      <w:r w:rsidRPr="00C264CF">
        <w:t>(2020) showed that multiplexed spatial phenotyping can reveal structured tissue organisations associated with biology and outcome. If image models can reproduce such neighbourhood categories reliably, the output could augment morphometric assessment with interpretable spatial descriptors. This is conceptually different from virtual sequencing: the model predicts an organisational phenotype that has been molecularly characterised, not a complete molecular profile.</w:t>
      </w:r>
    </w:p>
    <w:p w14:paraId="44698548" w14:textId="77777777" w:rsidR="00805D42" w:rsidRPr="00C264CF" w:rsidRDefault="00000000">
      <w:r w:rsidRPr="00C264CF">
        <w:t xml:space="preserve">Archival deployment raises a further opportunity and risk. H&amp;E collections span decades and include rare diseases, unusual treatment contexts and long-term outcomes that are difficult to reconstruct prospectively. Applying a fixed model to such material could create molecularly annotated pseudo-cohorts at unprecedented scale. Yet temporal domain shift may be severe because fixation, staining, scanner hardware </w:t>
      </w:r>
      <w:r w:rsidRPr="00C264CF">
        <w:lastRenderedPageBreak/>
        <w:t>and diagnostic practice change over time. The model may also encounter therapeutic eras or disease states absent from its training data. Archival inference should therefore include explicit out-of-distribution detection, stratification by specimen provenance and targeted re-assaying of representative historical blocks where material is available. Without these controls, scale can magnify systematic error rather than compensate for it.</w:t>
      </w:r>
    </w:p>
    <w:p w14:paraId="1F2AF034" w14:textId="77777777" w:rsidR="00805D42" w:rsidRPr="00C264CF" w:rsidRDefault="00000000">
      <w:r w:rsidRPr="00C264CF">
        <w:t>The pathologist's role is particularly important because tissue context supplies information that a high-dimensional regression score does not. A pathologist can recognise when the model's proposed immune signal is located in ulceration rather than tumour, when a stromal programme corresponds to a desmoplastic interface rather than benign scar, or when tissue artefact makes any inference unreliable. Human review should therefore operate at the level of spatial plausibility, tissue identity and discordance rather than merely accepting or rejecting a scalar score. Visual-language pathology models such as CONCH create possibilities for more natural interaction with image representations, but explanatory fluency must not be mistaken for biological validation (Lu et al., 2024).</w:t>
      </w:r>
    </w:p>
    <w:p w14:paraId="4D4DB496" w14:textId="77777777" w:rsidR="00805D42" w:rsidRPr="00C264CF" w:rsidRDefault="00000000">
      <w:r w:rsidRPr="00C264CF">
        <w:t>A clinically useful interface should expose three kinds of information together: the predicted spatial phenotype, its uncertainty and the evidential basis for interpretation. For example, a region could be marked as highly consistent with a lymphoid-rich expression programme, accompanied by uncertainty derived from model ensembles or conformal procedures and by retrieval of morphologically similar regions whose spatial assays were actually measured. This combination would allow the pathologist to distinguish interpolation within familiar morphology from extrapolation into a poorly supported domain. Static heat maps without uncertainty are inadequate because they conceal precisely the cases in which molecular-looking output is least trustworthy.</w:t>
      </w:r>
    </w:p>
    <w:p w14:paraId="3915B316" w14:textId="77777777" w:rsidR="00805D42" w:rsidRPr="00C264CF" w:rsidRDefault="00000000">
      <w:r w:rsidRPr="00C264CF">
        <w:t>Integration into laboratory workflow also requires attention to pre-analytical provenance. A model validated on frozen H&amp;E at a specific magnification cannot be assumed to transfer to formalin-fixed paraffin-embedded sections, cytology preparations or differently scanned slides. Likewise, a spatial signature learnt from resection material may fail on small biopsies because the neighbourhood context is truncated. The translational unit of validation should therefore match the intended specimen pathway: tissue type, fixation, section preparation, scanner, magnification and clinical sampling context. Large pathology foundation models reduce the cost of adaptation, but they do not remove the need for task-specific analytical validation.</w:t>
      </w:r>
    </w:p>
    <w:p w14:paraId="10842F9B" w14:textId="77777777" w:rsidR="00805D42" w:rsidRPr="00C264CF" w:rsidRDefault="00000000">
      <w:r w:rsidRPr="00C264CF">
        <w:t>Prospective evaluation is the dividing line between a compelling retrospective biomarker and a clinical tool. A deployment study should specify the intended user, decision point, reference standard, failure policy and action taken when model confidence is low. It should measure not only model accuracy but also whether the spatial prediction changes region selection, test ordering, turnaround, diagnostic agreement or patient management. Because a predicted spatial signature may be valuable even when imperfect, the relevant question is incremental utility over current pathology and available molecular tests. Such evidence remains limited, which is why present claims should centre on research enablement and assisted interpretation rather than autonomous molecular diagnosis.</w:t>
      </w:r>
    </w:p>
    <w:p w14:paraId="3A231444" w14:textId="77777777" w:rsidR="00805D42" w:rsidRPr="00C264CF" w:rsidRDefault="00000000">
      <w:r w:rsidRPr="00C264CF">
        <w:t>Table 5 presents a translational-readiness framework derived from the evidence reviewed here. The stages deliberately separate biological discovery from analytical and clinical validation. Progression should depend on independent evidence at each stage, because visually plausible maps and strong retrospective correlations are insufficient for decision-grade use.</w:t>
      </w:r>
    </w:p>
    <w:p w14:paraId="6ECD4F10" w14:textId="77777777" w:rsidR="00805D42" w:rsidRPr="00C264CF" w:rsidRDefault="00000000">
      <w:pPr>
        <w:keepNext/>
        <w:spacing w:before="160" w:after="20"/>
      </w:pPr>
      <w:r w:rsidRPr="00C264CF">
        <w:rPr>
          <w:b/>
          <w:sz w:val="18"/>
        </w:rPr>
        <w:t>Table 5</w:t>
      </w:r>
    </w:p>
    <w:p w14:paraId="555F1B43" w14:textId="77777777" w:rsidR="00805D42" w:rsidRPr="00C264CF" w:rsidRDefault="00000000">
      <w:pPr>
        <w:keepNext/>
        <w:spacing w:after="80"/>
      </w:pPr>
      <w:r w:rsidRPr="00C264CF">
        <w:rPr>
          <w:i/>
          <w:sz w:val="18"/>
        </w:rPr>
        <w:t>Translational-readiness framework for AI-derived spatial molecular signatures</w:t>
      </w:r>
    </w:p>
    <w:tbl>
      <w:tblPr>
        <w:tblStyle w:val="TableGrid"/>
        <w:tblW w:w="0" w:type="auto"/>
        <w:jc w:val="center"/>
        <w:tblLayout w:type="fixed"/>
        <w:tblLook w:val="04A0" w:firstRow="1" w:lastRow="0" w:firstColumn="1" w:lastColumn="0" w:noHBand="0" w:noVBand="1"/>
      </w:tblPr>
      <w:tblGrid>
        <w:gridCol w:w="1483"/>
        <w:gridCol w:w="2088"/>
        <w:gridCol w:w="1757"/>
        <w:gridCol w:w="2045"/>
        <w:gridCol w:w="1915"/>
      </w:tblGrid>
      <w:tr w:rsidR="00C264CF" w:rsidRPr="00C264CF" w14:paraId="2A5E40EB" w14:textId="77777777">
        <w:trPr>
          <w:tblHeader/>
          <w:jc w:val="center"/>
        </w:trPr>
        <w:tc>
          <w:tcPr>
            <w:tcW w:w="1483" w:type="dxa"/>
            <w:shd w:val="clear" w:color="auto" w:fill="D9E2F3"/>
            <w:tcMar>
              <w:top w:w="80" w:type="dxa"/>
              <w:left w:w="90" w:type="dxa"/>
              <w:bottom w:w="80" w:type="dxa"/>
              <w:right w:w="90" w:type="dxa"/>
            </w:tcMar>
            <w:vAlign w:val="center"/>
          </w:tcPr>
          <w:p w14:paraId="3CA5BC52" w14:textId="77777777" w:rsidR="00805D42" w:rsidRPr="00C264CF" w:rsidRDefault="00000000">
            <w:pPr>
              <w:spacing w:before="20" w:after="20" w:line="240" w:lineRule="auto"/>
              <w:jc w:val="center"/>
            </w:pPr>
            <w:r w:rsidRPr="00C264CF">
              <w:rPr>
                <w:b/>
                <w:sz w:val="15"/>
              </w:rPr>
              <w:t>Stage</w:t>
            </w:r>
          </w:p>
        </w:tc>
        <w:tc>
          <w:tcPr>
            <w:tcW w:w="2088" w:type="dxa"/>
            <w:shd w:val="clear" w:color="auto" w:fill="D9E2F3"/>
            <w:tcMar>
              <w:top w:w="80" w:type="dxa"/>
              <w:left w:w="90" w:type="dxa"/>
              <w:bottom w:w="80" w:type="dxa"/>
              <w:right w:w="90" w:type="dxa"/>
            </w:tcMar>
            <w:vAlign w:val="center"/>
          </w:tcPr>
          <w:p w14:paraId="3D366D9B" w14:textId="77777777" w:rsidR="00805D42" w:rsidRPr="00C264CF" w:rsidRDefault="00000000">
            <w:pPr>
              <w:spacing w:before="20" w:after="20" w:line="240" w:lineRule="auto"/>
              <w:jc w:val="center"/>
            </w:pPr>
            <w:r w:rsidRPr="00C264CF">
              <w:rPr>
                <w:b/>
                <w:sz w:val="15"/>
              </w:rPr>
              <w:t>Minimum supporting evidence</w:t>
            </w:r>
          </w:p>
        </w:tc>
        <w:tc>
          <w:tcPr>
            <w:tcW w:w="1757" w:type="dxa"/>
            <w:shd w:val="clear" w:color="auto" w:fill="D9E2F3"/>
            <w:tcMar>
              <w:top w:w="80" w:type="dxa"/>
              <w:left w:w="90" w:type="dxa"/>
              <w:bottom w:w="80" w:type="dxa"/>
              <w:right w:w="90" w:type="dxa"/>
            </w:tcMar>
            <w:vAlign w:val="center"/>
          </w:tcPr>
          <w:p w14:paraId="6C17A8A6" w14:textId="77777777" w:rsidR="00805D42" w:rsidRPr="00C264CF" w:rsidRDefault="00000000">
            <w:pPr>
              <w:spacing w:before="20" w:after="20" w:line="240" w:lineRule="auto"/>
              <w:jc w:val="center"/>
            </w:pPr>
            <w:r w:rsidRPr="00C264CF">
              <w:rPr>
                <w:b/>
                <w:sz w:val="15"/>
              </w:rPr>
              <w:t>Appropriate use</w:t>
            </w:r>
          </w:p>
        </w:tc>
        <w:tc>
          <w:tcPr>
            <w:tcW w:w="2045" w:type="dxa"/>
            <w:shd w:val="clear" w:color="auto" w:fill="D9E2F3"/>
            <w:tcMar>
              <w:top w:w="80" w:type="dxa"/>
              <w:left w:w="90" w:type="dxa"/>
              <w:bottom w:w="80" w:type="dxa"/>
              <w:right w:w="90" w:type="dxa"/>
            </w:tcMar>
            <w:vAlign w:val="center"/>
          </w:tcPr>
          <w:p w14:paraId="62ADE43C" w14:textId="77777777" w:rsidR="00805D42" w:rsidRPr="00C264CF" w:rsidRDefault="00000000">
            <w:pPr>
              <w:spacing w:before="20" w:after="20" w:line="240" w:lineRule="auto"/>
              <w:jc w:val="center"/>
            </w:pPr>
            <w:r w:rsidRPr="00C264CF">
              <w:rPr>
                <w:b/>
                <w:sz w:val="15"/>
              </w:rPr>
              <w:t>What remains insufficient</w:t>
            </w:r>
          </w:p>
        </w:tc>
        <w:tc>
          <w:tcPr>
            <w:tcW w:w="1915" w:type="dxa"/>
            <w:shd w:val="clear" w:color="auto" w:fill="D9E2F3"/>
            <w:tcMar>
              <w:top w:w="80" w:type="dxa"/>
              <w:left w:w="90" w:type="dxa"/>
              <w:bottom w:w="80" w:type="dxa"/>
              <w:right w:w="90" w:type="dxa"/>
            </w:tcMar>
            <w:vAlign w:val="center"/>
          </w:tcPr>
          <w:p w14:paraId="4419BC6B" w14:textId="77777777" w:rsidR="00805D42" w:rsidRPr="00C264CF" w:rsidRDefault="00000000">
            <w:pPr>
              <w:spacing w:before="20" w:after="20" w:line="240" w:lineRule="auto"/>
              <w:jc w:val="center"/>
            </w:pPr>
            <w:r w:rsidRPr="00C264CF">
              <w:rPr>
                <w:b/>
                <w:sz w:val="15"/>
              </w:rPr>
              <w:t>Supporting references</w:t>
            </w:r>
          </w:p>
        </w:tc>
      </w:tr>
      <w:tr w:rsidR="00C264CF" w:rsidRPr="00034575" w14:paraId="7639DD8D" w14:textId="77777777">
        <w:trPr>
          <w:cantSplit/>
          <w:jc w:val="center"/>
        </w:trPr>
        <w:tc>
          <w:tcPr>
            <w:tcW w:w="1483" w:type="dxa"/>
            <w:tcMar>
              <w:top w:w="75" w:type="dxa"/>
              <w:left w:w="85" w:type="dxa"/>
              <w:bottom w:w="75" w:type="dxa"/>
              <w:right w:w="85" w:type="dxa"/>
            </w:tcMar>
            <w:vAlign w:val="center"/>
          </w:tcPr>
          <w:p w14:paraId="7CED4E5C" w14:textId="77777777" w:rsidR="00805D42" w:rsidRPr="00C264CF" w:rsidRDefault="00000000">
            <w:pPr>
              <w:spacing w:after="0" w:line="240" w:lineRule="auto"/>
              <w:jc w:val="left"/>
            </w:pPr>
            <w:r w:rsidRPr="00C264CF">
              <w:rPr>
                <w:sz w:val="14"/>
              </w:rPr>
              <w:lastRenderedPageBreak/>
              <w:t>Biological discovery</w:t>
            </w:r>
          </w:p>
        </w:tc>
        <w:tc>
          <w:tcPr>
            <w:tcW w:w="2088" w:type="dxa"/>
            <w:tcMar>
              <w:top w:w="75" w:type="dxa"/>
              <w:left w:w="85" w:type="dxa"/>
              <w:bottom w:w="75" w:type="dxa"/>
              <w:right w:w="85" w:type="dxa"/>
            </w:tcMar>
            <w:vAlign w:val="center"/>
          </w:tcPr>
          <w:p w14:paraId="36E41B34" w14:textId="77777777" w:rsidR="00805D42" w:rsidRPr="00C264CF" w:rsidRDefault="00000000">
            <w:pPr>
              <w:spacing w:after="0" w:line="240" w:lineRule="auto"/>
              <w:jc w:val="left"/>
            </w:pPr>
            <w:r w:rsidRPr="00C264CF">
              <w:rPr>
                <w:sz w:val="14"/>
              </w:rPr>
              <w:t>Co-registered morphology and spatial molecular association with coherent tissue localisation</w:t>
            </w:r>
          </w:p>
        </w:tc>
        <w:tc>
          <w:tcPr>
            <w:tcW w:w="1757" w:type="dxa"/>
            <w:tcMar>
              <w:top w:w="75" w:type="dxa"/>
              <w:left w:w="85" w:type="dxa"/>
              <w:bottom w:w="75" w:type="dxa"/>
              <w:right w:w="85" w:type="dxa"/>
            </w:tcMar>
            <w:vAlign w:val="center"/>
          </w:tcPr>
          <w:p w14:paraId="67F4766D" w14:textId="77777777" w:rsidR="00805D42" w:rsidRPr="00C264CF" w:rsidRDefault="00000000">
            <w:pPr>
              <w:spacing w:after="0" w:line="240" w:lineRule="auto"/>
              <w:jc w:val="left"/>
            </w:pPr>
            <w:r w:rsidRPr="00C264CF">
              <w:rPr>
                <w:sz w:val="14"/>
              </w:rPr>
              <w:t>Hypothesis generation and candidate signature discovery</w:t>
            </w:r>
          </w:p>
        </w:tc>
        <w:tc>
          <w:tcPr>
            <w:tcW w:w="2045" w:type="dxa"/>
            <w:tcMar>
              <w:top w:w="75" w:type="dxa"/>
              <w:left w:w="85" w:type="dxa"/>
              <w:bottom w:w="75" w:type="dxa"/>
              <w:right w:w="85" w:type="dxa"/>
            </w:tcMar>
            <w:vAlign w:val="center"/>
          </w:tcPr>
          <w:p w14:paraId="287019F4" w14:textId="77777777" w:rsidR="00805D42" w:rsidRPr="00C264CF" w:rsidRDefault="00000000">
            <w:pPr>
              <w:spacing w:after="0" w:line="240" w:lineRule="auto"/>
              <w:jc w:val="left"/>
            </w:pPr>
            <w:r w:rsidRPr="00C264CF">
              <w:rPr>
                <w:sz w:val="14"/>
              </w:rPr>
              <w:t>Same-cohort association alone does not establish transferability or mechanism</w:t>
            </w:r>
          </w:p>
        </w:tc>
        <w:tc>
          <w:tcPr>
            <w:tcW w:w="1915" w:type="dxa"/>
            <w:tcMar>
              <w:top w:w="75" w:type="dxa"/>
              <w:left w:w="85" w:type="dxa"/>
              <w:bottom w:w="75" w:type="dxa"/>
              <w:right w:w="85" w:type="dxa"/>
            </w:tcMar>
            <w:vAlign w:val="center"/>
          </w:tcPr>
          <w:p w14:paraId="6FA05DC2" w14:textId="77777777" w:rsidR="00805D42" w:rsidRPr="00034575" w:rsidRDefault="00000000">
            <w:pPr>
              <w:spacing w:after="0" w:line="240" w:lineRule="auto"/>
              <w:jc w:val="left"/>
              <w:rPr>
                <w:lang w:val="nl-BE"/>
              </w:rPr>
            </w:pPr>
            <w:r w:rsidRPr="00034575">
              <w:rPr>
                <w:sz w:val="14"/>
                <w:lang w:val="nl-BE"/>
              </w:rPr>
              <w:t>(Hu et al., 2021; Jiang et al., 2024); (Kulkarni et al., 2026)</w:t>
            </w:r>
          </w:p>
        </w:tc>
      </w:tr>
      <w:tr w:rsidR="00C264CF" w:rsidRPr="00034575" w14:paraId="6B914B3F" w14:textId="77777777">
        <w:trPr>
          <w:cantSplit/>
          <w:jc w:val="center"/>
        </w:trPr>
        <w:tc>
          <w:tcPr>
            <w:tcW w:w="1483" w:type="dxa"/>
            <w:shd w:val="clear" w:color="auto" w:fill="F7F9FC"/>
            <w:tcMar>
              <w:top w:w="75" w:type="dxa"/>
              <w:left w:w="85" w:type="dxa"/>
              <w:bottom w:w="75" w:type="dxa"/>
              <w:right w:w="85" w:type="dxa"/>
            </w:tcMar>
            <w:vAlign w:val="center"/>
          </w:tcPr>
          <w:p w14:paraId="24F550A7" w14:textId="77777777" w:rsidR="00805D42" w:rsidRPr="00C264CF" w:rsidRDefault="00000000">
            <w:pPr>
              <w:spacing w:after="0" w:line="240" w:lineRule="auto"/>
              <w:jc w:val="left"/>
            </w:pPr>
            <w:r w:rsidRPr="00C264CF">
              <w:rPr>
                <w:sz w:val="14"/>
              </w:rPr>
              <w:t>Analytical validation</w:t>
            </w:r>
          </w:p>
        </w:tc>
        <w:tc>
          <w:tcPr>
            <w:tcW w:w="2088" w:type="dxa"/>
            <w:shd w:val="clear" w:color="auto" w:fill="F7F9FC"/>
            <w:tcMar>
              <w:top w:w="75" w:type="dxa"/>
              <w:left w:w="85" w:type="dxa"/>
              <w:bottom w:w="75" w:type="dxa"/>
              <w:right w:w="85" w:type="dxa"/>
            </w:tcMar>
            <w:vAlign w:val="center"/>
          </w:tcPr>
          <w:p w14:paraId="7223D5D4" w14:textId="77777777" w:rsidR="00805D42" w:rsidRPr="00C264CF" w:rsidRDefault="00000000">
            <w:pPr>
              <w:spacing w:after="0" w:line="240" w:lineRule="auto"/>
              <w:jc w:val="left"/>
            </w:pPr>
            <w:r w:rsidRPr="00C264CF">
              <w:rPr>
                <w:sz w:val="14"/>
              </w:rPr>
              <w:t>Patient-independent testing, explicit assay resolution, registration quality and uncertainty analysis</w:t>
            </w:r>
          </w:p>
        </w:tc>
        <w:tc>
          <w:tcPr>
            <w:tcW w:w="1757" w:type="dxa"/>
            <w:shd w:val="clear" w:color="auto" w:fill="F7F9FC"/>
            <w:tcMar>
              <w:top w:w="75" w:type="dxa"/>
              <w:left w:w="85" w:type="dxa"/>
              <w:bottom w:w="75" w:type="dxa"/>
              <w:right w:w="85" w:type="dxa"/>
            </w:tcMar>
            <w:vAlign w:val="center"/>
          </w:tcPr>
          <w:p w14:paraId="63CF2AF0" w14:textId="77777777" w:rsidR="00805D42" w:rsidRPr="00C264CF" w:rsidRDefault="00000000">
            <w:pPr>
              <w:spacing w:after="0" w:line="240" w:lineRule="auto"/>
              <w:jc w:val="left"/>
            </w:pPr>
            <w:r w:rsidRPr="00C264CF">
              <w:rPr>
                <w:sz w:val="14"/>
              </w:rPr>
              <w:t>Research-grade prediction in matched specimen conditions</w:t>
            </w:r>
          </w:p>
        </w:tc>
        <w:tc>
          <w:tcPr>
            <w:tcW w:w="2045" w:type="dxa"/>
            <w:shd w:val="clear" w:color="auto" w:fill="F7F9FC"/>
            <w:tcMar>
              <w:top w:w="75" w:type="dxa"/>
              <w:left w:w="85" w:type="dxa"/>
              <w:bottom w:w="75" w:type="dxa"/>
              <w:right w:w="85" w:type="dxa"/>
            </w:tcMar>
            <w:vAlign w:val="center"/>
          </w:tcPr>
          <w:p w14:paraId="1DAF1C05" w14:textId="77777777" w:rsidR="00805D42" w:rsidRPr="00C264CF" w:rsidRDefault="00000000">
            <w:pPr>
              <w:spacing w:after="0" w:line="240" w:lineRule="auto"/>
              <w:jc w:val="left"/>
            </w:pPr>
            <w:r w:rsidRPr="00C264CF">
              <w:rPr>
                <w:sz w:val="14"/>
              </w:rPr>
              <w:t>Spot-level correlation alone does not establish cellular accuracy</w:t>
            </w:r>
          </w:p>
        </w:tc>
        <w:tc>
          <w:tcPr>
            <w:tcW w:w="1915" w:type="dxa"/>
            <w:shd w:val="clear" w:color="auto" w:fill="F7F9FC"/>
            <w:tcMar>
              <w:top w:w="75" w:type="dxa"/>
              <w:left w:w="85" w:type="dxa"/>
              <w:bottom w:w="75" w:type="dxa"/>
              <w:right w:w="85" w:type="dxa"/>
            </w:tcMar>
            <w:vAlign w:val="center"/>
          </w:tcPr>
          <w:p w14:paraId="61D2B5B2" w14:textId="77777777" w:rsidR="00805D42" w:rsidRPr="00034575" w:rsidRDefault="00000000">
            <w:pPr>
              <w:spacing w:after="0" w:line="240" w:lineRule="auto"/>
              <w:jc w:val="left"/>
              <w:rPr>
                <w:lang w:val="nl-BE"/>
              </w:rPr>
            </w:pPr>
            <w:r w:rsidRPr="00034575">
              <w:rPr>
                <w:sz w:val="14"/>
                <w:lang w:val="nl-BE"/>
              </w:rPr>
              <w:t>(Fu et al., 2025; Wang et al., 2025)</w:t>
            </w:r>
          </w:p>
        </w:tc>
      </w:tr>
      <w:tr w:rsidR="00C264CF" w:rsidRPr="00034575" w14:paraId="0FBB2F80" w14:textId="77777777">
        <w:trPr>
          <w:cantSplit/>
          <w:jc w:val="center"/>
        </w:trPr>
        <w:tc>
          <w:tcPr>
            <w:tcW w:w="1483" w:type="dxa"/>
            <w:tcMar>
              <w:top w:w="75" w:type="dxa"/>
              <w:left w:w="85" w:type="dxa"/>
              <w:bottom w:w="75" w:type="dxa"/>
              <w:right w:w="85" w:type="dxa"/>
            </w:tcMar>
            <w:vAlign w:val="center"/>
          </w:tcPr>
          <w:p w14:paraId="4000AB12" w14:textId="77777777" w:rsidR="00805D42" w:rsidRPr="00C264CF" w:rsidRDefault="00000000">
            <w:pPr>
              <w:spacing w:after="0" w:line="240" w:lineRule="auto"/>
              <w:jc w:val="left"/>
            </w:pPr>
            <w:r w:rsidRPr="00C264CF">
              <w:rPr>
                <w:sz w:val="14"/>
              </w:rPr>
              <w:t>External validation</w:t>
            </w:r>
          </w:p>
        </w:tc>
        <w:tc>
          <w:tcPr>
            <w:tcW w:w="2088" w:type="dxa"/>
            <w:tcMar>
              <w:top w:w="75" w:type="dxa"/>
              <w:left w:w="85" w:type="dxa"/>
              <w:bottom w:w="75" w:type="dxa"/>
              <w:right w:w="85" w:type="dxa"/>
            </w:tcMar>
            <w:vAlign w:val="center"/>
          </w:tcPr>
          <w:p w14:paraId="74AF9CB0" w14:textId="77777777" w:rsidR="00805D42" w:rsidRPr="00C264CF" w:rsidRDefault="00000000">
            <w:pPr>
              <w:spacing w:after="0" w:line="240" w:lineRule="auto"/>
              <w:jc w:val="left"/>
            </w:pPr>
            <w:r w:rsidRPr="00C264CF">
              <w:rPr>
                <w:sz w:val="14"/>
              </w:rPr>
              <w:t>Independent institution or acquisition domain with prespecified targets and failure analysis</w:t>
            </w:r>
          </w:p>
        </w:tc>
        <w:tc>
          <w:tcPr>
            <w:tcW w:w="1757" w:type="dxa"/>
            <w:tcMar>
              <w:top w:w="75" w:type="dxa"/>
              <w:left w:w="85" w:type="dxa"/>
              <w:bottom w:w="75" w:type="dxa"/>
              <w:right w:w="85" w:type="dxa"/>
            </w:tcMar>
            <w:vAlign w:val="center"/>
          </w:tcPr>
          <w:p w14:paraId="101B1343" w14:textId="77777777" w:rsidR="00805D42" w:rsidRPr="00C264CF" w:rsidRDefault="00000000">
            <w:pPr>
              <w:spacing w:after="0" w:line="240" w:lineRule="auto"/>
              <w:jc w:val="left"/>
            </w:pPr>
            <w:r w:rsidRPr="00C264CF">
              <w:rPr>
                <w:sz w:val="14"/>
              </w:rPr>
              <w:t>Cohort enrichment, region selection and retrospective translational studies</w:t>
            </w:r>
          </w:p>
        </w:tc>
        <w:tc>
          <w:tcPr>
            <w:tcW w:w="2045" w:type="dxa"/>
            <w:tcMar>
              <w:top w:w="75" w:type="dxa"/>
              <w:left w:w="85" w:type="dxa"/>
              <w:bottom w:w="75" w:type="dxa"/>
              <w:right w:w="85" w:type="dxa"/>
            </w:tcMar>
            <w:vAlign w:val="center"/>
          </w:tcPr>
          <w:p w14:paraId="79BEA69C" w14:textId="77777777" w:rsidR="00805D42" w:rsidRPr="00C264CF" w:rsidRDefault="00000000">
            <w:pPr>
              <w:spacing w:after="0" w:line="240" w:lineRule="auto"/>
              <w:jc w:val="left"/>
            </w:pPr>
            <w:r w:rsidRPr="00C264CF">
              <w:rPr>
                <w:sz w:val="14"/>
              </w:rPr>
              <w:t>Generalisation cannot be inferred from internal cross-validation</w:t>
            </w:r>
          </w:p>
        </w:tc>
        <w:tc>
          <w:tcPr>
            <w:tcW w:w="1915" w:type="dxa"/>
            <w:tcMar>
              <w:top w:w="75" w:type="dxa"/>
              <w:left w:w="85" w:type="dxa"/>
              <w:bottom w:w="75" w:type="dxa"/>
              <w:right w:w="85" w:type="dxa"/>
            </w:tcMar>
            <w:vAlign w:val="center"/>
          </w:tcPr>
          <w:p w14:paraId="220AB47F" w14:textId="77777777" w:rsidR="00805D42" w:rsidRPr="00034575" w:rsidRDefault="00000000">
            <w:pPr>
              <w:spacing w:after="0" w:line="240" w:lineRule="auto"/>
              <w:jc w:val="left"/>
              <w:rPr>
                <w:lang w:val="nl-BE"/>
              </w:rPr>
            </w:pPr>
            <w:r w:rsidRPr="00034575">
              <w:rPr>
                <w:sz w:val="14"/>
                <w:lang w:val="nl-BE"/>
              </w:rPr>
              <w:t>(Schmauch et al., 2025; Wang et al., 2025)</w:t>
            </w:r>
          </w:p>
        </w:tc>
      </w:tr>
      <w:tr w:rsidR="00C264CF" w:rsidRPr="00034575" w14:paraId="348BAF32" w14:textId="77777777">
        <w:trPr>
          <w:cantSplit/>
          <w:jc w:val="center"/>
        </w:trPr>
        <w:tc>
          <w:tcPr>
            <w:tcW w:w="1483" w:type="dxa"/>
            <w:shd w:val="clear" w:color="auto" w:fill="F7F9FC"/>
            <w:tcMar>
              <w:top w:w="75" w:type="dxa"/>
              <w:left w:w="85" w:type="dxa"/>
              <w:bottom w:w="75" w:type="dxa"/>
              <w:right w:w="85" w:type="dxa"/>
            </w:tcMar>
            <w:vAlign w:val="center"/>
          </w:tcPr>
          <w:p w14:paraId="1B1A004B" w14:textId="77777777" w:rsidR="00805D42" w:rsidRPr="00C264CF" w:rsidRDefault="00000000">
            <w:pPr>
              <w:spacing w:after="0" w:line="240" w:lineRule="auto"/>
              <w:jc w:val="left"/>
            </w:pPr>
            <w:r w:rsidRPr="00C264CF">
              <w:rPr>
                <w:sz w:val="14"/>
              </w:rPr>
              <w:t>Clinically assisted prospective evaluation</w:t>
            </w:r>
          </w:p>
        </w:tc>
        <w:tc>
          <w:tcPr>
            <w:tcW w:w="2088" w:type="dxa"/>
            <w:shd w:val="clear" w:color="auto" w:fill="F7F9FC"/>
            <w:tcMar>
              <w:top w:w="75" w:type="dxa"/>
              <w:left w:w="85" w:type="dxa"/>
              <w:bottom w:w="75" w:type="dxa"/>
              <w:right w:w="85" w:type="dxa"/>
            </w:tcMar>
            <w:vAlign w:val="center"/>
          </w:tcPr>
          <w:p w14:paraId="4F89F8F7" w14:textId="77777777" w:rsidR="00805D42" w:rsidRPr="00C264CF" w:rsidRDefault="00000000">
            <w:pPr>
              <w:spacing w:after="0" w:line="240" w:lineRule="auto"/>
              <w:jc w:val="left"/>
            </w:pPr>
            <w:r w:rsidRPr="00C264CF">
              <w:rPr>
                <w:sz w:val="14"/>
              </w:rPr>
              <w:t>Prospective workflow study with intended users, reference testing and abstention rules</w:t>
            </w:r>
          </w:p>
        </w:tc>
        <w:tc>
          <w:tcPr>
            <w:tcW w:w="1757" w:type="dxa"/>
            <w:shd w:val="clear" w:color="auto" w:fill="F7F9FC"/>
            <w:tcMar>
              <w:top w:w="75" w:type="dxa"/>
              <w:left w:w="85" w:type="dxa"/>
              <w:bottom w:w="75" w:type="dxa"/>
              <w:right w:w="85" w:type="dxa"/>
            </w:tcMar>
            <w:vAlign w:val="center"/>
          </w:tcPr>
          <w:p w14:paraId="7B20ECA6" w14:textId="77777777" w:rsidR="00805D42" w:rsidRPr="00C264CF" w:rsidRDefault="00000000">
            <w:pPr>
              <w:spacing w:after="0" w:line="240" w:lineRule="auto"/>
              <w:jc w:val="left"/>
            </w:pPr>
            <w:r w:rsidRPr="00C264CF">
              <w:rPr>
                <w:sz w:val="14"/>
              </w:rPr>
              <w:t>Triage or decision support with orthogonal confirmation</w:t>
            </w:r>
          </w:p>
        </w:tc>
        <w:tc>
          <w:tcPr>
            <w:tcW w:w="2045" w:type="dxa"/>
            <w:shd w:val="clear" w:color="auto" w:fill="F7F9FC"/>
            <w:tcMar>
              <w:top w:w="75" w:type="dxa"/>
              <w:left w:w="85" w:type="dxa"/>
              <w:bottom w:w="75" w:type="dxa"/>
              <w:right w:w="85" w:type="dxa"/>
            </w:tcMar>
            <w:vAlign w:val="center"/>
          </w:tcPr>
          <w:p w14:paraId="3923A31A" w14:textId="77777777" w:rsidR="00805D42" w:rsidRPr="00C264CF" w:rsidRDefault="00000000">
            <w:pPr>
              <w:spacing w:after="0" w:line="240" w:lineRule="auto"/>
              <w:jc w:val="left"/>
            </w:pPr>
            <w:r w:rsidRPr="00C264CF">
              <w:rPr>
                <w:sz w:val="14"/>
              </w:rPr>
              <w:t>Retrospective accuracy does not demonstrate workflow or patient-level benefit</w:t>
            </w:r>
          </w:p>
        </w:tc>
        <w:tc>
          <w:tcPr>
            <w:tcW w:w="1915" w:type="dxa"/>
            <w:shd w:val="clear" w:color="auto" w:fill="F7F9FC"/>
            <w:tcMar>
              <w:top w:w="75" w:type="dxa"/>
              <w:left w:w="85" w:type="dxa"/>
              <w:bottom w:w="75" w:type="dxa"/>
              <w:right w:w="85" w:type="dxa"/>
            </w:tcMar>
            <w:vAlign w:val="center"/>
          </w:tcPr>
          <w:p w14:paraId="2734ED98" w14:textId="77777777" w:rsidR="00805D42" w:rsidRPr="00034575" w:rsidRDefault="00000000">
            <w:pPr>
              <w:spacing w:after="0" w:line="240" w:lineRule="auto"/>
              <w:jc w:val="left"/>
              <w:rPr>
                <w:lang w:val="nl-BE"/>
              </w:rPr>
            </w:pPr>
            <w:r w:rsidRPr="00034575">
              <w:rPr>
                <w:sz w:val="14"/>
                <w:lang w:val="nl-BE"/>
              </w:rPr>
              <w:t>(Campanella et al., 2019; Chen et al., 2024)</w:t>
            </w:r>
          </w:p>
        </w:tc>
      </w:tr>
      <w:tr w:rsidR="00C264CF" w:rsidRPr="00034575" w14:paraId="3BAE8D51" w14:textId="77777777">
        <w:trPr>
          <w:cantSplit/>
          <w:jc w:val="center"/>
        </w:trPr>
        <w:tc>
          <w:tcPr>
            <w:tcW w:w="1483" w:type="dxa"/>
            <w:tcMar>
              <w:top w:w="75" w:type="dxa"/>
              <w:left w:w="85" w:type="dxa"/>
              <w:bottom w:w="75" w:type="dxa"/>
              <w:right w:w="85" w:type="dxa"/>
            </w:tcMar>
            <w:vAlign w:val="center"/>
          </w:tcPr>
          <w:p w14:paraId="6DCCD5DF" w14:textId="77777777" w:rsidR="00805D42" w:rsidRPr="00C264CF" w:rsidRDefault="00000000">
            <w:pPr>
              <w:spacing w:after="0" w:line="240" w:lineRule="auto"/>
              <w:jc w:val="left"/>
            </w:pPr>
            <w:r w:rsidRPr="00C264CF">
              <w:rPr>
                <w:sz w:val="14"/>
              </w:rPr>
              <w:t>Decision-grade use</w:t>
            </w:r>
          </w:p>
        </w:tc>
        <w:tc>
          <w:tcPr>
            <w:tcW w:w="2088" w:type="dxa"/>
            <w:tcMar>
              <w:top w:w="75" w:type="dxa"/>
              <w:left w:w="85" w:type="dxa"/>
              <w:bottom w:w="75" w:type="dxa"/>
              <w:right w:w="85" w:type="dxa"/>
            </w:tcMar>
            <w:vAlign w:val="center"/>
          </w:tcPr>
          <w:p w14:paraId="6635BB81" w14:textId="77777777" w:rsidR="00805D42" w:rsidRPr="00C264CF" w:rsidRDefault="00000000">
            <w:pPr>
              <w:spacing w:after="0" w:line="240" w:lineRule="auto"/>
              <w:jc w:val="left"/>
            </w:pPr>
            <w:r w:rsidRPr="00C264CF">
              <w:rPr>
                <w:sz w:val="14"/>
              </w:rPr>
              <w:t>Robust multi-site validation, calibration at clinical thresholds, monitored failure modes and evidence of incremental utility</w:t>
            </w:r>
          </w:p>
        </w:tc>
        <w:tc>
          <w:tcPr>
            <w:tcW w:w="1757" w:type="dxa"/>
            <w:tcMar>
              <w:top w:w="75" w:type="dxa"/>
              <w:left w:w="85" w:type="dxa"/>
              <w:bottom w:w="75" w:type="dxa"/>
              <w:right w:w="85" w:type="dxa"/>
            </w:tcMar>
            <w:vAlign w:val="center"/>
          </w:tcPr>
          <w:p w14:paraId="3667287E" w14:textId="77777777" w:rsidR="00805D42" w:rsidRPr="00C264CF" w:rsidRDefault="00000000">
            <w:pPr>
              <w:spacing w:after="0" w:line="240" w:lineRule="auto"/>
              <w:jc w:val="left"/>
            </w:pPr>
            <w:r w:rsidRPr="00C264CF">
              <w:rPr>
                <w:sz w:val="14"/>
              </w:rPr>
              <w:t>Defined clinical decision for which predicted information adds value</w:t>
            </w:r>
          </w:p>
        </w:tc>
        <w:tc>
          <w:tcPr>
            <w:tcW w:w="2045" w:type="dxa"/>
            <w:tcMar>
              <w:top w:w="75" w:type="dxa"/>
              <w:left w:w="85" w:type="dxa"/>
              <w:bottom w:w="75" w:type="dxa"/>
              <w:right w:w="85" w:type="dxa"/>
            </w:tcMar>
            <w:vAlign w:val="center"/>
          </w:tcPr>
          <w:p w14:paraId="2E894171" w14:textId="77777777" w:rsidR="00805D42" w:rsidRPr="00C264CF" w:rsidRDefault="00000000">
            <w:pPr>
              <w:spacing w:after="0" w:line="240" w:lineRule="auto"/>
              <w:jc w:val="left"/>
            </w:pPr>
            <w:r w:rsidRPr="00C264CF">
              <w:rPr>
                <w:sz w:val="14"/>
              </w:rPr>
              <w:t>No broad virtual spatial-omics profile should be assumed decision-grade from current benchmark evidence</w:t>
            </w:r>
          </w:p>
        </w:tc>
        <w:tc>
          <w:tcPr>
            <w:tcW w:w="1915" w:type="dxa"/>
            <w:tcMar>
              <w:top w:w="75" w:type="dxa"/>
              <w:left w:w="85" w:type="dxa"/>
              <w:bottom w:w="75" w:type="dxa"/>
              <w:right w:w="85" w:type="dxa"/>
            </w:tcMar>
            <w:vAlign w:val="center"/>
          </w:tcPr>
          <w:p w14:paraId="62A05375" w14:textId="77777777" w:rsidR="00805D42" w:rsidRPr="00034575" w:rsidRDefault="00000000">
            <w:pPr>
              <w:spacing w:after="0" w:line="240" w:lineRule="auto"/>
              <w:jc w:val="left"/>
              <w:rPr>
                <w:lang w:val="nl-BE"/>
              </w:rPr>
            </w:pPr>
            <w:r w:rsidRPr="00034575">
              <w:rPr>
                <w:sz w:val="14"/>
                <w:lang w:val="nl-BE"/>
              </w:rPr>
              <w:t>(Hao et al., 2026; Patel &amp; Klimowicz, 2026; Wang et al., 2025)</w:t>
            </w:r>
          </w:p>
        </w:tc>
      </w:tr>
    </w:tbl>
    <w:p w14:paraId="32701FCA" w14:textId="77777777" w:rsidR="00805D42" w:rsidRPr="00C264CF" w:rsidRDefault="00000000">
      <w:pPr>
        <w:spacing w:before="60" w:after="160"/>
      </w:pPr>
      <w:r w:rsidRPr="00C264CF">
        <w:rPr>
          <w:i/>
          <w:sz w:val="16"/>
        </w:rPr>
        <w:t xml:space="preserve">Note. </w:t>
      </w:r>
      <w:r w:rsidRPr="00C264CF">
        <w:rPr>
          <w:sz w:val="16"/>
        </w:rPr>
        <w:t>This framework is a critical synthesis of the reviewed evidence and is not a formal regulatory pathway. AI, artificial intelligence.</w:t>
      </w:r>
    </w:p>
    <w:p w14:paraId="1280472D" w14:textId="77777777" w:rsidR="00805D42" w:rsidRPr="00C264CF" w:rsidRDefault="00000000">
      <w:pPr>
        <w:pStyle w:val="Heading1"/>
        <w:rPr>
          <w:color w:val="auto"/>
        </w:rPr>
      </w:pPr>
      <w:r w:rsidRPr="00C264CF">
        <w:rPr>
          <w:color w:val="auto"/>
        </w:rPr>
        <w:t>8. Future Directions</w:t>
      </w:r>
    </w:p>
    <w:p w14:paraId="5E374510" w14:textId="77777777" w:rsidR="00805D42" w:rsidRPr="00C264CF" w:rsidRDefault="00000000">
      <w:r w:rsidRPr="00C264CF">
        <w:t>The immediate research priority is to establish what molecular information is identifiable from morphology before competing over increasingly complex architectures. Current benchmarks often treat all genes as equivalent prediction targets even though their morphological penetrance differs markedly. Future studies should define gene- and pathway-specific predictability ceilings using replicate assays, technical noise estimates and cross-modal concordance, then report model performance relative to those ceilings rather than only absolute correlation. The gene-specific upper-bound strategy used by MISO provides a useful direction, but identifiability should be tested independently across tissues and technologies (Schmauch et al., 2025). This would distinguish algorithmic failure from targets that are intrinsically weakly observable in H&amp;E and would prevent misleading claims of transcriptome-wide recoverability.</w:t>
      </w:r>
    </w:p>
    <w:p w14:paraId="09616E1A" w14:textId="77777777" w:rsidR="00805D42" w:rsidRPr="00C264CF" w:rsidRDefault="00000000">
      <w:r w:rsidRPr="00C264CF">
        <w:t>A second immediate priority is to replace spot-level convenience splits with hierarchical external validation. Development cohorts should be separated at patient level, and at least one evaluation cohort should differ in institution or acquisition pathway. When the intended use involves formalin-fixed paraffin-embedded diagnostic slides, validation should include that material rather than relying entirely on frozen-section spatial datasets. Cross-domain experiments should decompose sources of shift by holding biology constant while changing scanner or staining, then by holding acquisition constant while changing patient population, tumour subtype or organ. The degradation documented in recent benchmarking work shows that aggregate external performance is insufficient unless the source of failure is understood (Schmauch et al., 2025; Wang et al., 2025).</w:t>
      </w:r>
    </w:p>
    <w:p w14:paraId="79C99583" w14:textId="77777777" w:rsidR="00805D42" w:rsidRPr="00C264CF" w:rsidRDefault="00000000">
      <w:r w:rsidRPr="00C264CF">
        <w:t>Third, the field needs paired multiscale reference datasets in which morphology, transcriptomics and proteomics are measured at compatible resolutions. Array-based transcriptomics is valuable for discovery but cannot on its own validate claims of single-cell molecular inference. Imaging-based RNA methods and multiplexed protein imaging can provide cell-resolved anchors, while broader sequencing layers define pathways outside targeted panels (Chen et al., 2015; Eng et al., 2019; Goltsev et al., 2018). Carefully registered serial or same-section measurements would allow investigators to quantify how much performance is lost as reference resolution becomes coarser. Such datasets should include repeated sections or technical replicates so registration error and assay noise can be separated from prediction error.</w:t>
      </w:r>
    </w:p>
    <w:p w14:paraId="4579BA07" w14:textId="77777777" w:rsidR="00805D42" w:rsidRPr="00C264CF" w:rsidRDefault="00000000">
      <w:r w:rsidRPr="00C264CF">
        <w:lastRenderedPageBreak/>
        <w:t>Fourth, evaluation should move from average gene-wise correlations towards biological conditionality. Performance should be measured within tumour, stromal, immune and necrotic compartments rather than only across the whole section. A gene predicted well because it differentiates tumour from stroma may have little within-tumour predictive value. Conversely, a modest global correlation could conceal biologically important prediction within a rare niche. Cell-type-conditional metrics, boundary accuracy, neighbourhood classification and pathway-level calibration would better test whether a model captures spatial molecular states rather than tissue composition alone. Spatial negative controls should include morphology-matched regions with divergent measured expression and expression-matched regions with divergent morphology.</w:t>
      </w:r>
    </w:p>
    <w:p w14:paraId="69E266B2" w14:textId="77777777" w:rsidR="00805D42" w:rsidRPr="00C264CF" w:rsidRDefault="00000000">
      <w:r w:rsidRPr="00C264CF">
        <w:t>Fifth, super-resolution prediction requires a dedicated validation doctrine. Models should not be credited with cellular resolution merely because the output grid is cellular. Each claimed scale should be supported by a measurement at that scale, preferably using an assay with orthogonal error structure. If high-resolution ground truth is available only for a subset of genes, evaluation should be restricted to those genes and the remaining output clearly labelled as model-derived extrapolation. GHIST demonstrates how subcellular transcript measurements can strengthen this evidential chain, while iStar illustrates integration of histology with measured spatial transcriptomics for higher-resolution tissue architecture (Fu et al., 2025; Zhang et al., 2024). Future comparisons should quantify the incremental information contributed by the image beyond what can be obtained through spatial interpolation of measured spots.</w:t>
      </w:r>
    </w:p>
    <w:p w14:paraId="2D8AB7CC" w14:textId="77777777" w:rsidR="00805D42" w:rsidRPr="00C264CF" w:rsidRDefault="00000000">
      <w:r w:rsidRPr="00C264CF">
        <w:t>Sixth, uncertainty must become a first-class output. Most current systems generate point estimates, yet uncertainty varies across tissue regions, genes and domains. Models should distinguish aleatoric uncertainty arising from noisy or weakly identifiable targets from epistemic uncertainty caused by unfamiliar morphology or acquisition conditions. Prospective workflows need abstention rules so that the system can decline molecular inference in damaged tissue, rare morphology or out-of-distribution staining. Calibration should be evaluated separately for patients, tissue compartments and clinically relevant thresholds. This is essential if image-derived molecular signatures are to guide confirmatory testing rather than simply visualise research hypotheses.</w:t>
      </w:r>
    </w:p>
    <w:p w14:paraId="3DB9CDA0" w14:textId="77777777" w:rsidR="00805D42" w:rsidRPr="00C264CF" w:rsidRDefault="00000000">
      <w:r w:rsidRPr="00C264CF">
        <w:t>Seventh, foundation models should be evaluated for biological transfer rather than assumed to provide it. Large pathology models have shown broad representation learning across diagnostic tasks, but their pretraining objectives do not guarantee sensitivity to subtle spatial molecular variation (Chen et al., 2024; Xu et al., 2024). Comparative studies should freeze identical spatial-omics heads while varying image backbones, pretraining diversity and magnification to determine which representation properties matter for molecular inference. Multimodal pretraining that directly aligns histology with measured RNA or protein may ultimately be more relevant than scale alone. The 2026 multimodal transformer study supports the promise of explicit image–transcriptome alignment, but wider tissue and institutional validation is needed (Wang et al., 2026).</w:t>
      </w:r>
    </w:p>
    <w:p w14:paraId="1C1235AA" w14:textId="77777777" w:rsidR="00805D42" w:rsidRPr="00C264CF" w:rsidRDefault="00000000">
      <w:r w:rsidRPr="00C264CF">
        <w:t>Eighth, mechanistic claims should be tested through prospective perturbation or orthogonal validation. Spatial association can nominate a pathway responsible for a morphological pattern, but causality requires additional evidence. Candidate signatures could be tested in organoid, explant or experimental systems in which the pathway is perturbed and morphology is measured, or in longitudinal clinical material collected before and after a targeted therapy. Immunohistochemistry, in situ hybridisation or targeted spatial assays can provide practical orthogonal confirmation in human tissues. A successful programme would therefore move from image association, to spatial molecular localisation, to targeted validation and only then to mechanistic inference.</w:t>
      </w:r>
    </w:p>
    <w:p w14:paraId="01A179A0" w14:textId="77777777" w:rsidR="00805D42" w:rsidRPr="00C264CF" w:rsidRDefault="00000000">
      <w:r w:rsidRPr="00C264CF">
        <w:t xml:space="preserve">Ninth, translational studies should prioritise tasks in which imperfect molecular inference has a clear utility function. Region-of-interest selection, enrichment of rare phenotypes, retrospective cohort stratification and triage for confirmatory assays are promising because the prediction can improve efficiency without being treated as a definitive molecular measurement. For each task, investigators should prespecify </w:t>
      </w:r>
      <w:r w:rsidRPr="00C264CF">
        <w:lastRenderedPageBreak/>
        <w:t>what error is tolerable and compare the image-derived approach with a realistic alternative, such as random sampling, pathologist-guided sampling or a conventional immunohistochemical marker. This shift from generic prediction accuracy to decision-specific utility would make translational claims more defensible.</w:t>
      </w:r>
    </w:p>
    <w:p w14:paraId="2AC3B1D0" w14:textId="77777777" w:rsidR="00805D42" w:rsidRPr="00C264CF" w:rsidRDefault="00000000">
      <w:r w:rsidRPr="00C264CF">
        <w:t>Tenth, rare diseases and under-represented populations require deliberate inclusion rather than passive transfer from common cancers. Spatial-omics cohorts are expensive and therefore frequently small and concentrated in well-resourced centres. Foundation models trained on large slide collections may improve visual representation, but molecular supervision remains uneven. Multi-centre consortia should prioritise diversity in ancestry, disease subtype, pre-analytical practice and treatment context, with federated or privacy-preserving strategies where data sharing is constrained. The objective should not be demographic balance as an abstract property; it should be to identify whether morphology–molecule relationships, assay quality or model calibration differ across clinically relevant populations.</w:t>
      </w:r>
    </w:p>
    <w:p w14:paraId="3089455E" w14:textId="77777777" w:rsidR="00805D42" w:rsidRPr="00C264CF" w:rsidRDefault="00000000">
      <w:r w:rsidRPr="00C264CF">
        <w:t>Eleventh, standards for reporting need to catch up with the field's rapid methodological expansion. A morphology-to-spatial-omics study should report the biological unit of splitting, number of patients rather than only number of spots, spatial-assay platform and effective resolution, image preparation, registration procedure, gene-selection rules, spatial smoothing, external domains, uncertainty method and whether performance is driven by between-compartment contrast. For super-resolution claims, the resolution of the reference assay should be stated alongside the rendered prediction resolution. Such reporting would make benchmark gains interpretable and reduce the risk that architectural novelty is mistaken for stronger biological evidence.</w:t>
      </w:r>
    </w:p>
    <w:p w14:paraId="1D36ED19" w14:textId="77777777" w:rsidR="00805D42" w:rsidRPr="00C264CF" w:rsidRDefault="00000000">
      <w:r w:rsidRPr="00C264CF">
        <w:t>The longer-term priority is an experimentally grounded multimodal tissue model that can reason across histology, cell identity, spatial gene programmes and protein state while retaining traceability to measured observations. Recent reviews correctly identify foundation models and spatial multi-omics as convergent directions, but the decisive advance will be epistemic rather than merely computational: a model must know which outputs are supported directly by morphology, which are inferred from correlated neighbours, and which require measurement (Agrawal &amp; Thomann, 2026; Hao et al., 2026; McKenzie et al., 2026; Patel &amp; Klimowicz, 2026). If that distinction is preserved, AI can become a bridge between routine histology and high-dimensional tissue biology without turning prediction into a surrogate for evidence.</w:t>
      </w:r>
    </w:p>
    <w:p w14:paraId="5F328DEB" w14:textId="77777777" w:rsidR="00805D42" w:rsidRPr="00C264CF" w:rsidRDefault="00000000">
      <w:pPr>
        <w:pStyle w:val="Heading1"/>
        <w:rPr>
          <w:color w:val="auto"/>
        </w:rPr>
      </w:pPr>
      <w:r w:rsidRPr="00C264CF">
        <w:rPr>
          <w:color w:val="auto"/>
        </w:rPr>
        <w:t>9. Conclusions</w:t>
      </w:r>
    </w:p>
    <w:p w14:paraId="317B4A8C" w14:textId="77777777" w:rsidR="00805D42" w:rsidRPr="00C264CF" w:rsidRDefault="00000000">
      <w:r w:rsidRPr="00C264CF">
        <w:t>H&amp;E histology contains substantially more biological information than is captured by conventional categorical interpretation, but it does not contain an error-free molecular record. Spatial transcriptomics and multiplexed spatial proteomics have made this distinction visible by linking local morphology to measured cell states, gene programmes and neighbourhood organisation. The strongest evidence concerns biologically penetrant, spatially organised phenomena such as cell composition, proliferative regions, stromal states, tumour–immune architecture and invasive interfaces. AI can detect and quantify these signatures at scales that exceed unaided visual assessment, and spatial omics can assign them a molecular interpretation that conventional saliency methods cannot provide.</w:t>
      </w:r>
    </w:p>
    <w:p w14:paraId="61E7BAAB" w14:textId="77777777" w:rsidR="00805D42" w:rsidRPr="00C264CF" w:rsidRDefault="00000000">
      <w:r w:rsidRPr="00C264CF">
        <w:t>The evidence is less secure for claims that routine H&amp;E can reconstruct broad gene expression at cellular resolution. Performance varies sharply among genes and datasets, spot-level measurements mix biological states, spatial autocorrelation can inflate benchmarks, and finer output maps can exceed the information resolution of their molecular supervision. Recent out-of-domain studies show that staining, resolution and cohort differences remain consequential. Foundation models, multimodal contrastive learning and cell-resolved spatial assays are improving the technical basis for transfer, but architectural sophistication does not remove the need for independent, resolution-matched validation.</w:t>
      </w:r>
    </w:p>
    <w:p w14:paraId="11F11BD9" w14:textId="77777777" w:rsidR="00805D42" w:rsidRPr="00C264CF" w:rsidRDefault="00000000">
      <w:r w:rsidRPr="00C264CF">
        <w:lastRenderedPageBreak/>
        <w:t>The most defensible translational concept is therefore not virtual omics as wholesale replacement of molecular assays. It is morphology-guided molecular inference: using H&amp;E to identify spatial phenotypes, prioritise regions, enrich cohorts, generate mechanistic hypotheses and triage specimens for targeted confirmation. Decision-grade use will require uncertainty-aware outputs, explicit abstention, provenance-matched external validation and prospective evidence of incremental utility. The field will advance most reliably by treating H&amp;E, spatial omics and AI as complementary sources of evidence, with each constrained by what it actually measures. Under that framework, hidden histopathological signatures become testable biological hypotheses rather than visually persuasive but unverified molecular predictions.</w:t>
      </w:r>
    </w:p>
    <w:p w14:paraId="69C6129F" w14:textId="77777777" w:rsidR="00805D42" w:rsidRPr="00C264CF" w:rsidRDefault="00000000">
      <w:pPr>
        <w:pStyle w:val="Heading1"/>
        <w:rPr>
          <w:color w:val="auto"/>
        </w:rPr>
      </w:pPr>
      <w:r w:rsidRPr="00C264CF">
        <w:rPr>
          <w:color w:val="auto"/>
        </w:rPr>
        <w:t>10. Limitations</w:t>
      </w:r>
    </w:p>
    <w:p w14:paraId="6EC53FD7" w14:textId="77777777" w:rsidR="00805D42" w:rsidRPr="00C264CF" w:rsidRDefault="00000000">
      <w:r w:rsidRPr="00C264CF">
        <w:t>This critical narrative review is intrinsically subject to selection and interpretive bias despite the use of a transparent search framework, explicit eligibility criteria and structured critical appraisal. The literature was intentionally selected for methodological and conceptual relevance rather than through a prospectively registered systematic-review protocol, and numerical screening counts were therefore not generated. Direct access to some subscription bibliographic databases was unavailable, so the evidence base was assembled from accessible scholarly indexes, biomedical databases, citation searching and verified journal records. English-language peer-reviewed literature predominated, which may under-represent relevant methodological work published in other languages.</w:t>
      </w:r>
    </w:p>
    <w:p w14:paraId="202F1265" w14:textId="77777777" w:rsidR="00805D42" w:rsidRPr="00C264CF" w:rsidRDefault="00000000">
      <w:r w:rsidRPr="00C264CF">
        <w:t>The reviewed evidence is heterogeneous in assay technology, tissue preparation, spatial resolution, disease site, model architecture, gene selection and performance metric. These differences make quantitative pooling inappropriate and limit direct ranking of algorithms across studies. Spatial transcriptomic datasets also remain comparatively small at the patient level, while individual studies may report thousands of spots or cells, creating a risk that apparent sample size is mistaken for independent biological replication. Some of the newest methods have limited independent replication because the field is developing rapidly. Consequently, conclusions about translational readiness are more tentative than conclusions about the existence of morphology-associated spatial molecular structure.</w:t>
      </w:r>
    </w:p>
    <w:p w14:paraId="48E166C3" w14:textId="77777777" w:rsidR="00805D42" w:rsidRDefault="00000000">
      <w:r w:rsidRPr="00C264CF">
        <w:t>The review is weighted towards oncology because cancer has produced the densest convergence of digital pathology, spatial omics and clinically oriented AI, and because tumour heterogeneity provides a demanding test case for morphology–molecule inference. The underlying methodological issues are relevant to other tissue-based diseases, but generalisability to non-neoplastic pathology cannot be assumed. The synthesis also emphasises transcriptomic and multiplexed protein measurements; spatial metabolomics, epigenomics and other emerging modalities are discussed only where they inform the central histology–AI problem. Finally, the search end date means that methods or validation studies appearing after the stated literature window are not represented.</w:t>
      </w:r>
    </w:p>
    <w:p w14:paraId="0A3017EA" w14:textId="77777777" w:rsidR="00DC2FC1" w:rsidRDefault="00DC2FC1" w:rsidP="00DC2FC1">
      <w:pPr>
        <w:spacing w:after="0" w:line="240" w:lineRule="auto"/>
        <w:rPr>
          <w:rFonts w:cs="Times New Roman"/>
          <w:b/>
        </w:rPr>
      </w:pPr>
      <w:r w:rsidRPr="000839CE">
        <w:rPr>
          <w:rFonts w:cs="Times New Roman"/>
          <w:b/>
        </w:rPr>
        <w:t>Declaration of AI Use</w:t>
      </w:r>
    </w:p>
    <w:p w14:paraId="72123403" w14:textId="77777777" w:rsidR="00DC2FC1" w:rsidRDefault="00DC2FC1" w:rsidP="00DC2FC1">
      <w:pPr>
        <w:spacing w:after="0" w:line="240" w:lineRule="auto"/>
        <w:rPr>
          <w:rFonts w:cs="Times New Roman"/>
          <w:b/>
        </w:rPr>
      </w:pPr>
    </w:p>
    <w:p w14:paraId="3F624649" w14:textId="77777777" w:rsidR="00DC2FC1" w:rsidRDefault="00DC2FC1" w:rsidP="00DC2FC1">
      <w:pPr>
        <w:spacing w:after="0" w:line="240" w:lineRule="auto"/>
        <w:rPr>
          <w:rFonts w:cs="Times New Roman"/>
          <w:b/>
        </w:rPr>
      </w:pPr>
    </w:p>
    <w:p w14:paraId="382F2747" w14:textId="77777777" w:rsidR="00DC2FC1" w:rsidRDefault="00DC2FC1" w:rsidP="00DC2FC1">
      <w:pPr>
        <w:spacing w:after="0" w:line="240" w:lineRule="auto"/>
        <w:rPr>
          <w:rFonts w:cs="Times New Roman"/>
          <w:b/>
        </w:rPr>
      </w:pPr>
    </w:p>
    <w:p w14:paraId="04029096" w14:textId="77777777" w:rsidR="00DC2FC1" w:rsidRPr="002D08AC" w:rsidRDefault="00DC2FC1" w:rsidP="00DC2FC1">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1716A09" w14:textId="77777777" w:rsidR="00DC2FC1" w:rsidRPr="00C264CF" w:rsidRDefault="00DC2FC1"/>
    <w:p w14:paraId="26FDC72B" w14:textId="77777777" w:rsidR="00805D42" w:rsidRPr="00C264CF" w:rsidRDefault="00000000">
      <w:pPr>
        <w:pStyle w:val="Heading1"/>
        <w:rPr>
          <w:color w:val="auto"/>
        </w:rPr>
      </w:pPr>
      <w:r w:rsidRPr="00C264CF">
        <w:rPr>
          <w:color w:val="auto"/>
        </w:rPr>
        <w:lastRenderedPageBreak/>
        <w:t>References</w:t>
      </w:r>
    </w:p>
    <w:p w14:paraId="1D81801A" w14:textId="044E8103"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Agrawal, A., &amp; Thomann, S. (2026). Redefining pathobiology with spatial multi-omics at the intersection of biology, computation, and histopathological assessment. </w:t>
      </w:r>
      <w:r w:rsidRPr="00034575">
        <w:rPr>
          <w:rFonts w:eastAsia="Times New Roman" w:cs="Times New Roman"/>
          <w:i/>
          <w:iCs/>
          <w:sz w:val="24"/>
          <w:szCs w:val="24"/>
        </w:rPr>
        <w:t>The American Journal of Pathology, 196</w:t>
      </w:r>
      <w:r w:rsidRPr="00034575">
        <w:rPr>
          <w:rFonts w:eastAsia="Times New Roman" w:cs="Times New Roman"/>
          <w:sz w:val="24"/>
          <w:szCs w:val="24"/>
        </w:rPr>
        <w:t xml:space="preserve">(7), 1406–1426. </w:t>
      </w:r>
      <w:hyperlink r:id="rId8" w:history="1">
        <w:r w:rsidRPr="00034575">
          <w:rPr>
            <w:rFonts w:eastAsia="Times New Roman" w:cs="Times New Roman"/>
            <w:color w:val="0000FF"/>
            <w:sz w:val="24"/>
            <w:szCs w:val="24"/>
            <w:u w:val="single"/>
          </w:rPr>
          <w:t>https://doi.org/10.1016/j.ajpath.2026.01.007</w:t>
        </w:r>
      </w:hyperlink>
    </w:p>
    <w:p w14:paraId="0C1C3480" w14:textId="00ADB098" w:rsidR="00034575" w:rsidRPr="00034575" w:rsidRDefault="00034575" w:rsidP="00034575">
      <w:pPr>
        <w:spacing w:after="0" w:line="240" w:lineRule="auto"/>
        <w:ind w:left="540" w:hanging="540"/>
        <w:rPr>
          <w:rFonts w:eastAsia="Times New Roman" w:cs="Times New Roman"/>
          <w:sz w:val="24"/>
          <w:szCs w:val="24"/>
        </w:rPr>
      </w:pPr>
      <w:proofErr w:type="spellStart"/>
      <w:r w:rsidRPr="00034575">
        <w:rPr>
          <w:rFonts w:eastAsia="Times New Roman" w:cs="Times New Roman"/>
          <w:sz w:val="24"/>
          <w:szCs w:val="24"/>
        </w:rPr>
        <w:t>Baethge</w:t>
      </w:r>
      <w:proofErr w:type="spellEnd"/>
      <w:r w:rsidRPr="00034575">
        <w:rPr>
          <w:rFonts w:eastAsia="Times New Roman" w:cs="Times New Roman"/>
          <w:sz w:val="24"/>
          <w:szCs w:val="24"/>
        </w:rPr>
        <w:t xml:space="preserve">, C., Goldbeck-Wood, S., &amp; Mertens, S. (2019). SANRA—a scale for the quality assessment of narrative review articles. </w:t>
      </w:r>
      <w:r w:rsidRPr="00034575">
        <w:rPr>
          <w:rFonts w:eastAsia="Times New Roman" w:cs="Times New Roman"/>
          <w:i/>
          <w:iCs/>
          <w:sz w:val="24"/>
          <w:szCs w:val="24"/>
        </w:rPr>
        <w:t>Research Integrity and Peer Review, 4</w:t>
      </w:r>
      <w:r w:rsidRPr="00034575">
        <w:rPr>
          <w:rFonts w:eastAsia="Times New Roman" w:cs="Times New Roman"/>
          <w:sz w:val="24"/>
          <w:szCs w:val="24"/>
        </w:rPr>
        <w:t xml:space="preserve">, 5. </w:t>
      </w:r>
      <w:hyperlink r:id="rId9" w:history="1">
        <w:r w:rsidRPr="00034575">
          <w:rPr>
            <w:rFonts w:eastAsia="Times New Roman" w:cs="Times New Roman"/>
            <w:color w:val="0000FF"/>
            <w:sz w:val="24"/>
            <w:szCs w:val="24"/>
            <w:u w:val="single"/>
          </w:rPr>
          <w:t>https://doi.org/10.1186/s41073-019-0064-8</w:t>
        </w:r>
      </w:hyperlink>
    </w:p>
    <w:p w14:paraId="3116B7D1" w14:textId="3F68B263"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Bhuva, D. D., Tan, C. W., Salim, A., Marceaux, C., Pickering, M. A., Chen, J., Kharbanda, M., Jin, X., Liu, N., Feher, K., Putri, G., Tilley, W. D., Hickey, T. E., Asselin-Labat, M.-L., </w:t>
      </w:r>
      <w:proofErr w:type="spellStart"/>
      <w:r w:rsidRPr="00034575">
        <w:rPr>
          <w:rFonts w:eastAsia="Times New Roman" w:cs="Times New Roman"/>
          <w:sz w:val="24"/>
          <w:szCs w:val="24"/>
        </w:rPr>
        <w:t>Phipson</w:t>
      </w:r>
      <w:proofErr w:type="spellEnd"/>
      <w:r w:rsidRPr="00034575">
        <w:rPr>
          <w:rFonts w:eastAsia="Times New Roman" w:cs="Times New Roman"/>
          <w:sz w:val="24"/>
          <w:szCs w:val="24"/>
        </w:rPr>
        <w:t xml:space="preserve">, B., &amp; Davis, M. J. (2024). Library size confounds biology in spatial transcriptomics data. </w:t>
      </w:r>
      <w:r w:rsidRPr="00034575">
        <w:rPr>
          <w:rFonts w:eastAsia="Times New Roman" w:cs="Times New Roman"/>
          <w:i/>
          <w:iCs/>
          <w:sz w:val="24"/>
          <w:szCs w:val="24"/>
        </w:rPr>
        <w:t>Genome Biology, 25</w:t>
      </w:r>
      <w:r w:rsidRPr="00034575">
        <w:rPr>
          <w:rFonts w:eastAsia="Times New Roman" w:cs="Times New Roman"/>
          <w:sz w:val="24"/>
          <w:szCs w:val="24"/>
        </w:rPr>
        <w:t xml:space="preserve">(1), 99. </w:t>
      </w:r>
      <w:hyperlink r:id="rId10" w:history="1">
        <w:r w:rsidRPr="00034575">
          <w:rPr>
            <w:rFonts w:eastAsia="Times New Roman" w:cs="Times New Roman"/>
            <w:color w:val="0000FF"/>
            <w:sz w:val="24"/>
            <w:szCs w:val="24"/>
            <w:u w:val="single"/>
          </w:rPr>
          <w:t>https://doi.org/10.1186/s13059-024-03241-7</w:t>
        </w:r>
      </w:hyperlink>
    </w:p>
    <w:p w14:paraId="4F9691EF" w14:textId="2C65B8B6" w:rsidR="00034575" w:rsidRPr="00034575" w:rsidRDefault="00034575" w:rsidP="00034575">
      <w:pPr>
        <w:spacing w:after="0" w:line="240" w:lineRule="auto"/>
        <w:ind w:left="540" w:hanging="540"/>
        <w:rPr>
          <w:rFonts w:eastAsia="Times New Roman" w:cs="Times New Roman"/>
          <w:sz w:val="24"/>
          <w:szCs w:val="24"/>
        </w:rPr>
      </w:pPr>
      <w:proofErr w:type="spellStart"/>
      <w:r w:rsidRPr="00034575">
        <w:rPr>
          <w:rFonts w:eastAsia="Times New Roman" w:cs="Times New Roman"/>
          <w:sz w:val="24"/>
          <w:szCs w:val="24"/>
        </w:rPr>
        <w:t>Biancalani</w:t>
      </w:r>
      <w:proofErr w:type="spellEnd"/>
      <w:r w:rsidRPr="00034575">
        <w:rPr>
          <w:rFonts w:eastAsia="Times New Roman" w:cs="Times New Roman"/>
          <w:sz w:val="24"/>
          <w:szCs w:val="24"/>
        </w:rPr>
        <w:t xml:space="preserve">, T., Scalia, G., Buffoni, L., Avasthi, R., Lu, Z., Sanger, A., </w:t>
      </w:r>
      <w:proofErr w:type="spellStart"/>
      <w:r w:rsidRPr="00034575">
        <w:rPr>
          <w:rFonts w:eastAsia="Times New Roman" w:cs="Times New Roman"/>
          <w:sz w:val="24"/>
          <w:szCs w:val="24"/>
        </w:rPr>
        <w:t>Tokcan</w:t>
      </w:r>
      <w:proofErr w:type="spellEnd"/>
      <w:r w:rsidRPr="00034575">
        <w:rPr>
          <w:rFonts w:eastAsia="Times New Roman" w:cs="Times New Roman"/>
          <w:sz w:val="24"/>
          <w:szCs w:val="24"/>
        </w:rPr>
        <w:t xml:space="preserve">, N., Vanderburg, C. R., </w:t>
      </w:r>
      <w:proofErr w:type="spellStart"/>
      <w:r w:rsidRPr="00034575">
        <w:rPr>
          <w:rFonts w:eastAsia="Times New Roman" w:cs="Times New Roman"/>
          <w:sz w:val="24"/>
          <w:szCs w:val="24"/>
        </w:rPr>
        <w:t>Segerstolpe</w:t>
      </w:r>
      <w:proofErr w:type="spellEnd"/>
      <w:r w:rsidRPr="00034575">
        <w:rPr>
          <w:rFonts w:eastAsia="Times New Roman" w:cs="Times New Roman"/>
          <w:sz w:val="24"/>
          <w:szCs w:val="24"/>
        </w:rPr>
        <w:t xml:space="preserve">, Å., Zhang, M., Avraham-Davidi, I., </w:t>
      </w:r>
      <w:proofErr w:type="spellStart"/>
      <w:r w:rsidRPr="00034575">
        <w:rPr>
          <w:rFonts w:eastAsia="Times New Roman" w:cs="Times New Roman"/>
          <w:sz w:val="24"/>
          <w:szCs w:val="24"/>
        </w:rPr>
        <w:t>Vickovic</w:t>
      </w:r>
      <w:proofErr w:type="spellEnd"/>
      <w:r w:rsidRPr="00034575">
        <w:rPr>
          <w:rFonts w:eastAsia="Times New Roman" w:cs="Times New Roman"/>
          <w:sz w:val="24"/>
          <w:szCs w:val="24"/>
        </w:rPr>
        <w:t xml:space="preserve">, S., Nitzan, M., Ma, S., Subramanian, A., Lipinski, M., Buenrostro, J., Brown, N. B., Fanelli, D., … Regev, A. (2021). Deep learning and alignment of spatially resolved single-cell transcriptomes with Tangram. </w:t>
      </w:r>
      <w:r w:rsidRPr="00034575">
        <w:rPr>
          <w:rFonts w:eastAsia="Times New Roman" w:cs="Times New Roman"/>
          <w:i/>
          <w:iCs/>
          <w:sz w:val="24"/>
          <w:szCs w:val="24"/>
        </w:rPr>
        <w:t>Nature Methods, 18</w:t>
      </w:r>
      <w:r w:rsidRPr="00034575">
        <w:rPr>
          <w:rFonts w:eastAsia="Times New Roman" w:cs="Times New Roman"/>
          <w:sz w:val="24"/>
          <w:szCs w:val="24"/>
        </w:rPr>
        <w:t xml:space="preserve">(11), 1352–1362. </w:t>
      </w:r>
      <w:hyperlink r:id="rId11" w:history="1">
        <w:r w:rsidRPr="00034575">
          <w:rPr>
            <w:rFonts w:eastAsia="Times New Roman" w:cs="Times New Roman"/>
            <w:color w:val="0000FF"/>
            <w:sz w:val="24"/>
            <w:szCs w:val="24"/>
            <w:u w:val="single"/>
          </w:rPr>
          <w:t>https://doi.org/10.1038/s41592-021-01264-7</w:t>
        </w:r>
      </w:hyperlink>
    </w:p>
    <w:p w14:paraId="5E6962D3" w14:textId="0B047DAE" w:rsidR="00034575" w:rsidRPr="00034575" w:rsidRDefault="00034575" w:rsidP="00034575">
      <w:pPr>
        <w:spacing w:after="0" w:line="240" w:lineRule="auto"/>
        <w:ind w:left="540" w:hanging="540"/>
        <w:rPr>
          <w:rFonts w:eastAsia="Times New Roman" w:cs="Times New Roman"/>
          <w:sz w:val="24"/>
          <w:szCs w:val="24"/>
          <w:lang w:val="nl-BE"/>
        </w:rPr>
      </w:pPr>
      <w:r w:rsidRPr="00034575">
        <w:rPr>
          <w:rFonts w:eastAsia="Times New Roman" w:cs="Times New Roman"/>
          <w:sz w:val="24"/>
          <w:szCs w:val="24"/>
        </w:rPr>
        <w:t xml:space="preserve">Campanella, G., Hanna, M. G., </w:t>
      </w:r>
      <w:proofErr w:type="spellStart"/>
      <w:r w:rsidRPr="00034575">
        <w:rPr>
          <w:rFonts w:eastAsia="Times New Roman" w:cs="Times New Roman"/>
          <w:sz w:val="24"/>
          <w:szCs w:val="24"/>
        </w:rPr>
        <w:t>Geneslaw</w:t>
      </w:r>
      <w:proofErr w:type="spellEnd"/>
      <w:r w:rsidRPr="00034575">
        <w:rPr>
          <w:rFonts w:eastAsia="Times New Roman" w:cs="Times New Roman"/>
          <w:sz w:val="24"/>
          <w:szCs w:val="24"/>
        </w:rPr>
        <w:t xml:space="preserve">, L., Miraflor, A., Silva, V. W. K., Busam, K. J., </w:t>
      </w:r>
      <w:proofErr w:type="spellStart"/>
      <w:r w:rsidRPr="00034575">
        <w:rPr>
          <w:rFonts w:eastAsia="Times New Roman" w:cs="Times New Roman"/>
          <w:sz w:val="24"/>
          <w:szCs w:val="24"/>
        </w:rPr>
        <w:t>Brogi</w:t>
      </w:r>
      <w:proofErr w:type="spellEnd"/>
      <w:r w:rsidRPr="00034575">
        <w:rPr>
          <w:rFonts w:eastAsia="Times New Roman" w:cs="Times New Roman"/>
          <w:sz w:val="24"/>
          <w:szCs w:val="24"/>
        </w:rPr>
        <w:t xml:space="preserve">, E., Reuter, V. E., </w:t>
      </w:r>
      <w:proofErr w:type="spellStart"/>
      <w:r w:rsidRPr="00034575">
        <w:rPr>
          <w:rFonts w:eastAsia="Times New Roman" w:cs="Times New Roman"/>
          <w:sz w:val="24"/>
          <w:szCs w:val="24"/>
        </w:rPr>
        <w:t>Klimstra</w:t>
      </w:r>
      <w:proofErr w:type="spellEnd"/>
      <w:r w:rsidRPr="00034575">
        <w:rPr>
          <w:rFonts w:eastAsia="Times New Roman" w:cs="Times New Roman"/>
          <w:sz w:val="24"/>
          <w:szCs w:val="24"/>
        </w:rPr>
        <w:t xml:space="preserve">, D. S., &amp; Fuchs, T. J. (2019). Clinical-grade computational pathology using weakly supervised deep learning on whole slide images. </w:t>
      </w:r>
      <w:r w:rsidRPr="00034575">
        <w:rPr>
          <w:rFonts w:eastAsia="Times New Roman" w:cs="Times New Roman"/>
          <w:i/>
          <w:iCs/>
          <w:sz w:val="24"/>
          <w:szCs w:val="24"/>
          <w:lang w:val="nl-BE"/>
        </w:rPr>
        <w:t>Nature Medicine, 25</w:t>
      </w:r>
      <w:r w:rsidRPr="00034575">
        <w:rPr>
          <w:rFonts w:eastAsia="Times New Roman" w:cs="Times New Roman"/>
          <w:sz w:val="24"/>
          <w:szCs w:val="24"/>
          <w:lang w:val="nl-BE"/>
        </w:rPr>
        <w:t xml:space="preserve">(8), 1301–1309. </w:t>
      </w:r>
      <w:r w:rsidRPr="00034575">
        <w:rPr>
          <w:rFonts w:eastAsia="Times New Roman" w:cs="Times New Roman"/>
          <w:sz w:val="24"/>
          <w:szCs w:val="24"/>
        </w:rPr>
        <w:fldChar w:fldCharType="begin"/>
      </w:r>
      <w:r w:rsidRPr="00034575">
        <w:rPr>
          <w:rFonts w:eastAsia="Times New Roman" w:cs="Times New Roman"/>
          <w:sz w:val="24"/>
          <w:szCs w:val="24"/>
          <w:lang w:val="nl-BE"/>
        </w:rPr>
        <w:instrText>HYPERLINK "https://doi.org/10.1038/s41591-019-0508-1"</w:instrText>
      </w:r>
      <w:r w:rsidRPr="00034575">
        <w:rPr>
          <w:rFonts w:eastAsia="Times New Roman" w:cs="Times New Roman"/>
          <w:sz w:val="24"/>
          <w:szCs w:val="24"/>
        </w:rPr>
        <w:fldChar w:fldCharType="separate"/>
      </w:r>
      <w:r w:rsidRPr="00034575">
        <w:rPr>
          <w:rFonts w:eastAsia="Times New Roman" w:cs="Times New Roman"/>
          <w:color w:val="0000FF"/>
          <w:sz w:val="24"/>
          <w:szCs w:val="24"/>
          <w:u w:val="single"/>
          <w:lang w:val="nl-BE"/>
        </w:rPr>
        <w:t>https://doi.org/10.1038/s41591-019-0508-1</w:t>
      </w:r>
      <w:r w:rsidRPr="00034575">
        <w:rPr>
          <w:rFonts w:eastAsia="Times New Roman" w:cs="Times New Roman"/>
          <w:sz w:val="24"/>
          <w:szCs w:val="24"/>
        </w:rPr>
        <w:fldChar w:fldCharType="end"/>
      </w:r>
    </w:p>
    <w:p w14:paraId="0C01332A" w14:textId="354AD764"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lang w:val="nl-BE"/>
        </w:rPr>
        <w:t xml:space="preserve">Chen, K. H., Boettiger, A. N., Moffitt, J. R., Wang, S., &amp; Zhuang, X. (2015). </w:t>
      </w:r>
      <w:r w:rsidRPr="00034575">
        <w:rPr>
          <w:rFonts w:eastAsia="Times New Roman" w:cs="Times New Roman"/>
          <w:sz w:val="24"/>
          <w:szCs w:val="24"/>
        </w:rPr>
        <w:t xml:space="preserve">RNA imaging. Spatially resolved, highly multiplexed RNA profiling in single cells. </w:t>
      </w:r>
      <w:r w:rsidRPr="00034575">
        <w:rPr>
          <w:rFonts w:eastAsia="Times New Roman" w:cs="Times New Roman"/>
          <w:i/>
          <w:iCs/>
          <w:sz w:val="24"/>
          <w:szCs w:val="24"/>
        </w:rPr>
        <w:t>Science, 348</w:t>
      </w:r>
      <w:r w:rsidRPr="00034575">
        <w:rPr>
          <w:rFonts w:eastAsia="Times New Roman" w:cs="Times New Roman"/>
          <w:sz w:val="24"/>
          <w:szCs w:val="24"/>
        </w:rPr>
        <w:t xml:space="preserve">(6233), aaa6090. </w:t>
      </w:r>
      <w:hyperlink r:id="rId12" w:history="1">
        <w:r w:rsidRPr="00034575">
          <w:rPr>
            <w:rFonts w:eastAsia="Times New Roman" w:cs="Times New Roman"/>
            <w:color w:val="0000FF"/>
            <w:sz w:val="24"/>
            <w:szCs w:val="24"/>
            <w:u w:val="single"/>
          </w:rPr>
          <w:t>https://doi.org/10.1126/science.aaa6090</w:t>
        </w:r>
      </w:hyperlink>
    </w:p>
    <w:p w14:paraId="25148510" w14:textId="22B50C61"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Chen, R. J., Ding, T., Lu, M. Y., Williamson, D. F. K., Jaume, G., Song, A. H., Chen, B., Zhang, A., Shao, D., Shaban, M., Williams, M., Oldenburg, L., Weishaupt, L. L., Wang, J. J., Vaidya, A., Le, L. P., Gerber, G., Sahai, S., Williams, W., &amp; Mahmood, F. (2024). Towards a general-purpose foundation model for computational pathology. </w:t>
      </w:r>
      <w:r w:rsidRPr="00034575">
        <w:rPr>
          <w:rFonts w:eastAsia="Times New Roman" w:cs="Times New Roman"/>
          <w:i/>
          <w:iCs/>
          <w:sz w:val="24"/>
          <w:szCs w:val="24"/>
        </w:rPr>
        <w:t>Nature Medicine, 30</w:t>
      </w:r>
      <w:r w:rsidRPr="00034575">
        <w:rPr>
          <w:rFonts w:eastAsia="Times New Roman" w:cs="Times New Roman"/>
          <w:sz w:val="24"/>
          <w:szCs w:val="24"/>
        </w:rPr>
        <w:t xml:space="preserve">(3), 850–862. </w:t>
      </w:r>
      <w:hyperlink r:id="rId13" w:history="1">
        <w:r w:rsidRPr="00034575">
          <w:rPr>
            <w:rFonts w:eastAsia="Times New Roman" w:cs="Times New Roman"/>
            <w:color w:val="0000FF"/>
            <w:sz w:val="24"/>
            <w:szCs w:val="24"/>
            <w:u w:val="single"/>
          </w:rPr>
          <w:t>https://doi.org/10.1038/s41591-024-02857-3</w:t>
        </w:r>
      </w:hyperlink>
    </w:p>
    <w:p w14:paraId="1F417023" w14:textId="48AAA721"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Chen, W., Zhang, P., Tran, T. N., Xiao, Y., Li, S., Shah, V. V., Cheng, H., Brannan, K. W., Youker, K., Lai, L., Fang, L., Yang, Y., Le, N.-T., Abe, J.-I., Chen, S.-H., Ma, Q., Chen, K., Song, Q., Cooke, J. P., &amp; Wang, G. (2025). A visual–omics foundation model to bridge histopathology with spatial transcriptomics. </w:t>
      </w:r>
      <w:r w:rsidRPr="00034575">
        <w:rPr>
          <w:rFonts w:eastAsia="Times New Roman" w:cs="Times New Roman"/>
          <w:i/>
          <w:iCs/>
          <w:sz w:val="24"/>
          <w:szCs w:val="24"/>
        </w:rPr>
        <w:t>Nature Methods, 22</w:t>
      </w:r>
      <w:r w:rsidRPr="00034575">
        <w:rPr>
          <w:rFonts w:eastAsia="Times New Roman" w:cs="Times New Roman"/>
          <w:sz w:val="24"/>
          <w:szCs w:val="24"/>
        </w:rPr>
        <w:t xml:space="preserve">(7), 1568–1582. </w:t>
      </w:r>
      <w:hyperlink r:id="rId14" w:history="1">
        <w:r w:rsidRPr="00034575">
          <w:rPr>
            <w:rFonts w:eastAsia="Times New Roman" w:cs="Times New Roman"/>
            <w:color w:val="0000FF"/>
            <w:sz w:val="24"/>
            <w:szCs w:val="24"/>
            <w:u w:val="single"/>
          </w:rPr>
          <w:t>https://doi.org/10.1038/s41592-025-02707-1</w:t>
        </w:r>
      </w:hyperlink>
    </w:p>
    <w:p w14:paraId="2C77A078" w14:textId="2E99152C"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Chen, Z., Soifer, I., Hilton, H., Keren, L., &amp; </w:t>
      </w:r>
      <w:proofErr w:type="spellStart"/>
      <w:r w:rsidRPr="00034575">
        <w:rPr>
          <w:rFonts w:eastAsia="Times New Roman" w:cs="Times New Roman"/>
          <w:sz w:val="24"/>
          <w:szCs w:val="24"/>
        </w:rPr>
        <w:t>Jojic</w:t>
      </w:r>
      <w:proofErr w:type="spellEnd"/>
      <w:r w:rsidRPr="00034575">
        <w:rPr>
          <w:rFonts w:eastAsia="Times New Roman" w:cs="Times New Roman"/>
          <w:sz w:val="24"/>
          <w:szCs w:val="24"/>
        </w:rPr>
        <w:t xml:space="preserve">, V. (2020). Modeling multiplexed images with Spatial-LDA reveals novel tissue microenvironments. </w:t>
      </w:r>
      <w:r w:rsidRPr="00034575">
        <w:rPr>
          <w:rFonts w:eastAsia="Times New Roman" w:cs="Times New Roman"/>
          <w:i/>
          <w:iCs/>
          <w:sz w:val="24"/>
          <w:szCs w:val="24"/>
        </w:rPr>
        <w:t>Journal of Computational Biology, 27</w:t>
      </w:r>
      <w:r w:rsidRPr="00034575">
        <w:rPr>
          <w:rFonts w:eastAsia="Times New Roman" w:cs="Times New Roman"/>
          <w:sz w:val="24"/>
          <w:szCs w:val="24"/>
        </w:rPr>
        <w:t xml:space="preserve">(8), 1204–1218. </w:t>
      </w:r>
      <w:hyperlink r:id="rId15" w:history="1">
        <w:r w:rsidRPr="00034575">
          <w:rPr>
            <w:rFonts w:eastAsia="Times New Roman" w:cs="Times New Roman"/>
            <w:color w:val="0000FF"/>
            <w:sz w:val="24"/>
            <w:szCs w:val="24"/>
            <w:u w:val="single"/>
          </w:rPr>
          <w:t>https://doi.org/10.1089/cmb.2019.0340</w:t>
        </w:r>
      </w:hyperlink>
    </w:p>
    <w:p w14:paraId="0453E673" w14:textId="5578FA6A"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Coudray, N., Ocampo, P. S., </w:t>
      </w:r>
      <w:proofErr w:type="spellStart"/>
      <w:r w:rsidRPr="00034575">
        <w:rPr>
          <w:rFonts w:eastAsia="Times New Roman" w:cs="Times New Roman"/>
          <w:sz w:val="24"/>
          <w:szCs w:val="24"/>
        </w:rPr>
        <w:t>Sakellaropoulos</w:t>
      </w:r>
      <w:proofErr w:type="spellEnd"/>
      <w:r w:rsidRPr="00034575">
        <w:rPr>
          <w:rFonts w:eastAsia="Times New Roman" w:cs="Times New Roman"/>
          <w:sz w:val="24"/>
          <w:szCs w:val="24"/>
        </w:rPr>
        <w:t xml:space="preserve">, T., Narula, N., </w:t>
      </w:r>
      <w:proofErr w:type="spellStart"/>
      <w:r w:rsidRPr="00034575">
        <w:rPr>
          <w:rFonts w:eastAsia="Times New Roman" w:cs="Times New Roman"/>
          <w:sz w:val="24"/>
          <w:szCs w:val="24"/>
        </w:rPr>
        <w:t>Snuderl</w:t>
      </w:r>
      <w:proofErr w:type="spellEnd"/>
      <w:r w:rsidRPr="00034575">
        <w:rPr>
          <w:rFonts w:eastAsia="Times New Roman" w:cs="Times New Roman"/>
          <w:sz w:val="24"/>
          <w:szCs w:val="24"/>
        </w:rPr>
        <w:t xml:space="preserve">, M., </w:t>
      </w:r>
      <w:proofErr w:type="spellStart"/>
      <w:r w:rsidRPr="00034575">
        <w:rPr>
          <w:rFonts w:eastAsia="Times New Roman" w:cs="Times New Roman"/>
          <w:sz w:val="24"/>
          <w:szCs w:val="24"/>
        </w:rPr>
        <w:t>Fenyö</w:t>
      </w:r>
      <w:proofErr w:type="spellEnd"/>
      <w:r w:rsidRPr="00034575">
        <w:rPr>
          <w:rFonts w:eastAsia="Times New Roman" w:cs="Times New Roman"/>
          <w:sz w:val="24"/>
          <w:szCs w:val="24"/>
        </w:rPr>
        <w:t xml:space="preserve">, D., Moreira, A. L., </w:t>
      </w:r>
      <w:proofErr w:type="spellStart"/>
      <w:r w:rsidRPr="00034575">
        <w:rPr>
          <w:rFonts w:eastAsia="Times New Roman" w:cs="Times New Roman"/>
          <w:sz w:val="24"/>
          <w:szCs w:val="24"/>
        </w:rPr>
        <w:t>Razavian</w:t>
      </w:r>
      <w:proofErr w:type="spellEnd"/>
      <w:r w:rsidRPr="00034575">
        <w:rPr>
          <w:rFonts w:eastAsia="Times New Roman" w:cs="Times New Roman"/>
          <w:sz w:val="24"/>
          <w:szCs w:val="24"/>
        </w:rPr>
        <w:t xml:space="preserve">, N., &amp; </w:t>
      </w:r>
      <w:proofErr w:type="spellStart"/>
      <w:r w:rsidRPr="00034575">
        <w:rPr>
          <w:rFonts w:eastAsia="Times New Roman" w:cs="Times New Roman"/>
          <w:sz w:val="24"/>
          <w:szCs w:val="24"/>
        </w:rPr>
        <w:t>Tsirigos</w:t>
      </w:r>
      <w:proofErr w:type="spellEnd"/>
      <w:r w:rsidRPr="00034575">
        <w:rPr>
          <w:rFonts w:eastAsia="Times New Roman" w:cs="Times New Roman"/>
          <w:sz w:val="24"/>
          <w:szCs w:val="24"/>
        </w:rPr>
        <w:t xml:space="preserve">, A. (2018). Classification and mutation prediction from non-small cell lung cancer histopathology images using deep learning. </w:t>
      </w:r>
      <w:r w:rsidRPr="00034575">
        <w:rPr>
          <w:rFonts w:eastAsia="Times New Roman" w:cs="Times New Roman"/>
          <w:i/>
          <w:iCs/>
          <w:sz w:val="24"/>
          <w:szCs w:val="24"/>
        </w:rPr>
        <w:t>Nature Medicine, 24</w:t>
      </w:r>
      <w:r w:rsidRPr="00034575">
        <w:rPr>
          <w:rFonts w:eastAsia="Times New Roman" w:cs="Times New Roman"/>
          <w:sz w:val="24"/>
          <w:szCs w:val="24"/>
        </w:rPr>
        <w:t xml:space="preserve">(10), 1559–1567. </w:t>
      </w:r>
      <w:hyperlink r:id="rId16" w:history="1">
        <w:r w:rsidRPr="00034575">
          <w:rPr>
            <w:rFonts w:eastAsia="Times New Roman" w:cs="Times New Roman"/>
            <w:color w:val="0000FF"/>
            <w:sz w:val="24"/>
            <w:szCs w:val="24"/>
            <w:u w:val="single"/>
          </w:rPr>
          <w:t>https://doi.org/10.1038/s41591-018-0177-5</w:t>
        </w:r>
      </w:hyperlink>
    </w:p>
    <w:p w14:paraId="21BC8EDD" w14:textId="1FD13B14"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Dong, K., &amp; Zhang, S. (2022). Deciphering spatial domains from spatially resolved transcriptomics with an adaptive graph attention auto-encoder. </w:t>
      </w:r>
      <w:r w:rsidRPr="00034575">
        <w:rPr>
          <w:rFonts w:eastAsia="Times New Roman" w:cs="Times New Roman"/>
          <w:i/>
          <w:iCs/>
          <w:sz w:val="24"/>
          <w:szCs w:val="24"/>
        </w:rPr>
        <w:t>Nature Communications, 13</w:t>
      </w:r>
      <w:r w:rsidRPr="00034575">
        <w:rPr>
          <w:rFonts w:eastAsia="Times New Roman" w:cs="Times New Roman"/>
          <w:sz w:val="24"/>
          <w:szCs w:val="24"/>
        </w:rPr>
        <w:t xml:space="preserve">(1), 1739. </w:t>
      </w:r>
      <w:hyperlink r:id="rId17" w:history="1">
        <w:r w:rsidRPr="00034575">
          <w:rPr>
            <w:rFonts w:eastAsia="Times New Roman" w:cs="Times New Roman"/>
            <w:color w:val="0000FF"/>
            <w:sz w:val="24"/>
            <w:szCs w:val="24"/>
            <w:u w:val="single"/>
          </w:rPr>
          <w:t>https://doi.org/10.1038/s41467-022-29439-6</w:t>
        </w:r>
      </w:hyperlink>
    </w:p>
    <w:p w14:paraId="59C179E4" w14:textId="53BEEDC2"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Eng, C.-H. L., Lawson, M., Zhu, Q., Dries, R., </w:t>
      </w:r>
      <w:proofErr w:type="spellStart"/>
      <w:r w:rsidRPr="00034575">
        <w:rPr>
          <w:rFonts w:eastAsia="Times New Roman" w:cs="Times New Roman"/>
          <w:sz w:val="24"/>
          <w:szCs w:val="24"/>
        </w:rPr>
        <w:t>Koulena</w:t>
      </w:r>
      <w:proofErr w:type="spellEnd"/>
      <w:r w:rsidRPr="00034575">
        <w:rPr>
          <w:rFonts w:eastAsia="Times New Roman" w:cs="Times New Roman"/>
          <w:sz w:val="24"/>
          <w:szCs w:val="24"/>
        </w:rPr>
        <w:t xml:space="preserve">, N., Takei, Y., Yun, J., Cronin, C., Karp, C., Yuan, G.-C., &amp; Cai, L. (2019). Transcriptome-scale super-resolved imaging in tissues by RNA </w:t>
      </w:r>
      <w:proofErr w:type="spellStart"/>
      <w:r w:rsidRPr="00034575">
        <w:rPr>
          <w:rFonts w:eastAsia="Times New Roman" w:cs="Times New Roman"/>
          <w:sz w:val="24"/>
          <w:szCs w:val="24"/>
        </w:rPr>
        <w:t>seqFISH</w:t>
      </w:r>
      <w:proofErr w:type="spellEnd"/>
      <w:r w:rsidRPr="00034575">
        <w:rPr>
          <w:rFonts w:eastAsia="Times New Roman" w:cs="Times New Roman"/>
          <w:sz w:val="24"/>
          <w:szCs w:val="24"/>
        </w:rPr>
        <w:t xml:space="preserve">+. </w:t>
      </w:r>
      <w:r w:rsidRPr="00034575">
        <w:rPr>
          <w:rFonts w:eastAsia="Times New Roman" w:cs="Times New Roman"/>
          <w:i/>
          <w:iCs/>
          <w:sz w:val="24"/>
          <w:szCs w:val="24"/>
        </w:rPr>
        <w:t>Nature, 568</w:t>
      </w:r>
      <w:r w:rsidRPr="00034575">
        <w:rPr>
          <w:rFonts w:eastAsia="Times New Roman" w:cs="Times New Roman"/>
          <w:sz w:val="24"/>
          <w:szCs w:val="24"/>
        </w:rPr>
        <w:t xml:space="preserve">(7751), 235–239. </w:t>
      </w:r>
      <w:hyperlink r:id="rId18" w:history="1">
        <w:r w:rsidRPr="00034575">
          <w:rPr>
            <w:rFonts w:eastAsia="Times New Roman" w:cs="Times New Roman"/>
            <w:color w:val="0000FF"/>
            <w:sz w:val="24"/>
            <w:szCs w:val="24"/>
            <w:u w:val="single"/>
          </w:rPr>
          <w:t>https://doi.org/10.1038/s41586-019-1049-y</w:t>
        </w:r>
      </w:hyperlink>
    </w:p>
    <w:p w14:paraId="6E6E1636" w14:textId="18D069DD"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Fu, X., Cao, Y., Bian, B., Wang, C., Graham, D., </w:t>
      </w:r>
      <w:proofErr w:type="spellStart"/>
      <w:r w:rsidRPr="00034575">
        <w:rPr>
          <w:rFonts w:eastAsia="Times New Roman" w:cs="Times New Roman"/>
          <w:sz w:val="24"/>
          <w:szCs w:val="24"/>
        </w:rPr>
        <w:t>Pathmanathan</w:t>
      </w:r>
      <w:proofErr w:type="spellEnd"/>
      <w:r w:rsidRPr="00034575">
        <w:rPr>
          <w:rFonts w:eastAsia="Times New Roman" w:cs="Times New Roman"/>
          <w:sz w:val="24"/>
          <w:szCs w:val="24"/>
        </w:rPr>
        <w:t xml:space="preserve">, N., Patrick, E., Kim, J., &amp; Yang, J. Y. H. (2025). Spatial gene expression at single-cell resolution from histology using deep </w:t>
      </w:r>
      <w:r w:rsidRPr="00034575">
        <w:rPr>
          <w:rFonts w:eastAsia="Times New Roman" w:cs="Times New Roman"/>
          <w:sz w:val="24"/>
          <w:szCs w:val="24"/>
        </w:rPr>
        <w:lastRenderedPageBreak/>
        <w:t xml:space="preserve">learning with GHIST. </w:t>
      </w:r>
      <w:r w:rsidRPr="00034575">
        <w:rPr>
          <w:rFonts w:eastAsia="Times New Roman" w:cs="Times New Roman"/>
          <w:i/>
          <w:iCs/>
          <w:sz w:val="24"/>
          <w:szCs w:val="24"/>
        </w:rPr>
        <w:t>Nature Methods, 22</w:t>
      </w:r>
      <w:r w:rsidRPr="00034575">
        <w:rPr>
          <w:rFonts w:eastAsia="Times New Roman" w:cs="Times New Roman"/>
          <w:sz w:val="24"/>
          <w:szCs w:val="24"/>
        </w:rPr>
        <w:t xml:space="preserve">(9), 1900–1910. </w:t>
      </w:r>
      <w:hyperlink r:id="rId19" w:history="1">
        <w:r w:rsidRPr="00034575">
          <w:rPr>
            <w:rFonts w:eastAsia="Times New Roman" w:cs="Times New Roman"/>
            <w:color w:val="0000FF"/>
            <w:sz w:val="24"/>
            <w:szCs w:val="24"/>
            <w:u w:val="single"/>
          </w:rPr>
          <w:t>https://doi.org/10.1038/s41592-025-02795-z</w:t>
        </w:r>
      </w:hyperlink>
    </w:p>
    <w:p w14:paraId="10571586" w14:textId="6D2E9464" w:rsidR="00034575" w:rsidRPr="00034575" w:rsidRDefault="00034575" w:rsidP="00034575">
      <w:pPr>
        <w:spacing w:after="0" w:line="240" w:lineRule="auto"/>
        <w:ind w:left="540" w:hanging="540"/>
        <w:rPr>
          <w:rFonts w:eastAsia="Times New Roman" w:cs="Times New Roman"/>
          <w:sz w:val="24"/>
          <w:szCs w:val="24"/>
        </w:rPr>
      </w:pPr>
      <w:proofErr w:type="spellStart"/>
      <w:r w:rsidRPr="00034575">
        <w:rPr>
          <w:rFonts w:eastAsia="Times New Roman" w:cs="Times New Roman"/>
          <w:sz w:val="24"/>
          <w:szCs w:val="24"/>
        </w:rPr>
        <w:t>Goltsev</w:t>
      </w:r>
      <w:proofErr w:type="spellEnd"/>
      <w:r w:rsidRPr="00034575">
        <w:rPr>
          <w:rFonts w:eastAsia="Times New Roman" w:cs="Times New Roman"/>
          <w:sz w:val="24"/>
          <w:szCs w:val="24"/>
        </w:rPr>
        <w:t xml:space="preserve">, Y., </w:t>
      </w:r>
      <w:proofErr w:type="spellStart"/>
      <w:r w:rsidRPr="00034575">
        <w:rPr>
          <w:rFonts w:eastAsia="Times New Roman" w:cs="Times New Roman"/>
          <w:sz w:val="24"/>
          <w:szCs w:val="24"/>
        </w:rPr>
        <w:t>Samusik</w:t>
      </w:r>
      <w:proofErr w:type="spellEnd"/>
      <w:r w:rsidRPr="00034575">
        <w:rPr>
          <w:rFonts w:eastAsia="Times New Roman" w:cs="Times New Roman"/>
          <w:sz w:val="24"/>
          <w:szCs w:val="24"/>
        </w:rPr>
        <w:t xml:space="preserve">, N., Kennedy-Darling, J., Bhate, S., Hale, M., Vazquez, G., Black, S., &amp; Nolan, G. P. (2018). Deep profiling of mouse splenic architecture with CODEX multiplexed imaging. </w:t>
      </w:r>
      <w:r w:rsidRPr="00034575">
        <w:rPr>
          <w:rFonts w:eastAsia="Times New Roman" w:cs="Times New Roman"/>
          <w:i/>
          <w:iCs/>
          <w:sz w:val="24"/>
          <w:szCs w:val="24"/>
        </w:rPr>
        <w:t>Cell, 174</w:t>
      </w:r>
      <w:r w:rsidRPr="00034575">
        <w:rPr>
          <w:rFonts w:eastAsia="Times New Roman" w:cs="Times New Roman"/>
          <w:sz w:val="24"/>
          <w:szCs w:val="24"/>
        </w:rPr>
        <w:t xml:space="preserve">(4), 968–981.e15. </w:t>
      </w:r>
      <w:hyperlink r:id="rId20" w:history="1">
        <w:r w:rsidRPr="00034575">
          <w:rPr>
            <w:rFonts w:eastAsia="Times New Roman" w:cs="Times New Roman"/>
            <w:color w:val="0000FF"/>
            <w:sz w:val="24"/>
            <w:szCs w:val="24"/>
            <w:u w:val="single"/>
          </w:rPr>
          <w:t>https://doi.org/10.1016/j.cell.2018.07.010</w:t>
        </w:r>
      </w:hyperlink>
    </w:p>
    <w:p w14:paraId="77E16B8D" w14:textId="31312E56"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Hao, N., Yang, X., Yan, B., Li, D., Huang, J., Wu, X., Ruiz, E. S., Ruiz de Luzuriaga, A., Zhao, C., &amp; Wan, G. (2026). Histopathology-centered computational evolution of spatial omics: Integration, mapping, and foundation models. </w:t>
      </w:r>
      <w:r w:rsidRPr="00034575">
        <w:rPr>
          <w:rFonts w:eastAsia="Times New Roman" w:cs="Times New Roman"/>
          <w:i/>
          <w:iCs/>
          <w:sz w:val="24"/>
          <w:szCs w:val="24"/>
        </w:rPr>
        <w:t>Briefings in Bioinformatics, 27</w:t>
      </w:r>
      <w:r w:rsidRPr="00034575">
        <w:rPr>
          <w:rFonts w:eastAsia="Times New Roman" w:cs="Times New Roman"/>
          <w:sz w:val="24"/>
          <w:szCs w:val="24"/>
        </w:rPr>
        <w:t xml:space="preserve">(4), bbag387. </w:t>
      </w:r>
      <w:hyperlink r:id="rId21" w:history="1">
        <w:r w:rsidRPr="00034575">
          <w:rPr>
            <w:rFonts w:eastAsia="Times New Roman" w:cs="Times New Roman"/>
            <w:color w:val="0000FF"/>
            <w:sz w:val="24"/>
            <w:szCs w:val="24"/>
            <w:u w:val="single"/>
          </w:rPr>
          <w:t>https://doi.org/10.1093/bib/bbag387</w:t>
        </w:r>
      </w:hyperlink>
    </w:p>
    <w:p w14:paraId="1DE7F111" w14:textId="0DD27DE0"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He, B., </w:t>
      </w:r>
      <w:proofErr w:type="spellStart"/>
      <w:r w:rsidRPr="00034575">
        <w:rPr>
          <w:rFonts w:eastAsia="Times New Roman" w:cs="Times New Roman"/>
          <w:sz w:val="24"/>
          <w:szCs w:val="24"/>
        </w:rPr>
        <w:t>Bergenstråhle</w:t>
      </w:r>
      <w:proofErr w:type="spellEnd"/>
      <w:r w:rsidRPr="00034575">
        <w:rPr>
          <w:rFonts w:eastAsia="Times New Roman" w:cs="Times New Roman"/>
          <w:sz w:val="24"/>
          <w:szCs w:val="24"/>
        </w:rPr>
        <w:t xml:space="preserve">, L., Stenbeck, L., Abid, A., Andersson, A., Borg, Å., </w:t>
      </w:r>
      <w:proofErr w:type="spellStart"/>
      <w:r w:rsidRPr="00034575">
        <w:rPr>
          <w:rFonts w:eastAsia="Times New Roman" w:cs="Times New Roman"/>
          <w:sz w:val="24"/>
          <w:szCs w:val="24"/>
        </w:rPr>
        <w:t>Maaskola</w:t>
      </w:r>
      <w:proofErr w:type="spellEnd"/>
      <w:r w:rsidRPr="00034575">
        <w:rPr>
          <w:rFonts w:eastAsia="Times New Roman" w:cs="Times New Roman"/>
          <w:sz w:val="24"/>
          <w:szCs w:val="24"/>
        </w:rPr>
        <w:t xml:space="preserve">, J., Lundeberg, J., &amp; Zou, J. (2020). Integrating spatial gene expression and breast </w:t>
      </w:r>
      <w:proofErr w:type="spellStart"/>
      <w:r w:rsidRPr="00034575">
        <w:rPr>
          <w:rFonts w:eastAsia="Times New Roman" w:cs="Times New Roman"/>
          <w:sz w:val="24"/>
          <w:szCs w:val="24"/>
        </w:rPr>
        <w:t>tumour</w:t>
      </w:r>
      <w:proofErr w:type="spellEnd"/>
      <w:r w:rsidRPr="00034575">
        <w:rPr>
          <w:rFonts w:eastAsia="Times New Roman" w:cs="Times New Roman"/>
          <w:sz w:val="24"/>
          <w:szCs w:val="24"/>
        </w:rPr>
        <w:t xml:space="preserve"> morphology via deep learning. </w:t>
      </w:r>
      <w:r w:rsidRPr="00034575">
        <w:rPr>
          <w:rFonts w:eastAsia="Times New Roman" w:cs="Times New Roman"/>
          <w:i/>
          <w:iCs/>
          <w:sz w:val="24"/>
          <w:szCs w:val="24"/>
        </w:rPr>
        <w:t>Nature Biomedical Engineering, 4</w:t>
      </w:r>
      <w:r w:rsidRPr="00034575">
        <w:rPr>
          <w:rFonts w:eastAsia="Times New Roman" w:cs="Times New Roman"/>
          <w:sz w:val="24"/>
          <w:szCs w:val="24"/>
        </w:rPr>
        <w:t xml:space="preserve">(8), 827–834. </w:t>
      </w:r>
      <w:hyperlink r:id="rId22" w:history="1">
        <w:r w:rsidRPr="00034575">
          <w:rPr>
            <w:rFonts w:eastAsia="Times New Roman" w:cs="Times New Roman"/>
            <w:color w:val="0000FF"/>
            <w:sz w:val="24"/>
            <w:szCs w:val="24"/>
            <w:u w:val="single"/>
          </w:rPr>
          <w:t>https://doi.org/10.1038/s41551-020-0578-x</w:t>
        </w:r>
      </w:hyperlink>
    </w:p>
    <w:p w14:paraId="6617E1EE" w14:textId="10D773DC"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Hu, J., Li, X., Coleman, K., Schroeder, A., Ma, N., Irwin, D. J., Lee, E. B., Shinohara, R. T., &amp; Li, M. (2021). </w:t>
      </w:r>
      <w:proofErr w:type="spellStart"/>
      <w:r w:rsidRPr="00034575">
        <w:rPr>
          <w:rFonts w:eastAsia="Times New Roman" w:cs="Times New Roman"/>
          <w:sz w:val="24"/>
          <w:szCs w:val="24"/>
        </w:rPr>
        <w:t>SpaGCN</w:t>
      </w:r>
      <w:proofErr w:type="spellEnd"/>
      <w:r w:rsidRPr="00034575">
        <w:rPr>
          <w:rFonts w:eastAsia="Times New Roman" w:cs="Times New Roman"/>
          <w:sz w:val="24"/>
          <w:szCs w:val="24"/>
        </w:rPr>
        <w:t xml:space="preserve">: Integrating gene expression, spatial location and histology to identify spatial domains and spatially variable genes by graph convolutional network. </w:t>
      </w:r>
      <w:r w:rsidRPr="00034575">
        <w:rPr>
          <w:rFonts w:eastAsia="Times New Roman" w:cs="Times New Roman"/>
          <w:i/>
          <w:iCs/>
          <w:sz w:val="24"/>
          <w:szCs w:val="24"/>
        </w:rPr>
        <w:t>Nature Methods, 18</w:t>
      </w:r>
      <w:r w:rsidRPr="00034575">
        <w:rPr>
          <w:rFonts w:eastAsia="Times New Roman" w:cs="Times New Roman"/>
          <w:sz w:val="24"/>
          <w:szCs w:val="24"/>
        </w:rPr>
        <w:t xml:space="preserve">(11), 1342–1351. </w:t>
      </w:r>
      <w:hyperlink r:id="rId23" w:history="1">
        <w:r w:rsidRPr="00034575">
          <w:rPr>
            <w:rFonts w:eastAsia="Times New Roman" w:cs="Times New Roman"/>
            <w:color w:val="0000FF"/>
            <w:sz w:val="24"/>
            <w:szCs w:val="24"/>
            <w:u w:val="single"/>
          </w:rPr>
          <w:t>https://doi.org/10.1038/s41592-021-01255-8</w:t>
        </w:r>
      </w:hyperlink>
    </w:p>
    <w:p w14:paraId="3D434F9D" w14:textId="2D9364D4"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Huang, T., Liu, T., </w:t>
      </w:r>
      <w:proofErr w:type="spellStart"/>
      <w:r w:rsidRPr="00034575">
        <w:rPr>
          <w:rFonts w:eastAsia="Times New Roman" w:cs="Times New Roman"/>
          <w:sz w:val="24"/>
          <w:szCs w:val="24"/>
        </w:rPr>
        <w:t>Babadi</w:t>
      </w:r>
      <w:proofErr w:type="spellEnd"/>
      <w:r w:rsidRPr="00034575">
        <w:rPr>
          <w:rFonts w:eastAsia="Times New Roman" w:cs="Times New Roman"/>
          <w:sz w:val="24"/>
          <w:szCs w:val="24"/>
        </w:rPr>
        <w:t xml:space="preserve">, M., Ying, R., &amp; Jin, W. (2025). </w:t>
      </w:r>
      <w:proofErr w:type="spellStart"/>
      <w:r w:rsidRPr="00034575">
        <w:rPr>
          <w:rFonts w:eastAsia="Times New Roman" w:cs="Times New Roman"/>
          <w:sz w:val="24"/>
          <w:szCs w:val="24"/>
        </w:rPr>
        <w:t>STPath</w:t>
      </w:r>
      <w:proofErr w:type="spellEnd"/>
      <w:r w:rsidRPr="00034575">
        <w:rPr>
          <w:rFonts w:eastAsia="Times New Roman" w:cs="Times New Roman"/>
          <w:sz w:val="24"/>
          <w:szCs w:val="24"/>
        </w:rPr>
        <w:t xml:space="preserve">: A generative foundation model for integrating spatial transcriptomics and whole-slide images. </w:t>
      </w:r>
      <w:proofErr w:type="spellStart"/>
      <w:r w:rsidRPr="00034575">
        <w:rPr>
          <w:rFonts w:eastAsia="Times New Roman" w:cs="Times New Roman"/>
          <w:i/>
          <w:iCs/>
          <w:sz w:val="24"/>
          <w:szCs w:val="24"/>
        </w:rPr>
        <w:t>npj</w:t>
      </w:r>
      <w:proofErr w:type="spellEnd"/>
      <w:r w:rsidRPr="00034575">
        <w:rPr>
          <w:rFonts w:eastAsia="Times New Roman" w:cs="Times New Roman"/>
          <w:i/>
          <w:iCs/>
          <w:sz w:val="24"/>
          <w:szCs w:val="24"/>
        </w:rPr>
        <w:t xml:space="preserve"> Digital Medicine, 8</w:t>
      </w:r>
      <w:r w:rsidRPr="00034575">
        <w:rPr>
          <w:rFonts w:eastAsia="Times New Roman" w:cs="Times New Roman"/>
          <w:sz w:val="24"/>
          <w:szCs w:val="24"/>
        </w:rPr>
        <w:t xml:space="preserve">(1), 659. </w:t>
      </w:r>
      <w:hyperlink r:id="rId24" w:history="1">
        <w:r w:rsidRPr="00034575">
          <w:rPr>
            <w:rFonts w:eastAsia="Times New Roman" w:cs="Times New Roman"/>
            <w:color w:val="0000FF"/>
            <w:sz w:val="24"/>
            <w:szCs w:val="24"/>
            <w:u w:val="single"/>
          </w:rPr>
          <w:t>https://doi.org/10.1038/s41746-025-02020-3</w:t>
        </w:r>
      </w:hyperlink>
    </w:p>
    <w:p w14:paraId="5A51FFF1" w14:textId="12C7F4E6"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Jackson, H. W., Fischer, J. R., Zanotelli, V. R. T., Ali, H. R., </w:t>
      </w:r>
      <w:proofErr w:type="spellStart"/>
      <w:r w:rsidRPr="00034575">
        <w:rPr>
          <w:rFonts w:eastAsia="Times New Roman" w:cs="Times New Roman"/>
          <w:sz w:val="24"/>
          <w:szCs w:val="24"/>
        </w:rPr>
        <w:t>Mechera</w:t>
      </w:r>
      <w:proofErr w:type="spellEnd"/>
      <w:r w:rsidRPr="00034575">
        <w:rPr>
          <w:rFonts w:eastAsia="Times New Roman" w:cs="Times New Roman"/>
          <w:sz w:val="24"/>
          <w:szCs w:val="24"/>
        </w:rPr>
        <w:t xml:space="preserve">, R., Soysal, S. D., Moch, H., </w:t>
      </w:r>
      <w:proofErr w:type="spellStart"/>
      <w:r w:rsidRPr="00034575">
        <w:rPr>
          <w:rFonts w:eastAsia="Times New Roman" w:cs="Times New Roman"/>
          <w:sz w:val="24"/>
          <w:szCs w:val="24"/>
        </w:rPr>
        <w:t>Muenst</w:t>
      </w:r>
      <w:proofErr w:type="spellEnd"/>
      <w:r w:rsidRPr="00034575">
        <w:rPr>
          <w:rFonts w:eastAsia="Times New Roman" w:cs="Times New Roman"/>
          <w:sz w:val="24"/>
          <w:szCs w:val="24"/>
        </w:rPr>
        <w:t xml:space="preserve">, S., Varga, Z., Weber, W. P., &amp; Bodenmiller, B. (2020). The single-cell pathology landscape of breast cancer. </w:t>
      </w:r>
      <w:r w:rsidRPr="00034575">
        <w:rPr>
          <w:rFonts w:eastAsia="Times New Roman" w:cs="Times New Roman"/>
          <w:i/>
          <w:iCs/>
          <w:sz w:val="24"/>
          <w:szCs w:val="24"/>
        </w:rPr>
        <w:t>Nature, 578</w:t>
      </w:r>
      <w:r w:rsidRPr="00034575">
        <w:rPr>
          <w:rFonts w:eastAsia="Times New Roman" w:cs="Times New Roman"/>
          <w:sz w:val="24"/>
          <w:szCs w:val="24"/>
        </w:rPr>
        <w:t xml:space="preserve">(7796), 615–620. </w:t>
      </w:r>
      <w:hyperlink r:id="rId25" w:history="1">
        <w:r w:rsidRPr="00034575">
          <w:rPr>
            <w:rFonts w:eastAsia="Times New Roman" w:cs="Times New Roman"/>
            <w:color w:val="0000FF"/>
            <w:sz w:val="24"/>
            <w:szCs w:val="24"/>
            <w:u w:val="single"/>
          </w:rPr>
          <w:t>https://doi.org/10.1038/s41586-019-1876-x</w:t>
        </w:r>
      </w:hyperlink>
    </w:p>
    <w:p w14:paraId="16D4AC73" w14:textId="08BC9378"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Janesick, A., Shelansky, R., </w:t>
      </w:r>
      <w:proofErr w:type="spellStart"/>
      <w:r w:rsidRPr="00034575">
        <w:rPr>
          <w:rFonts w:eastAsia="Times New Roman" w:cs="Times New Roman"/>
          <w:sz w:val="24"/>
          <w:szCs w:val="24"/>
        </w:rPr>
        <w:t>Gottscho</w:t>
      </w:r>
      <w:proofErr w:type="spellEnd"/>
      <w:r w:rsidRPr="00034575">
        <w:rPr>
          <w:rFonts w:eastAsia="Times New Roman" w:cs="Times New Roman"/>
          <w:sz w:val="24"/>
          <w:szCs w:val="24"/>
        </w:rPr>
        <w:t xml:space="preserve">, A. D., Wagner, F., Williams, S. R., Rouault, M., Beliakoff, G., Morrison, C. A., Oliveira, M. F., Sicherman, J. T., Kohlway, A., </w:t>
      </w:r>
      <w:proofErr w:type="spellStart"/>
      <w:r w:rsidRPr="00034575">
        <w:rPr>
          <w:rFonts w:eastAsia="Times New Roman" w:cs="Times New Roman"/>
          <w:sz w:val="24"/>
          <w:szCs w:val="24"/>
        </w:rPr>
        <w:t>Abousoud</w:t>
      </w:r>
      <w:proofErr w:type="spellEnd"/>
      <w:r w:rsidRPr="00034575">
        <w:rPr>
          <w:rFonts w:eastAsia="Times New Roman" w:cs="Times New Roman"/>
          <w:sz w:val="24"/>
          <w:szCs w:val="24"/>
        </w:rPr>
        <w:t xml:space="preserve">, J., Drennon, T. Y., Mohabbat, S. H., 10x Development Teams, &amp; Taylor, S. E. B. (2023). High resolution mapping of the tumor microenvironment using integrated single-cell, spatial and in situ analysis. </w:t>
      </w:r>
      <w:r w:rsidRPr="00034575">
        <w:rPr>
          <w:rFonts w:eastAsia="Times New Roman" w:cs="Times New Roman"/>
          <w:i/>
          <w:iCs/>
          <w:sz w:val="24"/>
          <w:szCs w:val="24"/>
        </w:rPr>
        <w:t>Nature Communications, 14</w:t>
      </w:r>
      <w:r w:rsidRPr="00034575">
        <w:rPr>
          <w:rFonts w:eastAsia="Times New Roman" w:cs="Times New Roman"/>
          <w:sz w:val="24"/>
          <w:szCs w:val="24"/>
        </w:rPr>
        <w:t xml:space="preserve">(1), 8353. </w:t>
      </w:r>
      <w:hyperlink r:id="rId26" w:history="1">
        <w:r w:rsidRPr="00034575">
          <w:rPr>
            <w:rFonts w:eastAsia="Times New Roman" w:cs="Times New Roman"/>
            <w:color w:val="0000FF"/>
            <w:sz w:val="24"/>
            <w:szCs w:val="24"/>
            <w:u w:val="single"/>
          </w:rPr>
          <w:t>https://doi.org/10.1038/s41467-023-43458-x</w:t>
        </w:r>
      </w:hyperlink>
    </w:p>
    <w:p w14:paraId="77E880D4" w14:textId="1BA93842"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Ji, A. L., Rubin, A. J., Thrane, K., Jiang, S., Reynolds, D. L., Meyers, R. M., Guo, M. G., George, B. M., </w:t>
      </w:r>
      <w:proofErr w:type="spellStart"/>
      <w:r w:rsidRPr="00034575">
        <w:rPr>
          <w:rFonts w:eastAsia="Times New Roman" w:cs="Times New Roman"/>
          <w:sz w:val="24"/>
          <w:szCs w:val="24"/>
        </w:rPr>
        <w:t>Mollbrink</w:t>
      </w:r>
      <w:proofErr w:type="spellEnd"/>
      <w:r w:rsidRPr="00034575">
        <w:rPr>
          <w:rFonts w:eastAsia="Times New Roman" w:cs="Times New Roman"/>
          <w:sz w:val="24"/>
          <w:szCs w:val="24"/>
        </w:rPr>
        <w:t xml:space="preserve">, A., </w:t>
      </w:r>
      <w:proofErr w:type="spellStart"/>
      <w:r w:rsidRPr="00034575">
        <w:rPr>
          <w:rFonts w:eastAsia="Times New Roman" w:cs="Times New Roman"/>
          <w:sz w:val="24"/>
          <w:szCs w:val="24"/>
        </w:rPr>
        <w:t>Bergenstråhle</w:t>
      </w:r>
      <w:proofErr w:type="spellEnd"/>
      <w:r w:rsidRPr="00034575">
        <w:rPr>
          <w:rFonts w:eastAsia="Times New Roman" w:cs="Times New Roman"/>
          <w:sz w:val="24"/>
          <w:szCs w:val="24"/>
        </w:rPr>
        <w:t>, J., Larsson, L., Bai, Y., Zhu, B., Bhaduri, A., Meyers, J. M., Rovira-</w:t>
      </w:r>
      <w:proofErr w:type="spellStart"/>
      <w:r w:rsidRPr="00034575">
        <w:rPr>
          <w:rFonts w:eastAsia="Times New Roman" w:cs="Times New Roman"/>
          <w:sz w:val="24"/>
          <w:szCs w:val="24"/>
        </w:rPr>
        <w:t>Clavé</w:t>
      </w:r>
      <w:proofErr w:type="spellEnd"/>
      <w:r w:rsidRPr="00034575">
        <w:rPr>
          <w:rFonts w:eastAsia="Times New Roman" w:cs="Times New Roman"/>
          <w:sz w:val="24"/>
          <w:szCs w:val="24"/>
        </w:rPr>
        <w:t xml:space="preserve">, X., Hollmig, S. T., Aasi, S. Z., Nolan, G. P., … Khavari, P. A. (2020). Multimodal analysis of composition and spatial architecture in human squamous cell carcinoma. </w:t>
      </w:r>
      <w:r w:rsidRPr="00034575">
        <w:rPr>
          <w:rFonts w:eastAsia="Times New Roman" w:cs="Times New Roman"/>
          <w:i/>
          <w:iCs/>
          <w:sz w:val="24"/>
          <w:szCs w:val="24"/>
        </w:rPr>
        <w:t>Cell, 182</w:t>
      </w:r>
      <w:r w:rsidRPr="00034575">
        <w:rPr>
          <w:rFonts w:eastAsia="Times New Roman" w:cs="Times New Roman"/>
          <w:sz w:val="24"/>
          <w:szCs w:val="24"/>
        </w:rPr>
        <w:t xml:space="preserve">(2), 497–514.e22. </w:t>
      </w:r>
      <w:hyperlink r:id="rId27" w:history="1">
        <w:r w:rsidRPr="00034575">
          <w:rPr>
            <w:rFonts w:eastAsia="Times New Roman" w:cs="Times New Roman"/>
            <w:color w:val="0000FF"/>
            <w:sz w:val="24"/>
            <w:szCs w:val="24"/>
            <w:u w:val="single"/>
          </w:rPr>
          <w:t>https://doi.org/10.1016/j.cell.2020.05.039</w:t>
        </w:r>
      </w:hyperlink>
    </w:p>
    <w:p w14:paraId="2DA3490A" w14:textId="016E5B24"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Jiang, X., Wang, S., Guo, L., Zhu, B., Wen, Z., Jia, L., Xu, L., Xiao, G., &amp; Li, Q. (2024). </w:t>
      </w:r>
      <w:proofErr w:type="spellStart"/>
      <w:r w:rsidRPr="00034575">
        <w:rPr>
          <w:rFonts w:eastAsia="Times New Roman" w:cs="Times New Roman"/>
          <w:sz w:val="24"/>
          <w:szCs w:val="24"/>
        </w:rPr>
        <w:t>iIMPACT</w:t>
      </w:r>
      <w:proofErr w:type="spellEnd"/>
      <w:r w:rsidRPr="00034575">
        <w:rPr>
          <w:rFonts w:eastAsia="Times New Roman" w:cs="Times New Roman"/>
          <w:sz w:val="24"/>
          <w:szCs w:val="24"/>
        </w:rPr>
        <w:t xml:space="preserve">: Integrating image and molecular profiles for spatial transcriptomics analysis. </w:t>
      </w:r>
      <w:r w:rsidRPr="00034575">
        <w:rPr>
          <w:rFonts w:eastAsia="Times New Roman" w:cs="Times New Roman"/>
          <w:i/>
          <w:iCs/>
          <w:sz w:val="24"/>
          <w:szCs w:val="24"/>
        </w:rPr>
        <w:t>Genome Biology, 25</w:t>
      </w:r>
      <w:r w:rsidRPr="00034575">
        <w:rPr>
          <w:rFonts w:eastAsia="Times New Roman" w:cs="Times New Roman"/>
          <w:sz w:val="24"/>
          <w:szCs w:val="24"/>
        </w:rPr>
        <w:t xml:space="preserve">(1), 147. </w:t>
      </w:r>
      <w:hyperlink r:id="rId28" w:history="1">
        <w:r w:rsidRPr="00034575">
          <w:rPr>
            <w:rFonts w:eastAsia="Times New Roman" w:cs="Times New Roman"/>
            <w:color w:val="0000FF"/>
            <w:sz w:val="24"/>
            <w:szCs w:val="24"/>
            <w:u w:val="single"/>
          </w:rPr>
          <w:t>https://doi.org/10.1186/s13059-024-03289-5</w:t>
        </w:r>
      </w:hyperlink>
    </w:p>
    <w:p w14:paraId="6C35E091" w14:textId="58A3691A" w:rsidR="00034575" w:rsidRPr="00034575" w:rsidRDefault="00034575" w:rsidP="00034575">
      <w:pPr>
        <w:spacing w:after="0" w:line="240" w:lineRule="auto"/>
        <w:ind w:left="540" w:hanging="540"/>
        <w:rPr>
          <w:rFonts w:eastAsia="Times New Roman" w:cs="Times New Roman"/>
          <w:sz w:val="24"/>
          <w:szCs w:val="24"/>
          <w:lang w:val="nl-BE"/>
        </w:rPr>
      </w:pPr>
      <w:r w:rsidRPr="00034575">
        <w:rPr>
          <w:rFonts w:eastAsia="Times New Roman" w:cs="Times New Roman"/>
          <w:sz w:val="24"/>
          <w:szCs w:val="24"/>
        </w:rPr>
        <w:t xml:space="preserve">Kather, J. N., Pearson, A. T., Halama, N., Jäger, D., Krause, J., Loosen, S. H., Marx, A., Boor, P., Tacke, F., Neumann, U. P., Grabsch, H. I., Yoshikawa, T., Brenner, H., Chang-Claude, J., Hoffmeister, M., Trautwein, C., &amp; Luedde, T. (2019). Deep learning can predict microsatellite instability directly from histology in gastrointestinal cancer. </w:t>
      </w:r>
      <w:r w:rsidRPr="00034575">
        <w:rPr>
          <w:rFonts w:eastAsia="Times New Roman" w:cs="Times New Roman"/>
          <w:i/>
          <w:iCs/>
          <w:sz w:val="24"/>
          <w:szCs w:val="24"/>
          <w:lang w:val="nl-BE"/>
        </w:rPr>
        <w:t>Nature Medicine, 25</w:t>
      </w:r>
      <w:r w:rsidRPr="00034575">
        <w:rPr>
          <w:rFonts w:eastAsia="Times New Roman" w:cs="Times New Roman"/>
          <w:sz w:val="24"/>
          <w:szCs w:val="24"/>
          <w:lang w:val="nl-BE"/>
        </w:rPr>
        <w:t xml:space="preserve">(7), 1054–1056. </w:t>
      </w:r>
      <w:r w:rsidRPr="00034575">
        <w:rPr>
          <w:rFonts w:eastAsia="Times New Roman" w:cs="Times New Roman"/>
          <w:sz w:val="24"/>
          <w:szCs w:val="24"/>
        </w:rPr>
        <w:fldChar w:fldCharType="begin"/>
      </w:r>
      <w:r w:rsidRPr="00034575">
        <w:rPr>
          <w:rFonts w:eastAsia="Times New Roman" w:cs="Times New Roman"/>
          <w:sz w:val="24"/>
          <w:szCs w:val="24"/>
          <w:lang w:val="nl-BE"/>
        </w:rPr>
        <w:instrText>HYPERLINK "https://doi.org/10.1038/s41591-019-0462-y"</w:instrText>
      </w:r>
      <w:r w:rsidRPr="00034575">
        <w:rPr>
          <w:rFonts w:eastAsia="Times New Roman" w:cs="Times New Roman"/>
          <w:sz w:val="24"/>
          <w:szCs w:val="24"/>
        </w:rPr>
        <w:fldChar w:fldCharType="separate"/>
      </w:r>
      <w:r w:rsidRPr="00034575">
        <w:rPr>
          <w:rFonts w:eastAsia="Times New Roman" w:cs="Times New Roman"/>
          <w:color w:val="0000FF"/>
          <w:sz w:val="24"/>
          <w:szCs w:val="24"/>
          <w:u w:val="single"/>
          <w:lang w:val="nl-BE"/>
        </w:rPr>
        <w:t>https://doi.org/10.1038/s41591-019-0462-y</w:t>
      </w:r>
      <w:r w:rsidRPr="00034575">
        <w:rPr>
          <w:rFonts w:eastAsia="Times New Roman" w:cs="Times New Roman"/>
          <w:sz w:val="24"/>
          <w:szCs w:val="24"/>
        </w:rPr>
        <w:fldChar w:fldCharType="end"/>
      </w:r>
    </w:p>
    <w:p w14:paraId="69F51601" w14:textId="02E8A86F"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lang w:val="nl-BE"/>
        </w:rPr>
        <w:t xml:space="preserve">Keren, L., Bosse, M., Marquez, D., Angoshtari, R., Jain, S., Varma, S., Yang, S.-R., Kurian, A., Van Valen, D., West, R., Bendall, S. C., &amp; Angelo, M. (2018). </w:t>
      </w:r>
      <w:r w:rsidRPr="00034575">
        <w:rPr>
          <w:rFonts w:eastAsia="Times New Roman" w:cs="Times New Roman"/>
          <w:sz w:val="24"/>
          <w:szCs w:val="24"/>
        </w:rPr>
        <w:t xml:space="preserve">A structured tumor-immune microenvironment in triple negative breast cancer revealed by multiplexed ion beam imaging. </w:t>
      </w:r>
      <w:r w:rsidRPr="00034575">
        <w:rPr>
          <w:rFonts w:eastAsia="Times New Roman" w:cs="Times New Roman"/>
          <w:i/>
          <w:iCs/>
          <w:sz w:val="24"/>
          <w:szCs w:val="24"/>
        </w:rPr>
        <w:t>Cell, 174</w:t>
      </w:r>
      <w:r w:rsidRPr="00034575">
        <w:rPr>
          <w:rFonts w:eastAsia="Times New Roman" w:cs="Times New Roman"/>
          <w:sz w:val="24"/>
          <w:szCs w:val="24"/>
        </w:rPr>
        <w:t xml:space="preserve">(6), 1373–1387.e19. </w:t>
      </w:r>
      <w:hyperlink r:id="rId29" w:history="1">
        <w:r w:rsidRPr="00034575">
          <w:rPr>
            <w:rFonts w:eastAsia="Times New Roman" w:cs="Times New Roman"/>
            <w:color w:val="0000FF"/>
            <w:sz w:val="24"/>
            <w:szCs w:val="24"/>
            <w:u w:val="single"/>
          </w:rPr>
          <w:t>https://doi.org/10.1016/j.cell.2018.08.039</w:t>
        </w:r>
      </w:hyperlink>
    </w:p>
    <w:p w14:paraId="7A5A23F7" w14:textId="5C29F5A2"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Kleshchevnikov, V., Shmatko, A., Dann, E., Aivazidis, A., King, H. W., Li, T., </w:t>
      </w:r>
      <w:proofErr w:type="spellStart"/>
      <w:r w:rsidRPr="00034575">
        <w:rPr>
          <w:rFonts w:eastAsia="Times New Roman" w:cs="Times New Roman"/>
          <w:sz w:val="24"/>
          <w:szCs w:val="24"/>
        </w:rPr>
        <w:t>Elmentaite</w:t>
      </w:r>
      <w:proofErr w:type="spellEnd"/>
      <w:r w:rsidRPr="00034575">
        <w:rPr>
          <w:rFonts w:eastAsia="Times New Roman" w:cs="Times New Roman"/>
          <w:sz w:val="24"/>
          <w:szCs w:val="24"/>
        </w:rPr>
        <w:t xml:space="preserve">, R., Lomakin, A., </w:t>
      </w:r>
      <w:proofErr w:type="spellStart"/>
      <w:r w:rsidRPr="00034575">
        <w:rPr>
          <w:rFonts w:eastAsia="Times New Roman" w:cs="Times New Roman"/>
          <w:sz w:val="24"/>
          <w:szCs w:val="24"/>
        </w:rPr>
        <w:t>Kedlian</w:t>
      </w:r>
      <w:proofErr w:type="spellEnd"/>
      <w:r w:rsidRPr="00034575">
        <w:rPr>
          <w:rFonts w:eastAsia="Times New Roman" w:cs="Times New Roman"/>
          <w:sz w:val="24"/>
          <w:szCs w:val="24"/>
        </w:rPr>
        <w:t>, V., Gayoso, A., Jain, M. S., Park, J. S., Ramona, L., Tuck, E., Arutyunyan, A., Vento-</w:t>
      </w:r>
      <w:proofErr w:type="spellStart"/>
      <w:r w:rsidRPr="00034575">
        <w:rPr>
          <w:rFonts w:eastAsia="Times New Roman" w:cs="Times New Roman"/>
          <w:sz w:val="24"/>
          <w:szCs w:val="24"/>
        </w:rPr>
        <w:t>Tormo</w:t>
      </w:r>
      <w:proofErr w:type="spellEnd"/>
      <w:r w:rsidRPr="00034575">
        <w:rPr>
          <w:rFonts w:eastAsia="Times New Roman" w:cs="Times New Roman"/>
          <w:sz w:val="24"/>
          <w:szCs w:val="24"/>
        </w:rPr>
        <w:t xml:space="preserve">, R., Gerstung, M., James, L., </w:t>
      </w:r>
      <w:proofErr w:type="spellStart"/>
      <w:r w:rsidRPr="00034575">
        <w:rPr>
          <w:rFonts w:eastAsia="Times New Roman" w:cs="Times New Roman"/>
          <w:sz w:val="24"/>
          <w:szCs w:val="24"/>
        </w:rPr>
        <w:t>Stegle</w:t>
      </w:r>
      <w:proofErr w:type="spellEnd"/>
      <w:r w:rsidRPr="00034575">
        <w:rPr>
          <w:rFonts w:eastAsia="Times New Roman" w:cs="Times New Roman"/>
          <w:sz w:val="24"/>
          <w:szCs w:val="24"/>
        </w:rPr>
        <w:t xml:space="preserve">, O., &amp; Bayraktar, O. A. </w:t>
      </w:r>
      <w:r w:rsidRPr="00034575">
        <w:rPr>
          <w:rFonts w:eastAsia="Times New Roman" w:cs="Times New Roman"/>
          <w:sz w:val="24"/>
          <w:szCs w:val="24"/>
        </w:rPr>
        <w:lastRenderedPageBreak/>
        <w:t xml:space="preserve">(2022). Cell2location maps fine-grained cell types in spatial transcriptomics. </w:t>
      </w:r>
      <w:r w:rsidRPr="00034575">
        <w:rPr>
          <w:rFonts w:eastAsia="Times New Roman" w:cs="Times New Roman"/>
          <w:i/>
          <w:iCs/>
          <w:sz w:val="24"/>
          <w:szCs w:val="24"/>
        </w:rPr>
        <w:t>Nature Biotechnology, 40</w:t>
      </w:r>
      <w:r w:rsidRPr="00034575">
        <w:rPr>
          <w:rFonts w:eastAsia="Times New Roman" w:cs="Times New Roman"/>
          <w:sz w:val="24"/>
          <w:szCs w:val="24"/>
        </w:rPr>
        <w:t xml:space="preserve">(5), 661–671. </w:t>
      </w:r>
      <w:hyperlink r:id="rId30" w:history="1">
        <w:r w:rsidRPr="00034575">
          <w:rPr>
            <w:rFonts w:eastAsia="Times New Roman" w:cs="Times New Roman"/>
            <w:color w:val="0000FF"/>
            <w:sz w:val="24"/>
            <w:szCs w:val="24"/>
            <w:u w:val="single"/>
          </w:rPr>
          <w:t>https://doi.org/10.1038/s41587-021-01139-4</w:t>
        </w:r>
      </w:hyperlink>
    </w:p>
    <w:p w14:paraId="6F22A161" w14:textId="42363AD2"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Kulkarni, R., Maddox, A., Bailey, S., &amp; Rao, A. (2026). A multimodal framework to identify molecular mechanisms driving patient group-associated morphology through the integration of spatial transcriptomics and whole slide imaging. </w:t>
      </w:r>
      <w:proofErr w:type="spellStart"/>
      <w:r w:rsidRPr="00034575">
        <w:rPr>
          <w:rFonts w:eastAsia="Times New Roman" w:cs="Times New Roman"/>
          <w:i/>
          <w:iCs/>
          <w:sz w:val="24"/>
          <w:szCs w:val="24"/>
        </w:rPr>
        <w:t>npj</w:t>
      </w:r>
      <w:proofErr w:type="spellEnd"/>
      <w:r w:rsidRPr="00034575">
        <w:rPr>
          <w:rFonts w:eastAsia="Times New Roman" w:cs="Times New Roman"/>
          <w:i/>
          <w:iCs/>
          <w:sz w:val="24"/>
          <w:szCs w:val="24"/>
        </w:rPr>
        <w:t xml:space="preserve"> Artificial Intelligence, 2</w:t>
      </w:r>
      <w:r w:rsidRPr="00034575">
        <w:rPr>
          <w:rFonts w:eastAsia="Times New Roman" w:cs="Times New Roman"/>
          <w:sz w:val="24"/>
          <w:szCs w:val="24"/>
        </w:rPr>
        <w:t xml:space="preserve">(1), 9. </w:t>
      </w:r>
      <w:hyperlink r:id="rId31" w:history="1">
        <w:r w:rsidRPr="00034575">
          <w:rPr>
            <w:rFonts w:eastAsia="Times New Roman" w:cs="Times New Roman"/>
            <w:color w:val="0000FF"/>
            <w:sz w:val="24"/>
            <w:szCs w:val="24"/>
            <w:u w:val="single"/>
          </w:rPr>
          <w:t>https://doi.org/10.1038/s44387-025-00050-6</w:t>
        </w:r>
      </w:hyperlink>
    </w:p>
    <w:p w14:paraId="1E9600C0" w14:textId="10769C9B"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Liu, T., Huang, T., Ding, T., Wu, H., Humphrey, P., </w:t>
      </w:r>
      <w:proofErr w:type="spellStart"/>
      <w:r w:rsidRPr="00034575">
        <w:rPr>
          <w:rFonts w:eastAsia="Times New Roman" w:cs="Times New Roman"/>
          <w:sz w:val="24"/>
          <w:szCs w:val="24"/>
        </w:rPr>
        <w:t>Perincheri</w:t>
      </w:r>
      <w:proofErr w:type="spellEnd"/>
      <w:r w:rsidRPr="00034575">
        <w:rPr>
          <w:rFonts w:eastAsia="Times New Roman" w:cs="Times New Roman"/>
          <w:sz w:val="24"/>
          <w:szCs w:val="24"/>
        </w:rPr>
        <w:t xml:space="preserve">, S., </w:t>
      </w:r>
      <w:proofErr w:type="spellStart"/>
      <w:r w:rsidRPr="00034575">
        <w:rPr>
          <w:rFonts w:eastAsia="Times New Roman" w:cs="Times New Roman"/>
          <w:sz w:val="24"/>
          <w:szCs w:val="24"/>
        </w:rPr>
        <w:t>Schalper</w:t>
      </w:r>
      <w:proofErr w:type="spellEnd"/>
      <w:r w:rsidRPr="00034575">
        <w:rPr>
          <w:rFonts w:eastAsia="Times New Roman" w:cs="Times New Roman"/>
          <w:sz w:val="24"/>
          <w:szCs w:val="24"/>
        </w:rPr>
        <w:t xml:space="preserve">, K., Ying, R., Xu, H., Zou, J., Mahmood, F., &amp; Zhao, H. (2026). Leveraging multi-modal foundation models for </w:t>
      </w:r>
      <w:proofErr w:type="spellStart"/>
      <w:r w:rsidRPr="00034575">
        <w:rPr>
          <w:rFonts w:eastAsia="Times New Roman" w:cs="Times New Roman"/>
          <w:sz w:val="24"/>
          <w:szCs w:val="24"/>
        </w:rPr>
        <w:t>analysing</w:t>
      </w:r>
      <w:proofErr w:type="spellEnd"/>
      <w:r w:rsidRPr="00034575">
        <w:rPr>
          <w:rFonts w:eastAsia="Times New Roman" w:cs="Times New Roman"/>
          <w:sz w:val="24"/>
          <w:szCs w:val="24"/>
        </w:rPr>
        <w:t xml:space="preserve"> spatial multi-</w:t>
      </w:r>
      <w:proofErr w:type="spellStart"/>
      <w:r w:rsidRPr="00034575">
        <w:rPr>
          <w:rFonts w:eastAsia="Times New Roman" w:cs="Times New Roman"/>
          <w:sz w:val="24"/>
          <w:szCs w:val="24"/>
        </w:rPr>
        <w:t>omic</w:t>
      </w:r>
      <w:proofErr w:type="spellEnd"/>
      <w:r w:rsidRPr="00034575">
        <w:rPr>
          <w:rFonts w:eastAsia="Times New Roman" w:cs="Times New Roman"/>
          <w:sz w:val="24"/>
          <w:szCs w:val="24"/>
        </w:rPr>
        <w:t xml:space="preserve"> and histopathology data. </w:t>
      </w:r>
      <w:r w:rsidRPr="00034575">
        <w:rPr>
          <w:rFonts w:eastAsia="Times New Roman" w:cs="Times New Roman"/>
          <w:i/>
          <w:iCs/>
          <w:sz w:val="24"/>
          <w:szCs w:val="24"/>
        </w:rPr>
        <w:t>Nature Biomedical Engineering, 10</w:t>
      </w:r>
      <w:r w:rsidRPr="00034575">
        <w:rPr>
          <w:rFonts w:eastAsia="Times New Roman" w:cs="Times New Roman"/>
          <w:sz w:val="24"/>
          <w:szCs w:val="24"/>
        </w:rPr>
        <w:t xml:space="preserve">(8), 1714–1731. </w:t>
      </w:r>
      <w:hyperlink r:id="rId32" w:history="1">
        <w:r w:rsidRPr="00034575">
          <w:rPr>
            <w:rFonts w:eastAsia="Times New Roman" w:cs="Times New Roman"/>
            <w:color w:val="0000FF"/>
            <w:sz w:val="24"/>
            <w:szCs w:val="24"/>
            <w:u w:val="single"/>
          </w:rPr>
          <w:t>https://doi.org/10.1038/s41551-025-01602-6</w:t>
        </w:r>
      </w:hyperlink>
    </w:p>
    <w:p w14:paraId="7BA7789F" w14:textId="22ABD9C1" w:rsidR="00034575" w:rsidRPr="00034575" w:rsidRDefault="00034575" w:rsidP="00034575">
      <w:pPr>
        <w:spacing w:after="0" w:line="240" w:lineRule="auto"/>
        <w:ind w:left="540" w:hanging="540"/>
        <w:rPr>
          <w:rFonts w:eastAsia="Times New Roman" w:cs="Times New Roman"/>
          <w:sz w:val="24"/>
          <w:szCs w:val="24"/>
          <w:lang w:val="nl-BE"/>
        </w:rPr>
      </w:pPr>
      <w:r w:rsidRPr="00034575">
        <w:rPr>
          <w:rFonts w:eastAsia="Times New Roman" w:cs="Times New Roman"/>
          <w:sz w:val="24"/>
          <w:szCs w:val="24"/>
        </w:rPr>
        <w:t xml:space="preserve">Lu, M. Y., Chen, B., Williamson, D. F. K., Chen, R. J., Liang, I., Ding, T., Jaume, G., Odintsov, I., Le, L. P., Gerber, G., Parwani, A. V., Zhang, A., &amp; Mahmood, F. (2024). A visual-language foundation model for computational pathology. </w:t>
      </w:r>
      <w:r w:rsidRPr="00034575">
        <w:rPr>
          <w:rFonts w:eastAsia="Times New Roman" w:cs="Times New Roman"/>
          <w:i/>
          <w:iCs/>
          <w:sz w:val="24"/>
          <w:szCs w:val="24"/>
        </w:rPr>
        <w:t>Nature Medicine, 30</w:t>
      </w:r>
      <w:r w:rsidRPr="00034575">
        <w:rPr>
          <w:rFonts w:eastAsia="Times New Roman" w:cs="Times New Roman"/>
          <w:sz w:val="24"/>
          <w:szCs w:val="24"/>
        </w:rPr>
        <w:t xml:space="preserve">(3), 863–874. </w:t>
      </w:r>
      <w:hyperlink r:id="rId33" w:history="1">
        <w:r w:rsidRPr="00034575">
          <w:rPr>
            <w:rFonts w:eastAsia="Times New Roman" w:cs="Times New Roman"/>
            <w:color w:val="0000FF"/>
            <w:sz w:val="24"/>
            <w:szCs w:val="24"/>
            <w:u w:val="single"/>
            <w:lang w:val="nl-BE"/>
          </w:rPr>
          <w:t>https://doi.org/10.1038/s41591-024-02856-4</w:t>
        </w:r>
      </w:hyperlink>
    </w:p>
    <w:p w14:paraId="62CB78C6" w14:textId="1291F52F"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lang w:val="nl-BE"/>
        </w:rPr>
        <w:t xml:space="preserve">McKenzie, M., Erdel Irac, S., Chen, Z., Moradi, A., Jenner, A., Nguyen, Q., &amp; Rashidieh, B. (2026). </w:t>
      </w:r>
      <w:r w:rsidRPr="00034575">
        <w:rPr>
          <w:rFonts w:eastAsia="Times New Roman" w:cs="Times New Roman"/>
          <w:sz w:val="24"/>
          <w:szCs w:val="24"/>
        </w:rPr>
        <w:t xml:space="preserve">Integrative spatial omics and artificial intelligence: Transforming cancer research with omics data and AI. </w:t>
      </w:r>
      <w:r w:rsidRPr="00034575">
        <w:rPr>
          <w:rFonts w:eastAsia="Times New Roman" w:cs="Times New Roman"/>
          <w:i/>
          <w:iCs/>
          <w:sz w:val="24"/>
          <w:szCs w:val="24"/>
        </w:rPr>
        <w:t>Seminars in Cancer Biology, 119</w:t>
      </w:r>
      <w:r w:rsidRPr="00034575">
        <w:rPr>
          <w:rFonts w:eastAsia="Times New Roman" w:cs="Times New Roman"/>
          <w:sz w:val="24"/>
          <w:szCs w:val="24"/>
        </w:rPr>
        <w:t xml:space="preserve">, 65–82. </w:t>
      </w:r>
      <w:hyperlink r:id="rId34" w:history="1">
        <w:r w:rsidRPr="00034575">
          <w:rPr>
            <w:rFonts w:eastAsia="Times New Roman" w:cs="Times New Roman"/>
            <w:color w:val="0000FF"/>
            <w:sz w:val="24"/>
            <w:szCs w:val="24"/>
            <w:u w:val="single"/>
          </w:rPr>
          <w:t>https://doi.org/10.1016/j.semcancer.2026.01.002</w:t>
        </w:r>
      </w:hyperlink>
    </w:p>
    <w:p w14:paraId="32E53E70" w14:textId="5C18FEF5"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Ni, Z., Prasad, A., Chen, S., Halberg, R. B., Arkin, L. M., Drolet, B. A., Newton, M. A., &amp; Kendziorski, C. (2022). </w:t>
      </w:r>
      <w:proofErr w:type="spellStart"/>
      <w:r w:rsidRPr="00034575">
        <w:rPr>
          <w:rFonts w:eastAsia="Times New Roman" w:cs="Times New Roman"/>
          <w:sz w:val="24"/>
          <w:szCs w:val="24"/>
        </w:rPr>
        <w:t>SpotClean</w:t>
      </w:r>
      <w:proofErr w:type="spellEnd"/>
      <w:r w:rsidRPr="00034575">
        <w:rPr>
          <w:rFonts w:eastAsia="Times New Roman" w:cs="Times New Roman"/>
          <w:sz w:val="24"/>
          <w:szCs w:val="24"/>
        </w:rPr>
        <w:t xml:space="preserve"> adjusts for spot swapping in spatial transcriptomics data. </w:t>
      </w:r>
      <w:r w:rsidRPr="00034575">
        <w:rPr>
          <w:rFonts w:eastAsia="Times New Roman" w:cs="Times New Roman"/>
          <w:i/>
          <w:iCs/>
          <w:sz w:val="24"/>
          <w:szCs w:val="24"/>
        </w:rPr>
        <w:t>Nature Communications, 13</w:t>
      </w:r>
      <w:r w:rsidRPr="00034575">
        <w:rPr>
          <w:rFonts w:eastAsia="Times New Roman" w:cs="Times New Roman"/>
          <w:sz w:val="24"/>
          <w:szCs w:val="24"/>
        </w:rPr>
        <w:t xml:space="preserve">(1), 2971. </w:t>
      </w:r>
      <w:hyperlink r:id="rId35" w:history="1">
        <w:r w:rsidRPr="00034575">
          <w:rPr>
            <w:rFonts w:eastAsia="Times New Roman" w:cs="Times New Roman"/>
            <w:color w:val="0000FF"/>
            <w:sz w:val="24"/>
            <w:szCs w:val="24"/>
            <w:u w:val="single"/>
          </w:rPr>
          <w:t>https://doi.org/10.1038/s41467-022-30587-y</w:t>
        </w:r>
      </w:hyperlink>
    </w:p>
    <w:p w14:paraId="1F9927DB" w14:textId="4B53EA61"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Patel, P., &amp; Klimowicz, A. (2026). Next-generation disease profiling by integrating histopathology with spatial multi-omics data. </w:t>
      </w:r>
      <w:r w:rsidRPr="00034575">
        <w:rPr>
          <w:rFonts w:eastAsia="Times New Roman" w:cs="Times New Roman"/>
          <w:i/>
          <w:iCs/>
          <w:sz w:val="24"/>
          <w:szCs w:val="24"/>
        </w:rPr>
        <w:t>The American Journal of Pathology, 196</w:t>
      </w:r>
      <w:r w:rsidRPr="00034575">
        <w:rPr>
          <w:rFonts w:eastAsia="Times New Roman" w:cs="Times New Roman"/>
          <w:sz w:val="24"/>
          <w:szCs w:val="24"/>
        </w:rPr>
        <w:t xml:space="preserve">(7), 1427–1438. </w:t>
      </w:r>
      <w:hyperlink r:id="rId36" w:history="1">
        <w:r w:rsidRPr="00034575">
          <w:rPr>
            <w:rFonts w:eastAsia="Times New Roman" w:cs="Times New Roman"/>
            <w:color w:val="0000FF"/>
            <w:sz w:val="24"/>
            <w:szCs w:val="24"/>
            <w:u w:val="single"/>
          </w:rPr>
          <w:t>https://doi.org/10.1016/j.ajpath.2026.03.014</w:t>
        </w:r>
      </w:hyperlink>
    </w:p>
    <w:p w14:paraId="519AB5E1" w14:textId="53200996" w:rsidR="00034575" w:rsidRPr="00034575" w:rsidRDefault="00034575" w:rsidP="00034575">
      <w:pPr>
        <w:spacing w:after="0" w:line="240" w:lineRule="auto"/>
        <w:ind w:left="540" w:hanging="540"/>
        <w:rPr>
          <w:rFonts w:eastAsia="Times New Roman" w:cs="Times New Roman"/>
          <w:sz w:val="24"/>
          <w:szCs w:val="24"/>
        </w:rPr>
      </w:pPr>
      <w:proofErr w:type="spellStart"/>
      <w:r w:rsidRPr="00034575">
        <w:rPr>
          <w:rFonts w:eastAsia="Times New Roman" w:cs="Times New Roman"/>
          <w:sz w:val="24"/>
          <w:szCs w:val="24"/>
        </w:rPr>
        <w:t>Pizurica</w:t>
      </w:r>
      <w:proofErr w:type="spellEnd"/>
      <w:r w:rsidRPr="00034575">
        <w:rPr>
          <w:rFonts w:eastAsia="Times New Roman" w:cs="Times New Roman"/>
          <w:sz w:val="24"/>
          <w:szCs w:val="24"/>
        </w:rPr>
        <w:t xml:space="preserve">, M., Zheng, Y., Carrillo-Perez, F., Noor, H., Yao, W., </w:t>
      </w:r>
      <w:proofErr w:type="spellStart"/>
      <w:r w:rsidRPr="00034575">
        <w:rPr>
          <w:rFonts w:eastAsia="Times New Roman" w:cs="Times New Roman"/>
          <w:sz w:val="24"/>
          <w:szCs w:val="24"/>
        </w:rPr>
        <w:t>Wohlfart</w:t>
      </w:r>
      <w:proofErr w:type="spellEnd"/>
      <w:r w:rsidRPr="00034575">
        <w:rPr>
          <w:rFonts w:eastAsia="Times New Roman" w:cs="Times New Roman"/>
          <w:sz w:val="24"/>
          <w:szCs w:val="24"/>
        </w:rPr>
        <w:t xml:space="preserve">, C., Vladimirova, A., Marchal, K., &amp; Gevaert, O. (2024). Digital profiling of gene expression from histology images with linearized attention. </w:t>
      </w:r>
      <w:r w:rsidRPr="00034575">
        <w:rPr>
          <w:rFonts w:eastAsia="Times New Roman" w:cs="Times New Roman"/>
          <w:i/>
          <w:iCs/>
          <w:sz w:val="24"/>
          <w:szCs w:val="24"/>
        </w:rPr>
        <w:t>Nature Communications, 15</w:t>
      </w:r>
      <w:r w:rsidRPr="00034575">
        <w:rPr>
          <w:rFonts w:eastAsia="Times New Roman" w:cs="Times New Roman"/>
          <w:sz w:val="24"/>
          <w:szCs w:val="24"/>
        </w:rPr>
        <w:t xml:space="preserve">(1), 9886. </w:t>
      </w:r>
      <w:hyperlink r:id="rId37" w:history="1">
        <w:r w:rsidRPr="00034575">
          <w:rPr>
            <w:rFonts w:eastAsia="Times New Roman" w:cs="Times New Roman"/>
            <w:color w:val="0000FF"/>
            <w:sz w:val="24"/>
            <w:szCs w:val="24"/>
            <w:u w:val="single"/>
          </w:rPr>
          <w:t>https://doi.org/10.1038/s41467-024-54182-5</w:t>
        </w:r>
      </w:hyperlink>
    </w:p>
    <w:p w14:paraId="374050DB" w14:textId="0EFB32B2"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Rodriques, S. G., Stickels, R. R., Goeva, A., Martin, C. A., Murray, E., Vanderburg, C. R., Welch, J., Chen, L. M., Chen, F., &amp; </w:t>
      </w:r>
      <w:proofErr w:type="spellStart"/>
      <w:r w:rsidRPr="00034575">
        <w:rPr>
          <w:rFonts w:eastAsia="Times New Roman" w:cs="Times New Roman"/>
          <w:sz w:val="24"/>
          <w:szCs w:val="24"/>
        </w:rPr>
        <w:t>Macosko</w:t>
      </w:r>
      <w:proofErr w:type="spellEnd"/>
      <w:r w:rsidRPr="00034575">
        <w:rPr>
          <w:rFonts w:eastAsia="Times New Roman" w:cs="Times New Roman"/>
          <w:sz w:val="24"/>
          <w:szCs w:val="24"/>
        </w:rPr>
        <w:t xml:space="preserve">, E. Z. (2019). Slide-seq: A scalable technology for measuring genome-wide expression at high spatial resolution. </w:t>
      </w:r>
      <w:r w:rsidRPr="00034575">
        <w:rPr>
          <w:rFonts w:eastAsia="Times New Roman" w:cs="Times New Roman"/>
          <w:i/>
          <w:iCs/>
          <w:sz w:val="24"/>
          <w:szCs w:val="24"/>
        </w:rPr>
        <w:t>Science, 363</w:t>
      </w:r>
      <w:r w:rsidRPr="00034575">
        <w:rPr>
          <w:rFonts w:eastAsia="Times New Roman" w:cs="Times New Roman"/>
          <w:sz w:val="24"/>
          <w:szCs w:val="24"/>
        </w:rPr>
        <w:t xml:space="preserve">(6434), 1463–1467. </w:t>
      </w:r>
      <w:hyperlink r:id="rId38" w:history="1">
        <w:r w:rsidRPr="00034575">
          <w:rPr>
            <w:rFonts w:eastAsia="Times New Roman" w:cs="Times New Roman"/>
            <w:color w:val="0000FF"/>
            <w:sz w:val="24"/>
            <w:szCs w:val="24"/>
            <w:u w:val="single"/>
          </w:rPr>
          <w:t>https://doi.org/10.1126/science.aaw1219</w:t>
        </w:r>
      </w:hyperlink>
    </w:p>
    <w:p w14:paraId="396AAC6A" w14:textId="5D3B2FB6"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Schmauch, B., Herpin, L., Olivier, A., </w:t>
      </w:r>
      <w:proofErr w:type="spellStart"/>
      <w:r w:rsidRPr="00034575">
        <w:rPr>
          <w:rFonts w:eastAsia="Times New Roman" w:cs="Times New Roman"/>
          <w:sz w:val="24"/>
          <w:szCs w:val="24"/>
        </w:rPr>
        <w:t>Duboudin</w:t>
      </w:r>
      <w:proofErr w:type="spellEnd"/>
      <w:r w:rsidRPr="00034575">
        <w:rPr>
          <w:rFonts w:eastAsia="Times New Roman" w:cs="Times New Roman"/>
          <w:sz w:val="24"/>
          <w:szCs w:val="24"/>
        </w:rPr>
        <w:t xml:space="preserve">, T., Dubois, R., Gillet, L., </w:t>
      </w:r>
      <w:proofErr w:type="spellStart"/>
      <w:r w:rsidRPr="00034575">
        <w:rPr>
          <w:rFonts w:eastAsia="Times New Roman" w:cs="Times New Roman"/>
          <w:sz w:val="24"/>
          <w:szCs w:val="24"/>
        </w:rPr>
        <w:t>Filiot</w:t>
      </w:r>
      <w:proofErr w:type="spellEnd"/>
      <w:r w:rsidRPr="00034575">
        <w:rPr>
          <w:rFonts w:eastAsia="Times New Roman" w:cs="Times New Roman"/>
          <w:sz w:val="24"/>
          <w:szCs w:val="24"/>
        </w:rPr>
        <w:t xml:space="preserve">, A., Schiratti, J.-B., Di Proietto, V., Le Corre, D., Bourgoin, A., </w:t>
      </w:r>
      <w:proofErr w:type="spellStart"/>
      <w:r w:rsidRPr="00034575">
        <w:rPr>
          <w:rFonts w:eastAsia="Times New Roman" w:cs="Times New Roman"/>
          <w:sz w:val="24"/>
          <w:szCs w:val="24"/>
        </w:rPr>
        <w:t>Taïeb</w:t>
      </w:r>
      <w:proofErr w:type="spellEnd"/>
      <w:r w:rsidRPr="00034575">
        <w:rPr>
          <w:rFonts w:eastAsia="Times New Roman" w:cs="Times New Roman"/>
          <w:sz w:val="24"/>
          <w:szCs w:val="24"/>
        </w:rPr>
        <w:t xml:space="preserve">, J., Emile, J.-F., Fridman, W. H., </w:t>
      </w:r>
      <w:proofErr w:type="spellStart"/>
      <w:r w:rsidRPr="00034575">
        <w:rPr>
          <w:rFonts w:eastAsia="Times New Roman" w:cs="Times New Roman"/>
          <w:sz w:val="24"/>
          <w:szCs w:val="24"/>
        </w:rPr>
        <w:t>Pronier</w:t>
      </w:r>
      <w:proofErr w:type="spellEnd"/>
      <w:r w:rsidRPr="00034575">
        <w:rPr>
          <w:rFonts w:eastAsia="Times New Roman" w:cs="Times New Roman"/>
          <w:sz w:val="24"/>
          <w:szCs w:val="24"/>
        </w:rPr>
        <w:t xml:space="preserve">, E., Laurent-Puig, P., &amp; Durand, E. Y. (2025). A deep learning-based multiscale integration of spatial omics with tumor morphology. </w:t>
      </w:r>
      <w:r w:rsidRPr="00034575">
        <w:rPr>
          <w:rFonts w:eastAsia="Times New Roman" w:cs="Times New Roman"/>
          <w:i/>
          <w:iCs/>
          <w:sz w:val="24"/>
          <w:szCs w:val="24"/>
        </w:rPr>
        <w:t>Nature Communications, 16</w:t>
      </w:r>
      <w:r w:rsidRPr="00034575">
        <w:rPr>
          <w:rFonts w:eastAsia="Times New Roman" w:cs="Times New Roman"/>
          <w:sz w:val="24"/>
          <w:szCs w:val="24"/>
        </w:rPr>
        <w:t xml:space="preserve">(1), 11674. </w:t>
      </w:r>
      <w:hyperlink r:id="rId39" w:history="1">
        <w:r w:rsidRPr="00034575">
          <w:rPr>
            <w:rFonts w:eastAsia="Times New Roman" w:cs="Times New Roman"/>
            <w:color w:val="0000FF"/>
            <w:sz w:val="24"/>
            <w:szCs w:val="24"/>
            <w:u w:val="single"/>
          </w:rPr>
          <w:t>https://doi.org/10.1038/s41467-025-66691-y</w:t>
        </w:r>
      </w:hyperlink>
    </w:p>
    <w:p w14:paraId="4C652397" w14:textId="24FBA64F"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Schmauch, B., </w:t>
      </w:r>
      <w:proofErr w:type="spellStart"/>
      <w:r w:rsidRPr="00034575">
        <w:rPr>
          <w:rFonts w:eastAsia="Times New Roman" w:cs="Times New Roman"/>
          <w:sz w:val="24"/>
          <w:szCs w:val="24"/>
        </w:rPr>
        <w:t>Romagnoni</w:t>
      </w:r>
      <w:proofErr w:type="spellEnd"/>
      <w:r w:rsidRPr="00034575">
        <w:rPr>
          <w:rFonts w:eastAsia="Times New Roman" w:cs="Times New Roman"/>
          <w:sz w:val="24"/>
          <w:szCs w:val="24"/>
        </w:rPr>
        <w:t xml:space="preserve">, A., </w:t>
      </w:r>
      <w:proofErr w:type="spellStart"/>
      <w:r w:rsidRPr="00034575">
        <w:rPr>
          <w:rFonts w:eastAsia="Times New Roman" w:cs="Times New Roman"/>
          <w:sz w:val="24"/>
          <w:szCs w:val="24"/>
        </w:rPr>
        <w:t>Pronier</w:t>
      </w:r>
      <w:proofErr w:type="spellEnd"/>
      <w:r w:rsidRPr="00034575">
        <w:rPr>
          <w:rFonts w:eastAsia="Times New Roman" w:cs="Times New Roman"/>
          <w:sz w:val="24"/>
          <w:szCs w:val="24"/>
        </w:rPr>
        <w:t xml:space="preserve">, E., </w:t>
      </w:r>
      <w:proofErr w:type="spellStart"/>
      <w:r w:rsidRPr="00034575">
        <w:rPr>
          <w:rFonts w:eastAsia="Times New Roman" w:cs="Times New Roman"/>
          <w:sz w:val="24"/>
          <w:szCs w:val="24"/>
        </w:rPr>
        <w:t>Saillard</w:t>
      </w:r>
      <w:proofErr w:type="spellEnd"/>
      <w:r w:rsidRPr="00034575">
        <w:rPr>
          <w:rFonts w:eastAsia="Times New Roman" w:cs="Times New Roman"/>
          <w:sz w:val="24"/>
          <w:szCs w:val="24"/>
        </w:rPr>
        <w:t xml:space="preserve">, C., </w:t>
      </w:r>
      <w:proofErr w:type="spellStart"/>
      <w:r w:rsidRPr="00034575">
        <w:rPr>
          <w:rFonts w:eastAsia="Times New Roman" w:cs="Times New Roman"/>
          <w:sz w:val="24"/>
          <w:szCs w:val="24"/>
        </w:rPr>
        <w:t>Maillé</w:t>
      </w:r>
      <w:proofErr w:type="spellEnd"/>
      <w:r w:rsidRPr="00034575">
        <w:rPr>
          <w:rFonts w:eastAsia="Times New Roman" w:cs="Times New Roman"/>
          <w:sz w:val="24"/>
          <w:szCs w:val="24"/>
        </w:rPr>
        <w:t xml:space="preserve">, P., Calderaro, J., Kamoun, A., </w:t>
      </w:r>
      <w:proofErr w:type="spellStart"/>
      <w:r w:rsidRPr="00034575">
        <w:rPr>
          <w:rFonts w:eastAsia="Times New Roman" w:cs="Times New Roman"/>
          <w:sz w:val="24"/>
          <w:szCs w:val="24"/>
        </w:rPr>
        <w:t>Sefta</w:t>
      </w:r>
      <w:proofErr w:type="spellEnd"/>
      <w:r w:rsidRPr="00034575">
        <w:rPr>
          <w:rFonts w:eastAsia="Times New Roman" w:cs="Times New Roman"/>
          <w:sz w:val="24"/>
          <w:szCs w:val="24"/>
        </w:rPr>
        <w:t xml:space="preserve">, M., Toldo, S., Zaslavskiy, M., </w:t>
      </w:r>
      <w:proofErr w:type="spellStart"/>
      <w:r w:rsidRPr="00034575">
        <w:rPr>
          <w:rFonts w:eastAsia="Times New Roman" w:cs="Times New Roman"/>
          <w:sz w:val="24"/>
          <w:szCs w:val="24"/>
        </w:rPr>
        <w:t>Clozel</w:t>
      </w:r>
      <w:proofErr w:type="spellEnd"/>
      <w:r w:rsidRPr="00034575">
        <w:rPr>
          <w:rFonts w:eastAsia="Times New Roman" w:cs="Times New Roman"/>
          <w:sz w:val="24"/>
          <w:szCs w:val="24"/>
        </w:rPr>
        <w:t xml:space="preserve">, T., </w:t>
      </w:r>
      <w:proofErr w:type="spellStart"/>
      <w:r w:rsidRPr="00034575">
        <w:rPr>
          <w:rFonts w:eastAsia="Times New Roman" w:cs="Times New Roman"/>
          <w:sz w:val="24"/>
          <w:szCs w:val="24"/>
        </w:rPr>
        <w:t>Moarii</w:t>
      </w:r>
      <w:proofErr w:type="spellEnd"/>
      <w:r w:rsidRPr="00034575">
        <w:rPr>
          <w:rFonts w:eastAsia="Times New Roman" w:cs="Times New Roman"/>
          <w:sz w:val="24"/>
          <w:szCs w:val="24"/>
        </w:rPr>
        <w:t xml:space="preserve">, M., </w:t>
      </w:r>
      <w:proofErr w:type="spellStart"/>
      <w:r w:rsidRPr="00034575">
        <w:rPr>
          <w:rFonts w:eastAsia="Times New Roman" w:cs="Times New Roman"/>
          <w:sz w:val="24"/>
          <w:szCs w:val="24"/>
        </w:rPr>
        <w:t>Courtiol</w:t>
      </w:r>
      <w:proofErr w:type="spellEnd"/>
      <w:r w:rsidRPr="00034575">
        <w:rPr>
          <w:rFonts w:eastAsia="Times New Roman" w:cs="Times New Roman"/>
          <w:sz w:val="24"/>
          <w:szCs w:val="24"/>
        </w:rPr>
        <w:t xml:space="preserve">, P., &amp; </w:t>
      </w:r>
      <w:proofErr w:type="spellStart"/>
      <w:r w:rsidRPr="00034575">
        <w:rPr>
          <w:rFonts w:eastAsia="Times New Roman" w:cs="Times New Roman"/>
          <w:sz w:val="24"/>
          <w:szCs w:val="24"/>
        </w:rPr>
        <w:t>Wainrib</w:t>
      </w:r>
      <w:proofErr w:type="spellEnd"/>
      <w:r w:rsidRPr="00034575">
        <w:rPr>
          <w:rFonts w:eastAsia="Times New Roman" w:cs="Times New Roman"/>
          <w:sz w:val="24"/>
          <w:szCs w:val="24"/>
        </w:rPr>
        <w:t xml:space="preserve">, G. (2020). A deep learning model to predict RNA-Seq expression of </w:t>
      </w:r>
      <w:proofErr w:type="spellStart"/>
      <w:r w:rsidRPr="00034575">
        <w:rPr>
          <w:rFonts w:eastAsia="Times New Roman" w:cs="Times New Roman"/>
          <w:sz w:val="24"/>
          <w:szCs w:val="24"/>
        </w:rPr>
        <w:t>tumours</w:t>
      </w:r>
      <w:proofErr w:type="spellEnd"/>
      <w:r w:rsidRPr="00034575">
        <w:rPr>
          <w:rFonts w:eastAsia="Times New Roman" w:cs="Times New Roman"/>
          <w:sz w:val="24"/>
          <w:szCs w:val="24"/>
        </w:rPr>
        <w:t xml:space="preserve"> from whole slide images. </w:t>
      </w:r>
      <w:r w:rsidRPr="00034575">
        <w:rPr>
          <w:rFonts w:eastAsia="Times New Roman" w:cs="Times New Roman"/>
          <w:i/>
          <w:iCs/>
          <w:sz w:val="24"/>
          <w:szCs w:val="24"/>
        </w:rPr>
        <w:t>Nature Communications, 11</w:t>
      </w:r>
      <w:r w:rsidRPr="00034575">
        <w:rPr>
          <w:rFonts w:eastAsia="Times New Roman" w:cs="Times New Roman"/>
          <w:sz w:val="24"/>
          <w:szCs w:val="24"/>
        </w:rPr>
        <w:t xml:space="preserve">(1), 3877. </w:t>
      </w:r>
      <w:hyperlink r:id="rId40" w:history="1">
        <w:r w:rsidRPr="00034575">
          <w:rPr>
            <w:rFonts w:eastAsia="Times New Roman" w:cs="Times New Roman"/>
            <w:color w:val="0000FF"/>
            <w:sz w:val="24"/>
            <w:szCs w:val="24"/>
            <w:u w:val="single"/>
          </w:rPr>
          <w:t>https://doi.org/10.1038/s41467-020-17678-4</w:t>
        </w:r>
      </w:hyperlink>
    </w:p>
    <w:p w14:paraId="5F1343D3" w14:textId="4D3C8764" w:rsidR="00034575" w:rsidRPr="00034575" w:rsidRDefault="00034575" w:rsidP="00034575">
      <w:pPr>
        <w:spacing w:after="0" w:line="240" w:lineRule="auto"/>
        <w:ind w:left="540" w:hanging="540"/>
        <w:rPr>
          <w:rFonts w:eastAsia="Times New Roman" w:cs="Times New Roman"/>
          <w:sz w:val="24"/>
          <w:szCs w:val="24"/>
        </w:rPr>
      </w:pPr>
      <w:proofErr w:type="spellStart"/>
      <w:r w:rsidRPr="00034575">
        <w:rPr>
          <w:rFonts w:eastAsia="Times New Roman" w:cs="Times New Roman"/>
          <w:sz w:val="24"/>
          <w:szCs w:val="24"/>
        </w:rPr>
        <w:t>Schürch</w:t>
      </w:r>
      <w:proofErr w:type="spellEnd"/>
      <w:r w:rsidRPr="00034575">
        <w:rPr>
          <w:rFonts w:eastAsia="Times New Roman" w:cs="Times New Roman"/>
          <w:sz w:val="24"/>
          <w:szCs w:val="24"/>
        </w:rPr>
        <w:t xml:space="preserve">, C. M., Bhate, S. S., Barlow, G. L., Phillips, D. J., Noti, L., </w:t>
      </w:r>
      <w:proofErr w:type="spellStart"/>
      <w:r w:rsidRPr="00034575">
        <w:rPr>
          <w:rFonts w:eastAsia="Times New Roman" w:cs="Times New Roman"/>
          <w:sz w:val="24"/>
          <w:szCs w:val="24"/>
        </w:rPr>
        <w:t>Zlobec</w:t>
      </w:r>
      <w:proofErr w:type="spellEnd"/>
      <w:r w:rsidRPr="00034575">
        <w:rPr>
          <w:rFonts w:eastAsia="Times New Roman" w:cs="Times New Roman"/>
          <w:sz w:val="24"/>
          <w:szCs w:val="24"/>
        </w:rPr>
        <w:t xml:space="preserve">, I., Chu, P., Black, S., Demeter, J., McIlwain, D. R., Kinoshita, S., </w:t>
      </w:r>
      <w:proofErr w:type="spellStart"/>
      <w:r w:rsidRPr="00034575">
        <w:rPr>
          <w:rFonts w:eastAsia="Times New Roman" w:cs="Times New Roman"/>
          <w:sz w:val="24"/>
          <w:szCs w:val="24"/>
        </w:rPr>
        <w:t>Samusik</w:t>
      </w:r>
      <w:proofErr w:type="spellEnd"/>
      <w:r w:rsidRPr="00034575">
        <w:rPr>
          <w:rFonts w:eastAsia="Times New Roman" w:cs="Times New Roman"/>
          <w:sz w:val="24"/>
          <w:szCs w:val="24"/>
        </w:rPr>
        <w:t xml:space="preserve">, N., </w:t>
      </w:r>
      <w:proofErr w:type="spellStart"/>
      <w:r w:rsidRPr="00034575">
        <w:rPr>
          <w:rFonts w:eastAsia="Times New Roman" w:cs="Times New Roman"/>
          <w:sz w:val="24"/>
          <w:szCs w:val="24"/>
        </w:rPr>
        <w:t>Goltsev</w:t>
      </w:r>
      <w:proofErr w:type="spellEnd"/>
      <w:r w:rsidRPr="00034575">
        <w:rPr>
          <w:rFonts w:eastAsia="Times New Roman" w:cs="Times New Roman"/>
          <w:sz w:val="24"/>
          <w:szCs w:val="24"/>
        </w:rPr>
        <w:t xml:space="preserve">, Y., &amp; Nolan, G. P. (2020). Coordinated cellular neighborhoods orchestrate antitumoral immunity at the colorectal cancer invasive front. </w:t>
      </w:r>
      <w:r w:rsidRPr="00034575">
        <w:rPr>
          <w:rFonts w:eastAsia="Times New Roman" w:cs="Times New Roman"/>
          <w:i/>
          <w:iCs/>
          <w:sz w:val="24"/>
          <w:szCs w:val="24"/>
        </w:rPr>
        <w:t>Cell, 182</w:t>
      </w:r>
      <w:r w:rsidRPr="00034575">
        <w:rPr>
          <w:rFonts w:eastAsia="Times New Roman" w:cs="Times New Roman"/>
          <w:sz w:val="24"/>
          <w:szCs w:val="24"/>
        </w:rPr>
        <w:t xml:space="preserve">(5), 1341–1359.e19. </w:t>
      </w:r>
      <w:hyperlink r:id="rId41" w:history="1">
        <w:r w:rsidRPr="00034575">
          <w:rPr>
            <w:rFonts w:eastAsia="Times New Roman" w:cs="Times New Roman"/>
            <w:color w:val="0000FF"/>
            <w:sz w:val="24"/>
            <w:szCs w:val="24"/>
            <w:u w:val="single"/>
          </w:rPr>
          <w:t>https://doi.org/10.1016/j.cell.2020.07.005</w:t>
        </w:r>
      </w:hyperlink>
    </w:p>
    <w:p w14:paraId="011DEC0B" w14:textId="6EAEDE4C"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Şenbabaoğlu, Y., Prabhakar, V., Khormali, A., Eastham, J., Liu, E., Warner, E., Nabet, B., Srivastava, M., Ballinger, M., &amp; Liu, K. (2024). MOSBY enables multi-</w:t>
      </w:r>
      <w:proofErr w:type="spellStart"/>
      <w:r w:rsidRPr="00034575">
        <w:rPr>
          <w:rFonts w:eastAsia="Times New Roman" w:cs="Times New Roman"/>
          <w:sz w:val="24"/>
          <w:szCs w:val="24"/>
        </w:rPr>
        <w:t>omic</w:t>
      </w:r>
      <w:proofErr w:type="spellEnd"/>
      <w:r w:rsidRPr="00034575">
        <w:rPr>
          <w:rFonts w:eastAsia="Times New Roman" w:cs="Times New Roman"/>
          <w:sz w:val="24"/>
          <w:szCs w:val="24"/>
        </w:rPr>
        <w:t xml:space="preserve"> inference and spatial biomarker discovery from whole slide images. </w:t>
      </w:r>
      <w:r w:rsidRPr="00034575">
        <w:rPr>
          <w:rFonts w:eastAsia="Times New Roman" w:cs="Times New Roman"/>
          <w:i/>
          <w:iCs/>
          <w:sz w:val="24"/>
          <w:szCs w:val="24"/>
        </w:rPr>
        <w:t>Scientific Reports, 14</w:t>
      </w:r>
      <w:r w:rsidRPr="00034575">
        <w:rPr>
          <w:rFonts w:eastAsia="Times New Roman" w:cs="Times New Roman"/>
          <w:sz w:val="24"/>
          <w:szCs w:val="24"/>
        </w:rPr>
        <w:t xml:space="preserve">(1), 18271. </w:t>
      </w:r>
      <w:hyperlink r:id="rId42" w:history="1">
        <w:r w:rsidRPr="00034575">
          <w:rPr>
            <w:rFonts w:eastAsia="Times New Roman" w:cs="Times New Roman"/>
            <w:color w:val="0000FF"/>
            <w:sz w:val="24"/>
            <w:szCs w:val="24"/>
            <w:u w:val="single"/>
          </w:rPr>
          <w:t>https://doi.org/10.1038/s41598-024-69198-6</w:t>
        </w:r>
      </w:hyperlink>
    </w:p>
    <w:p w14:paraId="73F5152B" w14:textId="52A627AB"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lastRenderedPageBreak/>
        <w:t xml:space="preserve">Ståhl, P. L., </w:t>
      </w:r>
      <w:proofErr w:type="spellStart"/>
      <w:r w:rsidRPr="00034575">
        <w:rPr>
          <w:rFonts w:eastAsia="Times New Roman" w:cs="Times New Roman"/>
          <w:sz w:val="24"/>
          <w:szCs w:val="24"/>
        </w:rPr>
        <w:t>Salmén</w:t>
      </w:r>
      <w:proofErr w:type="spellEnd"/>
      <w:r w:rsidRPr="00034575">
        <w:rPr>
          <w:rFonts w:eastAsia="Times New Roman" w:cs="Times New Roman"/>
          <w:sz w:val="24"/>
          <w:szCs w:val="24"/>
        </w:rPr>
        <w:t xml:space="preserve">, F., </w:t>
      </w:r>
      <w:proofErr w:type="spellStart"/>
      <w:r w:rsidRPr="00034575">
        <w:rPr>
          <w:rFonts w:eastAsia="Times New Roman" w:cs="Times New Roman"/>
          <w:sz w:val="24"/>
          <w:szCs w:val="24"/>
        </w:rPr>
        <w:t>Vickovic</w:t>
      </w:r>
      <w:proofErr w:type="spellEnd"/>
      <w:r w:rsidRPr="00034575">
        <w:rPr>
          <w:rFonts w:eastAsia="Times New Roman" w:cs="Times New Roman"/>
          <w:sz w:val="24"/>
          <w:szCs w:val="24"/>
        </w:rPr>
        <w:t xml:space="preserve">, S., Lundmark, A., Fernández Navarro, J., Magnusson, J., </w:t>
      </w:r>
      <w:proofErr w:type="spellStart"/>
      <w:r w:rsidRPr="00034575">
        <w:rPr>
          <w:rFonts w:eastAsia="Times New Roman" w:cs="Times New Roman"/>
          <w:sz w:val="24"/>
          <w:szCs w:val="24"/>
        </w:rPr>
        <w:t>Giacomello</w:t>
      </w:r>
      <w:proofErr w:type="spellEnd"/>
      <w:r w:rsidRPr="00034575">
        <w:rPr>
          <w:rFonts w:eastAsia="Times New Roman" w:cs="Times New Roman"/>
          <w:sz w:val="24"/>
          <w:szCs w:val="24"/>
        </w:rPr>
        <w:t xml:space="preserve">, S., Asp, M., </w:t>
      </w:r>
      <w:proofErr w:type="spellStart"/>
      <w:r w:rsidRPr="00034575">
        <w:rPr>
          <w:rFonts w:eastAsia="Times New Roman" w:cs="Times New Roman"/>
          <w:sz w:val="24"/>
          <w:szCs w:val="24"/>
        </w:rPr>
        <w:t>Westholm</w:t>
      </w:r>
      <w:proofErr w:type="spellEnd"/>
      <w:r w:rsidRPr="00034575">
        <w:rPr>
          <w:rFonts w:eastAsia="Times New Roman" w:cs="Times New Roman"/>
          <w:sz w:val="24"/>
          <w:szCs w:val="24"/>
        </w:rPr>
        <w:t xml:space="preserve">, J. O., Huss, M., </w:t>
      </w:r>
      <w:proofErr w:type="spellStart"/>
      <w:r w:rsidRPr="00034575">
        <w:rPr>
          <w:rFonts w:eastAsia="Times New Roman" w:cs="Times New Roman"/>
          <w:sz w:val="24"/>
          <w:szCs w:val="24"/>
        </w:rPr>
        <w:t>Mollbrink</w:t>
      </w:r>
      <w:proofErr w:type="spellEnd"/>
      <w:r w:rsidRPr="00034575">
        <w:rPr>
          <w:rFonts w:eastAsia="Times New Roman" w:cs="Times New Roman"/>
          <w:sz w:val="24"/>
          <w:szCs w:val="24"/>
        </w:rPr>
        <w:t xml:space="preserve">, A., Linnarsson, S., Codeluppi, S., Borg, Å., </w:t>
      </w:r>
      <w:proofErr w:type="spellStart"/>
      <w:r w:rsidRPr="00034575">
        <w:rPr>
          <w:rFonts w:eastAsia="Times New Roman" w:cs="Times New Roman"/>
          <w:sz w:val="24"/>
          <w:szCs w:val="24"/>
        </w:rPr>
        <w:t>Pontén</w:t>
      </w:r>
      <w:proofErr w:type="spellEnd"/>
      <w:r w:rsidRPr="00034575">
        <w:rPr>
          <w:rFonts w:eastAsia="Times New Roman" w:cs="Times New Roman"/>
          <w:sz w:val="24"/>
          <w:szCs w:val="24"/>
        </w:rPr>
        <w:t xml:space="preserve">, F., Costea, P. I., Sahlén, P., Mulder, J., Bergmann, O., … </w:t>
      </w:r>
      <w:proofErr w:type="spellStart"/>
      <w:r w:rsidRPr="00034575">
        <w:rPr>
          <w:rFonts w:eastAsia="Times New Roman" w:cs="Times New Roman"/>
          <w:sz w:val="24"/>
          <w:szCs w:val="24"/>
        </w:rPr>
        <w:t>Frisén</w:t>
      </w:r>
      <w:proofErr w:type="spellEnd"/>
      <w:r w:rsidRPr="00034575">
        <w:rPr>
          <w:rFonts w:eastAsia="Times New Roman" w:cs="Times New Roman"/>
          <w:sz w:val="24"/>
          <w:szCs w:val="24"/>
        </w:rPr>
        <w:t xml:space="preserve">, J. (2016). Visualization and analysis of gene expression in tissue sections by spatial transcriptomics. </w:t>
      </w:r>
      <w:r w:rsidRPr="00034575">
        <w:rPr>
          <w:rFonts w:eastAsia="Times New Roman" w:cs="Times New Roman"/>
          <w:i/>
          <w:iCs/>
          <w:sz w:val="24"/>
          <w:szCs w:val="24"/>
        </w:rPr>
        <w:t>Science, 353</w:t>
      </w:r>
      <w:r w:rsidRPr="00034575">
        <w:rPr>
          <w:rFonts w:eastAsia="Times New Roman" w:cs="Times New Roman"/>
          <w:sz w:val="24"/>
          <w:szCs w:val="24"/>
        </w:rPr>
        <w:t xml:space="preserve">(6294), 78–82. </w:t>
      </w:r>
      <w:hyperlink r:id="rId43" w:history="1">
        <w:r w:rsidRPr="00034575">
          <w:rPr>
            <w:rFonts w:eastAsia="Times New Roman" w:cs="Times New Roman"/>
            <w:color w:val="0000FF"/>
            <w:sz w:val="24"/>
            <w:szCs w:val="24"/>
            <w:u w:val="single"/>
          </w:rPr>
          <w:t>https://doi.org/10.1126/science.aaf2403</w:t>
        </w:r>
      </w:hyperlink>
    </w:p>
    <w:p w14:paraId="1C3A1526" w14:textId="5FC71EE1"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Stickels, R. R., Murray, E., Kumar, P., Li, J., Marshall, J. L., Di Bella, D. J., Arlotta, P., Macosko, E. Z., &amp; Chen, F. (2021). Highly sensitive spatial transcriptomics at near-cellular resolution with Slide-seqV2. </w:t>
      </w:r>
      <w:r w:rsidRPr="00034575">
        <w:rPr>
          <w:rFonts w:eastAsia="Times New Roman" w:cs="Times New Roman"/>
          <w:i/>
          <w:iCs/>
          <w:sz w:val="24"/>
          <w:szCs w:val="24"/>
        </w:rPr>
        <w:t>Nature Biotechnology, 39</w:t>
      </w:r>
      <w:r w:rsidRPr="00034575">
        <w:rPr>
          <w:rFonts w:eastAsia="Times New Roman" w:cs="Times New Roman"/>
          <w:sz w:val="24"/>
          <w:szCs w:val="24"/>
        </w:rPr>
        <w:t xml:space="preserve">(3), 313–319. </w:t>
      </w:r>
      <w:hyperlink r:id="rId44" w:history="1">
        <w:r w:rsidRPr="00034575">
          <w:rPr>
            <w:rFonts w:eastAsia="Times New Roman" w:cs="Times New Roman"/>
            <w:color w:val="0000FF"/>
            <w:sz w:val="24"/>
            <w:szCs w:val="24"/>
            <w:u w:val="single"/>
          </w:rPr>
          <w:t>https://doi.org/10.1038/s41587-020-0739-1</w:t>
        </w:r>
      </w:hyperlink>
    </w:p>
    <w:p w14:paraId="7B4A21DA" w14:textId="1CAFA659" w:rsidR="00034575" w:rsidRPr="00034575" w:rsidRDefault="00034575" w:rsidP="00034575">
      <w:pPr>
        <w:spacing w:after="0" w:line="240" w:lineRule="auto"/>
        <w:ind w:left="540" w:hanging="540"/>
        <w:rPr>
          <w:rFonts w:eastAsia="Times New Roman" w:cs="Times New Roman"/>
          <w:sz w:val="24"/>
          <w:szCs w:val="24"/>
        </w:rPr>
      </w:pPr>
      <w:proofErr w:type="spellStart"/>
      <w:r w:rsidRPr="00034575">
        <w:rPr>
          <w:rFonts w:eastAsia="Times New Roman" w:cs="Times New Roman"/>
          <w:sz w:val="24"/>
          <w:szCs w:val="24"/>
        </w:rPr>
        <w:t>Vickovic</w:t>
      </w:r>
      <w:proofErr w:type="spellEnd"/>
      <w:r w:rsidRPr="00034575">
        <w:rPr>
          <w:rFonts w:eastAsia="Times New Roman" w:cs="Times New Roman"/>
          <w:sz w:val="24"/>
          <w:szCs w:val="24"/>
        </w:rPr>
        <w:t xml:space="preserve">, S., Eraslan, G., </w:t>
      </w:r>
      <w:proofErr w:type="spellStart"/>
      <w:r w:rsidRPr="00034575">
        <w:rPr>
          <w:rFonts w:eastAsia="Times New Roman" w:cs="Times New Roman"/>
          <w:sz w:val="24"/>
          <w:szCs w:val="24"/>
        </w:rPr>
        <w:t>Salmén</w:t>
      </w:r>
      <w:proofErr w:type="spellEnd"/>
      <w:r w:rsidRPr="00034575">
        <w:rPr>
          <w:rFonts w:eastAsia="Times New Roman" w:cs="Times New Roman"/>
          <w:sz w:val="24"/>
          <w:szCs w:val="24"/>
        </w:rPr>
        <w:t xml:space="preserve">, F., </w:t>
      </w:r>
      <w:proofErr w:type="spellStart"/>
      <w:r w:rsidRPr="00034575">
        <w:rPr>
          <w:rFonts w:eastAsia="Times New Roman" w:cs="Times New Roman"/>
          <w:sz w:val="24"/>
          <w:szCs w:val="24"/>
        </w:rPr>
        <w:t>Klughammer</w:t>
      </w:r>
      <w:proofErr w:type="spellEnd"/>
      <w:r w:rsidRPr="00034575">
        <w:rPr>
          <w:rFonts w:eastAsia="Times New Roman" w:cs="Times New Roman"/>
          <w:sz w:val="24"/>
          <w:szCs w:val="24"/>
        </w:rPr>
        <w:t xml:space="preserve">, J., Stenbeck, L., Schapiro, D., </w:t>
      </w:r>
      <w:proofErr w:type="spellStart"/>
      <w:r w:rsidRPr="00034575">
        <w:rPr>
          <w:rFonts w:eastAsia="Times New Roman" w:cs="Times New Roman"/>
          <w:sz w:val="24"/>
          <w:szCs w:val="24"/>
        </w:rPr>
        <w:t>Äijö</w:t>
      </w:r>
      <w:proofErr w:type="spellEnd"/>
      <w:r w:rsidRPr="00034575">
        <w:rPr>
          <w:rFonts w:eastAsia="Times New Roman" w:cs="Times New Roman"/>
          <w:sz w:val="24"/>
          <w:szCs w:val="24"/>
        </w:rPr>
        <w:t xml:space="preserve">, T., Bonneau, R., </w:t>
      </w:r>
      <w:proofErr w:type="spellStart"/>
      <w:r w:rsidRPr="00034575">
        <w:rPr>
          <w:rFonts w:eastAsia="Times New Roman" w:cs="Times New Roman"/>
          <w:sz w:val="24"/>
          <w:szCs w:val="24"/>
        </w:rPr>
        <w:t>Bergenstråhle</w:t>
      </w:r>
      <w:proofErr w:type="spellEnd"/>
      <w:r w:rsidRPr="00034575">
        <w:rPr>
          <w:rFonts w:eastAsia="Times New Roman" w:cs="Times New Roman"/>
          <w:sz w:val="24"/>
          <w:szCs w:val="24"/>
        </w:rPr>
        <w:t xml:space="preserve">, L., Fernández Navarro, J., Gould, J., Griffin, G. K., Borg, Å., Ronaghi, M., </w:t>
      </w:r>
      <w:proofErr w:type="spellStart"/>
      <w:r w:rsidRPr="00034575">
        <w:rPr>
          <w:rFonts w:eastAsia="Times New Roman" w:cs="Times New Roman"/>
          <w:sz w:val="24"/>
          <w:szCs w:val="24"/>
        </w:rPr>
        <w:t>Frisén</w:t>
      </w:r>
      <w:proofErr w:type="spellEnd"/>
      <w:r w:rsidRPr="00034575">
        <w:rPr>
          <w:rFonts w:eastAsia="Times New Roman" w:cs="Times New Roman"/>
          <w:sz w:val="24"/>
          <w:szCs w:val="24"/>
        </w:rPr>
        <w:t xml:space="preserve">, J., Lundeberg, J., Regev, A., &amp; Ståhl, P. L. (2019). High-definition spatial transcriptomics for in situ tissue profiling. </w:t>
      </w:r>
      <w:r w:rsidRPr="00034575">
        <w:rPr>
          <w:rFonts w:eastAsia="Times New Roman" w:cs="Times New Roman"/>
          <w:i/>
          <w:iCs/>
          <w:sz w:val="24"/>
          <w:szCs w:val="24"/>
        </w:rPr>
        <w:t>Nature Methods, 16</w:t>
      </w:r>
      <w:r w:rsidRPr="00034575">
        <w:rPr>
          <w:rFonts w:eastAsia="Times New Roman" w:cs="Times New Roman"/>
          <w:sz w:val="24"/>
          <w:szCs w:val="24"/>
        </w:rPr>
        <w:t xml:space="preserve">(10), 987–990. </w:t>
      </w:r>
      <w:hyperlink r:id="rId45" w:history="1">
        <w:r w:rsidRPr="00034575">
          <w:rPr>
            <w:rFonts w:eastAsia="Times New Roman" w:cs="Times New Roman"/>
            <w:color w:val="0000FF"/>
            <w:sz w:val="24"/>
            <w:szCs w:val="24"/>
            <w:u w:val="single"/>
          </w:rPr>
          <w:t>https://doi.org/10.1038/s41592-019-0548-y</w:t>
        </w:r>
      </w:hyperlink>
    </w:p>
    <w:p w14:paraId="66019A3C" w14:textId="72D1AD49"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Wang, C., Chan, A. S., Fu, X., Ghazanfar, S., Kim, J., Patrick, E., &amp; Yang, J. Y. H. (2025). Benchmarking the translational potential of spatial gene expression prediction from histology. </w:t>
      </w:r>
      <w:r w:rsidRPr="00034575">
        <w:rPr>
          <w:rFonts w:eastAsia="Times New Roman" w:cs="Times New Roman"/>
          <w:i/>
          <w:iCs/>
          <w:sz w:val="24"/>
          <w:szCs w:val="24"/>
        </w:rPr>
        <w:t>Nature Communications, 16</w:t>
      </w:r>
      <w:r w:rsidRPr="00034575">
        <w:rPr>
          <w:rFonts w:eastAsia="Times New Roman" w:cs="Times New Roman"/>
          <w:sz w:val="24"/>
          <w:szCs w:val="24"/>
        </w:rPr>
        <w:t xml:space="preserve">(1), 1544. </w:t>
      </w:r>
      <w:hyperlink r:id="rId46" w:history="1">
        <w:r w:rsidRPr="00034575">
          <w:rPr>
            <w:rFonts w:eastAsia="Times New Roman" w:cs="Times New Roman"/>
            <w:color w:val="0000FF"/>
            <w:sz w:val="24"/>
            <w:szCs w:val="24"/>
            <w:u w:val="single"/>
          </w:rPr>
          <w:t>https://doi.org/10.1038/s41467-025-56618-y</w:t>
        </w:r>
      </w:hyperlink>
    </w:p>
    <w:p w14:paraId="6686DB51" w14:textId="79EA2F86"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rPr>
        <w:t xml:space="preserve">Wang, K., Shi, L., Li, X., Li, W., Wang, B., Zhou, S., Cao, B., &amp; Zheng, P. (2026). Integrating histology and spatial transcriptomics via multimodal transformers and contrastive representation learning for accurate gene expression prediction. </w:t>
      </w:r>
      <w:r w:rsidRPr="00034575">
        <w:rPr>
          <w:rFonts w:eastAsia="Times New Roman" w:cs="Times New Roman"/>
          <w:i/>
          <w:iCs/>
          <w:sz w:val="24"/>
          <w:szCs w:val="24"/>
        </w:rPr>
        <w:t>Journal of Biomedical Informatics, 176</w:t>
      </w:r>
      <w:r w:rsidRPr="00034575">
        <w:rPr>
          <w:rFonts w:eastAsia="Times New Roman" w:cs="Times New Roman"/>
          <w:sz w:val="24"/>
          <w:szCs w:val="24"/>
        </w:rPr>
        <w:t xml:space="preserve">, 105003. </w:t>
      </w:r>
      <w:hyperlink r:id="rId47" w:history="1">
        <w:r w:rsidRPr="00034575">
          <w:rPr>
            <w:rFonts w:eastAsia="Times New Roman" w:cs="Times New Roman"/>
            <w:color w:val="0000FF"/>
            <w:sz w:val="24"/>
            <w:szCs w:val="24"/>
            <w:u w:val="single"/>
          </w:rPr>
          <w:t>https://doi.org/10.1016/j.jbi.2026.105003</w:t>
        </w:r>
      </w:hyperlink>
    </w:p>
    <w:p w14:paraId="5E98A55D" w14:textId="081E8546" w:rsidR="00034575" w:rsidRPr="00034575" w:rsidRDefault="00034575" w:rsidP="00034575">
      <w:pPr>
        <w:spacing w:after="0" w:line="240" w:lineRule="auto"/>
        <w:ind w:left="540" w:hanging="540"/>
        <w:rPr>
          <w:rFonts w:eastAsia="Times New Roman" w:cs="Times New Roman"/>
          <w:sz w:val="24"/>
          <w:szCs w:val="24"/>
          <w:lang w:val="nl-BE"/>
        </w:rPr>
      </w:pPr>
      <w:r w:rsidRPr="00034575">
        <w:rPr>
          <w:rFonts w:eastAsia="Times New Roman" w:cs="Times New Roman"/>
          <w:sz w:val="24"/>
          <w:szCs w:val="24"/>
        </w:rPr>
        <w:t xml:space="preserve">Xu, H., </w:t>
      </w:r>
      <w:proofErr w:type="spellStart"/>
      <w:r w:rsidRPr="00034575">
        <w:rPr>
          <w:rFonts w:eastAsia="Times New Roman" w:cs="Times New Roman"/>
          <w:sz w:val="24"/>
          <w:szCs w:val="24"/>
        </w:rPr>
        <w:t>Usuyama</w:t>
      </w:r>
      <w:proofErr w:type="spellEnd"/>
      <w:r w:rsidRPr="00034575">
        <w:rPr>
          <w:rFonts w:eastAsia="Times New Roman" w:cs="Times New Roman"/>
          <w:sz w:val="24"/>
          <w:szCs w:val="24"/>
        </w:rPr>
        <w:t xml:space="preserve">, N., Bagga, J., Zhang, S., Rao, R., Naumann, T., Wong, C., Gero, Z., González, J., Gu, Y., Xu, Y., Wei, M., Wang, W., Ma, S., Wei, F., Yang, J., Li, C., Gao, J., Rosemon, J., … Poon, H. (2024). A whole-slide foundation model for digital pathology from real-world data. </w:t>
      </w:r>
      <w:r w:rsidRPr="00034575">
        <w:rPr>
          <w:rFonts w:eastAsia="Times New Roman" w:cs="Times New Roman"/>
          <w:i/>
          <w:iCs/>
          <w:sz w:val="24"/>
          <w:szCs w:val="24"/>
          <w:lang w:val="nl-BE"/>
        </w:rPr>
        <w:t>Nature, 630</w:t>
      </w:r>
      <w:r w:rsidRPr="00034575">
        <w:rPr>
          <w:rFonts w:eastAsia="Times New Roman" w:cs="Times New Roman"/>
          <w:sz w:val="24"/>
          <w:szCs w:val="24"/>
          <w:lang w:val="nl-BE"/>
        </w:rPr>
        <w:t xml:space="preserve">(8015), 181–188. </w:t>
      </w:r>
      <w:r w:rsidRPr="00034575">
        <w:rPr>
          <w:rFonts w:eastAsia="Times New Roman" w:cs="Times New Roman"/>
          <w:sz w:val="24"/>
          <w:szCs w:val="24"/>
        </w:rPr>
        <w:fldChar w:fldCharType="begin"/>
      </w:r>
      <w:r w:rsidRPr="00034575">
        <w:rPr>
          <w:rFonts w:eastAsia="Times New Roman" w:cs="Times New Roman"/>
          <w:sz w:val="24"/>
          <w:szCs w:val="24"/>
          <w:lang w:val="nl-BE"/>
        </w:rPr>
        <w:instrText>HYPERLINK "https://doi.org/10.1038/s41586-024-07441-w"</w:instrText>
      </w:r>
      <w:r w:rsidRPr="00034575">
        <w:rPr>
          <w:rFonts w:eastAsia="Times New Roman" w:cs="Times New Roman"/>
          <w:sz w:val="24"/>
          <w:szCs w:val="24"/>
        </w:rPr>
        <w:fldChar w:fldCharType="separate"/>
      </w:r>
      <w:r w:rsidRPr="00034575">
        <w:rPr>
          <w:rFonts w:eastAsia="Times New Roman" w:cs="Times New Roman"/>
          <w:color w:val="0000FF"/>
          <w:sz w:val="24"/>
          <w:szCs w:val="24"/>
          <w:u w:val="single"/>
          <w:lang w:val="nl-BE"/>
        </w:rPr>
        <w:t>https://doi.org/10.1038/s41586-024-07441-w</w:t>
      </w:r>
      <w:r w:rsidRPr="00034575">
        <w:rPr>
          <w:rFonts w:eastAsia="Times New Roman" w:cs="Times New Roman"/>
          <w:sz w:val="24"/>
          <w:szCs w:val="24"/>
        </w:rPr>
        <w:fldChar w:fldCharType="end"/>
      </w:r>
    </w:p>
    <w:p w14:paraId="210CD30E" w14:textId="20D7FB13" w:rsidR="00034575" w:rsidRPr="00034575" w:rsidRDefault="00034575" w:rsidP="00034575">
      <w:pPr>
        <w:spacing w:after="0" w:line="240" w:lineRule="auto"/>
        <w:ind w:left="540" w:hanging="540"/>
        <w:rPr>
          <w:rFonts w:eastAsia="Times New Roman" w:cs="Times New Roman"/>
          <w:sz w:val="24"/>
          <w:szCs w:val="24"/>
        </w:rPr>
      </w:pPr>
      <w:r w:rsidRPr="00034575">
        <w:rPr>
          <w:rFonts w:eastAsia="Times New Roman" w:cs="Times New Roman"/>
          <w:sz w:val="24"/>
          <w:szCs w:val="24"/>
          <w:lang w:val="nl-BE"/>
        </w:rPr>
        <w:t xml:space="preserve">Zeng, Y., Wei, Z., Yu, W., Yin, R., Yuan, Y., Li, B., Tang, Z., Lu, Y., &amp; Yang, Y. (2022). </w:t>
      </w:r>
      <w:r w:rsidRPr="00034575">
        <w:rPr>
          <w:rFonts w:eastAsia="Times New Roman" w:cs="Times New Roman"/>
          <w:sz w:val="24"/>
          <w:szCs w:val="24"/>
        </w:rPr>
        <w:t xml:space="preserve">Spatial transcriptomics prediction from histology jointly through Transformer and graph neural networks. </w:t>
      </w:r>
      <w:r w:rsidRPr="00034575">
        <w:rPr>
          <w:rFonts w:eastAsia="Times New Roman" w:cs="Times New Roman"/>
          <w:i/>
          <w:iCs/>
          <w:sz w:val="24"/>
          <w:szCs w:val="24"/>
        </w:rPr>
        <w:t>Briefings in Bioinformatics, 23</w:t>
      </w:r>
      <w:r w:rsidRPr="00034575">
        <w:rPr>
          <w:rFonts w:eastAsia="Times New Roman" w:cs="Times New Roman"/>
          <w:sz w:val="24"/>
          <w:szCs w:val="24"/>
        </w:rPr>
        <w:t xml:space="preserve">(5), bbac297. </w:t>
      </w:r>
      <w:hyperlink r:id="rId48" w:history="1">
        <w:r w:rsidRPr="00034575">
          <w:rPr>
            <w:rFonts w:eastAsia="Times New Roman" w:cs="Times New Roman"/>
            <w:color w:val="0000FF"/>
            <w:sz w:val="24"/>
            <w:szCs w:val="24"/>
            <w:u w:val="single"/>
          </w:rPr>
          <w:t>https://doi.org/10.1093/bib/bbac297</w:t>
        </w:r>
      </w:hyperlink>
    </w:p>
    <w:p w14:paraId="2CF79D1F" w14:textId="752431AC" w:rsidR="00C264CF" w:rsidRPr="00C264CF" w:rsidRDefault="00034575" w:rsidP="00034575">
      <w:pPr>
        <w:ind w:left="540" w:hanging="540"/>
      </w:pPr>
      <w:r w:rsidRPr="00034575">
        <w:rPr>
          <w:rFonts w:eastAsia="Times New Roman" w:cs="Times New Roman"/>
          <w:sz w:val="24"/>
          <w:szCs w:val="24"/>
        </w:rPr>
        <w:t xml:space="preserve">Zhang, D., Schroeder, A., Yan, H., Yang, H., Hu, J., Lee, M. Y. Y., Cho, K. S., </w:t>
      </w:r>
      <w:proofErr w:type="spellStart"/>
      <w:r w:rsidRPr="00034575">
        <w:rPr>
          <w:rFonts w:eastAsia="Times New Roman" w:cs="Times New Roman"/>
          <w:sz w:val="24"/>
          <w:szCs w:val="24"/>
        </w:rPr>
        <w:t>Susztak</w:t>
      </w:r>
      <w:proofErr w:type="spellEnd"/>
      <w:r w:rsidRPr="00034575">
        <w:rPr>
          <w:rFonts w:eastAsia="Times New Roman" w:cs="Times New Roman"/>
          <w:sz w:val="24"/>
          <w:szCs w:val="24"/>
        </w:rPr>
        <w:t xml:space="preserve">, K., Xu, G. X., Feldman, M. D., Lee, E. B., Furth, E. E., Wang, L., &amp; Li, M. (2024). Inferring super-resolution tissue architecture by integrating spatial transcriptomics with histology. </w:t>
      </w:r>
      <w:r w:rsidRPr="00034575">
        <w:rPr>
          <w:rFonts w:eastAsia="Times New Roman" w:cs="Times New Roman"/>
          <w:i/>
          <w:iCs/>
          <w:sz w:val="24"/>
          <w:szCs w:val="24"/>
        </w:rPr>
        <w:t>Nature Biotechnology, 42</w:t>
      </w:r>
      <w:r w:rsidRPr="00034575">
        <w:rPr>
          <w:rFonts w:eastAsia="Times New Roman" w:cs="Times New Roman"/>
          <w:sz w:val="24"/>
          <w:szCs w:val="24"/>
        </w:rPr>
        <w:t xml:space="preserve">(9), 1372–1377. </w:t>
      </w:r>
      <w:hyperlink r:id="rId49" w:history="1">
        <w:r w:rsidRPr="00034575">
          <w:rPr>
            <w:rFonts w:eastAsia="Times New Roman" w:cs="Times New Roman"/>
            <w:color w:val="0000FF"/>
            <w:sz w:val="24"/>
            <w:szCs w:val="24"/>
            <w:u w:val="single"/>
          </w:rPr>
          <w:t>https://doi.org/10.1038/s41587-023-02019-9</w:t>
        </w:r>
      </w:hyperlink>
    </w:p>
    <w:sectPr w:rsidR="00C264CF" w:rsidRPr="00C264CF" w:rsidSect="00034616">
      <w:headerReference w:type="even" r:id="rId50"/>
      <w:headerReference w:type="default" r:id="rId51"/>
      <w:footerReference w:type="even" r:id="rId52"/>
      <w:footerReference w:type="default" r:id="rId53"/>
      <w:headerReference w:type="first" r:id="rId54"/>
      <w:footerReference w:type="first" r:id="rId55"/>
      <w:pgSz w:w="12240" w:h="15840"/>
      <w:pgMar w:top="1152" w:right="1296" w:bottom="1080"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385DB" w14:textId="77777777" w:rsidR="000278FF" w:rsidRDefault="000278FF">
      <w:pPr>
        <w:spacing w:after="0" w:line="240" w:lineRule="auto"/>
      </w:pPr>
      <w:r>
        <w:separator/>
      </w:r>
    </w:p>
  </w:endnote>
  <w:endnote w:type="continuationSeparator" w:id="0">
    <w:p w14:paraId="6204F04B" w14:textId="77777777" w:rsidR="000278FF" w:rsidRDefault="00027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4F70E" w14:textId="77777777" w:rsidR="00A06DF8" w:rsidRDefault="00A06D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34DC1" w14:textId="77777777" w:rsidR="00805D42" w:rsidRDefault="00000000">
    <w:pPr>
      <w:pStyle w:val="Footer"/>
      <w:jc w:val="center"/>
    </w:pPr>
    <w:r>
      <w:rPr>
        <w:sz w:val="18"/>
      </w:rPr>
      <w:fldChar w:fldCharType="begin"/>
    </w:r>
    <w:r>
      <w:rPr>
        <w:sz w:val="18"/>
      </w:rPr>
      <w:instrText xml:space="preserve"> PAGE </w:instrText>
    </w:r>
    <w:r>
      <w:rPr>
        <w:sz w:val="18"/>
      </w:rPr>
      <w:fldChar w:fldCharType="separate"/>
    </w:r>
    <w:r w:rsidR="00C264CF">
      <w:rPr>
        <w:noProof/>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1D4FA" w14:textId="77777777" w:rsidR="00A06DF8" w:rsidRDefault="00A06D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D6EC2" w14:textId="77777777" w:rsidR="000278FF" w:rsidRDefault="000278FF">
      <w:pPr>
        <w:spacing w:after="0" w:line="240" w:lineRule="auto"/>
      </w:pPr>
      <w:r>
        <w:separator/>
      </w:r>
    </w:p>
  </w:footnote>
  <w:footnote w:type="continuationSeparator" w:id="0">
    <w:p w14:paraId="4C88D50C" w14:textId="77777777" w:rsidR="000278FF" w:rsidRDefault="000278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D0F88" w14:textId="77777777" w:rsidR="00A06DF8" w:rsidRDefault="00000000">
    <w:pPr>
      <w:pStyle w:val="Header"/>
    </w:pPr>
    <w:r>
      <w:rPr>
        <w:noProof/>
      </w:rPr>
      <w:pict w14:anchorId="3E80BA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2954469" o:spid="_x0000_s1026" type="#_x0000_t136" style="position:absolute;left:0;text-align:left;margin-left:0;margin-top:0;width:612.05pt;height:6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52267" w14:textId="77777777" w:rsidR="00A06DF8" w:rsidRDefault="00000000">
    <w:pPr>
      <w:pStyle w:val="Header"/>
    </w:pPr>
    <w:r>
      <w:rPr>
        <w:noProof/>
      </w:rPr>
      <w:pict w14:anchorId="73CB59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2954470" o:spid="_x0000_s1027" type="#_x0000_t136" style="position:absolute;left:0;text-align:left;margin-left:0;margin-top:0;width:612.05pt;height:6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A367B" w14:textId="77777777" w:rsidR="00A06DF8" w:rsidRDefault="00000000">
    <w:pPr>
      <w:pStyle w:val="Header"/>
    </w:pPr>
    <w:r>
      <w:rPr>
        <w:noProof/>
      </w:rPr>
      <w:pict w14:anchorId="38B60E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2954468" o:spid="_x0000_s1025" type="#_x0000_t136" style="position:absolute;left:0;text-align:left;margin-left:0;margin-top:0;width:612.05pt;height:6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3570A46"/>
    <w:multiLevelType w:val="hybridMultilevel"/>
    <w:tmpl w:val="AAC28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B9307D"/>
    <w:multiLevelType w:val="hybridMultilevel"/>
    <w:tmpl w:val="86C0117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908100">
    <w:abstractNumId w:val="8"/>
  </w:num>
  <w:num w:numId="2" w16cid:durableId="1557594451">
    <w:abstractNumId w:val="6"/>
  </w:num>
  <w:num w:numId="3" w16cid:durableId="2117821064">
    <w:abstractNumId w:val="5"/>
  </w:num>
  <w:num w:numId="4" w16cid:durableId="223151134">
    <w:abstractNumId w:val="4"/>
  </w:num>
  <w:num w:numId="5" w16cid:durableId="1341007886">
    <w:abstractNumId w:val="7"/>
  </w:num>
  <w:num w:numId="6" w16cid:durableId="1932080762">
    <w:abstractNumId w:val="3"/>
  </w:num>
  <w:num w:numId="7" w16cid:durableId="1595474916">
    <w:abstractNumId w:val="2"/>
  </w:num>
  <w:num w:numId="8" w16cid:durableId="300768184">
    <w:abstractNumId w:val="1"/>
  </w:num>
  <w:num w:numId="9" w16cid:durableId="2140566511">
    <w:abstractNumId w:val="0"/>
  </w:num>
  <w:num w:numId="10" w16cid:durableId="357780642">
    <w:abstractNumId w:val="9"/>
  </w:num>
  <w:num w:numId="11" w16cid:durableId="19566724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78FF"/>
    <w:rsid w:val="00034575"/>
    <w:rsid w:val="00034616"/>
    <w:rsid w:val="0006063C"/>
    <w:rsid w:val="00093040"/>
    <w:rsid w:val="000B7615"/>
    <w:rsid w:val="0015074B"/>
    <w:rsid w:val="0029639D"/>
    <w:rsid w:val="00326F90"/>
    <w:rsid w:val="00454C92"/>
    <w:rsid w:val="005A1E11"/>
    <w:rsid w:val="00805D42"/>
    <w:rsid w:val="00841987"/>
    <w:rsid w:val="00A06DF8"/>
    <w:rsid w:val="00AA1D8D"/>
    <w:rsid w:val="00B05350"/>
    <w:rsid w:val="00B47730"/>
    <w:rsid w:val="00C264CF"/>
    <w:rsid w:val="00CB0664"/>
    <w:rsid w:val="00D32CD1"/>
    <w:rsid w:val="00DC2FC1"/>
    <w:rsid w:val="00EA194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F992E2"/>
  <w14:defaultImageDpi w14:val="300"/>
  <w15:docId w15:val="{CA2461B0-5BE5-4F24-8A2A-CBCBC2347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ind w:firstLine="403"/>
      <w:jc w:val="both"/>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40"/>
      <w:ind w:firstLine="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80" w:after="80"/>
      <w:ind w:firstLine="0"/>
      <w:outlineLvl w:val="1"/>
    </w:pPr>
    <w:rPr>
      <w:rFonts w:asciiTheme="majorHAnsi" w:eastAsiaTheme="majorEastAsia" w:hAnsiTheme="majorHAnsi" w:cstheme="majorBidi"/>
      <w:b/>
      <w:bCs/>
      <w:color w:val="2F559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ind w:firstLine="0"/>
      <w:contextualSpacing/>
      <w:jc w:val="center"/>
    </w:pPr>
    <w:rPr>
      <w:rFonts w:asciiTheme="majorHAnsi" w:eastAsiaTheme="majorEastAsia" w:hAnsiTheme="majorHAnsi" w:cstheme="majorBidi"/>
      <w:b/>
      <w:color w:val="1F4E79"/>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403"/>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s">
    <w:name w:val="References"/>
    <w:pPr>
      <w:spacing w:after="80" w:line="252" w:lineRule="auto"/>
      <w:ind w:left="432" w:hanging="432"/>
    </w:pPr>
    <w:rPr>
      <w:rFonts w:ascii="Times New Roman" w:hAnsi="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38/s41591-024-02857-3" TargetMode="External"/><Relationship Id="rId18" Type="http://schemas.openxmlformats.org/officeDocument/2006/relationships/hyperlink" Target="https://doi.org/10.1038/s41586-019-1049-y" TargetMode="External"/><Relationship Id="rId26" Type="http://schemas.openxmlformats.org/officeDocument/2006/relationships/hyperlink" Target="https://doi.org/10.1038/s41467-023-43458-x" TargetMode="External"/><Relationship Id="rId39" Type="http://schemas.openxmlformats.org/officeDocument/2006/relationships/hyperlink" Target="https://doi.org/10.1038/s41467-025-66691-y" TargetMode="External"/><Relationship Id="rId21" Type="http://schemas.openxmlformats.org/officeDocument/2006/relationships/hyperlink" Target="https://doi.org/10.1093/bib/bbag387" TargetMode="External"/><Relationship Id="rId34" Type="http://schemas.openxmlformats.org/officeDocument/2006/relationships/hyperlink" Target="https://doi.org/10.1016/j.semcancer.2026.01.002" TargetMode="External"/><Relationship Id="rId42" Type="http://schemas.openxmlformats.org/officeDocument/2006/relationships/hyperlink" Target="https://doi.org/10.1038/s41598-024-69198-6" TargetMode="External"/><Relationship Id="rId47" Type="http://schemas.openxmlformats.org/officeDocument/2006/relationships/hyperlink" Target="https://doi.org/10.1016/j.jbi.2026.105003" TargetMode="External"/><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38/s41591-018-0177-5" TargetMode="External"/><Relationship Id="rId29" Type="http://schemas.openxmlformats.org/officeDocument/2006/relationships/hyperlink" Target="https://doi.org/10.1016/j.cell.2018.08.039" TargetMode="External"/><Relationship Id="rId11" Type="http://schemas.openxmlformats.org/officeDocument/2006/relationships/hyperlink" Target="https://doi.org/10.1038/s41592-021-01264-7" TargetMode="External"/><Relationship Id="rId24" Type="http://schemas.openxmlformats.org/officeDocument/2006/relationships/hyperlink" Target="https://doi.org/10.1038/s41746-025-02020-3" TargetMode="External"/><Relationship Id="rId32" Type="http://schemas.openxmlformats.org/officeDocument/2006/relationships/hyperlink" Target="https://doi.org/10.1038/s41551-025-01602-6" TargetMode="External"/><Relationship Id="rId37" Type="http://schemas.openxmlformats.org/officeDocument/2006/relationships/hyperlink" Target="https://doi.org/10.1038/s41467-024-54182-5" TargetMode="External"/><Relationship Id="rId40" Type="http://schemas.openxmlformats.org/officeDocument/2006/relationships/hyperlink" Target="https://doi.org/10.1038/s41467-020-17678-4" TargetMode="External"/><Relationship Id="rId45" Type="http://schemas.openxmlformats.org/officeDocument/2006/relationships/hyperlink" Target="https://doi.org/10.1038/s41592-019-0548-y" TargetMode="External"/><Relationship Id="rId53" Type="http://schemas.openxmlformats.org/officeDocument/2006/relationships/footer" Target="footer2.xml"/><Relationship Id="rId5" Type="http://schemas.openxmlformats.org/officeDocument/2006/relationships/webSettings" Target="webSettings.xml"/><Relationship Id="rId19" Type="http://schemas.openxmlformats.org/officeDocument/2006/relationships/hyperlink" Target="https://doi.org/10.1038/s41592-025-02795-z" TargetMode="External"/><Relationship Id="rId4" Type="http://schemas.openxmlformats.org/officeDocument/2006/relationships/settings" Target="settings.xml"/><Relationship Id="rId9" Type="http://schemas.openxmlformats.org/officeDocument/2006/relationships/hyperlink" Target="https://doi.org/10.1186/s41073-019-0064-8" TargetMode="External"/><Relationship Id="rId14" Type="http://schemas.openxmlformats.org/officeDocument/2006/relationships/hyperlink" Target="https://doi.org/10.1038/s41592-025-02707-1" TargetMode="External"/><Relationship Id="rId22" Type="http://schemas.openxmlformats.org/officeDocument/2006/relationships/hyperlink" Target="https://doi.org/10.1038/s41551-020-0578-x" TargetMode="External"/><Relationship Id="rId27" Type="http://schemas.openxmlformats.org/officeDocument/2006/relationships/hyperlink" Target="https://doi.org/10.1016/j.cell.2020.05.039" TargetMode="External"/><Relationship Id="rId30" Type="http://schemas.openxmlformats.org/officeDocument/2006/relationships/hyperlink" Target="https://doi.org/10.1038/s41587-021-01139-4" TargetMode="External"/><Relationship Id="rId35" Type="http://schemas.openxmlformats.org/officeDocument/2006/relationships/hyperlink" Target="https://doi.org/10.1038/s41467-022-30587-y" TargetMode="External"/><Relationship Id="rId43" Type="http://schemas.openxmlformats.org/officeDocument/2006/relationships/hyperlink" Target="https://doi.org/10.1126/science.aaf2403" TargetMode="External"/><Relationship Id="rId48" Type="http://schemas.openxmlformats.org/officeDocument/2006/relationships/hyperlink" Target="https://doi.org/10.1093/bib/bbac297" TargetMode="External"/><Relationship Id="rId56" Type="http://schemas.openxmlformats.org/officeDocument/2006/relationships/fontTable" Target="fontTable.xml"/><Relationship Id="rId8" Type="http://schemas.openxmlformats.org/officeDocument/2006/relationships/hyperlink" Target="https://doi.org/10.1016/j.ajpath.2026.01.007" TargetMode="Externa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doi.org/10.1126/science.aaa6090" TargetMode="External"/><Relationship Id="rId17" Type="http://schemas.openxmlformats.org/officeDocument/2006/relationships/hyperlink" Target="https://doi.org/10.1038/s41467-022-29439-6" TargetMode="External"/><Relationship Id="rId25" Type="http://schemas.openxmlformats.org/officeDocument/2006/relationships/hyperlink" Target="https://doi.org/10.1038/s41586-019-1876-x" TargetMode="External"/><Relationship Id="rId33" Type="http://schemas.openxmlformats.org/officeDocument/2006/relationships/hyperlink" Target="https://doi.org/10.1038/s41591-024-02856-4" TargetMode="External"/><Relationship Id="rId38" Type="http://schemas.openxmlformats.org/officeDocument/2006/relationships/hyperlink" Target="https://doi.org/10.1126/science.aaw1219" TargetMode="External"/><Relationship Id="rId46" Type="http://schemas.openxmlformats.org/officeDocument/2006/relationships/hyperlink" Target="https://doi.org/10.1038/s41467-025-56618-y" TargetMode="External"/><Relationship Id="rId20" Type="http://schemas.openxmlformats.org/officeDocument/2006/relationships/hyperlink" Target="https://doi.org/10.1016/j.cell.2018.07.010" TargetMode="External"/><Relationship Id="rId41" Type="http://schemas.openxmlformats.org/officeDocument/2006/relationships/hyperlink" Target="https://doi.org/10.1016/j.cell.2020.07.005"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89/cmb.2019.0340" TargetMode="External"/><Relationship Id="rId23" Type="http://schemas.openxmlformats.org/officeDocument/2006/relationships/hyperlink" Target="https://doi.org/10.1038/s41592-021-01255-8" TargetMode="External"/><Relationship Id="rId28" Type="http://schemas.openxmlformats.org/officeDocument/2006/relationships/hyperlink" Target="https://doi.org/10.1186/s13059-024-03289-5" TargetMode="External"/><Relationship Id="rId36" Type="http://schemas.openxmlformats.org/officeDocument/2006/relationships/hyperlink" Target="https://doi.org/10.1016/j.ajpath.2026.03.014" TargetMode="External"/><Relationship Id="rId49" Type="http://schemas.openxmlformats.org/officeDocument/2006/relationships/hyperlink" Target="https://doi.org/10.1038/s41587-023-02019-9" TargetMode="External"/><Relationship Id="rId57" Type="http://schemas.openxmlformats.org/officeDocument/2006/relationships/theme" Target="theme/theme1.xml"/><Relationship Id="rId10" Type="http://schemas.openxmlformats.org/officeDocument/2006/relationships/hyperlink" Target="https://doi.org/10.1186/s13059-024-03241-7" TargetMode="External"/><Relationship Id="rId31" Type="http://schemas.openxmlformats.org/officeDocument/2006/relationships/hyperlink" Target="https://doi.org/10.1038/s44387-025-00050-6" TargetMode="External"/><Relationship Id="rId44" Type="http://schemas.openxmlformats.org/officeDocument/2006/relationships/hyperlink" Target="https://doi.org/10.1038/s41587-020-0739-1"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15336</Words>
  <Characters>87418</Characters>
  <Application>Microsoft Office Word</Application>
  <DocSecurity>0</DocSecurity>
  <Lines>728</Lines>
  <Paragraphs>205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102549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the H&amp;E Slide: Uncovering Hidden Histopathological Signatures with Spatial Omics and Artificial Intelligence</dc:title>
  <dc:subject>Critical narrative review of spatial omics and artificial intelligence in histopathology</dc:subject>
  <dc:creator/>
  <cp:keywords/>
  <dc:description>generated by python-docx</dc:description>
  <cp:lastModifiedBy>Editor-90</cp:lastModifiedBy>
  <cp:revision>5</cp:revision>
  <dcterms:created xsi:type="dcterms:W3CDTF">2013-12-23T23:15:00Z</dcterms:created>
  <dcterms:modified xsi:type="dcterms:W3CDTF">2026-09-08T10:50:00Z</dcterms:modified>
  <cp:category/>
</cp:coreProperties>
</file>