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E0383" w14:textId="77777777" w:rsidR="005921D2" w:rsidRPr="005921D2" w:rsidRDefault="005921D2" w:rsidP="005921D2">
      <w:pPr>
        <w:pStyle w:val="Title"/>
        <w:jc w:val="both"/>
        <w:rPr>
          <w:rFonts w:ascii="Arial" w:hAnsi="Arial" w:cs="Arial"/>
          <w:bCs/>
          <w:i/>
          <w:iCs/>
          <w:u w:val="single"/>
        </w:rPr>
      </w:pPr>
      <w:r w:rsidRPr="005921D2">
        <w:rPr>
          <w:rFonts w:ascii="Arial" w:hAnsi="Arial" w:cs="Arial"/>
          <w:bCs/>
          <w:i/>
          <w:iCs/>
          <w:u w:val="single"/>
        </w:rPr>
        <w:t>Original Research Article</w:t>
      </w:r>
    </w:p>
    <w:p w14:paraId="74896026" w14:textId="77777777" w:rsidR="00754C9A" w:rsidRDefault="00754C9A" w:rsidP="00441B6F">
      <w:pPr>
        <w:pStyle w:val="Title"/>
        <w:spacing w:after="0"/>
        <w:jc w:val="both"/>
        <w:rPr>
          <w:rFonts w:ascii="Arial" w:hAnsi="Arial" w:cs="Arial"/>
        </w:rPr>
      </w:pPr>
    </w:p>
    <w:p w14:paraId="553A8E69" w14:textId="77777777" w:rsidR="00A258C3" w:rsidRPr="00790ADA" w:rsidRDefault="00E001DE" w:rsidP="00441B6F">
      <w:pPr>
        <w:pStyle w:val="Author"/>
        <w:spacing w:line="240" w:lineRule="auto"/>
        <w:jc w:val="both"/>
        <w:rPr>
          <w:rFonts w:ascii="Arial" w:hAnsi="Arial" w:cs="Arial"/>
          <w:sz w:val="36"/>
        </w:rPr>
      </w:pPr>
      <w:r w:rsidRPr="00E001DE">
        <w:rPr>
          <w:rFonts w:ascii="Arial" w:hAnsi="Arial" w:cs="Arial"/>
          <w:bCs/>
          <w:iCs/>
          <w:kern w:val="28"/>
          <w:sz w:val="36"/>
          <w:highlight w:val="yellow"/>
          <w:lang w:val="en-GB"/>
        </w:rPr>
        <w:t>RADIOGRAPHIC ASSESSMENT OF THE ISCHIOPUBIC INDEX IN ADULT NIGERIANS FOR SEX ESTIMATION AND CLINICAL APPLICATIONS</w:t>
      </w:r>
    </w:p>
    <w:p w14:paraId="42763A38" w14:textId="77777777" w:rsidR="00790ADA" w:rsidRDefault="00790ADA" w:rsidP="00441B6F">
      <w:pPr>
        <w:pStyle w:val="Affiliation"/>
        <w:spacing w:after="0" w:line="240" w:lineRule="auto"/>
        <w:jc w:val="both"/>
        <w:rPr>
          <w:rFonts w:ascii="Arial" w:hAnsi="Arial" w:cs="Arial"/>
        </w:rPr>
      </w:pPr>
    </w:p>
    <w:p w14:paraId="4CA45BA5" w14:textId="77777777" w:rsidR="002C57D2" w:rsidRPr="00FB3A86" w:rsidRDefault="002C57D2" w:rsidP="00441B6F">
      <w:pPr>
        <w:pStyle w:val="Affiliation"/>
        <w:spacing w:after="0" w:line="240" w:lineRule="auto"/>
        <w:jc w:val="both"/>
        <w:rPr>
          <w:rFonts w:ascii="Arial" w:hAnsi="Arial" w:cs="Arial"/>
        </w:rPr>
      </w:pPr>
    </w:p>
    <w:p w14:paraId="585CB8F5" w14:textId="77777777" w:rsidR="00B01FCD" w:rsidRPr="00FB3A86" w:rsidRDefault="00000000" w:rsidP="00441B6F">
      <w:pPr>
        <w:pStyle w:val="Copyright"/>
        <w:spacing w:after="0" w:line="240" w:lineRule="auto"/>
        <w:jc w:val="both"/>
        <w:rPr>
          <w:rFonts w:ascii="Arial" w:hAnsi="Arial" w:cs="Arial"/>
        </w:rPr>
        <w:sectPr w:rsidR="00B01FCD" w:rsidRPr="00FB3A86" w:rsidSect="00C47A6E">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2076F13">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78307E0B"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7760738A"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6FD2589F" w14:textId="77777777" w:rsidTr="001E44FE">
        <w:tc>
          <w:tcPr>
            <w:tcW w:w="9576" w:type="dxa"/>
            <w:shd w:val="clear" w:color="auto" w:fill="F2F2F2"/>
          </w:tcPr>
          <w:p w14:paraId="537EC3F0" w14:textId="77777777" w:rsidR="00BB1E1B" w:rsidRDefault="00907DBE" w:rsidP="00441B6F">
            <w:pPr>
              <w:pStyle w:val="Body"/>
              <w:spacing w:after="0"/>
              <w:rPr>
                <w:rFonts w:ascii="Arial" w:eastAsia="Calibri" w:hAnsi="Arial" w:cs="Arial"/>
                <w:szCs w:val="22"/>
              </w:rPr>
            </w:pPr>
            <w:r w:rsidRPr="00907DBE">
              <w:rPr>
                <w:rFonts w:ascii="Arial" w:eastAsia="Calibri" w:hAnsi="Arial" w:cs="Arial"/>
                <w:b/>
                <w:bCs/>
                <w:szCs w:val="22"/>
              </w:rPr>
              <w:t>Background:</w:t>
            </w:r>
            <w:r>
              <w:rPr>
                <w:rFonts w:ascii="Arial" w:eastAsia="Calibri" w:hAnsi="Arial" w:cs="Arial"/>
                <w:szCs w:val="22"/>
              </w:rPr>
              <w:t xml:space="preserve"> </w:t>
            </w:r>
            <w:r w:rsidRPr="00907DBE">
              <w:rPr>
                <w:rFonts w:ascii="Arial" w:eastAsia="Calibri" w:hAnsi="Arial" w:cs="Arial"/>
                <w:szCs w:val="22"/>
              </w:rPr>
              <w:t xml:space="preserve">The pelvis is the most sexually dimorphic region of the human skeleton and plays a pivotal role in forensic anthropology, clinical anatomy, and medicolegal investigations. The ischiopubic index has been widely used for biological sex estimation. </w:t>
            </w:r>
          </w:p>
          <w:p w14:paraId="4A3D659A" w14:textId="6451F965" w:rsidR="00907DBE" w:rsidRDefault="00BB1E1B" w:rsidP="00441B6F">
            <w:pPr>
              <w:pStyle w:val="Body"/>
              <w:spacing w:after="0"/>
              <w:rPr>
                <w:rFonts w:ascii="Arial" w:eastAsia="Calibri" w:hAnsi="Arial" w:cs="Arial"/>
                <w:szCs w:val="22"/>
              </w:rPr>
            </w:pPr>
            <w:r>
              <w:rPr>
                <w:rFonts w:ascii="Arial" w:eastAsia="Calibri" w:hAnsi="Arial" w:cs="Arial"/>
                <w:szCs w:val="22"/>
              </w:rPr>
              <w:t xml:space="preserve">Aim: </w:t>
            </w:r>
            <w:r w:rsidR="00907DBE" w:rsidRPr="00907DBE">
              <w:rPr>
                <w:rFonts w:ascii="Arial" w:eastAsia="Calibri" w:hAnsi="Arial" w:cs="Arial"/>
                <w:szCs w:val="22"/>
              </w:rPr>
              <w:t>This study aimed to determine the ischiopubic index among adult Nigerians in Port Harcourt, Rivers State.</w:t>
            </w:r>
          </w:p>
          <w:p w14:paraId="306F9126" w14:textId="77777777" w:rsidR="00907DBE" w:rsidRPr="00907DBE" w:rsidRDefault="00BA1B01" w:rsidP="00441B6F">
            <w:pPr>
              <w:pStyle w:val="Body"/>
              <w:spacing w:after="0"/>
              <w:rPr>
                <w:rFonts w:ascii="Arial" w:eastAsia="Calibri" w:hAnsi="Arial" w:cs="Arial"/>
                <w:szCs w:val="22"/>
              </w:rPr>
            </w:pPr>
            <w:r>
              <w:rPr>
                <w:rFonts w:ascii="Arial" w:eastAsia="Calibri" w:hAnsi="Arial" w:cs="Arial"/>
                <w:b/>
                <w:bCs/>
                <w:szCs w:val="22"/>
              </w:rPr>
              <w:t xml:space="preserve">Methodology: </w:t>
            </w:r>
            <w:r>
              <w:rPr>
                <w:rFonts w:ascii="Arial" w:eastAsia="Calibri" w:hAnsi="Arial" w:cs="Arial"/>
                <w:szCs w:val="22"/>
              </w:rPr>
              <w:t>A retrospective descriptive cross-sectional study was conducted using 100 archived anteroposterior pelvic radiographs (50 males and 50 females) obtained from the Department of Radiology, University of Port Harcourt Teaching Hospital. Pubic length and ischial length were measured from standardi</w:t>
            </w:r>
            <w:r>
              <w:rPr>
                <w:rFonts w:ascii="Arial" w:eastAsia="Calibri" w:hAnsi="Arial" w:cs="Arial"/>
                <w:szCs w:val="22"/>
                <w:highlight w:val="yellow"/>
              </w:rPr>
              <w:t>s</w:t>
            </w:r>
            <w:r>
              <w:rPr>
                <w:rFonts w:ascii="Arial" w:eastAsia="Calibri" w:hAnsi="Arial" w:cs="Arial"/>
                <w:szCs w:val="22"/>
              </w:rPr>
              <w:t xml:space="preserve">ed anatomical landmarks, and the ischiopubic index was calculated as (Pubic Length/Ischial Length) × 100. Data were analysed using IBM SPSS version 25. </w:t>
            </w:r>
            <w:r>
              <w:rPr>
                <w:rFonts w:ascii="Arial" w:eastAsia="Calibri" w:hAnsi="Arial" w:cs="Arial"/>
                <w:szCs w:val="22"/>
                <w:highlight w:val="yellow"/>
              </w:rPr>
              <w:t>An i</w:t>
            </w:r>
            <w:r>
              <w:rPr>
                <w:rFonts w:ascii="Arial" w:eastAsia="Calibri" w:hAnsi="Arial" w:cs="Arial"/>
                <w:szCs w:val="22"/>
              </w:rPr>
              <w:t xml:space="preserve">ndependent-samples </w:t>
            </w:r>
            <w:r>
              <w:rPr>
                <w:rFonts w:ascii="Arial" w:eastAsia="Calibri" w:hAnsi="Arial" w:cs="Arial"/>
                <w:i/>
                <w:iCs/>
                <w:szCs w:val="22"/>
              </w:rPr>
              <w:t>t</w:t>
            </w:r>
            <w:r>
              <w:rPr>
                <w:rFonts w:ascii="Arial" w:eastAsia="Calibri" w:hAnsi="Arial" w:cs="Arial"/>
                <w:szCs w:val="22"/>
              </w:rPr>
              <w:t>-test and discriminant function analysis w</w:t>
            </w:r>
            <w:r>
              <w:rPr>
                <w:rFonts w:ascii="Arial" w:eastAsia="Calibri" w:hAnsi="Arial" w:cs="Arial"/>
                <w:szCs w:val="22"/>
                <w:highlight w:val="yellow"/>
              </w:rPr>
              <w:t>ere</w:t>
            </w:r>
            <w:r>
              <w:rPr>
                <w:rFonts w:ascii="Arial" w:eastAsia="Calibri" w:hAnsi="Arial" w:cs="Arial"/>
                <w:szCs w:val="22"/>
              </w:rPr>
              <w:t xml:space="preserve"> performed, with statistical significance set at </w:t>
            </w:r>
            <w:r>
              <w:rPr>
                <w:rFonts w:ascii="Arial" w:eastAsia="Calibri" w:hAnsi="Arial" w:cs="Arial"/>
                <w:i/>
                <w:iCs/>
                <w:szCs w:val="22"/>
              </w:rPr>
              <w:t>p</w:t>
            </w:r>
            <w:r>
              <w:rPr>
                <w:rFonts w:ascii="Arial" w:eastAsia="Calibri" w:hAnsi="Arial" w:cs="Arial"/>
                <w:szCs w:val="22"/>
              </w:rPr>
              <w:t xml:space="preserve"> &lt; 0.05 </w:t>
            </w:r>
          </w:p>
          <w:p w14:paraId="43202E3B" w14:textId="77777777" w:rsidR="00907DBE" w:rsidRDefault="00BA1B01" w:rsidP="00441B6F">
            <w:pPr>
              <w:pStyle w:val="Body"/>
              <w:spacing w:after="0"/>
              <w:rPr>
                <w:rFonts w:ascii="Arial" w:eastAsia="Calibri" w:hAnsi="Arial" w:cs="Arial"/>
                <w:szCs w:val="22"/>
              </w:rPr>
            </w:pPr>
            <w:r>
              <w:rPr>
                <w:rFonts w:ascii="Arial" w:eastAsia="Calibri" w:hAnsi="Arial" w:cs="Arial"/>
                <w:b/>
                <w:bCs/>
                <w:szCs w:val="22"/>
              </w:rPr>
              <w:t>Results:</w:t>
            </w:r>
            <w:r>
              <w:rPr>
                <w:rFonts w:ascii="Arial" w:eastAsia="Calibri" w:hAnsi="Arial" w:cs="Arial"/>
                <w:szCs w:val="22"/>
              </w:rPr>
              <w:t xml:space="preserve"> The mean pubic length was 79.14 ± 5.95 mm in males and 76.10 ± 9.21 mm in females, with no significant sex difference (</w:t>
            </w:r>
            <w:r>
              <w:rPr>
                <w:rFonts w:ascii="Arial" w:eastAsia="Calibri" w:hAnsi="Arial" w:cs="Arial"/>
                <w:i/>
                <w:iCs/>
                <w:szCs w:val="22"/>
              </w:rPr>
              <w:t>p</w:t>
            </w:r>
            <w:r>
              <w:rPr>
                <w:rFonts w:ascii="Arial" w:eastAsia="Calibri" w:hAnsi="Arial" w:cs="Arial"/>
                <w:szCs w:val="22"/>
              </w:rPr>
              <w:t xml:space="preserve"> = 0.053). Males had significantly greater ischial lengths than females (84.08 ± 5.99 mm vs. 71.97 ± 9.13 mm; </w:t>
            </w:r>
            <w:r>
              <w:rPr>
                <w:rFonts w:ascii="Arial" w:eastAsia="Calibri" w:hAnsi="Arial" w:cs="Arial"/>
                <w:i/>
                <w:iCs/>
                <w:szCs w:val="22"/>
              </w:rPr>
              <w:t>p</w:t>
            </w:r>
            <w:r>
              <w:rPr>
                <w:rFonts w:ascii="Arial" w:eastAsia="Calibri" w:hAnsi="Arial" w:cs="Arial"/>
                <w:szCs w:val="22"/>
              </w:rPr>
              <w:t xml:space="preserve"> &lt; 0.001). Conversely, females exhibited a significantly higher ischiopubic index than males (105.81 ± 1.28 vs. 94.09 ± 0.84; </w:t>
            </w:r>
            <w:r>
              <w:rPr>
                <w:rFonts w:ascii="Arial" w:eastAsia="Calibri" w:hAnsi="Arial" w:cs="Arial"/>
                <w:i/>
                <w:iCs/>
                <w:szCs w:val="22"/>
              </w:rPr>
              <w:t>p</w:t>
            </w:r>
            <w:r>
              <w:rPr>
                <w:rFonts w:ascii="Arial" w:eastAsia="Calibri" w:hAnsi="Arial" w:cs="Arial"/>
                <w:szCs w:val="22"/>
              </w:rPr>
              <w:t xml:space="preserve"> &lt; 0.001). Discriminant function analysis yielded the equation D = −1.802 − 1.333(Pubic Length) + 1.349(Ischial Length) and demonstrated excellent discriminatory performance (Eigenvalue = 38.506, Canonical Correlation = 0.987, Wilks' Lambda = 0.025, χ² = 356.616, </w:t>
            </w:r>
            <w:r>
              <w:rPr>
                <w:rFonts w:ascii="Arial" w:eastAsia="Calibri" w:hAnsi="Arial" w:cs="Arial"/>
                <w:i/>
                <w:iCs/>
                <w:szCs w:val="22"/>
              </w:rPr>
              <w:t>p</w:t>
            </w:r>
            <w:r>
              <w:rPr>
                <w:rFonts w:ascii="Arial" w:eastAsia="Calibri" w:hAnsi="Arial" w:cs="Arial"/>
                <w:szCs w:val="22"/>
              </w:rPr>
              <w:t xml:space="preserve"> &lt; 0.001), correctly classifying 100% of th</w:t>
            </w:r>
            <w:r>
              <w:rPr>
                <w:rFonts w:ascii="Arial" w:eastAsia="Calibri" w:hAnsi="Arial" w:cs="Arial"/>
                <w:szCs w:val="22"/>
                <w:highlight w:val="yellow"/>
              </w:rPr>
              <w:t>e</w:t>
            </w:r>
            <w:r>
              <w:rPr>
                <w:rFonts w:ascii="Arial" w:eastAsia="Calibri" w:hAnsi="Arial" w:cs="Arial"/>
                <w:szCs w:val="22"/>
              </w:rPr>
              <w:t xml:space="preserve"> original and cross-validated cases.</w:t>
            </w:r>
          </w:p>
          <w:p w14:paraId="449A5597" w14:textId="77777777" w:rsidR="00505F06" w:rsidRPr="00907DBE" w:rsidRDefault="00BA1B01" w:rsidP="00907DBE">
            <w:pPr>
              <w:pStyle w:val="Body"/>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907DBE" w:rsidRPr="00907DBE">
              <w:rPr>
                <w:rFonts w:ascii="Arial" w:eastAsia="Calibri" w:hAnsi="Arial" w:cs="Arial"/>
                <w:szCs w:val="22"/>
              </w:rPr>
              <w:t>The study demonstrates that the ischiopubic index is a reliable indicator of sexual dimorphism in adult Nigerians from Port Harcourt. The derived discriminant function provides population-specific reference data that may be useful for forensic identification, anthropological research, and clinical anatomical practice.</w:t>
            </w:r>
          </w:p>
        </w:tc>
      </w:tr>
    </w:tbl>
    <w:p w14:paraId="739EB2A3" w14:textId="77777777" w:rsidR="00636EB2" w:rsidRDefault="00636EB2" w:rsidP="00441B6F">
      <w:pPr>
        <w:pStyle w:val="Body"/>
        <w:spacing w:after="0"/>
        <w:rPr>
          <w:rFonts w:ascii="Arial" w:hAnsi="Arial" w:cs="Arial"/>
          <w:i/>
        </w:rPr>
      </w:pPr>
    </w:p>
    <w:p w14:paraId="2A380031" w14:textId="0EC28FC1" w:rsidR="00907DBE" w:rsidRPr="00907DBE" w:rsidRDefault="00A24E7E" w:rsidP="00907DBE">
      <w:pPr>
        <w:pStyle w:val="Body"/>
        <w:rPr>
          <w:rFonts w:ascii="Arial" w:hAnsi="Arial" w:cs="Arial"/>
          <w:i/>
        </w:rPr>
      </w:pPr>
      <w:r>
        <w:rPr>
          <w:rFonts w:ascii="Arial" w:hAnsi="Arial" w:cs="Arial"/>
          <w:i/>
        </w:rPr>
        <w:t xml:space="preserve">Keywords: </w:t>
      </w:r>
      <w:r w:rsidR="00BE1B5A">
        <w:t>Ischiopubic index; Sex estimation; Pelvic morphometry; Sexual dimorphism; Pelvic radiography; Forensic anthropology; Discriminant function analysis; Adult Nigerians; Population-specific standards; Clinical anatomy.</w:t>
      </w:r>
    </w:p>
    <w:p w14:paraId="416C1DB6"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6BBC94A6" w14:textId="77777777" w:rsidR="00907DBE" w:rsidRPr="00907DBE" w:rsidRDefault="00907DBE" w:rsidP="00907DBE">
      <w:pPr>
        <w:pStyle w:val="Body"/>
        <w:spacing w:after="0"/>
        <w:rPr>
          <w:rFonts w:ascii="Arial" w:hAnsi="Arial" w:cs="Arial"/>
        </w:rPr>
      </w:pPr>
      <w:r>
        <w:rPr>
          <w:rFonts w:ascii="Arial" w:hAnsi="Arial" w:cs="Arial"/>
        </w:rPr>
        <w:t xml:space="preserve">The hip bone, or innominate bone, is a large irregular bone formed by the fusion of the </w:t>
      </w:r>
      <w:r>
        <w:rPr>
          <w:rFonts w:ascii="Arial" w:hAnsi="Arial" w:cs="Arial"/>
          <w:highlight w:val="yellow"/>
        </w:rPr>
        <w:t>i</w:t>
      </w:r>
      <w:r>
        <w:rPr>
          <w:rFonts w:ascii="Arial" w:hAnsi="Arial" w:cs="Arial"/>
        </w:rPr>
        <w:t xml:space="preserve">lium, </w:t>
      </w:r>
      <w:r>
        <w:rPr>
          <w:rFonts w:ascii="Arial" w:hAnsi="Arial" w:cs="Arial"/>
          <w:highlight w:val="yellow"/>
        </w:rPr>
        <w:t>i</w:t>
      </w:r>
      <w:r>
        <w:rPr>
          <w:rFonts w:ascii="Arial" w:hAnsi="Arial" w:cs="Arial"/>
        </w:rPr>
        <w:t xml:space="preserve">schium, and </w:t>
      </w:r>
      <w:r>
        <w:rPr>
          <w:rFonts w:ascii="Arial" w:hAnsi="Arial" w:cs="Arial"/>
          <w:highlight w:val="yellow"/>
        </w:rPr>
        <w:t>p</w:t>
      </w:r>
      <w:r>
        <w:rPr>
          <w:rFonts w:ascii="Arial" w:hAnsi="Arial" w:cs="Arial"/>
        </w:rPr>
        <w:t>ubis</w:t>
      </w:r>
      <w:r>
        <w:rPr>
          <w:rFonts w:ascii="Arial" w:hAnsi="Arial" w:cs="Arial"/>
          <w:highlight w:val="yellow"/>
        </w:rPr>
        <w:t>,</w:t>
      </w:r>
      <w:r>
        <w:rPr>
          <w:rFonts w:ascii="Arial" w:hAnsi="Arial" w:cs="Arial"/>
        </w:rPr>
        <w:t xml:space="preserve"> which meet at the acetabulum and progressively fuse during adolescence. Along with the sacrum and the coccyx, the two hip bones form the bony pelvis, which articulates with the lower limbs. The pelvis performs several vital functions in the human body, ranging from transmitting the body mass from the spine to the lower limbs, protecting the organs in the pelvic cavity and the lower abdominal organs, serving as a point of attachment for muscles and ligaments, and facilitating movement, balance, and flexibility. The pelvis is generally regarded as the most sexually dimorphic region of the human skeleton, largely because of adaptations associated with locomotion and reproduction (Kurki, 2013; Huseynov et al., 2016). The degree of sexual dimorphism of the pelvis has made it an anatomical structure of prime interest in </w:t>
      </w:r>
      <w:r>
        <w:rPr>
          <w:rFonts w:ascii="Arial" w:hAnsi="Arial" w:cs="Arial"/>
          <w:highlight w:val="yellow"/>
        </w:rPr>
        <w:t>f</w:t>
      </w:r>
      <w:r>
        <w:rPr>
          <w:rFonts w:ascii="Arial" w:hAnsi="Arial" w:cs="Arial"/>
        </w:rPr>
        <w:t xml:space="preserve">orensic </w:t>
      </w:r>
      <w:r>
        <w:rPr>
          <w:rFonts w:ascii="Arial" w:hAnsi="Arial" w:cs="Arial"/>
          <w:highlight w:val="yellow"/>
        </w:rPr>
        <w:lastRenderedPageBreak/>
        <w:t>a</w:t>
      </w:r>
      <w:r>
        <w:rPr>
          <w:rFonts w:ascii="Arial" w:hAnsi="Arial" w:cs="Arial"/>
        </w:rPr>
        <w:t xml:space="preserve">nthropology, </w:t>
      </w:r>
      <w:r>
        <w:rPr>
          <w:rFonts w:ascii="Arial" w:hAnsi="Arial" w:cs="Arial"/>
          <w:highlight w:val="yellow"/>
        </w:rPr>
        <w:t>a</w:t>
      </w:r>
      <w:r>
        <w:rPr>
          <w:rFonts w:ascii="Arial" w:hAnsi="Arial" w:cs="Arial"/>
        </w:rPr>
        <w:t xml:space="preserve">natomy, </w:t>
      </w:r>
      <w:r>
        <w:rPr>
          <w:rFonts w:ascii="Arial" w:hAnsi="Arial" w:cs="Arial"/>
          <w:highlight w:val="yellow"/>
        </w:rPr>
        <w:t>o</w:t>
      </w:r>
      <w:r>
        <w:rPr>
          <w:rFonts w:ascii="Arial" w:hAnsi="Arial" w:cs="Arial"/>
        </w:rPr>
        <w:t>rthop</w:t>
      </w:r>
      <w:r>
        <w:rPr>
          <w:rFonts w:ascii="Arial" w:hAnsi="Arial" w:cs="Arial"/>
          <w:highlight w:val="yellow"/>
        </w:rPr>
        <w:t>a</w:t>
      </w:r>
      <w:r>
        <w:rPr>
          <w:rFonts w:ascii="Arial" w:hAnsi="Arial" w:cs="Arial"/>
        </w:rPr>
        <w:t xml:space="preserve">edics, </w:t>
      </w:r>
      <w:r>
        <w:rPr>
          <w:rFonts w:ascii="Arial" w:hAnsi="Arial" w:cs="Arial"/>
          <w:highlight w:val="yellow"/>
        </w:rPr>
        <w:t>b</w:t>
      </w:r>
      <w:r>
        <w:rPr>
          <w:rFonts w:ascii="Arial" w:hAnsi="Arial" w:cs="Arial"/>
        </w:rPr>
        <w:t xml:space="preserve">ioarchaeology, </w:t>
      </w:r>
      <w:r>
        <w:rPr>
          <w:rFonts w:ascii="Arial" w:hAnsi="Arial" w:cs="Arial"/>
          <w:highlight w:val="yellow"/>
        </w:rPr>
        <w:t>o</w:t>
      </w:r>
      <w:r>
        <w:rPr>
          <w:rFonts w:ascii="Arial" w:hAnsi="Arial" w:cs="Arial"/>
        </w:rPr>
        <w:t xml:space="preserve">bstetrics, and related fields (Franklin </w:t>
      </w:r>
      <w:r>
        <w:rPr>
          <w:rFonts w:ascii="Arial" w:hAnsi="Arial" w:cs="Arial"/>
          <w:highlight w:val="yellow"/>
        </w:rPr>
        <w:t>&amp;</w:t>
      </w:r>
      <w:r>
        <w:rPr>
          <w:rFonts w:ascii="Arial" w:hAnsi="Arial" w:cs="Arial"/>
        </w:rPr>
        <w:t xml:space="preserve"> Marks, 2022). The pelvis is divided by the pelvic brim into the greater (false) pelvis and the lesser (true) pelvis. The greater pelvis is the abdominal part of the pelvis involved in supporting the lower abdominal organs, while the lesser pelvis contains the pelvic cavity and forms the bony framework of the birth canal in females.</w:t>
      </w:r>
    </w:p>
    <w:p w14:paraId="3C9F93B9" w14:textId="5C2BCECC" w:rsidR="00907DBE" w:rsidRPr="00907DBE" w:rsidRDefault="00907DBE" w:rsidP="00907DBE">
      <w:pPr>
        <w:pStyle w:val="Body"/>
        <w:spacing w:after="0"/>
        <w:rPr>
          <w:rFonts w:ascii="Arial" w:hAnsi="Arial" w:cs="Arial"/>
        </w:rPr>
      </w:pPr>
      <w:r>
        <w:rPr>
          <w:rFonts w:ascii="Arial" w:hAnsi="Arial" w:cs="Arial"/>
        </w:rPr>
        <w:t xml:space="preserve">The classification of the pelvis adopted by Caldwell and Moloy (1933) remains in use today in </w:t>
      </w:r>
      <w:r>
        <w:rPr>
          <w:rFonts w:ascii="Arial" w:hAnsi="Arial" w:cs="Arial"/>
          <w:highlight w:val="yellow"/>
        </w:rPr>
        <w:t>o</w:t>
      </w:r>
      <w:r>
        <w:rPr>
          <w:rFonts w:ascii="Arial" w:hAnsi="Arial" w:cs="Arial"/>
        </w:rPr>
        <w:t>bstetrics, wherein the female pelvis is categori</w:t>
      </w:r>
      <w:r>
        <w:rPr>
          <w:rFonts w:ascii="Arial" w:hAnsi="Arial" w:cs="Arial"/>
          <w:highlight w:val="yellow"/>
        </w:rPr>
        <w:t>s</w:t>
      </w:r>
      <w:r>
        <w:rPr>
          <w:rFonts w:ascii="Arial" w:hAnsi="Arial" w:cs="Arial"/>
        </w:rPr>
        <w:t xml:space="preserve">ed into four groups: gynecoid, android, anthropoid, and platypelloid. Modern anatomical studies have shown that a continuous gradation of pelvic shapes occurs </w:t>
      </w:r>
      <w:r>
        <w:rPr>
          <w:rFonts w:ascii="Arial" w:hAnsi="Arial" w:cs="Arial"/>
          <w:highlight w:val="yellow"/>
        </w:rPr>
        <w:t>ac</w:t>
      </w:r>
      <w:r>
        <w:rPr>
          <w:rFonts w:ascii="Arial" w:hAnsi="Arial" w:cs="Arial"/>
        </w:rPr>
        <w:t>ro</w:t>
      </w:r>
      <w:r>
        <w:rPr>
          <w:rFonts w:ascii="Arial" w:hAnsi="Arial" w:cs="Arial"/>
          <w:highlight w:val="yellow"/>
        </w:rPr>
        <w:t>ss</w:t>
      </w:r>
      <w:r>
        <w:rPr>
          <w:rFonts w:ascii="Arial" w:hAnsi="Arial" w:cs="Arial"/>
        </w:rPr>
        <w:t xml:space="preserve"> populations</w:t>
      </w:r>
      <w:r>
        <w:rPr>
          <w:rFonts w:ascii="Arial" w:hAnsi="Arial" w:cs="Arial"/>
          <w:highlight w:val="yellow"/>
        </w:rPr>
        <w:t>,</w:t>
      </w:r>
      <w:r>
        <w:rPr>
          <w:rFonts w:ascii="Arial" w:hAnsi="Arial" w:cs="Arial"/>
        </w:rPr>
        <w:t xml:space="preserve"> with no distinct categories (Huseynov et al., 2016). A number of factors are implicated in the variations observed in pelvic morphology, ranging from genetic, hormonal, and growth factors to biomechanical, nutritional, and environmental variables (Franklin </w:t>
      </w:r>
      <w:r>
        <w:rPr>
          <w:rFonts w:ascii="Arial" w:hAnsi="Arial" w:cs="Arial"/>
          <w:highlight w:val="yellow"/>
        </w:rPr>
        <w:t>&amp;</w:t>
      </w:r>
      <w:r>
        <w:rPr>
          <w:rFonts w:ascii="Arial" w:hAnsi="Arial" w:cs="Arial"/>
        </w:rPr>
        <w:t xml:space="preserve"> Marks, 2022). As such, it has become common practice in Forensic Anthropology to adopt population-specific reference data to analy</w:t>
      </w:r>
      <w:r>
        <w:rPr>
          <w:rFonts w:ascii="Arial" w:hAnsi="Arial" w:cs="Arial"/>
          <w:highlight w:val="yellow"/>
        </w:rPr>
        <w:t>s</w:t>
      </w:r>
      <w:r>
        <w:rPr>
          <w:rFonts w:ascii="Arial" w:hAnsi="Arial" w:cs="Arial"/>
        </w:rPr>
        <w:t>e the pelvic morphology of individuals from different geographical regions whose populations may have adapted to local environmental conditions (Huseynov et al., 2016; Franklin</w:t>
      </w:r>
      <w:r>
        <w:rPr>
          <w:rFonts w:ascii="Arial" w:hAnsi="Arial" w:cs="Arial"/>
          <w:highlight w:val="yellow"/>
        </w:rPr>
        <w:t xml:space="preserve"> et al.</w:t>
      </w:r>
      <w:r>
        <w:rPr>
          <w:rFonts w:ascii="Arial" w:hAnsi="Arial" w:cs="Arial"/>
        </w:rPr>
        <w:t xml:space="preserve">, 2006). In </w:t>
      </w:r>
      <w:r>
        <w:rPr>
          <w:rFonts w:ascii="Arial" w:hAnsi="Arial" w:cs="Arial"/>
          <w:highlight w:val="yellow"/>
        </w:rPr>
        <w:t>f</w:t>
      </w:r>
      <w:r>
        <w:rPr>
          <w:rFonts w:ascii="Arial" w:hAnsi="Arial" w:cs="Arial"/>
        </w:rPr>
        <w:t xml:space="preserve">orensic </w:t>
      </w:r>
      <w:r>
        <w:rPr>
          <w:rFonts w:ascii="Arial" w:hAnsi="Arial" w:cs="Arial"/>
          <w:highlight w:val="yellow"/>
        </w:rPr>
        <w:t>a</w:t>
      </w:r>
      <w:r>
        <w:rPr>
          <w:rFonts w:ascii="Arial" w:hAnsi="Arial" w:cs="Arial"/>
        </w:rPr>
        <w:t xml:space="preserve">nthropology and </w:t>
      </w:r>
      <w:r>
        <w:rPr>
          <w:rFonts w:ascii="Arial" w:hAnsi="Arial" w:cs="Arial"/>
          <w:highlight w:val="yellow"/>
        </w:rPr>
        <w:t>a</w:t>
      </w:r>
      <w:r>
        <w:rPr>
          <w:rFonts w:ascii="Arial" w:hAnsi="Arial" w:cs="Arial"/>
        </w:rPr>
        <w:t xml:space="preserve">natomy, the ischiopubic index has been identified as one of the morphometric parameters with the highest diagnostic efficiency for sex </w:t>
      </w:r>
      <w:r>
        <w:rPr>
          <w:rFonts w:ascii="Arial" w:hAnsi="Arial" w:cs="Arial"/>
          <w:highlight w:val="yellow"/>
        </w:rPr>
        <w:t>estimation</w:t>
      </w:r>
      <w:r>
        <w:rPr>
          <w:rFonts w:ascii="Arial" w:hAnsi="Arial" w:cs="Arial"/>
        </w:rPr>
        <w:t xml:space="preserve">. This is primarily because females have significantly higher ischiopubic indices than males due to the relatively greater length of the pubic bones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the ischial bones (Washburn, 1948; Ekanem et al., 200</w:t>
      </w:r>
      <w:r w:rsidR="006115F6">
        <w:rPr>
          <w:rFonts w:ascii="Arial" w:hAnsi="Arial" w:cs="Arial"/>
        </w:rPr>
        <w:t>8</w:t>
      </w:r>
      <w:r>
        <w:rPr>
          <w:rFonts w:ascii="Arial" w:hAnsi="Arial" w:cs="Arial"/>
        </w:rPr>
        <w:t>; Attah et al., 2015). The ischiopubic index has been found to vary significantly among populations b</w:t>
      </w:r>
      <w:r>
        <w:rPr>
          <w:rFonts w:ascii="Arial" w:hAnsi="Arial" w:cs="Arial"/>
          <w:highlight w:val="yellow"/>
        </w:rPr>
        <w:t>ec</w:t>
      </w:r>
      <w:r>
        <w:rPr>
          <w:rFonts w:ascii="Arial" w:hAnsi="Arial" w:cs="Arial"/>
        </w:rPr>
        <w:t>a</w:t>
      </w:r>
      <w:r>
        <w:rPr>
          <w:rFonts w:ascii="Arial" w:hAnsi="Arial" w:cs="Arial"/>
          <w:highlight w:val="yellow"/>
        </w:rPr>
        <w:t>u</w:t>
      </w:r>
      <w:r>
        <w:rPr>
          <w:rFonts w:ascii="Arial" w:hAnsi="Arial" w:cs="Arial"/>
        </w:rPr>
        <w:t>se o</w:t>
      </w:r>
      <w:r>
        <w:rPr>
          <w:rFonts w:ascii="Arial" w:hAnsi="Arial" w:cs="Arial"/>
          <w:highlight w:val="yellow"/>
        </w:rPr>
        <w:t>f</w:t>
      </w:r>
      <w:r>
        <w:rPr>
          <w:rFonts w:ascii="Arial" w:hAnsi="Arial" w:cs="Arial"/>
        </w:rPr>
        <w:t xml:space="preserve"> genetic, hormonal, and socio-environmental factors</w:t>
      </w:r>
      <w:r>
        <w:rPr>
          <w:rFonts w:ascii="Arial" w:hAnsi="Arial" w:cs="Arial"/>
          <w:highlight w:val="yellow"/>
        </w:rPr>
        <w:t>,</w:t>
      </w:r>
      <w:r>
        <w:rPr>
          <w:rFonts w:ascii="Arial" w:hAnsi="Arial" w:cs="Arial"/>
        </w:rPr>
        <w:t xml:space="preserve"> a</w:t>
      </w:r>
      <w:r>
        <w:rPr>
          <w:rFonts w:ascii="Arial" w:hAnsi="Arial" w:cs="Arial"/>
          <w:highlight w:val="yellow"/>
        </w:rPr>
        <w:t>s</w:t>
      </w:r>
      <w:r>
        <w:rPr>
          <w:rFonts w:ascii="Arial" w:hAnsi="Arial" w:cs="Arial"/>
        </w:rPr>
        <w:t xml:space="preserve"> </w:t>
      </w:r>
      <w:r>
        <w:rPr>
          <w:rFonts w:ascii="Arial" w:hAnsi="Arial" w:cs="Arial"/>
          <w:highlight w:val="yellow"/>
        </w:rPr>
        <w:t>w</w:t>
      </w:r>
      <w:r>
        <w:rPr>
          <w:rFonts w:ascii="Arial" w:hAnsi="Arial" w:cs="Arial"/>
        </w:rPr>
        <w:t>e</w:t>
      </w:r>
      <w:r>
        <w:rPr>
          <w:rFonts w:ascii="Arial" w:hAnsi="Arial" w:cs="Arial"/>
          <w:highlight w:val="yellow"/>
        </w:rPr>
        <w:t>ll as</w:t>
      </w:r>
      <w:r>
        <w:rPr>
          <w:rFonts w:ascii="Arial" w:hAnsi="Arial" w:cs="Arial"/>
        </w:rPr>
        <w:t xml:space="preserve"> differences in growth patterns. As such, current trends in Forensic Anthropology advocate the necessity of developing reference datasets that are population-specific rather than relying on universally accepted values in determinin</w:t>
      </w:r>
      <w:r>
        <w:rPr>
          <w:rFonts w:ascii="Arial" w:hAnsi="Arial" w:cs="Arial"/>
          <w:highlight w:val="yellow"/>
        </w:rPr>
        <w:t>g</w:t>
      </w:r>
      <w:r>
        <w:rPr>
          <w:rFonts w:ascii="Arial" w:hAnsi="Arial" w:cs="Arial"/>
        </w:rPr>
        <w:t xml:space="preserve"> the ischiopubic index (Klales, 2021; Franklin </w:t>
      </w:r>
      <w:r>
        <w:rPr>
          <w:rFonts w:ascii="Arial" w:hAnsi="Arial" w:cs="Arial"/>
          <w:highlight w:val="yellow"/>
        </w:rPr>
        <w:t>&amp;</w:t>
      </w:r>
      <w:r>
        <w:rPr>
          <w:rFonts w:ascii="Arial" w:hAnsi="Arial" w:cs="Arial"/>
        </w:rPr>
        <w:t xml:space="preserve"> Marks, 2022; Espejel &amp; Cucina, 202</w:t>
      </w:r>
      <w:r>
        <w:rPr>
          <w:rFonts w:ascii="Arial" w:hAnsi="Arial" w:cs="Arial"/>
          <w:highlight w:val="yellow"/>
        </w:rPr>
        <w:t>6</w:t>
      </w:r>
      <w:r>
        <w:rPr>
          <w:rFonts w:ascii="Arial" w:hAnsi="Arial" w:cs="Arial"/>
        </w:rPr>
        <w:t>).</w:t>
      </w:r>
      <w:r>
        <w:rPr>
          <w:b/>
          <w:highlight w:val="yellow"/>
        </w:rPr>
        <w:t xml:space="preserve"> Recent validation using clinical pelvic MSCT has further supported the importance of population-specific standards for accurate sex estimation (Lye et al., 2024).</w:t>
      </w:r>
    </w:p>
    <w:p w14:paraId="50F2FDF1" w14:textId="5296217C" w:rsidR="00907DBE" w:rsidRPr="00907DBE" w:rsidRDefault="00907DBE" w:rsidP="00907DBE">
      <w:pPr>
        <w:pStyle w:val="Body"/>
        <w:spacing w:after="0"/>
        <w:rPr>
          <w:rFonts w:ascii="Arial" w:hAnsi="Arial" w:cs="Arial"/>
        </w:rPr>
      </w:pPr>
      <w:r>
        <w:rPr>
          <w:rFonts w:ascii="Arial" w:hAnsi="Arial" w:cs="Arial"/>
        </w:rPr>
        <w:t xml:space="preserve">Studies carried out in Nigeria on the ischiopubic index have shown significant sexual dimorphism among the populations of Cross River </w:t>
      </w:r>
      <w:r>
        <w:rPr>
          <w:rFonts w:ascii="Arial" w:hAnsi="Arial" w:cs="Arial"/>
          <w:highlight w:val="yellow"/>
        </w:rPr>
        <w:t>S</w:t>
      </w:r>
      <w:r>
        <w:rPr>
          <w:rFonts w:ascii="Arial" w:hAnsi="Arial" w:cs="Arial"/>
        </w:rPr>
        <w:t>tate (Ekanem et al., 200</w:t>
      </w:r>
      <w:r w:rsidR="006115F6">
        <w:rPr>
          <w:rFonts w:ascii="Arial" w:hAnsi="Arial" w:cs="Arial"/>
        </w:rPr>
        <w:t>8</w:t>
      </w:r>
      <w:r>
        <w:rPr>
          <w:rFonts w:ascii="Arial" w:hAnsi="Arial" w:cs="Arial"/>
        </w:rPr>
        <w:t xml:space="preserve">), Eastern Nigeria (Oladipo et al., 2010), Lagos </w:t>
      </w:r>
      <w:r>
        <w:rPr>
          <w:rFonts w:ascii="Arial" w:hAnsi="Arial" w:cs="Arial"/>
          <w:highlight w:val="yellow"/>
        </w:rPr>
        <w:t>S</w:t>
      </w:r>
      <w:r>
        <w:rPr>
          <w:rFonts w:ascii="Arial" w:hAnsi="Arial" w:cs="Arial"/>
        </w:rPr>
        <w:t>tate (Ekanem et al., 2014), Maiduguri (Attah et al., 2015), and among the Urhobo and Itsekiri (Oladipo et al., 201</w:t>
      </w:r>
      <w:r>
        <w:rPr>
          <w:rFonts w:ascii="Arial" w:hAnsi="Arial" w:cs="Arial"/>
          <w:highlight w:val="yellow"/>
        </w:rPr>
        <w:t>5</w:t>
      </w:r>
      <w:r>
        <w:rPr>
          <w:rFonts w:ascii="Arial" w:hAnsi="Arial" w:cs="Arial"/>
        </w:rPr>
        <w:t xml:space="preserve">) ethnic groups. All the studies found that females had higher ischiopubic indices than males, and as such, the ischiopubic index can be used to determine the biological sex of an individual. With the exception of Attah et al. </w:t>
      </w:r>
      <w:r>
        <w:rPr>
          <w:rFonts w:ascii="Arial" w:hAnsi="Arial" w:cs="Arial"/>
          <w:highlight w:val="yellow"/>
        </w:rPr>
        <w:t>(</w:t>
      </w:r>
      <w:r>
        <w:rPr>
          <w:rFonts w:ascii="Arial" w:hAnsi="Arial" w:cs="Arial"/>
        </w:rPr>
        <w:t>2015), the</w:t>
      </w:r>
      <w:r>
        <w:rPr>
          <w:rFonts w:ascii="Arial" w:hAnsi="Arial" w:cs="Arial"/>
          <w:highlight w:val="yellow"/>
        </w:rPr>
        <w:t>se</w:t>
      </w:r>
      <w:r>
        <w:rPr>
          <w:rFonts w:ascii="Arial" w:hAnsi="Arial" w:cs="Arial"/>
        </w:rPr>
        <w:t xml:space="preserve"> stud</w:t>
      </w:r>
      <w:r>
        <w:rPr>
          <w:rFonts w:ascii="Arial" w:hAnsi="Arial" w:cs="Arial"/>
          <w:highlight w:val="yellow"/>
        </w:rPr>
        <w:t>ies</w:t>
      </w:r>
      <w:r>
        <w:rPr>
          <w:rFonts w:ascii="Arial" w:hAnsi="Arial" w:cs="Arial"/>
        </w:rPr>
        <w:t xml:space="preserve"> found that ischiopubic indices varied significantly among the populations studied. Therefore, the ischiopubic indices reported by these studies cannot be used to generalize the patterns of variation of the ischiopubic index of Nigerians as a whole. Similar observations have been reported worldwide, since osteometric, computed tomography, and three-dimensional morphometric analyses of pelvic measurements have shown that </w:t>
      </w:r>
      <w:r>
        <w:rPr>
          <w:rFonts w:ascii="Arial" w:hAnsi="Arial" w:cs="Arial"/>
          <w:highlight w:val="yellow"/>
        </w:rPr>
        <w:t>p</w:t>
      </w:r>
      <w:r>
        <w:rPr>
          <w:rFonts w:ascii="Arial" w:hAnsi="Arial" w:cs="Arial"/>
        </w:rPr>
        <w:t>e</w:t>
      </w:r>
      <w:r>
        <w:rPr>
          <w:rFonts w:ascii="Arial" w:hAnsi="Arial" w:cs="Arial"/>
          <w:highlight w:val="yellow"/>
        </w:rPr>
        <w:t>lvic</w:t>
      </w:r>
      <w:r>
        <w:rPr>
          <w:rFonts w:ascii="Arial" w:hAnsi="Arial" w:cs="Arial"/>
        </w:rPr>
        <w:t xml:space="preserve"> morpholog</w:t>
      </w:r>
      <w:r>
        <w:rPr>
          <w:rFonts w:ascii="Arial" w:hAnsi="Arial" w:cs="Arial"/>
          <w:highlight w:val="yellow"/>
        </w:rPr>
        <w:t>y</w:t>
      </w:r>
      <w:r>
        <w:rPr>
          <w:rFonts w:ascii="Arial" w:hAnsi="Arial" w:cs="Arial"/>
        </w:rPr>
        <w:t xml:space="preserve"> varies geographically (Franklin &amp; Marks, 2022). Knowledge of the pelvic morphology has several applications in medicine and </w:t>
      </w:r>
      <w:r>
        <w:rPr>
          <w:rFonts w:ascii="Arial" w:hAnsi="Arial" w:cs="Arial"/>
          <w:highlight w:val="yellow"/>
        </w:rPr>
        <w:t>f</w:t>
      </w:r>
      <w:r>
        <w:rPr>
          <w:rFonts w:ascii="Arial" w:hAnsi="Arial" w:cs="Arial"/>
        </w:rPr>
        <w:t xml:space="preserve">orensic </w:t>
      </w:r>
      <w:r>
        <w:rPr>
          <w:rFonts w:ascii="Arial" w:hAnsi="Arial" w:cs="Arial"/>
          <w:highlight w:val="yellow"/>
        </w:rPr>
        <w:t>s</w:t>
      </w:r>
      <w:r>
        <w:rPr>
          <w:rFonts w:ascii="Arial" w:hAnsi="Arial" w:cs="Arial"/>
        </w:rPr>
        <w:t>ciences.</w:t>
      </w:r>
      <w:r>
        <w:rPr>
          <w:b/>
          <w:highlight w:val="yellow"/>
        </w:rPr>
        <w:t xml:space="preserve"> Comparable Nigerian morphometric studies of other skeletal elements have also reported measurable sexual dimorphism and the utility of quantitative models for population-specific sex estimation (Orupabo &amp; Oghenemavwe, 2024; Okon et al., 2025).</w:t>
      </w:r>
    </w:p>
    <w:p w14:paraId="1504E94F" w14:textId="77777777" w:rsidR="00907DBE" w:rsidRPr="00907DBE" w:rsidRDefault="00907DBE" w:rsidP="00907DBE">
      <w:pPr>
        <w:pStyle w:val="Body"/>
        <w:spacing w:after="0"/>
        <w:rPr>
          <w:rFonts w:ascii="Arial" w:hAnsi="Arial" w:cs="Arial"/>
        </w:rPr>
      </w:pPr>
      <w:r>
        <w:rPr>
          <w:rFonts w:ascii="Arial" w:hAnsi="Arial" w:cs="Arial"/>
        </w:rPr>
        <w:t xml:space="preserve">In </w:t>
      </w:r>
      <w:r>
        <w:rPr>
          <w:rFonts w:ascii="Arial" w:hAnsi="Arial" w:cs="Arial"/>
          <w:highlight w:val="yellow"/>
        </w:rPr>
        <w:t>f</w:t>
      </w:r>
      <w:r>
        <w:rPr>
          <w:rFonts w:ascii="Arial" w:hAnsi="Arial" w:cs="Arial"/>
        </w:rPr>
        <w:t xml:space="preserve">orensic </w:t>
      </w:r>
      <w:r>
        <w:rPr>
          <w:rFonts w:ascii="Arial" w:hAnsi="Arial" w:cs="Arial"/>
          <w:highlight w:val="yellow"/>
        </w:rPr>
        <w:t>a</w:t>
      </w:r>
      <w:r>
        <w:rPr>
          <w:rFonts w:ascii="Arial" w:hAnsi="Arial" w:cs="Arial"/>
        </w:rPr>
        <w:t xml:space="preserve">nthropology, the pelvis is considered the most reliable skeletal element for determining the biological sex of an individual with relatively high accuracy, especially when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other skeletal elements </w:t>
      </w:r>
      <w:r>
        <w:rPr>
          <w:rFonts w:ascii="Arial" w:hAnsi="Arial" w:cs="Arial"/>
          <w:highlight w:val="yellow"/>
        </w:rPr>
        <w:t>when</w:t>
      </w:r>
      <w:r>
        <w:rPr>
          <w:rFonts w:ascii="Arial" w:hAnsi="Arial" w:cs="Arial"/>
        </w:rPr>
        <w:t xml:space="preserve"> they are available for comparative analysis (Phenice, 1969; Klales et al., 2012). Modern </w:t>
      </w:r>
      <w:r>
        <w:rPr>
          <w:rFonts w:ascii="Arial" w:hAnsi="Arial" w:cs="Arial"/>
          <w:highlight w:val="yellow"/>
        </w:rPr>
        <w:t>f</w:t>
      </w:r>
      <w:r>
        <w:rPr>
          <w:rFonts w:ascii="Arial" w:hAnsi="Arial" w:cs="Arial"/>
        </w:rPr>
        <w:t xml:space="preserve">orensic </w:t>
      </w:r>
      <w:r>
        <w:rPr>
          <w:rFonts w:ascii="Arial" w:hAnsi="Arial" w:cs="Arial"/>
          <w:highlight w:val="yellow"/>
        </w:rPr>
        <w:t>a</w:t>
      </w:r>
      <w:r>
        <w:rPr>
          <w:rFonts w:ascii="Arial" w:hAnsi="Arial" w:cs="Arial"/>
        </w:rPr>
        <w:t xml:space="preserve">nthropology has adopted a multidisciplinary approach to sex estimation that employs both traditional osteometric measurements and computed tomography scans to produce three-dimensional reconstructions of the pelvis for geometric morphometric analyses. Such an approach allows for greater objectivity in sex estimation while still relying on conventional osteometric measurements that are simple to apply in forensic practice and retain anatomical validity (Franklin </w:t>
      </w:r>
      <w:r>
        <w:rPr>
          <w:rFonts w:ascii="Arial" w:hAnsi="Arial" w:cs="Arial"/>
          <w:highlight w:val="yellow"/>
        </w:rPr>
        <w:t>&amp;</w:t>
      </w:r>
      <w:r>
        <w:rPr>
          <w:rFonts w:ascii="Arial" w:hAnsi="Arial" w:cs="Arial"/>
        </w:rPr>
        <w:t xml:space="preserve"> Marks, 2022). In medical anatomy, pelvic morphometry plays an essential role in orthop</w:t>
      </w:r>
      <w:r>
        <w:rPr>
          <w:rFonts w:ascii="Arial" w:hAnsi="Arial" w:cs="Arial"/>
          <w:highlight w:val="yellow"/>
        </w:rPr>
        <w:t>a</w:t>
      </w:r>
      <w:r>
        <w:rPr>
          <w:rFonts w:ascii="Arial" w:hAnsi="Arial" w:cs="Arial"/>
        </w:rPr>
        <w:t>edic surgery because it informs surgeons’ decisions during acetabular reconstruction, pelvic fracture fixation, hip arthroplasty, and the design of hip implants. Similarly, pelvi</w:t>
      </w:r>
      <w:r>
        <w:rPr>
          <w:rFonts w:ascii="Arial" w:hAnsi="Arial" w:cs="Arial"/>
          <w:highlight w:val="yellow"/>
        </w:rPr>
        <w:t>c</w:t>
      </w:r>
      <w:r>
        <w:rPr>
          <w:rFonts w:ascii="Arial" w:hAnsi="Arial" w:cs="Arial"/>
        </w:rPr>
        <w:t xml:space="preserve"> morphology is crucial to </w:t>
      </w:r>
      <w:r>
        <w:rPr>
          <w:rFonts w:ascii="Arial" w:hAnsi="Arial" w:cs="Arial"/>
          <w:highlight w:val="yellow"/>
        </w:rPr>
        <w:t>o</w:t>
      </w:r>
      <w:r>
        <w:rPr>
          <w:rFonts w:ascii="Arial" w:hAnsi="Arial" w:cs="Arial"/>
        </w:rPr>
        <w:t xml:space="preserve">bstetrics and </w:t>
      </w:r>
      <w:r>
        <w:rPr>
          <w:rFonts w:ascii="Arial" w:hAnsi="Arial" w:cs="Arial"/>
          <w:highlight w:val="yellow"/>
        </w:rPr>
        <w:t>g</w:t>
      </w:r>
      <w:r>
        <w:rPr>
          <w:rFonts w:ascii="Arial" w:hAnsi="Arial" w:cs="Arial"/>
        </w:rPr>
        <w:t>yn</w:t>
      </w:r>
      <w:r>
        <w:rPr>
          <w:rFonts w:ascii="Arial" w:hAnsi="Arial" w:cs="Arial"/>
          <w:highlight w:val="yellow"/>
        </w:rPr>
        <w:t>a</w:t>
      </w:r>
      <w:r>
        <w:rPr>
          <w:rFonts w:ascii="Arial" w:hAnsi="Arial" w:cs="Arial"/>
        </w:rPr>
        <w:t>ecology in assessing the maternal birth canal and labo</w:t>
      </w:r>
      <w:r>
        <w:rPr>
          <w:rFonts w:ascii="Arial" w:hAnsi="Arial" w:cs="Arial"/>
          <w:highlight w:val="yellow"/>
        </w:rPr>
        <w:t>u</w:t>
      </w:r>
      <w:r>
        <w:rPr>
          <w:rFonts w:ascii="Arial" w:hAnsi="Arial" w:cs="Arial"/>
        </w:rPr>
        <w:t>r conditions. As such, radiographic pelvic morphometry can provide vital anatomical information necessary for various forensic, medical, and orthop</w:t>
      </w:r>
      <w:r>
        <w:rPr>
          <w:rFonts w:ascii="Arial" w:hAnsi="Arial" w:cs="Arial"/>
          <w:highlight w:val="yellow"/>
        </w:rPr>
        <w:t>a</w:t>
      </w:r>
      <w:r>
        <w:rPr>
          <w:rFonts w:ascii="Arial" w:hAnsi="Arial" w:cs="Arial"/>
        </w:rPr>
        <w:t>edic applications, including determining the biological sex of an individual and informing hip implant designs.</w:t>
      </w:r>
      <w:r>
        <w:rPr>
          <w:b/>
          <w:highlight w:val="yellow"/>
        </w:rPr>
        <w:t xml:space="preserve"> Recent research has continued to expand pelvic sex-estimation methods through analysis of additional sexually dimorphic pelvic features and CT-derived morphometric parameters (Ives et al., 2024; Meyvaci et al., 2026).</w:t>
      </w:r>
    </w:p>
    <w:p w14:paraId="78773E9B" w14:textId="77777777" w:rsidR="00907DBE" w:rsidRPr="00907DBE" w:rsidRDefault="00907DBE" w:rsidP="00907DBE">
      <w:pPr>
        <w:pStyle w:val="Body"/>
        <w:spacing w:after="0"/>
        <w:rPr>
          <w:rFonts w:ascii="Arial" w:hAnsi="Arial" w:cs="Arial"/>
        </w:rPr>
      </w:pPr>
      <w:r>
        <w:rPr>
          <w:rFonts w:ascii="Arial" w:hAnsi="Arial" w:cs="Arial"/>
        </w:rPr>
        <w:t>Despite the general reliability of the ischiopubic index for sex estimation, significant variation in the ischiopubic index complicates the use of existing reference data in sex estimation, particularly for populations whose pelvic morphology has not been extensively studied. Even within the confines of Nigeria, most of the published studies analy</w:t>
      </w:r>
      <w:r>
        <w:rPr>
          <w:rFonts w:ascii="Arial" w:hAnsi="Arial" w:cs="Arial"/>
          <w:highlight w:val="yellow"/>
        </w:rPr>
        <w:t>s</w:t>
      </w:r>
      <w:r>
        <w:rPr>
          <w:rFonts w:ascii="Arial" w:hAnsi="Arial" w:cs="Arial"/>
        </w:rPr>
        <w:t xml:space="preserve">ing the ischiopubic index originate from certain geographical regions, and as such, the reference data generated from these studies may not be applicable to the general Nigerian population. This may hinder the accuracy of sex estimation and limit the application of pelvic morphometry in clinical anatomy and orthopedic surgery. Several recent studies in </w:t>
      </w:r>
      <w:r>
        <w:rPr>
          <w:rFonts w:ascii="Arial" w:hAnsi="Arial" w:cs="Arial"/>
          <w:highlight w:val="yellow"/>
        </w:rPr>
        <w:t>f</w:t>
      </w:r>
      <w:r>
        <w:rPr>
          <w:rFonts w:ascii="Arial" w:hAnsi="Arial" w:cs="Arial"/>
        </w:rPr>
        <w:t xml:space="preserve">orensic </w:t>
      </w:r>
      <w:r>
        <w:rPr>
          <w:rFonts w:ascii="Arial" w:hAnsi="Arial" w:cs="Arial"/>
          <w:highlight w:val="yellow"/>
        </w:rPr>
        <w:t>a</w:t>
      </w:r>
      <w:r>
        <w:rPr>
          <w:rFonts w:ascii="Arial" w:hAnsi="Arial" w:cs="Arial"/>
        </w:rPr>
        <w:t xml:space="preserve">nthropology have </w:t>
      </w:r>
      <w:r>
        <w:rPr>
          <w:rFonts w:ascii="Arial" w:hAnsi="Arial" w:cs="Arial"/>
          <w:highlight w:val="yellow"/>
        </w:rPr>
        <w:t>emph</w:t>
      </w:r>
      <w:r>
        <w:rPr>
          <w:rFonts w:ascii="Arial" w:hAnsi="Arial" w:cs="Arial"/>
        </w:rPr>
        <w:t>a</w:t>
      </w:r>
      <w:r>
        <w:rPr>
          <w:rFonts w:ascii="Arial" w:hAnsi="Arial" w:cs="Arial"/>
          <w:highlight w:val="yellow"/>
        </w:rPr>
        <w:t>sis</w:t>
      </w:r>
      <w:r>
        <w:rPr>
          <w:rFonts w:ascii="Arial" w:hAnsi="Arial" w:cs="Arial"/>
        </w:rPr>
        <w:t>ed the nee</w:t>
      </w:r>
      <w:r>
        <w:rPr>
          <w:rFonts w:ascii="Arial" w:hAnsi="Arial" w:cs="Arial"/>
          <w:highlight w:val="yellow"/>
        </w:rPr>
        <w:t xml:space="preserve">d </w:t>
      </w:r>
      <w:r>
        <w:rPr>
          <w:rFonts w:ascii="Arial" w:hAnsi="Arial" w:cs="Arial"/>
        </w:rPr>
        <w:t>to generat</w:t>
      </w:r>
      <w:r>
        <w:rPr>
          <w:rFonts w:ascii="Arial" w:hAnsi="Arial" w:cs="Arial"/>
          <w:highlight w:val="yellow"/>
        </w:rPr>
        <w:t>e</w:t>
      </w:r>
      <w:r>
        <w:rPr>
          <w:rFonts w:ascii="Arial" w:hAnsi="Arial" w:cs="Arial"/>
        </w:rPr>
        <w:t xml:space="preserve"> regional skeletal reference data sets to facilitate more reliable and objective biological profile estimations (Franklin &amp; Marks, 2022). Therefore, this study aims to determine the ischiopubic index of an adult Nigerian population to analy</w:t>
      </w:r>
      <w:r>
        <w:rPr>
          <w:rFonts w:ascii="Arial" w:hAnsi="Arial" w:cs="Arial"/>
          <w:highlight w:val="yellow"/>
        </w:rPr>
        <w:t>s</w:t>
      </w:r>
      <w:r>
        <w:rPr>
          <w:rFonts w:ascii="Arial" w:hAnsi="Arial" w:cs="Arial"/>
        </w:rPr>
        <w:t>e its diagnostic potential in estimating sex for forensic and anatomical applications.</w:t>
      </w:r>
    </w:p>
    <w:p w14:paraId="11A9C862" w14:textId="77777777" w:rsidR="00790ADA" w:rsidRPr="00FB3A86" w:rsidRDefault="00790ADA" w:rsidP="00441B6F">
      <w:pPr>
        <w:pStyle w:val="Body"/>
        <w:spacing w:after="0"/>
        <w:rPr>
          <w:rFonts w:ascii="Arial" w:hAnsi="Arial" w:cs="Arial"/>
        </w:rPr>
      </w:pPr>
    </w:p>
    <w:p w14:paraId="397905AF" w14:textId="77777777" w:rsidR="007F7B32" w:rsidRDefault="00902823" w:rsidP="00441B6F">
      <w:pPr>
        <w:pStyle w:val="AbstHead"/>
        <w:spacing w:after="0"/>
        <w:jc w:val="both"/>
        <w:rPr>
          <w:rFonts w:ascii="Arial" w:hAnsi="Arial" w:cs="Arial"/>
        </w:rPr>
      </w:pPr>
      <w:r>
        <w:rPr>
          <w:rFonts w:ascii="Arial" w:hAnsi="Arial" w:cs="Arial"/>
        </w:rPr>
        <w:lastRenderedPageBreak/>
        <w:t>2. material and method</w:t>
      </w:r>
      <w:r w:rsidR="00000F8F">
        <w:rPr>
          <w:rFonts w:ascii="Arial" w:hAnsi="Arial" w:cs="Arial"/>
        </w:rPr>
        <w:t xml:space="preserve">s </w:t>
      </w:r>
    </w:p>
    <w:p w14:paraId="72DBD93F" w14:textId="77777777" w:rsidR="00790ADA" w:rsidRPr="00FB3A86" w:rsidRDefault="00790ADA" w:rsidP="00441B6F">
      <w:pPr>
        <w:pStyle w:val="AbstHead"/>
        <w:spacing w:after="0"/>
        <w:jc w:val="both"/>
        <w:rPr>
          <w:rFonts w:ascii="Arial" w:hAnsi="Arial" w:cs="Arial"/>
        </w:rPr>
      </w:pPr>
    </w:p>
    <w:p w14:paraId="772A3B72" w14:textId="77777777" w:rsidR="00907DBE" w:rsidRPr="00907DBE" w:rsidRDefault="00907DBE" w:rsidP="00907DBE">
      <w:pPr>
        <w:pStyle w:val="Body"/>
        <w:rPr>
          <w:rFonts w:ascii="Arial" w:hAnsi="Arial" w:cs="Arial"/>
        </w:rPr>
      </w:pPr>
      <w:r>
        <w:rPr>
          <w:rFonts w:ascii="Arial" w:hAnsi="Arial" w:cs="Arial"/>
        </w:rPr>
        <w:t>A retrospective descriptive cross-sectional study was carried out to determine the ischiopubic index of Nigerian adults using archived anteroposterior pelvic radiographs. The study involved the quantitative morphometric measurements of the pubic and ischial length</w:t>
      </w:r>
      <w:r>
        <w:rPr>
          <w:rFonts w:ascii="Arial" w:hAnsi="Arial" w:cs="Arial"/>
          <w:highlight w:val="yellow"/>
        </w:rPr>
        <w:t>s</w:t>
      </w:r>
      <w:r>
        <w:rPr>
          <w:rFonts w:ascii="Arial" w:hAnsi="Arial" w:cs="Arial"/>
        </w:rPr>
        <w:t xml:space="preserve"> from printed pelvic radiographic films for the calculation of the ischiopubic index. The pelvic radiographs used for the study were retrieved from the Department of Radiology, University of Port Harcourt Teaching Hospital (UPTH), Port Harcourt, Rivers State, Nigeria.</w:t>
      </w:r>
    </w:p>
    <w:p w14:paraId="2A378478" w14:textId="77777777" w:rsidR="00907DBE" w:rsidRPr="00907DBE" w:rsidRDefault="00907DBE" w:rsidP="00907DBE">
      <w:pPr>
        <w:pStyle w:val="Body"/>
        <w:rPr>
          <w:rFonts w:ascii="Arial" w:hAnsi="Arial" w:cs="Arial"/>
        </w:rPr>
      </w:pPr>
      <w:r>
        <w:rPr>
          <w:rFonts w:ascii="Arial" w:hAnsi="Arial" w:cs="Arial"/>
        </w:rPr>
        <w:t xml:space="preserve">The study population consisted of archived anteroposterior pelvic radiographs of the adult population with normal pelvic anatomy. Pelvic radiographs of adults with clear anatomical landmarks and </w:t>
      </w:r>
      <w:r>
        <w:rPr>
          <w:rFonts w:ascii="Arial" w:hAnsi="Arial" w:cs="Arial"/>
          <w:highlight w:val="yellow"/>
        </w:rPr>
        <w:t xml:space="preserve">documented </w:t>
      </w:r>
      <w:r>
        <w:rPr>
          <w:rFonts w:ascii="Arial" w:hAnsi="Arial" w:cs="Arial"/>
        </w:rPr>
        <w:t>age and sex were used for the study. One hundred anteroposterior pelvic radiographs of adults aged 18–60 years with normal pelvic anatomy were sampled from the department’s record</w:t>
      </w:r>
      <w:r>
        <w:rPr>
          <w:rFonts w:ascii="Arial" w:hAnsi="Arial" w:cs="Arial"/>
          <w:highlight w:val="yellow"/>
        </w:rPr>
        <w:t>s</w:t>
      </w:r>
      <w:r>
        <w:rPr>
          <w:rFonts w:ascii="Arial" w:hAnsi="Arial" w:cs="Arial"/>
        </w:rPr>
        <w:t xml:space="preserve"> using a </w:t>
      </w:r>
      <w:r>
        <w:rPr>
          <w:rFonts w:ascii="Arial" w:hAnsi="Arial" w:cs="Arial"/>
          <w:highlight w:val="yellow"/>
        </w:rPr>
        <w:t>purposive</w:t>
      </w:r>
      <w:r>
        <w:rPr>
          <w:rFonts w:ascii="Arial" w:hAnsi="Arial" w:cs="Arial"/>
        </w:rPr>
        <w:t xml:space="preserve"> sampling technique. The sample size comprised 50% male and 50% female subjects to establish the difference in the ischiopubic index of the two sexes.</w:t>
      </w:r>
    </w:p>
    <w:p w14:paraId="2EE1B368" w14:textId="77777777" w:rsidR="00907DBE" w:rsidRPr="00907DBE" w:rsidRDefault="00907DBE" w:rsidP="00907DBE">
      <w:pPr>
        <w:pStyle w:val="Body"/>
        <w:rPr>
          <w:rFonts w:ascii="Arial" w:hAnsi="Arial" w:cs="Arial"/>
        </w:rPr>
      </w:pPr>
      <w:r>
        <w:rPr>
          <w:rFonts w:ascii="Arial" w:hAnsi="Arial" w:cs="Arial"/>
        </w:rPr>
        <w:t>Only anteroposterior pelvic radiographs of Nigerian adults with normal pelvic anatomy and easily identifiable anatomical landmarks were included in the study. Pelvic radiographs with unclear view</w:t>
      </w:r>
      <w:r>
        <w:rPr>
          <w:rFonts w:ascii="Arial" w:hAnsi="Arial" w:cs="Arial"/>
          <w:highlight w:val="yellow"/>
        </w:rPr>
        <w:t>s</w:t>
      </w:r>
      <w:r>
        <w:rPr>
          <w:rFonts w:ascii="Arial" w:hAnsi="Arial" w:cs="Arial"/>
        </w:rPr>
        <w:t>, pelvic fracture, malformation, congenital deformities, degenerative conditions, pelvic surgeries, or other conditions that may affect the pelvic anatomy were excluded from the study. Radiographs with clear and well-defined inferior margins of the pubic bones at the pubic symphysis were included in the study.</w:t>
      </w:r>
    </w:p>
    <w:p w14:paraId="23AC5F05" w14:textId="77777777" w:rsidR="00907DBE" w:rsidRPr="00907DBE" w:rsidRDefault="00907DBE" w:rsidP="00907DBE">
      <w:pPr>
        <w:pStyle w:val="Body"/>
        <w:rPr>
          <w:rFonts w:ascii="Arial" w:hAnsi="Arial" w:cs="Arial"/>
        </w:rPr>
      </w:pPr>
      <w:r w:rsidRPr="00907DBE">
        <w:rPr>
          <w:rFonts w:ascii="Arial" w:hAnsi="Arial" w:cs="Arial"/>
        </w:rPr>
        <w:t>The data used for the study were retrieved from anteroposterior pelvic radiographs of the adult population stored in the Department of Radiology, University of Port Harcourt Teaching Hospital. The pelvic radiographs used for the study had been de-identified before analysis to ensure the confidentiality of the subjects’ information. The measurements were taken from radiographs that had a clear view and proper positioning of the pelvis.</w:t>
      </w:r>
    </w:p>
    <w:p w14:paraId="26C60C2C" w14:textId="77777777" w:rsidR="00907DBE" w:rsidRPr="00907DBE" w:rsidRDefault="00FA1A96" w:rsidP="00907DBE">
      <w:pPr>
        <w:pStyle w:val="Body"/>
        <w:rPr>
          <w:rFonts w:ascii="Arial" w:hAnsi="Arial" w:cs="Arial"/>
        </w:rPr>
      </w:pPr>
      <w:r w:rsidRPr="00FA1A96">
        <w:rPr>
          <w:rFonts w:ascii="Arial" w:hAnsi="Arial" w:cs="Arial"/>
          <w:noProof/>
        </w:rPr>
        <w:drawing>
          <wp:inline distT="0" distB="0" distL="0" distR="0" wp14:anchorId="49F14741" wp14:editId="565312D6">
            <wp:extent cx="3820058" cy="2695951"/>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0058" cy="2695951"/>
                    </a:xfrm>
                    <a:prstGeom prst="rect">
                      <a:avLst/>
                    </a:prstGeom>
                  </pic:spPr>
                </pic:pic>
              </a:graphicData>
            </a:graphic>
          </wp:inline>
        </w:drawing>
      </w:r>
    </w:p>
    <w:p w14:paraId="16CDC728" w14:textId="77777777" w:rsidR="00907DBE" w:rsidRPr="00907DBE" w:rsidRDefault="00907DBE" w:rsidP="00907DBE">
      <w:pPr>
        <w:pStyle w:val="Body"/>
        <w:rPr>
          <w:rFonts w:ascii="Arial" w:hAnsi="Arial" w:cs="Arial"/>
        </w:rPr>
      </w:pPr>
      <w:r w:rsidRPr="00907DBE">
        <w:rPr>
          <w:rFonts w:ascii="Arial" w:hAnsi="Arial" w:cs="Arial"/>
          <w:b/>
          <w:bCs/>
        </w:rPr>
        <w:t>Figure 1:</w:t>
      </w:r>
      <w:r w:rsidRPr="00907DBE">
        <w:rPr>
          <w:rFonts w:ascii="Arial" w:hAnsi="Arial" w:cs="Arial"/>
        </w:rPr>
        <w:t xml:space="preserve"> Anteroposterior pelvic radiograph. </w:t>
      </w:r>
    </w:p>
    <w:p w14:paraId="6F5E14D5" w14:textId="77777777" w:rsidR="00907DBE" w:rsidRPr="00907DBE" w:rsidRDefault="00907DBE" w:rsidP="00907DBE">
      <w:pPr>
        <w:pStyle w:val="Body"/>
        <w:rPr>
          <w:rFonts w:ascii="Arial" w:hAnsi="Arial" w:cs="Arial"/>
          <w:i/>
          <w:iCs/>
        </w:rPr>
      </w:pPr>
      <w:r w:rsidRPr="00907DBE">
        <w:rPr>
          <w:rFonts w:ascii="Arial" w:hAnsi="Arial" w:cs="Arial"/>
          <w:i/>
          <w:iCs/>
        </w:rPr>
        <w:t xml:space="preserve">A=  The acetabular point, B= pubic </w:t>
      </w:r>
      <w:r w:rsidRPr="00665574">
        <w:rPr>
          <w:rFonts w:ascii="Arial" w:hAnsi="Arial" w:cs="Arial"/>
          <w:i/>
          <w:iCs/>
          <w:highlight w:val="yellow"/>
        </w:rPr>
        <w:t>tuber</w:t>
      </w:r>
      <w:r w:rsidR="00540F8D" w:rsidRPr="00665574">
        <w:rPr>
          <w:rFonts w:ascii="Arial" w:hAnsi="Arial" w:cs="Arial"/>
          <w:i/>
          <w:iCs/>
          <w:highlight w:val="yellow"/>
        </w:rPr>
        <w:t>cle</w:t>
      </w:r>
      <w:r w:rsidRPr="00665574">
        <w:rPr>
          <w:rFonts w:ascii="Arial" w:hAnsi="Arial" w:cs="Arial"/>
          <w:i/>
          <w:iCs/>
          <w:highlight w:val="yellow"/>
        </w:rPr>
        <w:t>,</w:t>
      </w:r>
      <w:r w:rsidRPr="00907DBE">
        <w:rPr>
          <w:rFonts w:ascii="Arial" w:hAnsi="Arial" w:cs="Arial"/>
          <w:i/>
          <w:iCs/>
        </w:rPr>
        <w:t xml:space="preserve"> C= Ischial tuberosity.</w:t>
      </w:r>
    </w:p>
    <w:p w14:paraId="07521E47" w14:textId="77777777" w:rsidR="00907DBE" w:rsidRPr="00907DBE" w:rsidRDefault="00907DBE" w:rsidP="00907DBE">
      <w:pPr>
        <w:pStyle w:val="Body"/>
        <w:rPr>
          <w:rFonts w:ascii="Arial" w:hAnsi="Arial" w:cs="Arial"/>
        </w:rPr>
      </w:pPr>
    </w:p>
    <w:p w14:paraId="746036AC" w14:textId="77777777" w:rsidR="00907DBE" w:rsidRPr="00907DBE" w:rsidRDefault="00907DBE" w:rsidP="00907DBE">
      <w:pPr>
        <w:pStyle w:val="Body"/>
        <w:rPr>
          <w:rFonts w:ascii="Arial" w:hAnsi="Arial" w:cs="Arial"/>
        </w:rPr>
      </w:pPr>
      <w:r>
        <w:rPr>
          <w:rFonts w:ascii="Arial" w:hAnsi="Arial" w:cs="Arial"/>
        </w:rPr>
        <w:t xml:space="preserve">Three anatomical landmarks were identified on the pelvic radiographs, including the acetabular point, pubic tubercle, and ischial tuberosity. The acetabular point is the junction of the ilium, ischium, and pubis, while the pubic </w:t>
      </w:r>
      <w:r>
        <w:rPr>
          <w:rFonts w:ascii="Arial" w:hAnsi="Arial" w:cs="Arial"/>
          <w:highlight w:val="yellow"/>
        </w:rPr>
        <w:t xml:space="preserve">tubercle </w:t>
      </w:r>
      <w:r>
        <w:rPr>
          <w:rFonts w:ascii="Arial" w:hAnsi="Arial" w:cs="Arial"/>
        </w:rPr>
        <w:t xml:space="preserve">and ischial tuberosity are </w:t>
      </w:r>
      <w:r>
        <w:rPr>
          <w:rFonts w:ascii="Arial" w:hAnsi="Arial" w:cs="Arial"/>
          <w:highlight w:val="yellow"/>
        </w:rPr>
        <w:t>l</w:t>
      </w:r>
      <w:r>
        <w:rPr>
          <w:rFonts w:ascii="Arial" w:hAnsi="Arial" w:cs="Arial"/>
        </w:rPr>
        <w:t>o</w:t>
      </w:r>
      <w:r>
        <w:rPr>
          <w:rFonts w:ascii="Arial" w:hAnsi="Arial" w:cs="Arial"/>
          <w:highlight w:val="yellow"/>
        </w:rPr>
        <w:t>cate</w:t>
      </w:r>
      <w:r>
        <w:rPr>
          <w:rFonts w:ascii="Arial" w:hAnsi="Arial" w:cs="Arial"/>
        </w:rPr>
        <w:t>d at the lower anterior and posterior ends of the pelvis</w:t>
      </w:r>
      <w:r>
        <w:rPr>
          <w:rFonts w:ascii="Arial" w:hAnsi="Arial" w:cs="Arial"/>
          <w:highlight w:val="yellow"/>
        </w:rPr>
        <w:t>,</w:t>
      </w:r>
      <w:r>
        <w:rPr>
          <w:rFonts w:ascii="Arial" w:hAnsi="Arial" w:cs="Arial"/>
        </w:rPr>
        <w:t xml:space="preserve"> respectively. The pubic length was measured from the acetabular point to the pubic tubercle</w:t>
      </w:r>
      <w:r>
        <w:rPr>
          <w:rFonts w:ascii="Arial" w:hAnsi="Arial" w:cs="Arial"/>
          <w:highlight w:val="yellow"/>
        </w:rPr>
        <w:t>,</w:t>
      </w:r>
      <w:r>
        <w:rPr>
          <w:rFonts w:ascii="Arial" w:hAnsi="Arial" w:cs="Arial"/>
        </w:rPr>
        <w:t xml:space="preserve"> while the ischial length was measured from the acetabular point to the ischial tuberosity. Measurements were made with a digital Vernier caliper. Each distance was measured twice</w:t>
      </w:r>
      <w:r>
        <w:rPr>
          <w:rFonts w:ascii="Arial" w:hAnsi="Arial" w:cs="Arial"/>
          <w:highlight w:val="yellow"/>
        </w:rPr>
        <w:t>,</w:t>
      </w:r>
      <w:r>
        <w:rPr>
          <w:rFonts w:ascii="Arial" w:hAnsi="Arial" w:cs="Arial"/>
        </w:rPr>
        <w:t xml:space="preserve"> and the average</w:t>
      </w:r>
      <w:r>
        <w:rPr>
          <w:rFonts w:ascii="Arial" w:hAnsi="Arial" w:cs="Arial"/>
          <w:highlight w:val="yellow"/>
        </w:rPr>
        <w:t xml:space="preserve"> was</w:t>
      </w:r>
      <w:r>
        <w:rPr>
          <w:rFonts w:ascii="Arial" w:hAnsi="Arial" w:cs="Arial"/>
        </w:rPr>
        <w:t xml:space="preserve"> recorded to avoid errors. </w:t>
      </w:r>
    </w:p>
    <w:p w14:paraId="2A1E5D1F" w14:textId="77777777" w:rsidR="00907DBE" w:rsidRPr="00907DBE" w:rsidRDefault="00907DBE" w:rsidP="00907DBE">
      <w:pPr>
        <w:pStyle w:val="Body"/>
        <w:rPr>
          <w:rFonts w:ascii="Arial" w:hAnsi="Arial" w:cs="Arial"/>
        </w:rPr>
      </w:pPr>
      <w:r w:rsidRPr="00907DBE">
        <w:rPr>
          <w:rFonts w:ascii="Arial" w:hAnsi="Arial" w:cs="Arial"/>
        </w:rPr>
        <w:t>The ischiopubic index (IPI) was calculated using the following formula:</w:t>
      </w:r>
    </w:p>
    <w:p w14:paraId="69E732D2" w14:textId="77777777" w:rsidR="00907DBE" w:rsidRPr="00907DBE" w:rsidRDefault="00907DBE" w:rsidP="00907DBE">
      <w:pPr>
        <w:pStyle w:val="Body"/>
        <w:rPr>
          <w:rFonts w:ascii="Arial" w:hAnsi="Arial" w:cs="Arial"/>
        </w:rPr>
      </w:pPr>
      <w:r w:rsidRPr="00907DBE">
        <w:rPr>
          <w:rFonts w:ascii="Arial" w:hAnsi="Arial" w:cs="Arial"/>
        </w:rPr>
        <w:lastRenderedPageBreak/>
        <w:t>IPI = (Pubic Length ÷ Ischial Length) × 100</w:t>
      </w:r>
    </w:p>
    <w:p w14:paraId="659583D8" w14:textId="77777777" w:rsidR="00907DBE" w:rsidRPr="00907DBE" w:rsidRDefault="00907DBE" w:rsidP="00907DBE">
      <w:pPr>
        <w:pStyle w:val="Body"/>
        <w:rPr>
          <w:rFonts w:ascii="Arial" w:hAnsi="Arial" w:cs="Arial"/>
          <w:b/>
          <w:bCs/>
        </w:rPr>
      </w:pPr>
      <w:r>
        <w:rPr>
          <w:rFonts w:ascii="Arial" w:hAnsi="Arial" w:cs="Arial"/>
        </w:rPr>
        <w:t xml:space="preserve">The materials used for the study included printed anteroposterior pelvic radiographs, a digital Vernier caliper, an X-ray viewing box, IBM </w:t>
      </w:r>
      <w:r>
        <w:rPr>
          <w:rFonts w:ascii="Arial" w:hAnsi="Arial" w:cs="Arial"/>
          <w:highlight w:val="yellow"/>
        </w:rPr>
        <w:t>S</w:t>
      </w:r>
      <w:r>
        <w:rPr>
          <w:rFonts w:ascii="Arial" w:hAnsi="Arial" w:cs="Arial"/>
        </w:rPr>
        <w:t xml:space="preserve">tatistical </w:t>
      </w:r>
      <w:r>
        <w:rPr>
          <w:rFonts w:ascii="Arial" w:hAnsi="Arial" w:cs="Arial"/>
          <w:highlight w:val="yellow"/>
        </w:rPr>
        <w:t>P</w:t>
      </w:r>
      <w:r>
        <w:rPr>
          <w:rFonts w:ascii="Arial" w:hAnsi="Arial" w:cs="Arial"/>
        </w:rPr>
        <w:t xml:space="preserve">ackage for the </w:t>
      </w:r>
      <w:r>
        <w:rPr>
          <w:rFonts w:ascii="Arial" w:hAnsi="Arial" w:cs="Arial"/>
          <w:highlight w:val="yellow"/>
        </w:rPr>
        <w:t>S</w:t>
      </w:r>
      <w:r>
        <w:rPr>
          <w:rFonts w:ascii="Arial" w:hAnsi="Arial" w:cs="Arial"/>
        </w:rPr>
        <w:t xml:space="preserve">ocial </w:t>
      </w:r>
      <w:r>
        <w:rPr>
          <w:rFonts w:ascii="Arial" w:hAnsi="Arial" w:cs="Arial"/>
          <w:highlight w:val="yellow"/>
        </w:rPr>
        <w:t>S</w:t>
      </w:r>
      <w:r>
        <w:rPr>
          <w:rFonts w:ascii="Arial" w:hAnsi="Arial" w:cs="Arial"/>
        </w:rPr>
        <w:t>ciences (SPSS)</w:t>
      </w:r>
      <w:r>
        <w:rPr>
          <w:rFonts w:ascii="Arial" w:hAnsi="Arial" w:cs="Arial"/>
          <w:highlight w:val="yellow"/>
        </w:rPr>
        <w:t>,</w:t>
      </w:r>
      <w:r>
        <w:rPr>
          <w:rFonts w:ascii="Arial" w:hAnsi="Arial" w:cs="Arial"/>
        </w:rPr>
        <w:t xml:space="preserve"> version 25, and writing materials</w:t>
      </w:r>
      <w:r>
        <w:rPr>
          <w:rFonts w:ascii="Arial" w:hAnsi="Arial" w:cs="Arial"/>
          <w:b/>
          <w:bCs/>
        </w:rPr>
        <w:t>.</w:t>
      </w:r>
    </w:p>
    <w:p w14:paraId="33EFE257" w14:textId="77777777" w:rsidR="00907DBE" w:rsidRPr="00907DBE" w:rsidRDefault="00907DBE" w:rsidP="00907DBE">
      <w:pPr>
        <w:pStyle w:val="Body"/>
        <w:rPr>
          <w:rFonts w:ascii="Arial" w:hAnsi="Arial" w:cs="Arial"/>
        </w:rPr>
      </w:pPr>
      <w:r>
        <w:rPr>
          <w:rFonts w:ascii="Arial" w:hAnsi="Arial" w:cs="Arial"/>
        </w:rPr>
        <w:t>The statistical analysis of</w:t>
      </w:r>
      <w:r>
        <w:rPr>
          <w:rFonts w:ascii="Arial" w:hAnsi="Arial" w:cs="Arial"/>
          <w:highlight w:val="yellow"/>
        </w:rPr>
        <w:t xml:space="preserve"> the</w:t>
      </w:r>
      <w:r>
        <w:rPr>
          <w:rFonts w:ascii="Arial" w:hAnsi="Arial" w:cs="Arial"/>
        </w:rPr>
        <w:t xml:space="preserve"> data obtained from the measurements was </w:t>
      </w:r>
      <w:r>
        <w:rPr>
          <w:rFonts w:ascii="Arial" w:hAnsi="Arial" w:cs="Arial"/>
          <w:highlight w:val="yellow"/>
        </w:rPr>
        <w:t>performe</w:t>
      </w:r>
      <w:r>
        <w:rPr>
          <w:rFonts w:ascii="Arial" w:hAnsi="Arial" w:cs="Arial"/>
        </w:rPr>
        <w:t>d using Statistical Package for the Social Sciences (SPSS) version 25. The quantitative data were analy</w:t>
      </w:r>
      <w:r>
        <w:rPr>
          <w:rFonts w:ascii="Arial" w:hAnsi="Arial" w:cs="Arial"/>
          <w:highlight w:val="yellow"/>
        </w:rPr>
        <w:t>s</w:t>
      </w:r>
      <w:r>
        <w:rPr>
          <w:rFonts w:ascii="Arial" w:hAnsi="Arial" w:cs="Arial"/>
        </w:rPr>
        <w:t>ed descriptively to determine the mean, standard deviation, minimum and maximum, and range of each set of data. An independent</w:t>
      </w:r>
      <w:r>
        <w:rPr>
          <w:rFonts w:ascii="Arial" w:hAnsi="Arial" w:cs="Arial"/>
          <w:highlight w:val="yellow"/>
        </w:rPr>
        <w:t>-</w:t>
      </w:r>
      <w:r>
        <w:rPr>
          <w:rFonts w:ascii="Arial" w:hAnsi="Arial" w:cs="Arial"/>
        </w:rPr>
        <w:t>sample</w:t>
      </w:r>
      <w:r>
        <w:rPr>
          <w:rFonts w:ascii="Arial" w:hAnsi="Arial" w:cs="Arial"/>
          <w:highlight w:val="yellow"/>
        </w:rPr>
        <w:t>s</w:t>
      </w:r>
      <w:r>
        <w:rPr>
          <w:rFonts w:ascii="Arial" w:hAnsi="Arial" w:cs="Arial"/>
        </w:rPr>
        <w:t xml:space="preserve"> t-test was used to examine the differences in the measurements between the female and male subjects. The test </w:t>
      </w:r>
      <w:r>
        <w:rPr>
          <w:rFonts w:ascii="Arial" w:hAnsi="Arial" w:cs="Arial"/>
          <w:highlight w:val="yellow"/>
        </w:rPr>
        <w:t>dete</w:t>
      </w:r>
      <w:r>
        <w:rPr>
          <w:rFonts w:ascii="Arial" w:hAnsi="Arial" w:cs="Arial"/>
        </w:rPr>
        <w:t>r</w:t>
      </w:r>
      <w:r>
        <w:rPr>
          <w:rFonts w:ascii="Arial" w:hAnsi="Arial" w:cs="Arial"/>
          <w:highlight w:val="yellow"/>
        </w:rPr>
        <w:t>min</w:t>
      </w:r>
      <w:r>
        <w:rPr>
          <w:rFonts w:ascii="Arial" w:hAnsi="Arial" w:cs="Arial"/>
        </w:rPr>
        <w:t xml:space="preserve">ed </w:t>
      </w:r>
      <w:r>
        <w:rPr>
          <w:rFonts w:ascii="Arial" w:hAnsi="Arial" w:cs="Arial"/>
          <w:highlight w:val="yellow"/>
        </w:rPr>
        <w:t>whether</w:t>
      </w:r>
      <w:r>
        <w:rPr>
          <w:rFonts w:ascii="Arial" w:hAnsi="Arial" w:cs="Arial"/>
        </w:rPr>
        <w:t xml:space="preserve"> the difference in the mean of the two groups was statistically significant at a 95% confidence level with an alpha level of 0.05; thus, p &lt; 0.05 was considered statistically significant. A discriminant function analysis was also </w:t>
      </w:r>
      <w:r>
        <w:rPr>
          <w:rFonts w:ascii="Arial" w:hAnsi="Arial" w:cs="Arial"/>
          <w:highlight w:val="yellow"/>
        </w:rPr>
        <w:t>performe</w:t>
      </w:r>
      <w:r>
        <w:rPr>
          <w:rFonts w:ascii="Arial" w:hAnsi="Arial" w:cs="Arial"/>
        </w:rPr>
        <w:t xml:space="preserve">d </w:t>
      </w:r>
      <w:r>
        <w:rPr>
          <w:rFonts w:ascii="Arial" w:hAnsi="Arial" w:cs="Arial"/>
          <w:highlight w:val="yellow"/>
        </w:rPr>
        <w:t>to estimate sex</w:t>
      </w:r>
      <w:r>
        <w:rPr>
          <w:rFonts w:ascii="Arial" w:hAnsi="Arial" w:cs="Arial"/>
        </w:rPr>
        <w:t xml:space="preserve"> using the ischiopubic index.</w:t>
      </w:r>
    </w:p>
    <w:p w14:paraId="14CAFA86"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49F9B521" w14:textId="77777777" w:rsidR="00790ADA" w:rsidRPr="00FB3A86" w:rsidRDefault="00790ADA" w:rsidP="00441B6F">
      <w:pPr>
        <w:pStyle w:val="Head1"/>
        <w:spacing w:after="0"/>
        <w:jc w:val="both"/>
        <w:rPr>
          <w:rFonts w:ascii="Arial" w:hAnsi="Arial" w:cs="Arial"/>
        </w:rPr>
      </w:pPr>
    </w:p>
    <w:p w14:paraId="0BA693A6" w14:textId="77777777" w:rsidR="00AA65DB" w:rsidRDefault="00AA65DB" w:rsidP="00441B6F">
      <w:pPr>
        <w:pStyle w:val="Body"/>
        <w:spacing w:after="0"/>
        <w:rPr>
          <w:rFonts w:ascii="Arial" w:hAnsi="Arial" w:cs="Arial"/>
        </w:rPr>
      </w:pPr>
    </w:p>
    <w:p w14:paraId="107B06EC" w14:textId="77777777" w:rsidR="00AA65DB" w:rsidRPr="00AA65DB" w:rsidRDefault="00AA65DB" w:rsidP="00AA65DB">
      <w:pPr>
        <w:pStyle w:val="Body"/>
        <w:spacing w:after="0"/>
        <w:rPr>
          <w:rFonts w:ascii="Arial" w:hAnsi="Arial" w:cs="Arial"/>
          <w:b/>
          <w:bCs/>
        </w:rPr>
      </w:pPr>
      <w:r>
        <w:rPr>
          <w:rFonts w:ascii="Arial" w:hAnsi="Arial" w:cs="Arial"/>
          <w:b/>
          <w:bCs/>
        </w:rPr>
        <w:t xml:space="preserve">3.1 </w:t>
      </w:r>
      <w:r w:rsidRPr="00AA65DB">
        <w:rPr>
          <w:rFonts w:ascii="Arial" w:hAnsi="Arial" w:cs="Arial"/>
          <w:b/>
          <w:bCs/>
        </w:rPr>
        <w:t>RESULTS</w:t>
      </w:r>
    </w:p>
    <w:p w14:paraId="5AC54760" w14:textId="77777777" w:rsidR="00AA65DB" w:rsidRPr="00AA65DB" w:rsidRDefault="00AA65DB" w:rsidP="00AA65DB">
      <w:pPr>
        <w:pStyle w:val="Body"/>
        <w:spacing w:after="0"/>
        <w:rPr>
          <w:rFonts w:ascii="Arial" w:hAnsi="Arial" w:cs="Arial"/>
        </w:rPr>
      </w:pPr>
      <w:r w:rsidRPr="00AA65DB">
        <w:rPr>
          <w:rFonts w:ascii="Arial" w:hAnsi="Arial" w:cs="Arial"/>
        </w:rPr>
        <w:t>This study evaluated the ischiopubic index using pelvic radiographs of 100 subjects (50 males and 50 females) from a Nigerian population to determine its usefulness in sex differentiation. The results presented here address the study objectives.</w:t>
      </w:r>
    </w:p>
    <w:p w14:paraId="5D501E31" w14:textId="77777777" w:rsidR="00AA65DB" w:rsidRPr="00AA65DB" w:rsidRDefault="00AA65DB" w:rsidP="00AA65DB">
      <w:pPr>
        <w:pStyle w:val="Body"/>
        <w:spacing w:after="0"/>
        <w:rPr>
          <w:rFonts w:ascii="Arial" w:hAnsi="Arial" w:cs="Arial"/>
        </w:rPr>
      </w:pPr>
      <w:r w:rsidRPr="00AA65DB">
        <w:rPr>
          <w:rFonts w:ascii="Arial" w:hAnsi="Arial" w:cs="Arial"/>
          <w:noProof/>
        </w:rPr>
        <w:drawing>
          <wp:inline distT="0" distB="0" distL="0" distR="0" wp14:anchorId="08364415" wp14:editId="24DEA11D">
            <wp:extent cx="5943600" cy="3499485"/>
            <wp:effectExtent l="0" t="0" r="0" b="5715"/>
            <wp:docPr id="103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0"/>
                    <pic:cNvPicPr/>
                  </pic:nvPicPr>
                  <pic:blipFill>
                    <a:blip r:embed="rId15" cstate="print"/>
                    <a:srcRect/>
                    <a:stretch/>
                  </pic:blipFill>
                  <pic:spPr>
                    <a:xfrm>
                      <a:off x="0" y="0"/>
                      <a:ext cx="5943600" cy="3499485"/>
                    </a:xfrm>
                    <a:prstGeom prst="rect">
                      <a:avLst/>
                    </a:prstGeom>
                    <a:ln>
                      <a:noFill/>
                    </a:ln>
                  </pic:spPr>
                </pic:pic>
              </a:graphicData>
            </a:graphic>
          </wp:inline>
        </w:drawing>
      </w:r>
    </w:p>
    <w:p w14:paraId="65A3225A" w14:textId="77777777" w:rsidR="00AA65DB" w:rsidRDefault="00AA65DB" w:rsidP="00AA65DB">
      <w:pPr>
        <w:pStyle w:val="Body"/>
        <w:spacing w:after="0"/>
        <w:rPr>
          <w:rFonts w:ascii="Arial" w:hAnsi="Arial" w:cs="Arial"/>
        </w:rPr>
      </w:pPr>
      <w:r w:rsidRPr="00AA65DB">
        <w:rPr>
          <w:rFonts w:ascii="Arial" w:hAnsi="Arial" w:cs="Arial"/>
          <w:b/>
        </w:rPr>
        <w:t xml:space="preserve">Figure 2: </w:t>
      </w:r>
      <w:r w:rsidRPr="00AA65DB">
        <w:rPr>
          <w:rFonts w:ascii="Arial" w:hAnsi="Arial" w:cs="Arial"/>
        </w:rPr>
        <w:t>Demographic distribution of study samples by sex (males and females)</w:t>
      </w:r>
    </w:p>
    <w:p w14:paraId="3E69CDC2" w14:textId="77777777" w:rsidR="00931D1B" w:rsidRPr="00AA65DB" w:rsidRDefault="00931D1B" w:rsidP="00AA65DB">
      <w:pPr>
        <w:pStyle w:val="Body"/>
        <w:spacing w:after="0"/>
        <w:rPr>
          <w:rFonts w:ascii="Arial" w:hAnsi="Arial" w:cs="Arial"/>
          <w:b/>
        </w:rPr>
      </w:pPr>
    </w:p>
    <w:p w14:paraId="7C075700" w14:textId="77777777" w:rsidR="00AA65DB" w:rsidRPr="00AA65DB" w:rsidRDefault="00AA65DB" w:rsidP="00AA65DB">
      <w:pPr>
        <w:pStyle w:val="Body"/>
        <w:spacing w:after="0"/>
        <w:rPr>
          <w:rFonts w:ascii="Arial" w:hAnsi="Arial" w:cs="Arial"/>
          <w:b/>
        </w:rPr>
      </w:pPr>
      <w:r w:rsidRPr="00AA65DB">
        <w:rPr>
          <w:rFonts w:ascii="Arial" w:hAnsi="Arial" w:cs="Arial"/>
          <w:b/>
        </w:rPr>
        <w:t xml:space="preserve">Table 1: </w:t>
      </w:r>
      <w:r w:rsidRPr="00AA65DB">
        <w:rPr>
          <w:rFonts w:ascii="Arial" w:hAnsi="Arial" w:cs="Arial"/>
        </w:rPr>
        <w:t>Descriptive statistics of the measured variables in males and females</w:t>
      </w:r>
    </w:p>
    <w:tbl>
      <w:tblPr>
        <w:tblW w:w="890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05"/>
        <w:gridCol w:w="810"/>
        <w:gridCol w:w="810"/>
        <w:gridCol w:w="1350"/>
        <w:gridCol w:w="990"/>
        <w:gridCol w:w="990"/>
        <w:gridCol w:w="1350"/>
      </w:tblGrid>
      <w:tr w:rsidR="00AA65DB" w:rsidRPr="00AA65DB" w14:paraId="4307573D" w14:textId="77777777" w:rsidTr="00DA3093">
        <w:trPr>
          <w:cantSplit/>
        </w:trPr>
        <w:tc>
          <w:tcPr>
            <w:tcW w:w="2605" w:type="dxa"/>
            <w:vMerge w:val="restart"/>
            <w:shd w:val="clear" w:color="auto" w:fill="FFFFFF"/>
            <w:vAlign w:val="bottom"/>
          </w:tcPr>
          <w:p w14:paraId="40A19ECD" w14:textId="77777777" w:rsidR="00AA65DB" w:rsidRPr="00AA65DB" w:rsidRDefault="00AA65DB" w:rsidP="00AA65DB">
            <w:pPr>
              <w:pStyle w:val="Body"/>
              <w:spacing w:after="0"/>
              <w:rPr>
                <w:rFonts w:ascii="Arial" w:hAnsi="Arial" w:cs="Arial"/>
                <w:b/>
              </w:rPr>
            </w:pPr>
            <w:r w:rsidRPr="00AA65DB">
              <w:rPr>
                <w:rFonts w:ascii="Arial" w:hAnsi="Arial" w:cs="Arial"/>
                <w:b/>
              </w:rPr>
              <w:t>Variables</w:t>
            </w:r>
          </w:p>
        </w:tc>
        <w:tc>
          <w:tcPr>
            <w:tcW w:w="2970" w:type="dxa"/>
            <w:gridSpan w:val="3"/>
            <w:shd w:val="clear" w:color="auto" w:fill="FFFFFF"/>
            <w:vAlign w:val="bottom"/>
          </w:tcPr>
          <w:p w14:paraId="1355E56F" w14:textId="77777777" w:rsidR="00AA65DB" w:rsidRPr="00AA65DB" w:rsidRDefault="00AA65DB" w:rsidP="00AA65DB">
            <w:pPr>
              <w:pStyle w:val="Body"/>
              <w:spacing w:after="0"/>
              <w:rPr>
                <w:rFonts w:ascii="Arial" w:hAnsi="Arial" w:cs="Arial"/>
                <w:b/>
              </w:rPr>
            </w:pPr>
            <w:r w:rsidRPr="00AA65DB">
              <w:rPr>
                <w:rFonts w:ascii="Arial" w:hAnsi="Arial" w:cs="Arial"/>
                <w:b/>
              </w:rPr>
              <w:t>Males (n=50)</w:t>
            </w:r>
          </w:p>
        </w:tc>
        <w:tc>
          <w:tcPr>
            <w:tcW w:w="3330" w:type="dxa"/>
            <w:gridSpan w:val="3"/>
            <w:shd w:val="clear" w:color="auto" w:fill="FFFFFF"/>
            <w:vAlign w:val="bottom"/>
          </w:tcPr>
          <w:p w14:paraId="614F8753" w14:textId="77777777" w:rsidR="00AA65DB" w:rsidRPr="00AA65DB" w:rsidRDefault="00AA65DB" w:rsidP="00AA65DB">
            <w:pPr>
              <w:pStyle w:val="Body"/>
              <w:spacing w:after="0"/>
              <w:rPr>
                <w:rFonts w:ascii="Arial" w:hAnsi="Arial" w:cs="Arial"/>
                <w:b/>
              </w:rPr>
            </w:pPr>
            <w:r w:rsidRPr="00AA65DB">
              <w:rPr>
                <w:rFonts w:ascii="Arial" w:hAnsi="Arial" w:cs="Arial"/>
                <w:b/>
              </w:rPr>
              <w:t>Females (n=50)</w:t>
            </w:r>
          </w:p>
        </w:tc>
      </w:tr>
      <w:tr w:rsidR="00AA65DB" w:rsidRPr="00AA65DB" w14:paraId="7200926C" w14:textId="77777777" w:rsidTr="00DA3093">
        <w:trPr>
          <w:cantSplit/>
        </w:trPr>
        <w:tc>
          <w:tcPr>
            <w:tcW w:w="2605" w:type="dxa"/>
            <w:vMerge/>
            <w:tcBorders>
              <w:bottom w:val="single" w:sz="4" w:space="0" w:color="auto"/>
            </w:tcBorders>
            <w:shd w:val="clear" w:color="auto" w:fill="FFFFFF"/>
            <w:vAlign w:val="bottom"/>
          </w:tcPr>
          <w:p w14:paraId="0BAAA212" w14:textId="77777777" w:rsidR="00AA65DB" w:rsidRPr="00AA65DB" w:rsidRDefault="00AA65DB" w:rsidP="00AA65DB">
            <w:pPr>
              <w:pStyle w:val="Body"/>
              <w:spacing w:after="0"/>
              <w:rPr>
                <w:rFonts w:ascii="Arial" w:hAnsi="Arial" w:cs="Arial"/>
              </w:rPr>
            </w:pPr>
          </w:p>
        </w:tc>
        <w:tc>
          <w:tcPr>
            <w:tcW w:w="810" w:type="dxa"/>
            <w:tcBorders>
              <w:bottom w:val="single" w:sz="4" w:space="0" w:color="auto"/>
            </w:tcBorders>
            <w:shd w:val="clear" w:color="auto" w:fill="FFFFFF"/>
            <w:vAlign w:val="bottom"/>
          </w:tcPr>
          <w:p w14:paraId="2C183706" w14:textId="77777777" w:rsidR="00AA65DB" w:rsidRPr="00AA65DB" w:rsidRDefault="00AA65DB" w:rsidP="00AA65DB">
            <w:pPr>
              <w:pStyle w:val="Body"/>
              <w:spacing w:after="0"/>
              <w:rPr>
                <w:rFonts w:ascii="Arial" w:hAnsi="Arial" w:cs="Arial"/>
                <w:b/>
              </w:rPr>
            </w:pPr>
            <w:r w:rsidRPr="00AA65DB">
              <w:rPr>
                <w:rFonts w:ascii="Arial" w:hAnsi="Arial" w:cs="Arial"/>
                <w:b/>
              </w:rPr>
              <w:t>Min.</w:t>
            </w:r>
          </w:p>
        </w:tc>
        <w:tc>
          <w:tcPr>
            <w:tcW w:w="810" w:type="dxa"/>
            <w:tcBorders>
              <w:bottom w:val="single" w:sz="4" w:space="0" w:color="auto"/>
            </w:tcBorders>
            <w:shd w:val="clear" w:color="auto" w:fill="FFFFFF"/>
            <w:vAlign w:val="bottom"/>
          </w:tcPr>
          <w:p w14:paraId="3803BAA5" w14:textId="77777777" w:rsidR="00AA65DB" w:rsidRPr="00AA65DB" w:rsidRDefault="00AA65DB" w:rsidP="00AA65DB">
            <w:pPr>
              <w:pStyle w:val="Body"/>
              <w:spacing w:after="0"/>
              <w:rPr>
                <w:rFonts w:ascii="Arial" w:hAnsi="Arial" w:cs="Arial"/>
                <w:b/>
              </w:rPr>
            </w:pPr>
            <w:r w:rsidRPr="00AA65DB">
              <w:rPr>
                <w:rFonts w:ascii="Arial" w:hAnsi="Arial" w:cs="Arial"/>
                <w:b/>
              </w:rPr>
              <w:t>Max.</w:t>
            </w:r>
          </w:p>
        </w:tc>
        <w:tc>
          <w:tcPr>
            <w:tcW w:w="1350" w:type="dxa"/>
            <w:tcBorders>
              <w:bottom w:val="single" w:sz="4" w:space="0" w:color="auto"/>
            </w:tcBorders>
            <w:shd w:val="clear" w:color="auto" w:fill="FFFFFF"/>
            <w:vAlign w:val="bottom"/>
          </w:tcPr>
          <w:p w14:paraId="021C2124" w14:textId="77777777" w:rsidR="00AA65DB" w:rsidRPr="00AA65DB" w:rsidRDefault="00AA65DB" w:rsidP="00AA65DB">
            <w:pPr>
              <w:pStyle w:val="Body"/>
              <w:spacing w:after="0"/>
              <w:rPr>
                <w:rFonts w:ascii="Arial" w:hAnsi="Arial" w:cs="Arial"/>
                <w:b/>
              </w:rPr>
            </w:pPr>
            <w:proofErr w:type="spellStart"/>
            <w:r w:rsidRPr="00AA65DB">
              <w:rPr>
                <w:rFonts w:ascii="Arial" w:hAnsi="Arial" w:cs="Arial"/>
                <w:b/>
              </w:rPr>
              <w:t>Mean±SD</w:t>
            </w:r>
            <w:proofErr w:type="spellEnd"/>
          </w:p>
        </w:tc>
        <w:tc>
          <w:tcPr>
            <w:tcW w:w="990" w:type="dxa"/>
            <w:tcBorders>
              <w:bottom w:val="single" w:sz="4" w:space="0" w:color="auto"/>
            </w:tcBorders>
            <w:shd w:val="clear" w:color="auto" w:fill="FFFFFF"/>
            <w:vAlign w:val="bottom"/>
          </w:tcPr>
          <w:p w14:paraId="0C30035A" w14:textId="77777777" w:rsidR="00AA65DB" w:rsidRPr="00AA65DB" w:rsidRDefault="00AA65DB" w:rsidP="00AA65DB">
            <w:pPr>
              <w:pStyle w:val="Body"/>
              <w:spacing w:after="0"/>
              <w:rPr>
                <w:rFonts w:ascii="Arial" w:hAnsi="Arial" w:cs="Arial"/>
                <w:b/>
              </w:rPr>
            </w:pPr>
            <w:r w:rsidRPr="00AA65DB">
              <w:rPr>
                <w:rFonts w:ascii="Arial" w:hAnsi="Arial" w:cs="Arial"/>
                <w:b/>
              </w:rPr>
              <w:t>Min.</w:t>
            </w:r>
          </w:p>
        </w:tc>
        <w:tc>
          <w:tcPr>
            <w:tcW w:w="990" w:type="dxa"/>
            <w:tcBorders>
              <w:bottom w:val="single" w:sz="4" w:space="0" w:color="auto"/>
            </w:tcBorders>
            <w:shd w:val="clear" w:color="auto" w:fill="FFFFFF"/>
            <w:vAlign w:val="bottom"/>
          </w:tcPr>
          <w:p w14:paraId="28FD39B0" w14:textId="77777777" w:rsidR="00AA65DB" w:rsidRPr="00AA65DB" w:rsidRDefault="00AA65DB" w:rsidP="00AA65DB">
            <w:pPr>
              <w:pStyle w:val="Body"/>
              <w:spacing w:after="0"/>
              <w:rPr>
                <w:rFonts w:ascii="Arial" w:hAnsi="Arial" w:cs="Arial"/>
                <w:b/>
              </w:rPr>
            </w:pPr>
            <w:r w:rsidRPr="00AA65DB">
              <w:rPr>
                <w:rFonts w:ascii="Arial" w:hAnsi="Arial" w:cs="Arial"/>
                <w:b/>
              </w:rPr>
              <w:t>Max.</w:t>
            </w:r>
          </w:p>
        </w:tc>
        <w:tc>
          <w:tcPr>
            <w:tcW w:w="1350" w:type="dxa"/>
            <w:tcBorders>
              <w:bottom w:val="single" w:sz="4" w:space="0" w:color="auto"/>
            </w:tcBorders>
            <w:shd w:val="clear" w:color="auto" w:fill="FFFFFF"/>
            <w:vAlign w:val="bottom"/>
          </w:tcPr>
          <w:p w14:paraId="159AE2EE" w14:textId="77777777" w:rsidR="00AA65DB" w:rsidRPr="00AA65DB" w:rsidRDefault="00AA65DB" w:rsidP="00AA65DB">
            <w:pPr>
              <w:pStyle w:val="Body"/>
              <w:spacing w:after="0"/>
              <w:rPr>
                <w:rFonts w:ascii="Arial" w:hAnsi="Arial" w:cs="Arial"/>
                <w:b/>
              </w:rPr>
            </w:pPr>
            <w:proofErr w:type="spellStart"/>
            <w:r w:rsidRPr="00AA65DB">
              <w:rPr>
                <w:rFonts w:ascii="Arial" w:hAnsi="Arial" w:cs="Arial"/>
                <w:b/>
              </w:rPr>
              <w:t>Mean±SD</w:t>
            </w:r>
            <w:proofErr w:type="spellEnd"/>
          </w:p>
        </w:tc>
      </w:tr>
      <w:tr w:rsidR="00AA65DB" w:rsidRPr="00AA65DB" w14:paraId="29CD43D8" w14:textId="77777777" w:rsidTr="00DA3093">
        <w:trPr>
          <w:cantSplit/>
        </w:trPr>
        <w:tc>
          <w:tcPr>
            <w:tcW w:w="2605" w:type="dxa"/>
            <w:tcBorders>
              <w:top w:val="single" w:sz="4" w:space="0" w:color="auto"/>
              <w:bottom w:val="nil"/>
            </w:tcBorders>
            <w:shd w:val="clear" w:color="auto" w:fill="E0E0E0"/>
            <w:vAlign w:val="bottom"/>
          </w:tcPr>
          <w:p w14:paraId="1AFE2625" w14:textId="77777777" w:rsidR="00AA65DB" w:rsidRPr="00AA65DB" w:rsidRDefault="00AA65DB" w:rsidP="00AA65DB">
            <w:pPr>
              <w:pStyle w:val="Body"/>
              <w:spacing w:after="0"/>
              <w:rPr>
                <w:rFonts w:ascii="Arial" w:hAnsi="Arial" w:cs="Arial"/>
              </w:rPr>
            </w:pPr>
            <w:r w:rsidRPr="00AA65DB">
              <w:rPr>
                <w:rFonts w:ascii="Arial" w:hAnsi="Arial" w:cs="Arial"/>
              </w:rPr>
              <w:t>Pubic Length (mm)</w:t>
            </w:r>
          </w:p>
        </w:tc>
        <w:tc>
          <w:tcPr>
            <w:tcW w:w="810" w:type="dxa"/>
            <w:tcBorders>
              <w:top w:val="single" w:sz="4" w:space="0" w:color="auto"/>
              <w:bottom w:val="nil"/>
            </w:tcBorders>
            <w:shd w:val="clear" w:color="auto" w:fill="FFFFFF"/>
          </w:tcPr>
          <w:p w14:paraId="230A20B3" w14:textId="77777777" w:rsidR="00AA65DB" w:rsidRPr="00AA65DB" w:rsidRDefault="00AA65DB" w:rsidP="00AA65DB">
            <w:pPr>
              <w:pStyle w:val="Body"/>
              <w:spacing w:after="0"/>
              <w:rPr>
                <w:rFonts w:ascii="Arial" w:hAnsi="Arial" w:cs="Arial"/>
              </w:rPr>
            </w:pPr>
            <w:r w:rsidRPr="00AA65DB">
              <w:rPr>
                <w:rFonts w:ascii="Arial" w:hAnsi="Arial" w:cs="Arial"/>
              </w:rPr>
              <w:t>70.78</w:t>
            </w:r>
          </w:p>
        </w:tc>
        <w:tc>
          <w:tcPr>
            <w:tcW w:w="810" w:type="dxa"/>
            <w:tcBorders>
              <w:top w:val="single" w:sz="4" w:space="0" w:color="auto"/>
              <w:bottom w:val="nil"/>
            </w:tcBorders>
            <w:shd w:val="clear" w:color="auto" w:fill="FFFFFF"/>
          </w:tcPr>
          <w:p w14:paraId="569542E6" w14:textId="77777777" w:rsidR="00AA65DB" w:rsidRPr="00AA65DB" w:rsidRDefault="00AA65DB" w:rsidP="00AA65DB">
            <w:pPr>
              <w:pStyle w:val="Body"/>
              <w:spacing w:after="0"/>
              <w:rPr>
                <w:rFonts w:ascii="Arial" w:hAnsi="Arial" w:cs="Arial"/>
              </w:rPr>
            </w:pPr>
            <w:r w:rsidRPr="00AA65DB">
              <w:rPr>
                <w:rFonts w:ascii="Arial" w:hAnsi="Arial" w:cs="Arial"/>
              </w:rPr>
              <w:t>92.00</w:t>
            </w:r>
          </w:p>
        </w:tc>
        <w:tc>
          <w:tcPr>
            <w:tcW w:w="1350" w:type="dxa"/>
            <w:tcBorders>
              <w:top w:val="single" w:sz="4" w:space="0" w:color="auto"/>
              <w:bottom w:val="nil"/>
            </w:tcBorders>
            <w:shd w:val="clear" w:color="auto" w:fill="FFFFFF"/>
          </w:tcPr>
          <w:p w14:paraId="37346385" w14:textId="77777777" w:rsidR="00AA65DB" w:rsidRPr="00AA65DB" w:rsidRDefault="00AA65DB" w:rsidP="00AA65DB">
            <w:pPr>
              <w:pStyle w:val="Body"/>
              <w:spacing w:after="0"/>
              <w:rPr>
                <w:rFonts w:ascii="Arial" w:hAnsi="Arial" w:cs="Arial"/>
              </w:rPr>
            </w:pPr>
            <w:r w:rsidRPr="00AA65DB">
              <w:rPr>
                <w:rFonts w:ascii="Arial" w:hAnsi="Arial" w:cs="Arial"/>
              </w:rPr>
              <w:t>79.14±5.95</w:t>
            </w:r>
          </w:p>
        </w:tc>
        <w:tc>
          <w:tcPr>
            <w:tcW w:w="990" w:type="dxa"/>
            <w:tcBorders>
              <w:top w:val="single" w:sz="4" w:space="0" w:color="auto"/>
              <w:bottom w:val="nil"/>
            </w:tcBorders>
            <w:shd w:val="clear" w:color="auto" w:fill="FFFFFF"/>
          </w:tcPr>
          <w:p w14:paraId="6FDAC9B8" w14:textId="77777777" w:rsidR="00AA65DB" w:rsidRPr="00AA65DB" w:rsidRDefault="00AA65DB" w:rsidP="00AA65DB">
            <w:pPr>
              <w:pStyle w:val="Body"/>
              <w:spacing w:after="0"/>
              <w:rPr>
                <w:rFonts w:ascii="Arial" w:hAnsi="Arial" w:cs="Arial"/>
              </w:rPr>
            </w:pPr>
            <w:r w:rsidRPr="00AA65DB">
              <w:rPr>
                <w:rFonts w:ascii="Arial" w:hAnsi="Arial" w:cs="Arial"/>
              </w:rPr>
              <w:t>57.85</w:t>
            </w:r>
          </w:p>
        </w:tc>
        <w:tc>
          <w:tcPr>
            <w:tcW w:w="990" w:type="dxa"/>
            <w:tcBorders>
              <w:top w:val="single" w:sz="4" w:space="0" w:color="auto"/>
              <w:bottom w:val="nil"/>
            </w:tcBorders>
            <w:shd w:val="clear" w:color="auto" w:fill="FFFFFF"/>
          </w:tcPr>
          <w:p w14:paraId="377980F8" w14:textId="77777777" w:rsidR="00AA65DB" w:rsidRPr="00AA65DB" w:rsidRDefault="00AA65DB" w:rsidP="00AA65DB">
            <w:pPr>
              <w:pStyle w:val="Body"/>
              <w:spacing w:after="0"/>
              <w:rPr>
                <w:rFonts w:ascii="Arial" w:hAnsi="Arial" w:cs="Arial"/>
              </w:rPr>
            </w:pPr>
            <w:r w:rsidRPr="00AA65DB">
              <w:rPr>
                <w:rFonts w:ascii="Arial" w:hAnsi="Arial" w:cs="Arial"/>
              </w:rPr>
              <w:t>89.89</w:t>
            </w:r>
          </w:p>
        </w:tc>
        <w:tc>
          <w:tcPr>
            <w:tcW w:w="1350" w:type="dxa"/>
            <w:tcBorders>
              <w:top w:val="single" w:sz="4" w:space="0" w:color="auto"/>
              <w:bottom w:val="nil"/>
            </w:tcBorders>
            <w:shd w:val="clear" w:color="auto" w:fill="FFFFFF"/>
          </w:tcPr>
          <w:p w14:paraId="4B557DF0" w14:textId="77777777" w:rsidR="00AA65DB" w:rsidRPr="00AA65DB" w:rsidRDefault="00AA65DB" w:rsidP="00AA65DB">
            <w:pPr>
              <w:pStyle w:val="Body"/>
              <w:spacing w:after="0"/>
              <w:rPr>
                <w:rFonts w:ascii="Arial" w:hAnsi="Arial" w:cs="Arial"/>
              </w:rPr>
            </w:pPr>
            <w:r w:rsidRPr="00AA65DB">
              <w:rPr>
                <w:rFonts w:ascii="Arial" w:hAnsi="Arial" w:cs="Arial"/>
              </w:rPr>
              <w:t>76.10±9.21</w:t>
            </w:r>
          </w:p>
        </w:tc>
      </w:tr>
      <w:tr w:rsidR="00AA65DB" w:rsidRPr="00AA65DB" w14:paraId="5E0AC257" w14:textId="77777777" w:rsidTr="00DA3093">
        <w:trPr>
          <w:cantSplit/>
        </w:trPr>
        <w:tc>
          <w:tcPr>
            <w:tcW w:w="2605" w:type="dxa"/>
            <w:tcBorders>
              <w:top w:val="nil"/>
            </w:tcBorders>
            <w:shd w:val="clear" w:color="auto" w:fill="E0E0E0"/>
            <w:vAlign w:val="bottom"/>
          </w:tcPr>
          <w:p w14:paraId="42B07F46" w14:textId="77777777" w:rsidR="00AA65DB" w:rsidRPr="00AA65DB" w:rsidRDefault="00AA65DB" w:rsidP="00AA65DB">
            <w:pPr>
              <w:pStyle w:val="Body"/>
              <w:spacing w:after="0"/>
              <w:rPr>
                <w:rFonts w:ascii="Arial" w:hAnsi="Arial" w:cs="Arial"/>
              </w:rPr>
            </w:pPr>
            <w:r w:rsidRPr="00AA65DB">
              <w:rPr>
                <w:rFonts w:ascii="Arial" w:hAnsi="Arial" w:cs="Arial"/>
              </w:rPr>
              <w:t>Ischial Length (mm)</w:t>
            </w:r>
          </w:p>
        </w:tc>
        <w:tc>
          <w:tcPr>
            <w:tcW w:w="810" w:type="dxa"/>
            <w:tcBorders>
              <w:top w:val="nil"/>
            </w:tcBorders>
            <w:shd w:val="clear" w:color="auto" w:fill="FFFFFF"/>
          </w:tcPr>
          <w:p w14:paraId="080F770D" w14:textId="77777777" w:rsidR="00AA65DB" w:rsidRPr="00AA65DB" w:rsidRDefault="00AA65DB" w:rsidP="00AA65DB">
            <w:pPr>
              <w:pStyle w:val="Body"/>
              <w:spacing w:after="0"/>
              <w:rPr>
                <w:rFonts w:ascii="Arial" w:hAnsi="Arial" w:cs="Arial"/>
              </w:rPr>
            </w:pPr>
            <w:r w:rsidRPr="00AA65DB">
              <w:rPr>
                <w:rFonts w:ascii="Arial" w:hAnsi="Arial" w:cs="Arial"/>
              </w:rPr>
              <w:t>74.92</w:t>
            </w:r>
          </w:p>
        </w:tc>
        <w:tc>
          <w:tcPr>
            <w:tcW w:w="810" w:type="dxa"/>
            <w:tcBorders>
              <w:top w:val="nil"/>
            </w:tcBorders>
            <w:shd w:val="clear" w:color="auto" w:fill="FFFFFF"/>
          </w:tcPr>
          <w:p w14:paraId="5456E04C" w14:textId="77777777" w:rsidR="00AA65DB" w:rsidRPr="00AA65DB" w:rsidRDefault="00AA65DB" w:rsidP="00AA65DB">
            <w:pPr>
              <w:pStyle w:val="Body"/>
              <w:spacing w:after="0"/>
              <w:rPr>
                <w:rFonts w:ascii="Arial" w:hAnsi="Arial" w:cs="Arial"/>
              </w:rPr>
            </w:pPr>
            <w:r w:rsidRPr="00AA65DB">
              <w:rPr>
                <w:rFonts w:ascii="Arial" w:hAnsi="Arial" w:cs="Arial"/>
              </w:rPr>
              <w:t>97.51</w:t>
            </w:r>
          </w:p>
        </w:tc>
        <w:tc>
          <w:tcPr>
            <w:tcW w:w="1350" w:type="dxa"/>
            <w:tcBorders>
              <w:top w:val="nil"/>
            </w:tcBorders>
            <w:shd w:val="clear" w:color="auto" w:fill="FFFFFF"/>
          </w:tcPr>
          <w:p w14:paraId="23E7B4C1" w14:textId="77777777" w:rsidR="00AA65DB" w:rsidRPr="00AA65DB" w:rsidRDefault="00AA65DB" w:rsidP="00AA65DB">
            <w:pPr>
              <w:pStyle w:val="Body"/>
              <w:spacing w:after="0"/>
              <w:rPr>
                <w:rFonts w:ascii="Arial" w:hAnsi="Arial" w:cs="Arial"/>
              </w:rPr>
            </w:pPr>
            <w:r w:rsidRPr="00AA65DB">
              <w:rPr>
                <w:rFonts w:ascii="Arial" w:hAnsi="Arial" w:cs="Arial"/>
              </w:rPr>
              <w:t>84.08±5.99</w:t>
            </w:r>
          </w:p>
        </w:tc>
        <w:tc>
          <w:tcPr>
            <w:tcW w:w="990" w:type="dxa"/>
            <w:tcBorders>
              <w:top w:val="nil"/>
            </w:tcBorders>
            <w:shd w:val="clear" w:color="auto" w:fill="FFFFFF"/>
          </w:tcPr>
          <w:p w14:paraId="0B0E0E3B" w14:textId="77777777" w:rsidR="00AA65DB" w:rsidRPr="00AA65DB" w:rsidRDefault="00AA65DB" w:rsidP="00AA65DB">
            <w:pPr>
              <w:pStyle w:val="Body"/>
              <w:spacing w:after="0"/>
              <w:rPr>
                <w:rFonts w:ascii="Arial" w:hAnsi="Arial" w:cs="Arial"/>
              </w:rPr>
            </w:pPr>
            <w:r w:rsidRPr="00AA65DB">
              <w:rPr>
                <w:rFonts w:ascii="Arial" w:hAnsi="Arial" w:cs="Arial"/>
              </w:rPr>
              <w:t>55.91</w:t>
            </w:r>
          </w:p>
        </w:tc>
        <w:tc>
          <w:tcPr>
            <w:tcW w:w="990" w:type="dxa"/>
            <w:tcBorders>
              <w:top w:val="nil"/>
            </w:tcBorders>
            <w:shd w:val="clear" w:color="auto" w:fill="FFFFFF"/>
          </w:tcPr>
          <w:p w14:paraId="3544B72A" w14:textId="77777777" w:rsidR="00AA65DB" w:rsidRPr="00AA65DB" w:rsidRDefault="00AA65DB" w:rsidP="00AA65DB">
            <w:pPr>
              <w:pStyle w:val="Body"/>
              <w:spacing w:after="0"/>
              <w:rPr>
                <w:rFonts w:ascii="Arial" w:hAnsi="Arial" w:cs="Arial"/>
              </w:rPr>
            </w:pPr>
            <w:r w:rsidRPr="00AA65DB">
              <w:rPr>
                <w:rFonts w:ascii="Arial" w:hAnsi="Arial" w:cs="Arial"/>
              </w:rPr>
              <w:t>85.84</w:t>
            </w:r>
          </w:p>
        </w:tc>
        <w:tc>
          <w:tcPr>
            <w:tcW w:w="1350" w:type="dxa"/>
            <w:tcBorders>
              <w:top w:val="nil"/>
            </w:tcBorders>
            <w:shd w:val="clear" w:color="auto" w:fill="FFFFFF"/>
          </w:tcPr>
          <w:p w14:paraId="283395E9" w14:textId="77777777" w:rsidR="00AA65DB" w:rsidRPr="00AA65DB" w:rsidRDefault="00AA65DB" w:rsidP="00AA65DB">
            <w:pPr>
              <w:pStyle w:val="Body"/>
              <w:spacing w:after="0"/>
              <w:rPr>
                <w:rFonts w:ascii="Arial" w:hAnsi="Arial" w:cs="Arial"/>
              </w:rPr>
            </w:pPr>
            <w:r w:rsidRPr="00AA65DB">
              <w:rPr>
                <w:rFonts w:ascii="Arial" w:hAnsi="Arial" w:cs="Arial"/>
              </w:rPr>
              <w:t>71.97±9.13</w:t>
            </w:r>
          </w:p>
        </w:tc>
      </w:tr>
      <w:tr w:rsidR="00AA65DB" w:rsidRPr="00AA65DB" w14:paraId="6E70B839" w14:textId="77777777" w:rsidTr="00DA3093">
        <w:trPr>
          <w:cantSplit/>
        </w:trPr>
        <w:tc>
          <w:tcPr>
            <w:tcW w:w="2605" w:type="dxa"/>
            <w:shd w:val="clear" w:color="auto" w:fill="E0E0E0"/>
            <w:vAlign w:val="bottom"/>
          </w:tcPr>
          <w:p w14:paraId="5DCE745F" w14:textId="77777777" w:rsidR="00AA65DB" w:rsidRPr="00AA65DB" w:rsidRDefault="00AA65DB" w:rsidP="00AA65DB">
            <w:pPr>
              <w:pStyle w:val="Body"/>
              <w:spacing w:after="0"/>
              <w:rPr>
                <w:rFonts w:ascii="Arial" w:hAnsi="Arial" w:cs="Arial"/>
              </w:rPr>
            </w:pPr>
            <w:r w:rsidRPr="00AA65DB">
              <w:rPr>
                <w:rFonts w:ascii="Arial" w:hAnsi="Arial" w:cs="Arial"/>
              </w:rPr>
              <w:t>Ischiopubic Index</w:t>
            </w:r>
          </w:p>
        </w:tc>
        <w:tc>
          <w:tcPr>
            <w:tcW w:w="810" w:type="dxa"/>
            <w:shd w:val="clear" w:color="auto" w:fill="FFFFFF"/>
          </w:tcPr>
          <w:p w14:paraId="54534883" w14:textId="77777777" w:rsidR="00AA65DB" w:rsidRPr="00AA65DB" w:rsidRDefault="00AA65DB" w:rsidP="00AA65DB">
            <w:pPr>
              <w:pStyle w:val="Body"/>
              <w:spacing w:after="0"/>
              <w:rPr>
                <w:rFonts w:ascii="Arial" w:hAnsi="Arial" w:cs="Arial"/>
              </w:rPr>
            </w:pPr>
            <w:r w:rsidRPr="00AA65DB">
              <w:rPr>
                <w:rFonts w:ascii="Arial" w:hAnsi="Arial" w:cs="Arial"/>
              </w:rPr>
              <w:t>92.48</w:t>
            </w:r>
          </w:p>
        </w:tc>
        <w:tc>
          <w:tcPr>
            <w:tcW w:w="810" w:type="dxa"/>
            <w:shd w:val="clear" w:color="auto" w:fill="FFFFFF"/>
          </w:tcPr>
          <w:p w14:paraId="1A11A7ED" w14:textId="77777777" w:rsidR="00AA65DB" w:rsidRPr="00AA65DB" w:rsidRDefault="00AA65DB" w:rsidP="00AA65DB">
            <w:pPr>
              <w:pStyle w:val="Body"/>
              <w:spacing w:after="0"/>
              <w:rPr>
                <w:rFonts w:ascii="Arial" w:hAnsi="Arial" w:cs="Arial"/>
              </w:rPr>
            </w:pPr>
            <w:r w:rsidRPr="00AA65DB">
              <w:rPr>
                <w:rFonts w:ascii="Arial" w:hAnsi="Arial" w:cs="Arial"/>
              </w:rPr>
              <w:t>97.42</w:t>
            </w:r>
          </w:p>
        </w:tc>
        <w:tc>
          <w:tcPr>
            <w:tcW w:w="1350" w:type="dxa"/>
            <w:shd w:val="clear" w:color="auto" w:fill="FFFFFF"/>
          </w:tcPr>
          <w:p w14:paraId="3263FCE0" w14:textId="77777777" w:rsidR="00AA65DB" w:rsidRPr="00AA65DB" w:rsidRDefault="00AA65DB" w:rsidP="00AA65DB">
            <w:pPr>
              <w:pStyle w:val="Body"/>
              <w:spacing w:after="0"/>
              <w:rPr>
                <w:rFonts w:ascii="Arial" w:hAnsi="Arial" w:cs="Arial"/>
              </w:rPr>
            </w:pPr>
            <w:r w:rsidRPr="00AA65DB">
              <w:rPr>
                <w:rFonts w:ascii="Arial" w:hAnsi="Arial" w:cs="Arial"/>
              </w:rPr>
              <w:t>94.09±0.84</w:t>
            </w:r>
          </w:p>
        </w:tc>
        <w:tc>
          <w:tcPr>
            <w:tcW w:w="990" w:type="dxa"/>
            <w:shd w:val="clear" w:color="auto" w:fill="FFFFFF"/>
          </w:tcPr>
          <w:p w14:paraId="40E8E5AE" w14:textId="77777777" w:rsidR="00AA65DB" w:rsidRPr="00AA65DB" w:rsidRDefault="00AA65DB" w:rsidP="00AA65DB">
            <w:pPr>
              <w:pStyle w:val="Body"/>
              <w:spacing w:after="0"/>
              <w:rPr>
                <w:rFonts w:ascii="Arial" w:hAnsi="Arial" w:cs="Arial"/>
              </w:rPr>
            </w:pPr>
            <w:r w:rsidRPr="00AA65DB">
              <w:rPr>
                <w:rFonts w:ascii="Arial" w:hAnsi="Arial" w:cs="Arial"/>
              </w:rPr>
              <w:t>102.93</w:t>
            </w:r>
          </w:p>
        </w:tc>
        <w:tc>
          <w:tcPr>
            <w:tcW w:w="990" w:type="dxa"/>
            <w:shd w:val="clear" w:color="auto" w:fill="FFFFFF"/>
          </w:tcPr>
          <w:p w14:paraId="41C028EA" w14:textId="77777777" w:rsidR="00AA65DB" w:rsidRPr="00AA65DB" w:rsidRDefault="00AA65DB" w:rsidP="00AA65DB">
            <w:pPr>
              <w:pStyle w:val="Body"/>
              <w:spacing w:after="0"/>
              <w:rPr>
                <w:rFonts w:ascii="Arial" w:hAnsi="Arial" w:cs="Arial"/>
              </w:rPr>
            </w:pPr>
            <w:r w:rsidRPr="00AA65DB">
              <w:rPr>
                <w:rFonts w:ascii="Arial" w:hAnsi="Arial" w:cs="Arial"/>
              </w:rPr>
              <w:t>108.97</w:t>
            </w:r>
          </w:p>
        </w:tc>
        <w:tc>
          <w:tcPr>
            <w:tcW w:w="1350" w:type="dxa"/>
            <w:shd w:val="clear" w:color="auto" w:fill="FFFFFF"/>
          </w:tcPr>
          <w:p w14:paraId="03EE77A5" w14:textId="77777777" w:rsidR="00AA65DB" w:rsidRPr="00AA65DB" w:rsidRDefault="00AA65DB" w:rsidP="00AA65DB">
            <w:pPr>
              <w:pStyle w:val="Body"/>
              <w:spacing w:after="0"/>
              <w:rPr>
                <w:rFonts w:ascii="Arial" w:hAnsi="Arial" w:cs="Arial"/>
              </w:rPr>
            </w:pPr>
            <w:r w:rsidRPr="00AA65DB">
              <w:rPr>
                <w:rFonts w:ascii="Arial" w:hAnsi="Arial" w:cs="Arial"/>
              </w:rPr>
              <w:t>105.81±1.28</w:t>
            </w:r>
          </w:p>
        </w:tc>
      </w:tr>
    </w:tbl>
    <w:p w14:paraId="75586741" w14:textId="77777777" w:rsidR="00AA65DB" w:rsidRPr="00AA65DB" w:rsidRDefault="00AA65DB" w:rsidP="00AA65DB">
      <w:pPr>
        <w:pStyle w:val="Body"/>
        <w:spacing w:after="0"/>
        <w:rPr>
          <w:rFonts w:ascii="Arial" w:hAnsi="Arial" w:cs="Arial"/>
          <w:i/>
        </w:rPr>
      </w:pPr>
      <w:r w:rsidRPr="00AA65DB">
        <w:rPr>
          <w:rFonts w:ascii="Arial" w:hAnsi="Arial" w:cs="Arial"/>
          <w:i/>
        </w:rPr>
        <w:t>mm= Millimeter; SD= Standard Deviation; n= Sample Size</w:t>
      </w:r>
    </w:p>
    <w:p w14:paraId="5B7E0EE4" w14:textId="77777777" w:rsidR="00AA65DB" w:rsidRPr="00AA65DB" w:rsidRDefault="00AA65DB" w:rsidP="00AA65DB">
      <w:pPr>
        <w:pStyle w:val="Body"/>
        <w:spacing w:after="0"/>
        <w:rPr>
          <w:rFonts w:ascii="Arial" w:hAnsi="Arial" w:cs="Arial"/>
          <w:b/>
        </w:rPr>
      </w:pPr>
      <w:r w:rsidRPr="00AA65DB">
        <w:rPr>
          <w:rFonts w:ascii="Arial" w:hAnsi="Arial" w:cs="Arial"/>
          <w:b/>
        </w:rPr>
        <w:t xml:space="preserve">Table 2: </w:t>
      </w:r>
      <w:r w:rsidRPr="00AA65DB">
        <w:rPr>
          <w:rFonts w:ascii="Arial" w:hAnsi="Arial" w:cs="Arial"/>
        </w:rPr>
        <w:t>Independent sample t-test comparison between males and females</w:t>
      </w:r>
    </w:p>
    <w:tbl>
      <w:tblPr>
        <w:tblW w:w="917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975"/>
        <w:gridCol w:w="720"/>
        <w:gridCol w:w="540"/>
        <w:gridCol w:w="900"/>
        <w:gridCol w:w="900"/>
        <w:gridCol w:w="777"/>
        <w:gridCol w:w="1113"/>
        <w:gridCol w:w="990"/>
        <w:gridCol w:w="1260"/>
      </w:tblGrid>
      <w:tr w:rsidR="00AA65DB" w:rsidRPr="00AA65DB" w14:paraId="4AF9E408" w14:textId="77777777" w:rsidTr="00DA3093">
        <w:trPr>
          <w:cantSplit/>
          <w:trHeight w:val="440"/>
        </w:trPr>
        <w:tc>
          <w:tcPr>
            <w:tcW w:w="1975" w:type="dxa"/>
            <w:vMerge w:val="restart"/>
            <w:shd w:val="clear" w:color="auto" w:fill="FFFFFF"/>
            <w:vAlign w:val="bottom"/>
          </w:tcPr>
          <w:p w14:paraId="0E0E186C" w14:textId="77777777" w:rsidR="00AA65DB" w:rsidRPr="00AA65DB" w:rsidRDefault="00AA65DB" w:rsidP="00AA65DB">
            <w:pPr>
              <w:pStyle w:val="Body"/>
              <w:spacing w:after="0"/>
              <w:rPr>
                <w:rFonts w:ascii="Arial" w:hAnsi="Arial" w:cs="Arial"/>
                <w:b/>
              </w:rPr>
            </w:pPr>
            <w:r w:rsidRPr="00AA65DB">
              <w:rPr>
                <w:rFonts w:ascii="Arial" w:hAnsi="Arial" w:cs="Arial"/>
                <w:b/>
              </w:rPr>
              <w:t>Variables</w:t>
            </w:r>
          </w:p>
        </w:tc>
        <w:tc>
          <w:tcPr>
            <w:tcW w:w="720" w:type="dxa"/>
            <w:vMerge w:val="restart"/>
            <w:shd w:val="clear" w:color="auto" w:fill="FFFFFF"/>
            <w:vAlign w:val="bottom"/>
          </w:tcPr>
          <w:p w14:paraId="4DCBA7AC" w14:textId="77777777" w:rsidR="00AA65DB" w:rsidRPr="00AA65DB" w:rsidRDefault="00AA65DB" w:rsidP="00AA65DB">
            <w:pPr>
              <w:pStyle w:val="Body"/>
              <w:spacing w:after="0"/>
              <w:rPr>
                <w:rFonts w:ascii="Arial" w:hAnsi="Arial" w:cs="Arial"/>
                <w:b/>
              </w:rPr>
            </w:pPr>
            <w:r w:rsidRPr="00AA65DB">
              <w:rPr>
                <w:rFonts w:ascii="Arial" w:hAnsi="Arial" w:cs="Arial"/>
                <w:b/>
              </w:rPr>
              <w:t>t-value</w:t>
            </w:r>
          </w:p>
        </w:tc>
        <w:tc>
          <w:tcPr>
            <w:tcW w:w="540" w:type="dxa"/>
            <w:vMerge w:val="restart"/>
            <w:shd w:val="clear" w:color="auto" w:fill="FFFFFF"/>
            <w:vAlign w:val="bottom"/>
          </w:tcPr>
          <w:p w14:paraId="18EC536B" w14:textId="77777777" w:rsidR="00AA65DB" w:rsidRPr="00AA65DB" w:rsidRDefault="00AA65DB" w:rsidP="00AA65DB">
            <w:pPr>
              <w:pStyle w:val="Body"/>
              <w:spacing w:after="0"/>
              <w:rPr>
                <w:rFonts w:ascii="Arial" w:hAnsi="Arial" w:cs="Arial"/>
                <w:b/>
              </w:rPr>
            </w:pPr>
            <w:r w:rsidRPr="00AA65DB">
              <w:rPr>
                <w:rFonts w:ascii="Arial" w:hAnsi="Arial" w:cs="Arial"/>
                <w:b/>
              </w:rPr>
              <w:t>df</w:t>
            </w:r>
          </w:p>
        </w:tc>
        <w:tc>
          <w:tcPr>
            <w:tcW w:w="900" w:type="dxa"/>
            <w:vMerge w:val="restart"/>
            <w:shd w:val="clear" w:color="auto" w:fill="FFFFFF"/>
            <w:vAlign w:val="bottom"/>
          </w:tcPr>
          <w:p w14:paraId="3D48F2DC" w14:textId="77777777" w:rsidR="00AA65DB" w:rsidRPr="00AA65DB" w:rsidRDefault="00AA65DB" w:rsidP="00AA65DB">
            <w:pPr>
              <w:pStyle w:val="Body"/>
              <w:spacing w:after="0"/>
              <w:rPr>
                <w:rFonts w:ascii="Arial" w:hAnsi="Arial" w:cs="Arial"/>
                <w:b/>
              </w:rPr>
            </w:pPr>
            <w:r w:rsidRPr="00AA65DB">
              <w:rPr>
                <w:rFonts w:ascii="Arial" w:hAnsi="Arial" w:cs="Arial"/>
                <w:b/>
              </w:rPr>
              <w:t>p-value</w:t>
            </w:r>
          </w:p>
        </w:tc>
        <w:tc>
          <w:tcPr>
            <w:tcW w:w="900" w:type="dxa"/>
            <w:vMerge w:val="restart"/>
            <w:shd w:val="clear" w:color="auto" w:fill="FFFFFF"/>
            <w:vAlign w:val="bottom"/>
          </w:tcPr>
          <w:p w14:paraId="3299A43C" w14:textId="77777777" w:rsidR="00AA65DB" w:rsidRPr="00AA65DB" w:rsidRDefault="00AA65DB" w:rsidP="00AA65DB">
            <w:pPr>
              <w:pStyle w:val="Body"/>
              <w:spacing w:after="0"/>
              <w:rPr>
                <w:rFonts w:ascii="Arial" w:hAnsi="Arial" w:cs="Arial"/>
                <w:b/>
              </w:rPr>
            </w:pPr>
            <w:r w:rsidRPr="00AA65DB">
              <w:rPr>
                <w:rFonts w:ascii="Arial" w:hAnsi="Arial" w:cs="Arial"/>
                <w:b/>
              </w:rPr>
              <w:t>MD</w:t>
            </w:r>
          </w:p>
        </w:tc>
        <w:tc>
          <w:tcPr>
            <w:tcW w:w="777" w:type="dxa"/>
            <w:vMerge w:val="restart"/>
            <w:shd w:val="clear" w:color="auto" w:fill="FFFFFF"/>
            <w:vAlign w:val="bottom"/>
          </w:tcPr>
          <w:p w14:paraId="4B3E621F" w14:textId="77777777" w:rsidR="00AA65DB" w:rsidRPr="00AA65DB" w:rsidRDefault="00AA65DB" w:rsidP="00AA65DB">
            <w:pPr>
              <w:pStyle w:val="Body"/>
              <w:spacing w:after="0"/>
              <w:rPr>
                <w:rFonts w:ascii="Arial" w:hAnsi="Arial" w:cs="Arial"/>
                <w:b/>
              </w:rPr>
            </w:pPr>
            <w:r w:rsidRPr="00AA65DB">
              <w:rPr>
                <w:rFonts w:ascii="Arial" w:hAnsi="Arial" w:cs="Arial"/>
                <w:b/>
              </w:rPr>
              <w:t>SED</w:t>
            </w:r>
          </w:p>
        </w:tc>
        <w:tc>
          <w:tcPr>
            <w:tcW w:w="2103" w:type="dxa"/>
            <w:gridSpan w:val="2"/>
            <w:shd w:val="clear" w:color="auto" w:fill="FFFFFF"/>
            <w:vAlign w:val="bottom"/>
          </w:tcPr>
          <w:p w14:paraId="33470E50" w14:textId="77777777" w:rsidR="00AA65DB" w:rsidRPr="00AA65DB" w:rsidRDefault="00AA65DB" w:rsidP="00AA65DB">
            <w:pPr>
              <w:pStyle w:val="Body"/>
              <w:spacing w:after="0"/>
              <w:rPr>
                <w:rFonts w:ascii="Arial" w:hAnsi="Arial" w:cs="Arial"/>
                <w:b/>
              </w:rPr>
            </w:pPr>
            <w:r w:rsidRPr="00AA65DB">
              <w:rPr>
                <w:rFonts w:ascii="Arial" w:hAnsi="Arial" w:cs="Arial"/>
                <w:b/>
              </w:rPr>
              <w:t>95% Confidence Interval</w:t>
            </w:r>
          </w:p>
        </w:tc>
        <w:tc>
          <w:tcPr>
            <w:tcW w:w="1260" w:type="dxa"/>
            <w:vMerge w:val="restart"/>
            <w:shd w:val="clear" w:color="auto" w:fill="FFFFFF"/>
            <w:vAlign w:val="bottom"/>
          </w:tcPr>
          <w:p w14:paraId="47FCDEBD" w14:textId="77777777" w:rsidR="00AA65DB" w:rsidRPr="00AA65DB" w:rsidRDefault="00AA65DB" w:rsidP="00AA65DB">
            <w:pPr>
              <w:pStyle w:val="Body"/>
              <w:spacing w:after="0"/>
              <w:rPr>
                <w:rFonts w:ascii="Arial" w:hAnsi="Arial" w:cs="Arial"/>
                <w:b/>
              </w:rPr>
            </w:pPr>
            <w:r w:rsidRPr="00AA65DB">
              <w:rPr>
                <w:rFonts w:ascii="Arial" w:hAnsi="Arial" w:cs="Arial"/>
                <w:b/>
              </w:rPr>
              <w:t>Inference</w:t>
            </w:r>
          </w:p>
        </w:tc>
      </w:tr>
      <w:tr w:rsidR="00AA65DB" w:rsidRPr="00AA65DB" w14:paraId="29571413" w14:textId="77777777" w:rsidTr="00DA3093">
        <w:trPr>
          <w:cantSplit/>
          <w:trHeight w:val="547"/>
        </w:trPr>
        <w:tc>
          <w:tcPr>
            <w:tcW w:w="1975" w:type="dxa"/>
            <w:vMerge/>
            <w:tcBorders>
              <w:bottom w:val="single" w:sz="4" w:space="0" w:color="auto"/>
            </w:tcBorders>
            <w:shd w:val="clear" w:color="auto" w:fill="FFFFFF"/>
            <w:vAlign w:val="bottom"/>
          </w:tcPr>
          <w:p w14:paraId="6FADEBE8" w14:textId="77777777" w:rsidR="00AA65DB" w:rsidRPr="00AA65DB" w:rsidRDefault="00AA65DB" w:rsidP="00AA65DB">
            <w:pPr>
              <w:pStyle w:val="Body"/>
              <w:spacing w:after="0"/>
              <w:rPr>
                <w:rFonts w:ascii="Arial" w:hAnsi="Arial" w:cs="Arial"/>
              </w:rPr>
            </w:pPr>
          </w:p>
        </w:tc>
        <w:tc>
          <w:tcPr>
            <w:tcW w:w="720" w:type="dxa"/>
            <w:vMerge/>
            <w:tcBorders>
              <w:bottom w:val="single" w:sz="4" w:space="0" w:color="auto"/>
            </w:tcBorders>
            <w:shd w:val="clear" w:color="auto" w:fill="FFFFFF"/>
            <w:vAlign w:val="bottom"/>
          </w:tcPr>
          <w:p w14:paraId="7E401DC9" w14:textId="77777777" w:rsidR="00AA65DB" w:rsidRPr="00AA65DB" w:rsidRDefault="00AA65DB" w:rsidP="00AA65DB">
            <w:pPr>
              <w:pStyle w:val="Body"/>
              <w:spacing w:after="0"/>
              <w:rPr>
                <w:rFonts w:ascii="Arial" w:hAnsi="Arial" w:cs="Arial"/>
              </w:rPr>
            </w:pPr>
          </w:p>
        </w:tc>
        <w:tc>
          <w:tcPr>
            <w:tcW w:w="540" w:type="dxa"/>
            <w:vMerge/>
            <w:tcBorders>
              <w:bottom w:val="single" w:sz="4" w:space="0" w:color="auto"/>
            </w:tcBorders>
            <w:shd w:val="clear" w:color="auto" w:fill="FFFFFF"/>
            <w:vAlign w:val="bottom"/>
          </w:tcPr>
          <w:p w14:paraId="7CC3A79E" w14:textId="77777777" w:rsidR="00AA65DB" w:rsidRPr="00AA65DB" w:rsidRDefault="00AA65DB" w:rsidP="00AA65DB">
            <w:pPr>
              <w:pStyle w:val="Body"/>
              <w:spacing w:after="0"/>
              <w:rPr>
                <w:rFonts w:ascii="Arial" w:hAnsi="Arial" w:cs="Arial"/>
              </w:rPr>
            </w:pPr>
          </w:p>
        </w:tc>
        <w:tc>
          <w:tcPr>
            <w:tcW w:w="900" w:type="dxa"/>
            <w:vMerge/>
            <w:tcBorders>
              <w:bottom w:val="single" w:sz="4" w:space="0" w:color="auto"/>
            </w:tcBorders>
            <w:shd w:val="clear" w:color="auto" w:fill="FFFFFF"/>
            <w:vAlign w:val="bottom"/>
          </w:tcPr>
          <w:p w14:paraId="7902657C" w14:textId="77777777" w:rsidR="00AA65DB" w:rsidRPr="00AA65DB" w:rsidRDefault="00AA65DB" w:rsidP="00AA65DB">
            <w:pPr>
              <w:pStyle w:val="Body"/>
              <w:spacing w:after="0"/>
              <w:rPr>
                <w:rFonts w:ascii="Arial" w:hAnsi="Arial" w:cs="Arial"/>
              </w:rPr>
            </w:pPr>
          </w:p>
        </w:tc>
        <w:tc>
          <w:tcPr>
            <w:tcW w:w="900" w:type="dxa"/>
            <w:vMerge/>
            <w:tcBorders>
              <w:bottom w:val="single" w:sz="4" w:space="0" w:color="auto"/>
            </w:tcBorders>
            <w:shd w:val="clear" w:color="auto" w:fill="FFFFFF"/>
            <w:vAlign w:val="bottom"/>
          </w:tcPr>
          <w:p w14:paraId="6BFC4772" w14:textId="77777777" w:rsidR="00AA65DB" w:rsidRPr="00AA65DB" w:rsidRDefault="00AA65DB" w:rsidP="00AA65DB">
            <w:pPr>
              <w:pStyle w:val="Body"/>
              <w:spacing w:after="0"/>
              <w:rPr>
                <w:rFonts w:ascii="Arial" w:hAnsi="Arial" w:cs="Arial"/>
              </w:rPr>
            </w:pPr>
          </w:p>
        </w:tc>
        <w:tc>
          <w:tcPr>
            <w:tcW w:w="777" w:type="dxa"/>
            <w:vMerge/>
            <w:tcBorders>
              <w:bottom w:val="single" w:sz="4" w:space="0" w:color="auto"/>
            </w:tcBorders>
            <w:shd w:val="clear" w:color="auto" w:fill="FFFFFF"/>
            <w:vAlign w:val="bottom"/>
          </w:tcPr>
          <w:p w14:paraId="484DD4ED" w14:textId="77777777" w:rsidR="00AA65DB" w:rsidRPr="00AA65DB" w:rsidRDefault="00AA65DB" w:rsidP="00AA65DB">
            <w:pPr>
              <w:pStyle w:val="Body"/>
              <w:spacing w:after="0"/>
              <w:rPr>
                <w:rFonts w:ascii="Arial" w:hAnsi="Arial" w:cs="Arial"/>
              </w:rPr>
            </w:pPr>
          </w:p>
        </w:tc>
        <w:tc>
          <w:tcPr>
            <w:tcW w:w="1113" w:type="dxa"/>
            <w:tcBorders>
              <w:bottom w:val="single" w:sz="4" w:space="0" w:color="auto"/>
            </w:tcBorders>
            <w:shd w:val="clear" w:color="auto" w:fill="FFFFFF"/>
            <w:vAlign w:val="bottom"/>
          </w:tcPr>
          <w:p w14:paraId="6CEE7351" w14:textId="77777777" w:rsidR="00AA65DB" w:rsidRPr="00AA65DB" w:rsidRDefault="00AA65DB" w:rsidP="00AA65DB">
            <w:pPr>
              <w:pStyle w:val="Body"/>
              <w:spacing w:after="0"/>
              <w:rPr>
                <w:rFonts w:ascii="Arial" w:hAnsi="Arial" w:cs="Arial"/>
                <w:b/>
              </w:rPr>
            </w:pPr>
            <w:r w:rsidRPr="00AA65DB">
              <w:rPr>
                <w:rFonts w:ascii="Arial" w:hAnsi="Arial" w:cs="Arial"/>
                <w:b/>
              </w:rPr>
              <w:t>Lower</w:t>
            </w:r>
          </w:p>
        </w:tc>
        <w:tc>
          <w:tcPr>
            <w:tcW w:w="990" w:type="dxa"/>
            <w:tcBorders>
              <w:bottom w:val="single" w:sz="4" w:space="0" w:color="auto"/>
            </w:tcBorders>
            <w:shd w:val="clear" w:color="auto" w:fill="FFFFFF"/>
            <w:vAlign w:val="bottom"/>
          </w:tcPr>
          <w:p w14:paraId="12CAE7DC" w14:textId="77777777" w:rsidR="00AA65DB" w:rsidRPr="00AA65DB" w:rsidRDefault="00AA65DB" w:rsidP="00AA65DB">
            <w:pPr>
              <w:pStyle w:val="Body"/>
              <w:spacing w:after="0"/>
              <w:rPr>
                <w:rFonts w:ascii="Arial" w:hAnsi="Arial" w:cs="Arial"/>
                <w:b/>
              </w:rPr>
            </w:pPr>
            <w:r w:rsidRPr="00AA65DB">
              <w:rPr>
                <w:rFonts w:ascii="Arial" w:hAnsi="Arial" w:cs="Arial"/>
                <w:b/>
              </w:rPr>
              <w:t>Upper</w:t>
            </w:r>
          </w:p>
        </w:tc>
        <w:tc>
          <w:tcPr>
            <w:tcW w:w="1260" w:type="dxa"/>
            <w:vMerge/>
            <w:tcBorders>
              <w:bottom w:val="single" w:sz="4" w:space="0" w:color="auto"/>
            </w:tcBorders>
            <w:shd w:val="clear" w:color="auto" w:fill="FFFFFF"/>
            <w:vAlign w:val="bottom"/>
          </w:tcPr>
          <w:p w14:paraId="0D2D9919" w14:textId="77777777" w:rsidR="00AA65DB" w:rsidRPr="00AA65DB" w:rsidRDefault="00AA65DB" w:rsidP="00AA65DB">
            <w:pPr>
              <w:pStyle w:val="Body"/>
              <w:spacing w:after="0"/>
              <w:rPr>
                <w:rFonts w:ascii="Arial" w:hAnsi="Arial" w:cs="Arial"/>
              </w:rPr>
            </w:pPr>
          </w:p>
        </w:tc>
      </w:tr>
      <w:tr w:rsidR="00AA65DB" w:rsidRPr="00AA65DB" w14:paraId="35E93184" w14:textId="77777777" w:rsidTr="00DA3093">
        <w:trPr>
          <w:cantSplit/>
          <w:trHeight w:val="609"/>
        </w:trPr>
        <w:tc>
          <w:tcPr>
            <w:tcW w:w="1975" w:type="dxa"/>
            <w:tcBorders>
              <w:top w:val="single" w:sz="4" w:space="0" w:color="auto"/>
              <w:bottom w:val="nil"/>
            </w:tcBorders>
            <w:shd w:val="clear" w:color="auto" w:fill="E0E0E0"/>
            <w:vAlign w:val="bottom"/>
          </w:tcPr>
          <w:p w14:paraId="0CA9D507" w14:textId="77777777" w:rsidR="00AA65DB" w:rsidRPr="00AA65DB" w:rsidRDefault="00AA65DB" w:rsidP="00AA65DB">
            <w:pPr>
              <w:pStyle w:val="Body"/>
              <w:spacing w:after="0"/>
              <w:rPr>
                <w:rFonts w:ascii="Arial" w:hAnsi="Arial" w:cs="Arial"/>
              </w:rPr>
            </w:pPr>
            <w:r w:rsidRPr="00AA65DB">
              <w:rPr>
                <w:rFonts w:ascii="Arial" w:hAnsi="Arial" w:cs="Arial"/>
              </w:rPr>
              <w:lastRenderedPageBreak/>
              <w:t>Pubic Length (mm)</w:t>
            </w:r>
          </w:p>
        </w:tc>
        <w:tc>
          <w:tcPr>
            <w:tcW w:w="720" w:type="dxa"/>
            <w:tcBorders>
              <w:top w:val="single" w:sz="4" w:space="0" w:color="auto"/>
              <w:bottom w:val="nil"/>
            </w:tcBorders>
            <w:shd w:val="clear" w:color="auto" w:fill="FFFFFF"/>
            <w:vAlign w:val="bottom"/>
          </w:tcPr>
          <w:p w14:paraId="6A5E22E4" w14:textId="77777777" w:rsidR="00AA65DB" w:rsidRPr="00AA65DB" w:rsidRDefault="00AA65DB" w:rsidP="00AA65DB">
            <w:pPr>
              <w:pStyle w:val="Body"/>
              <w:spacing w:after="0"/>
              <w:rPr>
                <w:rFonts w:ascii="Arial" w:hAnsi="Arial" w:cs="Arial"/>
              </w:rPr>
            </w:pPr>
            <w:r w:rsidRPr="00AA65DB">
              <w:rPr>
                <w:rFonts w:ascii="Arial" w:hAnsi="Arial" w:cs="Arial"/>
              </w:rPr>
              <w:t>1.96</w:t>
            </w:r>
          </w:p>
        </w:tc>
        <w:tc>
          <w:tcPr>
            <w:tcW w:w="540" w:type="dxa"/>
            <w:tcBorders>
              <w:top w:val="single" w:sz="4" w:space="0" w:color="auto"/>
              <w:bottom w:val="nil"/>
            </w:tcBorders>
            <w:shd w:val="clear" w:color="auto" w:fill="FFFFFF"/>
            <w:vAlign w:val="bottom"/>
          </w:tcPr>
          <w:p w14:paraId="386D6B42"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tcBorders>
              <w:top w:val="single" w:sz="4" w:space="0" w:color="auto"/>
              <w:bottom w:val="nil"/>
            </w:tcBorders>
            <w:shd w:val="clear" w:color="auto" w:fill="FFFFFF"/>
            <w:vAlign w:val="bottom"/>
          </w:tcPr>
          <w:p w14:paraId="58B88211" w14:textId="77777777" w:rsidR="00AA65DB" w:rsidRPr="00CC64D5" w:rsidRDefault="00665574" w:rsidP="00AA65DB">
            <w:pPr>
              <w:pStyle w:val="Body"/>
              <w:spacing w:after="0"/>
              <w:rPr>
                <w:rFonts w:ascii="Arial" w:hAnsi="Arial" w:cs="Arial"/>
                <w:highlight w:val="yellow"/>
              </w:rPr>
            </w:pPr>
            <w:r w:rsidRPr="00CC64D5">
              <w:rPr>
                <w:rFonts w:ascii="Arial" w:hAnsi="Arial" w:cs="Arial"/>
                <w:highlight w:val="yellow"/>
              </w:rPr>
              <w:t>0</w:t>
            </w:r>
            <w:r w:rsidR="00AA65DB" w:rsidRPr="00CC64D5">
              <w:rPr>
                <w:rFonts w:ascii="Arial" w:hAnsi="Arial" w:cs="Arial"/>
                <w:highlight w:val="yellow"/>
              </w:rPr>
              <w:t>.053</w:t>
            </w:r>
          </w:p>
        </w:tc>
        <w:tc>
          <w:tcPr>
            <w:tcW w:w="900" w:type="dxa"/>
            <w:tcBorders>
              <w:top w:val="single" w:sz="4" w:space="0" w:color="auto"/>
              <w:bottom w:val="nil"/>
            </w:tcBorders>
            <w:shd w:val="clear" w:color="auto" w:fill="FFFFFF"/>
            <w:vAlign w:val="bottom"/>
          </w:tcPr>
          <w:p w14:paraId="39629DC5" w14:textId="77777777" w:rsidR="00AA65DB" w:rsidRPr="00AA65DB" w:rsidRDefault="00AA65DB" w:rsidP="00AA65DB">
            <w:pPr>
              <w:pStyle w:val="Body"/>
              <w:spacing w:after="0"/>
              <w:rPr>
                <w:rFonts w:ascii="Arial" w:hAnsi="Arial" w:cs="Arial"/>
              </w:rPr>
            </w:pPr>
            <w:r w:rsidRPr="00AA65DB">
              <w:rPr>
                <w:rFonts w:ascii="Arial" w:hAnsi="Arial" w:cs="Arial"/>
              </w:rPr>
              <w:t>3.04</w:t>
            </w:r>
          </w:p>
        </w:tc>
        <w:tc>
          <w:tcPr>
            <w:tcW w:w="777" w:type="dxa"/>
            <w:tcBorders>
              <w:top w:val="single" w:sz="4" w:space="0" w:color="auto"/>
              <w:bottom w:val="nil"/>
            </w:tcBorders>
            <w:shd w:val="clear" w:color="auto" w:fill="FFFFFF"/>
            <w:vAlign w:val="bottom"/>
          </w:tcPr>
          <w:p w14:paraId="174B4F02" w14:textId="77777777" w:rsidR="00AA65DB" w:rsidRPr="00AA65DB" w:rsidRDefault="00AA65DB" w:rsidP="00AA65DB">
            <w:pPr>
              <w:pStyle w:val="Body"/>
              <w:spacing w:after="0"/>
              <w:rPr>
                <w:rFonts w:ascii="Arial" w:hAnsi="Arial" w:cs="Arial"/>
              </w:rPr>
            </w:pPr>
            <w:r w:rsidRPr="00AA65DB">
              <w:rPr>
                <w:rFonts w:ascii="Arial" w:hAnsi="Arial" w:cs="Arial"/>
              </w:rPr>
              <w:t>1.55</w:t>
            </w:r>
          </w:p>
        </w:tc>
        <w:tc>
          <w:tcPr>
            <w:tcW w:w="1113" w:type="dxa"/>
            <w:tcBorders>
              <w:top w:val="single" w:sz="4" w:space="0" w:color="auto"/>
              <w:bottom w:val="nil"/>
            </w:tcBorders>
            <w:shd w:val="clear" w:color="auto" w:fill="FFFFFF"/>
            <w:vAlign w:val="bottom"/>
          </w:tcPr>
          <w:p w14:paraId="3F22BB4C" w14:textId="77777777" w:rsidR="00AA65DB" w:rsidRPr="00CC64D5" w:rsidRDefault="00AA65DB" w:rsidP="00AA65DB">
            <w:pPr>
              <w:pStyle w:val="Body"/>
              <w:spacing w:after="0"/>
              <w:rPr>
                <w:rFonts w:ascii="Arial" w:hAnsi="Arial" w:cs="Arial"/>
                <w:highlight w:val="yellow"/>
              </w:rPr>
            </w:pPr>
            <w:r w:rsidRPr="00CC64D5">
              <w:rPr>
                <w:rFonts w:ascii="Arial" w:hAnsi="Arial" w:cs="Arial"/>
                <w:highlight w:val="yellow"/>
              </w:rPr>
              <w:t>-</w:t>
            </w:r>
            <w:r w:rsidR="00665574" w:rsidRPr="00CC64D5">
              <w:rPr>
                <w:rFonts w:ascii="Arial" w:hAnsi="Arial" w:cs="Arial"/>
                <w:highlight w:val="yellow"/>
              </w:rPr>
              <w:t>0</w:t>
            </w:r>
            <w:r w:rsidRPr="00CC64D5">
              <w:rPr>
                <w:rFonts w:ascii="Arial" w:hAnsi="Arial" w:cs="Arial"/>
                <w:highlight w:val="yellow"/>
              </w:rPr>
              <w:t>.04</w:t>
            </w:r>
          </w:p>
        </w:tc>
        <w:tc>
          <w:tcPr>
            <w:tcW w:w="990" w:type="dxa"/>
            <w:tcBorders>
              <w:top w:val="single" w:sz="4" w:space="0" w:color="auto"/>
              <w:bottom w:val="nil"/>
            </w:tcBorders>
            <w:shd w:val="clear" w:color="auto" w:fill="FFFFFF"/>
            <w:vAlign w:val="bottom"/>
          </w:tcPr>
          <w:p w14:paraId="32781599" w14:textId="77777777" w:rsidR="00AA65DB" w:rsidRPr="00AA65DB" w:rsidRDefault="00AA65DB" w:rsidP="00AA65DB">
            <w:pPr>
              <w:pStyle w:val="Body"/>
              <w:spacing w:after="0"/>
              <w:rPr>
                <w:rFonts w:ascii="Arial" w:hAnsi="Arial" w:cs="Arial"/>
              </w:rPr>
            </w:pPr>
            <w:r w:rsidRPr="00AA65DB">
              <w:rPr>
                <w:rFonts w:ascii="Arial" w:hAnsi="Arial" w:cs="Arial"/>
              </w:rPr>
              <w:t>6.11</w:t>
            </w:r>
          </w:p>
        </w:tc>
        <w:tc>
          <w:tcPr>
            <w:tcW w:w="1260" w:type="dxa"/>
            <w:tcBorders>
              <w:top w:val="single" w:sz="4" w:space="0" w:color="auto"/>
              <w:bottom w:val="nil"/>
            </w:tcBorders>
            <w:shd w:val="clear" w:color="auto" w:fill="FFFFFF"/>
            <w:vAlign w:val="bottom"/>
          </w:tcPr>
          <w:p w14:paraId="43E150E5" w14:textId="77777777" w:rsidR="00AA65DB" w:rsidRPr="00AA65DB" w:rsidRDefault="00AA65DB" w:rsidP="00AA65DB">
            <w:pPr>
              <w:pStyle w:val="Body"/>
              <w:spacing w:after="0"/>
              <w:rPr>
                <w:rFonts w:ascii="Arial" w:hAnsi="Arial" w:cs="Arial"/>
              </w:rPr>
            </w:pPr>
            <w:r w:rsidRPr="00AA65DB">
              <w:rPr>
                <w:rFonts w:ascii="Arial" w:hAnsi="Arial" w:cs="Arial"/>
              </w:rPr>
              <w:t>NS</w:t>
            </w:r>
          </w:p>
        </w:tc>
      </w:tr>
      <w:tr w:rsidR="00AA65DB" w:rsidRPr="00AA65DB" w14:paraId="1CE25B3B" w14:textId="77777777" w:rsidTr="00DA3093">
        <w:trPr>
          <w:cantSplit/>
          <w:trHeight w:val="547"/>
        </w:trPr>
        <w:tc>
          <w:tcPr>
            <w:tcW w:w="1975" w:type="dxa"/>
            <w:tcBorders>
              <w:top w:val="nil"/>
            </w:tcBorders>
            <w:shd w:val="clear" w:color="auto" w:fill="E0E0E0"/>
            <w:vAlign w:val="bottom"/>
          </w:tcPr>
          <w:p w14:paraId="4E1D6400" w14:textId="77777777" w:rsidR="00AA65DB" w:rsidRPr="00AA65DB" w:rsidRDefault="00AA65DB" w:rsidP="00AA65DB">
            <w:pPr>
              <w:pStyle w:val="Body"/>
              <w:spacing w:after="0"/>
              <w:rPr>
                <w:rFonts w:ascii="Arial" w:hAnsi="Arial" w:cs="Arial"/>
              </w:rPr>
            </w:pPr>
            <w:r w:rsidRPr="00AA65DB">
              <w:rPr>
                <w:rFonts w:ascii="Arial" w:hAnsi="Arial" w:cs="Arial"/>
              </w:rPr>
              <w:t>Ischial Length (mm)</w:t>
            </w:r>
          </w:p>
        </w:tc>
        <w:tc>
          <w:tcPr>
            <w:tcW w:w="720" w:type="dxa"/>
            <w:tcBorders>
              <w:top w:val="nil"/>
            </w:tcBorders>
            <w:shd w:val="clear" w:color="auto" w:fill="FFFFFF"/>
            <w:vAlign w:val="bottom"/>
          </w:tcPr>
          <w:p w14:paraId="5892460A" w14:textId="77777777" w:rsidR="00AA65DB" w:rsidRPr="00AA65DB" w:rsidRDefault="00AA65DB" w:rsidP="00AA65DB">
            <w:pPr>
              <w:pStyle w:val="Body"/>
              <w:spacing w:after="0"/>
              <w:rPr>
                <w:rFonts w:ascii="Arial" w:hAnsi="Arial" w:cs="Arial"/>
              </w:rPr>
            </w:pPr>
            <w:r w:rsidRPr="00AA65DB">
              <w:rPr>
                <w:rFonts w:ascii="Arial" w:hAnsi="Arial" w:cs="Arial"/>
              </w:rPr>
              <w:t>7.84</w:t>
            </w:r>
          </w:p>
        </w:tc>
        <w:tc>
          <w:tcPr>
            <w:tcW w:w="540" w:type="dxa"/>
            <w:tcBorders>
              <w:top w:val="nil"/>
            </w:tcBorders>
            <w:shd w:val="clear" w:color="auto" w:fill="FFFFFF"/>
            <w:vAlign w:val="bottom"/>
          </w:tcPr>
          <w:p w14:paraId="7E95D900"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tcBorders>
              <w:top w:val="nil"/>
            </w:tcBorders>
            <w:shd w:val="clear" w:color="auto" w:fill="FFFFFF"/>
            <w:vAlign w:val="bottom"/>
          </w:tcPr>
          <w:p w14:paraId="55B2E05E"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900" w:type="dxa"/>
            <w:tcBorders>
              <w:top w:val="nil"/>
            </w:tcBorders>
            <w:shd w:val="clear" w:color="auto" w:fill="FFFFFF"/>
            <w:vAlign w:val="bottom"/>
          </w:tcPr>
          <w:p w14:paraId="4A564A4B" w14:textId="77777777" w:rsidR="00AA65DB" w:rsidRPr="00AA65DB" w:rsidRDefault="00AA65DB" w:rsidP="00AA65DB">
            <w:pPr>
              <w:pStyle w:val="Body"/>
              <w:spacing w:after="0"/>
              <w:rPr>
                <w:rFonts w:ascii="Arial" w:hAnsi="Arial" w:cs="Arial"/>
              </w:rPr>
            </w:pPr>
            <w:r w:rsidRPr="00AA65DB">
              <w:rPr>
                <w:rFonts w:ascii="Arial" w:hAnsi="Arial" w:cs="Arial"/>
              </w:rPr>
              <w:t>12.11</w:t>
            </w:r>
          </w:p>
        </w:tc>
        <w:tc>
          <w:tcPr>
            <w:tcW w:w="777" w:type="dxa"/>
            <w:tcBorders>
              <w:top w:val="nil"/>
            </w:tcBorders>
            <w:shd w:val="clear" w:color="auto" w:fill="FFFFFF"/>
            <w:vAlign w:val="bottom"/>
          </w:tcPr>
          <w:p w14:paraId="6B6CF869" w14:textId="77777777" w:rsidR="00AA65DB" w:rsidRPr="00AA65DB" w:rsidRDefault="00AA65DB" w:rsidP="00AA65DB">
            <w:pPr>
              <w:pStyle w:val="Body"/>
              <w:spacing w:after="0"/>
              <w:rPr>
                <w:rFonts w:ascii="Arial" w:hAnsi="Arial" w:cs="Arial"/>
              </w:rPr>
            </w:pPr>
            <w:r w:rsidRPr="00AA65DB">
              <w:rPr>
                <w:rFonts w:ascii="Arial" w:hAnsi="Arial" w:cs="Arial"/>
              </w:rPr>
              <w:t>1.54</w:t>
            </w:r>
          </w:p>
        </w:tc>
        <w:tc>
          <w:tcPr>
            <w:tcW w:w="1113" w:type="dxa"/>
            <w:tcBorders>
              <w:top w:val="nil"/>
            </w:tcBorders>
            <w:shd w:val="clear" w:color="auto" w:fill="FFFFFF"/>
            <w:vAlign w:val="bottom"/>
          </w:tcPr>
          <w:p w14:paraId="4E82B3D4" w14:textId="77777777" w:rsidR="00AA65DB" w:rsidRPr="00AA65DB" w:rsidRDefault="00AA65DB" w:rsidP="00AA65DB">
            <w:pPr>
              <w:pStyle w:val="Body"/>
              <w:spacing w:after="0"/>
              <w:rPr>
                <w:rFonts w:ascii="Arial" w:hAnsi="Arial" w:cs="Arial"/>
              </w:rPr>
            </w:pPr>
            <w:r w:rsidRPr="00AA65DB">
              <w:rPr>
                <w:rFonts w:ascii="Arial" w:hAnsi="Arial" w:cs="Arial"/>
              </w:rPr>
              <w:t>9.04</w:t>
            </w:r>
          </w:p>
        </w:tc>
        <w:tc>
          <w:tcPr>
            <w:tcW w:w="990" w:type="dxa"/>
            <w:tcBorders>
              <w:top w:val="nil"/>
            </w:tcBorders>
            <w:shd w:val="clear" w:color="auto" w:fill="FFFFFF"/>
            <w:vAlign w:val="bottom"/>
          </w:tcPr>
          <w:p w14:paraId="0739A436" w14:textId="77777777" w:rsidR="00AA65DB" w:rsidRPr="00AA65DB" w:rsidRDefault="00AA65DB" w:rsidP="00AA65DB">
            <w:pPr>
              <w:pStyle w:val="Body"/>
              <w:spacing w:after="0"/>
              <w:rPr>
                <w:rFonts w:ascii="Arial" w:hAnsi="Arial" w:cs="Arial"/>
              </w:rPr>
            </w:pPr>
            <w:r w:rsidRPr="00AA65DB">
              <w:rPr>
                <w:rFonts w:ascii="Arial" w:hAnsi="Arial" w:cs="Arial"/>
              </w:rPr>
              <w:t>15.17</w:t>
            </w:r>
          </w:p>
        </w:tc>
        <w:tc>
          <w:tcPr>
            <w:tcW w:w="1260" w:type="dxa"/>
            <w:tcBorders>
              <w:top w:val="nil"/>
            </w:tcBorders>
            <w:shd w:val="clear" w:color="auto" w:fill="FFFFFF"/>
            <w:vAlign w:val="bottom"/>
          </w:tcPr>
          <w:p w14:paraId="495D5713" w14:textId="77777777" w:rsidR="00AA65DB" w:rsidRPr="00AA65DB" w:rsidRDefault="00AA65DB" w:rsidP="00AA65DB">
            <w:pPr>
              <w:pStyle w:val="Body"/>
              <w:spacing w:after="0"/>
              <w:rPr>
                <w:rFonts w:ascii="Arial" w:hAnsi="Arial" w:cs="Arial"/>
              </w:rPr>
            </w:pPr>
            <w:r w:rsidRPr="00AA65DB">
              <w:rPr>
                <w:rFonts w:ascii="Arial" w:hAnsi="Arial" w:cs="Arial"/>
              </w:rPr>
              <w:t>S</w:t>
            </w:r>
          </w:p>
        </w:tc>
      </w:tr>
      <w:tr w:rsidR="00AA65DB" w:rsidRPr="00AA65DB" w14:paraId="064BD455" w14:textId="77777777" w:rsidTr="00DA3093">
        <w:trPr>
          <w:cantSplit/>
          <w:trHeight w:val="609"/>
        </w:trPr>
        <w:tc>
          <w:tcPr>
            <w:tcW w:w="1975" w:type="dxa"/>
            <w:shd w:val="clear" w:color="auto" w:fill="E0E0E0"/>
            <w:vAlign w:val="bottom"/>
          </w:tcPr>
          <w:p w14:paraId="32D2AC6B" w14:textId="77777777" w:rsidR="00AA65DB" w:rsidRPr="00AA65DB" w:rsidRDefault="00AA65DB" w:rsidP="00AA65DB">
            <w:pPr>
              <w:pStyle w:val="Body"/>
              <w:spacing w:after="0"/>
              <w:rPr>
                <w:rFonts w:ascii="Arial" w:hAnsi="Arial" w:cs="Arial"/>
              </w:rPr>
            </w:pPr>
            <w:r w:rsidRPr="00AA65DB">
              <w:rPr>
                <w:rFonts w:ascii="Arial" w:hAnsi="Arial" w:cs="Arial"/>
              </w:rPr>
              <w:t>Ischiopubic Index</w:t>
            </w:r>
          </w:p>
        </w:tc>
        <w:tc>
          <w:tcPr>
            <w:tcW w:w="720" w:type="dxa"/>
            <w:shd w:val="clear" w:color="auto" w:fill="FFFFFF"/>
            <w:vAlign w:val="bottom"/>
          </w:tcPr>
          <w:p w14:paraId="572D515F" w14:textId="77777777" w:rsidR="00AA65DB" w:rsidRPr="00AA65DB" w:rsidRDefault="00AA65DB" w:rsidP="00AA65DB">
            <w:pPr>
              <w:pStyle w:val="Body"/>
              <w:spacing w:after="0"/>
              <w:rPr>
                <w:rFonts w:ascii="Arial" w:hAnsi="Arial" w:cs="Arial"/>
              </w:rPr>
            </w:pPr>
            <w:r w:rsidRPr="00AA65DB">
              <w:rPr>
                <w:rFonts w:ascii="Arial" w:hAnsi="Arial" w:cs="Arial"/>
              </w:rPr>
              <w:t>-54.18</w:t>
            </w:r>
          </w:p>
        </w:tc>
        <w:tc>
          <w:tcPr>
            <w:tcW w:w="540" w:type="dxa"/>
            <w:shd w:val="clear" w:color="auto" w:fill="FFFFFF"/>
            <w:vAlign w:val="bottom"/>
          </w:tcPr>
          <w:p w14:paraId="009794D0" w14:textId="77777777" w:rsidR="00AA65DB" w:rsidRPr="00AA65DB" w:rsidRDefault="00AA65DB" w:rsidP="00AA65DB">
            <w:pPr>
              <w:pStyle w:val="Body"/>
              <w:spacing w:after="0"/>
              <w:rPr>
                <w:rFonts w:ascii="Arial" w:hAnsi="Arial" w:cs="Arial"/>
              </w:rPr>
            </w:pPr>
            <w:r w:rsidRPr="00AA65DB">
              <w:rPr>
                <w:rFonts w:ascii="Arial" w:hAnsi="Arial" w:cs="Arial"/>
              </w:rPr>
              <w:t>98</w:t>
            </w:r>
          </w:p>
        </w:tc>
        <w:tc>
          <w:tcPr>
            <w:tcW w:w="900" w:type="dxa"/>
            <w:shd w:val="clear" w:color="auto" w:fill="FFFFFF"/>
            <w:vAlign w:val="bottom"/>
          </w:tcPr>
          <w:p w14:paraId="5234A73C"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900" w:type="dxa"/>
            <w:shd w:val="clear" w:color="auto" w:fill="FFFFFF"/>
            <w:vAlign w:val="bottom"/>
          </w:tcPr>
          <w:p w14:paraId="49008110" w14:textId="77777777" w:rsidR="00AA65DB" w:rsidRPr="00AA65DB" w:rsidRDefault="00AA65DB" w:rsidP="00AA65DB">
            <w:pPr>
              <w:pStyle w:val="Body"/>
              <w:spacing w:after="0"/>
              <w:rPr>
                <w:rFonts w:ascii="Arial" w:hAnsi="Arial" w:cs="Arial"/>
              </w:rPr>
            </w:pPr>
            <w:r w:rsidRPr="00AA65DB">
              <w:rPr>
                <w:rFonts w:ascii="Arial" w:hAnsi="Arial" w:cs="Arial"/>
              </w:rPr>
              <w:t>-11.71</w:t>
            </w:r>
          </w:p>
        </w:tc>
        <w:tc>
          <w:tcPr>
            <w:tcW w:w="777" w:type="dxa"/>
            <w:shd w:val="clear" w:color="auto" w:fill="FFFFFF"/>
            <w:vAlign w:val="bottom"/>
          </w:tcPr>
          <w:p w14:paraId="33642711" w14:textId="77777777" w:rsidR="00AA65DB" w:rsidRPr="00AA65DB" w:rsidRDefault="00665574" w:rsidP="00AA65DB">
            <w:pPr>
              <w:pStyle w:val="Body"/>
              <w:spacing w:after="0"/>
              <w:rPr>
                <w:rFonts w:ascii="Arial" w:hAnsi="Arial" w:cs="Arial"/>
              </w:rPr>
            </w:pPr>
            <w:r>
              <w:rPr>
                <w:rFonts w:ascii="Arial" w:hAnsi="Arial" w:cs="Arial"/>
              </w:rPr>
              <w:t>0</w:t>
            </w:r>
            <w:r w:rsidR="00AA65DB" w:rsidRPr="00AA65DB">
              <w:rPr>
                <w:rFonts w:ascii="Arial" w:hAnsi="Arial" w:cs="Arial"/>
              </w:rPr>
              <w:t>.22</w:t>
            </w:r>
          </w:p>
        </w:tc>
        <w:tc>
          <w:tcPr>
            <w:tcW w:w="1113" w:type="dxa"/>
            <w:shd w:val="clear" w:color="auto" w:fill="FFFFFF"/>
            <w:vAlign w:val="bottom"/>
          </w:tcPr>
          <w:p w14:paraId="243B925E" w14:textId="77777777" w:rsidR="00AA65DB" w:rsidRPr="00AA65DB" w:rsidRDefault="00AA65DB" w:rsidP="00AA65DB">
            <w:pPr>
              <w:pStyle w:val="Body"/>
              <w:spacing w:after="0"/>
              <w:rPr>
                <w:rFonts w:ascii="Arial" w:hAnsi="Arial" w:cs="Arial"/>
              </w:rPr>
            </w:pPr>
            <w:r w:rsidRPr="00AA65DB">
              <w:rPr>
                <w:rFonts w:ascii="Arial" w:hAnsi="Arial" w:cs="Arial"/>
              </w:rPr>
              <w:t>-12.14</w:t>
            </w:r>
          </w:p>
        </w:tc>
        <w:tc>
          <w:tcPr>
            <w:tcW w:w="990" w:type="dxa"/>
            <w:shd w:val="clear" w:color="auto" w:fill="FFFFFF"/>
            <w:vAlign w:val="bottom"/>
          </w:tcPr>
          <w:p w14:paraId="1C6AD5CD" w14:textId="77777777" w:rsidR="00AA65DB" w:rsidRPr="00AA65DB" w:rsidRDefault="00AA65DB" w:rsidP="00AA65DB">
            <w:pPr>
              <w:pStyle w:val="Body"/>
              <w:spacing w:after="0"/>
              <w:rPr>
                <w:rFonts w:ascii="Arial" w:hAnsi="Arial" w:cs="Arial"/>
              </w:rPr>
            </w:pPr>
            <w:r w:rsidRPr="00AA65DB">
              <w:rPr>
                <w:rFonts w:ascii="Arial" w:hAnsi="Arial" w:cs="Arial"/>
              </w:rPr>
              <w:t>-11.28</w:t>
            </w:r>
          </w:p>
        </w:tc>
        <w:tc>
          <w:tcPr>
            <w:tcW w:w="1260" w:type="dxa"/>
            <w:shd w:val="clear" w:color="auto" w:fill="FFFFFF"/>
            <w:vAlign w:val="bottom"/>
          </w:tcPr>
          <w:p w14:paraId="4998CF0C" w14:textId="77777777" w:rsidR="00AA65DB" w:rsidRPr="00AA65DB" w:rsidRDefault="00AA65DB" w:rsidP="00AA65DB">
            <w:pPr>
              <w:pStyle w:val="Body"/>
              <w:spacing w:after="0"/>
              <w:rPr>
                <w:rFonts w:ascii="Arial" w:hAnsi="Arial" w:cs="Arial"/>
              </w:rPr>
            </w:pPr>
            <w:r w:rsidRPr="00AA65DB">
              <w:rPr>
                <w:rFonts w:ascii="Arial" w:hAnsi="Arial" w:cs="Arial"/>
              </w:rPr>
              <w:t>S</w:t>
            </w:r>
          </w:p>
        </w:tc>
      </w:tr>
    </w:tbl>
    <w:p w14:paraId="261D739B" w14:textId="77777777" w:rsidR="00AA65DB" w:rsidRPr="00AA65DB" w:rsidRDefault="00AA65DB" w:rsidP="00AA65DB">
      <w:pPr>
        <w:pStyle w:val="Body"/>
        <w:spacing w:after="0"/>
        <w:rPr>
          <w:rFonts w:ascii="Arial" w:hAnsi="Arial" w:cs="Arial"/>
          <w:b/>
          <w:i/>
        </w:rPr>
      </w:pPr>
      <w:r w:rsidRPr="00AA65DB">
        <w:rPr>
          <w:rFonts w:ascii="Arial" w:hAnsi="Arial" w:cs="Arial"/>
          <w:i/>
        </w:rPr>
        <w:t>df= Degree of Freedom; MD= Mean Difference; SED= Standard Error Difference; NS= Not Significant; S= Significant; mm= Millimeter</w:t>
      </w:r>
    </w:p>
    <w:p w14:paraId="52E8DA06" w14:textId="77777777" w:rsidR="00AA65DB" w:rsidRPr="00AA65DB" w:rsidRDefault="00AA65DB" w:rsidP="00AA65DB">
      <w:pPr>
        <w:pStyle w:val="Body"/>
        <w:spacing w:after="0"/>
        <w:rPr>
          <w:rFonts w:ascii="Arial" w:hAnsi="Arial" w:cs="Arial"/>
          <w:i/>
        </w:rPr>
      </w:pPr>
      <w:r w:rsidRPr="00AA65DB">
        <w:rPr>
          <w:rFonts w:ascii="Arial" w:hAnsi="Arial" w:cs="Arial"/>
          <w:b/>
        </w:rPr>
        <w:t xml:space="preserve">Table 3: </w:t>
      </w:r>
      <w:r w:rsidRPr="00AA65DB">
        <w:rPr>
          <w:rFonts w:ascii="Arial" w:hAnsi="Arial" w:cs="Arial"/>
        </w:rPr>
        <w:t>Summary of discriminant function analysis for sex estimation using pubic and ischial lengths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390"/>
        <w:gridCol w:w="5578"/>
      </w:tblGrid>
      <w:tr w:rsidR="00AA65DB" w:rsidRPr="00AA65DB" w14:paraId="16C8804E" w14:textId="77777777" w:rsidTr="00931D1B">
        <w:trPr>
          <w:tblHeader/>
          <w:tblCellSpacing w:w="15" w:type="dxa"/>
        </w:trPr>
        <w:tc>
          <w:tcPr>
            <w:tcW w:w="4345" w:type="dxa"/>
            <w:vAlign w:val="center"/>
            <w:hideMark/>
          </w:tcPr>
          <w:p w14:paraId="4A00F46B" w14:textId="77777777" w:rsidR="00AA65DB" w:rsidRPr="00AA65DB" w:rsidRDefault="00AA65DB" w:rsidP="00AA65DB">
            <w:pPr>
              <w:pStyle w:val="Body"/>
              <w:rPr>
                <w:rFonts w:ascii="Arial" w:hAnsi="Arial" w:cs="Arial"/>
                <w:b/>
                <w:bCs/>
                <w:iCs/>
              </w:rPr>
            </w:pPr>
            <w:r w:rsidRPr="00AA65DB">
              <w:rPr>
                <w:rFonts w:ascii="Arial" w:hAnsi="Arial" w:cs="Arial"/>
                <w:b/>
                <w:bCs/>
                <w:iCs/>
              </w:rPr>
              <w:t>Parameter</w:t>
            </w:r>
          </w:p>
        </w:tc>
        <w:tc>
          <w:tcPr>
            <w:tcW w:w="5533" w:type="dxa"/>
            <w:vAlign w:val="center"/>
            <w:hideMark/>
          </w:tcPr>
          <w:p w14:paraId="21AD775A" w14:textId="77777777" w:rsidR="00AA65DB" w:rsidRPr="00AA65DB" w:rsidRDefault="00AA65DB" w:rsidP="00AA65DB">
            <w:pPr>
              <w:pStyle w:val="Body"/>
              <w:rPr>
                <w:rFonts w:ascii="Arial" w:hAnsi="Arial" w:cs="Arial"/>
                <w:b/>
                <w:bCs/>
                <w:iCs/>
              </w:rPr>
            </w:pPr>
            <w:r w:rsidRPr="00AA65DB">
              <w:rPr>
                <w:rFonts w:ascii="Arial" w:hAnsi="Arial" w:cs="Arial"/>
                <w:b/>
                <w:bCs/>
                <w:iCs/>
              </w:rPr>
              <w:t>Value</w:t>
            </w:r>
          </w:p>
        </w:tc>
      </w:tr>
      <w:tr w:rsidR="00AA65DB" w:rsidRPr="00AA65DB" w14:paraId="63260CA3" w14:textId="77777777" w:rsidTr="00931D1B">
        <w:trPr>
          <w:tblCellSpacing w:w="15" w:type="dxa"/>
        </w:trPr>
        <w:tc>
          <w:tcPr>
            <w:tcW w:w="4345" w:type="dxa"/>
            <w:tcBorders>
              <w:top w:val="single" w:sz="4" w:space="0" w:color="auto"/>
              <w:bottom w:val="nil"/>
            </w:tcBorders>
            <w:vAlign w:val="center"/>
            <w:hideMark/>
          </w:tcPr>
          <w:p w14:paraId="24EEE430" w14:textId="77777777" w:rsidR="00AA65DB" w:rsidRPr="00AA65DB" w:rsidRDefault="00AA65DB" w:rsidP="00AA65DB">
            <w:pPr>
              <w:pStyle w:val="Body"/>
              <w:rPr>
                <w:rFonts w:ascii="Arial" w:hAnsi="Arial" w:cs="Arial"/>
                <w:iCs/>
              </w:rPr>
            </w:pPr>
            <w:r w:rsidRPr="00AA65DB">
              <w:rPr>
                <w:rFonts w:ascii="Arial" w:hAnsi="Arial" w:cs="Arial"/>
                <w:iCs/>
              </w:rPr>
              <w:t>Predictor variables</w:t>
            </w:r>
          </w:p>
        </w:tc>
        <w:tc>
          <w:tcPr>
            <w:tcW w:w="5533" w:type="dxa"/>
            <w:tcBorders>
              <w:top w:val="single" w:sz="4" w:space="0" w:color="auto"/>
              <w:bottom w:val="nil"/>
            </w:tcBorders>
            <w:vAlign w:val="center"/>
            <w:hideMark/>
          </w:tcPr>
          <w:p w14:paraId="7BB4D396" w14:textId="77777777" w:rsidR="00AA65DB" w:rsidRPr="00AA65DB" w:rsidRDefault="00AA65DB" w:rsidP="00AA65DB">
            <w:pPr>
              <w:pStyle w:val="Body"/>
              <w:rPr>
                <w:rFonts w:ascii="Arial" w:hAnsi="Arial" w:cs="Arial"/>
                <w:iCs/>
              </w:rPr>
            </w:pPr>
            <w:r w:rsidRPr="00AA65DB">
              <w:rPr>
                <w:rFonts w:ascii="Arial" w:hAnsi="Arial" w:cs="Arial"/>
                <w:iCs/>
              </w:rPr>
              <w:t>Pubic length, Ischial length</w:t>
            </w:r>
          </w:p>
        </w:tc>
      </w:tr>
      <w:tr w:rsidR="00AA65DB" w:rsidRPr="00AA65DB" w14:paraId="6BBDBEE1" w14:textId="77777777" w:rsidTr="00931D1B">
        <w:trPr>
          <w:tblCellSpacing w:w="15" w:type="dxa"/>
        </w:trPr>
        <w:tc>
          <w:tcPr>
            <w:tcW w:w="4345" w:type="dxa"/>
            <w:vAlign w:val="center"/>
            <w:hideMark/>
          </w:tcPr>
          <w:p w14:paraId="45BFBFD4" w14:textId="77777777" w:rsidR="00AA65DB" w:rsidRPr="00AA65DB" w:rsidRDefault="00AA65DB" w:rsidP="00AA65DB">
            <w:pPr>
              <w:pStyle w:val="Body"/>
              <w:rPr>
                <w:rFonts w:ascii="Arial" w:hAnsi="Arial" w:cs="Arial"/>
                <w:iCs/>
              </w:rPr>
            </w:pPr>
            <w:r w:rsidRPr="00AA65DB">
              <w:rPr>
                <w:rFonts w:ascii="Arial" w:hAnsi="Arial" w:cs="Arial"/>
                <w:iCs/>
              </w:rPr>
              <w:t>Discriminant function</w:t>
            </w:r>
          </w:p>
        </w:tc>
        <w:tc>
          <w:tcPr>
            <w:tcW w:w="5533" w:type="dxa"/>
            <w:vAlign w:val="center"/>
            <w:hideMark/>
          </w:tcPr>
          <w:p w14:paraId="682EF018" w14:textId="77777777" w:rsidR="00AA65DB" w:rsidRPr="00AA65DB" w:rsidRDefault="00AA65DB" w:rsidP="00AA65DB">
            <w:pPr>
              <w:pStyle w:val="Body"/>
              <w:rPr>
                <w:rFonts w:ascii="Arial" w:hAnsi="Arial" w:cs="Arial"/>
                <w:iCs/>
              </w:rPr>
            </w:pPr>
            <w:r w:rsidRPr="00AA65DB">
              <w:rPr>
                <w:rFonts w:ascii="Arial" w:hAnsi="Arial" w:cs="Arial"/>
                <w:b/>
                <w:bCs/>
                <w:iCs/>
              </w:rPr>
              <w:t>D = −1.802 − 1.333(Pubic Length) + 1.349(Ischial Length)</w:t>
            </w:r>
          </w:p>
        </w:tc>
      </w:tr>
      <w:tr w:rsidR="00AA65DB" w:rsidRPr="00AA65DB" w14:paraId="266C8D0A" w14:textId="77777777" w:rsidTr="00931D1B">
        <w:trPr>
          <w:tblCellSpacing w:w="15" w:type="dxa"/>
        </w:trPr>
        <w:tc>
          <w:tcPr>
            <w:tcW w:w="4345" w:type="dxa"/>
            <w:vAlign w:val="center"/>
            <w:hideMark/>
          </w:tcPr>
          <w:p w14:paraId="6950A8BC" w14:textId="77777777" w:rsidR="00AA65DB" w:rsidRPr="00AA65DB" w:rsidRDefault="00AA65DB" w:rsidP="00AA65DB">
            <w:pPr>
              <w:pStyle w:val="Body"/>
              <w:rPr>
                <w:rFonts w:ascii="Arial" w:hAnsi="Arial" w:cs="Arial"/>
                <w:iCs/>
              </w:rPr>
            </w:pPr>
            <w:r w:rsidRPr="00AA65DB">
              <w:rPr>
                <w:rFonts w:ascii="Arial" w:hAnsi="Arial" w:cs="Arial"/>
                <w:iCs/>
              </w:rPr>
              <w:t>Constant</w:t>
            </w:r>
          </w:p>
        </w:tc>
        <w:tc>
          <w:tcPr>
            <w:tcW w:w="5533" w:type="dxa"/>
            <w:vAlign w:val="center"/>
            <w:hideMark/>
          </w:tcPr>
          <w:p w14:paraId="56661CD2" w14:textId="77777777" w:rsidR="00AA65DB" w:rsidRPr="00AA65DB" w:rsidRDefault="00AA65DB" w:rsidP="00AA65DB">
            <w:pPr>
              <w:pStyle w:val="Body"/>
              <w:rPr>
                <w:rFonts w:ascii="Arial" w:hAnsi="Arial" w:cs="Arial"/>
                <w:iCs/>
              </w:rPr>
            </w:pPr>
            <w:r w:rsidRPr="00AA65DB">
              <w:rPr>
                <w:rFonts w:ascii="Arial" w:hAnsi="Arial" w:cs="Arial"/>
                <w:iCs/>
              </w:rPr>
              <w:t>−1.802</w:t>
            </w:r>
          </w:p>
        </w:tc>
      </w:tr>
      <w:tr w:rsidR="00AA65DB" w:rsidRPr="00AA65DB" w14:paraId="6A5AD298" w14:textId="77777777" w:rsidTr="00931D1B">
        <w:trPr>
          <w:tblCellSpacing w:w="15" w:type="dxa"/>
        </w:trPr>
        <w:tc>
          <w:tcPr>
            <w:tcW w:w="4345" w:type="dxa"/>
            <w:vAlign w:val="center"/>
            <w:hideMark/>
          </w:tcPr>
          <w:p w14:paraId="2D6B8FED" w14:textId="77777777" w:rsidR="00AA65DB" w:rsidRPr="00AA65DB" w:rsidRDefault="00AA65DB" w:rsidP="00AA65DB">
            <w:pPr>
              <w:pStyle w:val="Body"/>
              <w:rPr>
                <w:rFonts w:ascii="Arial" w:hAnsi="Arial" w:cs="Arial"/>
                <w:iCs/>
              </w:rPr>
            </w:pPr>
            <w:r w:rsidRPr="00AA65DB">
              <w:rPr>
                <w:rFonts w:ascii="Arial" w:hAnsi="Arial" w:cs="Arial"/>
                <w:iCs/>
              </w:rPr>
              <w:t>Unstandardized coefficient (Pubic length)</w:t>
            </w:r>
          </w:p>
        </w:tc>
        <w:tc>
          <w:tcPr>
            <w:tcW w:w="5533" w:type="dxa"/>
            <w:vAlign w:val="center"/>
            <w:hideMark/>
          </w:tcPr>
          <w:p w14:paraId="127D4207" w14:textId="77777777" w:rsidR="00AA65DB" w:rsidRPr="00AA65DB" w:rsidRDefault="00AA65DB" w:rsidP="00AA65DB">
            <w:pPr>
              <w:pStyle w:val="Body"/>
              <w:rPr>
                <w:rFonts w:ascii="Arial" w:hAnsi="Arial" w:cs="Arial"/>
                <w:iCs/>
              </w:rPr>
            </w:pPr>
            <w:r w:rsidRPr="00AA65DB">
              <w:rPr>
                <w:rFonts w:ascii="Arial" w:hAnsi="Arial" w:cs="Arial"/>
                <w:iCs/>
              </w:rPr>
              <w:t>−1.333</w:t>
            </w:r>
          </w:p>
        </w:tc>
      </w:tr>
      <w:tr w:rsidR="00AA65DB" w:rsidRPr="00AA65DB" w14:paraId="132C8835" w14:textId="77777777" w:rsidTr="00931D1B">
        <w:trPr>
          <w:tblCellSpacing w:w="15" w:type="dxa"/>
        </w:trPr>
        <w:tc>
          <w:tcPr>
            <w:tcW w:w="4345" w:type="dxa"/>
            <w:vAlign w:val="center"/>
            <w:hideMark/>
          </w:tcPr>
          <w:p w14:paraId="394DF912" w14:textId="77777777" w:rsidR="00AA65DB" w:rsidRPr="00AA65DB" w:rsidRDefault="00AA65DB" w:rsidP="00AA65DB">
            <w:pPr>
              <w:pStyle w:val="Body"/>
              <w:rPr>
                <w:rFonts w:ascii="Arial" w:hAnsi="Arial" w:cs="Arial"/>
                <w:iCs/>
              </w:rPr>
            </w:pPr>
            <w:r w:rsidRPr="00AA65DB">
              <w:rPr>
                <w:rFonts w:ascii="Arial" w:hAnsi="Arial" w:cs="Arial"/>
                <w:iCs/>
              </w:rPr>
              <w:t>Unstandardized coefficient (Ischial length)</w:t>
            </w:r>
          </w:p>
        </w:tc>
        <w:tc>
          <w:tcPr>
            <w:tcW w:w="5533" w:type="dxa"/>
            <w:vAlign w:val="center"/>
            <w:hideMark/>
          </w:tcPr>
          <w:p w14:paraId="7F58F7EF" w14:textId="77777777" w:rsidR="00AA65DB" w:rsidRPr="00AA65DB" w:rsidRDefault="00AA65DB" w:rsidP="00AA65DB">
            <w:pPr>
              <w:pStyle w:val="Body"/>
              <w:rPr>
                <w:rFonts w:ascii="Arial" w:hAnsi="Arial" w:cs="Arial"/>
                <w:iCs/>
              </w:rPr>
            </w:pPr>
            <w:r w:rsidRPr="00AA65DB">
              <w:rPr>
                <w:rFonts w:ascii="Arial" w:hAnsi="Arial" w:cs="Arial"/>
                <w:iCs/>
              </w:rPr>
              <w:t>1.349</w:t>
            </w:r>
          </w:p>
        </w:tc>
      </w:tr>
      <w:tr w:rsidR="00AA65DB" w:rsidRPr="00AA65DB" w14:paraId="19027566" w14:textId="77777777" w:rsidTr="00931D1B">
        <w:trPr>
          <w:tblCellSpacing w:w="15" w:type="dxa"/>
        </w:trPr>
        <w:tc>
          <w:tcPr>
            <w:tcW w:w="4345" w:type="dxa"/>
            <w:vAlign w:val="center"/>
            <w:hideMark/>
          </w:tcPr>
          <w:p w14:paraId="2E7220D0" w14:textId="77777777" w:rsidR="00AA65DB" w:rsidRPr="00AA65DB" w:rsidRDefault="00AA65DB" w:rsidP="00AA65DB">
            <w:pPr>
              <w:pStyle w:val="Body"/>
              <w:rPr>
                <w:rFonts w:ascii="Arial" w:hAnsi="Arial" w:cs="Arial"/>
                <w:iCs/>
              </w:rPr>
            </w:pPr>
            <w:r w:rsidRPr="00AA65DB">
              <w:rPr>
                <w:rFonts w:ascii="Arial" w:hAnsi="Arial" w:cs="Arial"/>
                <w:iCs/>
              </w:rPr>
              <w:t>Standardized coefficient (Pubic length)</w:t>
            </w:r>
          </w:p>
        </w:tc>
        <w:tc>
          <w:tcPr>
            <w:tcW w:w="5533" w:type="dxa"/>
            <w:vAlign w:val="center"/>
            <w:hideMark/>
          </w:tcPr>
          <w:p w14:paraId="6B6190F2" w14:textId="77777777" w:rsidR="00AA65DB" w:rsidRPr="00AA65DB" w:rsidRDefault="00AA65DB" w:rsidP="00AA65DB">
            <w:pPr>
              <w:pStyle w:val="Body"/>
              <w:rPr>
                <w:rFonts w:ascii="Arial" w:hAnsi="Arial" w:cs="Arial"/>
                <w:iCs/>
              </w:rPr>
            </w:pPr>
            <w:r w:rsidRPr="00AA65DB">
              <w:rPr>
                <w:rFonts w:ascii="Arial" w:hAnsi="Arial" w:cs="Arial"/>
                <w:iCs/>
              </w:rPr>
              <w:t>−10.331</w:t>
            </w:r>
          </w:p>
        </w:tc>
      </w:tr>
      <w:tr w:rsidR="00AA65DB" w:rsidRPr="00AA65DB" w14:paraId="79B986F0" w14:textId="77777777" w:rsidTr="00931D1B">
        <w:trPr>
          <w:tblCellSpacing w:w="15" w:type="dxa"/>
        </w:trPr>
        <w:tc>
          <w:tcPr>
            <w:tcW w:w="4345" w:type="dxa"/>
            <w:vAlign w:val="center"/>
            <w:hideMark/>
          </w:tcPr>
          <w:p w14:paraId="0E5E89AC" w14:textId="77777777" w:rsidR="00AA65DB" w:rsidRPr="00AA65DB" w:rsidRDefault="00AA65DB" w:rsidP="00AA65DB">
            <w:pPr>
              <w:pStyle w:val="Body"/>
              <w:rPr>
                <w:rFonts w:ascii="Arial" w:hAnsi="Arial" w:cs="Arial"/>
                <w:iCs/>
              </w:rPr>
            </w:pPr>
            <w:r w:rsidRPr="00AA65DB">
              <w:rPr>
                <w:rFonts w:ascii="Arial" w:hAnsi="Arial" w:cs="Arial"/>
                <w:iCs/>
              </w:rPr>
              <w:t>Standardized coefficient (Ischial length)</w:t>
            </w:r>
          </w:p>
        </w:tc>
        <w:tc>
          <w:tcPr>
            <w:tcW w:w="5533" w:type="dxa"/>
            <w:vAlign w:val="center"/>
            <w:hideMark/>
          </w:tcPr>
          <w:p w14:paraId="5BD44720" w14:textId="77777777" w:rsidR="00AA65DB" w:rsidRPr="00AA65DB" w:rsidRDefault="00AA65DB" w:rsidP="00AA65DB">
            <w:pPr>
              <w:pStyle w:val="Body"/>
              <w:rPr>
                <w:rFonts w:ascii="Arial" w:hAnsi="Arial" w:cs="Arial"/>
                <w:iCs/>
              </w:rPr>
            </w:pPr>
            <w:r w:rsidRPr="00AA65DB">
              <w:rPr>
                <w:rFonts w:ascii="Arial" w:hAnsi="Arial" w:cs="Arial"/>
                <w:iCs/>
              </w:rPr>
              <w:t>10.411</w:t>
            </w:r>
          </w:p>
        </w:tc>
      </w:tr>
      <w:tr w:rsidR="00AA65DB" w:rsidRPr="00AA65DB" w14:paraId="3A32227F" w14:textId="77777777" w:rsidTr="00931D1B">
        <w:trPr>
          <w:tblCellSpacing w:w="15" w:type="dxa"/>
        </w:trPr>
        <w:tc>
          <w:tcPr>
            <w:tcW w:w="4345" w:type="dxa"/>
            <w:vAlign w:val="center"/>
            <w:hideMark/>
          </w:tcPr>
          <w:p w14:paraId="5D7AB01A" w14:textId="77777777" w:rsidR="00AA65DB" w:rsidRPr="00AA65DB" w:rsidRDefault="00AA65DB" w:rsidP="00AA65DB">
            <w:pPr>
              <w:pStyle w:val="Body"/>
              <w:rPr>
                <w:rFonts w:ascii="Arial" w:hAnsi="Arial" w:cs="Arial"/>
                <w:iCs/>
              </w:rPr>
            </w:pPr>
            <w:r w:rsidRPr="00AA65DB">
              <w:rPr>
                <w:rFonts w:ascii="Arial" w:hAnsi="Arial" w:cs="Arial"/>
                <w:iCs/>
              </w:rPr>
              <w:t>Eigenvalue</w:t>
            </w:r>
          </w:p>
        </w:tc>
        <w:tc>
          <w:tcPr>
            <w:tcW w:w="5533" w:type="dxa"/>
            <w:vAlign w:val="center"/>
            <w:hideMark/>
          </w:tcPr>
          <w:p w14:paraId="46C2CCA8" w14:textId="77777777" w:rsidR="00AA65DB" w:rsidRPr="00AA65DB" w:rsidRDefault="00AA65DB" w:rsidP="00AA65DB">
            <w:pPr>
              <w:pStyle w:val="Body"/>
              <w:rPr>
                <w:rFonts w:ascii="Arial" w:hAnsi="Arial" w:cs="Arial"/>
                <w:iCs/>
              </w:rPr>
            </w:pPr>
            <w:r w:rsidRPr="00AA65DB">
              <w:rPr>
                <w:rFonts w:ascii="Arial" w:hAnsi="Arial" w:cs="Arial"/>
                <w:iCs/>
              </w:rPr>
              <w:t>38.506</w:t>
            </w:r>
          </w:p>
        </w:tc>
      </w:tr>
      <w:tr w:rsidR="00AA65DB" w:rsidRPr="00AA65DB" w14:paraId="45B590F1" w14:textId="77777777" w:rsidTr="00931D1B">
        <w:trPr>
          <w:tblCellSpacing w:w="15" w:type="dxa"/>
        </w:trPr>
        <w:tc>
          <w:tcPr>
            <w:tcW w:w="4345" w:type="dxa"/>
            <w:vAlign w:val="center"/>
            <w:hideMark/>
          </w:tcPr>
          <w:p w14:paraId="30623755" w14:textId="77777777" w:rsidR="00AA65DB" w:rsidRPr="00AA65DB" w:rsidRDefault="00AA65DB" w:rsidP="00AA65DB">
            <w:pPr>
              <w:pStyle w:val="Body"/>
              <w:rPr>
                <w:rFonts w:ascii="Arial" w:hAnsi="Arial" w:cs="Arial"/>
                <w:iCs/>
              </w:rPr>
            </w:pPr>
            <w:r w:rsidRPr="00AA65DB">
              <w:rPr>
                <w:rFonts w:ascii="Arial" w:hAnsi="Arial" w:cs="Arial"/>
                <w:iCs/>
              </w:rPr>
              <w:t>Canonical correlation</w:t>
            </w:r>
          </w:p>
        </w:tc>
        <w:tc>
          <w:tcPr>
            <w:tcW w:w="5533" w:type="dxa"/>
            <w:vAlign w:val="center"/>
            <w:hideMark/>
          </w:tcPr>
          <w:p w14:paraId="42F17F83" w14:textId="77777777" w:rsidR="00AA65DB" w:rsidRPr="00AA65DB" w:rsidRDefault="00AA65DB" w:rsidP="00AA65DB">
            <w:pPr>
              <w:pStyle w:val="Body"/>
              <w:rPr>
                <w:rFonts w:ascii="Arial" w:hAnsi="Arial" w:cs="Arial"/>
                <w:iCs/>
              </w:rPr>
            </w:pPr>
            <w:r w:rsidRPr="00AA65DB">
              <w:rPr>
                <w:rFonts w:ascii="Arial" w:hAnsi="Arial" w:cs="Arial"/>
                <w:iCs/>
              </w:rPr>
              <w:t>0.987</w:t>
            </w:r>
          </w:p>
        </w:tc>
      </w:tr>
      <w:tr w:rsidR="00AA65DB" w:rsidRPr="00AA65DB" w14:paraId="0180DF41" w14:textId="77777777" w:rsidTr="00931D1B">
        <w:trPr>
          <w:tblCellSpacing w:w="15" w:type="dxa"/>
        </w:trPr>
        <w:tc>
          <w:tcPr>
            <w:tcW w:w="4345" w:type="dxa"/>
            <w:vAlign w:val="center"/>
            <w:hideMark/>
          </w:tcPr>
          <w:p w14:paraId="61864AE9" w14:textId="77777777" w:rsidR="00AA65DB" w:rsidRPr="00AA65DB" w:rsidRDefault="00AA65DB" w:rsidP="00AA65DB">
            <w:pPr>
              <w:pStyle w:val="Body"/>
              <w:rPr>
                <w:rFonts w:ascii="Arial" w:hAnsi="Arial" w:cs="Arial"/>
                <w:iCs/>
              </w:rPr>
            </w:pPr>
            <w:r w:rsidRPr="00AA65DB">
              <w:rPr>
                <w:rFonts w:ascii="Arial" w:hAnsi="Arial" w:cs="Arial"/>
                <w:iCs/>
              </w:rPr>
              <w:t>Wilks' Lambda</w:t>
            </w:r>
          </w:p>
        </w:tc>
        <w:tc>
          <w:tcPr>
            <w:tcW w:w="5533" w:type="dxa"/>
            <w:vAlign w:val="center"/>
            <w:hideMark/>
          </w:tcPr>
          <w:p w14:paraId="77F4B2EB" w14:textId="77777777" w:rsidR="00AA65DB" w:rsidRPr="00AA65DB" w:rsidRDefault="00AA65DB" w:rsidP="00AA65DB">
            <w:pPr>
              <w:pStyle w:val="Body"/>
              <w:rPr>
                <w:rFonts w:ascii="Arial" w:hAnsi="Arial" w:cs="Arial"/>
                <w:iCs/>
              </w:rPr>
            </w:pPr>
            <w:r w:rsidRPr="00AA65DB">
              <w:rPr>
                <w:rFonts w:ascii="Arial" w:hAnsi="Arial" w:cs="Arial"/>
                <w:iCs/>
              </w:rPr>
              <w:t>0.025</w:t>
            </w:r>
          </w:p>
        </w:tc>
      </w:tr>
      <w:tr w:rsidR="00AA65DB" w:rsidRPr="00AA65DB" w14:paraId="77D7D0A5" w14:textId="77777777" w:rsidTr="00931D1B">
        <w:trPr>
          <w:tblCellSpacing w:w="15" w:type="dxa"/>
        </w:trPr>
        <w:tc>
          <w:tcPr>
            <w:tcW w:w="4345" w:type="dxa"/>
            <w:vAlign w:val="center"/>
            <w:hideMark/>
          </w:tcPr>
          <w:p w14:paraId="48017A15" w14:textId="77777777" w:rsidR="00AA65DB" w:rsidRPr="00AA65DB" w:rsidRDefault="00AA65DB" w:rsidP="00AA65DB">
            <w:pPr>
              <w:pStyle w:val="Body"/>
              <w:rPr>
                <w:rFonts w:ascii="Arial" w:hAnsi="Arial" w:cs="Arial"/>
                <w:iCs/>
              </w:rPr>
            </w:pPr>
            <w:r w:rsidRPr="00AA65DB">
              <w:rPr>
                <w:rFonts w:ascii="Arial" w:hAnsi="Arial" w:cs="Arial"/>
                <w:iCs/>
              </w:rPr>
              <w:t>Chi-square</w:t>
            </w:r>
          </w:p>
        </w:tc>
        <w:tc>
          <w:tcPr>
            <w:tcW w:w="5533" w:type="dxa"/>
            <w:vAlign w:val="center"/>
            <w:hideMark/>
          </w:tcPr>
          <w:p w14:paraId="7BB55DAE" w14:textId="77777777" w:rsidR="00AA65DB" w:rsidRPr="00AA65DB" w:rsidRDefault="00AA65DB" w:rsidP="00AA65DB">
            <w:pPr>
              <w:pStyle w:val="Body"/>
              <w:rPr>
                <w:rFonts w:ascii="Arial" w:hAnsi="Arial" w:cs="Arial"/>
                <w:iCs/>
              </w:rPr>
            </w:pPr>
            <w:r w:rsidRPr="00AA65DB">
              <w:rPr>
                <w:rFonts w:ascii="Arial" w:hAnsi="Arial" w:cs="Arial"/>
                <w:iCs/>
              </w:rPr>
              <w:t>356.616</w:t>
            </w:r>
          </w:p>
        </w:tc>
      </w:tr>
      <w:tr w:rsidR="00AA65DB" w:rsidRPr="00AA65DB" w14:paraId="4BB7DD7D" w14:textId="77777777" w:rsidTr="00931D1B">
        <w:trPr>
          <w:tblCellSpacing w:w="15" w:type="dxa"/>
        </w:trPr>
        <w:tc>
          <w:tcPr>
            <w:tcW w:w="4345" w:type="dxa"/>
            <w:vAlign w:val="center"/>
            <w:hideMark/>
          </w:tcPr>
          <w:p w14:paraId="2D6C54A3" w14:textId="77777777" w:rsidR="00AA65DB" w:rsidRPr="00AA65DB" w:rsidRDefault="00AA65DB" w:rsidP="00AA65DB">
            <w:pPr>
              <w:pStyle w:val="Body"/>
              <w:rPr>
                <w:rFonts w:ascii="Arial" w:hAnsi="Arial" w:cs="Arial"/>
                <w:iCs/>
              </w:rPr>
            </w:pPr>
            <w:r w:rsidRPr="00AA65DB">
              <w:rPr>
                <w:rFonts w:ascii="Arial" w:hAnsi="Arial" w:cs="Arial"/>
                <w:iCs/>
              </w:rPr>
              <w:t>Degrees of freedom</w:t>
            </w:r>
          </w:p>
        </w:tc>
        <w:tc>
          <w:tcPr>
            <w:tcW w:w="5533" w:type="dxa"/>
            <w:vAlign w:val="center"/>
            <w:hideMark/>
          </w:tcPr>
          <w:p w14:paraId="2FF7AD15" w14:textId="77777777" w:rsidR="00AA65DB" w:rsidRPr="00AA65DB" w:rsidRDefault="00AA65DB" w:rsidP="00AA65DB">
            <w:pPr>
              <w:pStyle w:val="Body"/>
              <w:rPr>
                <w:rFonts w:ascii="Arial" w:hAnsi="Arial" w:cs="Arial"/>
                <w:iCs/>
              </w:rPr>
            </w:pPr>
            <w:r w:rsidRPr="00AA65DB">
              <w:rPr>
                <w:rFonts w:ascii="Arial" w:hAnsi="Arial" w:cs="Arial"/>
                <w:iCs/>
              </w:rPr>
              <w:t>2</w:t>
            </w:r>
          </w:p>
        </w:tc>
      </w:tr>
      <w:tr w:rsidR="00AA65DB" w:rsidRPr="00AA65DB" w14:paraId="59C33387" w14:textId="77777777" w:rsidTr="00931D1B">
        <w:trPr>
          <w:tblCellSpacing w:w="15" w:type="dxa"/>
        </w:trPr>
        <w:tc>
          <w:tcPr>
            <w:tcW w:w="4345" w:type="dxa"/>
            <w:vAlign w:val="center"/>
            <w:hideMark/>
          </w:tcPr>
          <w:p w14:paraId="67B8DC99" w14:textId="77777777" w:rsidR="00AA65DB" w:rsidRPr="00AA65DB" w:rsidRDefault="00AA65DB" w:rsidP="00AA65DB">
            <w:pPr>
              <w:pStyle w:val="Body"/>
              <w:rPr>
                <w:rFonts w:ascii="Arial" w:hAnsi="Arial" w:cs="Arial"/>
                <w:iCs/>
              </w:rPr>
            </w:pPr>
            <w:r w:rsidRPr="00AA65DB">
              <w:rPr>
                <w:rFonts w:ascii="Arial" w:hAnsi="Arial" w:cs="Arial"/>
                <w:i/>
                <w:iCs/>
              </w:rPr>
              <w:t>p</w:t>
            </w:r>
            <w:r w:rsidRPr="00AA65DB">
              <w:rPr>
                <w:rFonts w:ascii="Arial" w:hAnsi="Arial" w:cs="Arial"/>
                <w:iCs/>
              </w:rPr>
              <w:t>-value</w:t>
            </w:r>
          </w:p>
        </w:tc>
        <w:tc>
          <w:tcPr>
            <w:tcW w:w="5533" w:type="dxa"/>
            <w:vAlign w:val="center"/>
            <w:hideMark/>
          </w:tcPr>
          <w:p w14:paraId="39F3D1C5" w14:textId="77777777" w:rsidR="00AA65DB" w:rsidRPr="00AA65DB" w:rsidRDefault="00AA65DB" w:rsidP="00AA65DB">
            <w:pPr>
              <w:pStyle w:val="Body"/>
              <w:rPr>
                <w:rFonts w:ascii="Arial" w:hAnsi="Arial" w:cs="Arial"/>
                <w:iCs/>
              </w:rPr>
            </w:pPr>
            <w:r w:rsidRPr="00AA65DB">
              <w:rPr>
                <w:rFonts w:ascii="Arial" w:hAnsi="Arial" w:cs="Arial"/>
                <w:iCs/>
              </w:rPr>
              <w:t>&lt;0.001</w:t>
            </w:r>
          </w:p>
        </w:tc>
      </w:tr>
      <w:tr w:rsidR="00AA65DB" w:rsidRPr="00AA65DB" w14:paraId="3D6EF650" w14:textId="77777777" w:rsidTr="00931D1B">
        <w:trPr>
          <w:tblCellSpacing w:w="15" w:type="dxa"/>
        </w:trPr>
        <w:tc>
          <w:tcPr>
            <w:tcW w:w="4345" w:type="dxa"/>
            <w:vAlign w:val="center"/>
            <w:hideMark/>
          </w:tcPr>
          <w:p w14:paraId="309CAE64" w14:textId="77777777" w:rsidR="00AA65DB" w:rsidRPr="00AA65DB" w:rsidRDefault="00AA65DB" w:rsidP="00AA65DB">
            <w:pPr>
              <w:pStyle w:val="Body"/>
              <w:rPr>
                <w:rFonts w:ascii="Arial" w:hAnsi="Arial" w:cs="Arial"/>
                <w:iCs/>
              </w:rPr>
            </w:pPr>
            <w:r w:rsidRPr="00AA65DB">
              <w:rPr>
                <w:rFonts w:ascii="Arial" w:hAnsi="Arial" w:cs="Arial"/>
                <w:iCs/>
              </w:rPr>
              <w:t>Male centroid</w:t>
            </w:r>
          </w:p>
        </w:tc>
        <w:tc>
          <w:tcPr>
            <w:tcW w:w="5533" w:type="dxa"/>
            <w:vAlign w:val="center"/>
            <w:hideMark/>
          </w:tcPr>
          <w:p w14:paraId="05DAFED5" w14:textId="77777777" w:rsidR="00AA65DB" w:rsidRPr="00AA65DB" w:rsidRDefault="00AA65DB" w:rsidP="00AA65DB">
            <w:pPr>
              <w:pStyle w:val="Body"/>
              <w:rPr>
                <w:rFonts w:ascii="Arial" w:hAnsi="Arial" w:cs="Arial"/>
                <w:iCs/>
              </w:rPr>
            </w:pPr>
            <w:r w:rsidRPr="00AA65DB">
              <w:rPr>
                <w:rFonts w:ascii="Arial" w:hAnsi="Arial" w:cs="Arial"/>
                <w:iCs/>
              </w:rPr>
              <w:t>6.143</w:t>
            </w:r>
          </w:p>
        </w:tc>
      </w:tr>
      <w:tr w:rsidR="00AA65DB" w:rsidRPr="00AA65DB" w14:paraId="1118CB20" w14:textId="77777777" w:rsidTr="00931D1B">
        <w:trPr>
          <w:tblCellSpacing w:w="15" w:type="dxa"/>
        </w:trPr>
        <w:tc>
          <w:tcPr>
            <w:tcW w:w="4345" w:type="dxa"/>
            <w:vAlign w:val="center"/>
            <w:hideMark/>
          </w:tcPr>
          <w:p w14:paraId="64EC3918" w14:textId="77777777" w:rsidR="00AA65DB" w:rsidRPr="00AA65DB" w:rsidRDefault="00AA65DB" w:rsidP="00AA65DB">
            <w:pPr>
              <w:pStyle w:val="Body"/>
              <w:rPr>
                <w:rFonts w:ascii="Arial" w:hAnsi="Arial" w:cs="Arial"/>
                <w:iCs/>
              </w:rPr>
            </w:pPr>
            <w:r w:rsidRPr="00AA65DB">
              <w:rPr>
                <w:rFonts w:ascii="Arial" w:hAnsi="Arial" w:cs="Arial"/>
                <w:iCs/>
              </w:rPr>
              <w:t>Female centroid</w:t>
            </w:r>
          </w:p>
        </w:tc>
        <w:tc>
          <w:tcPr>
            <w:tcW w:w="5533" w:type="dxa"/>
            <w:vAlign w:val="center"/>
            <w:hideMark/>
          </w:tcPr>
          <w:p w14:paraId="55574C59" w14:textId="77777777" w:rsidR="00AA65DB" w:rsidRPr="00AA65DB" w:rsidRDefault="00AA65DB" w:rsidP="00AA65DB">
            <w:pPr>
              <w:pStyle w:val="Body"/>
              <w:rPr>
                <w:rFonts w:ascii="Arial" w:hAnsi="Arial" w:cs="Arial"/>
                <w:iCs/>
              </w:rPr>
            </w:pPr>
            <w:r w:rsidRPr="00AA65DB">
              <w:rPr>
                <w:rFonts w:ascii="Arial" w:hAnsi="Arial" w:cs="Arial"/>
                <w:iCs/>
              </w:rPr>
              <w:t>−6.143</w:t>
            </w:r>
          </w:p>
        </w:tc>
      </w:tr>
      <w:tr w:rsidR="00AA65DB" w:rsidRPr="00AA65DB" w14:paraId="354335B2" w14:textId="77777777" w:rsidTr="00931D1B">
        <w:trPr>
          <w:tblCellSpacing w:w="15" w:type="dxa"/>
        </w:trPr>
        <w:tc>
          <w:tcPr>
            <w:tcW w:w="4345" w:type="dxa"/>
            <w:vAlign w:val="center"/>
            <w:hideMark/>
          </w:tcPr>
          <w:p w14:paraId="7F354777" w14:textId="77777777" w:rsidR="00AA65DB" w:rsidRPr="00AA65DB" w:rsidRDefault="00AA65DB" w:rsidP="00AA65DB">
            <w:pPr>
              <w:pStyle w:val="Body"/>
              <w:rPr>
                <w:rFonts w:ascii="Arial" w:hAnsi="Arial" w:cs="Arial"/>
                <w:iCs/>
              </w:rPr>
            </w:pPr>
            <w:r w:rsidRPr="00AA65DB">
              <w:rPr>
                <w:rFonts w:ascii="Arial" w:hAnsi="Arial" w:cs="Arial"/>
                <w:iCs/>
              </w:rPr>
              <w:t>Sectioning point</w:t>
            </w:r>
          </w:p>
        </w:tc>
        <w:tc>
          <w:tcPr>
            <w:tcW w:w="5533" w:type="dxa"/>
            <w:vAlign w:val="center"/>
            <w:hideMark/>
          </w:tcPr>
          <w:p w14:paraId="3A038CF4" w14:textId="77777777" w:rsidR="00AA65DB" w:rsidRPr="00AA65DB" w:rsidRDefault="00AA65DB" w:rsidP="00AA65DB">
            <w:pPr>
              <w:pStyle w:val="Body"/>
              <w:rPr>
                <w:rFonts w:ascii="Arial" w:hAnsi="Arial" w:cs="Arial"/>
                <w:iCs/>
              </w:rPr>
            </w:pPr>
            <w:r w:rsidRPr="00AA65DB">
              <w:rPr>
                <w:rFonts w:ascii="Arial" w:hAnsi="Arial" w:cs="Arial"/>
                <w:iCs/>
              </w:rPr>
              <w:t>0.000</w:t>
            </w:r>
          </w:p>
        </w:tc>
      </w:tr>
      <w:tr w:rsidR="00AA65DB" w:rsidRPr="00AA65DB" w14:paraId="682886A8" w14:textId="77777777" w:rsidTr="00931D1B">
        <w:trPr>
          <w:tblCellSpacing w:w="15" w:type="dxa"/>
        </w:trPr>
        <w:tc>
          <w:tcPr>
            <w:tcW w:w="4345" w:type="dxa"/>
            <w:vAlign w:val="center"/>
            <w:hideMark/>
          </w:tcPr>
          <w:p w14:paraId="6E6FCB52" w14:textId="77777777" w:rsidR="00AA65DB" w:rsidRPr="00AA65DB" w:rsidRDefault="00AA65DB" w:rsidP="00AA65DB">
            <w:pPr>
              <w:pStyle w:val="Body"/>
              <w:rPr>
                <w:rFonts w:ascii="Arial" w:hAnsi="Arial" w:cs="Arial"/>
                <w:iCs/>
              </w:rPr>
            </w:pPr>
            <w:r w:rsidRPr="00AA65DB">
              <w:rPr>
                <w:rFonts w:ascii="Arial" w:hAnsi="Arial" w:cs="Arial"/>
                <w:iCs/>
              </w:rPr>
              <w:t>Original classification accuracy</w:t>
            </w:r>
          </w:p>
        </w:tc>
        <w:tc>
          <w:tcPr>
            <w:tcW w:w="5533" w:type="dxa"/>
            <w:vAlign w:val="center"/>
            <w:hideMark/>
          </w:tcPr>
          <w:p w14:paraId="51D80AF0" w14:textId="77777777" w:rsidR="00AA65DB" w:rsidRPr="00AA65DB" w:rsidRDefault="00AA65DB" w:rsidP="00AA65DB">
            <w:pPr>
              <w:pStyle w:val="Body"/>
              <w:rPr>
                <w:rFonts w:ascii="Arial" w:hAnsi="Arial" w:cs="Arial"/>
                <w:iCs/>
              </w:rPr>
            </w:pPr>
            <w:r w:rsidRPr="00AA65DB">
              <w:rPr>
                <w:rFonts w:ascii="Arial" w:hAnsi="Arial" w:cs="Arial"/>
                <w:iCs/>
              </w:rPr>
              <w:t>100.0%</w:t>
            </w:r>
          </w:p>
        </w:tc>
      </w:tr>
      <w:tr w:rsidR="00AA65DB" w:rsidRPr="00AA65DB" w14:paraId="7BB407EF" w14:textId="77777777" w:rsidTr="00931D1B">
        <w:trPr>
          <w:tblCellSpacing w:w="15" w:type="dxa"/>
        </w:trPr>
        <w:tc>
          <w:tcPr>
            <w:tcW w:w="4345" w:type="dxa"/>
            <w:vAlign w:val="center"/>
            <w:hideMark/>
          </w:tcPr>
          <w:p w14:paraId="75C2C354" w14:textId="77777777" w:rsidR="00AA65DB" w:rsidRPr="00AA65DB" w:rsidRDefault="00AA65DB" w:rsidP="00AA65DB">
            <w:pPr>
              <w:pStyle w:val="Body"/>
              <w:rPr>
                <w:rFonts w:ascii="Arial" w:hAnsi="Arial" w:cs="Arial"/>
                <w:iCs/>
              </w:rPr>
            </w:pPr>
            <w:r w:rsidRPr="00AA65DB">
              <w:rPr>
                <w:rFonts w:ascii="Arial" w:hAnsi="Arial" w:cs="Arial"/>
                <w:iCs/>
              </w:rPr>
              <w:t>Cross-validated classification accuracy</w:t>
            </w:r>
          </w:p>
        </w:tc>
        <w:tc>
          <w:tcPr>
            <w:tcW w:w="5533" w:type="dxa"/>
            <w:vAlign w:val="center"/>
            <w:hideMark/>
          </w:tcPr>
          <w:p w14:paraId="4BCC67B9" w14:textId="77777777" w:rsidR="00AA65DB" w:rsidRPr="00AA65DB" w:rsidRDefault="00AA65DB" w:rsidP="00AA65DB">
            <w:pPr>
              <w:pStyle w:val="Body"/>
              <w:rPr>
                <w:rFonts w:ascii="Arial" w:hAnsi="Arial" w:cs="Arial"/>
                <w:iCs/>
              </w:rPr>
            </w:pPr>
            <w:r w:rsidRPr="00AA65DB">
              <w:rPr>
                <w:rFonts w:ascii="Arial" w:hAnsi="Arial" w:cs="Arial"/>
                <w:iCs/>
              </w:rPr>
              <w:t>100.0%</w:t>
            </w:r>
          </w:p>
        </w:tc>
      </w:tr>
    </w:tbl>
    <w:p w14:paraId="44A152F6" w14:textId="77777777" w:rsidR="00AA65DB" w:rsidRPr="00AA65DB" w:rsidRDefault="00AA65DB" w:rsidP="00AA65DB">
      <w:pPr>
        <w:pStyle w:val="Body"/>
        <w:spacing w:after="0"/>
        <w:rPr>
          <w:rFonts w:ascii="Arial" w:hAnsi="Arial" w:cs="Arial"/>
          <w:iCs/>
        </w:rPr>
      </w:pPr>
      <w:r w:rsidRPr="00AA65DB">
        <w:rPr>
          <w:rFonts w:ascii="Arial" w:hAnsi="Arial" w:cs="Arial"/>
          <w:iCs/>
        </w:rPr>
        <w:t>Discriminant function analysis using pubic length and ischial length produced one statistically significant discriminant function (Eigenvalue = 38.506, Canonical Correlation = 0.987, Wilks' Lambda = 0.025, χ² = 356.616, df = 2, p &lt; 0.001). The derived discriminant function was:</w:t>
      </w:r>
    </w:p>
    <w:p w14:paraId="7BF87A02" w14:textId="77777777" w:rsidR="00AA65DB" w:rsidRPr="00AA65DB" w:rsidRDefault="00AA65DB" w:rsidP="00AA65DB">
      <w:pPr>
        <w:pStyle w:val="Body"/>
        <w:spacing w:after="0"/>
        <w:rPr>
          <w:rFonts w:ascii="Arial" w:hAnsi="Arial" w:cs="Arial"/>
          <w:iCs/>
        </w:rPr>
      </w:pPr>
      <w:r w:rsidRPr="00AA65DB">
        <w:rPr>
          <w:rFonts w:ascii="Arial" w:hAnsi="Arial" w:cs="Arial"/>
          <w:b/>
          <w:bCs/>
          <w:iCs/>
        </w:rPr>
        <w:t>D = −1.802 − 1.333(Pubic Length) + 1.349(Ischial Length).</w:t>
      </w:r>
    </w:p>
    <w:p w14:paraId="066DAC58" w14:textId="77777777" w:rsidR="00AA65DB" w:rsidRPr="00AA65DB" w:rsidRDefault="00AA65DB" w:rsidP="00AA65DB">
      <w:pPr>
        <w:pStyle w:val="Body"/>
        <w:spacing w:after="0"/>
        <w:rPr>
          <w:rFonts w:ascii="Arial" w:hAnsi="Arial" w:cs="Arial"/>
          <w:iCs/>
        </w:rPr>
      </w:pPr>
      <w:r w:rsidRPr="00AA65DB">
        <w:rPr>
          <w:rFonts w:ascii="Arial" w:hAnsi="Arial" w:cs="Arial"/>
          <w:iCs/>
        </w:rPr>
        <w:lastRenderedPageBreak/>
        <w:t xml:space="preserve">Based on the group centroids (male = 6.143; female = −6.143), the sectioning point was 0.000. Individuals with discriminant scores greater than 0.000 were classified as male, whereas those with scores below 0.000 were classified as female. </w:t>
      </w:r>
    </w:p>
    <w:p w14:paraId="38796B22" w14:textId="77777777" w:rsidR="00AA65DB" w:rsidRPr="00AA65DB" w:rsidRDefault="00AA65DB" w:rsidP="00AA65DB">
      <w:pPr>
        <w:pStyle w:val="Body"/>
        <w:spacing w:after="0"/>
        <w:rPr>
          <w:rFonts w:ascii="Arial" w:hAnsi="Arial" w:cs="Arial"/>
        </w:rPr>
      </w:pPr>
      <w:r w:rsidRPr="00AA65DB">
        <w:rPr>
          <w:rFonts w:ascii="Arial" w:hAnsi="Arial" w:cs="Arial"/>
        </w:rPr>
        <w:t xml:space="preserve">Table 4: Comparative table of the Ischiopubic index of some Nigerian populations and other populations of the world </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88"/>
        <w:gridCol w:w="2457"/>
        <w:gridCol w:w="611"/>
        <w:gridCol w:w="1679"/>
        <w:gridCol w:w="1849"/>
        <w:gridCol w:w="910"/>
        <w:gridCol w:w="1696"/>
      </w:tblGrid>
      <w:tr w:rsidR="00AA65DB" w:rsidRPr="00AA65DB" w14:paraId="0CB2D75E" w14:textId="77777777" w:rsidTr="00651A74">
        <w:trPr>
          <w:tblHeader/>
          <w:tblCellSpacing w:w="15" w:type="dxa"/>
        </w:trPr>
        <w:tc>
          <w:tcPr>
            <w:tcW w:w="753" w:type="pct"/>
            <w:vAlign w:val="center"/>
            <w:hideMark/>
          </w:tcPr>
          <w:p w14:paraId="250FD5EA" w14:textId="77777777" w:rsidR="00AA65DB" w:rsidRPr="00AA65DB" w:rsidRDefault="00AA65DB" w:rsidP="00AA65DB">
            <w:pPr>
              <w:pStyle w:val="Body"/>
              <w:spacing w:after="0"/>
              <w:rPr>
                <w:rFonts w:ascii="Arial" w:hAnsi="Arial" w:cs="Arial"/>
                <w:b/>
                <w:bCs/>
              </w:rPr>
            </w:pPr>
            <w:r w:rsidRPr="00AA65DB">
              <w:rPr>
                <w:rFonts w:ascii="Arial" w:hAnsi="Arial" w:cs="Arial"/>
                <w:b/>
                <w:bCs/>
              </w:rPr>
              <w:t>Study</w:t>
            </w:r>
          </w:p>
        </w:tc>
        <w:tc>
          <w:tcPr>
            <w:tcW w:w="1112" w:type="pct"/>
            <w:vAlign w:val="center"/>
            <w:hideMark/>
          </w:tcPr>
          <w:p w14:paraId="6B8E2E53" w14:textId="77777777" w:rsidR="00AA65DB" w:rsidRPr="00AA65DB" w:rsidRDefault="00AA65DB" w:rsidP="00AA65DB">
            <w:pPr>
              <w:pStyle w:val="Body"/>
              <w:spacing w:after="0"/>
              <w:rPr>
                <w:rFonts w:ascii="Arial" w:hAnsi="Arial" w:cs="Arial"/>
                <w:b/>
                <w:bCs/>
              </w:rPr>
            </w:pPr>
            <w:r w:rsidRPr="00AA65DB">
              <w:rPr>
                <w:rFonts w:ascii="Arial" w:hAnsi="Arial" w:cs="Arial"/>
                <w:b/>
                <w:bCs/>
              </w:rPr>
              <w:t>Population/Study Area</w:t>
            </w:r>
          </w:p>
        </w:tc>
        <w:tc>
          <w:tcPr>
            <w:tcW w:w="267" w:type="pct"/>
            <w:vAlign w:val="center"/>
            <w:hideMark/>
          </w:tcPr>
          <w:p w14:paraId="48940875" w14:textId="77777777" w:rsidR="00AA65DB" w:rsidRPr="00AA65DB" w:rsidRDefault="00AA65DB" w:rsidP="00AA65DB">
            <w:pPr>
              <w:pStyle w:val="Body"/>
              <w:spacing w:after="0"/>
              <w:rPr>
                <w:rFonts w:ascii="Arial" w:hAnsi="Arial" w:cs="Arial"/>
                <w:b/>
                <w:bCs/>
              </w:rPr>
            </w:pPr>
            <w:r w:rsidRPr="00AA65DB">
              <w:rPr>
                <w:rFonts w:ascii="Arial" w:hAnsi="Arial" w:cs="Arial"/>
                <w:b/>
                <w:bCs/>
              </w:rPr>
              <w:t>Year</w:t>
            </w:r>
          </w:p>
        </w:tc>
        <w:tc>
          <w:tcPr>
            <w:tcW w:w="756" w:type="pct"/>
            <w:vAlign w:val="center"/>
            <w:hideMark/>
          </w:tcPr>
          <w:p w14:paraId="72155654" w14:textId="77777777" w:rsidR="00AA65DB" w:rsidRPr="00AA65DB" w:rsidRDefault="00AA65DB" w:rsidP="00AA65DB">
            <w:pPr>
              <w:pStyle w:val="Body"/>
              <w:spacing w:after="0"/>
              <w:rPr>
                <w:rFonts w:ascii="Arial" w:hAnsi="Arial" w:cs="Arial"/>
                <w:b/>
                <w:bCs/>
              </w:rPr>
            </w:pPr>
            <w:r w:rsidRPr="00AA65DB">
              <w:rPr>
                <w:rFonts w:ascii="Arial" w:hAnsi="Arial" w:cs="Arial"/>
                <w:b/>
                <w:bCs/>
              </w:rPr>
              <w:t>Male</w:t>
            </w:r>
          </w:p>
        </w:tc>
        <w:tc>
          <w:tcPr>
            <w:tcW w:w="834" w:type="pct"/>
            <w:vAlign w:val="center"/>
            <w:hideMark/>
          </w:tcPr>
          <w:p w14:paraId="379DCEF3" w14:textId="77777777" w:rsidR="00AA65DB" w:rsidRPr="00AA65DB" w:rsidRDefault="00AA65DB" w:rsidP="00AA65DB">
            <w:pPr>
              <w:pStyle w:val="Body"/>
              <w:spacing w:after="0"/>
              <w:rPr>
                <w:rFonts w:ascii="Arial" w:hAnsi="Arial" w:cs="Arial"/>
                <w:b/>
                <w:bCs/>
              </w:rPr>
            </w:pPr>
            <w:r w:rsidRPr="00AA65DB">
              <w:rPr>
                <w:rFonts w:ascii="Arial" w:hAnsi="Arial" w:cs="Arial"/>
                <w:b/>
                <w:bCs/>
              </w:rPr>
              <w:t>Female</w:t>
            </w:r>
          </w:p>
        </w:tc>
        <w:tc>
          <w:tcPr>
            <w:tcW w:w="403" w:type="pct"/>
            <w:vAlign w:val="center"/>
            <w:hideMark/>
          </w:tcPr>
          <w:p w14:paraId="3C1912A0" w14:textId="77777777" w:rsidR="00AA65DB" w:rsidRPr="00AA65DB" w:rsidRDefault="00AA65DB" w:rsidP="00AA65DB">
            <w:pPr>
              <w:pStyle w:val="Body"/>
              <w:spacing w:after="0"/>
              <w:rPr>
                <w:rFonts w:ascii="Arial" w:hAnsi="Arial" w:cs="Arial"/>
                <w:b/>
                <w:bCs/>
              </w:rPr>
            </w:pPr>
            <w:r w:rsidRPr="00AA65DB">
              <w:rPr>
                <w:rFonts w:ascii="Arial" w:hAnsi="Arial" w:cs="Arial"/>
                <w:b/>
                <w:bCs/>
                <w:i/>
                <w:iCs/>
              </w:rPr>
              <w:t>P</w:t>
            </w:r>
            <w:r w:rsidRPr="00AA65DB">
              <w:rPr>
                <w:rFonts w:ascii="Arial" w:hAnsi="Arial" w:cs="Arial"/>
                <w:b/>
                <w:bCs/>
              </w:rPr>
              <w:t>-value</w:t>
            </w:r>
          </w:p>
        </w:tc>
        <w:tc>
          <w:tcPr>
            <w:tcW w:w="757" w:type="pct"/>
            <w:vAlign w:val="center"/>
            <w:hideMark/>
          </w:tcPr>
          <w:p w14:paraId="28EC4F81" w14:textId="77777777" w:rsidR="00AA65DB" w:rsidRPr="00AA65DB" w:rsidRDefault="00AA65DB" w:rsidP="00AA65DB">
            <w:pPr>
              <w:pStyle w:val="Body"/>
              <w:spacing w:after="0"/>
              <w:rPr>
                <w:rFonts w:ascii="Arial" w:hAnsi="Arial" w:cs="Arial"/>
                <w:b/>
                <w:bCs/>
              </w:rPr>
            </w:pPr>
            <w:r w:rsidRPr="00AA65DB">
              <w:rPr>
                <w:rFonts w:ascii="Arial" w:hAnsi="Arial" w:cs="Arial"/>
                <w:b/>
                <w:bCs/>
              </w:rPr>
              <w:t>Inference</w:t>
            </w:r>
          </w:p>
        </w:tc>
      </w:tr>
      <w:tr w:rsidR="00AA65DB" w:rsidRPr="00AA65DB" w14:paraId="7A7AB686" w14:textId="77777777" w:rsidTr="00651A74">
        <w:trPr>
          <w:tblCellSpacing w:w="15" w:type="dxa"/>
        </w:trPr>
        <w:tc>
          <w:tcPr>
            <w:tcW w:w="753" w:type="pct"/>
            <w:tcBorders>
              <w:top w:val="single" w:sz="4" w:space="0" w:color="auto"/>
              <w:bottom w:val="nil"/>
            </w:tcBorders>
            <w:vAlign w:val="center"/>
            <w:hideMark/>
          </w:tcPr>
          <w:p w14:paraId="43FCD9E9" w14:textId="77777777" w:rsidR="00AA65DB" w:rsidRPr="00AA65DB" w:rsidRDefault="00AA65DB" w:rsidP="00AA65DB">
            <w:pPr>
              <w:pStyle w:val="Body"/>
              <w:spacing w:after="0"/>
              <w:rPr>
                <w:rFonts w:ascii="Arial" w:hAnsi="Arial" w:cs="Arial"/>
              </w:rPr>
            </w:pPr>
            <w:r w:rsidRPr="00AA65DB">
              <w:rPr>
                <w:rFonts w:ascii="Arial" w:hAnsi="Arial" w:cs="Arial"/>
                <w:b/>
                <w:bCs/>
              </w:rPr>
              <w:t>Present study</w:t>
            </w:r>
          </w:p>
        </w:tc>
        <w:tc>
          <w:tcPr>
            <w:tcW w:w="1112" w:type="pct"/>
            <w:tcBorders>
              <w:top w:val="single" w:sz="4" w:space="0" w:color="auto"/>
              <w:bottom w:val="nil"/>
            </w:tcBorders>
            <w:vAlign w:val="center"/>
            <w:hideMark/>
          </w:tcPr>
          <w:p w14:paraId="5640924A" w14:textId="77777777" w:rsidR="00AA65DB" w:rsidRPr="00AA65DB" w:rsidRDefault="00AA65DB" w:rsidP="00AA65DB">
            <w:pPr>
              <w:pStyle w:val="Body"/>
              <w:spacing w:after="0"/>
              <w:rPr>
                <w:rFonts w:ascii="Arial" w:hAnsi="Arial" w:cs="Arial"/>
              </w:rPr>
            </w:pPr>
            <w:r w:rsidRPr="00AA65DB">
              <w:rPr>
                <w:rFonts w:ascii="Arial" w:hAnsi="Arial" w:cs="Arial"/>
              </w:rPr>
              <w:t>Port Harcourt, Rivers State, Nigeria</w:t>
            </w:r>
          </w:p>
        </w:tc>
        <w:tc>
          <w:tcPr>
            <w:tcW w:w="267" w:type="pct"/>
            <w:tcBorders>
              <w:top w:val="single" w:sz="4" w:space="0" w:color="auto"/>
              <w:bottom w:val="nil"/>
            </w:tcBorders>
            <w:vAlign w:val="center"/>
            <w:hideMark/>
          </w:tcPr>
          <w:p w14:paraId="06390823" w14:textId="77777777" w:rsidR="00AA65DB" w:rsidRPr="00AA65DB" w:rsidRDefault="00AA65DB" w:rsidP="00AA65DB">
            <w:pPr>
              <w:pStyle w:val="Body"/>
              <w:spacing w:after="0"/>
              <w:rPr>
                <w:rFonts w:ascii="Arial" w:hAnsi="Arial" w:cs="Arial"/>
              </w:rPr>
            </w:pPr>
            <w:r w:rsidRPr="00AA65DB">
              <w:rPr>
                <w:rFonts w:ascii="Arial" w:hAnsi="Arial" w:cs="Arial"/>
              </w:rPr>
              <w:t>2026</w:t>
            </w:r>
          </w:p>
        </w:tc>
        <w:tc>
          <w:tcPr>
            <w:tcW w:w="756" w:type="pct"/>
            <w:tcBorders>
              <w:top w:val="single" w:sz="4" w:space="0" w:color="auto"/>
              <w:bottom w:val="nil"/>
            </w:tcBorders>
            <w:vAlign w:val="center"/>
            <w:hideMark/>
          </w:tcPr>
          <w:p w14:paraId="54F9E5BB" w14:textId="77777777" w:rsidR="00AA65DB" w:rsidRPr="00AA65DB" w:rsidRDefault="00AA65DB" w:rsidP="00AA65DB">
            <w:pPr>
              <w:pStyle w:val="Body"/>
              <w:spacing w:after="0"/>
              <w:rPr>
                <w:rFonts w:ascii="Arial" w:hAnsi="Arial" w:cs="Arial"/>
              </w:rPr>
            </w:pPr>
            <w:r w:rsidRPr="00AA65DB">
              <w:rPr>
                <w:rFonts w:ascii="Arial" w:hAnsi="Arial" w:cs="Arial"/>
                <w:b/>
                <w:bCs/>
              </w:rPr>
              <w:t>94.09 ± 0.84</w:t>
            </w:r>
          </w:p>
        </w:tc>
        <w:tc>
          <w:tcPr>
            <w:tcW w:w="834" w:type="pct"/>
            <w:tcBorders>
              <w:top w:val="single" w:sz="4" w:space="0" w:color="auto"/>
              <w:bottom w:val="nil"/>
            </w:tcBorders>
            <w:vAlign w:val="center"/>
            <w:hideMark/>
          </w:tcPr>
          <w:p w14:paraId="11EF078F" w14:textId="77777777" w:rsidR="00AA65DB" w:rsidRPr="00AA65DB" w:rsidRDefault="00AA65DB" w:rsidP="00AA65DB">
            <w:pPr>
              <w:pStyle w:val="Body"/>
              <w:spacing w:after="0"/>
              <w:rPr>
                <w:rFonts w:ascii="Arial" w:hAnsi="Arial" w:cs="Arial"/>
              </w:rPr>
            </w:pPr>
            <w:r w:rsidRPr="00AA65DB">
              <w:rPr>
                <w:rFonts w:ascii="Arial" w:hAnsi="Arial" w:cs="Arial"/>
                <w:b/>
                <w:bCs/>
              </w:rPr>
              <w:t>105.81 ± 1.28</w:t>
            </w:r>
          </w:p>
        </w:tc>
        <w:tc>
          <w:tcPr>
            <w:tcW w:w="403" w:type="pct"/>
            <w:tcBorders>
              <w:top w:val="single" w:sz="4" w:space="0" w:color="auto"/>
              <w:bottom w:val="nil"/>
            </w:tcBorders>
            <w:vAlign w:val="center"/>
            <w:hideMark/>
          </w:tcPr>
          <w:p w14:paraId="1A01BD83"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757" w:type="pct"/>
            <w:tcBorders>
              <w:top w:val="single" w:sz="4" w:space="0" w:color="auto"/>
              <w:bottom w:val="nil"/>
            </w:tcBorders>
            <w:vAlign w:val="center"/>
            <w:hideMark/>
          </w:tcPr>
          <w:p w14:paraId="4FD005C8"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60B36EAE" w14:textId="77777777" w:rsidTr="00651A74">
        <w:trPr>
          <w:tblCellSpacing w:w="15" w:type="dxa"/>
        </w:trPr>
        <w:tc>
          <w:tcPr>
            <w:tcW w:w="753" w:type="pct"/>
            <w:vAlign w:val="center"/>
            <w:hideMark/>
          </w:tcPr>
          <w:p w14:paraId="50B92FF6" w14:textId="77777777" w:rsidR="00AA65DB" w:rsidRPr="00AA65DB" w:rsidRDefault="00AA65DB" w:rsidP="00AA65DB">
            <w:pPr>
              <w:pStyle w:val="Body"/>
              <w:spacing w:after="0"/>
              <w:rPr>
                <w:rFonts w:ascii="Arial" w:hAnsi="Arial" w:cs="Arial"/>
              </w:rPr>
            </w:pPr>
            <w:r w:rsidRPr="00AA65DB">
              <w:rPr>
                <w:rFonts w:ascii="Arial" w:hAnsi="Arial" w:cs="Arial"/>
              </w:rPr>
              <w:t>Ekanem et al.</w:t>
            </w:r>
          </w:p>
        </w:tc>
        <w:tc>
          <w:tcPr>
            <w:tcW w:w="1112" w:type="pct"/>
            <w:vAlign w:val="center"/>
            <w:hideMark/>
          </w:tcPr>
          <w:p w14:paraId="6B71BED1" w14:textId="77777777" w:rsidR="00AA65DB" w:rsidRPr="00AA65DB" w:rsidRDefault="00AA65DB" w:rsidP="00AA65DB">
            <w:pPr>
              <w:pStyle w:val="Body"/>
              <w:spacing w:after="0"/>
              <w:rPr>
                <w:rFonts w:ascii="Arial" w:hAnsi="Arial" w:cs="Arial"/>
              </w:rPr>
            </w:pPr>
            <w:r w:rsidRPr="00AA65DB">
              <w:rPr>
                <w:rFonts w:ascii="Arial" w:hAnsi="Arial" w:cs="Arial"/>
              </w:rPr>
              <w:t>Cross River State, Nigeria</w:t>
            </w:r>
          </w:p>
        </w:tc>
        <w:tc>
          <w:tcPr>
            <w:tcW w:w="267" w:type="pct"/>
            <w:vAlign w:val="center"/>
            <w:hideMark/>
          </w:tcPr>
          <w:p w14:paraId="05B23896" w14:textId="6D9DAFF6" w:rsidR="00AA65DB" w:rsidRPr="00AA65DB" w:rsidRDefault="00AA65DB" w:rsidP="00AA65DB">
            <w:pPr>
              <w:pStyle w:val="Body"/>
              <w:spacing w:after="0"/>
              <w:rPr>
                <w:rFonts w:ascii="Arial" w:hAnsi="Arial" w:cs="Arial"/>
              </w:rPr>
            </w:pPr>
            <w:r w:rsidRPr="00AA65DB">
              <w:rPr>
                <w:rFonts w:ascii="Arial" w:hAnsi="Arial" w:cs="Arial"/>
              </w:rPr>
              <w:t>200</w:t>
            </w:r>
            <w:r w:rsidR="006115F6">
              <w:rPr>
                <w:rFonts w:ascii="Arial" w:hAnsi="Arial" w:cs="Arial"/>
              </w:rPr>
              <w:t>8</w:t>
            </w:r>
          </w:p>
        </w:tc>
        <w:tc>
          <w:tcPr>
            <w:tcW w:w="756" w:type="pct"/>
            <w:vAlign w:val="center"/>
            <w:hideMark/>
          </w:tcPr>
          <w:p w14:paraId="21319242" w14:textId="77777777" w:rsidR="00AA65DB" w:rsidRPr="00AA65DB" w:rsidRDefault="00AA65DB" w:rsidP="00AA65DB">
            <w:pPr>
              <w:pStyle w:val="Body"/>
              <w:spacing w:after="0"/>
              <w:rPr>
                <w:rFonts w:ascii="Arial" w:hAnsi="Arial" w:cs="Arial"/>
              </w:rPr>
            </w:pPr>
            <w:r w:rsidRPr="00AA65DB">
              <w:rPr>
                <w:rFonts w:ascii="Arial" w:hAnsi="Arial" w:cs="Arial"/>
              </w:rPr>
              <w:t>94.20</w:t>
            </w:r>
          </w:p>
        </w:tc>
        <w:tc>
          <w:tcPr>
            <w:tcW w:w="834" w:type="pct"/>
            <w:vAlign w:val="center"/>
            <w:hideMark/>
          </w:tcPr>
          <w:p w14:paraId="05C4B78F" w14:textId="77777777" w:rsidR="00AA65DB" w:rsidRPr="00AA65DB" w:rsidRDefault="00AA65DB" w:rsidP="00AA65DB">
            <w:pPr>
              <w:pStyle w:val="Body"/>
              <w:spacing w:after="0"/>
              <w:rPr>
                <w:rFonts w:ascii="Arial" w:hAnsi="Arial" w:cs="Arial"/>
              </w:rPr>
            </w:pPr>
            <w:r w:rsidRPr="00AA65DB">
              <w:rPr>
                <w:rFonts w:ascii="Arial" w:hAnsi="Arial" w:cs="Arial"/>
              </w:rPr>
              <w:t>117.30</w:t>
            </w:r>
          </w:p>
        </w:tc>
        <w:tc>
          <w:tcPr>
            <w:tcW w:w="403" w:type="pct"/>
            <w:vAlign w:val="center"/>
            <w:hideMark/>
          </w:tcPr>
          <w:p w14:paraId="66C2AAA9"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5519FAB2"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20C4F9B6" w14:textId="77777777" w:rsidTr="00651A74">
        <w:trPr>
          <w:tblCellSpacing w:w="15" w:type="dxa"/>
        </w:trPr>
        <w:tc>
          <w:tcPr>
            <w:tcW w:w="753" w:type="pct"/>
            <w:vAlign w:val="center"/>
            <w:hideMark/>
          </w:tcPr>
          <w:p w14:paraId="5EA9F841"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39A5B6CC" w14:textId="77777777" w:rsidR="00AA65DB" w:rsidRPr="00AA65DB" w:rsidRDefault="00AA65DB" w:rsidP="00AA65DB">
            <w:pPr>
              <w:pStyle w:val="Body"/>
              <w:spacing w:after="0"/>
              <w:rPr>
                <w:rFonts w:ascii="Arial" w:hAnsi="Arial" w:cs="Arial"/>
              </w:rPr>
            </w:pPr>
            <w:r w:rsidRPr="00AA65DB">
              <w:rPr>
                <w:rFonts w:ascii="Arial" w:hAnsi="Arial" w:cs="Arial"/>
              </w:rPr>
              <w:t>South–South Nigeria</w:t>
            </w:r>
          </w:p>
        </w:tc>
        <w:tc>
          <w:tcPr>
            <w:tcW w:w="267" w:type="pct"/>
            <w:vAlign w:val="center"/>
            <w:hideMark/>
          </w:tcPr>
          <w:p w14:paraId="25627A24" w14:textId="77777777" w:rsidR="00AA65DB" w:rsidRPr="00AA65DB" w:rsidRDefault="00AA65DB" w:rsidP="00AA65DB">
            <w:pPr>
              <w:pStyle w:val="Body"/>
              <w:spacing w:after="0"/>
              <w:rPr>
                <w:rFonts w:ascii="Arial" w:hAnsi="Arial" w:cs="Arial"/>
              </w:rPr>
            </w:pPr>
            <w:r w:rsidRPr="00AA65DB">
              <w:rPr>
                <w:rFonts w:ascii="Arial" w:hAnsi="Arial" w:cs="Arial"/>
              </w:rPr>
              <w:t>2010</w:t>
            </w:r>
          </w:p>
        </w:tc>
        <w:tc>
          <w:tcPr>
            <w:tcW w:w="756" w:type="pct"/>
            <w:vAlign w:val="center"/>
            <w:hideMark/>
          </w:tcPr>
          <w:p w14:paraId="4DF47C3D" w14:textId="77777777" w:rsidR="00AA65DB" w:rsidRPr="00AA65DB" w:rsidRDefault="00AA65DB" w:rsidP="00AA65DB">
            <w:pPr>
              <w:pStyle w:val="Body"/>
              <w:spacing w:after="0"/>
              <w:rPr>
                <w:rFonts w:ascii="Arial" w:hAnsi="Arial" w:cs="Arial"/>
              </w:rPr>
            </w:pPr>
            <w:r w:rsidRPr="00AA65DB">
              <w:rPr>
                <w:rFonts w:ascii="Arial" w:hAnsi="Arial" w:cs="Arial"/>
              </w:rPr>
              <w:t>81.40</w:t>
            </w:r>
          </w:p>
        </w:tc>
        <w:tc>
          <w:tcPr>
            <w:tcW w:w="834" w:type="pct"/>
            <w:vAlign w:val="center"/>
            <w:hideMark/>
          </w:tcPr>
          <w:p w14:paraId="374EFCBD" w14:textId="77777777" w:rsidR="00AA65DB" w:rsidRPr="00AA65DB" w:rsidRDefault="00AA65DB" w:rsidP="00AA65DB">
            <w:pPr>
              <w:pStyle w:val="Body"/>
              <w:spacing w:after="0"/>
              <w:rPr>
                <w:rFonts w:ascii="Arial" w:hAnsi="Arial" w:cs="Arial"/>
              </w:rPr>
            </w:pPr>
            <w:r w:rsidRPr="00AA65DB">
              <w:rPr>
                <w:rFonts w:ascii="Arial" w:hAnsi="Arial" w:cs="Arial"/>
              </w:rPr>
              <w:t>104.20</w:t>
            </w:r>
          </w:p>
        </w:tc>
        <w:tc>
          <w:tcPr>
            <w:tcW w:w="403" w:type="pct"/>
            <w:vAlign w:val="center"/>
            <w:hideMark/>
          </w:tcPr>
          <w:p w14:paraId="6C42AA8F"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5496303A"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29D3CC32" w14:textId="77777777" w:rsidTr="00651A74">
        <w:trPr>
          <w:tblCellSpacing w:w="15" w:type="dxa"/>
        </w:trPr>
        <w:tc>
          <w:tcPr>
            <w:tcW w:w="753" w:type="pct"/>
            <w:vAlign w:val="center"/>
            <w:hideMark/>
          </w:tcPr>
          <w:p w14:paraId="3FAC9063"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5A2BF490" w14:textId="77777777" w:rsidR="00AA65DB" w:rsidRPr="00AA65DB" w:rsidRDefault="00AA65DB" w:rsidP="00AA65DB">
            <w:pPr>
              <w:pStyle w:val="Body"/>
              <w:spacing w:after="0"/>
              <w:rPr>
                <w:rFonts w:ascii="Arial" w:hAnsi="Arial" w:cs="Arial"/>
              </w:rPr>
            </w:pPr>
            <w:r w:rsidRPr="00AA65DB">
              <w:rPr>
                <w:rFonts w:ascii="Arial" w:hAnsi="Arial" w:cs="Arial"/>
              </w:rPr>
              <w:t>Middle Belt Nigeria</w:t>
            </w:r>
          </w:p>
        </w:tc>
        <w:tc>
          <w:tcPr>
            <w:tcW w:w="267" w:type="pct"/>
            <w:vAlign w:val="center"/>
            <w:hideMark/>
          </w:tcPr>
          <w:p w14:paraId="635226E8" w14:textId="77777777" w:rsidR="00AA65DB" w:rsidRPr="00AA65DB" w:rsidRDefault="00AA65DB" w:rsidP="00AA65DB">
            <w:pPr>
              <w:pStyle w:val="Body"/>
              <w:spacing w:after="0"/>
              <w:rPr>
                <w:rFonts w:ascii="Arial" w:hAnsi="Arial" w:cs="Arial"/>
              </w:rPr>
            </w:pPr>
            <w:r w:rsidRPr="00AA65DB">
              <w:rPr>
                <w:rFonts w:ascii="Arial" w:hAnsi="Arial" w:cs="Arial"/>
              </w:rPr>
              <w:t>2010</w:t>
            </w:r>
          </w:p>
        </w:tc>
        <w:tc>
          <w:tcPr>
            <w:tcW w:w="756" w:type="pct"/>
            <w:vAlign w:val="center"/>
            <w:hideMark/>
          </w:tcPr>
          <w:p w14:paraId="61AB7004" w14:textId="77777777" w:rsidR="00AA65DB" w:rsidRPr="00AA65DB" w:rsidRDefault="00AA65DB" w:rsidP="00AA65DB">
            <w:pPr>
              <w:pStyle w:val="Body"/>
              <w:spacing w:after="0"/>
              <w:rPr>
                <w:rFonts w:ascii="Arial" w:hAnsi="Arial" w:cs="Arial"/>
              </w:rPr>
            </w:pPr>
            <w:r w:rsidRPr="00AA65DB">
              <w:rPr>
                <w:rFonts w:ascii="Arial" w:hAnsi="Arial" w:cs="Arial"/>
              </w:rPr>
              <w:t>83.10</w:t>
            </w:r>
          </w:p>
        </w:tc>
        <w:tc>
          <w:tcPr>
            <w:tcW w:w="834" w:type="pct"/>
            <w:vAlign w:val="center"/>
            <w:hideMark/>
          </w:tcPr>
          <w:p w14:paraId="08F52C36" w14:textId="77777777" w:rsidR="00AA65DB" w:rsidRPr="00AA65DB" w:rsidRDefault="00AA65DB" w:rsidP="00AA65DB">
            <w:pPr>
              <w:pStyle w:val="Body"/>
              <w:spacing w:after="0"/>
              <w:rPr>
                <w:rFonts w:ascii="Arial" w:hAnsi="Arial" w:cs="Arial"/>
              </w:rPr>
            </w:pPr>
            <w:r w:rsidRPr="00AA65DB">
              <w:rPr>
                <w:rFonts w:ascii="Arial" w:hAnsi="Arial" w:cs="Arial"/>
              </w:rPr>
              <w:t>101.70</w:t>
            </w:r>
          </w:p>
        </w:tc>
        <w:tc>
          <w:tcPr>
            <w:tcW w:w="403" w:type="pct"/>
            <w:vAlign w:val="center"/>
            <w:hideMark/>
          </w:tcPr>
          <w:p w14:paraId="40ADD687"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680BDABF"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1775AF2" w14:textId="77777777" w:rsidTr="00651A74">
        <w:trPr>
          <w:tblCellSpacing w:w="15" w:type="dxa"/>
        </w:trPr>
        <w:tc>
          <w:tcPr>
            <w:tcW w:w="753" w:type="pct"/>
            <w:vAlign w:val="center"/>
            <w:hideMark/>
          </w:tcPr>
          <w:p w14:paraId="3D4D68D7" w14:textId="77777777" w:rsidR="00AA65DB" w:rsidRPr="00AA65DB" w:rsidRDefault="00AA65DB" w:rsidP="00AA65DB">
            <w:pPr>
              <w:pStyle w:val="Body"/>
              <w:spacing w:after="0"/>
              <w:rPr>
                <w:rFonts w:ascii="Arial" w:hAnsi="Arial" w:cs="Arial"/>
              </w:rPr>
            </w:pPr>
            <w:r w:rsidRPr="00AA65DB">
              <w:rPr>
                <w:rFonts w:ascii="Arial" w:hAnsi="Arial" w:cs="Arial"/>
              </w:rPr>
              <w:t>Ekanem et al.</w:t>
            </w:r>
          </w:p>
        </w:tc>
        <w:tc>
          <w:tcPr>
            <w:tcW w:w="1112" w:type="pct"/>
            <w:vAlign w:val="center"/>
            <w:hideMark/>
          </w:tcPr>
          <w:p w14:paraId="5DBBCF4E" w14:textId="77777777" w:rsidR="00AA65DB" w:rsidRPr="00AA65DB" w:rsidRDefault="00AA65DB" w:rsidP="00AA65DB">
            <w:pPr>
              <w:pStyle w:val="Body"/>
              <w:spacing w:after="0"/>
              <w:rPr>
                <w:rFonts w:ascii="Arial" w:hAnsi="Arial" w:cs="Arial"/>
              </w:rPr>
            </w:pPr>
            <w:r w:rsidRPr="00AA65DB">
              <w:rPr>
                <w:rFonts w:ascii="Arial" w:hAnsi="Arial" w:cs="Arial"/>
              </w:rPr>
              <w:t>Lagos State, Nigeria</w:t>
            </w:r>
          </w:p>
        </w:tc>
        <w:tc>
          <w:tcPr>
            <w:tcW w:w="267" w:type="pct"/>
            <w:vAlign w:val="center"/>
            <w:hideMark/>
          </w:tcPr>
          <w:p w14:paraId="090CBCF4" w14:textId="77777777" w:rsidR="00AA65DB" w:rsidRPr="00AA65DB" w:rsidRDefault="00AA65DB" w:rsidP="00AA65DB">
            <w:pPr>
              <w:pStyle w:val="Body"/>
              <w:spacing w:after="0"/>
              <w:rPr>
                <w:rFonts w:ascii="Arial" w:hAnsi="Arial" w:cs="Arial"/>
              </w:rPr>
            </w:pPr>
            <w:r w:rsidRPr="00AA65DB">
              <w:rPr>
                <w:rFonts w:ascii="Arial" w:hAnsi="Arial" w:cs="Arial"/>
              </w:rPr>
              <w:t>2014</w:t>
            </w:r>
          </w:p>
        </w:tc>
        <w:tc>
          <w:tcPr>
            <w:tcW w:w="756" w:type="pct"/>
            <w:vAlign w:val="center"/>
            <w:hideMark/>
          </w:tcPr>
          <w:p w14:paraId="48B99968" w14:textId="77777777" w:rsidR="00AA65DB" w:rsidRPr="00AA65DB" w:rsidRDefault="00AA65DB" w:rsidP="00AA65DB">
            <w:pPr>
              <w:pStyle w:val="Body"/>
              <w:spacing w:after="0"/>
              <w:rPr>
                <w:rFonts w:ascii="Arial" w:hAnsi="Arial" w:cs="Arial"/>
              </w:rPr>
            </w:pPr>
            <w:r w:rsidRPr="00AA65DB">
              <w:rPr>
                <w:rFonts w:ascii="Arial" w:hAnsi="Arial" w:cs="Arial"/>
              </w:rPr>
              <w:t>101.05 ± 16.65</w:t>
            </w:r>
          </w:p>
        </w:tc>
        <w:tc>
          <w:tcPr>
            <w:tcW w:w="834" w:type="pct"/>
            <w:vAlign w:val="center"/>
            <w:hideMark/>
          </w:tcPr>
          <w:p w14:paraId="133F1089" w14:textId="77777777" w:rsidR="00AA65DB" w:rsidRPr="00AA65DB" w:rsidRDefault="00AA65DB" w:rsidP="00AA65DB">
            <w:pPr>
              <w:pStyle w:val="Body"/>
              <w:spacing w:after="0"/>
              <w:rPr>
                <w:rFonts w:ascii="Arial" w:hAnsi="Arial" w:cs="Arial"/>
              </w:rPr>
            </w:pPr>
            <w:r w:rsidRPr="00AA65DB">
              <w:rPr>
                <w:rFonts w:ascii="Arial" w:hAnsi="Arial" w:cs="Arial"/>
              </w:rPr>
              <w:t>115.99 ± 18.50</w:t>
            </w:r>
          </w:p>
        </w:tc>
        <w:tc>
          <w:tcPr>
            <w:tcW w:w="403" w:type="pct"/>
            <w:vAlign w:val="center"/>
            <w:hideMark/>
          </w:tcPr>
          <w:p w14:paraId="756A24DE" w14:textId="77777777" w:rsidR="00AA65DB" w:rsidRPr="00AA65DB" w:rsidRDefault="00AA65DB" w:rsidP="00AA65DB">
            <w:pPr>
              <w:pStyle w:val="Body"/>
              <w:spacing w:after="0"/>
              <w:rPr>
                <w:rFonts w:ascii="Arial" w:hAnsi="Arial" w:cs="Arial"/>
              </w:rPr>
            </w:pPr>
            <w:r w:rsidRPr="00AA65DB">
              <w:rPr>
                <w:rFonts w:ascii="Arial" w:hAnsi="Arial" w:cs="Arial"/>
              </w:rPr>
              <w:t>&lt;0.001</w:t>
            </w:r>
          </w:p>
        </w:tc>
        <w:tc>
          <w:tcPr>
            <w:tcW w:w="757" w:type="pct"/>
            <w:vAlign w:val="center"/>
            <w:hideMark/>
          </w:tcPr>
          <w:p w14:paraId="04155555"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42CF9CC7" w14:textId="77777777" w:rsidTr="00651A74">
        <w:trPr>
          <w:tblCellSpacing w:w="15" w:type="dxa"/>
        </w:trPr>
        <w:tc>
          <w:tcPr>
            <w:tcW w:w="753" w:type="pct"/>
            <w:vAlign w:val="center"/>
            <w:hideMark/>
          </w:tcPr>
          <w:p w14:paraId="1AE8D12E" w14:textId="77777777" w:rsidR="00AA65DB" w:rsidRPr="00AA65DB" w:rsidRDefault="00AA65DB" w:rsidP="00AA65DB">
            <w:pPr>
              <w:pStyle w:val="Body"/>
              <w:spacing w:after="0"/>
              <w:rPr>
                <w:rFonts w:ascii="Arial" w:hAnsi="Arial" w:cs="Arial"/>
              </w:rPr>
            </w:pPr>
            <w:r w:rsidRPr="00AA65DB">
              <w:rPr>
                <w:rFonts w:ascii="Arial" w:hAnsi="Arial" w:cs="Arial"/>
              </w:rPr>
              <w:t>Attah et al.</w:t>
            </w:r>
          </w:p>
        </w:tc>
        <w:tc>
          <w:tcPr>
            <w:tcW w:w="1112" w:type="pct"/>
            <w:vAlign w:val="center"/>
            <w:hideMark/>
          </w:tcPr>
          <w:p w14:paraId="70AD8E53" w14:textId="77777777" w:rsidR="00AA65DB" w:rsidRPr="00AA65DB" w:rsidRDefault="00AA65DB" w:rsidP="00AA65DB">
            <w:pPr>
              <w:pStyle w:val="Body"/>
              <w:spacing w:after="0"/>
              <w:rPr>
                <w:rFonts w:ascii="Arial" w:hAnsi="Arial" w:cs="Arial"/>
              </w:rPr>
            </w:pPr>
            <w:r w:rsidRPr="00AA65DB">
              <w:rPr>
                <w:rFonts w:ascii="Arial" w:hAnsi="Arial" w:cs="Arial"/>
              </w:rPr>
              <w:t>Maiduguri, North-Eastern Nigeria</w:t>
            </w:r>
          </w:p>
        </w:tc>
        <w:tc>
          <w:tcPr>
            <w:tcW w:w="267" w:type="pct"/>
            <w:vAlign w:val="center"/>
            <w:hideMark/>
          </w:tcPr>
          <w:p w14:paraId="4D3A0455"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45C50639" w14:textId="77777777" w:rsidR="00AA65DB" w:rsidRPr="00AA65DB" w:rsidRDefault="00AA65DB" w:rsidP="00AA65DB">
            <w:pPr>
              <w:pStyle w:val="Body"/>
              <w:spacing w:after="0"/>
              <w:rPr>
                <w:rFonts w:ascii="Arial" w:hAnsi="Arial" w:cs="Arial"/>
              </w:rPr>
            </w:pPr>
            <w:r w:rsidRPr="00AA65DB">
              <w:rPr>
                <w:rFonts w:ascii="Arial" w:hAnsi="Arial" w:cs="Arial"/>
              </w:rPr>
              <w:t>88.50</w:t>
            </w:r>
          </w:p>
        </w:tc>
        <w:tc>
          <w:tcPr>
            <w:tcW w:w="834" w:type="pct"/>
            <w:vAlign w:val="center"/>
            <w:hideMark/>
          </w:tcPr>
          <w:p w14:paraId="328C8E47" w14:textId="77777777" w:rsidR="00AA65DB" w:rsidRPr="00AA65DB" w:rsidRDefault="00AA65DB" w:rsidP="00AA65DB">
            <w:pPr>
              <w:pStyle w:val="Body"/>
              <w:spacing w:after="0"/>
              <w:rPr>
                <w:rFonts w:ascii="Arial" w:hAnsi="Arial" w:cs="Arial"/>
              </w:rPr>
            </w:pPr>
            <w:r w:rsidRPr="00AA65DB">
              <w:rPr>
                <w:rFonts w:ascii="Arial" w:hAnsi="Arial" w:cs="Arial"/>
              </w:rPr>
              <w:t>106.80</w:t>
            </w:r>
          </w:p>
        </w:tc>
        <w:tc>
          <w:tcPr>
            <w:tcW w:w="403" w:type="pct"/>
            <w:vAlign w:val="center"/>
            <w:hideMark/>
          </w:tcPr>
          <w:p w14:paraId="553AFDE7"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532B6507"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73864A7F" w14:textId="77777777" w:rsidTr="00651A74">
        <w:trPr>
          <w:tblCellSpacing w:w="15" w:type="dxa"/>
        </w:trPr>
        <w:tc>
          <w:tcPr>
            <w:tcW w:w="753" w:type="pct"/>
            <w:vAlign w:val="center"/>
            <w:hideMark/>
          </w:tcPr>
          <w:p w14:paraId="31BE52F7"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6D818AF2" w14:textId="77777777" w:rsidR="00AA65DB" w:rsidRPr="00AA65DB" w:rsidRDefault="00AA65DB" w:rsidP="00AA65DB">
            <w:pPr>
              <w:pStyle w:val="Body"/>
              <w:spacing w:after="0"/>
              <w:rPr>
                <w:rFonts w:ascii="Arial" w:hAnsi="Arial" w:cs="Arial"/>
              </w:rPr>
            </w:pPr>
            <w:r w:rsidRPr="00AA65DB">
              <w:rPr>
                <w:rFonts w:ascii="Arial" w:hAnsi="Arial" w:cs="Arial"/>
              </w:rPr>
              <w:t>Urhobo (Delta State, Nigeria)</w:t>
            </w:r>
          </w:p>
        </w:tc>
        <w:tc>
          <w:tcPr>
            <w:tcW w:w="267" w:type="pct"/>
            <w:vAlign w:val="center"/>
            <w:hideMark/>
          </w:tcPr>
          <w:p w14:paraId="1DBC4F1E"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5C33E646" w14:textId="77777777" w:rsidR="00AA65DB" w:rsidRPr="00AA65DB" w:rsidRDefault="00AA65DB" w:rsidP="00AA65DB">
            <w:pPr>
              <w:pStyle w:val="Body"/>
              <w:spacing w:after="0"/>
              <w:rPr>
                <w:rFonts w:ascii="Arial" w:hAnsi="Arial" w:cs="Arial"/>
              </w:rPr>
            </w:pPr>
            <w:r w:rsidRPr="00AA65DB">
              <w:rPr>
                <w:rFonts w:ascii="Arial" w:hAnsi="Arial" w:cs="Arial"/>
              </w:rPr>
              <w:t>91.66 ± 5.86</w:t>
            </w:r>
          </w:p>
        </w:tc>
        <w:tc>
          <w:tcPr>
            <w:tcW w:w="834" w:type="pct"/>
            <w:vAlign w:val="center"/>
            <w:hideMark/>
          </w:tcPr>
          <w:p w14:paraId="4E15E3FF" w14:textId="77777777" w:rsidR="00AA65DB" w:rsidRPr="00AA65DB" w:rsidRDefault="00AA65DB" w:rsidP="00AA65DB">
            <w:pPr>
              <w:pStyle w:val="Body"/>
              <w:spacing w:after="0"/>
              <w:rPr>
                <w:rFonts w:ascii="Arial" w:hAnsi="Arial" w:cs="Arial"/>
              </w:rPr>
            </w:pPr>
            <w:r w:rsidRPr="00AA65DB">
              <w:rPr>
                <w:rFonts w:ascii="Arial" w:hAnsi="Arial" w:cs="Arial"/>
              </w:rPr>
              <w:t>114.93 ± 18.14</w:t>
            </w:r>
          </w:p>
        </w:tc>
        <w:tc>
          <w:tcPr>
            <w:tcW w:w="403" w:type="pct"/>
            <w:vAlign w:val="center"/>
            <w:hideMark/>
          </w:tcPr>
          <w:p w14:paraId="38D87BF0"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641778E8"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6F17C1D2" w14:textId="77777777" w:rsidTr="00651A74">
        <w:trPr>
          <w:tblCellSpacing w:w="15" w:type="dxa"/>
        </w:trPr>
        <w:tc>
          <w:tcPr>
            <w:tcW w:w="753" w:type="pct"/>
            <w:vAlign w:val="center"/>
            <w:hideMark/>
          </w:tcPr>
          <w:p w14:paraId="01E4F1C3" w14:textId="77777777" w:rsidR="00AA65DB" w:rsidRPr="00AA65DB" w:rsidRDefault="00AA65DB" w:rsidP="00AA65DB">
            <w:pPr>
              <w:pStyle w:val="Body"/>
              <w:spacing w:after="0"/>
              <w:rPr>
                <w:rFonts w:ascii="Arial" w:hAnsi="Arial" w:cs="Arial"/>
              </w:rPr>
            </w:pPr>
            <w:r w:rsidRPr="00AA65DB">
              <w:rPr>
                <w:rFonts w:ascii="Arial" w:hAnsi="Arial" w:cs="Arial"/>
              </w:rPr>
              <w:t>Oladipo et al.</w:t>
            </w:r>
          </w:p>
        </w:tc>
        <w:tc>
          <w:tcPr>
            <w:tcW w:w="1112" w:type="pct"/>
            <w:vAlign w:val="center"/>
            <w:hideMark/>
          </w:tcPr>
          <w:p w14:paraId="471B70A0" w14:textId="77777777" w:rsidR="00AA65DB" w:rsidRPr="00AA65DB" w:rsidRDefault="00AA65DB" w:rsidP="00AA65DB">
            <w:pPr>
              <w:pStyle w:val="Body"/>
              <w:spacing w:after="0"/>
              <w:rPr>
                <w:rFonts w:ascii="Arial" w:hAnsi="Arial" w:cs="Arial"/>
              </w:rPr>
            </w:pPr>
            <w:proofErr w:type="spellStart"/>
            <w:r w:rsidRPr="00AA65DB">
              <w:rPr>
                <w:rFonts w:ascii="Arial" w:hAnsi="Arial" w:cs="Arial"/>
              </w:rPr>
              <w:t>Itsekiri</w:t>
            </w:r>
            <w:proofErr w:type="spellEnd"/>
            <w:r w:rsidRPr="00AA65DB">
              <w:rPr>
                <w:rFonts w:ascii="Arial" w:hAnsi="Arial" w:cs="Arial"/>
              </w:rPr>
              <w:t xml:space="preserve"> (Delta State, Nigeria)</w:t>
            </w:r>
          </w:p>
        </w:tc>
        <w:tc>
          <w:tcPr>
            <w:tcW w:w="267" w:type="pct"/>
            <w:vAlign w:val="center"/>
            <w:hideMark/>
          </w:tcPr>
          <w:p w14:paraId="02BC791B" w14:textId="77777777" w:rsidR="00AA65DB" w:rsidRPr="00AA65DB" w:rsidRDefault="00AA65DB" w:rsidP="00AA65DB">
            <w:pPr>
              <w:pStyle w:val="Body"/>
              <w:spacing w:after="0"/>
              <w:rPr>
                <w:rFonts w:ascii="Arial" w:hAnsi="Arial" w:cs="Arial"/>
              </w:rPr>
            </w:pPr>
            <w:r w:rsidRPr="00AA65DB">
              <w:rPr>
                <w:rFonts w:ascii="Arial" w:hAnsi="Arial" w:cs="Arial"/>
              </w:rPr>
              <w:t>2015</w:t>
            </w:r>
          </w:p>
        </w:tc>
        <w:tc>
          <w:tcPr>
            <w:tcW w:w="756" w:type="pct"/>
            <w:vAlign w:val="center"/>
            <w:hideMark/>
          </w:tcPr>
          <w:p w14:paraId="137EB629" w14:textId="77777777" w:rsidR="00AA65DB" w:rsidRPr="00AA65DB" w:rsidRDefault="00AA65DB" w:rsidP="00AA65DB">
            <w:pPr>
              <w:pStyle w:val="Body"/>
              <w:spacing w:after="0"/>
              <w:rPr>
                <w:rFonts w:ascii="Arial" w:hAnsi="Arial" w:cs="Arial"/>
              </w:rPr>
            </w:pPr>
            <w:r w:rsidRPr="00AA65DB">
              <w:rPr>
                <w:rFonts w:ascii="Arial" w:hAnsi="Arial" w:cs="Arial"/>
              </w:rPr>
              <w:t>98.40 ± 9.37</w:t>
            </w:r>
          </w:p>
        </w:tc>
        <w:tc>
          <w:tcPr>
            <w:tcW w:w="834" w:type="pct"/>
            <w:vAlign w:val="center"/>
            <w:hideMark/>
          </w:tcPr>
          <w:p w14:paraId="7F1F02F5" w14:textId="77777777" w:rsidR="00AA65DB" w:rsidRPr="00AA65DB" w:rsidRDefault="00AA65DB" w:rsidP="00AA65DB">
            <w:pPr>
              <w:pStyle w:val="Body"/>
              <w:spacing w:after="0"/>
              <w:rPr>
                <w:rFonts w:ascii="Arial" w:hAnsi="Arial" w:cs="Arial"/>
              </w:rPr>
            </w:pPr>
            <w:r w:rsidRPr="00AA65DB">
              <w:rPr>
                <w:rFonts w:ascii="Arial" w:hAnsi="Arial" w:cs="Arial"/>
              </w:rPr>
              <w:t>111.03 ± 18.37</w:t>
            </w:r>
          </w:p>
        </w:tc>
        <w:tc>
          <w:tcPr>
            <w:tcW w:w="403" w:type="pct"/>
            <w:vAlign w:val="center"/>
            <w:hideMark/>
          </w:tcPr>
          <w:p w14:paraId="63C16D75"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0E911678"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3F3775CE" w14:textId="77777777" w:rsidTr="00651A74">
        <w:trPr>
          <w:tblCellSpacing w:w="15" w:type="dxa"/>
        </w:trPr>
        <w:tc>
          <w:tcPr>
            <w:tcW w:w="753" w:type="pct"/>
            <w:vAlign w:val="center"/>
            <w:hideMark/>
          </w:tcPr>
          <w:p w14:paraId="7D739962" w14:textId="77777777" w:rsidR="00AA65DB" w:rsidRPr="00AA65DB" w:rsidRDefault="00AA65DB" w:rsidP="00AA65DB">
            <w:pPr>
              <w:pStyle w:val="Body"/>
              <w:spacing w:after="0"/>
              <w:rPr>
                <w:rFonts w:ascii="Arial" w:hAnsi="Arial" w:cs="Arial"/>
              </w:rPr>
            </w:pPr>
            <w:proofErr w:type="spellStart"/>
            <w:r w:rsidRPr="00AA65DB">
              <w:rPr>
                <w:rFonts w:ascii="Arial" w:hAnsi="Arial" w:cs="Arial"/>
              </w:rPr>
              <w:t>Igbigbi</w:t>
            </w:r>
            <w:proofErr w:type="spellEnd"/>
            <w:r w:rsidRPr="00AA65DB">
              <w:rPr>
                <w:rFonts w:ascii="Arial" w:hAnsi="Arial" w:cs="Arial"/>
              </w:rPr>
              <w:t xml:space="preserve"> &amp; Msamati</w:t>
            </w:r>
          </w:p>
        </w:tc>
        <w:tc>
          <w:tcPr>
            <w:tcW w:w="1112" w:type="pct"/>
            <w:vAlign w:val="center"/>
            <w:hideMark/>
          </w:tcPr>
          <w:p w14:paraId="56D04DCB" w14:textId="77777777" w:rsidR="00AA65DB" w:rsidRPr="00AA65DB" w:rsidRDefault="00AA65DB" w:rsidP="00AA65DB">
            <w:pPr>
              <w:pStyle w:val="Body"/>
              <w:spacing w:after="0"/>
              <w:rPr>
                <w:rFonts w:ascii="Arial" w:hAnsi="Arial" w:cs="Arial"/>
              </w:rPr>
            </w:pPr>
            <w:r w:rsidRPr="00AA65DB">
              <w:rPr>
                <w:rFonts w:ascii="Arial" w:hAnsi="Arial" w:cs="Arial"/>
              </w:rPr>
              <w:t>Black Malawians</w:t>
            </w:r>
          </w:p>
        </w:tc>
        <w:tc>
          <w:tcPr>
            <w:tcW w:w="267" w:type="pct"/>
            <w:vAlign w:val="center"/>
            <w:hideMark/>
          </w:tcPr>
          <w:p w14:paraId="10455511" w14:textId="77777777" w:rsidR="00AA65DB" w:rsidRPr="00AA65DB" w:rsidRDefault="00AA65DB" w:rsidP="00AA65DB">
            <w:pPr>
              <w:pStyle w:val="Body"/>
              <w:spacing w:after="0"/>
              <w:rPr>
                <w:rFonts w:ascii="Arial" w:hAnsi="Arial" w:cs="Arial"/>
              </w:rPr>
            </w:pPr>
            <w:r w:rsidRPr="00AA65DB">
              <w:rPr>
                <w:rFonts w:ascii="Arial" w:hAnsi="Arial" w:cs="Arial"/>
              </w:rPr>
              <w:t>2000</w:t>
            </w:r>
          </w:p>
        </w:tc>
        <w:tc>
          <w:tcPr>
            <w:tcW w:w="756" w:type="pct"/>
            <w:vAlign w:val="center"/>
            <w:hideMark/>
          </w:tcPr>
          <w:p w14:paraId="4EDD2B5E" w14:textId="77777777" w:rsidR="00AA65DB" w:rsidRPr="00AA65DB" w:rsidRDefault="00AA65DB" w:rsidP="00AA65DB">
            <w:pPr>
              <w:pStyle w:val="Body"/>
              <w:spacing w:after="0"/>
              <w:rPr>
                <w:rFonts w:ascii="Arial" w:hAnsi="Arial" w:cs="Arial"/>
              </w:rPr>
            </w:pPr>
            <w:r w:rsidRPr="00AA65DB">
              <w:rPr>
                <w:rFonts w:ascii="Arial" w:hAnsi="Arial" w:cs="Arial"/>
              </w:rPr>
              <w:t>85.00 ± 15.70</w:t>
            </w:r>
          </w:p>
        </w:tc>
        <w:tc>
          <w:tcPr>
            <w:tcW w:w="834" w:type="pct"/>
            <w:vAlign w:val="center"/>
            <w:hideMark/>
          </w:tcPr>
          <w:p w14:paraId="15D585D9" w14:textId="77777777" w:rsidR="00AA65DB" w:rsidRPr="00AA65DB" w:rsidRDefault="00AA65DB" w:rsidP="00AA65DB">
            <w:pPr>
              <w:pStyle w:val="Body"/>
              <w:spacing w:after="0"/>
              <w:rPr>
                <w:rFonts w:ascii="Arial" w:hAnsi="Arial" w:cs="Arial"/>
              </w:rPr>
            </w:pPr>
            <w:r w:rsidRPr="00AA65DB">
              <w:rPr>
                <w:rFonts w:ascii="Arial" w:hAnsi="Arial" w:cs="Arial"/>
              </w:rPr>
              <w:t>104.60 ± 15.70</w:t>
            </w:r>
          </w:p>
        </w:tc>
        <w:tc>
          <w:tcPr>
            <w:tcW w:w="403" w:type="pct"/>
            <w:vAlign w:val="center"/>
            <w:hideMark/>
          </w:tcPr>
          <w:p w14:paraId="3B7CA15C"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374723DC"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20583436" w14:textId="77777777" w:rsidTr="00651A74">
        <w:trPr>
          <w:tblCellSpacing w:w="15" w:type="dxa"/>
        </w:trPr>
        <w:tc>
          <w:tcPr>
            <w:tcW w:w="753" w:type="pct"/>
            <w:vAlign w:val="center"/>
            <w:hideMark/>
          </w:tcPr>
          <w:p w14:paraId="4DAF333B" w14:textId="77777777" w:rsidR="00AA65DB" w:rsidRPr="00AA65DB" w:rsidRDefault="00AA65DB" w:rsidP="00AA65DB">
            <w:pPr>
              <w:pStyle w:val="Body"/>
              <w:spacing w:after="0"/>
              <w:rPr>
                <w:rFonts w:ascii="Arial" w:hAnsi="Arial" w:cs="Arial"/>
              </w:rPr>
            </w:pPr>
            <w:r w:rsidRPr="00AA65DB">
              <w:rPr>
                <w:rFonts w:ascii="Arial" w:hAnsi="Arial" w:cs="Arial"/>
              </w:rPr>
              <w:t>Washburn</w:t>
            </w:r>
          </w:p>
        </w:tc>
        <w:tc>
          <w:tcPr>
            <w:tcW w:w="1112" w:type="pct"/>
            <w:vAlign w:val="center"/>
            <w:hideMark/>
          </w:tcPr>
          <w:p w14:paraId="554D3EA4" w14:textId="77777777" w:rsidR="00AA65DB" w:rsidRPr="00AA65DB" w:rsidRDefault="00AA65DB" w:rsidP="00AA65DB">
            <w:pPr>
              <w:pStyle w:val="Body"/>
              <w:spacing w:after="0"/>
              <w:rPr>
                <w:rFonts w:ascii="Arial" w:hAnsi="Arial" w:cs="Arial"/>
              </w:rPr>
            </w:pPr>
            <w:r w:rsidRPr="00AA65DB">
              <w:rPr>
                <w:rFonts w:ascii="Arial" w:hAnsi="Arial" w:cs="Arial"/>
              </w:rPr>
              <w:t>White Americans</w:t>
            </w:r>
          </w:p>
        </w:tc>
        <w:tc>
          <w:tcPr>
            <w:tcW w:w="267" w:type="pct"/>
            <w:vAlign w:val="center"/>
            <w:hideMark/>
          </w:tcPr>
          <w:p w14:paraId="0F68FC1D" w14:textId="77777777" w:rsidR="00AA65DB" w:rsidRPr="00AA65DB" w:rsidRDefault="00AA65DB" w:rsidP="00AA65DB">
            <w:pPr>
              <w:pStyle w:val="Body"/>
              <w:spacing w:after="0"/>
              <w:rPr>
                <w:rFonts w:ascii="Arial" w:hAnsi="Arial" w:cs="Arial"/>
              </w:rPr>
            </w:pPr>
            <w:r w:rsidRPr="00AA65DB">
              <w:rPr>
                <w:rFonts w:ascii="Arial" w:hAnsi="Arial" w:cs="Arial"/>
              </w:rPr>
              <w:t>1948</w:t>
            </w:r>
          </w:p>
        </w:tc>
        <w:tc>
          <w:tcPr>
            <w:tcW w:w="756" w:type="pct"/>
            <w:vAlign w:val="center"/>
            <w:hideMark/>
          </w:tcPr>
          <w:p w14:paraId="499C928A" w14:textId="77777777" w:rsidR="00AA65DB" w:rsidRPr="00AA65DB" w:rsidRDefault="00AA65DB" w:rsidP="00AA65DB">
            <w:pPr>
              <w:pStyle w:val="Body"/>
              <w:spacing w:after="0"/>
              <w:rPr>
                <w:rFonts w:ascii="Arial" w:hAnsi="Arial" w:cs="Arial"/>
              </w:rPr>
            </w:pPr>
            <w:r w:rsidRPr="00AA65DB">
              <w:rPr>
                <w:rFonts w:ascii="Arial" w:hAnsi="Arial" w:cs="Arial"/>
              </w:rPr>
              <w:t>83.60</w:t>
            </w:r>
          </w:p>
        </w:tc>
        <w:tc>
          <w:tcPr>
            <w:tcW w:w="834" w:type="pct"/>
            <w:vAlign w:val="center"/>
            <w:hideMark/>
          </w:tcPr>
          <w:p w14:paraId="16AEA635" w14:textId="77777777" w:rsidR="00AA65DB" w:rsidRPr="00AA65DB" w:rsidRDefault="00AA65DB" w:rsidP="00AA65DB">
            <w:pPr>
              <w:pStyle w:val="Body"/>
              <w:spacing w:after="0"/>
              <w:rPr>
                <w:rFonts w:ascii="Arial" w:hAnsi="Arial" w:cs="Arial"/>
              </w:rPr>
            </w:pPr>
            <w:r w:rsidRPr="00AA65DB">
              <w:rPr>
                <w:rFonts w:ascii="Arial" w:hAnsi="Arial" w:cs="Arial"/>
              </w:rPr>
              <w:t>99.50</w:t>
            </w:r>
          </w:p>
        </w:tc>
        <w:tc>
          <w:tcPr>
            <w:tcW w:w="403" w:type="pct"/>
            <w:vAlign w:val="center"/>
            <w:hideMark/>
          </w:tcPr>
          <w:p w14:paraId="452AEC36"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1AB4ACDC"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r w:rsidR="00AA65DB" w:rsidRPr="00AA65DB" w14:paraId="793D1B13" w14:textId="77777777" w:rsidTr="00651A74">
        <w:trPr>
          <w:tblCellSpacing w:w="15" w:type="dxa"/>
        </w:trPr>
        <w:tc>
          <w:tcPr>
            <w:tcW w:w="753" w:type="pct"/>
            <w:vAlign w:val="center"/>
            <w:hideMark/>
          </w:tcPr>
          <w:p w14:paraId="72D7CF9C" w14:textId="77777777" w:rsidR="00AA65DB" w:rsidRPr="00AA65DB" w:rsidRDefault="00AA65DB" w:rsidP="00AA65DB">
            <w:pPr>
              <w:pStyle w:val="Body"/>
              <w:spacing w:after="0"/>
              <w:rPr>
                <w:rFonts w:ascii="Arial" w:hAnsi="Arial" w:cs="Arial"/>
              </w:rPr>
            </w:pPr>
            <w:r w:rsidRPr="00AA65DB">
              <w:rPr>
                <w:rFonts w:ascii="Arial" w:hAnsi="Arial" w:cs="Arial"/>
              </w:rPr>
              <w:t>Hanna &amp; Washburn</w:t>
            </w:r>
          </w:p>
        </w:tc>
        <w:tc>
          <w:tcPr>
            <w:tcW w:w="1112" w:type="pct"/>
            <w:vAlign w:val="center"/>
            <w:hideMark/>
          </w:tcPr>
          <w:p w14:paraId="5C448543" w14:textId="77777777" w:rsidR="00AA65DB" w:rsidRPr="00AA65DB" w:rsidRDefault="00AA65DB" w:rsidP="00AA65DB">
            <w:pPr>
              <w:pStyle w:val="Body"/>
              <w:spacing w:after="0"/>
              <w:rPr>
                <w:rFonts w:ascii="Arial" w:hAnsi="Arial" w:cs="Arial"/>
              </w:rPr>
            </w:pPr>
            <w:r w:rsidRPr="00AA65DB">
              <w:rPr>
                <w:rFonts w:ascii="Arial" w:hAnsi="Arial" w:cs="Arial"/>
              </w:rPr>
              <w:t>Australian Aborigines</w:t>
            </w:r>
          </w:p>
        </w:tc>
        <w:tc>
          <w:tcPr>
            <w:tcW w:w="267" w:type="pct"/>
            <w:vAlign w:val="center"/>
            <w:hideMark/>
          </w:tcPr>
          <w:p w14:paraId="4BB94344" w14:textId="77777777" w:rsidR="00AA65DB" w:rsidRPr="00AA65DB" w:rsidRDefault="00AA65DB" w:rsidP="00AA65DB">
            <w:pPr>
              <w:pStyle w:val="Body"/>
              <w:spacing w:after="0"/>
              <w:rPr>
                <w:rFonts w:ascii="Arial" w:hAnsi="Arial" w:cs="Arial"/>
              </w:rPr>
            </w:pPr>
            <w:r w:rsidRPr="00AA65DB">
              <w:rPr>
                <w:rFonts w:ascii="Arial" w:hAnsi="Arial" w:cs="Arial"/>
              </w:rPr>
              <w:t>1953</w:t>
            </w:r>
          </w:p>
        </w:tc>
        <w:tc>
          <w:tcPr>
            <w:tcW w:w="756" w:type="pct"/>
            <w:vAlign w:val="center"/>
            <w:hideMark/>
          </w:tcPr>
          <w:p w14:paraId="1D565F12" w14:textId="77777777" w:rsidR="00AA65DB" w:rsidRPr="00AA65DB" w:rsidRDefault="00AA65DB" w:rsidP="00AA65DB">
            <w:pPr>
              <w:pStyle w:val="Body"/>
              <w:spacing w:after="0"/>
              <w:rPr>
                <w:rFonts w:ascii="Arial" w:hAnsi="Arial" w:cs="Arial"/>
              </w:rPr>
            </w:pPr>
            <w:r w:rsidRPr="00AA65DB">
              <w:rPr>
                <w:rFonts w:ascii="Arial" w:hAnsi="Arial" w:cs="Arial"/>
              </w:rPr>
              <w:t>76.00</w:t>
            </w:r>
          </w:p>
        </w:tc>
        <w:tc>
          <w:tcPr>
            <w:tcW w:w="834" w:type="pct"/>
            <w:vAlign w:val="center"/>
            <w:hideMark/>
          </w:tcPr>
          <w:p w14:paraId="158A0770" w14:textId="77777777" w:rsidR="00AA65DB" w:rsidRPr="00AA65DB" w:rsidRDefault="00AA65DB" w:rsidP="00AA65DB">
            <w:pPr>
              <w:pStyle w:val="Body"/>
              <w:spacing w:after="0"/>
              <w:rPr>
                <w:rFonts w:ascii="Arial" w:hAnsi="Arial" w:cs="Arial"/>
              </w:rPr>
            </w:pPr>
            <w:r w:rsidRPr="00AA65DB">
              <w:rPr>
                <w:rFonts w:ascii="Arial" w:hAnsi="Arial" w:cs="Arial"/>
              </w:rPr>
              <w:t>92.70</w:t>
            </w:r>
          </w:p>
        </w:tc>
        <w:tc>
          <w:tcPr>
            <w:tcW w:w="403" w:type="pct"/>
            <w:vAlign w:val="center"/>
            <w:hideMark/>
          </w:tcPr>
          <w:p w14:paraId="6B4C1B9E" w14:textId="77777777" w:rsidR="00AA65DB" w:rsidRPr="00AA65DB" w:rsidRDefault="00AA65DB" w:rsidP="00AA65DB">
            <w:pPr>
              <w:pStyle w:val="Body"/>
              <w:spacing w:after="0"/>
              <w:rPr>
                <w:rFonts w:ascii="Arial" w:hAnsi="Arial" w:cs="Arial"/>
              </w:rPr>
            </w:pPr>
            <w:r w:rsidRPr="00AA65DB">
              <w:rPr>
                <w:rFonts w:ascii="Arial" w:hAnsi="Arial" w:cs="Arial"/>
              </w:rPr>
              <w:t>&lt;0.05</w:t>
            </w:r>
          </w:p>
        </w:tc>
        <w:tc>
          <w:tcPr>
            <w:tcW w:w="757" w:type="pct"/>
            <w:vAlign w:val="center"/>
            <w:hideMark/>
          </w:tcPr>
          <w:p w14:paraId="61CC649F" w14:textId="77777777" w:rsidR="00AA65DB" w:rsidRPr="00AA65DB" w:rsidRDefault="00AA65DB" w:rsidP="00AA65DB">
            <w:pPr>
              <w:pStyle w:val="Body"/>
              <w:spacing w:after="0"/>
              <w:rPr>
                <w:rFonts w:ascii="Arial" w:hAnsi="Arial" w:cs="Arial"/>
              </w:rPr>
            </w:pPr>
            <w:r w:rsidRPr="00AA65DB">
              <w:rPr>
                <w:rFonts w:ascii="Arial" w:hAnsi="Arial" w:cs="Arial"/>
              </w:rPr>
              <w:t>Significant</w:t>
            </w:r>
          </w:p>
        </w:tc>
      </w:tr>
    </w:tbl>
    <w:p w14:paraId="384496A6" w14:textId="77777777" w:rsidR="00AA65DB" w:rsidRPr="00AA65DB" w:rsidRDefault="00AA65DB" w:rsidP="00AA65DB">
      <w:pPr>
        <w:pStyle w:val="Body"/>
        <w:spacing w:after="0"/>
        <w:rPr>
          <w:rFonts w:ascii="Arial" w:hAnsi="Arial" w:cs="Arial"/>
        </w:rPr>
      </w:pPr>
    </w:p>
    <w:p w14:paraId="3A5423C4" w14:textId="77777777" w:rsidR="00AA65DB" w:rsidRPr="00AA65DB" w:rsidRDefault="00AA65DB" w:rsidP="00AA65DB">
      <w:pPr>
        <w:pStyle w:val="Body"/>
        <w:spacing w:after="0"/>
        <w:rPr>
          <w:rFonts w:ascii="Arial" w:hAnsi="Arial" w:cs="Arial"/>
          <w:b/>
          <w:bCs/>
        </w:rPr>
      </w:pPr>
      <w:r w:rsidRPr="00AA65DB">
        <w:rPr>
          <w:rFonts w:ascii="Arial" w:hAnsi="Arial" w:cs="Arial"/>
          <w:b/>
          <w:bCs/>
        </w:rPr>
        <w:t>DISCUSSION</w:t>
      </w:r>
    </w:p>
    <w:p w14:paraId="48ECD84A" w14:textId="77777777" w:rsidR="00AA65DB" w:rsidRPr="00AA65DB" w:rsidRDefault="00AA65DB" w:rsidP="00AA65DB">
      <w:pPr>
        <w:pStyle w:val="Body"/>
        <w:spacing w:after="0"/>
        <w:rPr>
          <w:rFonts w:ascii="Arial" w:hAnsi="Arial" w:cs="Arial"/>
        </w:rPr>
      </w:pPr>
      <w:r w:rsidRPr="00AA65DB">
        <w:rPr>
          <w:rFonts w:ascii="Arial" w:hAnsi="Arial" w:cs="Arial"/>
        </w:rPr>
        <w:t>The present study investigated sexual dimorphism of the pelvis using pubic length, ischial length, and the ischiopubic index among adult Nigerians in Port Harcourt, Rivers State. The findings demonstrated that males had a higher mean pubic length (79.14 ± 5.95 mm) than females (76.10 ± 9.21 mm), although the difference did not reach statistical significance (p = 0.053). Conversely, males exhibited a significantly greater mean ischial length (84.08 ± 5.99 mm) than females (71.97 ± 9.13 mm) (p &lt; 0.001). In contrast, females had a significantly higher mean ischiopubic index (105.81 ± 1.28) than males (94.09 ± 0.84) (p &lt; 0.001). These findings indicate that although absolute pubic length alone may not sufficiently distinguish the sexes in this population, the proportional relationship between pubic and ischial lengths, as expressed by the ischiopubic index, remains a highly reliable indicator of biological sex. This observation agrees with the anatomical principle that the female pelvis undergoes adaptive modifications to facilitate childbirth, resulting in relatively longer pubic bones and shorter ischial lengths compared with males, thereby increasing the ischiopubic index (Washburn, 1948; Kurki, 2013; Huseynov et al., 2016).</w:t>
      </w:r>
    </w:p>
    <w:p w14:paraId="413270AA" w14:textId="77777777" w:rsidR="00AA65DB" w:rsidRPr="00AA65DB" w:rsidRDefault="00AA65DB" w:rsidP="00AA65DB">
      <w:pPr>
        <w:pStyle w:val="Body"/>
        <w:spacing w:after="0"/>
        <w:rPr>
          <w:rFonts w:ascii="Arial" w:hAnsi="Arial" w:cs="Arial"/>
        </w:rPr>
      </w:pPr>
      <w:r w:rsidRPr="00AA65DB">
        <w:rPr>
          <w:rFonts w:ascii="Arial" w:hAnsi="Arial" w:cs="Arial"/>
        </w:rPr>
        <w:t>The finding that pubic length was not significantly different between males and females contrasts with several previous studies that reported significantly longer pubic lengths in females due to obstetric adaptation (Washburn, 1948; Ekanem et al., 2014). However, the present result suggests that pubic length alone may exhibit considerable overlap between the sexes within the Port Harcourt population and should therefore not be relied upon as an isolated parameter for sex estimation. In contrast, ischial length showed marked sexual dimorphism, with males possessing significantly longer ischial lengths than females. This finding is consistent with the greater skeletal robustness and larger pelvic dimensions generally observed in males as a consequence of prolonged skeletal growth, increased muscle mass, and greater mechanical loading. Similar observations have been reported among Nigerian populations by Attah et al. (2015), Ekanem et al. (2014), and Oladipo et al. (2015), as well as in other populations where male pelves consistently demonstrate longer ischial components than female pelves.</w:t>
      </w:r>
    </w:p>
    <w:p w14:paraId="4719052C" w14:textId="6D493738" w:rsidR="00AA65DB" w:rsidRDefault="00AA65DB" w:rsidP="00AA65DB">
      <w:pPr>
        <w:pStyle w:val="Body"/>
        <w:spacing w:after="0"/>
        <w:rPr>
          <w:rFonts w:ascii="Arial" w:hAnsi="Arial" w:cs="Arial"/>
        </w:rPr>
      </w:pPr>
      <w:r w:rsidRPr="00AA65DB">
        <w:rPr>
          <w:rFonts w:ascii="Arial" w:hAnsi="Arial" w:cs="Arial"/>
        </w:rPr>
        <w:t>A major finding of this study is the highly significant difference in the ischiopubic index between males and females. The male mean of 94.09 ± 0.84 and female mean of 105.81 ± 1.28 clearly demonstrate that females possess proportionally longer pubic lengths relative to their ischial lengths. This finding agrees with studies conducted in Cross River State (Ekanem et al., 200</w:t>
      </w:r>
      <w:r w:rsidR="006115F6">
        <w:rPr>
          <w:rFonts w:ascii="Arial" w:hAnsi="Arial" w:cs="Arial"/>
        </w:rPr>
        <w:t>8</w:t>
      </w:r>
      <w:r w:rsidRPr="00AA65DB">
        <w:rPr>
          <w:rFonts w:ascii="Arial" w:hAnsi="Arial" w:cs="Arial"/>
        </w:rPr>
        <w:t xml:space="preserve">), Lagos State (Ekanem et al., 2014), Maiduguri (Attah et al., 2015), South–South Nigeria (Oladipo et al., 2010), Middle Belt Nigeria (Oladipo et al., 2010), and among the Urhobo and </w:t>
      </w:r>
      <w:proofErr w:type="spellStart"/>
      <w:r w:rsidRPr="00AA65DB">
        <w:rPr>
          <w:rFonts w:ascii="Arial" w:hAnsi="Arial" w:cs="Arial"/>
        </w:rPr>
        <w:t>Itsekiri</w:t>
      </w:r>
      <w:proofErr w:type="spellEnd"/>
      <w:r w:rsidRPr="00AA65DB">
        <w:rPr>
          <w:rFonts w:ascii="Arial" w:hAnsi="Arial" w:cs="Arial"/>
        </w:rPr>
        <w:t xml:space="preserve"> ethnic groups (Oladipo et al., 2015), all of which reported significantly higher ischiopubic indices in females than in males. Likewise, studies among Black Malawians (</w:t>
      </w:r>
      <w:proofErr w:type="spellStart"/>
      <w:r w:rsidRPr="00AA65DB">
        <w:rPr>
          <w:rFonts w:ascii="Arial" w:hAnsi="Arial" w:cs="Arial"/>
        </w:rPr>
        <w:t>Igbigbi</w:t>
      </w:r>
      <w:proofErr w:type="spellEnd"/>
      <w:r w:rsidRPr="00AA65DB">
        <w:rPr>
          <w:rFonts w:ascii="Arial" w:hAnsi="Arial" w:cs="Arial"/>
        </w:rPr>
        <w:t xml:space="preserve"> &amp; Msamati, 2000), White Americans (Washburn, 1948), and Australian Aborigines (Hanna &amp; Washburn, 1953) reported similar sexually dimorphic patterns. Although the absolute values differed among populations, the direction of sexual dimorphism remained remarkably consistent, indicating that the ischiopubic index is a robust indicator of biological sex. The observed differences in mean values among populations may be attributed to variations in genetic background, ancestry, nutritional status, environmental influences, secular changes, and methodological differences in sample selection and measurement techniques. These findings reinforce the widely accepted </w:t>
      </w:r>
      <w:r w:rsidRPr="00AA65DB">
        <w:rPr>
          <w:rFonts w:ascii="Arial" w:hAnsi="Arial" w:cs="Arial"/>
        </w:rPr>
        <w:lastRenderedPageBreak/>
        <w:t>recommendation that population-specific reference values should be established for forensic and anthropological applications rather than applying universal standards.</w:t>
      </w:r>
    </w:p>
    <w:p w14:paraId="25E8338A" w14:textId="77777777" w:rsidR="00711EFC" w:rsidRPr="00AA65DB" w:rsidRDefault="00711EFC" w:rsidP="00AA65DB">
      <w:pPr>
        <w:pStyle w:val="Body"/>
        <w:spacing w:after="0"/>
        <w:rPr>
          <w:rFonts w:ascii="Arial" w:hAnsi="Arial" w:cs="Arial"/>
        </w:rPr>
      </w:pPr>
      <w:r>
        <w:rPr>
          <w:rFonts w:ascii="Arial" w:hAnsi="Arial" w:cs="Arial"/>
          <w:highlight w:val="yellow"/>
        </w:rPr>
        <w:t>Recent research highlights the broader forensic value of population-specific anthropometric indices. Nagar et al. (2024) and Dabhi et al. (2025) demonstrated population variation in cephalic and facial indices, with their findings emphasising that craniofacial measurements may differ according to ancestry, sex, and geographic background. These variations are important because reference standards developed from one population may not be directly applicable to another and could reduce the accuracy of forensic identification. Collins and Gwunireama (2026) and Collins et al. (2026) also reported the relevance of craniofacial morphometry in adult Nigerian skulls. Although these parameters assess different anatomical regions, their findings reinforce the importance of population-specific morphometric standards in forensic anthropology. Similarly, the present study demonstrates significant sexual dimorphism in the ischiopubic index, supporting its usefulness for sex estimation among adult Nigerians.</w:t>
      </w:r>
    </w:p>
    <w:p w14:paraId="580E04B5" w14:textId="77777777" w:rsidR="00AA65DB" w:rsidRPr="00AA65DB" w:rsidRDefault="00AA65DB" w:rsidP="00112510">
      <w:pPr>
        <w:pStyle w:val="Body"/>
        <w:tabs>
          <w:tab w:val="left" w:pos="9923"/>
        </w:tabs>
        <w:spacing w:after="0"/>
        <w:rPr>
          <w:rFonts w:ascii="Arial" w:hAnsi="Arial" w:cs="Arial"/>
        </w:rPr>
      </w:pPr>
      <w:r w:rsidRPr="00AA65DB">
        <w:rPr>
          <w:rFonts w:ascii="Arial" w:hAnsi="Arial" w:cs="Arial"/>
        </w:rPr>
        <w:t xml:space="preserve">The discriminant function analysis further demonstrated the utility of pubic and ischial lengths for sex estimation. The derived discriminant function, D = −1.802 − 1.333(Pubic Length) + 1.349(Ischial Length), was highly significant (Wilks' Lambda = 0.025, χ² = 356.616, p &lt; 0.001), with a very high eigenvalue (38.506) and canonical correlation (0.987), indicating excellent separation between the sexes. Furthermore, the discriminant model achieved 100.0% classification accuracy for both the original and cross-validated datasets. These results suggest that the combined use of pubic and ischial lengths provides a highly effective model for biological sex estimation within the study population. The standardized coefficients also indicate that both variables contributed substantially to the discriminant function, with ischial length showing a slightly greater contribution than pubic length. Although this level of classification accuracy is considerably higher than that reported in many previous </w:t>
      </w:r>
      <w:proofErr w:type="spellStart"/>
      <w:r w:rsidRPr="00AA65DB">
        <w:rPr>
          <w:rFonts w:ascii="Arial" w:hAnsi="Arial" w:cs="Arial"/>
        </w:rPr>
        <w:t>osteometric</w:t>
      </w:r>
      <w:proofErr w:type="spellEnd"/>
      <w:r w:rsidRPr="00AA65DB">
        <w:rPr>
          <w:rFonts w:ascii="Arial" w:hAnsi="Arial" w:cs="Arial"/>
        </w:rPr>
        <w:t xml:space="preserve"> studies, it highlights the strong discriminatory capacity of these pelvic measurements in the present sample. Nevertheless, the exceptional classification accuracy should be interpreted cautiously because discriminant functions often perform best within the population from which they are derived, and independent external validation is necessary before routine forensic application.</w:t>
      </w:r>
    </w:p>
    <w:p w14:paraId="2CD769D9" w14:textId="77777777" w:rsidR="00394400" w:rsidRDefault="00394400" w:rsidP="00441B6F">
      <w:pPr>
        <w:pStyle w:val="ConcHead"/>
        <w:spacing w:after="0"/>
        <w:jc w:val="both"/>
        <w:rPr>
          <w:rFonts w:ascii="Arial" w:hAnsi="Arial" w:cs="Arial"/>
        </w:rPr>
      </w:pPr>
    </w:p>
    <w:p w14:paraId="5F04785B"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498A22AF" w14:textId="77777777" w:rsidR="00790ADA" w:rsidRPr="00FB3A86" w:rsidRDefault="00790ADA" w:rsidP="00441B6F">
      <w:pPr>
        <w:pStyle w:val="ConcHead"/>
        <w:spacing w:after="0"/>
        <w:jc w:val="both"/>
        <w:rPr>
          <w:rFonts w:ascii="Arial" w:hAnsi="Arial" w:cs="Arial"/>
        </w:rPr>
      </w:pPr>
    </w:p>
    <w:p w14:paraId="5361756E" w14:textId="77777777" w:rsidR="00394400" w:rsidRDefault="00394400" w:rsidP="00394400">
      <w:pPr>
        <w:pStyle w:val="Body"/>
        <w:spacing w:after="0"/>
        <w:rPr>
          <w:rFonts w:ascii="Arial" w:hAnsi="Arial" w:cs="Arial"/>
        </w:rPr>
      </w:pPr>
      <w:r>
        <w:rPr>
          <w:rFonts w:ascii="Arial" w:hAnsi="Arial" w:cs="Arial"/>
        </w:rPr>
        <w:t xml:space="preserve">The present study demonstrated that the ischiopubic index is a reliable morphometric parameter for biological sex estimation among adult Nigerians in Port Harcourt, Rivers State. Although pubic length alone did not differ significantly between males and females, ischial length exhibited significant sexual dimorphism, with males possessing significantly longer ischial lengths than females. Consequently, females had a significantly higher ischiopubic index than males, confirming that the proportional relationship between pubic and ischial lengths is a dependable indicator of sex. Furthermore, discriminant function analysis showed that the combination of pubic and ischial lengths provided excellent discriminatory power, producing a statistically significant model with a classification accuracy of 100% </w:t>
      </w:r>
      <w:r>
        <w:rPr>
          <w:rFonts w:ascii="Arial" w:hAnsi="Arial" w:cs="Arial"/>
          <w:highlight w:val="yellow"/>
        </w:rPr>
        <w:t>for</w:t>
      </w:r>
      <w:r>
        <w:rPr>
          <w:rFonts w:ascii="Arial" w:hAnsi="Arial" w:cs="Arial"/>
        </w:rPr>
        <w:t xml:space="preserve"> both the original and cross-validated datasets. These findings underscore the forensic and anthropological value of pelvic morphometry and provide population-specific reference data that may assist in biological sex estimation, medicolegal investigations, and clinical anatomical practice</w:t>
      </w:r>
      <w:r>
        <w:rPr>
          <w:rFonts w:ascii="Arial" w:hAnsi="Arial" w:cs="Arial"/>
          <w:highlight w:val="yellow"/>
        </w:rPr>
        <w:t>.</w:t>
      </w:r>
    </w:p>
    <w:p w14:paraId="3262D250" w14:textId="77777777" w:rsidR="00592B48" w:rsidRDefault="00592B48" w:rsidP="00394400">
      <w:pPr>
        <w:pStyle w:val="Body"/>
        <w:spacing w:after="0"/>
        <w:rPr>
          <w:rFonts w:ascii="Arial" w:hAnsi="Arial" w:cs="Arial"/>
        </w:rPr>
      </w:pPr>
    </w:p>
    <w:p w14:paraId="106BFB78" w14:textId="77777777" w:rsidR="0050725B" w:rsidRPr="0050725B" w:rsidRDefault="0050725B" w:rsidP="0050725B">
      <w:pPr>
        <w:spacing w:before="100" w:beforeAutospacing="1" w:after="100" w:afterAutospacing="1"/>
        <w:outlineLvl w:val="2"/>
        <w:rPr>
          <w:rFonts w:ascii="Times New Roman" w:hAnsi="Times New Roman"/>
          <w:b/>
          <w:bCs/>
          <w:sz w:val="27"/>
          <w:szCs w:val="27"/>
        </w:rPr>
      </w:pPr>
      <w:r w:rsidRPr="0050725B">
        <w:rPr>
          <w:rFonts w:ascii="Times New Roman" w:hAnsi="Times New Roman"/>
          <w:b/>
          <w:bCs/>
          <w:sz w:val="27"/>
          <w:szCs w:val="27"/>
        </w:rPr>
        <w:t>Limitations</w:t>
      </w:r>
    </w:p>
    <w:p w14:paraId="199AF034" w14:textId="77777777" w:rsidR="0050725B" w:rsidRPr="0050725B" w:rsidRDefault="0050725B" w:rsidP="0050725B">
      <w:pPr>
        <w:spacing w:before="100" w:beforeAutospacing="1" w:after="100" w:afterAutospacing="1"/>
        <w:rPr>
          <w:rFonts w:ascii="Times New Roman" w:hAnsi="Times New Roman"/>
          <w:sz w:val="24"/>
          <w:szCs w:val="24"/>
        </w:rPr>
      </w:pPr>
      <w:r w:rsidRPr="0050725B">
        <w:rPr>
          <w:rFonts w:ascii="Times New Roman" w:hAnsi="Times New Roman"/>
          <w:sz w:val="24"/>
          <w:szCs w:val="24"/>
        </w:rPr>
        <w:t xml:space="preserve">This retrospective cross-sectional study used 100 purposively selected anteroposterior pelvic radiographs from a single tertiary hospital in Port Harcourt, with equal numbers of males and females. The use of archived radiographs and inclusion of only images with normal pelvic anatomy and clearly identifiable landmarks may introduce selection bias and limit </w:t>
      </w:r>
      <w:proofErr w:type="spellStart"/>
      <w:r w:rsidRPr="0050725B">
        <w:rPr>
          <w:rFonts w:ascii="Times New Roman" w:hAnsi="Times New Roman"/>
          <w:sz w:val="24"/>
          <w:szCs w:val="24"/>
        </w:rPr>
        <w:t>generalisability</w:t>
      </w:r>
      <w:proofErr w:type="spellEnd"/>
      <w:r w:rsidRPr="0050725B">
        <w:rPr>
          <w:rFonts w:ascii="Times New Roman" w:hAnsi="Times New Roman"/>
          <w:sz w:val="24"/>
          <w:szCs w:val="24"/>
        </w:rPr>
        <w:t xml:space="preserve">. Measurements obtained from printed radiographs using a digital Vernier caliper may also be susceptible to measurement variability. Although cross-validation showed high classification accuracy, the discriminant model was not independently validated. Future </w:t>
      </w:r>
      <w:proofErr w:type="spellStart"/>
      <w:r w:rsidRPr="0050725B">
        <w:rPr>
          <w:rFonts w:ascii="Times New Roman" w:hAnsi="Times New Roman"/>
          <w:sz w:val="24"/>
          <w:szCs w:val="24"/>
        </w:rPr>
        <w:t>multicentre</w:t>
      </w:r>
      <w:proofErr w:type="spellEnd"/>
      <w:r w:rsidRPr="0050725B">
        <w:rPr>
          <w:rFonts w:ascii="Times New Roman" w:hAnsi="Times New Roman"/>
          <w:sz w:val="24"/>
          <w:szCs w:val="24"/>
        </w:rPr>
        <w:t xml:space="preserve"> studies with larger, geographically diverse samples are recommended.</w:t>
      </w:r>
    </w:p>
    <w:p w14:paraId="5ACAAEF5" w14:textId="77777777" w:rsidR="0050725B" w:rsidRPr="00394400" w:rsidRDefault="0050725B" w:rsidP="00394400">
      <w:pPr>
        <w:pStyle w:val="Body"/>
        <w:spacing w:after="0"/>
        <w:rPr>
          <w:rFonts w:ascii="Arial" w:hAnsi="Arial" w:cs="Arial"/>
        </w:rPr>
      </w:pPr>
    </w:p>
    <w:p w14:paraId="5CE2DF57" w14:textId="77777777" w:rsidR="00790ADA" w:rsidRPr="00FB3A86" w:rsidRDefault="00790ADA" w:rsidP="00441B6F">
      <w:pPr>
        <w:pStyle w:val="Body"/>
        <w:spacing w:after="0"/>
        <w:rPr>
          <w:rFonts w:ascii="Arial" w:hAnsi="Arial" w:cs="Arial"/>
        </w:rPr>
      </w:pPr>
    </w:p>
    <w:p w14:paraId="069EF968" w14:textId="77777777" w:rsidR="00315186" w:rsidRPr="00315186" w:rsidRDefault="00315186" w:rsidP="00441B6F"/>
    <w:p w14:paraId="1BD2B45E"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lastRenderedPageBreak/>
        <w:t>Competing interests</w:t>
      </w:r>
    </w:p>
    <w:p w14:paraId="7D5E4CB7" w14:textId="77777777" w:rsidR="00860000" w:rsidRPr="00786D36" w:rsidRDefault="00860000" w:rsidP="00441B6F">
      <w:pPr>
        <w:pStyle w:val="ReferHead"/>
        <w:spacing w:after="0"/>
        <w:jc w:val="both"/>
        <w:rPr>
          <w:rFonts w:ascii="Arial" w:hAnsi="Arial" w:cs="Arial"/>
        </w:rPr>
      </w:pPr>
    </w:p>
    <w:p w14:paraId="25B20F21" w14:textId="77777777" w:rsidR="00371FB6" w:rsidRDefault="00394400" w:rsidP="00441B6F">
      <w:pPr>
        <w:pStyle w:val="ReferHead"/>
        <w:spacing w:after="0"/>
        <w:jc w:val="both"/>
        <w:rPr>
          <w:rFonts w:ascii="Arial" w:hAnsi="Arial" w:cs="Arial"/>
          <w:b w:val="0"/>
          <w:caps w:val="0"/>
          <w:sz w:val="20"/>
        </w:rPr>
      </w:pPr>
      <w:r w:rsidRPr="00394400">
        <w:rPr>
          <w:rFonts w:ascii="Arial" w:hAnsi="Arial" w:cs="Arial"/>
          <w:b w:val="0"/>
          <w:caps w:val="0"/>
          <w:sz w:val="20"/>
        </w:rPr>
        <w:t>The authors declare that there is no co</w:t>
      </w:r>
      <w:r>
        <w:rPr>
          <w:rFonts w:ascii="Arial" w:hAnsi="Arial" w:cs="Arial"/>
          <w:b w:val="0"/>
          <w:caps w:val="0"/>
          <w:sz w:val="20"/>
        </w:rPr>
        <w:t>mpeting</w:t>
      </w:r>
      <w:r w:rsidRPr="00394400">
        <w:rPr>
          <w:rFonts w:ascii="Arial" w:hAnsi="Arial" w:cs="Arial"/>
          <w:b w:val="0"/>
          <w:caps w:val="0"/>
          <w:sz w:val="20"/>
        </w:rPr>
        <w:t xml:space="preserve"> interest regarding the publication of this study. The research was conducted without any financial or commercial relationships that could be construed as a potential c</w:t>
      </w:r>
      <w:r>
        <w:rPr>
          <w:rFonts w:ascii="Arial" w:hAnsi="Arial" w:cs="Arial"/>
          <w:b w:val="0"/>
          <w:caps w:val="0"/>
          <w:sz w:val="20"/>
        </w:rPr>
        <w:t>ompeting</w:t>
      </w:r>
      <w:r w:rsidRPr="00394400">
        <w:rPr>
          <w:rFonts w:ascii="Arial" w:hAnsi="Arial" w:cs="Arial"/>
          <w:b w:val="0"/>
          <w:caps w:val="0"/>
          <w:sz w:val="20"/>
        </w:rPr>
        <w:t xml:space="preserve"> of interest.</w:t>
      </w:r>
    </w:p>
    <w:p w14:paraId="3AFB2833" w14:textId="77777777" w:rsidR="00394400" w:rsidRDefault="00394400" w:rsidP="00441B6F">
      <w:pPr>
        <w:pStyle w:val="ReferHead"/>
        <w:spacing w:after="0"/>
        <w:jc w:val="both"/>
        <w:rPr>
          <w:rFonts w:ascii="Arial" w:hAnsi="Arial" w:cs="Arial"/>
          <w:b w:val="0"/>
          <w:caps w:val="0"/>
          <w:sz w:val="20"/>
        </w:rPr>
      </w:pPr>
    </w:p>
    <w:p w14:paraId="504203BE" w14:textId="77777777"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p>
    <w:p w14:paraId="0F967A5A" w14:textId="77777777" w:rsidR="004C585F" w:rsidRDefault="004C585F" w:rsidP="00441B6F">
      <w:pPr>
        <w:pStyle w:val="ReferHead"/>
        <w:spacing w:after="0"/>
        <w:jc w:val="both"/>
        <w:rPr>
          <w:rFonts w:ascii="Arial" w:hAnsi="Arial" w:cs="Arial"/>
          <w:b w:val="0"/>
          <w:caps w:val="0"/>
          <w:sz w:val="20"/>
        </w:rPr>
      </w:pPr>
      <w:r>
        <w:rPr>
          <w:rFonts w:ascii="Arial" w:hAnsi="Arial" w:cs="Arial"/>
          <w:b w:val="0"/>
          <w:caps w:val="0"/>
          <w:sz w:val="20"/>
        </w:rPr>
        <w:t xml:space="preserve">The study was approved by the Ethics and Research Committee of the University of Port Harcourt and University of Port Harcourt Teaching Hospital. </w:t>
      </w:r>
    </w:p>
    <w:p w14:paraId="1AE07882" w14:textId="77777777" w:rsidR="00561F46" w:rsidRDefault="00561F46" w:rsidP="00651A74">
      <w:pPr>
        <w:rPr>
          <w:rFonts w:ascii="Times New Roman" w:hAnsi="Times New Roman"/>
          <w:b/>
        </w:rPr>
      </w:pPr>
    </w:p>
    <w:p w14:paraId="307BD457" w14:textId="77777777" w:rsidR="00651A74" w:rsidRDefault="00651A74" w:rsidP="00651A74">
      <w:pPr>
        <w:rPr>
          <w:rFonts w:ascii="Times New Roman" w:hAnsi="Times New Roman"/>
          <w:b/>
        </w:rPr>
      </w:pPr>
      <w:r w:rsidRPr="000839CE">
        <w:rPr>
          <w:rFonts w:ascii="Times New Roman" w:hAnsi="Times New Roman"/>
          <w:b/>
        </w:rPr>
        <w:t>Declaration of AI Use</w:t>
      </w:r>
    </w:p>
    <w:p w14:paraId="198DE187" w14:textId="77777777" w:rsidR="00651A74" w:rsidRDefault="00651A74" w:rsidP="00651A74">
      <w:pPr>
        <w:rPr>
          <w:rFonts w:ascii="Times New Roman" w:hAnsi="Times New Roman"/>
          <w:b/>
        </w:rPr>
      </w:pPr>
    </w:p>
    <w:p w14:paraId="7311BC4D" w14:textId="77777777" w:rsidR="00651A74" w:rsidRDefault="00651A74" w:rsidP="00651A74">
      <w:pPr>
        <w:rPr>
          <w:rFonts w:ascii="Times New Roman" w:hAnsi="Times New Roman"/>
          <w:b/>
        </w:rPr>
      </w:pPr>
    </w:p>
    <w:p w14:paraId="0A71C206" w14:textId="77777777" w:rsidR="00651A74" w:rsidRDefault="00651A74" w:rsidP="00651A74">
      <w:pPr>
        <w:rPr>
          <w:rFonts w:ascii="Times New Roman" w:hAnsi="Times New Roman"/>
          <w:b/>
        </w:rPr>
      </w:pPr>
    </w:p>
    <w:p w14:paraId="492D10F5" w14:textId="77777777" w:rsidR="00651A74" w:rsidRPr="002D08AC" w:rsidRDefault="00651A74" w:rsidP="00651A7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w</w:t>
      </w:r>
      <w:r w:rsidR="00757765">
        <w:rPr>
          <w:rFonts w:ascii="Arial" w:hAnsi="Arial" w:cs="Arial"/>
        </w:rPr>
        <w:t>as</w:t>
      </w:r>
      <w:r w:rsidRPr="002D08AC">
        <w:rPr>
          <w:rFonts w:ascii="Arial" w:hAnsi="Arial" w:cs="Arial"/>
        </w:rPr>
        <w:t xml:space="preserve"> used solely to assist with grammatical refinement and reference formatting during manuscript revision. The author(s) accept full responsibility for the accuracy, integrity, and final content of the manuscript.</w:t>
      </w:r>
    </w:p>
    <w:p w14:paraId="60F06A5B" w14:textId="77777777" w:rsidR="00651A74" w:rsidRDefault="00651A74" w:rsidP="00441B6F">
      <w:pPr>
        <w:pStyle w:val="ReferHead"/>
        <w:spacing w:after="0"/>
        <w:jc w:val="both"/>
        <w:rPr>
          <w:rFonts w:ascii="Arial" w:hAnsi="Arial" w:cs="Arial"/>
          <w:b w:val="0"/>
          <w:caps w:val="0"/>
          <w:sz w:val="20"/>
        </w:rPr>
      </w:pPr>
    </w:p>
    <w:p w14:paraId="022D1FB8" w14:textId="77777777" w:rsidR="004C585F" w:rsidRDefault="004C585F" w:rsidP="00441B6F">
      <w:pPr>
        <w:pStyle w:val="ReferHead"/>
        <w:spacing w:after="0"/>
        <w:jc w:val="both"/>
        <w:rPr>
          <w:rFonts w:ascii="Arial" w:hAnsi="Arial" w:cs="Arial"/>
          <w:b w:val="0"/>
          <w:caps w:val="0"/>
          <w:sz w:val="20"/>
        </w:rPr>
      </w:pPr>
    </w:p>
    <w:p w14:paraId="18269696"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6C6BA1A"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Attah, M. O., Suleiman, I. D., Samaila, M. C., </w:t>
      </w:r>
      <w:proofErr w:type="spellStart"/>
      <w:r w:rsidRPr="006115F6">
        <w:rPr>
          <w:rFonts w:ascii="Times New Roman" w:hAnsi="Times New Roman"/>
          <w:sz w:val="24"/>
          <w:szCs w:val="24"/>
        </w:rPr>
        <w:t>Amaza</w:t>
      </w:r>
      <w:proofErr w:type="spellEnd"/>
      <w:r w:rsidRPr="006115F6">
        <w:rPr>
          <w:rFonts w:ascii="Times New Roman" w:hAnsi="Times New Roman"/>
          <w:sz w:val="24"/>
          <w:szCs w:val="24"/>
        </w:rPr>
        <w:t xml:space="preserve">, D. S., Ishaya, H. B., Balogun, S. U., Okon, K. A., </w:t>
      </w:r>
      <w:proofErr w:type="spellStart"/>
      <w:r w:rsidRPr="006115F6">
        <w:rPr>
          <w:rFonts w:ascii="Times New Roman" w:hAnsi="Times New Roman"/>
          <w:sz w:val="24"/>
          <w:szCs w:val="24"/>
        </w:rPr>
        <w:t>Dibal</w:t>
      </w:r>
      <w:proofErr w:type="spellEnd"/>
      <w:r w:rsidRPr="006115F6">
        <w:rPr>
          <w:rFonts w:ascii="Times New Roman" w:hAnsi="Times New Roman"/>
          <w:sz w:val="24"/>
          <w:szCs w:val="24"/>
        </w:rPr>
        <w:t xml:space="preserve">, N. I., Buba, H. S., &amp; Jacks, T. W. (2015). A study of the ischiopubic index: A radiographic analysis in Maiduguri, North Eastern Nigeria. </w:t>
      </w:r>
      <w:r w:rsidRPr="006115F6">
        <w:rPr>
          <w:rFonts w:ascii="Times New Roman" w:hAnsi="Times New Roman"/>
          <w:i/>
          <w:iCs/>
          <w:sz w:val="24"/>
          <w:szCs w:val="24"/>
        </w:rPr>
        <w:t>IOSR Journal of Dental and Medical Sciences, 14</w:t>
      </w:r>
      <w:r w:rsidRPr="006115F6">
        <w:rPr>
          <w:rFonts w:ascii="Times New Roman" w:hAnsi="Times New Roman"/>
          <w:sz w:val="24"/>
          <w:szCs w:val="24"/>
        </w:rPr>
        <w:t xml:space="preserve">(8), 118–121. </w:t>
      </w:r>
      <w:hyperlink r:id="rId16" w:history="1">
        <w:r w:rsidRPr="006115F6">
          <w:rPr>
            <w:rFonts w:ascii="Times New Roman" w:hAnsi="Times New Roman"/>
            <w:color w:val="0000FF"/>
            <w:sz w:val="24"/>
            <w:szCs w:val="24"/>
            <w:u w:val="single"/>
          </w:rPr>
          <w:t>https://www.iosrjournals.org/iosr-jdms/pages/14%288%29Version-3.html</w:t>
        </w:r>
      </w:hyperlink>
    </w:p>
    <w:p w14:paraId="40DE65AA"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Caldwell, W. E., &amp; </w:t>
      </w:r>
      <w:proofErr w:type="spellStart"/>
      <w:r w:rsidRPr="006115F6">
        <w:rPr>
          <w:rFonts w:ascii="Times New Roman" w:hAnsi="Times New Roman"/>
          <w:sz w:val="24"/>
          <w:szCs w:val="24"/>
        </w:rPr>
        <w:t>Moloy</w:t>
      </w:r>
      <w:proofErr w:type="spellEnd"/>
      <w:r w:rsidRPr="006115F6">
        <w:rPr>
          <w:rFonts w:ascii="Times New Roman" w:hAnsi="Times New Roman"/>
          <w:sz w:val="24"/>
          <w:szCs w:val="24"/>
        </w:rPr>
        <w:t xml:space="preserve">, H. C. (1933). Anatomical variations in the female pelvis and their effect in labor with a suggested classification. </w:t>
      </w:r>
      <w:r w:rsidRPr="006115F6">
        <w:rPr>
          <w:rFonts w:ascii="Times New Roman" w:hAnsi="Times New Roman"/>
          <w:i/>
          <w:iCs/>
          <w:sz w:val="24"/>
          <w:szCs w:val="24"/>
        </w:rPr>
        <w:t>American Journal of Obstetrics and Gynecology, 26</w:t>
      </w:r>
      <w:r w:rsidRPr="006115F6">
        <w:rPr>
          <w:rFonts w:ascii="Times New Roman" w:hAnsi="Times New Roman"/>
          <w:sz w:val="24"/>
          <w:szCs w:val="24"/>
        </w:rPr>
        <w:t xml:space="preserve">(4), 479–505. </w:t>
      </w:r>
      <w:hyperlink r:id="rId17" w:history="1">
        <w:r w:rsidRPr="006115F6">
          <w:rPr>
            <w:rFonts w:ascii="Times New Roman" w:hAnsi="Times New Roman"/>
            <w:color w:val="0000FF"/>
            <w:sz w:val="24"/>
            <w:szCs w:val="24"/>
            <w:u w:val="single"/>
          </w:rPr>
          <w:t>https://doi.org/10.1016/S0002-9378(33)90194-5</w:t>
        </w:r>
      </w:hyperlink>
    </w:p>
    <w:p w14:paraId="2EEF0C17"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Collins, G. U., &amp; </w:t>
      </w:r>
      <w:proofErr w:type="spellStart"/>
      <w:r w:rsidRPr="006115F6">
        <w:rPr>
          <w:rFonts w:ascii="Times New Roman" w:hAnsi="Times New Roman"/>
          <w:sz w:val="24"/>
          <w:szCs w:val="24"/>
        </w:rPr>
        <w:t>Gwunireama</w:t>
      </w:r>
      <w:proofErr w:type="spellEnd"/>
      <w:r w:rsidRPr="006115F6">
        <w:rPr>
          <w:rFonts w:ascii="Times New Roman" w:hAnsi="Times New Roman"/>
          <w:sz w:val="24"/>
          <w:szCs w:val="24"/>
        </w:rPr>
        <w:t xml:space="preserve">, I. U. (2026). Morphometric evaluation of the supraorbital foramen in relation to facial landmarks in adult Nigerian skulls. </w:t>
      </w:r>
      <w:r w:rsidRPr="006115F6">
        <w:rPr>
          <w:rFonts w:ascii="Times New Roman" w:hAnsi="Times New Roman"/>
          <w:i/>
          <w:iCs/>
          <w:sz w:val="24"/>
          <w:szCs w:val="24"/>
        </w:rPr>
        <w:t>International Journal of Advanced Scientific and Technical Research, 16</w:t>
      </w:r>
      <w:r w:rsidRPr="006115F6">
        <w:rPr>
          <w:rFonts w:ascii="Times New Roman" w:hAnsi="Times New Roman"/>
          <w:sz w:val="24"/>
          <w:szCs w:val="24"/>
        </w:rPr>
        <w:t xml:space="preserve">(3), 17/1–17/15. </w:t>
      </w:r>
      <w:hyperlink r:id="rId18" w:history="1">
        <w:r w:rsidRPr="006115F6">
          <w:rPr>
            <w:rFonts w:ascii="Times New Roman" w:hAnsi="Times New Roman"/>
            <w:color w:val="0000FF"/>
            <w:sz w:val="24"/>
            <w:szCs w:val="24"/>
            <w:u w:val="single"/>
          </w:rPr>
          <w:t>https://doi.org/10.5281/zenodo.20472779</w:t>
        </w:r>
      </w:hyperlink>
    </w:p>
    <w:p w14:paraId="23AFA653"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Collins, G. U., </w:t>
      </w:r>
      <w:proofErr w:type="spellStart"/>
      <w:r w:rsidRPr="006115F6">
        <w:rPr>
          <w:rFonts w:ascii="Times New Roman" w:hAnsi="Times New Roman"/>
          <w:sz w:val="24"/>
          <w:szCs w:val="24"/>
        </w:rPr>
        <w:t>Gwunireama</w:t>
      </w:r>
      <w:proofErr w:type="spellEnd"/>
      <w:r w:rsidRPr="006115F6">
        <w:rPr>
          <w:rFonts w:ascii="Times New Roman" w:hAnsi="Times New Roman"/>
          <w:sz w:val="24"/>
          <w:szCs w:val="24"/>
        </w:rPr>
        <w:t xml:space="preserve">, I. U., &amp; </w:t>
      </w:r>
      <w:proofErr w:type="spellStart"/>
      <w:r w:rsidRPr="006115F6">
        <w:rPr>
          <w:rFonts w:ascii="Times New Roman" w:hAnsi="Times New Roman"/>
          <w:sz w:val="24"/>
          <w:szCs w:val="24"/>
        </w:rPr>
        <w:t>Ebhojaye</w:t>
      </w:r>
      <w:proofErr w:type="spellEnd"/>
      <w:r w:rsidRPr="006115F6">
        <w:rPr>
          <w:rFonts w:ascii="Times New Roman" w:hAnsi="Times New Roman"/>
          <w:sz w:val="24"/>
          <w:szCs w:val="24"/>
        </w:rPr>
        <w:t xml:space="preserve">, K. I. (2026). Morphometric analysis of the infraorbital foramen in relation to facial landmarks in adult Nigerian skulls. </w:t>
      </w:r>
      <w:r w:rsidRPr="006115F6">
        <w:rPr>
          <w:rFonts w:ascii="Times New Roman" w:hAnsi="Times New Roman"/>
          <w:i/>
          <w:iCs/>
          <w:sz w:val="24"/>
          <w:szCs w:val="24"/>
        </w:rPr>
        <w:t>International Journal of Advanced Scientific and Technical Research, 16</w:t>
      </w:r>
      <w:r w:rsidRPr="006115F6">
        <w:rPr>
          <w:rFonts w:ascii="Times New Roman" w:hAnsi="Times New Roman"/>
          <w:sz w:val="24"/>
          <w:szCs w:val="24"/>
        </w:rPr>
        <w:t xml:space="preserve">(3), 18/1–18/15. </w:t>
      </w:r>
      <w:hyperlink r:id="rId19" w:history="1">
        <w:r w:rsidRPr="006115F6">
          <w:rPr>
            <w:rFonts w:ascii="Times New Roman" w:hAnsi="Times New Roman"/>
            <w:color w:val="0000FF"/>
            <w:sz w:val="24"/>
            <w:szCs w:val="24"/>
            <w:u w:val="single"/>
          </w:rPr>
          <w:t>https://doi.org/10.5281/zenodo.20485321</w:t>
        </w:r>
      </w:hyperlink>
    </w:p>
    <w:p w14:paraId="248C7B12"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Dabhi, D., </w:t>
      </w:r>
      <w:proofErr w:type="spellStart"/>
      <w:r w:rsidRPr="006115F6">
        <w:rPr>
          <w:rFonts w:ascii="Times New Roman" w:hAnsi="Times New Roman"/>
          <w:sz w:val="24"/>
          <w:szCs w:val="24"/>
        </w:rPr>
        <w:t>Singi</w:t>
      </w:r>
      <w:proofErr w:type="spellEnd"/>
      <w:r w:rsidRPr="006115F6">
        <w:rPr>
          <w:rFonts w:ascii="Times New Roman" w:hAnsi="Times New Roman"/>
          <w:sz w:val="24"/>
          <w:szCs w:val="24"/>
        </w:rPr>
        <w:t xml:space="preserve">, Y., Nagar, N., Jain, J., Modgil, V., Rathore, R., Chhabra, D., Jain, S., Jangid, A., &amp; </w:t>
      </w:r>
      <w:proofErr w:type="spellStart"/>
      <w:r w:rsidRPr="006115F6">
        <w:rPr>
          <w:rFonts w:ascii="Times New Roman" w:hAnsi="Times New Roman"/>
          <w:sz w:val="24"/>
          <w:szCs w:val="24"/>
        </w:rPr>
        <w:t>Krishnagopal</w:t>
      </w:r>
      <w:proofErr w:type="spellEnd"/>
      <w:r w:rsidRPr="006115F6">
        <w:rPr>
          <w:rFonts w:ascii="Times New Roman" w:hAnsi="Times New Roman"/>
          <w:sz w:val="24"/>
          <w:szCs w:val="24"/>
        </w:rPr>
        <w:t xml:space="preserve">, S. N. (2025). Exploring facial index as an indicator of ethnic lineage in upper Himalayan indigenous tribal populations. </w:t>
      </w:r>
      <w:r w:rsidRPr="006115F6">
        <w:rPr>
          <w:rFonts w:ascii="Times New Roman" w:hAnsi="Times New Roman"/>
          <w:i/>
          <w:iCs/>
          <w:sz w:val="24"/>
          <w:szCs w:val="24"/>
        </w:rPr>
        <w:t>Cureus, 17</w:t>
      </w:r>
      <w:r w:rsidRPr="006115F6">
        <w:rPr>
          <w:rFonts w:ascii="Times New Roman" w:hAnsi="Times New Roman"/>
          <w:sz w:val="24"/>
          <w:szCs w:val="24"/>
        </w:rPr>
        <w:t xml:space="preserve">(5), e84773. </w:t>
      </w:r>
      <w:hyperlink r:id="rId20" w:history="1">
        <w:r w:rsidRPr="006115F6">
          <w:rPr>
            <w:rFonts w:ascii="Times New Roman" w:hAnsi="Times New Roman"/>
            <w:color w:val="0000FF"/>
            <w:sz w:val="24"/>
            <w:szCs w:val="24"/>
            <w:u w:val="single"/>
          </w:rPr>
          <w:t>https://doi.org/10.7759/cureus.84773</w:t>
        </w:r>
      </w:hyperlink>
    </w:p>
    <w:p w14:paraId="3C5A2EDE"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Ekanem, T. B., Akpan, E. J., &amp; </w:t>
      </w:r>
      <w:proofErr w:type="spellStart"/>
      <w:r w:rsidRPr="006115F6">
        <w:rPr>
          <w:rFonts w:ascii="Times New Roman" w:hAnsi="Times New Roman"/>
          <w:sz w:val="24"/>
          <w:szCs w:val="24"/>
        </w:rPr>
        <w:t>Mesembe</w:t>
      </w:r>
      <w:proofErr w:type="spellEnd"/>
      <w:r w:rsidRPr="006115F6">
        <w:rPr>
          <w:rFonts w:ascii="Times New Roman" w:hAnsi="Times New Roman"/>
          <w:sz w:val="24"/>
          <w:szCs w:val="24"/>
        </w:rPr>
        <w:t xml:space="preserve">, O. E. (2014). A study of ischiopubic index using X-ray films in Lagos State of Nigeria. </w:t>
      </w:r>
      <w:r w:rsidRPr="006115F6">
        <w:rPr>
          <w:rFonts w:ascii="Times New Roman" w:hAnsi="Times New Roman"/>
          <w:i/>
          <w:iCs/>
          <w:sz w:val="24"/>
          <w:szCs w:val="24"/>
        </w:rPr>
        <w:t>Advances in Anatomy, 2014</w:t>
      </w:r>
      <w:r w:rsidRPr="006115F6">
        <w:rPr>
          <w:rFonts w:ascii="Times New Roman" w:hAnsi="Times New Roman"/>
          <w:sz w:val="24"/>
          <w:szCs w:val="24"/>
        </w:rPr>
        <w:t xml:space="preserve">, 192897. </w:t>
      </w:r>
      <w:hyperlink r:id="rId21" w:history="1">
        <w:r w:rsidRPr="006115F6">
          <w:rPr>
            <w:rFonts w:ascii="Times New Roman" w:hAnsi="Times New Roman"/>
            <w:color w:val="0000FF"/>
            <w:sz w:val="24"/>
            <w:szCs w:val="24"/>
            <w:u w:val="single"/>
          </w:rPr>
          <w:t>https://doi.org/10.1155/2014/192897</w:t>
        </w:r>
      </w:hyperlink>
    </w:p>
    <w:p w14:paraId="6AC4BF81" w14:textId="6E205C84"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Ekanem, T. B., </w:t>
      </w:r>
      <w:proofErr w:type="spellStart"/>
      <w:r w:rsidRPr="006115F6">
        <w:rPr>
          <w:rFonts w:ascii="Times New Roman" w:hAnsi="Times New Roman"/>
          <w:sz w:val="24"/>
          <w:szCs w:val="24"/>
        </w:rPr>
        <w:t>Udongwu</w:t>
      </w:r>
      <w:proofErr w:type="spellEnd"/>
      <w:r w:rsidRPr="006115F6">
        <w:rPr>
          <w:rFonts w:ascii="Times New Roman" w:hAnsi="Times New Roman"/>
          <w:sz w:val="24"/>
          <w:szCs w:val="24"/>
        </w:rPr>
        <w:t xml:space="preserve">, A. J., &amp; Singh, S. P. (2008). Radiographic determination of sex differences in ischiopubic index of a Nigerian population. </w:t>
      </w:r>
      <w:r w:rsidRPr="006115F6">
        <w:rPr>
          <w:rFonts w:ascii="Times New Roman" w:hAnsi="Times New Roman"/>
          <w:i/>
          <w:iCs/>
          <w:sz w:val="24"/>
          <w:szCs w:val="24"/>
        </w:rPr>
        <w:t>The Internet Journal of Biological Anthropology, 3</w:t>
      </w:r>
      <w:r w:rsidRPr="006115F6">
        <w:rPr>
          <w:rFonts w:ascii="Times New Roman" w:hAnsi="Times New Roman"/>
          <w:sz w:val="24"/>
          <w:szCs w:val="24"/>
        </w:rPr>
        <w:t xml:space="preserve">(2). </w:t>
      </w:r>
      <w:hyperlink r:id="rId22" w:history="1">
        <w:r w:rsidRPr="006115F6">
          <w:rPr>
            <w:rFonts w:ascii="Times New Roman" w:hAnsi="Times New Roman"/>
            <w:color w:val="0000FF"/>
            <w:sz w:val="24"/>
            <w:szCs w:val="24"/>
            <w:u w:val="single"/>
          </w:rPr>
          <w:t>https://ispub.com/IJBA/3/2/5274</w:t>
        </w:r>
      </w:hyperlink>
    </w:p>
    <w:p w14:paraId="18F3B54C"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Espejel, F. P., &amp; Cucina, A. (2026). Sex estimation from the pelvis: Discriminant functions for quantitative indices in a modern Yucatecan population. </w:t>
      </w:r>
      <w:r w:rsidRPr="006115F6">
        <w:rPr>
          <w:rFonts w:ascii="Times New Roman" w:hAnsi="Times New Roman"/>
          <w:i/>
          <w:iCs/>
          <w:sz w:val="24"/>
          <w:szCs w:val="24"/>
        </w:rPr>
        <w:t>Forensic Anthropology, 9</w:t>
      </w:r>
      <w:r w:rsidRPr="006115F6">
        <w:rPr>
          <w:rFonts w:ascii="Times New Roman" w:hAnsi="Times New Roman"/>
          <w:sz w:val="24"/>
          <w:szCs w:val="24"/>
        </w:rPr>
        <w:t xml:space="preserve">(1), 22–33. </w:t>
      </w:r>
      <w:hyperlink r:id="rId23" w:history="1">
        <w:r w:rsidRPr="006115F6">
          <w:rPr>
            <w:rFonts w:ascii="Times New Roman" w:hAnsi="Times New Roman"/>
            <w:color w:val="0000FF"/>
            <w:sz w:val="24"/>
            <w:szCs w:val="24"/>
            <w:u w:val="single"/>
          </w:rPr>
          <w:t>https://doi.org/10.5744/fa.2024.0026</w:t>
        </w:r>
      </w:hyperlink>
    </w:p>
    <w:p w14:paraId="587EDAA2"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lastRenderedPageBreak/>
        <w:t xml:space="preserve">Franklin, D., O'Higgins, P., Oxnard, C. E., &amp; </w:t>
      </w:r>
      <w:proofErr w:type="spellStart"/>
      <w:r w:rsidRPr="006115F6">
        <w:rPr>
          <w:rFonts w:ascii="Times New Roman" w:hAnsi="Times New Roman"/>
          <w:sz w:val="24"/>
          <w:szCs w:val="24"/>
        </w:rPr>
        <w:t>Dadour</w:t>
      </w:r>
      <w:proofErr w:type="spellEnd"/>
      <w:r w:rsidRPr="006115F6">
        <w:rPr>
          <w:rFonts w:ascii="Times New Roman" w:hAnsi="Times New Roman"/>
          <w:sz w:val="24"/>
          <w:szCs w:val="24"/>
        </w:rPr>
        <w:t xml:space="preserve">, I. (2006). Determination of sex in South African Blacks by discriminant function analysis of mandibular linear dimensions: A preliminary investigation using the Zulu local population. </w:t>
      </w:r>
      <w:r w:rsidRPr="006115F6">
        <w:rPr>
          <w:rFonts w:ascii="Times New Roman" w:hAnsi="Times New Roman"/>
          <w:i/>
          <w:iCs/>
          <w:sz w:val="24"/>
          <w:szCs w:val="24"/>
        </w:rPr>
        <w:t>Forensic Science, Medicine and Pathology, 2</w:t>
      </w:r>
      <w:r w:rsidRPr="006115F6">
        <w:rPr>
          <w:rFonts w:ascii="Times New Roman" w:hAnsi="Times New Roman"/>
          <w:sz w:val="24"/>
          <w:szCs w:val="24"/>
        </w:rPr>
        <w:t xml:space="preserve">(4), 263–268. </w:t>
      </w:r>
      <w:hyperlink r:id="rId24" w:history="1">
        <w:r w:rsidRPr="006115F6">
          <w:rPr>
            <w:rFonts w:ascii="Times New Roman" w:hAnsi="Times New Roman"/>
            <w:color w:val="0000FF"/>
            <w:sz w:val="24"/>
            <w:szCs w:val="24"/>
            <w:u w:val="single"/>
          </w:rPr>
          <w:t>https://doi.org/10.1385/FSMP:2:4:263</w:t>
        </w:r>
      </w:hyperlink>
    </w:p>
    <w:p w14:paraId="15965145"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Franklin, D., &amp; Marks, M. K. (2022). The professional practice of forensic anthropology: Contemporary developments and cross-disciplinary applications. </w:t>
      </w:r>
      <w:r w:rsidRPr="006115F6">
        <w:rPr>
          <w:rFonts w:ascii="Times New Roman" w:hAnsi="Times New Roman"/>
          <w:i/>
          <w:iCs/>
          <w:sz w:val="24"/>
          <w:szCs w:val="24"/>
        </w:rPr>
        <w:t>WIREs Forensic Science, 4</w:t>
      </w:r>
      <w:r w:rsidRPr="006115F6">
        <w:rPr>
          <w:rFonts w:ascii="Times New Roman" w:hAnsi="Times New Roman"/>
          <w:sz w:val="24"/>
          <w:szCs w:val="24"/>
        </w:rPr>
        <w:t xml:space="preserve">(2), e1442. </w:t>
      </w:r>
      <w:hyperlink r:id="rId25" w:history="1">
        <w:r w:rsidRPr="006115F6">
          <w:rPr>
            <w:rFonts w:ascii="Times New Roman" w:hAnsi="Times New Roman"/>
            <w:color w:val="0000FF"/>
            <w:sz w:val="24"/>
            <w:szCs w:val="24"/>
            <w:u w:val="single"/>
          </w:rPr>
          <w:t>https://doi.org/10.1002/wfs2.1442</w:t>
        </w:r>
      </w:hyperlink>
    </w:p>
    <w:p w14:paraId="42B8846E"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Hanna, R. E., &amp; Washburn, S. L. (1953). The determination of the sex of skeletons, as illustrated by a study of the Eskimo pelvis. </w:t>
      </w:r>
      <w:r w:rsidRPr="006115F6">
        <w:rPr>
          <w:rFonts w:ascii="Times New Roman" w:hAnsi="Times New Roman"/>
          <w:i/>
          <w:iCs/>
          <w:sz w:val="24"/>
          <w:szCs w:val="24"/>
        </w:rPr>
        <w:t>Human Biology, 25</w:t>
      </w:r>
      <w:r w:rsidRPr="006115F6">
        <w:rPr>
          <w:rFonts w:ascii="Times New Roman" w:hAnsi="Times New Roman"/>
          <w:sz w:val="24"/>
          <w:szCs w:val="24"/>
        </w:rPr>
        <w:t xml:space="preserve">(1), 21–37. </w:t>
      </w:r>
      <w:hyperlink r:id="rId26" w:history="1">
        <w:r w:rsidRPr="006115F6">
          <w:rPr>
            <w:rFonts w:ascii="Times New Roman" w:hAnsi="Times New Roman"/>
            <w:color w:val="0000FF"/>
            <w:sz w:val="24"/>
            <w:szCs w:val="24"/>
            <w:u w:val="single"/>
          </w:rPr>
          <w:t>https://pubmed.ncbi.nlm.nih.gov/13061047/</w:t>
        </w:r>
      </w:hyperlink>
    </w:p>
    <w:p w14:paraId="3BBD4AED"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Huseynov, A., Zollikofer, C. P. E., </w:t>
      </w:r>
      <w:proofErr w:type="spellStart"/>
      <w:r w:rsidRPr="006115F6">
        <w:rPr>
          <w:rFonts w:ascii="Times New Roman" w:hAnsi="Times New Roman"/>
          <w:sz w:val="24"/>
          <w:szCs w:val="24"/>
        </w:rPr>
        <w:t>Coudyzer</w:t>
      </w:r>
      <w:proofErr w:type="spellEnd"/>
      <w:r w:rsidRPr="006115F6">
        <w:rPr>
          <w:rFonts w:ascii="Times New Roman" w:hAnsi="Times New Roman"/>
          <w:sz w:val="24"/>
          <w:szCs w:val="24"/>
        </w:rPr>
        <w:t xml:space="preserve">, W., Gascho, D., Kellenberger, C., Hinzpeter, R., &amp; Ponce de León, M. S. (2016). Developmental evidence for obstetric adaptation of the human female pelvis. </w:t>
      </w:r>
      <w:r w:rsidRPr="006115F6">
        <w:rPr>
          <w:rFonts w:ascii="Times New Roman" w:hAnsi="Times New Roman"/>
          <w:i/>
          <w:iCs/>
          <w:sz w:val="24"/>
          <w:szCs w:val="24"/>
        </w:rPr>
        <w:t>Proceedings of the National Academy of Sciences of the United States of America, 113</w:t>
      </w:r>
      <w:r w:rsidRPr="006115F6">
        <w:rPr>
          <w:rFonts w:ascii="Times New Roman" w:hAnsi="Times New Roman"/>
          <w:sz w:val="24"/>
          <w:szCs w:val="24"/>
        </w:rPr>
        <w:t xml:space="preserve">(19), 5227–5232. </w:t>
      </w:r>
      <w:hyperlink r:id="rId27" w:history="1">
        <w:r w:rsidRPr="006115F6">
          <w:rPr>
            <w:rFonts w:ascii="Times New Roman" w:hAnsi="Times New Roman"/>
            <w:color w:val="0000FF"/>
            <w:sz w:val="24"/>
            <w:szCs w:val="24"/>
            <w:u w:val="single"/>
          </w:rPr>
          <w:t>https://doi.org/10.1073/pnas.1517085113</w:t>
        </w:r>
      </w:hyperlink>
    </w:p>
    <w:p w14:paraId="67F02D34"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proofErr w:type="spellStart"/>
      <w:r w:rsidRPr="006115F6">
        <w:rPr>
          <w:rFonts w:ascii="Times New Roman" w:hAnsi="Times New Roman"/>
          <w:sz w:val="24"/>
          <w:szCs w:val="24"/>
        </w:rPr>
        <w:t>Igbigbi</w:t>
      </w:r>
      <w:proofErr w:type="spellEnd"/>
      <w:r w:rsidRPr="006115F6">
        <w:rPr>
          <w:rFonts w:ascii="Times New Roman" w:hAnsi="Times New Roman"/>
          <w:sz w:val="24"/>
          <w:szCs w:val="24"/>
        </w:rPr>
        <w:t xml:space="preserve">, P. S., &amp; Msamati, B. C. (2000). </w:t>
      </w:r>
      <w:proofErr w:type="spellStart"/>
      <w:r w:rsidRPr="006115F6">
        <w:rPr>
          <w:rFonts w:ascii="Times New Roman" w:hAnsi="Times New Roman"/>
          <w:sz w:val="24"/>
          <w:szCs w:val="24"/>
        </w:rPr>
        <w:t>Ischio</w:t>
      </w:r>
      <w:proofErr w:type="spellEnd"/>
      <w:r w:rsidRPr="006115F6">
        <w:rPr>
          <w:rFonts w:ascii="Times New Roman" w:hAnsi="Times New Roman"/>
          <w:sz w:val="24"/>
          <w:szCs w:val="24"/>
        </w:rPr>
        <w:t xml:space="preserve">-pubic index in adult black Malawians. </w:t>
      </w:r>
      <w:r w:rsidRPr="006115F6">
        <w:rPr>
          <w:rFonts w:ascii="Times New Roman" w:hAnsi="Times New Roman"/>
          <w:i/>
          <w:iCs/>
          <w:sz w:val="24"/>
          <w:szCs w:val="24"/>
        </w:rPr>
        <w:t>East African Medical Journal, 77</w:t>
      </w:r>
      <w:r w:rsidRPr="006115F6">
        <w:rPr>
          <w:rFonts w:ascii="Times New Roman" w:hAnsi="Times New Roman"/>
          <w:sz w:val="24"/>
          <w:szCs w:val="24"/>
        </w:rPr>
        <w:t xml:space="preserve">(9), 514–516. </w:t>
      </w:r>
      <w:hyperlink r:id="rId28" w:history="1">
        <w:r w:rsidRPr="006115F6">
          <w:rPr>
            <w:rFonts w:ascii="Times New Roman" w:hAnsi="Times New Roman"/>
            <w:color w:val="0000FF"/>
            <w:sz w:val="24"/>
            <w:szCs w:val="24"/>
            <w:u w:val="single"/>
          </w:rPr>
          <w:t>https://pubmed.ncbi.nlm.nih.gov/12862147/</w:t>
        </w:r>
      </w:hyperlink>
    </w:p>
    <w:p w14:paraId="04030C32"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Ives, G., Johns, S. E., &amp; Deter, C. (2024). Sexual dimorphism of pelvic scarring: A new method of adult biological sex estimation. </w:t>
      </w:r>
      <w:r w:rsidRPr="006115F6">
        <w:rPr>
          <w:rFonts w:ascii="Times New Roman" w:hAnsi="Times New Roman"/>
          <w:i/>
          <w:iCs/>
          <w:sz w:val="24"/>
          <w:szCs w:val="24"/>
        </w:rPr>
        <w:t>Journal of Forensic Sciences, 69</w:t>
      </w:r>
      <w:r w:rsidRPr="006115F6">
        <w:rPr>
          <w:rFonts w:ascii="Times New Roman" w:hAnsi="Times New Roman"/>
          <w:sz w:val="24"/>
          <w:szCs w:val="24"/>
        </w:rPr>
        <w:t xml:space="preserve">(6), 1959–1971. </w:t>
      </w:r>
      <w:hyperlink r:id="rId29" w:history="1">
        <w:r w:rsidRPr="006115F6">
          <w:rPr>
            <w:rFonts w:ascii="Times New Roman" w:hAnsi="Times New Roman"/>
            <w:color w:val="0000FF"/>
            <w:sz w:val="24"/>
            <w:szCs w:val="24"/>
            <w:u w:val="single"/>
          </w:rPr>
          <w:t>https://doi.org/10.1111/1556-4029.15587</w:t>
        </w:r>
      </w:hyperlink>
    </w:p>
    <w:p w14:paraId="03F787A6"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proofErr w:type="spellStart"/>
      <w:r w:rsidRPr="006115F6">
        <w:rPr>
          <w:rFonts w:ascii="Times New Roman" w:hAnsi="Times New Roman"/>
          <w:sz w:val="24"/>
          <w:szCs w:val="24"/>
        </w:rPr>
        <w:t>Klales</w:t>
      </w:r>
      <w:proofErr w:type="spellEnd"/>
      <w:r w:rsidRPr="006115F6">
        <w:rPr>
          <w:rFonts w:ascii="Times New Roman" w:hAnsi="Times New Roman"/>
          <w:sz w:val="24"/>
          <w:szCs w:val="24"/>
        </w:rPr>
        <w:t xml:space="preserve">, A. R., Ousley, S. D., &amp; Vollner, J. M. (2012). A revised method of sexing the human innominate using Phenice's nonmetric traits and statistical methods. </w:t>
      </w:r>
      <w:r w:rsidRPr="006115F6">
        <w:rPr>
          <w:rFonts w:ascii="Times New Roman" w:hAnsi="Times New Roman"/>
          <w:i/>
          <w:iCs/>
          <w:sz w:val="24"/>
          <w:szCs w:val="24"/>
        </w:rPr>
        <w:t>American Journal of Physical Anthropology, 149</w:t>
      </w:r>
      <w:r w:rsidRPr="006115F6">
        <w:rPr>
          <w:rFonts w:ascii="Times New Roman" w:hAnsi="Times New Roman"/>
          <w:sz w:val="24"/>
          <w:szCs w:val="24"/>
        </w:rPr>
        <w:t xml:space="preserve">(1), 104–114. </w:t>
      </w:r>
      <w:hyperlink r:id="rId30" w:history="1">
        <w:r w:rsidRPr="006115F6">
          <w:rPr>
            <w:rFonts w:ascii="Times New Roman" w:hAnsi="Times New Roman"/>
            <w:color w:val="0000FF"/>
            <w:sz w:val="24"/>
            <w:szCs w:val="24"/>
            <w:u w:val="single"/>
          </w:rPr>
          <w:t>https://doi.org/10.1002/ajpa.22102</w:t>
        </w:r>
      </w:hyperlink>
    </w:p>
    <w:p w14:paraId="4A1BA899"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proofErr w:type="spellStart"/>
      <w:r w:rsidRPr="006115F6">
        <w:rPr>
          <w:rFonts w:ascii="Times New Roman" w:hAnsi="Times New Roman"/>
          <w:sz w:val="24"/>
          <w:szCs w:val="24"/>
        </w:rPr>
        <w:t>Klales</w:t>
      </w:r>
      <w:proofErr w:type="spellEnd"/>
      <w:r w:rsidRPr="006115F6">
        <w:rPr>
          <w:rFonts w:ascii="Times New Roman" w:hAnsi="Times New Roman"/>
          <w:sz w:val="24"/>
          <w:szCs w:val="24"/>
        </w:rPr>
        <w:t xml:space="preserve">, A. R. (2021). Current state of sex estimation in forensic anthropology. </w:t>
      </w:r>
      <w:r w:rsidRPr="006115F6">
        <w:rPr>
          <w:rFonts w:ascii="Times New Roman" w:hAnsi="Times New Roman"/>
          <w:i/>
          <w:iCs/>
          <w:sz w:val="24"/>
          <w:szCs w:val="24"/>
        </w:rPr>
        <w:t>Forensic Anthropology, 4</w:t>
      </w:r>
      <w:r w:rsidRPr="006115F6">
        <w:rPr>
          <w:rFonts w:ascii="Times New Roman" w:hAnsi="Times New Roman"/>
          <w:sz w:val="24"/>
          <w:szCs w:val="24"/>
        </w:rPr>
        <w:t xml:space="preserve">(2), 118–133. </w:t>
      </w:r>
      <w:hyperlink r:id="rId31" w:history="1">
        <w:r w:rsidRPr="006115F6">
          <w:rPr>
            <w:rFonts w:ascii="Times New Roman" w:hAnsi="Times New Roman"/>
            <w:color w:val="0000FF"/>
            <w:sz w:val="24"/>
            <w:szCs w:val="24"/>
            <w:u w:val="single"/>
          </w:rPr>
          <w:t>https://doi.org/10.5744/fa.2020.3033</w:t>
        </w:r>
      </w:hyperlink>
    </w:p>
    <w:p w14:paraId="221FBF63"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Kurki, H. K. (2013). Bony pelvic canal size and shape in relation to body proportionality in humans. </w:t>
      </w:r>
      <w:r w:rsidRPr="006115F6">
        <w:rPr>
          <w:rFonts w:ascii="Times New Roman" w:hAnsi="Times New Roman"/>
          <w:i/>
          <w:iCs/>
          <w:sz w:val="24"/>
          <w:szCs w:val="24"/>
        </w:rPr>
        <w:t>American Journal of Physical Anthropology, 151</w:t>
      </w:r>
      <w:r w:rsidRPr="006115F6">
        <w:rPr>
          <w:rFonts w:ascii="Times New Roman" w:hAnsi="Times New Roman"/>
          <w:sz w:val="24"/>
          <w:szCs w:val="24"/>
        </w:rPr>
        <w:t xml:space="preserve">(1), 88–101. </w:t>
      </w:r>
      <w:hyperlink r:id="rId32" w:history="1">
        <w:r w:rsidRPr="006115F6">
          <w:rPr>
            <w:rFonts w:ascii="Times New Roman" w:hAnsi="Times New Roman"/>
            <w:color w:val="0000FF"/>
            <w:sz w:val="24"/>
            <w:szCs w:val="24"/>
            <w:u w:val="single"/>
          </w:rPr>
          <w:t>https://doi.org/10.1002/ajpa.22243</w:t>
        </w:r>
      </w:hyperlink>
    </w:p>
    <w:p w14:paraId="36FE0F95"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Lye, R., </w:t>
      </w:r>
      <w:proofErr w:type="spellStart"/>
      <w:r w:rsidRPr="006115F6">
        <w:rPr>
          <w:rFonts w:ascii="Times New Roman" w:hAnsi="Times New Roman"/>
          <w:sz w:val="24"/>
          <w:szCs w:val="24"/>
        </w:rPr>
        <w:t>Obertová</w:t>
      </w:r>
      <w:proofErr w:type="spellEnd"/>
      <w:r w:rsidRPr="006115F6">
        <w:rPr>
          <w:rFonts w:ascii="Times New Roman" w:hAnsi="Times New Roman"/>
          <w:sz w:val="24"/>
          <w:szCs w:val="24"/>
        </w:rPr>
        <w:t xml:space="preserve">, Z., Bachtiar, N. A., &amp; Franklin, D. (2024). Nonmetric sex estimation in a contemporary Indonesian population: A validation study using clinical pelvic MSCT scans. </w:t>
      </w:r>
      <w:r w:rsidRPr="006115F6">
        <w:rPr>
          <w:rFonts w:ascii="Times New Roman" w:hAnsi="Times New Roman"/>
          <w:i/>
          <w:iCs/>
          <w:sz w:val="24"/>
          <w:szCs w:val="24"/>
        </w:rPr>
        <w:t>International Journal of Legal Medicine, 138</w:t>
      </w:r>
      <w:r w:rsidRPr="006115F6">
        <w:rPr>
          <w:rFonts w:ascii="Times New Roman" w:hAnsi="Times New Roman"/>
          <w:sz w:val="24"/>
          <w:szCs w:val="24"/>
        </w:rPr>
        <w:t xml:space="preserve">(6), 2607–2616. </w:t>
      </w:r>
      <w:hyperlink r:id="rId33" w:history="1">
        <w:r w:rsidRPr="006115F6">
          <w:rPr>
            <w:rFonts w:ascii="Times New Roman" w:hAnsi="Times New Roman"/>
            <w:color w:val="0000FF"/>
            <w:sz w:val="24"/>
            <w:szCs w:val="24"/>
            <w:u w:val="single"/>
          </w:rPr>
          <w:t>https://doi.org/10.1007/s00414-024-03266-4</w:t>
        </w:r>
      </w:hyperlink>
    </w:p>
    <w:p w14:paraId="4BA8A012"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Meyvaci, S. S., Celik, B., </w:t>
      </w:r>
      <w:proofErr w:type="spellStart"/>
      <w:r w:rsidRPr="006115F6">
        <w:rPr>
          <w:rFonts w:ascii="Times New Roman" w:hAnsi="Times New Roman"/>
          <w:sz w:val="24"/>
          <w:szCs w:val="24"/>
        </w:rPr>
        <w:t>Ankarali</w:t>
      </w:r>
      <w:proofErr w:type="spellEnd"/>
      <w:r w:rsidRPr="006115F6">
        <w:rPr>
          <w:rFonts w:ascii="Times New Roman" w:hAnsi="Times New Roman"/>
          <w:sz w:val="24"/>
          <w:szCs w:val="24"/>
        </w:rPr>
        <w:t xml:space="preserve">, H., </w:t>
      </w:r>
      <w:proofErr w:type="spellStart"/>
      <w:r w:rsidRPr="006115F6">
        <w:rPr>
          <w:rFonts w:ascii="Times New Roman" w:hAnsi="Times New Roman"/>
          <w:sz w:val="24"/>
          <w:szCs w:val="24"/>
        </w:rPr>
        <w:t>Halicioglu</w:t>
      </w:r>
      <w:proofErr w:type="spellEnd"/>
      <w:r w:rsidRPr="006115F6">
        <w:rPr>
          <w:rFonts w:ascii="Times New Roman" w:hAnsi="Times New Roman"/>
          <w:sz w:val="24"/>
          <w:szCs w:val="24"/>
        </w:rPr>
        <w:t xml:space="preserve">, S., &amp; Karabacak, B. (2026). The subpubic angle and palpable pelvic parameters in sex estimation using machine learning algorithms in a Turkish population. </w:t>
      </w:r>
      <w:r w:rsidRPr="006115F6">
        <w:rPr>
          <w:rFonts w:ascii="Times New Roman" w:hAnsi="Times New Roman"/>
          <w:i/>
          <w:iCs/>
          <w:sz w:val="24"/>
          <w:szCs w:val="24"/>
        </w:rPr>
        <w:t>Journal of Forensic and Legal Medicine, 120</w:t>
      </w:r>
      <w:r w:rsidRPr="006115F6">
        <w:rPr>
          <w:rFonts w:ascii="Times New Roman" w:hAnsi="Times New Roman"/>
          <w:sz w:val="24"/>
          <w:szCs w:val="24"/>
        </w:rPr>
        <w:t xml:space="preserve">, 103168. </w:t>
      </w:r>
      <w:hyperlink r:id="rId34" w:history="1">
        <w:r w:rsidRPr="006115F6">
          <w:rPr>
            <w:rFonts w:ascii="Times New Roman" w:hAnsi="Times New Roman"/>
            <w:color w:val="0000FF"/>
            <w:sz w:val="24"/>
            <w:szCs w:val="24"/>
            <w:u w:val="single"/>
          </w:rPr>
          <w:t>https://doi.org/10.1016/j.jflm.2026.103168</w:t>
        </w:r>
      </w:hyperlink>
    </w:p>
    <w:p w14:paraId="1F119D52"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Nagar, N., </w:t>
      </w:r>
      <w:proofErr w:type="spellStart"/>
      <w:r w:rsidRPr="006115F6">
        <w:rPr>
          <w:rFonts w:ascii="Times New Roman" w:hAnsi="Times New Roman"/>
          <w:sz w:val="24"/>
          <w:szCs w:val="24"/>
        </w:rPr>
        <w:t>Singi</w:t>
      </w:r>
      <w:proofErr w:type="spellEnd"/>
      <w:r w:rsidRPr="006115F6">
        <w:rPr>
          <w:rFonts w:ascii="Times New Roman" w:hAnsi="Times New Roman"/>
          <w:sz w:val="24"/>
          <w:szCs w:val="24"/>
        </w:rPr>
        <w:t xml:space="preserve">, Y., Dabhi, D., &amp; Rathore, R. (2024). Cephalic index variation in the indigenous population of tribal districts in Himachal Pradesh. </w:t>
      </w:r>
      <w:r w:rsidRPr="006115F6">
        <w:rPr>
          <w:rFonts w:ascii="Times New Roman" w:hAnsi="Times New Roman"/>
          <w:i/>
          <w:iCs/>
          <w:sz w:val="24"/>
          <w:szCs w:val="24"/>
        </w:rPr>
        <w:t>Cureus, 16</w:t>
      </w:r>
      <w:r w:rsidRPr="006115F6">
        <w:rPr>
          <w:rFonts w:ascii="Times New Roman" w:hAnsi="Times New Roman"/>
          <w:sz w:val="24"/>
          <w:szCs w:val="24"/>
        </w:rPr>
        <w:t xml:space="preserve">(8), e68018. </w:t>
      </w:r>
      <w:hyperlink r:id="rId35" w:history="1">
        <w:r w:rsidRPr="006115F6">
          <w:rPr>
            <w:rFonts w:ascii="Times New Roman" w:hAnsi="Times New Roman"/>
            <w:color w:val="0000FF"/>
            <w:sz w:val="24"/>
            <w:szCs w:val="24"/>
            <w:u w:val="single"/>
          </w:rPr>
          <w:t>https://doi.org/10.7759/cureus.68018</w:t>
        </w:r>
      </w:hyperlink>
    </w:p>
    <w:p w14:paraId="01CD10E9"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Okon, M., </w:t>
      </w:r>
      <w:proofErr w:type="spellStart"/>
      <w:r w:rsidRPr="006115F6">
        <w:rPr>
          <w:rFonts w:ascii="Times New Roman" w:hAnsi="Times New Roman"/>
          <w:sz w:val="24"/>
          <w:szCs w:val="24"/>
        </w:rPr>
        <w:t>Osunwoke</w:t>
      </w:r>
      <w:proofErr w:type="spellEnd"/>
      <w:r w:rsidRPr="006115F6">
        <w:rPr>
          <w:rFonts w:ascii="Times New Roman" w:hAnsi="Times New Roman"/>
          <w:sz w:val="24"/>
          <w:szCs w:val="24"/>
        </w:rPr>
        <w:t xml:space="preserve">, E. A., &amp; </w:t>
      </w:r>
      <w:proofErr w:type="spellStart"/>
      <w:r w:rsidRPr="006115F6">
        <w:rPr>
          <w:rFonts w:ascii="Times New Roman" w:hAnsi="Times New Roman"/>
          <w:sz w:val="24"/>
          <w:szCs w:val="24"/>
        </w:rPr>
        <w:t>Arthuru</w:t>
      </w:r>
      <w:proofErr w:type="spellEnd"/>
      <w:r w:rsidRPr="006115F6">
        <w:rPr>
          <w:rFonts w:ascii="Times New Roman" w:hAnsi="Times New Roman"/>
          <w:sz w:val="24"/>
          <w:szCs w:val="24"/>
        </w:rPr>
        <w:t xml:space="preserve">, E. O. (2025). Sex determination using proximal femoral morphometry in a Nigerian population. </w:t>
      </w:r>
      <w:r w:rsidRPr="006115F6">
        <w:rPr>
          <w:rFonts w:ascii="Times New Roman" w:hAnsi="Times New Roman"/>
          <w:i/>
          <w:iCs/>
          <w:sz w:val="24"/>
          <w:szCs w:val="24"/>
        </w:rPr>
        <w:t>Asian Journal of Current Research, 10</w:t>
      </w:r>
      <w:r w:rsidRPr="006115F6">
        <w:rPr>
          <w:rFonts w:ascii="Times New Roman" w:hAnsi="Times New Roman"/>
          <w:sz w:val="24"/>
          <w:szCs w:val="24"/>
        </w:rPr>
        <w:t xml:space="preserve">(4), 429–436. </w:t>
      </w:r>
      <w:hyperlink r:id="rId36" w:history="1">
        <w:r w:rsidRPr="006115F6">
          <w:rPr>
            <w:rFonts w:ascii="Times New Roman" w:hAnsi="Times New Roman"/>
            <w:color w:val="0000FF"/>
            <w:sz w:val="24"/>
            <w:szCs w:val="24"/>
            <w:u w:val="single"/>
          </w:rPr>
          <w:t>https://doi.org/10.56557/ajocr/2025/v10i410094</w:t>
        </w:r>
      </w:hyperlink>
    </w:p>
    <w:p w14:paraId="330E5E03"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lastRenderedPageBreak/>
        <w:t xml:space="preserve">Oladipo, G. S., </w:t>
      </w:r>
      <w:proofErr w:type="spellStart"/>
      <w:r w:rsidRPr="006115F6">
        <w:rPr>
          <w:rFonts w:ascii="Times New Roman" w:hAnsi="Times New Roman"/>
          <w:sz w:val="24"/>
          <w:szCs w:val="24"/>
        </w:rPr>
        <w:t>Anugweje</w:t>
      </w:r>
      <w:proofErr w:type="spellEnd"/>
      <w:r w:rsidRPr="006115F6">
        <w:rPr>
          <w:rFonts w:ascii="Times New Roman" w:hAnsi="Times New Roman"/>
          <w:sz w:val="24"/>
          <w:szCs w:val="24"/>
        </w:rPr>
        <w:t xml:space="preserve">, K. C., Rosemary, E. O., &amp; Godwin, C. U. (2015). Radiologic study of ischiopubic index of Urhobos and </w:t>
      </w:r>
      <w:proofErr w:type="spellStart"/>
      <w:r w:rsidRPr="006115F6">
        <w:rPr>
          <w:rFonts w:ascii="Times New Roman" w:hAnsi="Times New Roman"/>
          <w:sz w:val="24"/>
          <w:szCs w:val="24"/>
        </w:rPr>
        <w:t>Itsekiris</w:t>
      </w:r>
      <w:proofErr w:type="spellEnd"/>
      <w:r w:rsidRPr="006115F6">
        <w:rPr>
          <w:rFonts w:ascii="Times New Roman" w:hAnsi="Times New Roman"/>
          <w:sz w:val="24"/>
          <w:szCs w:val="24"/>
        </w:rPr>
        <w:t xml:space="preserve"> of Nigeria. </w:t>
      </w:r>
      <w:r w:rsidRPr="006115F6">
        <w:rPr>
          <w:rFonts w:ascii="Times New Roman" w:hAnsi="Times New Roman"/>
          <w:i/>
          <w:iCs/>
          <w:sz w:val="24"/>
          <w:szCs w:val="24"/>
        </w:rPr>
        <w:t>British Journal of Medicine &amp; Medical Research, 5</w:t>
      </w:r>
      <w:r w:rsidRPr="006115F6">
        <w:rPr>
          <w:rFonts w:ascii="Times New Roman" w:hAnsi="Times New Roman"/>
          <w:sz w:val="24"/>
          <w:szCs w:val="24"/>
        </w:rPr>
        <w:t xml:space="preserve">(9), 1114–1120. </w:t>
      </w:r>
      <w:hyperlink r:id="rId37" w:history="1">
        <w:r w:rsidRPr="006115F6">
          <w:rPr>
            <w:rFonts w:ascii="Times New Roman" w:hAnsi="Times New Roman"/>
            <w:color w:val="0000FF"/>
            <w:sz w:val="24"/>
            <w:szCs w:val="24"/>
            <w:u w:val="single"/>
          </w:rPr>
          <w:t>https://doi.org/10.9734/BJMMR/2015/11673</w:t>
        </w:r>
      </w:hyperlink>
    </w:p>
    <w:p w14:paraId="493968BE"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Oladipo, G. S., Okoh, P. D., &amp; Suleiman, Y. A. (2010). Radiological studies of pubic length, ischial length and ischiopubic index of eastern people of Nigeria. </w:t>
      </w:r>
      <w:r w:rsidRPr="006115F6">
        <w:rPr>
          <w:rFonts w:ascii="Times New Roman" w:hAnsi="Times New Roman"/>
          <w:i/>
          <w:iCs/>
          <w:sz w:val="24"/>
          <w:szCs w:val="24"/>
        </w:rPr>
        <w:t>Research Journal of Medicine and Medical Sciences, 5</w:t>
      </w:r>
      <w:r w:rsidRPr="006115F6">
        <w:rPr>
          <w:rFonts w:ascii="Times New Roman" w:hAnsi="Times New Roman"/>
          <w:sz w:val="24"/>
          <w:szCs w:val="24"/>
        </w:rPr>
        <w:t xml:space="preserve">(2), 117–120. </w:t>
      </w:r>
      <w:hyperlink r:id="rId38" w:history="1">
        <w:r w:rsidRPr="006115F6">
          <w:rPr>
            <w:rFonts w:ascii="Times New Roman" w:hAnsi="Times New Roman"/>
            <w:color w:val="0000FF"/>
            <w:sz w:val="24"/>
            <w:szCs w:val="24"/>
            <w:u w:val="single"/>
          </w:rPr>
          <w:t>https://uniport.academia.edu/GabrielOLADIPO/CurriculumVitae</w:t>
        </w:r>
      </w:hyperlink>
    </w:p>
    <w:p w14:paraId="3A740EBA"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lang w:val="nl-BE"/>
        </w:rPr>
        <w:t xml:space="preserve">Orupabo, C. D., &amp; Oghenemavwe, L. E. (2024). </w:t>
      </w:r>
      <w:r w:rsidRPr="006115F6">
        <w:rPr>
          <w:rFonts w:ascii="Times New Roman" w:hAnsi="Times New Roman"/>
          <w:sz w:val="24"/>
          <w:szCs w:val="24"/>
        </w:rPr>
        <w:t xml:space="preserve">Sex determination by discriminant function analysis from femoral histomorphometry of a Nigerian population. </w:t>
      </w:r>
      <w:r w:rsidRPr="006115F6">
        <w:rPr>
          <w:rFonts w:ascii="Times New Roman" w:hAnsi="Times New Roman"/>
          <w:i/>
          <w:iCs/>
          <w:sz w:val="24"/>
          <w:szCs w:val="24"/>
        </w:rPr>
        <w:t>Archives of Current Research International, 24</w:t>
      </w:r>
      <w:r w:rsidRPr="006115F6">
        <w:rPr>
          <w:rFonts w:ascii="Times New Roman" w:hAnsi="Times New Roman"/>
          <w:sz w:val="24"/>
          <w:szCs w:val="24"/>
        </w:rPr>
        <w:t xml:space="preserve">(12), 155–164. </w:t>
      </w:r>
      <w:hyperlink r:id="rId39" w:history="1">
        <w:r w:rsidRPr="006115F6">
          <w:rPr>
            <w:rFonts w:ascii="Times New Roman" w:hAnsi="Times New Roman"/>
            <w:color w:val="0000FF"/>
            <w:sz w:val="24"/>
            <w:szCs w:val="24"/>
            <w:u w:val="single"/>
          </w:rPr>
          <w:t>https://doi.org/10.9734/acri/2024/v24i121005</w:t>
        </w:r>
      </w:hyperlink>
    </w:p>
    <w:p w14:paraId="1165B6E9"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Phenice, T. W. (1969). A newly developed visual method of sexing the </w:t>
      </w:r>
      <w:proofErr w:type="spellStart"/>
      <w:r w:rsidRPr="006115F6">
        <w:rPr>
          <w:rFonts w:ascii="Times New Roman" w:hAnsi="Times New Roman"/>
          <w:sz w:val="24"/>
          <w:szCs w:val="24"/>
        </w:rPr>
        <w:t>os</w:t>
      </w:r>
      <w:proofErr w:type="spellEnd"/>
      <w:r w:rsidRPr="006115F6">
        <w:rPr>
          <w:rFonts w:ascii="Times New Roman" w:hAnsi="Times New Roman"/>
          <w:sz w:val="24"/>
          <w:szCs w:val="24"/>
        </w:rPr>
        <w:t xml:space="preserve"> pubis. </w:t>
      </w:r>
      <w:r w:rsidRPr="006115F6">
        <w:rPr>
          <w:rFonts w:ascii="Times New Roman" w:hAnsi="Times New Roman"/>
          <w:i/>
          <w:iCs/>
          <w:sz w:val="24"/>
          <w:szCs w:val="24"/>
        </w:rPr>
        <w:t>American Journal of Physical Anthropology, 30</w:t>
      </w:r>
      <w:r w:rsidRPr="006115F6">
        <w:rPr>
          <w:rFonts w:ascii="Times New Roman" w:hAnsi="Times New Roman"/>
          <w:sz w:val="24"/>
          <w:szCs w:val="24"/>
        </w:rPr>
        <w:t xml:space="preserve">(2), 297–301. </w:t>
      </w:r>
      <w:hyperlink r:id="rId40" w:history="1">
        <w:r w:rsidRPr="006115F6">
          <w:rPr>
            <w:rFonts w:ascii="Times New Roman" w:hAnsi="Times New Roman"/>
            <w:color w:val="0000FF"/>
            <w:sz w:val="24"/>
            <w:szCs w:val="24"/>
            <w:u w:val="single"/>
          </w:rPr>
          <w:t>https://doi.org/10.1002/ajpa.1330300214</w:t>
        </w:r>
      </w:hyperlink>
    </w:p>
    <w:p w14:paraId="0626CB1C" w14:textId="77777777" w:rsidR="006115F6" w:rsidRPr="006115F6" w:rsidRDefault="006115F6" w:rsidP="006115F6">
      <w:pPr>
        <w:spacing w:before="100" w:beforeAutospacing="1" w:after="100" w:afterAutospacing="1"/>
        <w:ind w:left="540" w:hanging="540"/>
        <w:jc w:val="both"/>
        <w:rPr>
          <w:rFonts w:ascii="Times New Roman" w:hAnsi="Times New Roman"/>
          <w:sz w:val="24"/>
          <w:szCs w:val="24"/>
        </w:rPr>
      </w:pPr>
      <w:r w:rsidRPr="006115F6">
        <w:rPr>
          <w:rFonts w:ascii="Times New Roman" w:hAnsi="Times New Roman"/>
          <w:sz w:val="24"/>
          <w:szCs w:val="24"/>
        </w:rPr>
        <w:t xml:space="preserve">Washburn, S. L. (1948). Sex differences in the pubic bone. </w:t>
      </w:r>
      <w:r w:rsidRPr="006115F6">
        <w:rPr>
          <w:rFonts w:ascii="Times New Roman" w:hAnsi="Times New Roman"/>
          <w:i/>
          <w:iCs/>
          <w:sz w:val="24"/>
          <w:szCs w:val="24"/>
        </w:rPr>
        <w:t>American Journal of Physical Anthropology, 6</w:t>
      </w:r>
      <w:r w:rsidRPr="006115F6">
        <w:rPr>
          <w:rFonts w:ascii="Times New Roman" w:hAnsi="Times New Roman"/>
          <w:sz w:val="24"/>
          <w:szCs w:val="24"/>
        </w:rPr>
        <w:t xml:space="preserve">(2), 199–208. </w:t>
      </w:r>
      <w:hyperlink r:id="rId41" w:history="1">
        <w:r w:rsidRPr="006115F6">
          <w:rPr>
            <w:rFonts w:ascii="Times New Roman" w:hAnsi="Times New Roman"/>
            <w:color w:val="0000FF"/>
            <w:sz w:val="24"/>
            <w:szCs w:val="24"/>
            <w:u w:val="single"/>
          </w:rPr>
          <w:t>https://doi.org/10.1002/ajpa.1330060210</w:t>
        </w:r>
      </w:hyperlink>
    </w:p>
    <w:p w14:paraId="45924CC0" w14:textId="68CC0AC9" w:rsidR="00CB4825" w:rsidRDefault="00CB4825" w:rsidP="006115F6">
      <w:pPr>
        <w:pStyle w:val="Body"/>
        <w:spacing w:after="0"/>
        <w:ind w:left="720" w:hanging="720"/>
      </w:pPr>
    </w:p>
    <w:sectPr w:rsidR="00CB4825" w:rsidSect="00C47A6E">
      <w:headerReference w:type="even" r:id="rId42"/>
      <w:headerReference w:type="default" r:id="rId43"/>
      <w:footerReference w:type="default" r:id="rId44"/>
      <w:headerReference w:type="first" r:id="rId4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0123B" w14:textId="77777777" w:rsidR="00874897" w:rsidRDefault="00874897" w:rsidP="00C37E61">
      <w:r>
        <w:separator/>
      </w:r>
    </w:p>
  </w:endnote>
  <w:endnote w:type="continuationSeparator" w:id="0">
    <w:p w14:paraId="14EE07CA" w14:textId="77777777" w:rsidR="00874897" w:rsidRDefault="0087489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13DE" w14:textId="77777777" w:rsidR="00561F46" w:rsidRDefault="00561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5AFA" w14:textId="77777777" w:rsidR="00561F46" w:rsidRDefault="00561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3AD8" w14:textId="77777777" w:rsidR="00754C9A" w:rsidRPr="00561F46" w:rsidRDefault="00754C9A" w:rsidP="00561F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A7FD"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5ED0" w14:textId="77777777" w:rsidR="00874897" w:rsidRDefault="00874897" w:rsidP="00C37E61">
      <w:r>
        <w:separator/>
      </w:r>
    </w:p>
  </w:footnote>
  <w:footnote w:type="continuationSeparator" w:id="0">
    <w:p w14:paraId="0D971B1F" w14:textId="77777777" w:rsidR="00874897" w:rsidRDefault="0087489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432DF" w14:textId="77777777" w:rsidR="00561F46" w:rsidRDefault="00000000">
    <w:pPr>
      <w:pStyle w:val="Header"/>
    </w:pPr>
    <w:r>
      <w:rPr>
        <w:noProof/>
      </w:rPr>
      <w:pict w14:anchorId="2C3ACD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6"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DFBA" w14:textId="77777777" w:rsidR="00561F46" w:rsidRDefault="00000000">
    <w:pPr>
      <w:pStyle w:val="Header"/>
    </w:pPr>
    <w:r>
      <w:rPr>
        <w:noProof/>
      </w:rPr>
      <w:pict w14:anchorId="01DFA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7"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83E9" w14:textId="77777777" w:rsidR="00296529" w:rsidRPr="00296529" w:rsidRDefault="00000000" w:rsidP="00296529">
    <w:pPr>
      <w:ind w:left="2160"/>
      <w:jc w:val="center"/>
      <w:rPr>
        <w:rFonts w:ascii="Times New Roman" w:eastAsia="Calibri" w:hAnsi="Times New Roman"/>
        <w:i/>
        <w:sz w:val="18"/>
        <w:szCs w:val="22"/>
      </w:rPr>
    </w:pPr>
    <w:r>
      <w:rPr>
        <w:noProof/>
      </w:rPr>
      <w:pict w14:anchorId="47AC7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5"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2E7459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D661B7C"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139254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859298E"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F9C0EF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0F7068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BF3F" w14:textId="77777777" w:rsidR="00561F46" w:rsidRDefault="00000000">
    <w:pPr>
      <w:pStyle w:val="Header"/>
    </w:pPr>
    <w:r>
      <w:rPr>
        <w:noProof/>
      </w:rPr>
      <w:pict w14:anchorId="5FA8C7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9"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652C674">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58A8" w14:textId="77777777" w:rsidR="00561F46" w:rsidRDefault="00000000">
    <w:pPr>
      <w:pStyle w:val="Header"/>
    </w:pPr>
    <w:r>
      <w:rPr>
        <w:noProof/>
      </w:rPr>
      <w:pict w14:anchorId="742AA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70"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794E063">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95A5" w14:textId="77777777" w:rsidR="00561F46" w:rsidRPr="00296529" w:rsidRDefault="00000000" w:rsidP="00296529">
    <w:pPr>
      <w:ind w:left="2160"/>
      <w:jc w:val="center"/>
      <w:rPr>
        <w:rFonts w:ascii="Times New Roman" w:eastAsia="Calibri" w:hAnsi="Times New Roman"/>
        <w:i/>
        <w:sz w:val="18"/>
        <w:szCs w:val="22"/>
      </w:rPr>
    </w:pPr>
    <w:r>
      <w:rPr>
        <w:noProof/>
      </w:rPr>
      <w:pict w14:anchorId="01288C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25768"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22AA6D4">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EE99DA0" w14:textId="77777777" w:rsidR="00561F46" w:rsidRPr="00296529" w:rsidRDefault="00561F4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350F64A" w14:textId="77777777" w:rsidR="00561F46" w:rsidRPr="00296529" w:rsidRDefault="00561F4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40555B1" w14:textId="77777777" w:rsidR="00561F46" w:rsidRPr="00296529" w:rsidRDefault="00561F4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B534DA" w14:textId="77777777" w:rsidR="00561F46" w:rsidRDefault="00561F4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1B968F5" w14:textId="77777777" w:rsidR="00561F46" w:rsidRDefault="00561F4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0FC7013" w14:textId="77777777" w:rsidR="00561F46" w:rsidRDefault="00561F4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53E180B"/>
    <w:multiLevelType w:val="hybridMultilevel"/>
    <w:tmpl w:val="400ED4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195048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88243716">
    <w:abstractNumId w:val="16"/>
  </w:num>
  <w:num w:numId="3" w16cid:durableId="1469472089">
    <w:abstractNumId w:val="24"/>
  </w:num>
  <w:num w:numId="4" w16cid:durableId="77641503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51666868">
    <w:abstractNumId w:val="7"/>
  </w:num>
  <w:num w:numId="6" w16cid:durableId="716008656">
    <w:abstractNumId w:val="6"/>
  </w:num>
  <w:num w:numId="7" w16cid:durableId="105856485">
    <w:abstractNumId w:val="1"/>
  </w:num>
  <w:num w:numId="8" w16cid:durableId="364990474">
    <w:abstractNumId w:val="12"/>
  </w:num>
  <w:num w:numId="9" w16cid:durableId="1116095795">
    <w:abstractNumId w:val="26"/>
  </w:num>
  <w:num w:numId="10" w16cid:durableId="803547271">
    <w:abstractNumId w:val="2"/>
  </w:num>
  <w:num w:numId="11" w16cid:durableId="185144410">
    <w:abstractNumId w:val="19"/>
  </w:num>
  <w:num w:numId="12" w16cid:durableId="891041393">
    <w:abstractNumId w:val="3"/>
  </w:num>
  <w:num w:numId="13" w16cid:durableId="1571117372">
    <w:abstractNumId w:val="18"/>
  </w:num>
  <w:num w:numId="14" w16cid:durableId="1518690039">
    <w:abstractNumId w:val="8"/>
  </w:num>
  <w:num w:numId="15" w16cid:durableId="662396808">
    <w:abstractNumId w:val="22"/>
  </w:num>
  <w:num w:numId="16" w16cid:durableId="691809423">
    <w:abstractNumId w:val="5"/>
  </w:num>
  <w:num w:numId="17" w16cid:durableId="1309168519">
    <w:abstractNumId w:val="23"/>
  </w:num>
  <w:num w:numId="18" w16cid:durableId="509831603">
    <w:abstractNumId w:val="14"/>
  </w:num>
  <w:num w:numId="19" w16cid:durableId="2047869435">
    <w:abstractNumId w:val="29"/>
  </w:num>
  <w:num w:numId="20" w16cid:durableId="1840385521">
    <w:abstractNumId w:val="11"/>
  </w:num>
  <w:num w:numId="21" w16cid:durableId="1084451993">
    <w:abstractNumId w:val="9"/>
  </w:num>
  <w:num w:numId="22" w16cid:durableId="1837568218">
    <w:abstractNumId w:val="13"/>
  </w:num>
  <w:num w:numId="23" w16cid:durableId="1854026403">
    <w:abstractNumId w:val="20"/>
  </w:num>
  <w:num w:numId="24" w16cid:durableId="182207959">
    <w:abstractNumId w:val="27"/>
  </w:num>
  <w:num w:numId="25" w16cid:durableId="374815332">
    <w:abstractNumId w:val="4"/>
  </w:num>
  <w:num w:numId="26" w16cid:durableId="1053306705">
    <w:abstractNumId w:val="17"/>
  </w:num>
  <w:num w:numId="27" w16cid:durableId="1115060068">
    <w:abstractNumId w:val="21"/>
  </w:num>
  <w:num w:numId="28" w16cid:durableId="1582326177">
    <w:abstractNumId w:val="28"/>
  </w:num>
  <w:num w:numId="29" w16cid:durableId="2136291542">
    <w:abstractNumId w:val="25"/>
  </w:num>
  <w:num w:numId="30" w16cid:durableId="1853949715">
    <w:abstractNumId w:val="10"/>
  </w:num>
  <w:num w:numId="31" w16cid:durableId="3514171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BiJTI0NzUwsDIyNDEyUdpeDU4uLM/DyQAsNaANpHbQ4sAAAA"/>
  </w:docVars>
  <w:rsids>
    <w:rsidRoot w:val="00AA6219"/>
    <w:rsid w:val="00000F8F"/>
    <w:rsid w:val="00030174"/>
    <w:rsid w:val="0004579C"/>
    <w:rsid w:val="000A47FA"/>
    <w:rsid w:val="000A65D3"/>
    <w:rsid w:val="000B1E33"/>
    <w:rsid w:val="000D689F"/>
    <w:rsid w:val="000E7B7B"/>
    <w:rsid w:val="000E7D62"/>
    <w:rsid w:val="000F3887"/>
    <w:rsid w:val="00103357"/>
    <w:rsid w:val="00112510"/>
    <w:rsid w:val="00123C9F"/>
    <w:rsid w:val="00126190"/>
    <w:rsid w:val="00130F17"/>
    <w:rsid w:val="001320BF"/>
    <w:rsid w:val="00152BA3"/>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0FC1"/>
    <w:rsid w:val="002B27FB"/>
    <w:rsid w:val="002B685A"/>
    <w:rsid w:val="002C57D2"/>
    <w:rsid w:val="002E0D56"/>
    <w:rsid w:val="00315186"/>
    <w:rsid w:val="0033343E"/>
    <w:rsid w:val="003512C2"/>
    <w:rsid w:val="00355854"/>
    <w:rsid w:val="00371FB6"/>
    <w:rsid w:val="003763C1"/>
    <w:rsid w:val="00376BBE"/>
    <w:rsid w:val="0039224F"/>
    <w:rsid w:val="00394400"/>
    <w:rsid w:val="003A43A4"/>
    <w:rsid w:val="003A7E18"/>
    <w:rsid w:val="003C4C86"/>
    <w:rsid w:val="003C6258"/>
    <w:rsid w:val="003D72A6"/>
    <w:rsid w:val="003E2904"/>
    <w:rsid w:val="003E7345"/>
    <w:rsid w:val="00401927"/>
    <w:rsid w:val="0041027F"/>
    <w:rsid w:val="00412475"/>
    <w:rsid w:val="00423789"/>
    <w:rsid w:val="00440F43"/>
    <w:rsid w:val="00441B6F"/>
    <w:rsid w:val="00446221"/>
    <w:rsid w:val="00450E62"/>
    <w:rsid w:val="004539DB"/>
    <w:rsid w:val="0046496A"/>
    <w:rsid w:val="00471A80"/>
    <w:rsid w:val="004C585F"/>
    <w:rsid w:val="004D305E"/>
    <w:rsid w:val="004D4277"/>
    <w:rsid w:val="00502516"/>
    <w:rsid w:val="00505F06"/>
    <w:rsid w:val="00506828"/>
    <w:rsid w:val="0050725B"/>
    <w:rsid w:val="0053056E"/>
    <w:rsid w:val="00540F8D"/>
    <w:rsid w:val="00554FDA"/>
    <w:rsid w:val="00561F46"/>
    <w:rsid w:val="005921D2"/>
    <w:rsid w:val="00592B48"/>
    <w:rsid w:val="005B55AF"/>
    <w:rsid w:val="005C0875"/>
    <w:rsid w:val="005C3641"/>
    <w:rsid w:val="005C784C"/>
    <w:rsid w:val="005D17F6"/>
    <w:rsid w:val="005E5539"/>
    <w:rsid w:val="00602BF5"/>
    <w:rsid w:val="006115F6"/>
    <w:rsid w:val="00617FDD"/>
    <w:rsid w:val="00633614"/>
    <w:rsid w:val="00633F68"/>
    <w:rsid w:val="00636EB2"/>
    <w:rsid w:val="006375B8"/>
    <w:rsid w:val="00651A74"/>
    <w:rsid w:val="0066510A"/>
    <w:rsid w:val="00665574"/>
    <w:rsid w:val="00673F9F"/>
    <w:rsid w:val="00686953"/>
    <w:rsid w:val="00687DEA"/>
    <w:rsid w:val="00687E67"/>
    <w:rsid w:val="006967F7"/>
    <w:rsid w:val="006A250C"/>
    <w:rsid w:val="006B21D3"/>
    <w:rsid w:val="006B57D0"/>
    <w:rsid w:val="006D30FF"/>
    <w:rsid w:val="006D6940"/>
    <w:rsid w:val="006F11EC"/>
    <w:rsid w:val="0070082C"/>
    <w:rsid w:val="007009B1"/>
    <w:rsid w:val="00711EFC"/>
    <w:rsid w:val="007369E6"/>
    <w:rsid w:val="00746E59"/>
    <w:rsid w:val="00754C9A"/>
    <w:rsid w:val="0075599A"/>
    <w:rsid w:val="00757765"/>
    <w:rsid w:val="00761D52"/>
    <w:rsid w:val="0077749E"/>
    <w:rsid w:val="00790ADA"/>
    <w:rsid w:val="007D2288"/>
    <w:rsid w:val="007E088F"/>
    <w:rsid w:val="007F30B5"/>
    <w:rsid w:val="007F7B32"/>
    <w:rsid w:val="00804BC2"/>
    <w:rsid w:val="0081431A"/>
    <w:rsid w:val="00820B16"/>
    <w:rsid w:val="0083216F"/>
    <w:rsid w:val="00860000"/>
    <w:rsid w:val="00863BD3"/>
    <w:rsid w:val="008641ED"/>
    <w:rsid w:val="00866D66"/>
    <w:rsid w:val="008671C6"/>
    <w:rsid w:val="00874897"/>
    <w:rsid w:val="00875803"/>
    <w:rsid w:val="008B459E"/>
    <w:rsid w:val="008D5C74"/>
    <w:rsid w:val="008E13AE"/>
    <w:rsid w:val="008E1506"/>
    <w:rsid w:val="008E710C"/>
    <w:rsid w:val="008F69D6"/>
    <w:rsid w:val="00902823"/>
    <w:rsid w:val="00907DBE"/>
    <w:rsid w:val="00915CA6"/>
    <w:rsid w:val="00927834"/>
    <w:rsid w:val="00931D1B"/>
    <w:rsid w:val="009500A6"/>
    <w:rsid w:val="00957C18"/>
    <w:rsid w:val="009659BA"/>
    <w:rsid w:val="00983040"/>
    <w:rsid w:val="009A6546"/>
    <w:rsid w:val="009B3FB9"/>
    <w:rsid w:val="009C2465"/>
    <w:rsid w:val="009D35A0"/>
    <w:rsid w:val="009D69D1"/>
    <w:rsid w:val="009D7EB7"/>
    <w:rsid w:val="009E048A"/>
    <w:rsid w:val="009E08E9"/>
    <w:rsid w:val="009E3DB9"/>
    <w:rsid w:val="009E6E35"/>
    <w:rsid w:val="009F0EDA"/>
    <w:rsid w:val="00A03B96"/>
    <w:rsid w:val="00A05B19"/>
    <w:rsid w:val="00A1134E"/>
    <w:rsid w:val="00A24E7E"/>
    <w:rsid w:val="00A258C3"/>
    <w:rsid w:val="00A277CA"/>
    <w:rsid w:val="00A347C0"/>
    <w:rsid w:val="00A51431"/>
    <w:rsid w:val="00A539AD"/>
    <w:rsid w:val="00A94063"/>
    <w:rsid w:val="00A95585"/>
    <w:rsid w:val="00AA6219"/>
    <w:rsid w:val="00AA65DB"/>
    <w:rsid w:val="00AA74E0"/>
    <w:rsid w:val="00AB703F"/>
    <w:rsid w:val="00AC6BB8"/>
    <w:rsid w:val="00AE008F"/>
    <w:rsid w:val="00B01FCD"/>
    <w:rsid w:val="00B12829"/>
    <w:rsid w:val="00B1776C"/>
    <w:rsid w:val="00B52583"/>
    <w:rsid w:val="00B52896"/>
    <w:rsid w:val="00B95236"/>
    <w:rsid w:val="00B96BD9"/>
    <w:rsid w:val="00BA1B01"/>
    <w:rsid w:val="00BA2641"/>
    <w:rsid w:val="00BB1E1B"/>
    <w:rsid w:val="00BB37AA"/>
    <w:rsid w:val="00BC53A0"/>
    <w:rsid w:val="00BE1B5A"/>
    <w:rsid w:val="00BE62AD"/>
    <w:rsid w:val="00BF121F"/>
    <w:rsid w:val="00BF1F80"/>
    <w:rsid w:val="00C166EF"/>
    <w:rsid w:val="00C17EB0"/>
    <w:rsid w:val="00C27F5F"/>
    <w:rsid w:val="00C30A0F"/>
    <w:rsid w:val="00C37E61"/>
    <w:rsid w:val="00C47A6E"/>
    <w:rsid w:val="00C70F1B"/>
    <w:rsid w:val="00C71A47"/>
    <w:rsid w:val="00C7464C"/>
    <w:rsid w:val="00C85588"/>
    <w:rsid w:val="00CB1A23"/>
    <w:rsid w:val="00CB4825"/>
    <w:rsid w:val="00CC64D5"/>
    <w:rsid w:val="00CD6755"/>
    <w:rsid w:val="00CD6856"/>
    <w:rsid w:val="00CE0089"/>
    <w:rsid w:val="00CE793C"/>
    <w:rsid w:val="00CF193C"/>
    <w:rsid w:val="00D173F1"/>
    <w:rsid w:val="00D56022"/>
    <w:rsid w:val="00D74CB0"/>
    <w:rsid w:val="00D8295D"/>
    <w:rsid w:val="00DC2A65"/>
    <w:rsid w:val="00DE15F0"/>
    <w:rsid w:val="00DE5663"/>
    <w:rsid w:val="00DE78AA"/>
    <w:rsid w:val="00E001DE"/>
    <w:rsid w:val="00E053D0"/>
    <w:rsid w:val="00E155CC"/>
    <w:rsid w:val="00E15994"/>
    <w:rsid w:val="00E273A6"/>
    <w:rsid w:val="00E3114E"/>
    <w:rsid w:val="00E31A70"/>
    <w:rsid w:val="00E35B02"/>
    <w:rsid w:val="00E66496"/>
    <w:rsid w:val="00E66B35"/>
    <w:rsid w:val="00E66E10"/>
    <w:rsid w:val="00E7078D"/>
    <w:rsid w:val="00E769F6"/>
    <w:rsid w:val="00E8407C"/>
    <w:rsid w:val="00E84F3C"/>
    <w:rsid w:val="00EA012C"/>
    <w:rsid w:val="00EC6A55"/>
    <w:rsid w:val="00ED0288"/>
    <w:rsid w:val="00EE52CB"/>
    <w:rsid w:val="00EF581D"/>
    <w:rsid w:val="00EF7FD8"/>
    <w:rsid w:val="00F06F59"/>
    <w:rsid w:val="00F17988"/>
    <w:rsid w:val="00F224F0"/>
    <w:rsid w:val="00F469F0"/>
    <w:rsid w:val="00F53054"/>
    <w:rsid w:val="00F53273"/>
    <w:rsid w:val="00F70747"/>
    <w:rsid w:val="00F755E4"/>
    <w:rsid w:val="00F77D02"/>
    <w:rsid w:val="00FA1A96"/>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002C51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50725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50725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00926186">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281/zenodo.20472779?utm_source=chatgpt.com" TargetMode="External"/><Relationship Id="rId26" Type="http://schemas.openxmlformats.org/officeDocument/2006/relationships/hyperlink" Target="https://pubmed.ncbi.nlm.nih.gov/13061047/?utm_source=chatgpt.com" TargetMode="External"/><Relationship Id="rId39" Type="http://schemas.openxmlformats.org/officeDocument/2006/relationships/hyperlink" Target="https://doi.org/10.9734/acri/2024/v24i121005?utm_source=chatgpt.com" TargetMode="External"/><Relationship Id="rId21" Type="http://schemas.openxmlformats.org/officeDocument/2006/relationships/hyperlink" Target="https://doi.org/10.1155/2014/192897?utm_source=chatgpt.com" TargetMode="External"/><Relationship Id="rId34" Type="http://schemas.openxmlformats.org/officeDocument/2006/relationships/hyperlink" Target="https://doi.org/10.1016/j.jflm.2026.103168?utm_source=chatgpt.com" TargetMode="External"/><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osrjournals.org/iosr-jdms/pages/14%288%29Version-3.html?utm_source=chatgpt.com" TargetMode="External"/><Relationship Id="rId29" Type="http://schemas.openxmlformats.org/officeDocument/2006/relationships/hyperlink" Target="https://doi.org/10.1111/1556-4029.15587?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385/FSMP:2:4:263?utm_source=chatgpt.com" TargetMode="External"/><Relationship Id="rId32" Type="http://schemas.openxmlformats.org/officeDocument/2006/relationships/hyperlink" Target="https://doi.org/10.1002/ajpa.22243?utm_source=chatgpt.com" TargetMode="External"/><Relationship Id="rId37" Type="http://schemas.openxmlformats.org/officeDocument/2006/relationships/hyperlink" Target="https://doi.org/10.9734/BJMMR/2015/11673?utm_source=chatgpt.com" TargetMode="External"/><Relationship Id="rId40" Type="http://schemas.openxmlformats.org/officeDocument/2006/relationships/hyperlink" Target="https://doi.org/10.1002/ajpa.1330300214?utm_source=chatgpt.com"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5744/fa.2024.0026?utm_source=chatgpt.com" TargetMode="External"/><Relationship Id="rId28" Type="http://schemas.openxmlformats.org/officeDocument/2006/relationships/hyperlink" Target="https://pubmed.ncbi.nlm.nih.gov/12862147/?utm_source=chatgpt.com" TargetMode="External"/><Relationship Id="rId36" Type="http://schemas.openxmlformats.org/officeDocument/2006/relationships/hyperlink" Target="https://doi.org/10.56557/ajocr/2025/v10i410094?utm_source=chatgpt.com" TargetMode="External"/><Relationship Id="rId10" Type="http://schemas.openxmlformats.org/officeDocument/2006/relationships/footer" Target="footer1.xml"/><Relationship Id="rId19" Type="http://schemas.openxmlformats.org/officeDocument/2006/relationships/hyperlink" Target="https://doi.org/10.5281/zenodo.20485321?utm_source=chatgpt.com" TargetMode="External"/><Relationship Id="rId31" Type="http://schemas.openxmlformats.org/officeDocument/2006/relationships/hyperlink" Target="https://doi.org/10.5744/fa.2020.3033?utm_source=chatgpt.com"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ispub.com/print/5274?utm_source=chatgpt.com" TargetMode="External"/><Relationship Id="rId27" Type="http://schemas.openxmlformats.org/officeDocument/2006/relationships/hyperlink" Target="https://doi.org/10.1073/pnas.1517085113?utm_source=chatgpt.com" TargetMode="External"/><Relationship Id="rId30" Type="http://schemas.openxmlformats.org/officeDocument/2006/relationships/hyperlink" Target="https://doi.org/10.1002/ajpa.22102?utm_source=chatgpt.com" TargetMode="External"/><Relationship Id="rId35" Type="http://schemas.openxmlformats.org/officeDocument/2006/relationships/hyperlink" Target="https://doi.org/10.7759/cureus.68018?utm_source=chatgpt.com" TargetMode="External"/><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16/S0002-9378(33)90194-5?utm_source=chatgpt.com" TargetMode="External"/><Relationship Id="rId25" Type="http://schemas.openxmlformats.org/officeDocument/2006/relationships/hyperlink" Target="https://doi.org/10.1002/wfs2.1442?utm_source=chatgpt.com" TargetMode="External"/><Relationship Id="rId33" Type="http://schemas.openxmlformats.org/officeDocument/2006/relationships/hyperlink" Target="https://doi.org/10.1007/s00414-024-03266-4?utm_source=chatgpt.com" TargetMode="External"/><Relationship Id="rId38" Type="http://schemas.openxmlformats.org/officeDocument/2006/relationships/hyperlink" Target="https://uniport.academia.edu/GabrielOLADIPO/CurriculumVitae?utm_source=chatgpt.com" TargetMode="External"/><Relationship Id="rId46" Type="http://schemas.openxmlformats.org/officeDocument/2006/relationships/fontTable" Target="fontTable.xml"/><Relationship Id="rId20" Type="http://schemas.openxmlformats.org/officeDocument/2006/relationships/hyperlink" Target="https://doi.org/10.7759/cureus.84773?utm_source=chatgpt.com" TargetMode="External"/><Relationship Id="rId41" Type="http://schemas.openxmlformats.org/officeDocument/2006/relationships/hyperlink" Target="https://doi.org/10.1002/ajpa.1330060210?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27AB7-9B6D-47FB-AAE9-7B09CFEF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93</TotalTime>
  <Pages>10</Pages>
  <Words>5226</Words>
  <Characters>29793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34950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40</cp:revision>
  <cp:lastPrinted>1999-07-06T11:00:00Z</cp:lastPrinted>
  <dcterms:created xsi:type="dcterms:W3CDTF">2014-10-25T14:34:00Z</dcterms:created>
  <dcterms:modified xsi:type="dcterms:W3CDTF">2026-09-15T08:59:00Z</dcterms:modified>
</cp:coreProperties>
</file>