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F7EE1" w14:textId="77777777" w:rsidR="0081133B" w:rsidRPr="003F7349" w:rsidRDefault="0081133B" w:rsidP="0081133B">
      <w:pPr>
        <w:spacing w:after="0" w:line="240" w:lineRule="auto"/>
        <w:jc w:val="right"/>
        <w:rPr>
          <w:rFonts w:ascii="Arial" w:hAnsi="Arial" w:cs="Arial"/>
          <w:b/>
          <w:bCs/>
          <w:i/>
          <w:iCs/>
          <w:sz w:val="36"/>
          <w:szCs w:val="36"/>
          <w:u w:val="single"/>
          <w:lang w:val="en-US"/>
        </w:rPr>
      </w:pPr>
      <w:r w:rsidRPr="003F7349">
        <w:rPr>
          <w:rFonts w:ascii="Arial" w:hAnsi="Arial" w:cs="Arial"/>
          <w:b/>
          <w:bCs/>
          <w:i/>
          <w:iCs/>
          <w:sz w:val="36"/>
          <w:szCs w:val="36"/>
          <w:u w:val="single"/>
          <w:lang w:val="en-US"/>
        </w:rPr>
        <w:t>Original Research Article</w:t>
      </w:r>
    </w:p>
    <w:p w14:paraId="45D347D8" w14:textId="77777777" w:rsidR="00857268" w:rsidRPr="003F7349" w:rsidRDefault="00857268" w:rsidP="00CE3E2D">
      <w:pPr>
        <w:spacing w:after="0" w:line="240" w:lineRule="auto"/>
        <w:jc w:val="right"/>
        <w:rPr>
          <w:rFonts w:ascii="Arial" w:hAnsi="Arial" w:cs="Arial"/>
          <w:b/>
          <w:sz w:val="36"/>
          <w:szCs w:val="36"/>
          <w:lang w:val="en-US"/>
        </w:rPr>
      </w:pPr>
      <w:r w:rsidRPr="003F7349">
        <w:rPr>
          <w:rFonts w:ascii="Arial" w:hAnsi="Arial" w:cs="Arial"/>
          <w:b/>
          <w:sz w:val="36"/>
          <w:szCs w:val="36"/>
          <w:lang w:val="en-US"/>
        </w:rPr>
        <w:t xml:space="preserve">Effect of </w:t>
      </w:r>
      <w:proofErr w:type="spellStart"/>
      <w:r w:rsidRPr="003F7349">
        <w:rPr>
          <w:rFonts w:ascii="Arial" w:hAnsi="Arial" w:cs="Arial"/>
          <w:b/>
          <w:i/>
          <w:sz w:val="36"/>
          <w:szCs w:val="36"/>
          <w:lang w:val="en-US"/>
        </w:rPr>
        <w:t>Detarium</w:t>
      </w:r>
      <w:proofErr w:type="spellEnd"/>
      <w:r w:rsidRPr="003F7349">
        <w:rPr>
          <w:rFonts w:ascii="Arial" w:hAnsi="Arial" w:cs="Arial"/>
          <w:b/>
          <w:i/>
          <w:sz w:val="36"/>
          <w:szCs w:val="36"/>
          <w:lang w:val="en-US"/>
        </w:rPr>
        <w:t xml:space="preserve"> </w:t>
      </w:r>
      <w:proofErr w:type="spellStart"/>
      <w:r w:rsidRPr="003F7349">
        <w:rPr>
          <w:rFonts w:ascii="Arial" w:hAnsi="Arial" w:cs="Arial"/>
          <w:b/>
          <w:i/>
          <w:sz w:val="36"/>
          <w:szCs w:val="36"/>
          <w:lang w:val="en-US"/>
        </w:rPr>
        <w:t>microcarpum</w:t>
      </w:r>
      <w:proofErr w:type="spellEnd"/>
      <w:r w:rsidRPr="003F7349">
        <w:rPr>
          <w:rFonts w:ascii="Arial" w:hAnsi="Arial" w:cs="Arial"/>
          <w:b/>
          <w:sz w:val="36"/>
          <w:szCs w:val="36"/>
          <w:lang w:val="en-US"/>
        </w:rPr>
        <w:t xml:space="preserve"> Guill. &amp; Perr. bark extract on growth and feed utilization of Nile tilapia (</w:t>
      </w:r>
      <w:r w:rsidRPr="003F7349">
        <w:rPr>
          <w:rFonts w:ascii="Arial" w:hAnsi="Arial" w:cs="Arial"/>
          <w:b/>
          <w:i/>
          <w:sz w:val="36"/>
          <w:szCs w:val="36"/>
          <w:lang w:val="en-US"/>
        </w:rPr>
        <w:t>Oreochromis niloticus</w:t>
      </w:r>
      <w:r w:rsidRPr="003F7349">
        <w:rPr>
          <w:rFonts w:ascii="Arial" w:hAnsi="Arial" w:cs="Arial"/>
          <w:b/>
          <w:sz w:val="36"/>
          <w:szCs w:val="36"/>
          <w:lang w:val="en-US"/>
        </w:rPr>
        <w:t xml:space="preserve"> Linnaeus, 1758)</w:t>
      </w:r>
    </w:p>
    <w:p w14:paraId="5577F598" w14:textId="77777777" w:rsidR="00CE3E2D" w:rsidRPr="003F7349" w:rsidRDefault="00CE3E2D" w:rsidP="00CE3E2D">
      <w:pPr>
        <w:spacing w:after="0" w:line="240" w:lineRule="auto"/>
        <w:jc w:val="right"/>
        <w:rPr>
          <w:rFonts w:ascii="Arial" w:hAnsi="Arial" w:cs="Arial"/>
          <w:b/>
          <w:bCs/>
          <w:sz w:val="36"/>
          <w:szCs w:val="36"/>
          <w:lang w:val="en-US"/>
        </w:rPr>
      </w:pPr>
    </w:p>
    <w:p w14:paraId="7615B709" w14:textId="77777777" w:rsidR="00DA27BC" w:rsidRPr="003F7349" w:rsidRDefault="00DA27BC" w:rsidP="00822B1F">
      <w:pPr>
        <w:spacing w:after="120" w:line="240" w:lineRule="auto"/>
        <w:rPr>
          <w:rFonts w:ascii="Arial" w:hAnsi="Arial" w:cs="Arial"/>
          <w:b/>
          <w:lang w:val="en-US"/>
        </w:rPr>
      </w:pPr>
    </w:p>
    <w:p w14:paraId="3A1BC6E9" w14:textId="77777777" w:rsidR="00857268" w:rsidRPr="003F7349" w:rsidRDefault="00536E9E" w:rsidP="00822B1F">
      <w:pPr>
        <w:spacing w:after="120" w:line="240" w:lineRule="auto"/>
        <w:rPr>
          <w:rFonts w:ascii="Arial" w:hAnsi="Arial" w:cs="Arial"/>
          <w:b/>
          <w:bCs/>
          <w:lang w:val="en-US"/>
        </w:rPr>
      </w:pPr>
      <w:r w:rsidRPr="003F7349">
        <w:rPr>
          <w:rFonts w:ascii="Arial" w:hAnsi="Arial" w:cs="Arial"/>
          <w:b/>
          <w:lang w:val="en-US"/>
        </w:rPr>
        <w:t>ABSTRACT</w:t>
      </w:r>
    </w:p>
    <w:p w14:paraId="56AAAF30" w14:textId="77777777" w:rsidR="004D1E94" w:rsidRPr="003F7349" w:rsidRDefault="004D1E94" w:rsidP="00822B1F">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lang w:val="en-US"/>
        </w:rPr>
      </w:pPr>
      <w:r w:rsidRPr="003F7349">
        <w:rPr>
          <w:rFonts w:ascii="Arial" w:hAnsi="Arial" w:cs="Arial"/>
          <w:b/>
          <w:bCs/>
          <w:sz w:val="20"/>
          <w:szCs w:val="20"/>
          <w:lang w:val="en-US"/>
        </w:rPr>
        <w:t>Background:</w:t>
      </w:r>
      <w:r w:rsidRPr="003F7349">
        <w:rPr>
          <w:rFonts w:ascii="Arial" w:hAnsi="Arial" w:cs="Arial"/>
          <w:sz w:val="20"/>
          <w:szCs w:val="20"/>
          <w:lang w:val="en-US"/>
        </w:rPr>
        <w:t xml:space="preserve"> Nile tilapia (</w:t>
      </w:r>
      <w:r w:rsidRPr="003F7349">
        <w:rPr>
          <w:rFonts w:ascii="Arial" w:hAnsi="Arial" w:cs="Arial"/>
          <w:i/>
          <w:sz w:val="20"/>
          <w:szCs w:val="20"/>
          <w:lang w:val="en-US"/>
        </w:rPr>
        <w:t>Oreochromis niloticus</w:t>
      </w:r>
      <w:r w:rsidRPr="003F7349">
        <w:rPr>
          <w:rFonts w:ascii="Arial" w:hAnsi="Arial" w:cs="Arial"/>
          <w:sz w:val="20"/>
          <w:szCs w:val="20"/>
          <w:lang w:val="en-US"/>
        </w:rPr>
        <w:t xml:space="preserve">) is one of the freshwater fish species highly prized by fish farmers in Burkina Faso. The use of plant extracts as feed additives in fish diets to accelerate growth has shown promising results. </w:t>
      </w:r>
      <w:r w:rsidRPr="003F7349">
        <w:rPr>
          <w:rFonts w:ascii="Arial" w:hAnsi="Arial" w:cs="Arial"/>
          <w:i/>
          <w:sz w:val="20"/>
          <w:szCs w:val="20"/>
          <w:lang w:val="en-US"/>
        </w:rPr>
        <w:t>Detarium microcarpum</w:t>
      </w:r>
      <w:r w:rsidRPr="003F7349">
        <w:rPr>
          <w:rFonts w:ascii="Arial" w:hAnsi="Arial" w:cs="Arial"/>
          <w:sz w:val="20"/>
          <w:szCs w:val="20"/>
          <w:lang w:val="en-US"/>
        </w:rPr>
        <w:t xml:space="preserve"> is a medicinal plant known for its beneficial chemical compounds. However, very little data exist on its use as a feed additive to promote fish growth.</w:t>
      </w:r>
    </w:p>
    <w:p w14:paraId="6D0F9668" w14:textId="77777777" w:rsidR="004D1E94" w:rsidRPr="003F7349" w:rsidRDefault="004D1E94" w:rsidP="00822B1F">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lang w:val="en-US"/>
        </w:rPr>
      </w:pPr>
      <w:r w:rsidRPr="003F7349">
        <w:rPr>
          <w:rFonts w:ascii="Arial" w:hAnsi="Arial" w:cs="Arial"/>
          <w:b/>
          <w:bCs/>
          <w:sz w:val="20"/>
          <w:szCs w:val="20"/>
          <w:lang w:val="en-US"/>
        </w:rPr>
        <w:t>Aims:</w:t>
      </w:r>
      <w:r w:rsidRPr="003F7349">
        <w:rPr>
          <w:rFonts w:ascii="Arial" w:hAnsi="Arial" w:cs="Arial"/>
          <w:sz w:val="20"/>
          <w:szCs w:val="20"/>
          <w:lang w:val="en-US"/>
        </w:rPr>
        <w:t xml:space="preserve"> This study aimed to evaluate the potential effect of </w:t>
      </w:r>
      <w:r w:rsidRPr="003F7349">
        <w:rPr>
          <w:rFonts w:ascii="Arial" w:hAnsi="Arial" w:cs="Arial"/>
          <w:i/>
          <w:sz w:val="20"/>
          <w:szCs w:val="20"/>
          <w:lang w:val="en-US"/>
        </w:rPr>
        <w:t>Detarium microcarpum</w:t>
      </w:r>
      <w:r w:rsidRPr="003F7349">
        <w:rPr>
          <w:rFonts w:ascii="Arial" w:hAnsi="Arial" w:cs="Arial"/>
          <w:sz w:val="20"/>
          <w:szCs w:val="20"/>
          <w:lang w:val="en-US"/>
        </w:rPr>
        <w:t xml:space="preserve"> bark extract on the growth performance and feed utilisation of Nile tilapia. </w:t>
      </w:r>
    </w:p>
    <w:p w14:paraId="0A0A090C" w14:textId="77777777" w:rsidR="004D1E94" w:rsidRPr="003F7349" w:rsidRDefault="004D1E94" w:rsidP="00822B1F">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lang w:val="en-US"/>
        </w:rPr>
      </w:pPr>
      <w:r w:rsidRPr="003F7349">
        <w:rPr>
          <w:rFonts w:ascii="Arial" w:hAnsi="Arial" w:cs="Arial"/>
          <w:b/>
          <w:bCs/>
          <w:sz w:val="20"/>
          <w:szCs w:val="20"/>
          <w:lang w:val="en-US"/>
        </w:rPr>
        <w:t xml:space="preserve">Study Design: </w:t>
      </w:r>
      <w:r w:rsidRPr="003F7349">
        <w:rPr>
          <w:rFonts w:ascii="Arial" w:hAnsi="Arial" w:cs="Arial"/>
          <w:sz w:val="20"/>
          <w:szCs w:val="20"/>
          <w:lang w:val="en-US"/>
        </w:rPr>
        <w:t xml:space="preserve">An experimental study was conducted to assess the potential effect of </w:t>
      </w:r>
      <w:r w:rsidRPr="003F7349">
        <w:rPr>
          <w:rFonts w:ascii="Arial" w:hAnsi="Arial" w:cs="Arial"/>
          <w:i/>
          <w:iCs/>
          <w:sz w:val="20"/>
          <w:szCs w:val="20"/>
          <w:lang w:val="en-US"/>
        </w:rPr>
        <w:t>Detarium microcarpum</w:t>
      </w:r>
      <w:r w:rsidRPr="003F7349">
        <w:rPr>
          <w:rFonts w:ascii="Arial" w:hAnsi="Arial" w:cs="Arial"/>
          <w:sz w:val="20"/>
          <w:szCs w:val="20"/>
          <w:lang w:val="en-US"/>
        </w:rPr>
        <w:t xml:space="preserve"> bark extract on the growth performance and feed utilisation of Nile tilapia.</w:t>
      </w:r>
    </w:p>
    <w:p w14:paraId="3E09CF2D" w14:textId="77777777" w:rsidR="004D1E94" w:rsidRPr="003F7349" w:rsidRDefault="004D1E94" w:rsidP="00822B1F">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bCs/>
          <w:sz w:val="20"/>
          <w:szCs w:val="20"/>
          <w:lang w:val="en-US"/>
        </w:rPr>
      </w:pPr>
      <w:r w:rsidRPr="003F7349">
        <w:rPr>
          <w:rFonts w:ascii="Arial" w:hAnsi="Arial" w:cs="Arial"/>
          <w:b/>
          <w:bCs/>
          <w:sz w:val="20"/>
          <w:szCs w:val="20"/>
          <w:lang w:val="en-US"/>
        </w:rPr>
        <w:t xml:space="preserve">Place and Duration of Study: </w:t>
      </w:r>
      <w:r w:rsidRPr="003F7349">
        <w:rPr>
          <w:rFonts w:ascii="Arial" w:hAnsi="Arial" w:cs="Arial"/>
          <w:sz w:val="20"/>
          <w:szCs w:val="20"/>
          <w:lang w:val="en-US"/>
        </w:rPr>
        <w:t>The study was conducted at the private hatchery of the Faso Fish Expertise and Production Center, in Loumbila village, Oubri region, Burkina Faso, for 90 days.</w:t>
      </w:r>
    </w:p>
    <w:p w14:paraId="195DC592" w14:textId="77777777" w:rsidR="004D1E94" w:rsidRPr="003F7349" w:rsidRDefault="004D1E94" w:rsidP="00822B1F">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lang w:val="en-US"/>
        </w:rPr>
      </w:pPr>
      <w:r w:rsidRPr="003F7349">
        <w:rPr>
          <w:rFonts w:ascii="Arial" w:hAnsi="Arial" w:cs="Arial"/>
          <w:b/>
          <w:bCs/>
          <w:sz w:val="20"/>
          <w:szCs w:val="20"/>
          <w:lang w:val="en-US"/>
        </w:rPr>
        <w:t>Methodology:</w:t>
      </w:r>
      <w:r w:rsidRPr="003F7349">
        <w:rPr>
          <w:rFonts w:ascii="Arial" w:hAnsi="Arial" w:cs="Arial"/>
          <w:sz w:val="20"/>
          <w:szCs w:val="20"/>
          <w:lang w:val="en-US"/>
        </w:rPr>
        <w:t xml:space="preserve"> The feeding trial was conducted with 180 fingerlings (initial weight of 7.49 ± 1.43 g) randomly assigned to four groups receiving different doses of </w:t>
      </w:r>
      <w:r w:rsidRPr="003F7349">
        <w:rPr>
          <w:rFonts w:ascii="Arial" w:hAnsi="Arial" w:cs="Arial"/>
          <w:i/>
          <w:sz w:val="20"/>
          <w:szCs w:val="20"/>
          <w:lang w:val="en-US"/>
        </w:rPr>
        <w:t xml:space="preserve">D. </w:t>
      </w:r>
      <w:proofErr w:type="spellStart"/>
      <w:r w:rsidRPr="003F7349">
        <w:rPr>
          <w:rFonts w:ascii="Arial" w:hAnsi="Arial" w:cs="Arial"/>
          <w:i/>
          <w:sz w:val="20"/>
          <w:szCs w:val="20"/>
          <w:lang w:val="en-US"/>
        </w:rPr>
        <w:t>microcarpum</w:t>
      </w:r>
      <w:proofErr w:type="spellEnd"/>
      <w:r w:rsidRPr="003F7349">
        <w:rPr>
          <w:rFonts w:ascii="Arial" w:hAnsi="Arial" w:cs="Arial"/>
          <w:sz w:val="20"/>
          <w:szCs w:val="20"/>
          <w:lang w:val="en-US"/>
        </w:rPr>
        <w:t xml:space="preserve"> bark extract added to the base diet (0, </w:t>
      </w:r>
      <w:r w:rsidR="00174017" w:rsidRPr="003F7349">
        <w:rPr>
          <w:rFonts w:ascii="Arial" w:hAnsi="Arial" w:cs="Arial"/>
          <w:sz w:val="20"/>
          <w:szCs w:val="20"/>
          <w:lang w:val="en-US"/>
        </w:rPr>
        <w:t>200, 300, and 400 mg</w:t>
      </w:r>
      <w:r w:rsidRPr="003F7349">
        <w:rPr>
          <w:rFonts w:ascii="Arial" w:hAnsi="Arial" w:cs="Arial"/>
          <w:sz w:val="20"/>
          <w:szCs w:val="20"/>
          <w:lang w:val="en-US"/>
        </w:rPr>
        <w:t>/kg of feed, designated T0, T1, T2, and T3), with three replicates per treatment.</w:t>
      </w:r>
    </w:p>
    <w:p w14:paraId="3D712BCF" w14:textId="77777777" w:rsidR="004D1E94" w:rsidRPr="003F7349" w:rsidRDefault="004D1E94" w:rsidP="00822B1F">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lang w:val="en-US"/>
        </w:rPr>
      </w:pPr>
      <w:r w:rsidRPr="003F7349">
        <w:rPr>
          <w:rFonts w:ascii="Arial" w:hAnsi="Arial" w:cs="Arial"/>
          <w:b/>
          <w:bCs/>
          <w:sz w:val="20"/>
          <w:szCs w:val="20"/>
          <w:lang w:val="en-US"/>
        </w:rPr>
        <w:t>Results:</w:t>
      </w:r>
      <w:r w:rsidRPr="003F7349">
        <w:rPr>
          <w:rFonts w:ascii="Arial" w:hAnsi="Arial" w:cs="Arial"/>
          <w:sz w:val="20"/>
          <w:szCs w:val="20"/>
          <w:lang w:val="en-US"/>
        </w:rPr>
        <w:t xml:space="preserve"> The results regarding growth and condition factor showed no significant differences between treated and untreated fish. For all treatments, weight gain ranged from 24.69 ± 9.65 g to 28.96 ± 14.45 g, specific growth rate ranged from 1.59 ± 0.35%/day to 1.75 ± 0.42%/day, survival rate ranged from 91.11% to 95.56%, and feed conversion ratio ranged from 1.67 ± 0.15 to 1.87 ± 0.21. The condition factor ranged from 2.22 ± 0.23 to 2.29 ± 0.17. </w:t>
      </w:r>
    </w:p>
    <w:p w14:paraId="39AA7FC3" w14:textId="77777777" w:rsidR="00EE09E4" w:rsidRPr="003F7349" w:rsidRDefault="004D1E94" w:rsidP="00822B1F">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lang w:val="en-US"/>
        </w:rPr>
      </w:pPr>
      <w:r w:rsidRPr="003F7349">
        <w:rPr>
          <w:rFonts w:ascii="Arial" w:hAnsi="Arial" w:cs="Arial"/>
          <w:b/>
          <w:bCs/>
          <w:sz w:val="20"/>
          <w:szCs w:val="20"/>
          <w:lang w:val="en-US"/>
        </w:rPr>
        <w:t>Conclusion:</w:t>
      </w:r>
      <w:r w:rsidRPr="003F7349">
        <w:rPr>
          <w:rFonts w:ascii="Arial" w:hAnsi="Arial" w:cs="Arial"/>
          <w:sz w:val="20"/>
          <w:szCs w:val="20"/>
          <w:lang w:val="en-US"/>
        </w:rPr>
        <w:t xml:space="preserve"> The addition of </w:t>
      </w:r>
      <w:r w:rsidRPr="003F7349">
        <w:rPr>
          <w:rFonts w:ascii="Arial" w:hAnsi="Arial" w:cs="Arial"/>
          <w:i/>
          <w:sz w:val="20"/>
          <w:szCs w:val="20"/>
          <w:lang w:val="en-US"/>
        </w:rPr>
        <w:t>D. microcarpum</w:t>
      </w:r>
      <w:r w:rsidRPr="003F7349">
        <w:rPr>
          <w:rFonts w:ascii="Arial" w:hAnsi="Arial" w:cs="Arial"/>
          <w:sz w:val="20"/>
          <w:szCs w:val="20"/>
          <w:lang w:val="en-US"/>
        </w:rPr>
        <w:t xml:space="preserve"> bark extract to the diet had no negative effect on the growth, feed utilisation, or welfare of Nile tilapia.</w:t>
      </w:r>
    </w:p>
    <w:p w14:paraId="5CF43454" w14:textId="77777777" w:rsidR="00536E9E" w:rsidRPr="003F7349" w:rsidRDefault="00536E9E" w:rsidP="005C0517">
      <w:pPr>
        <w:spacing w:after="120" w:line="240" w:lineRule="auto"/>
        <w:jc w:val="both"/>
        <w:rPr>
          <w:rFonts w:ascii="Arial" w:hAnsi="Arial" w:cs="Arial"/>
          <w:i/>
          <w:iCs/>
          <w:sz w:val="20"/>
          <w:szCs w:val="20"/>
          <w:lang w:val="en-US"/>
        </w:rPr>
      </w:pPr>
    </w:p>
    <w:p w14:paraId="1F886837" w14:textId="77777777" w:rsidR="00E77980" w:rsidRPr="003F7349" w:rsidRDefault="007C6C29" w:rsidP="005C0517">
      <w:pPr>
        <w:spacing w:after="120" w:line="240" w:lineRule="auto"/>
        <w:jc w:val="both"/>
        <w:rPr>
          <w:rFonts w:ascii="Arial" w:hAnsi="Arial" w:cs="Arial"/>
          <w:i/>
          <w:iCs/>
          <w:sz w:val="20"/>
          <w:szCs w:val="20"/>
          <w:lang w:val="en-US"/>
        </w:rPr>
      </w:pPr>
      <w:r w:rsidRPr="003F7349">
        <w:rPr>
          <w:rFonts w:ascii="Arial" w:hAnsi="Arial" w:cs="Arial"/>
          <w:i/>
          <w:iCs/>
          <w:sz w:val="20"/>
          <w:szCs w:val="20"/>
          <w:lang w:val="en-US"/>
        </w:rPr>
        <w:t>Keywords: Detarium microcarpum; feed additive; Nile tilapia; growth performance; feed utilisation; condition factor</w:t>
      </w:r>
    </w:p>
    <w:p w14:paraId="4F12B675" w14:textId="77777777" w:rsidR="00261ECA" w:rsidRPr="003F7349" w:rsidRDefault="00261ECA" w:rsidP="005C0517">
      <w:pPr>
        <w:spacing w:after="120" w:line="240" w:lineRule="auto"/>
        <w:jc w:val="both"/>
        <w:rPr>
          <w:rFonts w:ascii="Arial" w:hAnsi="Arial" w:cs="Arial"/>
          <w:sz w:val="24"/>
          <w:szCs w:val="24"/>
          <w:lang w:val="en-US"/>
        </w:rPr>
      </w:pPr>
    </w:p>
    <w:p w14:paraId="1BEE945A" w14:textId="77777777" w:rsidR="00857268" w:rsidRPr="003F7349" w:rsidRDefault="00211206" w:rsidP="00822B1F">
      <w:pPr>
        <w:spacing w:after="120" w:line="240" w:lineRule="auto"/>
        <w:rPr>
          <w:rFonts w:ascii="Arial" w:hAnsi="Arial" w:cs="Arial"/>
          <w:b/>
          <w:bCs/>
          <w:lang w:val="en-US"/>
        </w:rPr>
      </w:pPr>
      <w:r w:rsidRPr="003F7349">
        <w:rPr>
          <w:rFonts w:ascii="Arial" w:hAnsi="Arial" w:cs="Arial"/>
          <w:b/>
          <w:lang w:val="en-US"/>
        </w:rPr>
        <w:t xml:space="preserve">1. </w:t>
      </w:r>
      <w:r w:rsidR="00734A56" w:rsidRPr="003F7349">
        <w:rPr>
          <w:rFonts w:ascii="Arial" w:hAnsi="Arial" w:cs="Arial"/>
          <w:b/>
          <w:lang w:val="en-US"/>
        </w:rPr>
        <w:t>INTRODUCTION</w:t>
      </w:r>
    </w:p>
    <w:p w14:paraId="2ABDFF1D" w14:textId="45BDF73D" w:rsidR="00673D20" w:rsidRPr="003F7349" w:rsidRDefault="00B64D32" w:rsidP="005C0517">
      <w:pPr>
        <w:spacing w:after="120" w:line="240" w:lineRule="auto"/>
        <w:jc w:val="both"/>
        <w:rPr>
          <w:rFonts w:ascii="Arial" w:hAnsi="Arial" w:cs="Arial"/>
          <w:sz w:val="20"/>
          <w:szCs w:val="20"/>
          <w:lang w:val="en-US"/>
        </w:rPr>
      </w:pPr>
      <w:r w:rsidRPr="003F7349">
        <w:rPr>
          <w:rFonts w:ascii="Arial" w:hAnsi="Arial" w:cs="Arial"/>
          <w:sz w:val="20"/>
          <w:szCs w:val="20"/>
          <w:lang w:val="en-US"/>
        </w:rPr>
        <w:t>Global aquaculture production has grown steadily in recent decades due to the depletion of wild fish stocks and population growth (</w:t>
      </w:r>
      <w:r w:rsidR="000C06A5" w:rsidRPr="000C06A5">
        <w:rPr>
          <w:rFonts w:ascii="Arial" w:hAnsi="Arial" w:cs="Arial"/>
          <w:sz w:val="20"/>
          <w:szCs w:val="20"/>
          <w:lang w:val="en-US"/>
        </w:rPr>
        <w:t>Food and Agriculture Organization of the United Nations</w:t>
      </w:r>
      <w:r w:rsidRPr="003F7349">
        <w:rPr>
          <w:rFonts w:ascii="Arial" w:hAnsi="Arial" w:cs="Arial"/>
          <w:sz w:val="20"/>
          <w:szCs w:val="20"/>
          <w:lang w:val="en-US"/>
        </w:rPr>
        <w:t>, 2022). In Africa, demand for fish has also increased due to population growth and rising incomes, changing dietary patterns towards a greater demand for protein-rich foods, and greater recognition of the health benefits of fish (Dème et al., 2023; Elhadj Bara &amp; Pierre, 2024). In most West African countries, fish farming is mainly carried out by small-scale farms, but it plays an important role in the economic development of rural communities. Indeed, fish is a valuable source of animal protein, and fish farming creates jobs, particularly in rural areas (Tran et al., 2019; Muringai et al., 2022). In Burkina Faso, Nile tilapia (</w:t>
      </w:r>
      <w:r w:rsidRPr="003F7349">
        <w:rPr>
          <w:rFonts w:ascii="Arial" w:hAnsi="Arial" w:cs="Arial"/>
          <w:i/>
          <w:sz w:val="20"/>
          <w:szCs w:val="20"/>
          <w:lang w:val="en-US"/>
        </w:rPr>
        <w:t>Oreochromis niloticus</w:t>
      </w:r>
      <w:r w:rsidRPr="003F7349">
        <w:rPr>
          <w:rFonts w:ascii="Arial" w:hAnsi="Arial" w:cs="Arial"/>
          <w:sz w:val="20"/>
          <w:szCs w:val="20"/>
          <w:lang w:val="en-US"/>
        </w:rPr>
        <w:t xml:space="preserve">) is the second most common farmed fish species, after the African catfish, </w:t>
      </w:r>
      <w:r w:rsidRPr="003F7349">
        <w:rPr>
          <w:rFonts w:ascii="Arial" w:hAnsi="Arial" w:cs="Arial"/>
          <w:i/>
          <w:sz w:val="20"/>
          <w:szCs w:val="20"/>
          <w:lang w:val="en-US"/>
        </w:rPr>
        <w:t xml:space="preserve">Clarias </w:t>
      </w:r>
      <w:proofErr w:type="spellStart"/>
      <w:r w:rsidRPr="003F7349">
        <w:rPr>
          <w:rFonts w:ascii="Arial" w:hAnsi="Arial" w:cs="Arial"/>
          <w:i/>
          <w:sz w:val="20"/>
          <w:szCs w:val="20"/>
          <w:lang w:val="en-US"/>
        </w:rPr>
        <w:t>gariepinus</w:t>
      </w:r>
      <w:proofErr w:type="spellEnd"/>
      <w:r w:rsidRPr="003F7349">
        <w:rPr>
          <w:rFonts w:ascii="Arial" w:hAnsi="Arial" w:cs="Arial"/>
          <w:sz w:val="20"/>
          <w:szCs w:val="20"/>
          <w:lang w:val="en-US"/>
        </w:rPr>
        <w:t xml:space="preserve"> (</w:t>
      </w:r>
      <w:r w:rsidR="000C06A5" w:rsidRPr="000C06A5">
        <w:rPr>
          <w:rFonts w:ascii="Arial" w:hAnsi="Arial" w:cs="Arial"/>
          <w:sz w:val="20"/>
          <w:szCs w:val="20"/>
          <w:lang w:val="en-US"/>
        </w:rPr>
        <w:t>Food and Agriculture Organization of the United Nations</w:t>
      </w:r>
      <w:r w:rsidRPr="003F7349">
        <w:rPr>
          <w:rFonts w:ascii="Arial" w:hAnsi="Arial" w:cs="Arial"/>
          <w:sz w:val="20"/>
          <w:szCs w:val="20"/>
          <w:lang w:val="en-US"/>
        </w:rPr>
        <w:t xml:space="preserve">, 2026), due to its rapid growth, natural reproduction, tolerance to various environments, acceptance of different feed formulations, ability to be raised at high densities, and strong market demand (Amoussou et al., 2016; Van Doan et al., 2019; Ibrahim et al., 2024). However, the intensification of aquaculture can lead to various environmental problems, including a weakened immune system in the fish, increased susceptibility to disease, and the resulting high mortality rates, resulting in considerable economic losses each year (Lieke et al., 2020). Other factors, such as pollution and high temperatures, negatively affect water quality and can compromise the immune system of fish and the health of aquatic animals (Dadras et al., 2023). To ensure sustainable fish farming, natural additives and supplements are emerging as more economical and sustainable alternatives. This explains the growing interest in the use of plant extracts in aquaculture in recent years (Olaniyi et al., 2020; Nyadjeu et al., 2021). Due to their potential to improve </w:t>
      </w:r>
      <w:r w:rsidRPr="003F7349">
        <w:rPr>
          <w:rFonts w:ascii="Arial" w:hAnsi="Arial" w:cs="Arial"/>
          <w:sz w:val="20"/>
          <w:szCs w:val="20"/>
          <w:lang w:val="en-US"/>
        </w:rPr>
        <w:lastRenderedPageBreak/>
        <w:t xml:space="preserve">fish health, growth, and reproductive function, the use of medicinal plants in aquaculture is attracting growing interest (Elgendy et al., 2024). Furthermore, they appear to be inexpensive and effective, are associated with fewer side effects in disease treatment, and, above all, are more environmentally friendly (Kuebutornye &amp; Abarike, 2020). Medicinal plants and their derivatives contain specific active substances that modulate biological functions, such as growth promotion, immunostimulation, anti-stress effects, appetite stimulation, and antimicrobial activities (Hamid et al., 2022; Dadras et al. 2023; Elgendy et al. 2024). They can be used in various forms, including crude preparations, extracts, or specific active compounds (Elgendy et al., 2021). Originally used as traditional remedies, medicinal plants have become scientifically validated tools for environmentally friendly aquaculture (Amulejoye et al., 2025). They are considered an alternative to antibiotics and growth promoters (Tadese et al., 2022). For example, it has been demonstrated that supplementation with </w:t>
      </w:r>
      <w:r w:rsidRPr="003F7349">
        <w:rPr>
          <w:rFonts w:ascii="Arial" w:hAnsi="Arial" w:cs="Arial"/>
          <w:i/>
          <w:sz w:val="20"/>
          <w:szCs w:val="20"/>
          <w:lang w:val="en-US"/>
        </w:rPr>
        <w:t>Aloe vera</w:t>
      </w:r>
      <w:r w:rsidRPr="003F7349">
        <w:rPr>
          <w:rFonts w:ascii="Arial" w:hAnsi="Arial" w:cs="Arial"/>
          <w:sz w:val="20"/>
          <w:szCs w:val="20"/>
          <w:lang w:val="en-US"/>
        </w:rPr>
        <w:t xml:space="preserve"> or </w:t>
      </w:r>
      <w:r w:rsidRPr="003F7349">
        <w:rPr>
          <w:rFonts w:ascii="Arial" w:hAnsi="Arial" w:cs="Arial"/>
          <w:i/>
          <w:sz w:val="20"/>
          <w:szCs w:val="20"/>
          <w:lang w:val="en-US"/>
        </w:rPr>
        <w:t>Aloe barbadensis</w:t>
      </w:r>
      <w:r w:rsidRPr="003F7349">
        <w:rPr>
          <w:rFonts w:ascii="Arial" w:hAnsi="Arial" w:cs="Arial"/>
          <w:sz w:val="20"/>
          <w:szCs w:val="20"/>
          <w:lang w:val="en-US"/>
        </w:rPr>
        <w:t xml:space="preserve"> (Gabriel et al., 2015), or with Clove basil or </w:t>
      </w:r>
      <w:r w:rsidRPr="003F7349">
        <w:rPr>
          <w:rFonts w:ascii="Arial" w:hAnsi="Arial" w:cs="Arial"/>
          <w:i/>
          <w:sz w:val="20"/>
          <w:szCs w:val="20"/>
          <w:lang w:val="en-US"/>
        </w:rPr>
        <w:t>Ocimum gratissimum</w:t>
      </w:r>
      <w:r w:rsidRPr="003F7349">
        <w:rPr>
          <w:rFonts w:ascii="Arial" w:hAnsi="Arial" w:cs="Arial"/>
          <w:sz w:val="20"/>
          <w:szCs w:val="20"/>
          <w:lang w:val="en-US"/>
        </w:rPr>
        <w:t xml:space="preserve"> (Brum et al., 2017) can improve feed utilisation, growth, survival rates, and haematobiochemical parameters in tilapia. </w:t>
      </w:r>
      <w:r w:rsidRPr="003F7349">
        <w:rPr>
          <w:rFonts w:ascii="Arial" w:hAnsi="Arial"/>
          <w:b/>
          <w:sz w:val="20"/>
        </w:rPr>
        <w:t xml:space="preserve">Recent literature on tilapia nutrition has also identified plant-derived feed additives as an active area of research for supporting growth, feed utilisation, and fish health (Syanya et al., 2023; Chakroborty et al., 2025). Recent feeding trials in Nile tilapia have further shown that responses to phytogenic additives can differ with the botanical preparation and dietary inclusion level, underscoring the need for product-specific evaluation (Chaklader et al., 2024; Gruber et al., 2025; Nenuji et al., 2026). </w:t>
      </w:r>
      <w:r w:rsidRPr="003F7349">
        <w:rPr>
          <w:rFonts w:ascii="Arial" w:hAnsi="Arial" w:cs="Arial"/>
          <w:i/>
          <w:sz w:val="20"/>
          <w:szCs w:val="20"/>
          <w:lang w:val="en-US"/>
        </w:rPr>
        <w:t>Detarium microcarpum</w:t>
      </w:r>
      <w:r w:rsidRPr="003F7349">
        <w:rPr>
          <w:rFonts w:ascii="Arial" w:hAnsi="Arial" w:cs="Arial"/>
          <w:sz w:val="20"/>
          <w:szCs w:val="20"/>
          <w:lang w:val="en-US"/>
        </w:rPr>
        <w:t xml:space="preserve"> is a tree native to Africa, belonging to the Fabaceae family, which grows wild in several African countries, particularly in savanna areas. Known as “sweet detar”, all parts of the plant (leaves, fruits, bark, roots) are used in traditional medicine (Hassanin et al., 2019; Dogara, 2022). The fruits and leaves of </w:t>
      </w:r>
      <w:r w:rsidRPr="003F7349">
        <w:rPr>
          <w:rFonts w:ascii="Arial" w:hAnsi="Arial" w:cs="Arial"/>
          <w:i/>
          <w:sz w:val="20"/>
          <w:szCs w:val="20"/>
          <w:lang w:val="en-US"/>
        </w:rPr>
        <w:t>D. microcarpum</w:t>
      </w:r>
      <w:r w:rsidRPr="003F7349">
        <w:rPr>
          <w:rFonts w:ascii="Arial" w:hAnsi="Arial" w:cs="Arial"/>
          <w:sz w:val="20"/>
          <w:szCs w:val="20"/>
          <w:lang w:val="en-US"/>
        </w:rPr>
        <w:t xml:space="preserve"> are edible and have been used by African tribes as a condiment and a vegetable (Hassanin et al., 2019). It has been observed that the pulp of the </w:t>
      </w:r>
      <w:r w:rsidRPr="003F7349">
        <w:rPr>
          <w:rFonts w:ascii="Arial" w:hAnsi="Arial" w:cs="Arial"/>
          <w:i/>
          <w:sz w:val="20"/>
          <w:szCs w:val="20"/>
          <w:lang w:val="en-US"/>
        </w:rPr>
        <w:t>Detarium microcarpum</w:t>
      </w:r>
      <w:r w:rsidRPr="003F7349">
        <w:rPr>
          <w:rFonts w:ascii="Arial" w:hAnsi="Arial" w:cs="Arial"/>
          <w:sz w:val="20"/>
          <w:szCs w:val="20"/>
          <w:lang w:val="en-US"/>
        </w:rPr>
        <w:t xml:space="preserve"> fruit has significant effects on haematological parameters and weight gain in rats (Wahedi &amp; David, 2013). The incorporation of </w:t>
      </w:r>
      <w:r w:rsidRPr="003F7349">
        <w:rPr>
          <w:rFonts w:ascii="Arial" w:hAnsi="Arial" w:cs="Arial"/>
          <w:i/>
          <w:sz w:val="20"/>
          <w:szCs w:val="20"/>
          <w:lang w:val="en-US"/>
        </w:rPr>
        <w:t>Detarium microcarpum</w:t>
      </w:r>
      <w:r w:rsidRPr="003F7349">
        <w:rPr>
          <w:rFonts w:ascii="Arial" w:hAnsi="Arial" w:cs="Arial"/>
          <w:sz w:val="20"/>
          <w:szCs w:val="20"/>
          <w:lang w:val="en-US"/>
        </w:rPr>
        <w:t xml:space="preserve"> seed meal at levels up to 20% improved weight gain and nutrient utilisation in broiler chickens (Obun et al., 2011). </w:t>
      </w:r>
      <w:r w:rsidRPr="003F7349">
        <w:rPr>
          <w:rFonts w:ascii="Arial" w:hAnsi="Arial" w:cs="Arial"/>
          <w:i/>
          <w:sz w:val="20"/>
          <w:szCs w:val="20"/>
          <w:lang w:val="en-US"/>
        </w:rPr>
        <w:t>D. microcarpum</w:t>
      </w:r>
      <w:r w:rsidRPr="003F7349">
        <w:rPr>
          <w:rFonts w:ascii="Arial" w:hAnsi="Arial" w:cs="Arial"/>
          <w:sz w:val="20"/>
          <w:szCs w:val="20"/>
          <w:lang w:val="en-US"/>
        </w:rPr>
        <w:t xml:space="preserve"> bark extract showed cardioprotective and hepatoprotective properties (</w:t>
      </w:r>
      <w:r w:rsidR="000C06A5" w:rsidRPr="000C06A5">
        <w:rPr>
          <w:rFonts w:ascii="Arial" w:hAnsi="Arial" w:cs="Arial"/>
          <w:sz w:val="20"/>
          <w:szCs w:val="20"/>
          <w:lang w:val="en-US"/>
        </w:rPr>
        <w:t xml:space="preserve">Fotso </w:t>
      </w:r>
      <w:proofErr w:type="spellStart"/>
      <w:r w:rsidR="000C06A5" w:rsidRPr="000C06A5">
        <w:rPr>
          <w:rFonts w:ascii="Arial" w:hAnsi="Arial" w:cs="Arial"/>
          <w:sz w:val="20"/>
          <w:szCs w:val="20"/>
          <w:lang w:val="en-US"/>
        </w:rPr>
        <w:t>Youovop</w:t>
      </w:r>
      <w:proofErr w:type="spellEnd"/>
      <w:r w:rsidRPr="003F7349">
        <w:rPr>
          <w:rFonts w:ascii="Arial" w:hAnsi="Arial" w:cs="Arial"/>
          <w:sz w:val="20"/>
          <w:szCs w:val="20"/>
          <w:lang w:val="en-US"/>
        </w:rPr>
        <w:t xml:space="preserve"> et al., 2020), as well as analgesic and anti-inflammatory properties (Yaro et al., 2017) in rats. The root extract has an antidiarrheal effect (Dawa et al., 2022). Furthermore, Alatise et al. (2021) demonstrated that </w:t>
      </w:r>
      <w:r w:rsidRPr="003F7349">
        <w:rPr>
          <w:rFonts w:ascii="Arial" w:hAnsi="Arial" w:cs="Arial"/>
          <w:i/>
          <w:sz w:val="20"/>
          <w:szCs w:val="20"/>
          <w:lang w:val="en-US"/>
        </w:rPr>
        <w:t>D. microcarpum</w:t>
      </w:r>
      <w:r w:rsidRPr="003F7349">
        <w:rPr>
          <w:rFonts w:ascii="Arial" w:hAnsi="Arial" w:cs="Arial"/>
          <w:sz w:val="20"/>
          <w:szCs w:val="20"/>
          <w:lang w:val="en-US"/>
        </w:rPr>
        <w:t xml:space="preserve"> leaf and seed meals are good sources of dietary energy and can be used as unconventional feed resources for fish. However, to the best of our knowledge, no data are available regarding the potential of </w:t>
      </w:r>
      <w:r w:rsidRPr="003F7349">
        <w:rPr>
          <w:rFonts w:ascii="Arial" w:hAnsi="Arial" w:cs="Arial"/>
          <w:i/>
          <w:sz w:val="20"/>
          <w:szCs w:val="20"/>
          <w:lang w:val="en-US"/>
        </w:rPr>
        <w:t>D. microcarpum</w:t>
      </w:r>
      <w:r w:rsidRPr="003F7349">
        <w:rPr>
          <w:rFonts w:ascii="Arial" w:hAnsi="Arial" w:cs="Arial"/>
          <w:sz w:val="20"/>
          <w:szCs w:val="20"/>
          <w:lang w:val="en-US"/>
        </w:rPr>
        <w:t xml:space="preserve"> bark extract in aquafeed as a growth-enhancing supplement. Thus, this study was conducted to evaluate the effect of </w:t>
      </w:r>
      <w:r w:rsidRPr="003F7349">
        <w:rPr>
          <w:rFonts w:ascii="Arial" w:hAnsi="Arial" w:cs="Arial"/>
          <w:i/>
          <w:sz w:val="20"/>
          <w:szCs w:val="20"/>
          <w:lang w:val="en-US"/>
        </w:rPr>
        <w:t>D. microcarpum</w:t>
      </w:r>
      <w:r w:rsidRPr="003F7349">
        <w:rPr>
          <w:rFonts w:ascii="Arial" w:hAnsi="Arial" w:cs="Arial"/>
          <w:sz w:val="20"/>
          <w:szCs w:val="20"/>
          <w:lang w:val="en-US"/>
        </w:rPr>
        <w:t xml:space="preserve"> bark extract on the growth performance and feed utilisation of Nile tilapia.  </w:t>
      </w:r>
    </w:p>
    <w:p w14:paraId="55F0BAC6" w14:textId="77777777" w:rsidR="00857268" w:rsidRPr="003F7349" w:rsidRDefault="00211206" w:rsidP="00822B1F">
      <w:pPr>
        <w:spacing w:after="120" w:line="240" w:lineRule="auto"/>
        <w:rPr>
          <w:rFonts w:ascii="Arial" w:hAnsi="Arial" w:cs="Arial"/>
          <w:b/>
          <w:bCs/>
          <w:lang w:val="en-US"/>
        </w:rPr>
      </w:pPr>
      <w:r w:rsidRPr="003F7349">
        <w:rPr>
          <w:rFonts w:ascii="Arial" w:hAnsi="Arial" w:cs="Arial"/>
          <w:b/>
          <w:lang w:val="en-US"/>
        </w:rPr>
        <w:t xml:space="preserve">2. </w:t>
      </w:r>
      <w:r w:rsidR="00734A56" w:rsidRPr="003F7349">
        <w:rPr>
          <w:rFonts w:ascii="Arial" w:hAnsi="Arial" w:cs="Arial"/>
          <w:b/>
          <w:lang w:val="en-US"/>
        </w:rPr>
        <w:t>MATERIALS AND METHODS</w:t>
      </w:r>
    </w:p>
    <w:p w14:paraId="0F3A2376" w14:textId="77777777" w:rsidR="00A05C00" w:rsidRPr="003F7349" w:rsidRDefault="00211206" w:rsidP="00822B1F">
      <w:pPr>
        <w:spacing w:after="120" w:line="240" w:lineRule="auto"/>
        <w:rPr>
          <w:rFonts w:ascii="Arial" w:hAnsi="Arial" w:cs="Arial"/>
          <w:b/>
          <w:bCs/>
          <w:lang w:val="en-US"/>
        </w:rPr>
      </w:pPr>
      <w:r w:rsidRPr="003F7349">
        <w:rPr>
          <w:rFonts w:ascii="Arial" w:hAnsi="Arial" w:cs="Arial"/>
          <w:b/>
          <w:lang w:val="en-US"/>
        </w:rPr>
        <w:t xml:space="preserve">2.1. </w:t>
      </w:r>
      <w:r w:rsidR="00A05C00" w:rsidRPr="003F7349">
        <w:rPr>
          <w:rFonts w:ascii="Arial" w:hAnsi="Arial" w:cs="Arial"/>
          <w:b/>
          <w:lang w:val="en-US"/>
        </w:rPr>
        <w:t>Preparation of Bark Extract</w:t>
      </w:r>
    </w:p>
    <w:p w14:paraId="446F1E10" w14:textId="79246D47" w:rsidR="00F15104" w:rsidRPr="003F7349" w:rsidRDefault="00CD52AA" w:rsidP="005C0517">
      <w:pPr>
        <w:pStyle w:val="ListParagraph"/>
        <w:spacing w:after="120" w:line="240" w:lineRule="auto"/>
        <w:ind w:left="0"/>
        <w:jc w:val="both"/>
        <w:rPr>
          <w:rFonts w:ascii="Arial" w:hAnsi="Arial" w:cs="Arial"/>
          <w:sz w:val="20"/>
          <w:szCs w:val="20"/>
          <w:lang w:val="en-US"/>
        </w:rPr>
      </w:pPr>
      <w:r w:rsidRPr="003F7349">
        <w:rPr>
          <w:rFonts w:ascii="Arial" w:hAnsi="Arial" w:cs="Arial"/>
          <w:sz w:val="20"/>
          <w:szCs w:val="20"/>
          <w:lang w:val="en-US"/>
        </w:rPr>
        <w:t xml:space="preserve">Fresh </w:t>
      </w:r>
      <w:r w:rsidRPr="003F7349">
        <w:rPr>
          <w:rFonts w:ascii="Arial" w:hAnsi="Arial" w:cs="Arial"/>
          <w:i/>
          <w:sz w:val="20"/>
          <w:szCs w:val="20"/>
          <w:lang w:val="en-US"/>
        </w:rPr>
        <w:t>Detarium microcarpum</w:t>
      </w:r>
      <w:r w:rsidRPr="003F7349">
        <w:rPr>
          <w:rFonts w:ascii="Arial" w:hAnsi="Arial" w:cs="Arial"/>
          <w:sz w:val="20"/>
          <w:szCs w:val="20"/>
          <w:lang w:val="en-US"/>
        </w:rPr>
        <w:t xml:space="preserve"> stem bark was identified and collected in January 2026 from the forest managed by the Department of Environment and Forest of the Institute of Environment and Agricultural Research, in Saponé village, Nazinon region, Burkina Faso. The bark was washed, cut into small pieces, and air-dried at ambient temperature (26.5 ± 2.9 °C) for two weeks and then ground into a powder for extraction. The extract was prepared according to the principles of standard solid–liquid extraction techniques described by </w:t>
      </w:r>
      <w:r w:rsidR="000C06A5" w:rsidRPr="000C06A5">
        <w:rPr>
          <w:rFonts w:ascii="Arial" w:hAnsi="Arial" w:cs="Arial"/>
          <w:sz w:val="20"/>
          <w:szCs w:val="20"/>
          <w:lang w:val="en-US"/>
        </w:rPr>
        <w:t>Handa</w:t>
      </w:r>
      <w:r w:rsidRPr="003F7349">
        <w:rPr>
          <w:rFonts w:ascii="Arial" w:hAnsi="Arial" w:cs="Arial"/>
          <w:sz w:val="20"/>
          <w:szCs w:val="20"/>
          <w:lang w:val="en-US"/>
        </w:rPr>
        <w:t xml:space="preserve"> et al. (2008). One hundred and fifty grams of the ground sample were macerated in 750 mL of solvent (distilled water–ethanol 70% (v/v)) for 48 hours. The mixture was stirred magnetically. The supernatant was then filtered through Whatman No. 5 filter paper. After filtration, the solvent was evaporated using a rotary evaporator (Büchi), and the extract was dried in a ventilated oven at 45 °C for 24 hours.</w:t>
      </w:r>
    </w:p>
    <w:p w14:paraId="75E12E7D" w14:textId="77777777" w:rsidR="007F3933" w:rsidRPr="003F7349" w:rsidRDefault="00211206" w:rsidP="00822B1F">
      <w:pPr>
        <w:spacing w:after="120" w:line="240" w:lineRule="auto"/>
        <w:rPr>
          <w:rFonts w:ascii="Arial" w:hAnsi="Arial" w:cs="Arial"/>
          <w:b/>
          <w:bCs/>
          <w:lang w:val="en-US"/>
        </w:rPr>
      </w:pPr>
      <w:r w:rsidRPr="003F7349">
        <w:rPr>
          <w:rFonts w:ascii="Arial" w:hAnsi="Arial" w:cs="Arial"/>
          <w:b/>
          <w:lang w:val="en-US"/>
        </w:rPr>
        <w:t xml:space="preserve">2.2. </w:t>
      </w:r>
      <w:r w:rsidR="007F3933" w:rsidRPr="003F7349">
        <w:rPr>
          <w:rFonts w:ascii="Arial" w:hAnsi="Arial" w:cs="Arial"/>
          <w:b/>
          <w:lang w:val="en-US"/>
        </w:rPr>
        <w:t>Diet Preparation</w:t>
      </w:r>
    </w:p>
    <w:p w14:paraId="5AC17A14" w14:textId="77777777" w:rsidR="00A537B9" w:rsidRPr="003F7349" w:rsidRDefault="00A537B9" w:rsidP="00A537B9">
      <w:pPr>
        <w:spacing w:after="120" w:line="240" w:lineRule="auto"/>
        <w:jc w:val="both"/>
        <w:rPr>
          <w:rFonts w:ascii="Arial" w:hAnsi="Arial" w:cs="Arial"/>
          <w:sz w:val="20"/>
          <w:szCs w:val="20"/>
          <w:lang w:val="en-US"/>
        </w:rPr>
      </w:pPr>
      <w:bookmarkStart w:id="0" w:name="_Hlk238938383"/>
      <w:bookmarkEnd w:id="0"/>
      <w:r w:rsidRPr="003F7349">
        <w:rPr>
          <w:rFonts w:ascii="Arial" w:hAnsi="Arial" w:cs="Arial"/>
          <w:sz w:val="20"/>
          <w:szCs w:val="20"/>
          <w:lang w:val="en-US"/>
        </w:rPr>
        <w:t xml:space="preserve">Commercial fish feed (Raanan fish feed) was purchased from the market and used as the basal diet (Table 1). The dry extract was dissolved in distilled water and then sprayed on the diet surface according to the method described by Ashour et al. (2020). The experimental diets were prepared by incorporating different doses of </w:t>
      </w:r>
      <w:r w:rsidRPr="003F7349">
        <w:rPr>
          <w:rFonts w:ascii="Arial" w:hAnsi="Arial" w:cs="Arial"/>
          <w:i/>
          <w:iCs/>
          <w:sz w:val="20"/>
          <w:szCs w:val="20"/>
          <w:lang w:val="en-US"/>
        </w:rPr>
        <w:t>D. microcarpum</w:t>
      </w:r>
      <w:r w:rsidRPr="003F7349">
        <w:rPr>
          <w:rFonts w:ascii="Arial" w:hAnsi="Arial" w:cs="Arial"/>
          <w:sz w:val="20"/>
          <w:szCs w:val="20"/>
          <w:lang w:val="en-US"/>
        </w:rPr>
        <w:t xml:space="preserve"> extract into this commercial feed. The basal diet was used as the control diet (T0). Three other experimental diets, T1, T2, and T3, were formulated by adding 200 mg, 300 mg, and 400 mg of </w:t>
      </w:r>
      <w:r w:rsidRPr="003F7349">
        <w:rPr>
          <w:rFonts w:ascii="Arial" w:hAnsi="Arial" w:cs="Arial"/>
          <w:i/>
          <w:iCs/>
          <w:sz w:val="20"/>
          <w:szCs w:val="20"/>
          <w:lang w:val="en-US"/>
        </w:rPr>
        <w:t>D. microcarpum</w:t>
      </w:r>
      <w:r w:rsidRPr="003F7349">
        <w:rPr>
          <w:rFonts w:ascii="Arial" w:hAnsi="Arial" w:cs="Arial"/>
          <w:sz w:val="20"/>
          <w:szCs w:val="20"/>
          <w:lang w:val="en-US"/>
        </w:rPr>
        <w:t xml:space="preserve"> bark extract to 1 kg of the basal diet, corresponding to incorporation rates of 0.020%, 0.030%, and 0.040%, respectively (Kondombo et al., 2025). The diets were thoroughly mixed in a plastic container to ensure uniform distribution of the </w:t>
      </w:r>
      <w:r w:rsidRPr="003F7349">
        <w:rPr>
          <w:rFonts w:ascii="Arial" w:hAnsi="Arial" w:cs="Arial"/>
          <w:i/>
          <w:iCs/>
          <w:sz w:val="20"/>
          <w:szCs w:val="20"/>
          <w:lang w:val="en-US"/>
        </w:rPr>
        <w:t>D. microcarpum</w:t>
      </w:r>
      <w:r w:rsidRPr="003F7349">
        <w:rPr>
          <w:rFonts w:ascii="Arial" w:hAnsi="Arial" w:cs="Arial"/>
          <w:sz w:val="20"/>
          <w:szCs w:val="20"/>
          <w:lang w:val="en-US"/>
        </w:rPr>
        <w:t xml:space="preserve"> bark extract. The diets were shade-dried at ambient temperature (27.8 ± 3.2 °C) for 24 hours, packaged in airtight containers, labelled and stored until use.</w:t>
      </w:r>
    </w:p>
    <w:p w14:paraId="4B753718" w14:textId="77777777" w:rsidR="00A537B9" w:rsidRPr="003F7349" w:rsidRDefault="00A537B9" w:rsidP="00A537B9">
      <w:pPr>
        <w:spacing w:after="120" w:line="240" w:lineRule="auto"/>
        <w:jc w:val="both"/>
        <w:rPr>
          <w:rFonts w:ascii="Arial" w:hAnsi="Arial" w:cs="Arial"/>
          <w:sz w:val="20"/>
          <w:szCs w:val="20"/>
          <w:lang w:val="en-US"/>
        </w:rPr>
      </w:pPr>
    </w:p>
    <w:p w14:paraId="6ACF67C9" w14:textId="77777777" w:rsidR="00CE610A" w:rsidRPr="003F7349" w:rsidRDefault="00CE610A" w:rsidP="00A537B9">
      <w:pPr>
        <w:spacing w:after="120" w:line="240" w:lineRule="auto"/>
        <w:jc w:val="both"/>
        <w:rPr>
          <w:rFonts w:ascii="Arial" w:hAnsi="Arial" w:cs="Arial"/>
          <w:sz w:val="20"/>
          <w:szCs w:val="20"/>
          <w:lang w:val="en-US"/>
        </w:rPr>
      </w:pPr>
    </w:p>
    <w:p w14:paraId="31CD8295" w14:textId="77777777" w:rsidR="00CE610A" w:rsidRPr="003F7349" w:rsidRDefault="00CE610A" w:rsidP="00A537B9">
      <w:pPr>
        <w:spacing w:after="120" w:line="240" w:lineRule="auto"/>
        <w:jc w:val="both"/>
        <w:rPr>
          <w:rFonts w:ascii="Arial" w:hAnsi="Arial" w:cs="Arial"/>
          <w:sz w:val="20"/>
          <w:szCs w:val="20"/>
          <w:lang w:val="en-US"/>
        </w:rPr>
      </w:pPr>
    </w:p>
    <w:p w14:paraId="34174BA5" w14:textId="77777777" w:rsidR="00CE610A" w:rsidRPr="003F7349" w:rsidRDefault="00CE610A" w:rsidP="00A537B9">
      <w:pPr>
        <w:spacing w:after="120" w:line="240" w:lineRule="auto"/>
        <w:jc w:val="both"/>
        <w:rPr>
          <w:rFonts w:ascii="Arial" w:hAnsi="Arial" w:cs="Arial"/>
          <w:sz w:val="20"/>
          <w:szCs w:val="20"/>
          <w:lang w:val="en-US"/>
        </w:rPr>
      </w:pPr>
    </w:p>
    <w:p w14:paraId="7CBDD7A6" w14:textId="77777777" w:rsidR="00A537B9" w:rsidRPr="003F7349" w:rsidRDefault="00A537B9" w:rsidP="005C0517">
      <w:pPr>
        <w:spacing w:after="120" w:line="240" w:lineRule="auto"/>
        <w:jc w:val="both"/>
        <w:rPr>
          <w:rFonts w:ascii="Arial" w:hAnsi="Arial" w:cs="Arial"/>
          <w:sz w:val="20"/>
          <w:szCs w:val="20"/>
          <w:lang w:val="en-US"/>
        </w:rPr>
      </w:pPr>
    </w:p>
    <w:p w14:paraId="1A06EBED" w14:textId="77777777" w:rsidR="003D0E26" w:rsidRPr="003F7349" w:rsidRDefault="003D0E26" w:rsidP="00AB1C01">
      <w:pPr>
        <w:spacing w:after="120" w:line="240" w:lineRule="auto"/>
        <w:jc w:val="center"/>
        <w:rPr>
          <w:rFonts w:ascii="Arial" w:hAnsi="Arial" w:cs="Arial"/>
          <w:sz w:val="20"/>
          <w:szCs w:val="20"/>
          <w:lang w:val="en-US"/>
        </w:rPr>
      </w:pPr>
      <w:r w:rsidRPr="003F7349">
        <w:rPr>
          <w:rFonts w:ascii="Arial" w:hAnsi="Arial" w:cs="Arial"/>
          <w:b/>
          <w:sz w:val="20"/>
          <w:szCs w:val="20"/>
          <w:lang w:val="en-US"/>
        </w:rPr>
        <w:t>Table 1. Characteristics of the basal diet</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3175"/>
        <w:gridCol w:w="3175"/>
      </w:tblGrid>
      <w:tr w:rsidR="00EB3544" w:rsidRPr="003F7349" w14:paraId="7138F4DA" w14:textId="77777777" w:rsidTr="00AB1C01">
        <w:trPr>
          <w:trHeight w:val="20"/>
          <w:jc w:val="center"/>
        </w:trPr>
        <w:tc>
          <w:tcPr>
            <w:tcW w:w="3175" w:type="dxa"/>
            <w:tcBorders>
              <w:bottom w:val="single" w:sz="4" w:space="0" w:color="auto"/>
            </w:tcBorders>
          </w:tcPr>
          <w:p w14:paraId="169596E0" w14:textId="77777777" w:rsidR="00EB3544" w:rsidRPr="003F7349" w:rsidRDefault="00EB3544" w:rsidP="00155489">
            <w:pPr>
              <w:pStyle w:val="ListParagraph"/>
              <w:ind w:left="0"/>
              <w:rPr>
                <w:rFonts w:ascii="Arial" w:hAnsi="Arial" w:cs="Arial"/>
                <w:b/>
                <w:bCs/>
                <w:sz w:val="20"/>
                <w:szCs w:val="20"/>
                <w:lang w:val="en-US"/>
              </w:rPr>
            </w:pPr>
            <w:r w:rsidRPr="003F7349">
              <w:rPr>
                <w:rFonts w:ascii="Arial" w:hAnsi="Arial" w:cs="Arial"/>
                <w:b/>
                <w:bCs/>
                <w:sz w:val="20"/>
                <w:szCs w:val="20"/>
                <w:lang w:val="en-US"/>
              </w:rPr>
              <w:t>Ingredients</w:t>
            </w:r>
          </w:p>
        </w:tc>
        <w:tc>
          <w:tcPr>
            <w:tcW w:w="3175" w:type="dxa"/>
            <w:tcBorders>
              <w:bottom w:val="single" w:sz="4" w:space="0" w:color="auto"/>
            </w:tcBorders>
          </w:tcPr>
          <w:p w14:paraId="03C9D690" w14:textId="77777777" w:rsidR="00EB3544" w:rsidRPr="003F7349" w:rsidRDefault="00EB3544" w:rsidP="00AB1C01">
            <w:pPr>
              <w:pStyle w:val="ListParagraph"/>
              <w:ind w:left="0"/>
              <w:jc w:val="center"/>
              <w:rPr>
                <w:rFonts w:ascii="Arial" w:hAnsi="Arial" w:cs="Arial"/>
                <w:b/>
                <w:bCs/>
                <w:sz w:val="20"/>
                <w:szCs w:val="20"/>
                <w:lang w:val="en-US"/>
              </w:rPr>
            </w:pPr>
            <w:r w:rsidRPr="003F7349">
              <w:rPr>
                <w:rFonts w:ascii="Arial" w:hAnsi="Arial" w:cs="Arial"/>
                <w:b/>
                <w:bCs/>
                <w:sz w:val="20"/>
                <w:szCs w:val="20"/>
                <w:lang w:val="en-US"/>
              </w:rPr>
              <w:t>Composition (%)</w:t>
            </w:r>
          </w:p>
        </w:tc>
      </w:tr>
      <w:tr w:rsidR="00EB3544" w:rsidRPr="003F7349" w14:paraId="6CEF5AB8" w14:textId="77777777" w:rsidTr="00AB1C01">
        <w:trPr>
          <w:trHeight w:val="20"/>
          <w:jc w:val="center"/>
        </w:trPr>
        <w:tc>
          <w:tcPr>
            <w:tcW w:w="3175" w:type="dxa"/>
            <w:tcBorders>
              <w:bottom w:val="nil"/>
            </w:tcBorders>
          </w:tcPr>
          <w:p w14:paraId="31164549" w14:textId="77777777" w:rsidR="00EB3544" w:rsidRPr="003F7349" w:rsidRDefault="003D0E26" w:rsidP="00155489">
            <w:pPr>
              <w:pStyle w:val="ListParagraph"/>
              <w:ind w:left="0"/>
              <w:rPr>
                <w:rFonts w:ascii="Arial" w:hAnsi="Arial" w:cs="Arial"/>
                <w:sz w:val="20"/>
                <w:szCs w:val="20"/>
                <w:lang w:val="en-US"/>
              </w:rPr>
            </w:pPr>
            <w:r w:rsidRPr="003F7349">
              <w:rPr>
                <w:rFonts w:ascii="Arial" w:hAnsi="Arial" w:cs="Arial"/>
                <w:sz w:val="20"/>
                <w:szCs w:val="20"/>
                <w:lang w:val="en-US"/>
              </w:rPr>
              <w:t>Protein</w:t>
            </w:r>
          </w:p>
        </w:tc>
        <w:tc>
          <w:tcPr>
            <w:tcW w:w="3175" w:type="dxa"/>
            <w:tcBorders>
              <w:bottom w:val="nil"/>
            </w:tcBorders>
          </w:tcPr>
          <w:p w14:paraId="3E6CBF30" w14:textId="77777777" w:rsidR="00EB3544" w:rsidRPr="003F7349" w:rsidRDefault="00A45859" w:rsidP="00AB1C01">
            <w:pPr>
              <w:pStyle w:val="ListParagraph"/>
              <w:ind w:left="0"/>
              <w:jc w:val="center"/>
              <w:rPr>
                <w:rFonts w:ascii="Arial" w:hAnsi="Arial" w:cs="Arial"/>
                <w:sz w:val="20"/>
                <w:szCs w:val="20"/>
                <w:lang w:val="en-US"/>
              </w:rPr>
            </w:pPr>
            <w:r w:rsidRPr="003F7349">
              <w:rPr>
                <w:rFonts w:ascii="Arial" w:hAnsi="Arial" w:cs="Arial"/>
                <w:sz w:val="20"/>
                <w:szCs w:val="20"/>
                <w:lang w:val="en-US"/>
              </w:rPr>
              <w:t>40</w:t>
            </w:r>
          </w:p>
        </w:tc>
      </w:tr>
      <w:tr w:rsidR="00EB3544" w:rsidRPr="003F7349" w14:paraId="60BBF5EF" w14:textId="77777777" w:rsidTr="00AB1C01">
        <w:trPr>
          <w:trHeight w:val="20"/>
          <w:jc w:val="center"/>
        </w:trPr>
        <w:tc>
          <w:tcPr>
            <w:tcW w:w="3175" w:type="dxa"/>
            <w:tcBorders>
              <w:top w:val="nil"/>
              <w:bottom w:val="nil"/>
            </w:tcBorders>
          </w:tcPr>
          <w:p w14:paraId="35782D38" w14:textId="77777777" w:rsidR="00EB3544" w:rsidRPr="003F7349" w:rsidRDefault="003D0E26" w:rsidP="00155489">
            <w:pPr>
              <w:pStyle w:val="ListParagraph"/>
              <w:ind w:left="0"/>
              <w:rPr>
                <w:rFonts w:ascii="Arial" w:hAnsi="Arial" w:cs="Arial"/>
                <w:sz w:val="20"/>
                <w:szCs w:val="20"/>
                <w:lang w:val="en-US"/>
              </w:rPr>
            </w:pPr>
            <w:r w:rsidRPr="003F7349">
              <w:rPr>
                <w:rFonts w:ascii="Arial" w:hAnsi="Arial" w:cs="Arial"/>
                <w:sz w:val="20"/>
                <w:szCs w:val="20"/>
                <w:lang w:val="en-US"/>
              </w:rPr>
              <w:t>Fat</w:t>
            </w:r>
          </w:p>
        </w:tc>
        <w:tc>
          <w:tcPr>
            <w:tcW w:w="3175" w:type="dxa"/>
            <w:tcBorders>
              <w:top w:val="nil"/>
              <w:bottom w:val="nil"/>
            </w:tcBorders>
          </w:tcPr>
          <w:p w14:paraId="5E6B983B" w14:textId="77777777" w:rsidR="00EB3544" w:rsidRPr="003F7349" w:rsidRDefault="00A45859" w:rsidP="00AB1C01">
            <w:pPr>
              <w:pStyle w:val="ListParagraph"/>
              <w:ind w:left="0"/>
              <w:jc w:val="center"/>
              <w:rPr>
                <w:rFonts w:ascii="Arial" w:hAnsi="Arial" w:cs="Arial"/>
                <w:sz w:val="20"/>
                <w:szCs w:val="20"/>
                <w:lang w:val="en-US"/>
              </w:rPr>
            </w:pPr>
            <w:r w:rsidRPr="003F7349">
              <w:rPr>
                <w:rFonts w:ascii="Arial" w:hAnsi="Arial" w:cs="Arial"/>
                <w:sz w:val="20"/>
                <w:szCs w:val="20"/>
                <w:lang w:val="en-US"/>
              </w:rPr>
              <w:t>7</w:t>
            </w:r>
          </w:p>
        </w:tc>
      </w:tr>
      <w:tr w:rsidR="00EB3544" w:rsidRPr="003F7349" w14:paraId="422A6C3C" w14:textId="77777777" w:rsidTr="00AB1C01">
        <w:trPr>
          <w:trHeight w:val="20"/>
          <w:jc w:val="center"/>
        </w:trPr>
        <w:tc>
          <w:tcPr>
            <w:tcW w:w="3175" w:type="dxa"/>
            <w:tcBorders>
              <w:top w:val="nil"/>
              <w:bottom w:val="nil"/>
            </w:tcBorders>
          </w:tcPr>
          <w:p w14:paraId="25D6BE3F" w14:textId="77777777" w:rsidR="00EB3544" w:rsidRPr="003F7349" w:rsidRDefault="003D0E26" w:rsidP="00155489">
            <w:pPr>
              <w:pStyle w:val="ListParagraph"/>
              <w:ind w:left="0"/>
              <w:rPr>
                <w:rFonts w:ascii="Arial" w:hAnsi="Arial" w:cs="Arial"/>
                <w:sz w:val="20"/>
                <w:szCs w:val="20"/>
                <w:lang w:val="en-US"/>
              </w:rPr>
            </w:pPr>
            <w:r w:rsidRPr="003F7349">
              <w:rPr>
                <w:rFonts w:ascii="Arial" w:hAnsi="Arial" w:cs="Arial"/>
                <w:sz w:val="20"/>
                <w:szCs w:val="20"/>
                <w:lang w:val="en-US"/>
              </w:rPr>
              <w:t>Moisture</w:t>
            </w:r>
          </w:p>
        </w:tc>
        <w:tc>
          <w:tcPr>
            <w:tcW w:w="3175" w:type="dxa"/>
            <w:tcBorders>
              <w:top w:val="nil"/>
              <w:bottom w:val="nil"/>
            </w:tcBorders>
          </w:tcPr>
          <w:p w14:paraId="3A4D4A5C" w14:textId="77777777" w:rsidR="00EB3544" w:rsidRPr="003F7349" w:rsidRDefault="00A45859" w:rsidP="00AB1C01">
            <w:pPr>
              <w:pStyle w:val="ListParagraph"/>
              <w:ind w:left="0"/>
              <w:jc w:val="center"/>
              <w:rPr>
                <w:rFonts w:ascii="Arial" w:hAnsi="Arial" w:cs="Arial"/>
                <w:sz w:val="20"/>
                <w:szCs w:val="20"/>
                <w:lang w:val="en-US"/>
              </w:rPr>
            </w:pPr>
            <w:r w:rsidRPr="003F7349">
              <w:rPr>
                <w:rFonts w:ascii="Arial" w:hAnsi="Arial" w:cs="Arial"/>
                <w:sz w:val="20"/>
                <w:szCs w:val="20"/>
                <w:lang w:val="en-US"/>
              </w:rPr>
              <w:t>9</w:t>
            </w:r>
          </w:p>
        </w:tc>
      </w:tr>
      <w:tr w:rsidR="00EB3544" w:rsidRPr="003F7349" w14:paraId="05C68A43" w14:textId="77777777" w:rsidTr="00AB1C01">
        <w:trPr>
          <w:trHeight w:val="20"/>
          <w:jc w:val="center"/>
        </w:trPr>
        <w:tc>
          <w:tcPr>
            <w:tcW w:w="3175" w:type="dxa"/>
            <w:tcBorders>
              <w:top w:val="nil"/>
              <w:bottom w:val="nil"/>
            </w:tcBorders>
          </w:tcPr>
          <w:p w14:paraId="70871834" w14:textId="77777777" w:rsidR="00EB3544" w:rsidRPr="003F7349" w:rsidRDefault="003D0E26" w:rsidP="00155489">
            <w:pPr>
              <w:rPr>
                <w:rFonts w:ascii="Arial" w:hAnsi="Arial" w:cs="Arial"/>
                <w:sz w:val="20"/>
                <w:szCs w:val="20"/>
                <w:lang w:val="en-US"/>
              </w:rPr>
            </w:pPr>
            <w:r w:rsidRPr="003F7349">
              <w:rPr>
                <w:rFonts w:ascii="Arial" w:hAnsi="Arial" w:cs="Arial"/>
                <w:sz w:val="20"/>
                <w:szCs w:val="20"/>
                <w:lang w:val="en-US"/>
              </w:rPr>
              <w:t>Ash</w:t>
            </w:r>
          </w:p>
        </w:tc>
        <w:tc>
          <w:tcPr>
            <w:tcW w:w="3175" w:type="dxa"/>
            <w:tcBorders>
              <w:top w:val="nil"/>
              <w:bottom w:val="nil"/>
            </w:tcBorders>
          </w:tcPr>
          <w:p w14:paraId="09B87E00" w14:textId="77777777" w:rsidR="00EB3544" w:rsidRPr="003F7349" w:rsidRDefault="00A45859" w:rsidP="00AB1C01">
            <w:pPr>
              <w:pStyle w:val="ListParagraph"/>
              <w:ind w:left="0"/>
              <w:jc w:val="center"/>
              <w:rPr>
                <w:rFonts w:ascii="Arial" w:hAnsi="Arial" w:cs="Arial"/>
                <w:sz w:val="20"/>
                <w:szCs w:val="20"/>
                <w:lang w:val="en-US"/>
              </w:rPr>
            </w:pPr>
            <w:r w:rsidRPr="003F7349">
              <w:rPr>
                <w:rFonts w:ascii="Arial" w:hAnsi="Arial" w:cs="Arial"/>
                <w:sz w:val="20"/>
                <w:szCs w:val="20"/>
                <w:lang w:val="en-US"/>
              </w:rPr>
              <w:t>11</w:t>
            </w:r>
          </w:p>
        </w:tc>
      </w:tr>
      <w:tr w:rsidR="00EB3544" w:rsidRPr="003F7349" w14:paraId="3C491867" w14:textId="77777777" w:rsidTr="00AB1C01">
        <w:trPr>
          <w:trHeight w:val="20"/>
          <w:jc w:val="center"/>
        </w:trPr>
        <w:tc>
          <w:tcPr>
            <w:tcW w:w="3175" w:type="dxa"/>
            <w:tcBorders>
              <w:top w:val="nil"/>
              <w:bottom w:val="nil"/>
            </w:tcBorders>
          </w:tcPr>
          <w:p w14:paraId="2CB2F206" w14:textId="77777777" w:rsidR="00EB3544" w:rsidRPr="003F7349" w:rsidRDefault="003D0E26" w:rsidP="00155489">
            <w:pPr>
              <w:pStyle w:val="ListParagraph"/>
              <w:ind w:left="0"/>
              <w:rPr>
                <w:rFonts w:ascii="Arial" w:hAnsi="Arial" w:cs="Arial"/>
                <w:sz w:val="20"/>
                <w:szCs w:val="20"/>
                <w:lang w:val="en-US"/>
              </w:rPr>
            </w:pPr>
            <w:r w:rsidRPr="003F7349">
              <w:rPr>
                <w:rFonts w:ascii="Arial" w:hAnsi="Arial" w:cs="Arial"/>
                <w:sz w:val="20"/>
                <w:szCs w:val="20"/>
                <w:lang w:val="en-US"/>
              </w:rPr>
              <w:t>Fiber</w:t>
            </w:r>
          </w:p>
        </w:tc>
        <w:tc>
          <w:tcPr>
            <w:tcW w:w="3175" w:type="dxa"/>
            <w:tcBorders>
              <w:top w:val="nil"/>
              <w:bottom w:val="nil"/>
            </w:tcBorders>
          </w:tcPr>
          <w:p w14:paraId="67FBA72B" w14:textId="77777777" w:rsidR="00EB3544" w:rsidRPr="003F7349" w:rsidRDefault="00A45859" w:rsidP="00AB1C01">
            <w:pPr>
              <w:pStyle w:val="ListParagraph"/>
              <w:ind w:left="0"/>
              <w:jc w:val="center"/>
              <w:rPr>
                <w:rFonts w:ascii="Arial" w:hAnsi="Arial" w:cs="Arial"/>
                <w:sz w:val="20"/>
                <w:szCs w:val="20"/>
                <w:lang w:val="en-US"/>
              </w:rPr>
            </w:pPr>
            <w:r w:rsidRPr="003F7349">
              <w:rPr>
                <w:rFonts w:ascii="Arial" w:hAnsi="Arial" w:cs="Arial"/>
                <w:sz w:val="20"/>
                <w:szCs w:val="20"/>
                <w:lang w:val="en-US"/>
              </w:rPr>
              <w:t>2.5</w:t>
            </w:r>
          </w:p>
        </w:tc>
      </w:tr>
      <w:tr w:rsidR="00A45859" w:rsidRPr="003F7349" w14:paraId="057227C3" w14:textId="77777777" w:rsidTr="00AB1C01">
        <w:trPr>
          <w:trHeight w:val="20"/>
          <w:jc w:val="center"/>
        </w:trPr>
        <w:tc>
          <w:tcPr>
            <w:tcW w:w="3175" w:type="dxa"/>
            <w:tcBorders>
              <w:top w:val="nil"/>
              <w:bottom w:val="nil"/>
            </w:tcBorders>
          </w:tcPr>
          <w:p w14:paraId="5B3A03F4" w14:textId="77777777" w:rsidR="00A45859" w:rsidRPr="003F7349" w:rsidRDefault="00A45859" w:rsidP="00155489">
            <w:pPr>
              <w:pStyle w:val="ListParagraph"/>
              <w:ind w:left="0"/>
              <w:rPr>
                <w:rFonts w:ascii="Arial" w:hAnsi="Arial" w:cs="Arial"/>
                <w:sz w:val="20"/>
                <w:szCs w:val="20"/>
                <w:lang w:val="en-US"/>
              </w:rPr>
            </w:pPr>
            <w:r w:rsidRPr="003F7349">
              <w:rPr>
                <w:rFonts w:ascii="Arial" w:hAnsi="Arial" w:cs="Arial"/>
                <w:sz w:val="20"/>
                <w:szCs w:val="20"/>
                <w:lang w:val="en-US"/>
              </w:rPr>
              <w:t>Phosphorus</w:t>
            </w:r>
          </w:p>
        </w:tc>
        <w:tc>
          <w:tcPr>
            <w:tcW w:w="3175" w:type="dxa"/>
            <w:tcBorders>
              <w:top w:val="nil"/>
              <w:bottom w:val="nil"/>
            </w:tcBorders>
          </w:tcPr>
          <w:p w14:paraId="5BB68DFE" w14:textId="77777777" w:rsidR="00A45859" w:rsidRPr="003F7349" w:rsidRDefault="00A45859" w:rsidP="00AB1C01">
            <w:pPr>
              <w:pStyle w:val="ListParagraph"/>
              <w:ind w:left="0"/>
              <w:jc w:val="center"/>
              <w:rPr>
                <w:rFonts w:ascii="Arial" w:hAnsi="Arial" w:cs="Arial"/>
                <w:sz w:val="20"/>
                <w:szCs w:val="20"/>
                <w:lang w:val="en-US"/>
              </w:rPr>
            </w:pPr>
            <w:r w:rsidRPr="003F7349">
              <w:rPr>
                <w:rFonts w:ascii="Arial" w:hAnsi="Arial" w:cs="Arial"/>
                <w:sz w:val="20"/>
                <w:szCs w:val="20"/>
                <w:lang w:val="en-US"/>
              </w:rPr>
              <w:t>1.2</w:t>
            </w:r>
          </w:p>
        </w:tc>
      </w:tr>
      <w:tr w:rsidR="00A45859" w:rsidRPr="003F7349" w14:paraId="3638FFBD" w14:textId="77777777" w:rsidTr="00AB1C01">
        <w:trPr>
          <w:trHeight w:val="20"/>
          <w:jc w:val="center"/>
        </w:trPr>
        <w:tc>
          <w:tcPr>
            <w:tcW w:w="3175" w:type="dxa"/>
            <w:tcBorders>
              <w:top w:val="nil"/>
              <w:bottom w:val="nil"/>
            </w:tcBorders>
          </w:tcPr>
          <w:p w14:paraId="076C1931" w14:textId="77777777" w:rsidR="00A45859" w:rsidRPr="003F7349" w:rsidRDefault="00A45859" w:rsidP="00155489">
            <w:pPr>
              <w:pStyle w:val="ListParagraph"/>
              <w:ind w:left="0"/>
              <w:rPr>
                <w:rFonts w:ascii="Arial" w:hAnsi="Arial" w:cs="Arial"/>
                <w:sz w:val="20"/>
                <w:szCs w:val="20"/>
                <w:lang w:val="en-US"/>
              </w:rPr>
            </w:pPr>
            <w:r w:rsidRPr="003F7349">
              <w:rPr>
                <w:rFonts w:ascii="Arial" w:hAnsi="Arial" w:cs="Arial"/>
                <w:sz w:val="20"/>
                <w:szCs w:val="20"/>
                <w:lang w:val="en-US"/>
              </w:rPr>
              <w:t>Vitamin A</w:t>
            </w:r>
          </w:p>
        </w:tc>
        <w:tc>
          <w:tcPr>
            <w:tcW w:w="3175" w:type="dxa"/>
            <w:tcBorders>
              <w:top w:val="nil"/>
              <w:bottom w:val="nil"/>
            </w:tcBorders>
          </w:tcPr>
          <w:p w14:paraId="590F2CDD" w14:textId="77777777" w:rsidR="00A45859" w:rsidRPr="003F7349" w:rsidRDefault="0002482B" w:rsidP="00AB1C01">
            <w:pPr>
              <w:pStyle w:val="ListParagraph"/>
              <w:ind w:left="0"/>
              <w:jc w:val="center"/>
              <w:rPr>
                <w:rFonts w:ascii="Arial" w:hAnsi="Arial" w:cs="Arial"/>
                <w:sz w:val="20"/>
                <w:szCs w:val="20"/>
                <w:lang w:val="en-US"/>
              </w:rPr>
            </w:pPr>
            <w:r w:rsidRPr="003F7349">
              <w:rPr>
                <w:rFonts w:ascii="Arial" w:hAnsi="Arial" w:cs="Arial"/>
                <w:sz w:val="20"/>
                <w:szCs w:val="20"/>
                <w:lang w:val="en-US"/>
              </w:rPr>
              <w:t>15000 IU/kg</w:t>
            </w:r>
          </w:p>
        </w:tc>
      </w:tr>
      <w:tr w:rsidR="00A45859" w:rsidRPr="003F7349" w14:paraId="19978FA8" w14:textId="77777777" w:rsidTr="00AB1C01">
        <w:trPr>
          <w:trHeight w:val="20"/>
          <w:jc w:val="center"/>
        </w:trPr>
        <w:tc>
          <w:tcPr>
            <w:tcW w:w="3175" w:type="dxa"/>
            <w:tcBorders>
              <w:top w:val="nil"/>
              <w:bottom w:val="single" w:sz="4" w:space="0" w:color="auto"/>
            </w:tcBorders>
          </w:tcPr>
          <w:p w14:paraId="43B7CD40" w14:textId="77777777" w:rsidR="00A45859" w:rsidRPr="003F7349" w:rsidRDefault="00A45859" w:rsidP="00155489">
            <w:pPr>
              <w:pStyle w:val="ListParagraph"/>
              <w:ind w:left="0"/>
              <w:rPr>
                <w:rFonts w:ascii="Arial" w:hAnsi="Arial" w:cs="Arial"/>
                <w:sz w:val="20"/>
                <w:szCs w:val="20"/>
                <w:lang w:val="en-US"/>
              </w:rPr>
            </w:pPr>
            <w:r w:rsidRPr="003F7349">
              <w:rPr>
                <w:rFonts w:ascii="Arial" w:hAnsi="Arial" w:cs="Arial"/>
                <w:sz w:val="20"/>
                <w:szCs w:val="20"/>
                <w:lang w:val="en-US"/>
              </w:rPr>
              <w:t>Vitamin C</w:t>
            </w:r>
          </w:p>
        </w:tc>
        <w:tc>
          <w:tcPr>
            <w:tcW w:w="3175" w:type="dxa"/>
            <w:tcBorders>
              <w:top w:val="nil"/>
              <w:bottom w:val="single" w:sz="4" w:space="0" w:color="auto"/>
            </w:tcBorders>
          </w:tcPr>
          <w:p w14:paraId="7D49F70C" w14:textId="77777777" w:rsidR="00A45859" w:rsidRPr="003F7349" w:rsidRDefault="00155489" w:rsidP="00AB1C01">
            <w:pPr>
              <w:pStyle w:val="ListParagraph"/>
              <w:numPr>
                <w:ilvl w:val="0"/>
                <w:numId w:val="7"/>
              </w:numPr>
              <w:jc w:val="center"/>
              <w:rPr>
                <w:rFonts w:ascii="Arial" w:hAnsi="Arial" w:cs="Arial"/>
                <w:sz w:val="20"/>
                <w:szCs w:val="20"/>
                <w:lang w:val="en-US"/>
              </w:rPr>
            </w:pPr>
            <w:r w:rsidRPr="003F7349">
              <w:rPr>
                <w:rFonts w:ascii="Arial" w:hAnsi="Arial" w:cs="Arial"/>
                <w:sz w:val="20"/>
                <w:szCs w:val="20"/>
                <w:lang w:val="en-US"/>
              </w:rPr>
              <w:t>mg</w:t>
            </w:r>
            <w:r w:rsidR="0002482B" w:rsidRPr="003F7349">
              <w:rPr>
                <w:rFonts w:ascii="Arial" w:hAnsi="Arial" w:cs="Arial"/>
                <w:sz w:val="20"/>
                <w:szCs w:val="20"/>
                <w:lang w:val="en-US"/>
              </w:rPr>
              <w:t>/kg</w:t>
            </w:r>
          </w:p>
        </w:tc>
      </w:tr>
    </w:tbl>
    <w:p w14:paraId="666EE317" w14:textId="77777777" w:rsidR="00261ECA" w:rsidRPr="003F7349" w:rsidRDefault="00261ECA" w:rsidP="005C0517">
      <w:pPr>
        <w:pStyle w:val="ListParagraph"/>
        <w:spacing w:after="120" w:line="240" w:lineRule="auto"/>
        <w:ind w:left="927"/>
        <w:jc w:val="both"/>
        <w:rPr>
          <w:rFonts w:ascii="Arial" w:hAnsi="Arial" w:cs="Arial"/>
          <w:sz w:val="24"/>
          <w:szCs w:val="24"/>
          <w:lang w:val="en-US"/>
        </w:rPr>
      </w:pPr>
    </w:p>
    <w:p w14:paraId="470AD900" w14:textId="77777777" w:rsidR="00857268" w:rsidRPr="003F7349" w:rsidRDefault="00211206" w:rsidP="00822B1F">
      <w:pPr>
        <w:spacing w:after="120" w:line="240" w:lineRule="auto"/>
        <w:rPr>
          <w:rFonts w:ascii="Arial" w:hAnsi="Arial" w:cs="Arial"/>
          <w:b/>
          <w:bCs/>
          <w:lang w:val="en-US"/>
        </w:rPr>
      </w:pPr>
      <w:r w:rsidRPr="003F7349">
        <w:rPr>
          <w:rFonts w:ascii="Arial" w:hAnsi="Arial" w:cs="Arial"/>
          <w:b/>
        </w:rPr>
        <w:t xml:space="preserve">2.3. </w:t>
      </w:r>
      <w:proofErr w:type="spellStart"/>
      <w:r w:rsidR="007F3933" w:rsidRPr="003F7349">
        <w:rPr>
          <w:rFonts w:ascii="Arial" w:hAnsi="Arial" w:cs="Arial"/>
          <w:b/>
        </w:rPr>
        <w:t>Experimental</w:t>
      </w:r>
      <w:proofErr w:type="spellEnd"/>
      <w:r w:rsidR="007F3933" w:rsidRPr="003F7349">
        <w:rPr>
          <w:rFonts w:ascii="Arial" w:hAnsi="Arial" w:cs="Arial"/>
          <w:b/>
        </w:rPr>
        <w:t xml:space="preserve"> Fish</w:t>
      </w:r>
    </w:p>
    <w:p w14:paraId="0633A135" w14:textId="77777777" w:rsidR="00F15104" w:rsidRPr="003F7349" w:rsidRDefault="001A4240" w:rsidP="005C0517">
      <w:pPr>
        <w:spacing w:after="120" w:line="240" w:lineRule="auto"/>
        <w:jc w:val="both"/>
        <w:rPr>
          <w:rFonts w:ascii="Arial" w:hAnsi="Arial" w:cs="Arial"/>
          <w:sz w:val="20"/>
          <w:szCs w:val="20"/>
          <w:lang w:val="en-US"/>
        </w:rPr>
      </w:pPr>
      <w:r w:rsidRPr="003F7349">
        <w:rPr>
          <w:rFonts w:ascii="Arial" w:hAnsi="Arial" w:cs="Arial"/>
          <w:sz w:val="20"/>
          <w:szCs w:val="20"/>
          <w:lang w:val="en-US"/>
        </w:rPr>
        <w:t xml:space="preserve">A total of 180 apparently healthy </w:t>
      </w:r>
      <w:r w:rsidRPr="003F7349">
        <w:rPr>
          <w:rFonts w:ascii="Arial" w:hAnsi="Arial" w:cs="Arial"/>
          <w:i/>
          <w:sz w:val="20"/>
          <w:szCs w:val="20"/>
          <w:lang w:val="en-US"/>
        </w:rPr>
        <w:t>Oreochromis niloticus</w:t>
      </w:r>
      <w:r w:rsidRPr="003F7349">
        <w:rPr>
          <w:rFonts w:ascii="Arial" w:hAnsi="Arial" w:cs="Arial"/>
          <w:sz w:val="20"/>
          <w:szCs w:val="20"/>
          <w:lang w:val="en-US"/>
        </w:rPr>
        <w:t xml:space="preserve"> fingerlings with an average body weight of 7.49 ± 1.43 g were obtained from the private hatchery of the Faso Fish Expertise and Production Center, in Loumbila village, Oubri region, Burkina Faso. The experimental setup was located on-site at the same facility. The fish were acclimatised for 14 days to adapt to the experimental environment, during which time they were fed a commercial diet. After this acclimation period, 15 fingerlings were randomly distributed into 12 plastic tanks with dimensions of 50 cm × 35 cm × 30 cm. Each tank constituted a replicate for each of the four dietary treatments. The water was changed daily, replacing approximately one-third of the total volume with fresh groundwater. The fish were fed the experimental diets three times a day (at 8:00 a.m., 12:00 p.m., and 4:00 p.m.) to apparent satiety for 90 days. Each group received a daily feed ration equivalent to 7% of its body weight. The average body weight of the fingerlings in each experimental unit was measured every two weeks using a digital scale and recorded to the nearest gram, and their total length was recorded to the nearest centimetre. Throughout the experiment, water temperature, pH, dissolved oxygen, and conductivity were monitored daily using YINMIK multiparameter. </w:t>
      </w:r>
    </w:p>
    <w:p w14:paraId="05BC1752" w14:textId="77777777" w:rsidR="007F3933" w:rsidRPr="003F7349" w:rsidRDefault="00211206" w:rsidP="00822B1F">
      <w:pPr>
        <w:spacing w:after="120" w:line="240" w:lineRule="auto"/>
        <w:rPr>
          <w:rFonts w:ascii="Arial" w:hAnsi="Arial" w:cs="Arial"/>
          <w:b/>
          <w:bCs/>
          <w:lang w:val="en-US"/>
        </w:rPr>
      </w:pPr>
      <w:r w:rsidRPr="003F7349">
        <w:rPr>
          <w:rFonts w:ascii="Arial" w:hAnsi="Arial" w:cs="Arial"/>
          <w:b/>
          <w:lang w:val="en-US"/>
        </w:rPr>
        <w:t>2.4. Determination of Growth Performance and Feed Utilisation</w:t>
      </w:r>
    </w:p>
    <w:p w14:paraId="1BD74696" w14:textId="77777777" w:rsidR="00D44480" w:rsidRPr="003F7349" w:rsidRDefault="00F543E8" w:rsidP="005C0517">
      <w:pPr>
        <w:spacing w:after="120" w:line="240" w:lineRule="auto"/>
        <w:jc w:val="both"/>
        <w:rPr>
          <w:rFonts w:ascii="Arial" w:hAnsi="Arial" w:cs="Arial"/>
          <w:sz w:val="20"/>
          <w:szCs w:val="20"/>
          <w:lang w:val="en-US"/>
        </w:rPr>
      </w:pPr>
      <w:r w:rsidRPr="003F7349">
        <w:rPr>
          <w:rFonts w:ascii="Arial" w:hAnsi="Arial" w:cs="Arial"/>
          <w:sz w:val="20"/>
          <w:szCs w:val="20"/>
          <w:lang w:val="en-US"/>
        </w:rPr>
        <w:t>The following growth and feed utilization parameters were calculated using the following equations (Guillaume et al., 1999):</w:t>
      </w:r>
    </w:p>
    <w:p w14:paraId="2CBB98E6" w14:textId="77777777" w:rsidR="00FC5AD3" w:rsidRPr="003F7349" w:rsidRDefault="00FC5AD3" w:rsidP="00FC5AD3">
      <w:pPr>
        <w:spacing w:line="240" w:lineRule="auto"/>
        <w:jc w:val="both"/>
        <w:rPr>
          <w:rFonts w:ascii="Arial" w:eastAsiaTheme="minorEastAsia" w:hAnsi="Arial" w:cs="Arial"/>
          <w:sz w:val="20"/>
          <w:szCs w:val="20"/>
        </w:rPr>
      </w:pPr>
      <m:oMathPara>
        <m:oMath>
          <m:r>
            <m:rPr>
              <m:sty m:val="p"/>
            </m:rPr>
            <w:rPr>
              <w:rFonts w:ascii="Cambria Math" w:hAnsi="Cambria Math" w:cs="Arial"/>
              <w:sz w:val="20"/>
              <w:szCs w:val="20"/>
              <w:lang w:val="en-US"/>
            </w:rPr>
            <m:t xml:space="preserve">Weight gain </m:t>
          </m:r>
          <m:d>
            <m:dPr>
              <m:ctrlPr>
                <w:rPr>
                  <w:rFonts w:ascii="Cambria Math" w:hAnsi="Cambria Math" w:cs="Arial"/>
                  <w:sz w:val="20"/>
                  <w:szCs w:val="20"/>
                  <w:lang w:val="en-US"/>
                </w:rPr>
              </m:ctrlPr>
            </m:dPr>
            <m:e>
              <m:r>
                <m:rPr>
                  <m:sty m:val="p"/>
                </m:rPr>
                <w:rPr>
                  <w:rFonts w:ascii="Cambria Math" w:hAnsi="Cambria Math" w:cs="Arial"/>
                  <w:sz w:val="20"/>
                  <w:szCs w:val="20"/>
                  <w:lang w:val="en-US"/>
                </w:rPr>
                <m:t>WG, g</m:t>
              </m:r>
            </m:e>
          </m:d>
          <m:r>
            <w:rPr>
              <w:rFonts w:ascii="Cambria Math" w:hAnsi="Cambria Math" w:cs="Arial"/>
              <w:sz w:val="20"/>
              <w:szCs w:val="20"/>
            </w:rPr>
            <m:t>=</m:t>
          </m:r>
          <m:r>
            <m:rPr>
              <m:sty m:val="p"/>
            </m:rPr>
            <w:rPr>
              <w:rFonts w:ascii="Cambria Math" w:hAnsi="Cambria Math" w:cs="Arial"/>
              <w:sz w:val="20"/>
              <w:szCs w:val="20"/>
              <w:lang w:val="en-US"/>
            </w:rPr>
            <m:t>Final</m:t>
          </m:r>
          <w:bookmarkStart w:id="1" w:name="_Hlk237114529"/>
          <m:r>
            <m:rPr>
              <m:sty m:val="p"/>
            </m:rPr>
            <w:rPr>
              <w:rFonts w:ascii="Cambria Math" w:hAnsi="Cambria Math" w:cs="Arial"/>
              <w:sz w:val="20"/>
              <w:szCs w:val="20"/>
              <w:lang w:val="en-US"/>
            </w:rPr>
            <m:t xml:space="preserve"> body weight</m:t>
          </m:r>
          <w:bookmarkEnd w:id="1"/>
          <m:r>
            <m:rPr>
              <m:sty m:val="p"/>
            </m:rPr>
            <w:rPr>
              <w:rFonts w:ascii="Cambria Math" w:hAnsi="Cambria Math" w:cs="Arial"/>
              <w:sz w:val="20"/>
              <w:szCs w:val="20"/>
              <w:lang w:val="en-US"/>
            </w:rPr>
            <m:t xml:space="preserve"> </m:t>
          </m:r>
          <m:d>
            <m:dPr>
              <m:ctrlPr>
                <w:rPr>
                  <w:rFonts w:ascii="Cambria Math" w:hAnsi="Cambria Math" w:cs="Arial"/>
                  <w:sz w:val="20"/>
                  <w:szCs w:val="20"/>
                  <w:lang w:val="en-US"/>
                </w:rPr>
              </m:ctrlPr>
            </m:dPr>
            <m:e>
              <m:r>
                <m:rPr>
                  <m:sty m:val="p"/>
                </m:rPr>
                <w:rPr>
                  <w:rFonts w:ascii="Cambria Math" w:hAnsi="Cambria Math" w:cs="Arial"/>
                  <w:sz w:val="20"/>
                  <w:szCs w:val="20"/>
                  <w:lang w:val="en-US"/>
                </w:rPr>
                <m:t>FBW, g</m:t>
              </m:r>
            </m:e>
          </m:d>
          <m:r>
            <m:rPr>
              <m:sty m:val="p"/>
            </m:rPr>
            <w:rPr>
              <w:rFonts w:ascii="Cambria Math" w:hAnsi="Cambria Math" w:cs="Arial"/>
              <w:sz w:val="20"/>
              <w:szCs w:val="20"/>
            </w:rPr>
            <m:t xml:space="preserve">- </m:t>
          </m:r>
          <m:r>
            <m:rPr>
              <m:sty m:val="p"/>
            </m:rPr>
            <w:rPr>
              <w:rFonts w:ascii="Cambria Math" w:hAnsi="Cambria Math" w:cs="Arial"/>
              <w:sz w:val="20"/>
              <w:szCs w:val="20"/>
              <w:lang w:val="en-US"/>
            </w:rPr>
            <m:t xml:space="preserve">Initial body weight </m:t>
          </m:r>
          <m:r>
            <m:rPr>
              <m:sty m:val="p"/>
            </m:rPr>
            <w:rPr>
              <w:rFonts w:ascii="Cambria Math" w:hAnsi="Cambria Math" w:cs="Arial"/>
              <w:sz w:val="20"/>
              <w:szCs w:val="20"/>
            </w:rPr>
            <m:t>(</m:t>
          </m:r>
          <m:r>
            <m:rPr>
              <m:sty m:val="p"/>
            </m:rPr>
            <w:rPr>
              <w:rFonts w:ascii="Cambria Math" w:hAnsi="Cambria Math" w:cs="Arial"/>
              <w:sz w:val="20"/>
              <w:szCs w:val="20"/>
              <w:lang w:val="en-US"/>
            </w:rPr>
            <m:t>IBW, g</m:t>
          </m:r>
          <m:r>
            <m:rPr>
              <m:sty m:val="p"/>
            </m:rPr>
            <w:rPr>
              <w:rFonts w:ascii="Cambria Math" w:hAnsi="Cambria Math" w:cs="Arial"/>
              <w:sz w:val="20"/>
              <w:szCs w:val="20"/>
            </w:rPr>
            <m:t>)</m:t>
          </m:r>
        </m:oMath>
      </m:oMathPara>
    </w:p>
    <w:p w14:paraId="33E57012" w14:textId="77777777" w:rsidR="00FC5AD3" w:rsidRPr="003F7349" w:rsidRDefault="00FC5AD3" w:rsidP="00FC5AD3">
      <w:pPr>
        <w:spacing w:line="240" w:lineRule="auto"/>
        <w:jc w:val="both"/>
        <w:rPr>
          <w:rFonts w:ascii="Arial" w:eastAsiaTheme="minorEastAsia" w:hAnsi="Arial" w:cs="Arial"/>
          <w:sz w:val="20"/>
          <w:szCs w:val="20"/>
        </w:rPr>
      </w:pPr>
      <m:oMathPara>
        <m:oMath>
          <m:r>
            <m:rPr>
              <m:sty m:val="p"/>
            </m:rPr>
            <w:rPr>
              <w:rFonts w:ascii="Cambria Math" w:eastAsiaTheme="minorEastAsia" w:hAnsi="Cambria Math" w:cs="Arial"/>
              <w:sz w:val="20"/>
              <w:szCs w:val="20"/>
              <w:lang w:val="en-US"/>
            </w:rPr>
            <m:t xml:space="preserve">Daily weight gain (DWG, g/day) </m:t>
          </m:r>
          <m:r>
            <m:rPr>
              <m:sty m:val="p"/>
            </m:rPr>
            <w:rPr>
              <w:rFonts w:ascii="Cambria Math" w:hAnsi="Cambria Math" w:cs="Arial"/>
              <w:sz w:val="20"/>
              <w:szCs w:val="20"/>
            </w:rPr>
            <m:t>=</m:t>
          </m:r>
          <m:f>
            <m:fPr>
              <m:ctrlPr>
                <w:rPr>
                  <w:rFonts w:ascii="Cambria Math" w:hAnsi="Cambria Math" w:cs="Arial"/>
                  <w:sz w:val="20"/>
                  <w:szCs w:val="20"/>
                </w:rPr>
              </m:ctrlPr>
            </m:fPr>
            <m:num>
              <m:r>
                <m:rPr>
                  <m:sty m:val="p"/>
                </m:rPr>
                <w:rPr>
                  <w:rFonts w:ascii="Cambria Math" w:eastAsiaTheme="minorEastAsia" w:hAnsi="Cambria Math" w:cs="Arial"/>
                  <w:sz w:val="20"/>
                  <w:szCs w:val="20"/>
                  <w:lang w:val="en-US"/>
                </w:rPr>
                <m:t xml:space="preserve">FBW </m:t>
              </m:r>
              <m:d>
                <m:dPr>
                  <m:ctrlPr>
                    <w:rPr>
                      <w:rFonts w:ascii="Cambria Math" w:hAnsi="Cambria Math" w:cs="Arial"/>
                      <w:sz w:val="20"/>
                      <w:szCs w:val="20"/>
                    </w:rPr>
                  </m:ctrlPr>
                </m:dPr>
                <m:e>
                  <m:r>
                    <m:rPr>
                      <m:sty m:val="p"/>
                    </m:rPr>
                    <w:rPr>
                      <w:rFonts w:ascii="Cambria Math" w:hAnsi="Cambria Math" w:cs="Arial"/>
                      <w:sz w:val="20"/>
                      <w:szCs w:val="20"/>
                    </w:rPr>
                    <m:t>g</m:t>
                  </m:r>
                </m:e>
              </m:d>
              <m:r>
                <m:rPr>
                  <m:sty m:val="p"/>
                </m:rPr>
                <w:rPr>
                  <w:rFonts w:ascii="Cambria Math" w:hAnsi="Cambria Math" w:cs="Arial"/>
                  <w:sz w:val="20"/>
                  <w:szCs w:val="20"/>
                </w:rPr>
                <m:t xml:space="preserve">- </m:t>
              </m:r>
              <m:r>
                <m:rPr>
                  <m:sty m:val="p"/>
                </m:rPr>
                <w:rPr>
                  <w:rFonts w:ascii="Cambria Math" w:eastAsiaTheme="minorEastAsia" w:hAnsi="Cambria Math" w:cs="Arial"/>
                  <w:sz w:val="20"/>
                  <w:szCs w:val="20"/>
                  <w:lang w:val="en-US"/>
                </w:rPr>
                <m:t xml:space="preserve">IBW </m:t>
              </m:r>
              <m:r>
                <m:rPr>
                  <m:sty m:val="p"/>
                </m:rPr>
                <w:rPr>
                  <w:rFonts w:ascii="Cambria Math" w:hAnsi="Cambria Math" w:cs="Arial"/>
                  <w:sz w:val="20"/>
                  <w:szCs w:val="20"/>
                </w:rPr>
                <m:t xml:space="preserve">(g) </m:t>
              </m:r>
            </m:num>
            <m:den>
              <m:r>
                <m:rPr>
                  <m:sty m:val="p"/>
                </m:rPr>
                <w:rPr>
                  <w:rFonts w:ascii="Cambria Math" w:hAnsi="Cambria Math" w:cs="Arial"/>
                  <w:sz w:val="20"/>
                  <w:szCs w:val="20"/>
                </w:rPr>
                <m:t>Duration of feeding (day)</m:t>
              </m:r>
            </m:den>
          </m:f>
        </m:oMath>
      </m:oMathPara>
    </w:p>
    <w:p w14:paraId="04092514" w14:textId="77777777" w:rsidR="00FC5AD3" w:rsidRPr="003F7349" w:rsidRDefault="00FC5AD3" w:rsidP="00FC5AD3">
      <w:pPr>
        <w:spacing w:line="240" w:lineRule="auto"/>
        <w:jc w:val="both"/>
        <w:rPr>
          <w:rFonts w:ascii="Arial" w:eastAsiaTheme="minorEastAsia" w:hAnsi="Arial" w:cs="Arial"/>
          <w:sz w:val="20"/>
          <w:szCs w:val="20"/>
        </w:rPr>
      </w:pPr>
      <m:oMathPara>
        <m:oMath>
          <m:r>
            <m:rPr>
              <m:sty m:val="p"/>
            </m:rPr>
            <w:rPr>
              <w:rFonts w:ascii="Cambria Math" w:hAnsi="Cambria Math" w:cs="Arial"/>
              <w:sz w:val="20"/>
              <w:szCs w:val="20"/>
            </w:rPr>
            <m:t xml:space="preserve">Specific growth rate (SGR, %/day)=100 </m:t>
          </m:r>
          <m:r>
            <m:rPr>
              <m:scr m:val="sans-serif"/>
              <m:sty m:val="p"/>
            </m:rPr>
            <w:rPr>
              <w:rFonts w:ascii="Cambria Math" w:hAnsi="Cambria Math" w:cs="Arial"/>
              <w:sz w:val="20"/>
              <w:szCs w:val="20"/>
            </w:rPr>
            <m:t>x</m:t>
          </m:r>
          <m:r>
            <w:rPr>
              <w:rFonts w:ascii="Cambria Math" w:hAnsi="Cambria Math" w:cs="Arial"/>
              <w:sz w:val="20"/>
              <w:szCs w:val="20"/>
            </w:rPr>
            <m:t xml:space="preserve"> </m:t>
          </m:r>
          <m:f>
            <m:fPr>
              <m:ctrlPr>
                <w:rPr>
                  <w:rFonts w:ascii="Cambria Math" w:hAnsi="Cambria Math" w:cs="Arial"/>
                  <w:sz w:val="20"/>
                  <w:szCs w:val="20"/>
                </w:rPr>
              </m:ctrlPr>
            </m:fPr>
            <m:num>
              <m:r>
                <m:rPr>
                  <m:sty m:val="p"/>
                </m:rPr>
                <w:rPr>
                  <w:rFonts w:ascii="Cambria Math" w:hAnsi="Cambria Math" w:cs="Arial"/>
                  <w:sz w:val="20"/>
                  <w:szCs w:val="20"/>
                </w:rPr>
                <m:t xml:space="preserve">ln FBW-ln IBW </m:t>
              </m:r>
            </m:num>
            <m:den>
              <m:r>
                <m:rPr>
                  <m:sty m:val="p"/>
                </m:rPr>
                <w:rPr>
                  <w:rFonts w:ascii="Cambria Math" w:hAnsi="Cambria Math" w:cs="Arial"/>
                  <w:sz w:val="20"/>
                  <w:szCs w:val="20"/>
                </w:rPr>
                <m:t>Duration of feeding (day)</m:t>
              </m:r>
            </m:den>
          </m:f>
        </m:oMath>
      </m:oMathPara>
    </w:p>
    <w:p w14:paraId="6DE02F21" w14:textId="77777777" w:rsidR="00FC5AD3" w:rsidRPr="003F7349" w:rsidRDefault="00FC5AD3" w:rsidP="00FC5AD3">
      <w:pPr>
        <w:spacing w:line="240" w:lineRule="auto"/>
        <w:jc w:val="both"/>
        <w:rPr>
          <w:rFonts w:ascii="Arial" w:eastAsiaTheme="minorEastAsia" w:hAnsi="Arial" w:cs="Arial"/>
          <w:sz w:val="20"/>
          <w:szCs w:val="20"/>
        </w:rPr>
      </w:pPr>
      <m:oMathPara>
        <m:oMath>
          <m:r>
            <m:rPr>
              <m:sty m:val="p"/>
            </m:rPr>
            <w:rPr>
              <w:rFonts w:ascii="Cambria Math" w:hAnsi="Cambria Math" w:cs="Arial"/>
              <w:sz w:val="20"/>
              <w:szCs w:val="20"/>
            </w:rPr>
            <m:t>Survival rate</m:t>
          </m:r>
          <m:r>
            <m:rPr>
              <m:sty m:val="b"/>
            </m:rPr>
            <w:rPr>
              <w:rFonts w:ascii="Cambria Math" w:hAnsi="Cambria Math" w:cs="Arial"/>
              <w:sz w:val="20"/>
              <w:szCs w:val="20"/>
            </w:rPr>
            <m:t xml:space="preserve"> (%)</m:t>
          </m:r>
          <m:r>
            <m:rPr>
              <m:sty m:val="p"/>
            </m:rPr>
            <w:rPr>
              <w:rFonts w:ascii="Cambria Math" w:hAnsi="Cambria Math" w:cs="Arial"/>
              <w:sz w:val="20"/>
              <w:szCs w:val="20"/>
            </w:rPr>
            <m:t xml:space="preserve">=100 </m:t>
          </m:r>
          <m:r>
            <m:rPr>
              <m:scr m:val="sans-serif"/>
              <m:sty m:val="p"/>
            </m:rPr>
            <w:rPr>
              <w:rFonts w:ascii="Cambria Math" w:hAnsi="Cambria Math" w:cs="Arial"/>
              <w:sz w:val="20"/>
              <w:szCs w:val="20"/>
            </w:rPr>
            <m:t>x</m:t>
          </m:r>
          <m:r>
            <w:rPr>
              <w:rFonts w:ascii="Cambria Math" w:hAnsi="Cambria Math" w:cs="Arial"/>
              <w:sz w:val="20"/>
              <w:szCs w:val="20"/>
            </w:rPr>
            <m:t xml:space="preserve"> </m:t>
          </m:r>
          <m:f>
            <m:fPr>
              <m:ctrlPr>
                <w:rPr>
                  <w:rFonts w:ascii="Cambria Math" w:hAnsi="Cambria Math" w:cs="Arial"/>
                  <w:sz w:val="20"/>
                  <w:szCs w:val="20"/>
                </w:rPr>
              </m:ctrlPr>
            </m:fPr>
            <m:num>
              <m:r>
                <m:rPr>
                  <m:sty m:val="p"/>
                </m:rPr>
                <w:rPr>
                  <w:rFonts w:ascii="Cambria Math" w:hAnsi="Cambria Math" w:cs="Arial"/>
                  <w:sz w:val="20"/>
                  <w:szCs w:val="20"/>
                </w:rPr>
                <m:t>Final fish number</m:t>
              </m:r>
            </m:num>
            <m:den>
              <m:r>
                <m:rPr>
                  <m:sty m:val="p"/>
                </m:rPr>
                <w:rPr>
                  <w:rFonts w:ascii="Cambria Math" w:hAnsi="Cambria Math" w:cs="Arial"/>
                  <w:sz w:val="20"/>
                  <w:szCs w:val="20"/>
                </w:rPr>
                <m:t>Initial fish number</m:t>
              </m:r>
            </m:den>
          </m:f>
        </m:oMath>
      </m:oMathPara>
    </w:p>
    <w:p w14:paraId="4C7CEE0A" w14:textId="77777777" w:rsidR="00FC5AD3" w:rsidRPr="003F7349" w:rsidRDefault="00FC5AD3" w:rsidP="00FC5AD3">
      <w:pPr>
        <w:spacing w:line="240" w:lineRule="auto"/>
        <w:jc w:val="both"/>
        <w:rPr>
          <w:rFonts w:ascii="Arial" w:eastAsiaTheme="minorEastAsia" w:hAnsi="Arial" w:cs="Arial"/>
          <w:sz w:val="20"/>
          <w:szCs w:val="20"/>
        </w:rPr>
      </w:pPr>
      <m:oMathPara>
        <m:oMath>
          <m:r>
            <m:rPr>
              <m:sty m:val="p"/>
            </m:rPr>
            <w:rPr>
              <w:rFonts w:ascii="Cambria Math" w:hAnsi="Cambria Math" w:cs="Arial"/>
              <w:sz w:val="20"/>
              <w:szCs w:val="20"/>
              <w:lang w:val="en-US"/>
            </w:rPr>
            <m:t>Feed conversion ratio (FCR)</m:t>
          </m:r>
          <m:r>
            <m:rPr>
              <m:sty m:val="p"/>
            </m:rPr>
            <w:rPr>
              <w:rFonts w:ascii="Cambria Math" w:hAnsi="Cambria Math" w:cs="Arial"/>
              <w:sz w:val="20"/>
              <w:szCs w:val="20"/>
            </w:rPr>
            <m:t>=</m:t>
          </m:r>
          <m:f>
            <m:fPr>
              <m:ctrlPr>
                <w:rPr>
                  <w:rFonts w:ascii="Cambria Math" w:hAnsi="Cambria Math" w:cs="Arial"/>
                  <w:iCs/>
                  <w:sz w:val="20"/>
                  <w:szCs w:val="20"/>
                </w:rPr>
              </m:ctrlPr>
            </m:fPr>
            <m:num>
              <m:r>
                <m:rPr>
                  <m:sty m:val="p"/>
                </m:rPr>
                <w:rPr>
                  <w:rFonts w:ascii="Cambria Math" w:hAnsi="Cambria Math" w:cs="Arial"/>
                  <w:sz w:val="20"/>
                  <w:szCs w:val="20"/>
                  <w:lang w:val="en-US"/>
                </w:rPr>
                <m:t xml:space="preserve">Feed given </m:t>
              </m:r>
              <m:r>
                <m:rPr>
                  <m:sty m:val="p"/>
                </m:rPr>
                <w:rPr>
                  <w:rFonts w:ascii="Cambria Math" w:hAnsi="Cambria Math" w:cs="Arial"/>
                  <w:sz w:val="20"/>
                  <w:szCs w:val="20"/>
                </w:rPr>
                <m:t>(g)</m:t>
              </m:r>
            </m:num>
            <m:den>
              <m:r>
                <m:rPr>
                  <m:sty m:val="p"/>
                </m:rPr>
                <w:rPr>
                  <w:rFonts w:ascii="Cambria Math" w:hAnsi="Cambria Math" w:cs="Arial"/>
                  <w:sz w:val="20"/>
                  <w:szCs w:val="20"/>
                </w:rPr>
                <m:t xml:space="preserve">Weight gain </m:t>
              </m:r>
              <m:d>
                <m:dPr>
                  <m:ctrlPr>
                    <w:rPr>
                      <w:rFonts w:ascii="Cambria Math" w:hAnsi="Cambria Math" w:cs="Arial"/>
                      <w:iCs/>
                      <w:sz w:val="20"/>
                      <w:szCs w:val="20"/>
                    </w:rPr>
                  </m:ctrlPr>
                </m:dPr>
                <m:e>
                  <m:r>
                    <m:rPr>
                      <m:sty m:val="p"/>
                    </m:rPr>
                    <w:rPr>
                      <w:rFonts w:ascii="Cambria Math" w:hAnsi="Cambria Math" w:cs="Arial"/>
                      <w:sz w:val="20"/>
                      <w:szCs w:val="20"/>
                    </w:rPr>
                    <m:t>g</m:t>
                  </m:r>
                </m:e>
              </m:d>
              <m:r>
                <m:rPr>
                  <m:sty m:val="p"/>
                </m:rPr>
                <w:rPr>
                  <w:rFonts w:ascii="Cambria Math" w:hAnsi="Cambria Math" w:cs="Arial"/>
                  <w:sz w:val="20"/>
                  <w:szCs w:val="20"/>
                </w:rPr>
                <m:t xml:space="preserve"> </m:t>
              </m:r>
            </m:den>
          </m:f>
        </m:oMath>
      </m:oMathPara>
    </w:p>
    <w:p w14:paraId="6FC4C295" w14:textId="77777777" w:rsidR="00452AA4" w:rsidRPr="003F7349" w:rsidRDefault="00452AA4" w:rsidP="005C0517">
      <w:pPr>
        <w:spacing w:after="120" w:line="240" w:lineRule="auto"/>
        <w:jc w:val="both"/>
        <w:rPr>
          <w:rFonts w:ascii="Arial" w:eastAsiaTheme="minorEastAsia" w:hAnsi="Arial" w:cs="Arial"/>
          <w:sz w:val="20"/>
          <w:szCs w:val="20"/>
          <w:lang w:val="en-US"/>
        </w:rPr>
      </w:pPr>
      <w:r w:rsidRPr="003F7349">
        <w:rPr>
          <w:rFonts w:ascii="Arial" w:hAnsi="Arial" w:cs="Arial"/>
          <w:sz w:val="20"/>
          <w:szCs w:val="20"/>
          <w:lang w:val="en-US"/>
        </w:rPr>
        <w:t xml:space="preserve">The condition factor (k) was estimated using the formula (Le </w:t>
      </w:r>
      <w:proofErr w:type="spellStart"/>
      <w:r w:rsidRPr="003F7349">
        <w:rPr>
          <w:rFonts w:ascii="Arial" w:hAnsi="Arial" w:cs="Arial"/>
          <w:sz w:val="20"/>
          <w:szCs w:val="20"/>
          <w:lang w:val="en-US"/>
        </w:rPr>
        <w:t>Cren</w:t>
      </w:r>
      <w:proofErr w:type="spellEnd"/>
      <w:r w:rsidRPr="003F7349">
        <w:rPr>
          <w:rFonts w:ascii="Arial" w:hAnsi="Arial" w:cs="Arial"/>
          <w:sz w:val="20"/>
          <w:szCs w:val="20"/>
          <w:lang w:val="en-US"/>
        </w:rPr>
        <w:t>, 1951):</w:t>
      </w:r>
    </w:p>
    <w:p w14:paraId="6A69BCDF" w14:textId="77777777" w:rsidR="002746F0" w:rsidRPr="003F7349" w:rsidRDefault="00452AA4" w:rsidP="00FC5AD3">
      <w:pPr>
        <w:spacing w:line="360" w:lineRule="auto"/>
        <w:jc w:val="center"/>
        <w:rPr>
          <w:rFonts w:ascii="Arial" w:eastAsiaTheme="minorEastAsia" w:hAnsi="Arial" w:cs="Arial"/>
          <w:sz w:val="20"/>
          <w:szCs w:val="20"/>
          <w:lang w:val="en-US"/>
        </w:rPr>
      </w:pPr>
      <w:r w:rsidRPr="003F7349">
        <w:rPr>
          <w:rFonts w:ascii="Arial" w:hAnsi="Arial" w:cs="Arial"/>
          <w:sz w:val="20"/>
          <w:szCs w:val="20"/>
          <w:lang w:val="en-US"/>
        </w:rPr>
        <w:t xml:space="preserve">K = </w:t>
      </w:r>
      <w:r w:rsidR="00FC5AD3" w:rsidRPr="003F7349">
        <w:rPr>
          <w:rFonts w:ascii="Arial" w:eastAsiaTheme="minorEastAsia" w:hAnsi="Arial" w:cs="Arial"/>
          <w:sz w:val="20"/>
          <w:szCs w:val="20"/>
          <w:lang w:val="en-US"/>
        </w:rPr>
        <w:t>100*W/</w:t>
      </w:r>
      <w:proofErr w:type="spellStart"/>
      <w:r w:rsidR="00FC5AD3" w:rsidRPr="003F7349">
        <w:rPr>
          <w:rFonts w:ascii="Arial" w:eastAsiaTheme="minorEastAsia" w:hAnsi="Arial" w:cs="Arial"/>
          <w:sz w:val="20"/>
          <w:szCs w:val="20"/>
          <w:lang w:val="en-US"/>
        </w:rPr>
        <w:t>L</w:t>
      </w:r>
      <w:r w:rsidR="00FC5AD3" w:rsidRPr="003F7349">
        <w:rPr>
          <w:rFonts w:ascii="Arial" w:eastAsiaTheme="minorEastAsia" w:hAnsi="Arial" w:cs="Arial"/>
          <w:sz w:val="20"/>
          <w:szCs w:val="20"/>
          <w:vertAlign w:val="superscript"/>
          <w:lang w:val="en-US"/>
        </w:rPr>
        <w:t>b</w:t>
      </w:r>
      <w:proofErr w:type="spellEnd"/>
    </w:p>
    <w:p w14:paraId="757FA2D5" w14:textId="77777777" w:rsidR="00452AA4" w:rsidRPr="003F7349" w:rsidRDefault="00452AA4" w:rsidP="005C0517">
      <w:pPr>
        <w:spacing w:after="120" w:line="240" w:lineRule="auto"/>
        <w:jc w:val="both"/>
        <w:rPr>
          <w:rFonts w:ascii="Arial" w:hAnsi="Arial" w:cs="Arial"/>
          <w:sz w:val="20"/>
          <w:szCs w:val="20"/>
          <w:lang w:val="en-US"/>
        </w:rPr>
      </w:pPr>
      <w:r w:rsidRPr="003F7349">
        <w:rPr>
          <w:rFonts w:ascii="Arial" w:hAnsi="Arial" w:cs="Arial"/>
          <w:sz w:val="20"/>
          <w:szCs w:val="20"/>
          <w:lang w:val="en-US"/>
        </w:rPr>
        <w:t xml:space="preserve">Where k = condition factor, W = body weight (g), L = total length (cm), and b = allometry constant deduced from the height-weight relationship.  </w:t>
      </w:r>
    </w:p>
    <w:p w14:paraId="3C96ADD4" w14:textId="77777777" w:rsidR="004E7B15" w:rsidRPr="003F7349" w:rsidRDefault="004E7B15" w:rsidP="005C0517">
      <w:pPr>
        <w:spacing w:after="120" w:line="240" w:lineRule="auto"/>
        <w:jc w:val="both"/>
        <w:rPr>
          <w:rFonts w:ascii="Arial" w:hAnsi="Arial" w:cs="Arial"/>
          <w:sz w:val="20"/>
          <w:szCs w:val="20"/>
          <w:lang w:val="en-US"/>
        </w:rPr>
      </w:pPr>
    </w:p>
    <w:p w14:paraId="7B977FF2" w14:textId="77777777" w:rsidR="00CE610A" w:rsidRPr="003F7349" w:rsidRDefault="00CE610A" w:rsidP="00822B1F">
      <w:pPr>
        <w:spacing w:after="120" w:line="240" w:lineRule="auto"/>
        <w:rPr>
          <w:rFonts w:ascii="Arial" w:hAnsi="Arial" w:cs="Arial"/>
          <w:sz w:val="20"/>
          <w:szCs w:val="20"/>
          <w:lang w:val="en-US"/>
        </w:rPr>
      </w:pPr>
    </w:p>
    <w:p w14:paraId="7E145043" w14:textId="77777777" w:rsidR="007F3933" w:rsidRPr="003F7349" w:rsidRDefault="00211206" w:rsidP="00822B1F">
      <w:pPr>
        <w:spacing w:after="120" w:line="240" w:lineRule="auto"/>
        <w:rPr>
          <w:rFonts w:ascii="Arial" w:hAnsi="Arial" w:cs="Arial"/>
          <w:b/>
          <w:bCs/>
          <w:lang w:val="en-US"/>
        </w:rPr>
      </w:pPr>
      <w:r w:rsidRPr="003F7349">
        <w:rPr>
          <w:rFonts w:ascii="Arial" w:hAnsi="Arial" w:cs="Arial"/>
          <w:b/>
          <w:lang w:val="en-US"/>
        </w:rPr>
        <w:lastRenderedPageBreak/>
        <w:t xml:space="preserve">2.5. </w:t>
      </w:r>
      <w:r w:rsidR="007F3933" w:rsidRPr="003F7349">
        <w:rPr>
          <w:rFonts w:ascii="Arial" w:hAnsi="Arial" w:cs="Arial"/>
          <w:b/>
          <w:lang w:val="en-US"/>
        </w:rPr>
        <w:t>Statistical Analysis</w:t>
      </w:r>
    </w:p>
    <w:p w14:paraId="6C58032A" w14:textId="77777777" w:rsidR="005C5F1A" w:rsidRPr="003F7349" w:rsidRDefault="001347F6" w:rsidP="005C0517">
      <w:pPr>
        <w:spacing w:after="120" w:line="240" w:lineRule="auto"/>
        <w:jc w:val="both"/>
        <w:rPr>
          <w:rFonts w:ascii="Arial" w:hAnsi="Arial" w:cs="Arial"/>
          <w:sz w:val="20"/>
          <w:szCs w:val="20"/>
          <w:lang w:val="en-US"/>
        </w:rPr>
      </w:pPr>
      <w:r w:rsidRPr="003F7349">
        <w:rPr>
          <w:rFonts w:ascii="Arial" w:hAnsi="Arial" w:cs="Arial"/>
          <w:sz w:val="20"/>
          <w:szCs w:val="20"/>
          <w:lang w:val="en-US"/>
        </w:rPr>
        <w:t xml:space="preserve">The data obtained were </w:t>
      </w:r>
      <w:proofErr w:type="spellStart"/>
      <w:r w:rsidRPr="003F7349">
        <w:rPr>
          <w:rFonts w:ascii="Arial" w:hAnsi="Arial" w:cs="Arial"/>
          <w:sz w:val="20"/>
          <w:szCs w:val="20"/>
          <w:lang w:val="en-US"/>
        </w:rPr>
        <w:t>analysed</w:t>
      </w:r>
      <w:proofErr w:type="spellEnd"/>
      <w:r w:rsidRPr="003F7349">
        <w:rPr>
          <w:rFonts w:ascii="Arial" w:hAnsi="Arial" w:cs="Arial"/>
          <w:sz w:val="20"/>
          <w:szCs w:val="20"/>
          <w:lang w:val="en-US"/>
        </w:rPr>
        <w:t xml:space="preserve"> using R software (version 4.5.0). The Kruskal–Wallis test was used to assess differences among the treatments. The variables were presented as mean ± standard deviation (SD). A p-value of less than .05 was considered statistically significant.</w:t>
      </w:r>
    </w:p>
    <w:p w14:paraId="077E4099" w14:textId="77777777" w:rsidR="00F94CC9" w:rsidRPr="003F7349" w:rsidRDefault="00211206" w:rsidP="00822B1F">
      <w:pPr>
        <w:spacing w:after="120" w:line="240" w:lineRule="auto"/>
        <w:rPr>
          <w:rFonts w:ascii="Arial" w:hAnsi="Arial" w:cs="Arial"/>
          <w:b/>
          <w:lang w:val="en-US"/>
        </w:rPr>
      </w:pPr>
      <w:r w:rsidRPr="003F7349">
        <w:rPr>
          <w:rFonts w:ascii="Arial" w:hAnsi="Arial" w:cs="Arial"/>
          <w:b/>
          <w:lang w:val="en-US"/>
        </w:rPr>
        <w:t xml:space="preserve">3. </w:t>
      </w:r>
      <w:r w:rsidR="00734A56" w:rsidRPr="003F7349">
        <w:rPr>
          <w:rFonts w:ascii="Arial" w:hAnsi="Arial" w:cs="Arial"/>
          <w:b/>
          <w:lang w:val="en-US"/>
        </w:rPr>
        <w:t>RESULTS</w:t>
      </w:r>
      <w:r w:rsidRPr="003F7349">
        <w:rPr>
          <w:rFonts w:ascii="Arial" w:hAnsi="Arial" w:cs="Arial"/>
          <w:b/>
          <w:lang w:val="en-US"/>
        </w:rPr>
        <w:t xml:space="preserve"> AND DISCUSSION</w:t>
      </w:r>
    </w:p>
    <w:p w14:paraId="1180D513" w14:textId="77777777" w:rsidR="00211206" w:rsidRPr="003F7349" w:rsidRDefault="00211206" w:rsidP="00822B1F">
      <w:pPr>
        <w:spacing w:after="120" w:line="240" w:lineRule="auto"/>
        <w:rPr>
          <w:rFonts w:ascii="Arial" w:hAnsi="Arial" w:cs="Arial"/>
          <w:b/>
          <w:bCs/>
          <w:lang w:val="en-US"/>
        </w:rPr>
      </w:pPr>
      <w:r w:rsidRPr="003F7349">
        <w:rPr>
          <w:rFonts w:ascii="Arial" w:hAnsi="Arial" w:cs="Arial"/>
          <w:b/>
          <w:lang w:val="en-US"/>
        </w:rPr>
        <w:t xml:space="preserve">3.1. </w:t>
      </w:r>
      <w:r w:rsidR="004E7B15" w:rsidRPr="003F7349">
        <w:rPr>
          <w:rFonts w:ascii="Arial" w:hAnsi="Arial" w:cs="Arial"/>
          <w:b/>
          <w:lang w:val="en-US"/>
        </w:rPr>
        <w:t>RESULTS</w:t>
      </w:r>
      <w:r w:rsidRPr="003F7349">
        <w:rPr>
          <w:rFonts w:ascii="Arial" w:hAnsi="Arial" w:cs="Arial"/>
          <w:b/>
          <w:lang w:val="en-US"/>
        </w:rPr>
        <w:t xml:space="preserve"> </w:t>
      </w:r>
    </w:p>
    <w:p w14:paraId="167AE2D1" w14:textId="77777777" w:rsidR="008A005A" w:rsidRPr="003F7349" w:rsidRDefault="00211206" w:rsidP="00822B1F">
      <w:pPr>
        <w:spacing w:after="120" w:line="240" w:lineRule="auto"/>
        <w:rPr>
          <w:rFonts w:ascii="Arial" w:hAnsi="Arial" w:cs="Arial"/>
          <w:b/>
          <w:bCs/>
          <w:sz w:val="20"/>
          <w:szCs w:val="20"/>
          <w:lang w:val="en-US"/>
        </w:rPr>
      </w:pPr>
      <w:r w:rsidRPr="003F7349">
        <w:rPr>
          <w:rFonts w:ascii="Arial" w:hAnsi="Arial" w:cs="Arial"/>
          <w:b/>
          <w:sz w:val="20"/>
          <w:szCs w:val="20"/>
          <w:lang w:val="en-US"/>
        </w:rPr>
        <w:t xml:space="preserve">3.1.1. </w:t>
      </w:r>
      <w:r w:rsidR="008A005A" w:rsidRPr="003F7349">
        <w:rPr>
          <w:rFonts w:ascii="Arial" w:hAnsi="Arial" w:cs="Arial"/>
          <w:b/>
          <w:sz w:val="20"/>
          <w:szCs w:val="20"/>
          <w:lang w:val="en-US"/>
        </w:rPr>
        <w:t>Water Quality</w:t>
      </w:r>
    </w:p>
    <w:p w14:paraId="035C2626" w14:textId="77777777" w:rsidR="00456A80" w:rsidRPr="003F7349" w:rsidRDefault="00456A80" w:rsidP="00456A80">
      <w:pPr>
        <w:spacing w:after="120" w:line="240" w:lineRule="auto"/>
        <w:jc w:val="both"/>
        <w:rPr>
          <w:rFonts w:ascii="Arial" w:hAnsi="Arial" w:cs="Arial"/>
          <w:sz w:val="20"/>
          <w:szCs w:val="20"/>
          <w:lang w:val="en-US"/>
        </w:rPr>
      </w:pPr>
      <w:r w:rsidRPr="003F7349">
        <w:rPr>
          <w:rFonts w:ascii="Arial" w:hAnsi="Arial" w:cs="Arial"/>
          <w:sz w:val="20"/>
          <w:szCs w:val="20"/>
          <w:lang w:val="en-US"/>
        </w:rPr>
        <w:t>The water quality parameters measured during the experiment are presented in Table 2. There were no significant differences among the different groups (treated and untreated) regarding temperature, dissolved oxygen, pH, salinity, and conductivity. The temperature ranged from 28.22 to 28.46 °C; dissolved oxygen concentration ranged from 4.14 to 4.54 mg/L; pH ranged from 7.31 to 7.37; salinity ranged from 235 to 239 ppm; and conductivity ranged from 470 to 476 μS/cm.</w:t>
      </w:r>
    </w:p>
    <w:p w14:paraId="01303874" w14:textId="77777777" w:rsidR="00C929C5" w:rsidRPr="003F7349" w:rsidRDefault="00C929C5" w:rsidP="00AB1C01">
      <w:pPr>
        <w:spacing w:after="120" w:line="240" w:lineRule="auto"/>
        <w:jc w:val="center"/>
        <w:rPr>
          <w:rFonts w:ascii="Arial" w:hAnsi="Arial" w:cs="Arial"/>
          <w:sz w:val="20"/>
          <w:szCs w:val="20"/>
          <w:lang w:val="en-US"/>
        </w:rPr>
      </w:pPr>
      <w:r w:rsidRPr="003F7349">
        <w:rPr>
          <w:rFonts w:ascii="Arial" w:hAnsi="Arial" w:cs="Arial"/>
          <w:b/>
          <w:sz w:val="20"/>
          <w:szCs w:val="20"/>
          <w:lang w:val="en-US"/>
        </w:rPr>
        <w:t>Table 2. Average physicochemical water parameters under the different treatments</w:t>
      </w:r>
    </w:p>
    <w:tbl>
      <w:tblPr>
        <w:tblStyle w:val="Table"/>
        <w:tblW w:w="8931" w:type="dxa"/>
        <w:jc w:val="center"/>
        <w:tblBorders>
          <w:top w:val="single" w:sz="4" w:space="0" w:color="auto"/>
          <w:bottom w:val="single" w:sz="4" w:space="0" w:color="auto"/>
        </w:tblBorders>
        <w:tblCellMar>
          <w:left w:w="60" w:type="dxa"/>
          <w:right w:w="60" w:type="dxa"/>
        </w:tblCellMar>
        <w:tblLook w:val="0000" w:firstRow="0" w:lastRow="0" w:firstColumn="0" w:lastColumn="0" w:noHBand="0" w:noVBand="0"/>
      </w:tblPr>
      <w:tblGrid>
        <w:gridCol w:w="2702"/>
        <w:gridCol w:w="1290"/>
        <w:gridCol w:w="1290"/>
        <w:gridCol w:w="1289"/>
        <w:gridCol w:w="1290"/>
        <w:gridCol w:w="1070"/>
      </w:tblGrid>
      <w:tr w:rsidR="000E5460" w:rsidRPr="003F7349" w14:paraId="7508813F" w14:textId="77777777" w:rsidTr="00456A80">
        <w:trPr>
          <w:cantSplit/>
          <w:trHeight w:val="20"/>
          <w:tblHeader/>
          <w:jc w:val="center"/>
        </w:trPr>
        <w:tc>
          <w:tcPr>
            <w:tcW w:w="2702" w:type="dxa"/>
            <w:tcBorders>
              <w:top w:val="single" w:sz="4" w:space="0" w:color="auto"/>
              <w:bottom w:val="single" w:sz="4" w:space="0" w:color="auto"/>
            </w:tcBorders>
          </w:tcPr>
          <w:p w14:paraId="31F279E8" w14:textId="77777777" w:rsidR="000E5460" w:rsidRPr="003F7349" w:rsidRDefault="000E5460" w:rsidP="005C0517">
            <w:pPr>
              <w:keepNext/>
              <w:spacing w:after="0"/>
              <w:ind w:hanging="2"/>
              <w:jc w:val="both"/>
              <w:rPr>
                <w:rFonts w:ascii="Arial" w:hAnsi="Arial" w:cs="Arial"/>
                <w:sz w:val="20"/>
                <w:szCs w:val="20"/>
              </w:rPr>
            </w:pPr>
            <w:r w:rsidRPr="003F7349">
              <w:rPr>
                <w:rFonts w:ascii="Arial" w:hAnsi="Arial" w:cs="Arial"/>
                <w:b/>
                <w:sz w:val="20"/>
                <w:szCs w:val="20"/>
              </w:rPr>
              <w:t>Parameters</w:t>
            </w:r>
          </w:p>
        </w:tc>
        <w:tc>
          <w:tcPr>
            <w:tcW w:w="1290" w:type="dxa"/>
            <w:tcBorders>
              <w:top w:val="single" w:sz="4" w:space="0" w:color="auto"/>
              <w:bottom w:val="single" w:sz="4" w:space="0" w:color="auto"/>
            </w:tcBorders>
          </w:tcPr>
          <w:p w14:paraId="3E3B82DD" w14:textId="77777777" w:rsidR="000E5460" w:rsidRPr="003F7349" w:rsidRDefault="000E5460" w:rsidP="005C0517">
            <w:pPr>
              <w:keepNext/>
              <w:spacing w:after="0"/>
              <w:ind w:hanging="2"/>
              <w:jc w:val="both"/>
              <w:rPr>
                <w:rFonts w:ascii="Arial" w:hAnsi="Arial" w:cs="Arial"/>
                <w:b/>
                <w:sz w:val="20"/>
                <w:szCs w:val="20"/>
              </w:rPr>
            </w:pPr>
            <w:r w:rsidRPr="003F7349">
              <w:rPr>
                <w:rFonts w:ascii="Arial" w:hAnsi="Arial" w:cs="Arial"/>
                <w:b/>
                <w:sz w:val="20"/>
                <w:szCs w:val="20"/>
              </w:rPr>
              <w:t xml:space="preserve">T0 </w:t>
            </w:r>
          </w:p>
        </w:tc>
        <w:tc>
          <w:tcPr>
            <w:tcW w:w="1290" w:type="dxa"/>
            <w:tcBorders>
              <w:top w:val="single" w:sz="4" w:space="0" w:color="auto"/>
              <w:bottom w:val="single" w:sz="4" w:space="0" w:color="auto"/>
            </w:tcBorders>
          </w:tcPr>
          <w:p w14:paraId="0C182581" w14:textId="77777777" w:rsidR="000E5460" w:rsidRPr="003F7349" w:rsidRDefault="000E5460" w:rsidP="005C0517">
            <w:pPr>
              <w:keepNext/>
              <w:spacing w:after="0"/>
              <w:ind w:hanging="2"/>
              <w:jc w:val="both"/>
              <w:rPr>
                <w:rFonts w:ascii="Arial" w:hAnsi="Arial" w:cs="Arial"/>
                <w:sz w:val="20"/>
                <w:szCs w:val="20"/>
              </w:rPr>
            </w:pPr>
            <w:r w:rsidRPr="003F7349">
              <w:rPr>
                <w:rFonts w:ascii="Arial" w:hAnsi="Arial" w:cs="Arial"/>
                <w:b/>
                <w:sz w:val="20"/>
                <w:szCs w:val="20"/>
              </w:rPr>
              <w:t xml:space="preserve">T1 </w:t>
            </w:r>
          </w:p>
        </w:tc>
        <w:tc>
          <w:tcPr>
            <w:tcW w:w="1289" w:type="dxa"/>
            <w:tcBorders>
              <w:top w:val="single" w:sz="4" w:space="0" w:color="auto"/>
              <w:bottom w:val="single" w:sz="4" w:space="0" w:color="auto"/>
            </w:tcBorders>
          </w:tcPr>
          <w:p w14:paraId="15636D21" w14:textId="77777777" w:rsidR="000E5460" w:rsidRPr="003F7349" w:rsidRDefault="000E5460" w:rsidP="005C0517">
            <w:pPr>
              <w:keepNext/>
              <w:spacing w:after="0"/>
              <w:ind w:hanging="2"/>
              <w:jc w:val="both"/>
              <w:rPr>
                <w:rFonts w:ascii="Arial" w:hAnsi="Arial" w:cs="Arial"/>
                <w:sz w:val="20"/>
                <w:szCs w:val="20"/>
              </w:rPr>
            </w:pPr>
            <w:r w:rsidRPr="003F7349">
              <w:rPr>
                <w:rFonts w:ascii="Arial" w:hAnsi="Arial" w:cs="Arial"/>
                <w:b/>
                <w:sz w:val="20"/>
                <w:szCs w:val="20"/>
              </w:rPr>
              <w:t xml:space="preserve">T2  </w:t>
            </w:r>
          </w:p>
        </w:tc>
        <w:tc>
          <w:tcPr>
            <w:tcW w:w="1290" w:type="dxa"/>
            <w:tcBorders>
              <w:top w:val="single" w:sz="4" w:space="0" w:color="auto"/>
              <w:bottom w:val="single" w:sz="4" w:space="0" w:color="auto"/>
            </w:tcBorders>
          </w:tcPr>
          <w:p w14:paraId="225E455C" w14:textId="77777777" w:rsidR="000E5460" w:rsidRPr="003F7349" w:rsidRDefault="000E5460" w:rsidP="005C0517">
            <w:pPr>
              <w:keepNext/>
              <w:spacing w:after="0"/>
              <w:ind w:hanging="2"/>
              <w:jc w:val="both"/>
              <w:rPr>
                <w:rFonts w:ascii="Arial" w:hAnsi="Arial" w:cs="Arial"/>
                <w:sz w:val="20"/>
                <w:szCs w:val="20"/>
              </w:rPr>
            </w:pPr>
            <w:r w:rsidRPr="003F7349">
              <w:rPr>
                <w:rFonts w:ascii="Arial" w:hAnsi="Arial" w:cs="Arial"/>
                <w:b/>
                <w:sz w:val="20"/>
                <w:szCs w:val="20"/>
              </w:rPr>
              <w:t xml:space="preserve">T3 </w:t>
            </w:r>
          </w:p>
        </w:tc>
        <w:tc>
          <w:tcPr>
            <w:tcW w:w="1070" w:type="dxa"/>
            <w:tcBorders>
              <w:top w:val="single" w:sz="4" w:space="0" w:color="auto"/>
              <w:bottom w:val="single" w:sz="4" w:space="0" w:color="auto"/>
            </w:tcBorders>
          </w:tcPr>
          <w:p w14:paraId="1597A102" w14:textId="77777777" w:rsidR="000E5460" w:rsidRPr="003F7349" w:rsidRDefault="000E5460" w:rsidP="005C0517">
            <w:pPr>
              <w:keepNext/>
              <w:spacing w:after="0"/>
              <w:ind w:hanging="2"/>
              <w:jc w:val="both"/>
              <w:rPr>
                <w:rFonts w:ascii="Arial" w:hAnsi="Arial" w:cs="Arial"/>
                <w:b/>
                <w:sz w:val="20"/>
                <w:szCs w:val="20"/>
              </w:rPr>
            </w:pPr>
            <w:r w:rsidRPr="003F7349">
              <w:rPr>
                <w:rFonts w:ascii="Arial" w:hAnsi="Arial" w:cs="Arial"/>
                <w:b/>
                <w:i/>
                <w:iCs/>
                <w:sz w:val="20"/>
                <w:szCs w:val="20"/>
              </w:rPr>
              <w:t>P</w:t>
            </w:r>
            <w:r w:rsidRPr="003F7349">
              <w:rPr>
                <w:rFonts w:ascii="Arial" w:hAnsi="Arial" w:cs="Arial"/>
                <w:b/>
                <w:sz w:val="20"/>
                <w:szCs w:val="20"/>
              </w:rPr>
              <w:t>-value</w:t>
            </w:r>
          </w:p>
        </w:tc>
      </w:tr>
      <w:tr w:rsidR="000E5460" w:rsidRPr="003F7349" w14:paraId="5593F885" w14:textId="77777777" w:rsidTr="00456A80">
        <w:trPr>
          <w:cantSplit/>
          <w:trHeight w:val="20"/>
          <w:jc w:val="center"/>
        </w:trPr>
        <w:tc>
          <w:tcPr>
            <w:tcW w:w="2702" w:type="dxa"/>
            <w:tcBorders>
              <w:top w:val="single" w:sz="4" w:space="0" w:color="auto"/>
            </w:tcBorders>
          </w:tcPr>
          <w:p w14:paraId="62533E94" w14:textId="77777777" w:rsidR="000E5460" w:rsidRPr="003F7349" w:rsidRDefault="000E5460" w:rsidP="005C0517">
            <w:pPr>
              <w:keepNext/>
              <w:spacing w:after="0"/>
              <w:ind w:hanging="2"/>
              <w:jc w:val="both"/>
              <w:rPr>
                <w:rFonts w:ascii="Arial" w:hAnsi="Arial" w:cs="Arial"/>
                <w:sz w:val="20"/>
                <w:szCs w:val="20"/>
              </w:rPr>
            </w:pPr>
            <w:r w:rsidRPr="003F7349">
              <w:rPr>
                <w:rFonts w:ascii="Arial" w:hAnsi="Arial" w:cs="Arial"/>
                <w:sz w:val="20"/>
                <w:szCs w:val="20"/>
              </w:rPr>
              <w:t>pH</w:t>
            </w:r>
          </w:p>
        </w:tc>
        <w:tc>
          <w:tcPr>
            <w:tcW w:w="1290" w:type="dxa"/>
            <w:tcBorders>
              <w:top w:val="single" w:sz="4" w:space="0" w:color="auto"/>
            </w:tcBorders>
          </w:tcPr>
          <w:p w14:paraId="2E9494CD" w14:textId="77777777" w:rsidR="000E5460" w:rsidRPr="003F7349" w:rsidRDefault="000E5460" w:rsidP="005C0517">
            <w:pPr>
              <w:keepNext/>
              <w:spacing w:after="0"/>
              <w:ind w:hanging="2"/>
              <w:jc w:val="both"/>
              <w:rPr>
                <w:rFonts w:ascii="Arial" w:hAnsi="Arial" w:cs="Arial"/>
                <w:sz w:val="20"/>
                <w:szCs w:val="20"/>
              </w:rPr>
            </w:pPr>
            <w:r w:rsidRPr="003F7349">
              <w:rPr>
                <w:rFonts w:ascii="Arial" w:hAnsi="Arial" w:cs="Arial"/>
                <w:sz w:val="20"/>
                <w:szCs w:val="20"/>
              </w:rPr>
              <w:t>7.31 ± 0.15</w:t>
            </w:r>
          </w:p>
        </w:tc>
        <w:tc>
          <w:tcPr>
            <w:tcW w:w="1290" w:type="dxa"/>
            <w:tcBorders>
              <w:top w:val="single" w:sz="4" w:space="0" w:color="auto"/>
            </w:tcBorders>
          </w:tcPr>
          <w:p w14:paraId="151D3891" w14:textId="77777777" w:rsidR="000E5460" w:rsidRPr="003F7349" w:rsidRDefault="000E5460" w:rsidP="005C0517">
            <w:pPr>
              <w:keepNext/>
              <w:spacing w:after="0"/>
              <w:ind w:hanging="2"/>
              <w:jc w:val="both"/>
              <w:rPr>
                <w:rFonts w:ascii="Arial" w:hAnsi="Arial" w:cs="Arial"/>
                <w:sz w:val="20"/>
                <w:szCs w:val="20"/>
              </w:rPr>
            </w:pPr>
            <w:r w:rsidRPr="003F7349">
              <w:rPr>
                <w:rFonts w:ascii="Arial" w:hAnsi="Arial" w:cs="Arial"/>
                <w:sz w:val="20"/>
                <w:szCs w:val="20"/>
              </w:rPr>
              <w:t>7.31 ± 0.16</w:t>
            </w:r>
          </w:p>
        </w:tc>
        <w:tc>
          <w:tcPr>
            <w:tcW w:w="1289" w:type="dxa"/>
            <w:tcBorders>
              <w:top w:val="single" w:sz="4" w:space="0" w:color="auto"/>
            </w:tcBorders>
          </w:tcPr>
          <w:p w14:paraId="1D0FE014" w14:textId="77777777" w:rsidR="000E5460" w:rsidRPr="003F7349" w:rsidRDefault="000E5460" w:rsidP="005C0517">
            <w:pPr>
              <w:keepNext/>
              <w:spacing w:after="0"/>
              <w:ind w:hanging="2"/>
              <w:jc w:val="both"/>
              <w:rPr>
                <w:rFonts w:ascii="Arial" w:hAnsi="Arial" w:cs="Arial"/>
                <w:sz w:val="20"/>
                <w:szCs w:val="20"/>
              </w:rPr>
            </w:pPr>
            <w:r w:rsidRPr="003F7349">
              <w:rPr>
                <w:rFonts w:ascii="Arial" w:hAnsi="Arial" w:cs="Arial"/>
                <w:sz w:val="20"/>
                <w:szCs w:val="20"/>
              </w:rPr>
              <w:t>7.37 ± 0.18</w:t>
            </w:r>
          </w:p>
        </w:tc>
        <w:tc>
          <w:tcPr>
            <w:tcW w:w="1290" w:type="dxa"/>
            <w:tcBorders>
              <w:top w:val="single" w:sz="4" w:space="0" w:color="auto"/>
            </w:tcBorders>
          </w:tcPr>
          <w:p w14:paraId="05142B19" w14:textId="77777777" w:rsidR="000E5460" w:rsidRPr="003F7349" w:rsidRDefault="000E5460" w:rsidP="005C0517">
            <w:pPr>
              <w:keepNext/>
              <w:spacing w:after="0"/>
              <w:ind w:hanging="2"/>
              <w:jc w:val="both"/>
              <w:rPr>
                <w:rFonts w:ascii="Arial" w:hAnsi="Arial" w:cs="Arial"/>
                <w:sz w:val="20"/>
                <w:szCs w:val="20"/>
              </w:rPr>
            </w:pPr>
            <w:r w:rsidRPr="003F7349">
              <w:rPr>
                <w:rFonts w:ascii="Arial" w:hAnsi="Arial" w:cs="Arial"/>
                <w:sz w:val="20"/>
                <w:szCs w:val="20"/>
              </w:rPr>
              <w:t>7.36 ± 0.17</w:t>
            </w:r>
          </w:p>
        </w:tc>
        <w:tc>
          <w:tcPr>
            <w:tcW w:w="1070" w:type="dxa"/>
            <w:tcBorders>
              <w:top w:val="single" w:sz="4" w:space="0" w:color="auto"/>
            </w:tcBorders>
          </w:tcPr>
          <w:p w14:paraId="71C60AA9" w14:textId="77777777" w:rsidR="000E5460" w:rsidRPr="003F7349" w:rsidRDefault="00D77EAA" w:rsidP="005C0517">
            <w:pPr>
              <w:keepNext/>
              <w:spacing w:after="0"/>
              <w:ind w:hanging="2"/>
              <w:jc w:val="both"/>
              <w:rPr>
                <w:rFonts w:ascii="Arial" w:hAnsi="Arial" w:cs="Arial"/>
                <w:sz w:val="20"/>
                <w:szCs w:val="20"/>
              </w:rPr>
            </w:pPr>
            <w:r w:rsidRPr="003F7349">
              <w:rPr>
                <w:rFonts w:ascii="Arial" w:hAnsi="Arial" w:cs="Arial"/>
                <w:sz w:val="20"/>
                <w:szCs w:val="20"/>
              </w:rPr>
              <w:t>.1</w:t>
            </w:r>
          </w:p>
        </w:tc>
      </w:tr>
      <w:tr w:rsidR="000E5460" w:rsidRPr="003F7349" w14:paraId="3AEA6244" w14:textId="77777777" w:rsidTr="00456A80">
        <w:trPr>
          <w:cantSplit/>
          <w:trHeight w:val="20"/>
          <w:jc w:val="center"/>
        </w:trPr>
        <w:tc>
          <w:tcPr>
            <w:tcW w:w="2702" w:type="dxa"/>
          </w:tcPr>
          <w:p w14:paraId="28B1DB5D" w14:textId="77777777" w:rsidR="000E5460" w:rsidRPr="003F7349" w:rsidRDefault="000E5460" w:rsidP="005C0517">
            <w:pPr>
              <w:keepNext/>
              <w:spacing w:after="0"/>
              <w:jc w:val="both"/>
              <w:rPr>
                <w:rFonts w:ascii="Arial" w:hAnsi="Arial" w:cs="Arial"/>
                <w:sz w:val="20"/>
                <w:szCs w:val="20"/>
              </w:rPr>
            </w:pPr>
            <w:r w:rsidRPr="003F7349">
              <w:rPr>
                <w:rFonts w:ascii="Arial" w:hAnsi="Arial" w:cs="Arial"/>
                <w:sz w:val="20"/>
                <w:szCs w:val="20"/>
              </w:rPr>
              <w:t>Temperature (°C)</w:t>
            </w:r>
          </w:p>
        </w:tc>
        <w:tc>
          <w:tcPr>
            <w:tcW w:w="1290" w:type="dxa"/>
          </w:tcPr>
          <w:p w14:paraId="4A39387B" w14:textId="77777777" w:rsidR="000E5460" w:rsidRPr="003F7349" w:rsidRDefault="000E5460" w:rsidP="005C0517">
            <w:pPr>
              <w:keepNext/>
              <w:spacing w:after="0"/>
              <w:ind w:hanging="2"/>
              <w:jc w:val="both"/>
              <w:rPr>
                <w:rFonts w:ascii="Arial" w:hAnsi="Arial" w:cs="Arial"/>
                <w:sz w:val="20"/>
                <w:szCs w:val="20"/>
              </w:rPr>
            </w:pPr>
            <w:r w:rsidRPr="003F7349">
              <w:rPr>
                <w:rFonts w:ascii="Arial" w:hAnsi="Arial" w:cs="Arial"/>
                <w:sz w:val="20"/>
                <w:szCs w:val="20"/>
              </w:rPr>
              <w:t>28.29 ± 1.97</w:t>
            </w:r>
          </w:p>
        </w:tc>
        <w:tc>
          <w:tcPr>
            <w:tcW w:w="1290" w:type="dxa"/>
          </w:tcPr>
          <w:p w14:paraId="10389B48" w14:textId="77777777" w:rsidR="000E5460" w:rsidRPr="003F7349" w:rsidRDefault="000E5460" w:rsidP="005C0517">
            <w:pPr>
              <w:keepNext/>
              <w:spacing w:after="0"/>
              <w:ind w:hanging="2"/>
              <w:jc w:val="both"/>
              <w:rPr>
                <w:rFonts w:ascii="Arial" w:hAnsi="Arial" w:cs="Arial"/>
                <w:sz w:val="20"/>
                <w:szCs w:val="20"/>
              </w:rPr>
            </w:pPr>
            <w:r w:rsidRPr="003F7349">
              <w:rPr>
                <w:rFonts w:ascii="Arial" w:hAnsi="Arial" w:cs="Arial"/>
                <w:sz w:val="20"/>
                <w:szCs w:val="20"/>
              </w:rPr>
              <w:t>28.22 ± 1.95</w:t>
            </w:r>
          </w:p>
        </w:tc>
        <w:tc>
          <w:tcPr>
            <w:tcW w:w="1289" w:type="dxa"/>
          </w:tcPr>
          <w:p w14:paraId="66A9CF67" w14:textId="77777777" w:rsidR="000E5460" w:rsidRPr="003F7349" w:rsidRDefault="000E5460" w:rsidP="005C0517">
            <w:pPr>
              <w:keepNext/>
              <w:spacing w:after="0"/>
              <w:ind w:hanging="2"/>
              <w:jc w:val="both"/>
              <w:rPr>
                <w:rFonts w:ascii="Arial" w:hAnsi="Arial" w:cs="Arial"/>
                <w:sz w:val="20"/>
                <w:szCs w:val="20"/>
              </w:rPr>
            </w:pPr>
            <w:r w:rsidRPr="003F7349">
              <w:rPr>
                <w:rFonts w:ascii="Arial" w:hAnsi="Arial" w:cs="Arial"/>
                <w:sz w:val="20"/>
                <w:szCs w:val="20"/>
              </w:rPr>
              <w:t>28.45 ± 1.97</w:t>
            </w:r>
          </w:p>
        </w:tc>
        <w:tc>
          <w:tcPr>
            <w:tcW w:w="1290" w:type="dxa"/>
          </w:tcPr>
          <w:p w14:paraId="1B868FBE" w14:textId="77777777" w:rsidR="000E5460" w:rsidRPr="003F7349" w:rsidRDefault="000E5460" w:rsidP="005C0517">
            <w:pPr>
              <w:keepNext/>
              <w:spacing w:after="0"/>
              <w:ind w:hanging="2"/>
              <w:jc w:val="both"/>
              <w:rPr>
                <w:rFonts w:ascii="Arial" w:hAnsi="Arial" w:cs="Arial"/>
                <w:sz w:val="20"/>
                <w:szCs w:val="20"/>
              </w:rPr>
            </w:pPr>
            <w:r w:rsidRPr="003F7349">
              <w:rPr>
                <w:rFonts w:ascii="Arial" w:hAnsi="Arial" w:cs="Arial"/>
                <w:sz w:val="20"/>
                <w:szCs w:val="20"/>
              </w:rPr>
              <w:t>28.46 ± 1.93</w:t>
            </w:r>
          </w:p>
        </w:tc>
        <w:tc>
          <w:tcPr>
            <w:tcW w:w="1070" w:type="dxa"/>
          </w:tcPr>
          <w:p w14:paraId="14452007" w14:textId="77777777" w:rsidR="000E5460" w:rsidRPr="003F7349" w:rsidRDefault="00D77EAA" w:rsidP="005C0517">
            <w:pPr>
              <w:keepNext/>
              <w:spacing w:after="0"/>
              <w:ind w:hanging="2"/>
              <w:jc w:val="both"/>
              <w:rPr>
                <w:rFonts w:ascii="Arial" w:hAnsi="Arial" w:cs="Arial"/>
                <w:sz w:val="20"/>
                <w:szCs w:val="20"/>
              </w:rPr>
            </w:pPr>
            <w:r w:rsidRPr="003F7349">
              <w:rPr>
                <w:rFonts w:ascii="Arial" w:hAnsi="Arial" w:cs="Arial"/>
                <w:sz w:val="20"/>
                <w:szCs w:val="20"/>
              </w:rPr>
              <w:t>.2</w:t>
            </w:r>
          </w:p>
        </w:tc>
      </w:tr>
      <w:tr w:rsidR="000E5460" w:rsidRPr="003F7349" w14:paraId="1E21DC83" w14:textId="77777777" w:rsidTr="00456A80">
        <w:trPr>
          <w:cantSplit/>
          <w:trHeight w:val="20"/>
          <w:jc w:val="center"/>
        </w:trPr>
        <w:tc>
          <w:tcPr>
            <w:tcW w:w="2702" w:type="dxa"/>
          </w:tcPr>
          <w:p w14:paraId="4CC8AD9C" w14:textId="77777777" w:rsidR="000E5460" w:rsidRPr="003F7349" w:rsidRDefault="000E5460" w:rsidP="005C0517">
            <w:pPr>
              <w:keepNext/>
              <w:spacing w:after="0"/>
              <w:ind w:hanging="2"/>
              <w:jc w:val="both"/>
              <w:rPr>
                <w:rFonts w:ascii="Arial" w:hAnsi="Arial" w:cs="Arial"/>
                <w:sz w:val="20"/>
                <w:szCs w:val="20"/>
              </w:rPr>
            </w:pPr>
            <w:r w:rsidRPr="003F7349">
              <w:rPr>
                <w:rFonts w:ascii="Arial" w:hAnsi="Arial" w:cs="Arial"/>
                <w:sz w:val="20"/>
                <w:szCs w:val="20"/>
              </w:rPr>
              <w:t>Salinity (ppm)</w:t>
            </w:r>
          </w:p>
        </w:tc>
        <w:tc>
          <w:tcPr>
            <w:tcW w:w="1290" w:type="dxa"/>
          </w:tcPr>
          <w:p w14:paraId="49B90A85" w14:textId="77777777" w:rsidR="000E5460" w:rsidRPr="003F7349" w:rsidRDefault="000E5460" w:rsidP="005C0517">
            <w:pPr>
              <w:keepNext/>
              <w:spacing w:after="0"/>
              <w:ind w:hanging="2"/>
              <w:jc w:val="both"/>
              <w:rPr>
                <w:rFonts w:ascii="Arial" w:hAnsi="Arial" w:cs="Arial"/>
                <w:sz w:val="20"/>
                <w:szCs w:val="20"/>
              </w:rPr>
            </w:pPr>
            <w:r w:rsidRPr="003F7349">
              <w:rPr>
                <w:rFonts w:ascii="Arial" w:hAnsi="Arial" w:cs="Arial"/>
                <w:sz w:val="20"/>
                <w:szCs w:val="20"/>
              </w:rPr>
              <w:t>235 ± 30</w:t>
            </w:r>
          </w:p>
        </w:tc>
        <w:tc>
          <w:tcPr>
            <w:tcW w:w="1290" w:type="dxa"/>
          </w:tcPr>
          <w:p w14:paraId="5AD569C8" w14:textId="77777777" w:rsidR="000E5460" w:rsidRPr="003F7349" w:rsidRDefault="000E5460" w:rsidP="005C0517">
            <w:pPr>
              <w:keepNext/>
              <w:spacing w:after="0"/>
              <w:ind w:hanging="2"/>
              <w:jc w:val="both"/>
              <w:rPr>
                <w:rFonts w:ascii="Arial" w:hAnsi="Arial" w:cs="Arial"/>
                <w:sz w:val="20"/>
                <w:szCs w:val="20"/>
              </w:rPr>
            </w:pPr>
            <w:r w:rsidRPr="003F7349">
              <w:rPr>
                <w:rFonts w:ascii="Arial" w:hAnsi="Arial" w:cs="Arial"/>
                <w:sz w:val="20"/>
                <w:szCs w:val="20"/>
              </w:rPr>
              <w:t>237 ± 29</w:t>
            </w:r>
          </w:p>
        </w:tc>
        <w:tc>
          <w:tcPr>
            <w:tcW w:w="1289" w:type="dxa"/>
          </w:tcPr>
          <w:p w14:paraId="4847F2D9" w14:textId="77777777" w:rsidR="000E5460" w:rsidRPr="003F7349" w:rsidRDefault="000E5460" w:rsidP="005C0517">
            <w:pPr>
              <w:keepNext/>
              <w:spacing w:after="0"/>
              <w:ind w:hanging="2"/>
              <w:jc w:val="both"/>
              <w:rPr>
                <w:rFonts w:ascii="Arial" w:hAnsi="Arial" w:cs="Arial"/>
                <w:sz w:val="20"/>
                <w:szCs w:val="20"/>
              </w:rPr>
            </w:pPr>
            <w:r w:rsidRPr="003F7349">
              <w:rPr>
                <w:rFonts w:ascii="Arial" w:hAnsi="Arial" w:cs="Arial"/>
                <w:sz w:val="20"/>
                <w:szCs w:val="20"/>
              </w:rPr>
              <w:t>236 ± 33</w:t>
            </w:r>
          </w:p>
        </w:tc>
        <w:tc>
          <w:tcPr>
            <w:tcW w:w="1290" w:type="dxa"/>
          </w:tcPr>
          <w:p w14:paraId="0B3C5CD5" w14:textId="77777777" w:rsidR="000E5460" w:rsidRPr="003F7349" w:rsidRDefault="000E5460" w:rsidP="005C0517">
            <w:pPr>
              <w:keepNext/>
              <w:spacing w:after="0"/>
              <w:ind w:hanging="2"/>
              <w:jc w:val="both"/>
              <w:rPr>
                <w:rFonts w:ascii="Arial" w:hAnsi="Arial" w:cs="Arial"/>
                <w:sz w:val="20"/>
                <w:szCs w:val="20"/>
              </w:rPr>
            </w:pPr>
            <w:r w:rsidRPr="003F7349">
              <w:rPr>
                <w:rFonts w:ascii="Arial" w:hAnsi="Arial" w:cs="Arial"/>
                <w:sz w:val="20"/>
                <w:szCs w:val="20"/>
              </w:rPr>
              <w:t>239 ± 23</w:t>
            </w:r>
          </w:p>
        </w:tc>
        <w:tc>
          <w:tcPr>
            <w:tcW w:w="1070" w:type="dxa"/>
          </w:tcPr>
          <w:p w14:paraId="25C1FD5F" w14:textId="77777777" w:rsidR="000E5460" w:rsidRPr="003F7349" w:rsidRDefault="00D77EAA" w:rsidP="005C0517">
            <w:pPr>
              <w:keepNext/>
              <w:spacing w:after="0"/>
              <w:ind w:hanging="2"/>
              <w:jc w:val="both"/>
              <w:rPr>
                <w:rFonts w:ascii="Arial" w:hAnsi="Arial" w:cs="Arial"/>
                <w:sz w:val="20"/>
                <w:szCs w:val="20"/>
              </w:rPr>
            </w:pPr>
            <w:r w:rsidRPr="003F7349">
              <w:rPr>
                <w:rFonts w:ascii="Arial" w:hAnsi="Arial" w:cs="Arial"/>
                <w:sz w:val="20"/>
                <w:szCs w:val="20"/>
              </w:rPr>
              <w:t>.6</w:t>
            </w:r>
          </w:p>
        </w:tc>
      </w:tr>
      <w:tr w:rsidR="000E5460" w:rsidRPr="003F7349" w14:paraId="100DCC8D" w14:textId="77777777" w:rsidTr="00456A80">
        <w:trPr>
          <w:cantSplit/>
          <w:trHeight w:val="20"/>
          <w:jc w:val="center"/>
        </w:trPr>
        <w:tc>
          <w:tcPr>
            <w:tcW w:w="2702" w:type="dxa"/>
          </w:tcPr>
          <w:p w14:paraId="14154D82" w14:textId="77777777" w:rsidR="000E5460" w:rsidRPr="003F7349" w:rsidRDefault="000E5460" w:rsidP="005C0517">
            <w:pPr>
              <w:keepNext/>
              <w:spacing w:after="0"/>
              <w:ind w:hanging="2"/>
              <w:jc w:val="both"/>
              <w:rPr>
                <w:rFonts w:ascii="Arial" w:hAnsi="Arial" w:cs="Arial"/>
                <w:sz w:val="20"/>
                <w:szCs w:val="20"/>
              </w:rPr>
            </w:pPr>
            <w:r w:rsidRPr="003F7349">
              <w:rPr>
                <w:rFonts w:ascii="Arial" w:hAnsi="Arial" w:cs="Arial"/>
                <w:sz w:val="20"/>
                <w:szCs w:val="20"/>
              </w:rPr>
              <w:t>Conductivity (μS·cm−1)</w:t>
            </w:r>
          </w:p>
        </w:tc>
        <w:tc>
          <w:tcPr>
            <w:tcW w:w="1290" w:type="dxa"/>
          </w:tcPr>
          <w:p w14:paraId="104B2562" w14:textId="77777777" w:rsidR="000E5460" w:rsidRPr="003F7349" w:rsidRDefault="000E5460" w:rsidP="005C0517">
            <w:pPr>
              <w:keepNext/>
              <w:spacing w:after="0"/>
              <w:ind w:hanging="2"/>
              <w:jc w:val="both"/>
              <w:rPr>
                <w:rFonts w:ascii="Arial" w:hAnsi="Arial" w:cs="Arial"/>
                <w:sz w:val="20"/>
                <w:szCs w:val="20"/>
              </w:rPr>
            </w:pPr>
            <w:r w:rsidRPr="003F7349">
              <w:rPr>
                <w:rFonts w:ascii="Arial" w:hAnsi="Arial" w:cs="Arial"/>
                <w:sz w:val="20"/>
                <w:szCs w:val="20"/>
              </w:rPr>
              <w:t>470 ± 59</w:t>
            </w:r>
          </w:p>
        </w:tc>
        <w:tc>
          <w:tcPr>
            <w:tcW w:w="1290" w:type="dxa"/>
          </w:tcPr>
          <w:p w14:paraId="2DE5DA13" w14:textId="77777777" w:rsidR="000E5460" w:rsidRPr="003F7349" w:rsidRDefault="000E5460" w:rsidP="005C0517">
            <w:pPr>
              <w:keepNext/>
              <w:spacing w:after="0"/>
              <w:ind w:hanging="2"/>
              <w:jc w:val="both"/>
              <w:rPr>
                <w:rFonts w:ascii="Arial" w:hAnsi="Arial" w:cs="Arial"/>
                <w:sz w:val="20"/>
                <w:szCs w:val="20"/>
              </w:rPr>
            </w:pPr>
            <w:r w:rsidRPr="003F7349">
              <w:rPr>
                <w:rFonts w:ascii="Arial" w:hAnsi="Arial" w:cs="Arial"/>
                <w:sz w:val="20"/>
                <w:szCs w:val="20"/>
              </w:rPr>
              <w:t>473 ± 58</w:t>
            </w:r>
          </w:p>
        </w:tc>
        <w:tc>
          <w:tcPr>
            <w:tcW w:w="1289" w:type="dxa"/>
          </w:tcPr>
          <w:p w14:paraId="65EBCA97" w14:textId="77777777" w:rsidR="000E5460" w:rsidRPr="003F7349" w:rsidRDefault="000E5460" w:rsidP="005C0517">
            <w:pPr>
              <w:keepNext/>
              <w:spacing w:after="0"/>
              <w:ind w:hanging="2"/>
              <w:jc w:val="both"/>
              <w:rPr>
                <w:rFonts w:ascii="Arial" w:hAnsi="Arial" w:cs="Arial"/>
                <w:sz w:val="20"/>
                <w:szCs w:val="20"/>
              </w:rPr>
            </w:pPr>
            <w:r w:rsidRPr="003F7349">
              <w:rPr>
                <w:rFonts w:ascii="Arial" w:hAnsi="Arial" w:cs="Arial"/>
                <w:sz w:val="20"/>
                <w:szCs w:val="20"/>
              </w:rPr>
              <w:t>470 ± 58</w:t>
            </w:r>
          </w:p>
        </w:tc>
        <w:tc>
          <w:tcPr>
            <w:tcW w:w="1290" w:type="dxa"/>
          </w:tcPr>
          <w:p w14:paraId="21C7EBD5" w14:textId="77777777" w:rsidR="000E5460" w:rsidRPr="003F7349" w:rsidRDefault="000E5460" w:rsidP="005C0517">
            <w:pPr>
              <w:keepNext/>
              <w:spacing w:after="0"/>
              <w:ind w:hanging="2"/>
              <w:jc w:val="both"/>
              <w:rPr>
                <w:rFonts w:ascii="Arial" w:hAnsi="Arial" w:cs="Arial"/>
                <w:sz w:val="20"/>
                <w:szCs w:val="20"/>
              </w:rPr>
            </w:pPr>
            <w:r w:rsidRPr="003F7349">
              <w:rPr>
                <w:rFonts w:ascii="Arial" w:hAnsi="Arial" w:cs="Arial"/>
                <w:sz w:val="20"/>
                <w:szCs w:val="20"/>
              </w:rPr>
              <w:t>476 ± 48</w:t>
            </w:r>
          </w:p>
        </w:tc>
        <w:tc>
          <w:tcPr>
            <w:tcW w:w="1070" w:type="dxa"/>
          </w:tcPr>
          <w:p w14:paraId="0DAF1037" w14:textId="77777777" w:rsidR="000E5460" w:rsidRPr="003F7349" w:rsidRDefault="00D77EAA" w:rsidP="005C0517">
            <w:pPr>
              <w:keepNext/>
              <w:spacing w:after="0"/>
              <w:ind w:hanging="2"/>
              <w:jc w:val="both"/>
              <w:rPr>
                <w:rFonts w:ascii="Arial" w:hAnsi="Arial" w:cs="Arial"/>
                <w:sz w:val="20"/>
                <w:szCs w:val="20"/>
              </w:rPr>
            </w:pPr>
            <w:r w:rsidRPr="003F7349">
              <w:rPr>
                <w:rFonts w:ascii="Arial" w:hAnsi="Arial" w:cs="Arial"/>
                <w:sz w:val="20"/>
                <w:szCs w:val="20"/>
              </w:rPr>
              <w:t>.1</w:t>
            </w:r>
          </w:p>
        </w:tc>
      </w:tr>
      <w:tr w:rsidR="000E5460" w:rsidRPr="003F7349" w14:paraId="50414732" w14:textId="77777777" w:rsidTr="00456A80">
        <w:trPr>
          <w:cantSplit/>
          <w:trHeight w:val="20"/>
          <w:jc w:val="center"/>
        </w:trPr>
        <w:tc>
          <w:tcPr>
            <w:tcW w:w="2702" w:type="dxa"/>
          </w:tcPr>
          <w:p w14:paraId="7C6CE408" w14:textId="77777777" w:rsidR="000E5460" w:rsidRPr="003F7349" w:rsidRDefault="000E5460" w:rsidP="005C0517">
            <w:pPr>
              <w:keepNext/>
              <w:spacing w:after="0"/>
              <w:ind w:hanging="2"/>
              <w:jc w:val="both"/>
              <w:rPr>
                <w:rFonts w:ascii="Arial" w:hAnsi="Arial" w:cs="Arial"/>
                <w:sz w:val="20"/>
                <w:szCs w:val="20"/>
              </w:rPr>
            </w:pPr>
            <w:r w:rsidRPr="003F7349">
              <w:rPr>
                <w:rFonts w:ascii="Arial" w:hAnsi="Arial" w:cs="Arial"/>
                <w:sz w:val="20"/>
                <w:szCs w:val="20"/>
              </w:rPr>
              <w:t>Dissolved oxygen (mg·L−1)</w:t>
            </w:r>
          </w:p>
        </w:tc>
        <w:tc>
          <w:tcPr>
            <w:tcW w:w="1290" w:type="dxa"/>
          </w:tcPr>
          <w:p w14:paraId="78750A8D" w14:textId="77777777" w:rsidR="000E5460" w:rsidRPr="003F7349" w:rsidRDefault="000E5460" w:rsidP="005C0517">
            <w:pPr>
              <w:keepNext/>
              <w:spacing w:after="0"/>
              <w:ind w:hanging="2"/>
              <w:jc w:val="both"/>
              <w:rPr>
                <w:rFonts w:ascii="Arial" w:hAnsi="Arial" w:cs="Arial"/>
                <w:sz w:val="20"/>
                <w:szCs w:val="20"/>
              </w:rPr>
            </w:pPr>
            <w:r w:rsidRPr="003F7349">
              <w:rPr>
                <w:rFonts w:ascii="Arial" w:hAnsi="Arial" w:cs="Arial"/>
                <w:sz w:val="20"/>
                <w:szCs w:val="20"/>
              </w:rPr>
              <w:t>4.16 ± 0.74</w:t>
            </w:r>
          </w:p>
        </w:tc>
        <w:tc>
          <w:tcPr>
            <w:tcW w:w="1290" w:type="dxa"/>
          </w:tcPr>
          <w:p w14:paraId="3D22C8F8" w14:textId="77777777" w:rsidR="000E5460" w:rsidRPr="003F7349" w:rsidRDefault="000E5460" w:rsidP="005C0517">
            <w:pPr>
              <w:keepNext/>
              <w:spacing w:after="0"/>
              <w:ind w:hanging="2"/>
              <w:jc w:val="both"/>
              <w:rPr>
                <w:rFonts w:ascii="Arial" w:hAnsi="Arial" w:cs="Arial"/>
                <w:sz w:val="20"/>
                <w:szCs w:val="20"/>
              </w:rPr>
            </w:pPr>
            <w:r w:rsidRPr="003F7349">
              <w:rPr>
                <w:rFonts w:ascii="Arial" w:hAnsi="Arial" w:cs="Arial"/>
                <w:sz w:val="20"/>
                <w:szCs w:val="20"/>
              </w:rPr>
              <w:t>4.14 ± 0.91</w:t>
            </w:r>
          </w:p>
        </w:tc>
        <w:tc>
          <w:tcPr>
            <w:tcW w:w="1289" w:type="dxa"/>
          </w:tcPr>
          <w:p w14:paraId="7A84B4C5" w14:textId="77777777" w:rsidR="000E5460" w:rsidRPr="003F7349" w:rsidRDefault="000E5460" w:rsidP="005C0517">
            <w:pPr>
              <w:keepNext/>
              <w:spacing w:after="0"/>
              <w:ind w:hanging="2"/>
              <w:jc w:val="both"/>
              <w:rPr>
                <w:rFonts w:ascii="Arial" w:hAnsi="Arial" w:cs="Arial"/>
                <w:sz w:val="20"/>
                <w:szCs w:val="20"/>
              </w:rPr>
            </w:pPr>
            <w:r w:rsidRPr="003F7349">
              <w:rPr>
                <w:rFonts w:ascii="Arial" w:hAnsi="Arial" w:cs="Arial"/>
                <w:sz w:val="20"/>
                <w:szCs w:val="20"/>
              </w:rPr>
              <w:t>4.54 ± 1.06</w:t>
            </w:r>
          </w:p>
        </w:tc>
        <w:tc>
          <w:tcPr>
            <w:tcW w:w="1290" w:type="dxa"/>
          </w:tcPr>
          <w:p w14:paraId="5017F23C" w14:textId="77777777" w:rsidR="000E5460" w:rsidRPr="003F7349" w:rsidRDefault="000E5460" w:rsidP="005C0517">
            <w:pPr>
              <w:keepNext/>
              <w:spacing w:after="0"/>
              <w:ind w:hanging="2"/>
              <w:jc w:val="both"/>
              <w:rPr>
                <w:rFonts w:ascii="Arial" w:hAnsi="Arial" w:cs="Arial"/>
                <w:sz w:val="20"/>
                <w:szCs w:val="20"/>
              </w:rPr>
            </w:pPr>
            <w:r w:rsidRPr="003F7349">
              <w:rPr>
                <w:rFonts w:ascii="Arial" w:hAnsi="Arial" w:cs="Arial"/>
                <w:sz w:val="20"/>
                <w:szCs w:val="20"/>
              </w:rPr>
              <w:t>4.29 ± 0.81</w:t>
            </w:r>
          </w:p>
        </w:tc>
        <w:tc>
          <w:tcPr>
            <w:tcW w:w="1070" w:type="dxa"/>
          </w:tcPr>
          <w:p w14:paraId="41B4CDA0" w14:textId="77777777" w:rsidR="000E5460" w:rsidRPr="003F7349" w:rsidRDefault="00D77EAA" w:rsidP="005C0517">
            <w:pPr>
              <w:keepNext/>
              <w:spacing w:after="0"/>
              <w:ind w:hanging="2"/>
              <w:jc w:val="both"/>
              <w:rPr>
                <w:rFonts w:ascii="Arial" w:hAnsi="Arial" w:cs="Arial"/>
                <w:sz w:val="20"/>
                <w:szCs w:val="20"/>
              </w:rPr>
            </w:pPr>
            <w:r w:rsidRPr="003F7349">
              <w:rPr>
                <w:rFonts w:ascii="Arial" w:hAnsi="Arial" w:cs="Arial"/>
                <w:sz w:val="20"/>
                <w:szCs w:val="20"/>
              </w:rPr>
              <w:t>.6</w:t>
            </w:r>
          </w:p>
        </w:tc>
      </w:tr>
    </w:tbl>
    <w:p w14:paraId="73551B5C" w14:textId="77777777" w:rsidR="00CE0B97" w:rsidRPr="003F7349" w:rsidRDefault="009636D7" w:rsidP="005C0517">
      <w:pPr>
        <w:spacing w:after="120" w:line="240" w:lineRule="auto"/>
        <w:jc w:val="both"/>
        <w:rPr>
          <w:rFonts w:ascii="Arial" w:hAnsi="Arial" w:cs="Arial"/>
          <w:sz w:val="20"/>
          <w:szCs w:val="20"/>
          <w:lang w:val="en-US"/>
        </w:rPr>
      </w:pPr>
      <w:r w:rsidRPr="003F7349">
        <w:rPr>
          <w:rFonts w:ascii="Arial" w:hAnsi="Arial" w:cs="Arial"/>
          <w:sz w:val="20"/>
          <w:szCs w:val="20"/>
          <w:lang w:val="en-US"/>
        </w:rPr>
        <w:t xml:space="preserve">Data are presented in mean ± SD. T0 = control; T1 = group of fish fed with </w:t>
      </w:r>
      <w:r w:rsidR="00590707" w:rsidRPr="003F7349">
        <w:rPr>
          <w:rFonts w:ascii="Arial" w:hAnsi="Arial" w:cs="Arial"/>
          <w:sz w:val="20"/>
          <w:szCs w:val="20"/>
          <w:lang w:val="en-US"/>
        </w:rPr>
        <w:t>0.020</w:t>
      </w:r>
      <w:r w:rsidRPr="003F7349">
        <w:rPr>
          <w:rFonts w:ascii="Arial" w:hAnsi="Arial" w:cs="Arial"/>
          <w:sz w:val="20"/>
          <w:szCs w:val="20"/>
          <w:lang w:val="en-US"/>
        </w:rPr>
        <w:t xml:space="preserve">% </w:t>
      </w:r>
      <w:r w:rsidRPr="003F7349">
        <w:rPr>
          <w:rFonts w:ascii="Arial" w:hAnsi="Arial" w:cs="Arial"/>
          <w:i/>
          <w:sz w:val="20"/>
          <w:szCs w:val="20"/>
          <w:lang w:val="en-US"/>
        </w:rPr>
        <w:t xml:space="preserve">D. </w:t>
      </w:r>
      <w:proofErr w:type="spellStart"/>
      <w:r w:rsidRPr="003F7349">
        <w:rPr>
          <w:rFonts w:ascii="Arial" w:hAnsi="Arial" w:cs="Arial"/>
          <w:i/>
          <w:sz w:val="20"/>
          <w:szCs w:val="20"/>
          <w:lang w:val="en-US"/>
        </w:rPr>
        <w:t>microcarpum</w:t>
      </w:r>
      <w:proofErr w:type="spellEnd"/>
      <w:r w:rsidRPr="003F7349">
        <w:rPr>
          <w:rFonts w:ascii="Arial" w:hAnsi="Arial" w:cs="Arial"/>
          <w:sz w:val="20"/>
          <w:szCs w:val="20"/>
          <w:lang w:val="en-US"/>
        </w:rPr>
        <w:t xml:space="preserve">; T2 = group of fish fed with </w:t>
      </w:r>
      <w:r w:rsidR="00590707" w:rsidRPr="003F7349">
        <w:rPr>
          <w:rFonts w:ascii="Arial" w:hAnsi="Arial" w:cs="Arial"/>
          <w:sz w:val="20"/>
          <w:szCs w:val="20"/>
          <w:lang w:val="en-US"/>
        </w:rPr>
        <w:t>0.030</w:t>
      </w:r>
      <w:r w:rsidRPr="003F7349">
        <w:rPr>
          <w:rFonts w:ascii="Arial" w:hAnsi="Arial" w:cs="Arial"/>
          <w:sz w:val="20"/>
          <w:szCs w:val="20"/>
          <w:lang w:val="en-US"/>
        </w:rPr>
        <w:t xml:space="preserve">% </w:t>
      </w:r>
      <w:r w:rsidRPr="003F7349">
        <w:rPr>
          <w:rFonts w:ascii="Arial" w:hAnsi="Arial" w:cs="Arial"/>
          <w:i/>
          <w:sz w:val="20"/>
          <w:szCs w:val="20"/>
          <w:lang w:val="en-US"/>
        </w:rPr>
        <w:t xml:space="preserve">D. </w:t>
      </w:r>
      <w:proofErr w:type="spellStart"/>
      <w:r w:rsidRPr="003F7349">
        <w:rPr>
          <w:rFonts w:ascii="Arial" w:hAnsi="Arial" w:cs="Arial"/>
          <w:i/>
          <w:sz w:val="20"/>
          <w:szCs w:val="20"/>
          <w:lang w:val="en-US"/>
        </w:rPr>
        <w:t>microcarpum</w:t>
      </w:r>
      <w:proofErr w:type="spellEnd"/>
      <w:r w:rsidRPr="003F7349">
        <w:rPr>
          <w:rFonts w:ascii="Arial" w:hAnsi="Arial" w:cs="Arial"/>
          <w:sz w:val="20"/>
          <w:szCs w:val="20"/>
          <w:lang w:val="en-US"/>
        </w:rPr>
        <w:t xml:space="preserve">; T3 = group of fish fed with </w:t>
      </w:r>
      <w:r w:rsidR="00590707" w:rsidRPr="003F7349">
        <w:rPr>
          <w:rFonts w:ascii="Arial" w:hAnsi="Arial" w:cs="Arial"/>
          <w:sz w:val="20"/>
          <w:szCs w:val="20"/>
          <w:lang w:val="en-US"/>
        </w:rPr>
        <w:t>0.040</w:t>
      </w:r>
      <w:r w:rsidRPr="003F7349">
        <w:rPr>
          <w:rFonts w:ascii="Arial" w:hAnsi="Arial" w:cs="Arial"/>
          <w:sz w:val="20"/>
          <w:szCs w:val="20"/>
          <w:lang w:val="en-US"/>
        </w:rPr>
        <w:t xml:space="preserve">% </w:t>
      </w:r>
      <w:r w:rsidRPr="003F7349">
        <w:rPr>
          <w:rFonts w:ascii="Arial" w:hAnsi="Arial" w:cs="Arial"/>
          <w:i/>
          <w:sz w:val="20"/>
          <w:szCs w:val="20"/>
          <w:lang w:val="en-US"/>
        </w:rPr>
        <w:t xml:space="preserve">D. </w:t>
      </w:r>
      <w:proofErr w:type="spellStart"/>
      <w:r w:rsidRPr="003F7349">
        <w:rPr>
          <w:rFonts w:ascii="Arial" w:hAnsi="Arial" w:cs="Arial"/>
          <w:i/>
          <w:sz w:val="20"/>
          <w:szCs w:val="20"/>
          <w:lang w:val="en-US"/>
        </w:rPr>
        <w:t>microcarpum</w:t>
      </w:r>
      <w:proofErr w:type="spellEnd"/>
      <w:r w:rsidRPr="003F7349">
        <w:rPr>
          <w:rFonts w:ascii="Arial" w:hAnsi="Arial" w:cs="Arial"/>
          <w:sz w:val="20"/>
          <w:szCs w:val="20"/>
          <w:lang w:val="en-US"/>
        </w:rPr>
        <w:t>.</w:t>
      </w:r>
    </w:p>
    <w:p w14:paraId="23077C3A" w14:textId="77777777" w:rsidR="00592FCA" w:rsidRPr="003F7349" w:rsidRDefault="00211206" w:rsidP="00211206">
      <w:pPr>
        <w:spacing w:after="120" w:line="240" w:lineRule="auto"/>
        <w:jc w:val="both"/>
        <w:rPr>
          <w:rFonts w:ascii="Arial" w:hAnsi="Arial" w:cs="Arial"/>
          <w:b/>
          <w:sz w:val="20"/>
          <w:szCs w:val="20"/>
          <w:lang w:val="en-US"/>
        </w:rPr>
      </w:pPr>
      <w:r w:rsidRPr="003F7349">
        <w:rPr>
          <w:rFonts w:ascii="Arial" w:hAnsi="Arial" w:cs="Arial"/>
          <w:b/>
          <w:sz w:val="20"/>
          <w:szCs w:val="20"/>
          <w:lang w:val="en-US"/>
        </w:rPr>
        <w:t xml:space="preserve">3.1.2. </w:t>
      </w:r>
      <w:r w:rsidR="00592FCA" w:rsidRPr="003F7349">
        <w:rPr>
          <w:rFonts w:ascii="Arial" w:hAnsi="Arial" w:cs="Arial"/>
          <w:b/>
          <w:sz w:val="20"/>
          <w:szCs w:val="20"/>
          <w:lang w:val="en-US"/>
        </w:rPr>
        <w:t>Growth Performance</w:t>
      </w:r>
    </w:p>
    <w:p w14:paraId="713594CF" w14:textId="77777777" w:rsidR="0079779F" w:rsidRPr="003F7349" w:rsidRDefault="0079779F" w:rsidP="0079779F">
      <w:pPr>
        <w:spacing w:after="120" w:line="240" w:lineRule="auto"/>
        <w:jc w:val="both"/>
        <w:rPr>
          <w:rFonts w:ascii="Arial" w:hAnsi="Arial" w:cs="Arial"/>
          <w:sz w:val="20"/>
          <w:szCs w:val="20"/>
          <w:lang w:val="en-US"/>
        </w:rPr>
      </w:pPr>
      <w:r w:rsidRPr="003F7349">
        <w:rPr>
          <w:rFonts w:ascii="Arial" w:hAnsi="Arial" w:cs="Arial"/>
          <w:sz w:val="20"/>
          <w:szCs w:val="20"/>
          <w:lang w:val="en-US"/>
        </w:rPr>
        <w:t xml:space="preserve">Results obtained from the growth and nutrient utilisation of Nile tilapia fingerlings fed </w:t>
      </w:r>
      <w:r w:rsidRPr="003F7349">
        <w:rPr>
          <w:rFonts w:ascii="Arial" w:hAnsi="Arial" w:cs="Arial"/>
          <w:i/>
          <w:iCs/>
          <w:sz w:val="20"/>
          <w:szCs w:val="20"/>
          <w:lang w:val="en-US"/>
        </w:rPr>
        <w:t>D. microcarpum</w:t>
      </w:r>
      <w:r w:rsidRPr="003F7349">
        <w:rPr>
          <w:rFonts w:ascii="Arial" w:hAnsi="Arial" w:cs="Arial"/>
          <w:sz w:val="20"/>
          <w:szCs w:val="20"/>
          <w:lang w:val="en-US"/>
        </w:rPr>
        <w:t xml:space="preserve"> bark extract at varying inclusion levels are shown in Table 3. The results showed no significant differences in the final weight, weight gain, daily weight gain, specific growth rate, and condition factor of Nile tilapia fingerlings fed the experimental diets. The weight gain ranged from 24.69 ± 9.65 g to 28.96 ± 14.45 g, specific growth rate ranged from 1.59 ± 0.35%/day to 1.75 ± 0.42%/day, survival rate ranged from 91.11 ± 3.77% to 95.56 ± 7.65%, and feed conversion ratio ranged from 1.67 ± 0.15 to 1.87 ± 0.21. The condition factor (K) ranged from 2.22 ± 0.23 to 2.29 ± 0.17 (Figure 1).</w:t>
      </w:r>
    </w:p>
    <w:p w14:paraId="2F9ABDF0" w14:textId="77777777" w:rsidR="006A72CD" w:rsidRPr="003F7349" w:rsidRDefault="006A72CD" w:rsidP="005C0517">
      <w:pPr>
        <w:spacing w:after="120" w:line="240" w:lineRule="auto"/>
        <w:jc w:val="both"/>
        <w:rPr>
          <w:rFonts w:ascii="Arial" w:hAnsi="Arial" w:cs="Arial"/>
          <w:sz w:val="20"/>
          <w:szCs w:val="20"/>
          <w:lang w:val="en-US"/>
        </w:rPr>
      </w:pPr>
      <w:r w:rsidRPr="003F7349">
        <w:rPr>
          <w:rFonts w:ascii="Arial" w:hAnsi="Arial" w:cs="Arial"/>
          <w:b/>
          <w:sz w:val="20"/>
          <w:szCs w:val="20"/>
          <w:lang w:val="en-US"/>
        </w:rPr>
        <w:t>Table 3. Growth parameters of Nile tilapia fed different experimental diets for 90 days</w:t>
      </w:r>
    </w:p>
    <w:tbl>
      <w:tblPr>
        <w:tblStyle w:val="Table"/>
        <w:tblW w:w="10451" w:type="dxa"/>
        <w:jc w:val="center"/>
        <w:tblCellMar>
          <w:left w:w="60" w:type="dxa"/>
          <w:right w:w="60" w:type="dxa"/>
        </w:tblCellMar>
        <w:tblLook w:val="0000" w:firstRow="0" w:lastRow="0" w:firstColumn="0" w:lastColumn="0" w:noHBand="0" w:noVBand="0"/>
      </w:tblPr>
      <w:tblGrid>
        <w:gridCol w:w="3266"/>
        <w:gridCol w:w="1400"/>
        <w:gridCol w:w="1555"/>
        <w:gridCol w:w="1556"/>
        <w:gridCol w:w="1493"/>
        <w:gridCol w:w="152"/>
        <w:gridCol w:w="1029"/>
      </w:tblGrid>
      <w:tr w:rsidR="009D6CCD" w:rsidRPr="003F7349" w14:paraId="7CC118B8" w14:textId="77777777" w:rsidTr="00F07172">
        <w:trPr>
          <w:cantSplit/>
          <w:trHeight w:val="20"/>
          <w:tblHeader/>
          <w:jc w:val="center"/>
        </w:trPr>
        <w:tc>
          <w:tcPr>
            <w:tcW w:w="3266" w:type="dxa"/>
            <w:vMerge w:val="restart"/>
            <w:tcBorders>
              <w:top w:val="single" w:sz="4" w:space="0" w:color="auto"/>
              <w:bottom w:val="single" w:sz="4" w:space="0" w:color="auto"/>
            </w:tcBorders>
          </w:tcPr>
          <w:p w14:paraId="5E757A06" w14:textId="77777777" w:rsidR="009D6CCD" w:rsidRPr="003F7349" w:rsidRDefault="009D6CCD" w:rsidP="005C0517">
            <w:pPr>
              <w:keepNext/>
              <w:spacing w:after="0"/>
              <w:jc w:val="both"/>
              <w:rPr>
                <w:rFonts w:ascii="Arial" w:hAnsi="Arial" w:cs="Arial"/>
                <w:b/>
                <w:sz w:val="20"/>
                <w:szCs w:val="20"/>
              </w:rPr>
            </w:pPr>
            <w:r w:rsidRPr="003F7349">
              <w:rPr>
                <w:rFonts w:ascii="Arial" w:hAnsi="Arial" w:cs="Arial"/>
                <w:b/>
                <w:sz w:val="20"/>
                <w:szCs w:val="20"/>
              </w:rPr>
              <w:t>Parameters</w:t>
            </w:r>
          </w:p>
        </w:tc>
        <w:tc>
          <w:tcPr>
            <w:tcW w:w="1400" w:type="dxa"/>
            <w:tcBorders>
              <w:top w:val="single" w:sz="4" w:space="0" w:color="auto"/>
              <w:bottom w:val="single" w:sz="4" w:space="0" w:color="auto"/>
            </w:tcBorders>
          </w:tcPr>
          <w:p w14:paraId="5BD73037" w14:textId="77777777" w:rsidR="009D6CCD" w:rsidRPr="003F7349" w:rsidRDefault="009D6CCD" w:rsidP="005C0517">
            <w:pPr>
              <w:keepNext/>
              <w:spacing w:after="0"/>
              <w:jc w:val="both"/>
              <w:rPr>
                <w:rFonts w:ascii="Arial" w:hAnsi="Arial" w:cs="Arial"/>
                <w:b/>
                <w:sz w:val="20"/>
                <w:szCs w:val="20"/>
              </w:rPr>
            </w:pPr>
          </w:p>
        </w:tc>
        <w:tc>
          <w:tcPr>
            <w:tcW w:w="1555" w:type="dxa"/>
            <w:tcBorders>
              <w:top w:val="single" w:sz="4" w:space="0" w:color="auto"/>
              <w:bottom w:val="single" w:sz="4" w:space="0" w:color="auto"/>
            </w:tcBorders>
          </w:tcPr>
          <w:p w14:paraId="6961875E" w14:textId="77777777" w:rsidR="009D6CCD" w:rsidRPr="003F7349" w:rsidRDefault="009D6CCD" w:rsidP="005C0517">
            <w:pPr>
              <w:keepNext/>
              <w:spacing w:after="0"/>
              <w:jc w:val="both"/>
              <w:rPr>
                <w:rFonts w:ascii="Arial" w:hAnsi="Arial" w:cs="Arial"/>
                <w:b/>
                <w:sz w:val="20"/>
                <w:szCs w:val="20"/>
              </w:rPr>
            </w:pPr>
            <w:r w:rsidRPr="003F7349">
              <w:rPr>
                <w:rFonts w:ascii="Arial" w:hAnsi="Arial" w:cs="Arial"/>
                <w:b/>
                <w:sz w:val="20"/>
                <w:szCs w:val="20"/>
              </w:rPr>
              <w:t>Diets</w:t>
            </w:r>
          </w:p>
        </w:tc>
        <w:tc>
          <w:tcPr>
            <w:tcW w:w="1556" w:type="dxa"/>
            <w:tcBorders>
              <w:top w:val="single" w:sz="4" w:space="0" w:color="auto"/>
              <w:bottom w:val="single" w:sz="4" w:space="0" w:color="auto"/>
            </w:tcBorders>
          </w:tcPr>
          <w:p w14:paraId="5D9315BC" w14:textId="77777777" w:rsidR="009D6CCD" w:rsidRPr="003F7349" w:rsidRDefault="009D6CCD" w:rsidP="005C0517">
            <w:pPr>
              <w:keepNext/>
              <w:spacing w:after="0"/>
              <w:jc w:val="both"/>
              <w:rPr>
                <w:rFonts w:ascii="Arial" w:hAnsi="Arial" w:cs="Arial"/>
                <w:b/>
                <w:sz w:val="20"/>
                <w:szCs w:val="20"/>
              </w:rPr>
            </w:pPr>
          </w:p>
        </w:tc>
        <w:tc>
          <w:tcPr>
            <w:tcW w:w="1493" w:type="dxa"/>
            <w:tcBorders>
              <w:top w:val="single" w:sz="4" w:space="0" w:color="auto"/>
              <w:bottom w:val="single" w:sz="4" w:space="0" w:color="auto"/>
            </w:tcBorders>
          </w:tcPr>
          <w:p w14:paraId="6EB5BF69" w14:textId="77777777" w:rsidR="009D6CCD" w:rsidRPr="003F7349" w:rsidRDefault="009D6CCD" w:rsidP="005C0517">
            <w:pPr>
              <w:keepNext/>
              <w:spacing w:after="0"/>
              <w:jc w:val="both"/>
              <w:rPr>
                <w:rFonts w:ascii="Arial" w:hAnsi="Arial" w:cs="Arial"/>
                <w:b/>
                <w:sz w:val="20"/>
                <w:szCs w:val="20"/>
              </w:rPr>
            </w:pPr>
          </w:p>
        </w:tc>
        <w:tc>
          <w:tcPr>
            <w:tcW w:w="152" w:type="dxa"/>
            <w:tcBorders>
              <w:top w:val="single" w:sz="4" w:space="0" w:color="auto"/>
              <w:bottom w:val="single" w:sz="4" w:space="0" w:color="auto"/>
            </w:tcBorders>
          </w:tcPr>
          <w:p w14:paraId="4D7D117C" w14:textId="77777777" w:rsidR="009D6CCD" w:rsidRPr="003F7349" w:rsidRDefault="009D6CCD" w:rsidP="005C0517">
            <w:pPr>
              <w:keepNext/>
              <w:spacing w:after="0"/>
              <w:jc w:val="both"/>
              <w:rPr>
                <w:rFonts w:ascii="Arial" w:hAnsi="Arial" w:cs="Arial"/>
                <w:b/>
                <w:sz w:val="20"/>
                <w:szCs w:val="20"/>
              </w:rPr>
            </w:pPr>
          </w:p>
        </w:tc>
        <w:tc>
          <w:tcPr>
            <w:tcW w:w="0" w:type="auto"/>
            <w:tcBorders>
              <w:top w:val="single" w:sz="4" w:space="0" w:color="auto"/>
              <w:bottom w:val="single" w:sz="4" w:space="0" w:color="auto"/>
            </w:tcBorders>
          </w:tcPr>
          <w:p w14:paraId="5214A314" w14:textId="77777777" w:rsidR="009D6CCD" w:rsidRPr="003F7349" w:rsidRDefault="009D6CCD" w:rsidP="005C0517">
            <w:pPr>
              <w:keepNext/>
              <w:spacing w:after="0"/>
              <w:jc w:val="both"/>
              <w:rPr>
                <w:rFonts w:ascii="Arial" w:hAnsi="Arial" w:cs="Arial"/>
                <w:b/>
                <w:sz w:val="20"/>
                <w:szCs w:val="20"/>
              </w:rPr>
            </w:pPr>
          </w:p>
        </w:tc>
      </w:tr>
      <w:tr w:rsidR="009D6CCD" w:rsidRPr="003F7349" w14:paraId="1442882F" w14:textId="77777777" w:rsidTr="00F07172">
        <w:trPr>
          <w:cantSplit/>
          <w:trHeight w:val="20"/>
          <w:tblHeader/>
          <w:jc w:val="center"/>
        </w:trPr>
        <w:tc>
          <w:tcPr>
            <w:tcW w:w="3266" w:type="dxa"/>
            <w:vMerge/>
            <w:tcBorders>
              <w:top w:val="single" w:sz="4" w:space="0" w:color="auto"/>
              <w:bottom w:val="single" w:sz="4" w:space="0" w:color="auto"/>
            </w:tcBorders>
          </w:tcPr>
          <w:p w14:paraId="16DE3E9C" w14:textId="77777777" w:rsidR="009D6CCD" w:rsidRPr="003F7349" w:rsidRDefault="009D6CCD" w:rsidP="005C0517">
            <w:pPr>
              <w:keepNext/>
              <w:spacing w:after="60"/>
              <w:jc w:val="both"/>
              <w:rPr>
                <w:rFonts w:ascii="Arial" w:hAnsi="Arial" w:cs="Arial"/>
                <w:sz w:val="20"/>
                <w:szCs w:val="20"/>
              </w:rPr>
            </w:pPr>
          </w:p>
        </w:tc>
        <w:tc>
          <w:tcPr>
            <w:tcW w:w="1400" w:type="dxa"/>
            <w:tcBorders>
              <w:top w:val="single" w:sz="4" w:space="0" w:color="auto"/>
              <w:bottom w:val="single" w:sz="4" w:space="0" w:color="auto"/>
            </w:tcBorders>
          </w:tcPr>
          <w:p w14:paraId="6714B292" w14:textId="77777777" w:rsidR="009D6CCD" w:rsidRPr="003F7349" w:rsidRDefault="009D6CCD" w:rsidP="005C0517">
            <w:pPr>
              <w:keepNext/>
              <w:spacing w:after="0"/>
              <w:jc w:val="both"/>
              <w:rPr>
                <w:rFonts w:ascii="Arial" w:hAnsi="Arial" w:cs="Arial"/>
                <w:b/>
                <w:sz w:val="20"/>
                <w:szCs w:val="20"/>
              </w:rPr>
            </w:pPr>
            <w:r w:rsidRPr="003F7349">
              <w:rPr>
                <w:rFonts w:ascii="Arial" w:hAnsi="Arial" w:cs="Arial"/>
                <w:b/>
                <w:sz w:val="20"/>
                <w:szCs w:val="20"/>
              </w:rPr>
              <w:t>T0</w:t>
            </w:r>
            <w:r w:rsidRPr="003F7349">
              <w:rPr>
                <w:rFonts w:ascii="Arial" w:hAnsi="Arial" w:cs="Arial"/>
                <w:sz w:val="20"/>
                <w:szCs w:val="20"/>
              </w:rPr>
              <w:t xml:space="preserve"> </w:t>
            </w:r>
          </w:p>
        </w:tc>
        <w:tc>
          <w:tcPr>
            <w:tcW w:w="1555" w:type="dxa"/>
            <w:tcBorders>
              <w:top w:val="single" w:sz="4" w:space="0" w:color="auto"/>
              <w:bottom w:val="single" w:sz="4" w:space="0" w:color="auto"/>
            </w:tcBorders>
          </w:tcPr>
          <w:p w14:paraId="20138B52"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b/>
                <w:sz w:val="20"/>
                <w:szCs w:val="20"/>
              </w:rPr>
              <w:t>T1</w:t>
            </w:r>
            <w:r w:rsidRPr="003F7349">
              <w:rPr>
                <w:rFonts w:ascii="Arial" w:hAnsi="Arial" w:cs="Arial"/>
                <w:sz w:val="20"/>
                <w:szCs w:val="20"/>
              </w:rPr>
              <w:t xml:space="preserve"> </w:t>
            </w:r>
          </w:p>
        </w:tc>
        <w:tc>
          <w:tcPr>
            <w:tcW w:w="1556" w:type="dxa"/>
            <w:tcBorders>
              <w:top w:val="single" w:sz="4" w:space="0" w:color="auto"/>
              <w:bottom w:val="single" w:sz="4" w:space="0" w:color="auto"/>
            </w:tcBorders>
          </w:tcPr>
          <w:p w14:paraId="28D47B11"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b/>
                <w:sz w:val="20"/>
                <w:szCs w:val="20"/>
              </w:rPr>
              <w:t>T2</w:t>
            </w:r>
            <w:r w:rsidRPr="003F7349">
              <w:rPr>
                <w:rFonts w:ascii="Arial" w:hAnsi="Arial" w:cs="Arial"/>
                <w:sz w:val="20"/>
                <w:szCs w:val="20"/>
              </w:rPr>
              <w:t xml:space="preserve"> </w:t>
            </w:r>
          </w:p>
        </w:tc>
        <w:tc>
          <w:tcPr>
            <w:tcW w:w="1493" w:type="dxa"/>
            <w:tcBorders>
              <w:top w:val="single" w:sz="4" w:space="0" w:color="auto"/>
              <w:bottom w:val="single" w:sz="4" w:space="0" w:color="auto"/>
            </w:tcBorders>
          </w:tcPr>
          <w:p w14:paraId="7A821071"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b/>
                <w:sz w:val="20"/>
                <w:szCs w:val="20"/>
              </w:rPr>
              <w:t>T3</w:t>
            </w:r>
            <w:r w:rsidRPr="003F7349">
              <w:rPr>
                <w:rFonts w:ascii="Arial" w:hAnsi="Arial" w:cs="Arial"/>
                <w:sz w:val="20"/>
                <w:szCs w:val="20"/>
              </w:rPr>
              <w:t xml:space="preserve"> </w:t>
            </w:r>
          </w:p>
        </w:tc>
        <w:tc>
          <w:tcPr>
            <w:tcW w:w="152" w:type="dxa"/>
            <w:tcBorders>
              <w:top w:val="single" w:sz="4" w:space="0" w:color="auto"/>
              <w:bottom w:val="single" w:sz="4" w:space="0" w:color="auto"/>
            </w:tcBorders>
          </w:tcPr>
          <w:p w14:paraId="6ABDB403" w14:textId="77777777" w:rsidR="009D6CCD" w:rsidRPr="003F7349" w:rsidRDefault="009D6CCD" w:rsidP="005C0517">
            <w:pPr>
              <w:keepNext/>
              <w:spacing w:after="0"/>
              <w:jc w:val="both"/>
              <w:rPr>
                <w:rFonts w:ascii="Arial" w:hAnsi="Arial" w:cs="Arial"/>
                <w:sz w:val="20"/>
                <w:szCs w:val="20"/>
              </w:rPr>
            </w:pPr>
          </w:p>
        </w:tc>
        <w:tc>
          <w:tcPr>
            <w:tcW w:w="0" w:type="auto"/>
            <w:tcBorders>
              <w:top w:val="single" w:sz="4" w:space="0" w:color="auto"/>
              <w:bottom w:val="single" w:sz="4" w:space="0" w:color="auto"/>
            </w:tcBorders>
          </w:tcPr>
          <w:p w14:paraId="0AAFC5C3" w14:textId="77777777" w:rsidR="009D6CCD" w:rsidRPr="003F7349" w:rsidRDefault="00DF39E3" w:rsidP="005C0517">
            <w:pPr>
              <w:keepNext/>
              <w:spacing w:after="0"/>
              <w:jc w:val="both"/>
              <w:rPr>
                <w:rFonts w:ascii="Arial" w:hAnsi="Arial" w:cs="Arial"/>
                <w:sz w:val="20"/>
                <w:szCs w:val="20"/>
              </w:rPr>
            </w:pPr>
            <w:r w:rsidRPr="003F7349">
              <w:rPr>
                <w:rFonts w:ascii="Arial" w:hAnsi="Arial" w:cs="Arial"/>
                <w:b/>
                <w:i/>
                <w:iCs/>
                <w:sz w:val="20"/>
                <w:szCs w:val="20"/>
              </w:rPr>
              <w:t>P</w:t>
            </w:r>
            <w:r w:rsidR="009D6CCD" w:rsidRPr="003F7349">
              <w:rPr>
                <w:rFonts w:ascii="Arial" w:hAnsi="Arial" w:cs="Arial"/>
                <w:b/>
                <w:sz w:val="20"/>
                <w:szCs w:val="20"/>
              </w:rPr>
              <w:t>-value</w:t>
            </w:r>
          </w:p>
        </w:tc>
      </w:tr>
      <w:tr w:rsidR="009D6CCD" w:rsidRPr="003F7349" w14:paraId="725F150C" w14:textId="77777777" w:rsidTr="00F07172">
        <w:trPr>
          <w:cantSplit/>
          <w:trHeight w:val="20"/>
          <w:jc w:val="center"/>
        </w:trPr>
        <w:tc>
          <w:tcPr>
            <w:tcW w:w="3266" w:type="dxa"/>
            <w:tcBorders>
              <w:top w:val="single" w:sz="4" w:space="0" w:color="auto"/>
            </w:tcBorders>
          </w:tcPr>
          <w:p w14:paraId="576F2B58"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sz w:val="20"/>
                <w:szCs w:val="20"/>
              </w:rPr>
              <w:t>Initial body weight (g)</w:t>
            </w:r>
          </w:p>
        </w:tc>
        <w:tc>
          <w:tcPr>
            <w:tcW w:w="1400" w:type="dxa"/>
            <w:tcBorders>
              <w:top w:val="single" w:sz="4" w:space="0" w:color="auto"/>
            </w:tcBorders>
          </w:tcPr>
          <w:p w14:paraId="5EDEB89E" w14:textId="77777777" w:rsidR="009D6CCD" w:rsidRPr="003F7349" w:rsidRDefault="002209C7" w:rsidP="005C0517">
            <w:pPr>
              <w:keepNext/>
              <w:spacing w:after="0"/>
              <w:jc w:val="both"/>
              <w:rPr>
                <w:rFonts w:ascii="Arial" w:hAnsi="Arial" w:cs="Arial"/>
                <w:sz w:val="20"/>
                <w:szCs w:val="20"/>
              </w:rPr>
            </w:pPr>
            <w:r w:rsidRPr="003F7349">
              <w:rPr>
                <w:rFonts w:ascii="Arial" w:hAnsi="Arial" w:cs="Arial"/>
                <w:sz w:val="20"/>
                <w:szCs w:val="20"/>
              </w:rPr>
              <w:t>7.46 ± 1.19</w:t>
            </w:r>
          </w:p>
        </w:tc>
        <w:tc>
          <w:tcPr>
            <w:tcW w:w="1555" w:type="dxa"/>
            <w:tcBorders>
              <w:top w:val="single" w:sz="4" w:space="0" w:color="auto"/>
            </w:tcBorders>
          </w:tcPr>
          <w:p w14:paraId="215D6396" w14:textId="77777777" w:rsidR="009D6CCD" w:rsidRPr="003F7349" w:rsidRDefault="002209C7" w:rsidP="005C0517">
            <w:pPr>
              <w:keepNext/>
              <w:spacing w:after="0"/>
              <w:jc w:val="both"/>
              <w:rPr>
                <w:rFonts w:ascii="Arial" w:hAnsi="Arial" w:cs="Arial"/>
                <w:sz w:val="20"/>
                <w:szCs w:val="20"/>
              </w:rPr>
            </w:pPr>
            <w:r w:rsidRPr="003F7349">
              <w:rPr>
                <w:rFonts w:ascii="Arial" w:hAnsi="Arial" w:cs="Arial"/>
                <w:sz w:val="20"/>
                <w:szCs w:val="20"/>
              </w:rPr>
              <w:t>7.17 ± 1.55</w:t>
            </w:r>
          </w:p>
        </w:tc>
        <w:tc>
          <w:tcPr>
            <w:tcW w:w="1556" w:type="dxa"/>
            <w:tcBorders>
              <w:top w:val="single" w:sz="4" w:space="0" w:color="auto"/>
            </w:tcBorders>
          </w:tcPr>
          <w:p w14:paraId="16C23155" w14:textId="77777777" w:rsidR="009D6CCD" w:rsidRPr="003F7349" w:rsidRDefault="002209C7" w:rsidP="005C0517">
            <w:pPr>
              <w:keepNext/>
              <w:spacing w:after="0"/>
              <w:jc w:val="both"/>
              <w:rPr>
                <w:rFonts w:ascii="Arial" w:hAnsi="Arial" w:cs="Arial"/>
                <w:sz w:val="20"/>
                <w:szCs w:val="20"/>
              </w:rPr>
            </w:pPr>
            <w:r w:rsidRPr="003F7349">
              <w:rPr>
                <w:rFonts w:ascii="Arial" w:hAnsi="Arial" w:cs="Arial"/>
                <w:sz w:val="20"/>
                <w:szCs w:val="20"/>
              </w:rPr>
              <w:t>7.57 ± 1.55</w:t>
            </w:r>
          </w:p>
        </w:tc>
        <w:tc>
          <w:tcPr>
            <w:tcW w:w="1493" w:type="dxa"/>
            <w:tcBorders>
              <w:top w:val="single" w:sz="4" w:space="0" w:color="auto"/>
            </w:tcBorders>
          </w:tcPr>
          <w:p w14:paraId="32EB5A6E" w14:textId="77777777" w:rsidR="009D6CCD" w:rsidRPr="003F7349" w:rsidRDefault="002209C7" w:rsidP="005C0517">
            <w:pPr>
              <w:keepNext/>
              <w:spacing w:after="0"/>
              <w:jc w:val="both"/>
              <w:rPr>
                <w:rFonts w:ascii="Arial" w:hAnsi="Arial" w:cs="Arial"/>
                <w:sz w:val="20"/>
                <w:szCs w:val="20"/>
              </w:rPr>
            </w:pPr>
            <w:r w:rsidRPr="003F7349">
              <w:rPr>
                <w:rFonts w:ascii="Arial" w:hAnsi="Arial" w:cs="Arial"/>
                <w:sz w:val="20"/>
                <w:szCs w:val="20"/>
              </w:rPr>
              <w:t>7.84 ±</w:t>
            </w:r>
            <w:r w:rsidR="005A4667" w:rsidRPr="003F7349">
              <w:rPr>
                <w:rFonts w:ascii="Arial" w:hAnsi="Arial" w:cs="Arial"/>
                <w:sz w:val="20"/>
                <w:szCs w:val="20"/>
              </w:rPr>
              <w:t xml:space="preserve"> </w:t>
            </w:r>
            <w:r w:rsidRPr="003F7349">
              <w:rPr>
                <w:rFonts w:ascii="Arial" w:hAnsi="Arial" w:cs="Arial"/>
                <w:sz w:val="20"/>
                <w:szCs w:val="20"/>
              </w:rPr>
              <w:t>1.53</w:t>
            </w:r>
          </w:p>
        </w:tc>
        <w:tc>
          <w:tcPr>
            <w:tcW w:w="152" w:type="dxa"/>
            <w:tcBorders>
              <w:top w:val="single" w:sz="4" w:space="0" w:color="auto"/>
            </w:tcBorders>
          </w:tcPr>
          <w:p w14:paraId="09F8EB8E" w14:textId="77777777" w:rsidR="009D6CCD" w:rsidRPr="003F7349" w:rsidRDefault="009D6CCD" w:rsidP="005C0517">
            <w:pPr>
              <w:keepNext/>
              <w:spacing w:after="0"/>
              <w:jc w:val="both"/>
              <w:rPr>
                <w:rFonts w:ascii="Arial" w:hAnsi="Arial" w:cs="Arial"/>
                <w:sz w:val="20"/>
                <w:szCs w:val="20"/>
              </w:rPr>
            </w:pPr>
          </w:p>
        </w:tc>
        <w:tc>
          <w:tcPr>
            <w:tcW w:w="0" w:type="auto"/>
            <w:tcBorders>
              <w:top w:val="single" w:sz="4" w:space="0" w:color="auto"/>
            </w:tcBorders>
          </w:tcPr>
          <w:p w14:paraId="2D7165E7" w14:textId="77777777" w:rsidR="009D6CCD" w:rsidRPr="003F7349" w:rsidRDefault="002209C7" w:rsidP="005C0517">
            <w:pPr>
              <w:keepNext/>
              <w:spacing w:after="0"/>
              <w:jc w:val="both"/>
              <w:rPr>
                <w:rFonts w:ascii="Arial" w:hAnsi="Arial" w:cs="Arial"/>
                <w:sz w:val="20"/>
                <w:szCs w:val="20"/>
              </w:rPr>
            </w:pPr>
            <w:r w:rsidRPr="003F7349">
              <w:rPr>
                <w:rFonts w:ascii="Arial" w:hAnsi="Arial" w:cs="Arial"/>
                <w:sz w:val="20"/>
                <w:szCs w:val="20"/>
              </w:rPr>
              <w:t>.1</w:t>
            </w:r>
          </w:p>
        </w:tc>
      </w:tr>
      <w:tr w:rsidR="009D6CCD" w:rsidRPr="003F7349" w14:paraId="435DC1C2" w14:textId="77777777" w:rsidTr="00F07172">
        <w:trPr>
          <w:cantSplit/>
          <w:trHeight w:val="20"/>
          <w:jc w:val="center"/>
        </w:trPr>
        <w:tc>
          <w:tcPr>
            <w:tcW w:w="3266" w:type="dxa"/>
          </w:tcPr>
          <w:p w14:paraId="44B76E29"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sz w:val="20"/>
                <w:szCs w:val="20"/>
              </w:rPr>
              <w:t xml:space="preserve">Final body weight (g) </w:t>
            </w:r>
          </w:p>
        </w:tc>
        <w:tc>
          <w:tcPr>
            <w:tcW w:w="1400" w:type="dxa"/>
          </w:tcPr>
          <w:p w14:paraId="4C09FE06" w14:textId="77777777" w:rsidR="009D6CCD" w:rsidRPr="003F7349" w:rsidRDefault="00035E42" w:rsidP="005C0517">
            <w:pPr>
              <w:keepNext/>
              <w:spacing w:after="0"/>
              <w:jc w:val="both"/>
              <w:rPr>
                <w:rFonts w:ascii="Arial" w:hAnsi="Arial" w:cs="Arial"/>
                <w:sz w:val="20"/>
                <w:szCs w:val="20"/>
              </w:rPr>
            </w:pPr>
            <w:r w:rsidRPr="003F7349">
              <w:rPr>
                <w:rFonts w:ascii="Arial" w:hAnsi="Arial" w:cs="Arial"/>
                <w:sz w:val="20"/>
                <w:szCs w:val="20"/>
              </w:rPr>
              <w:t>32 ± 10</w:t>
            </w:r>
          </w:p>
        </w:tc>
        <w:tc>
          <w:tcPr>
            <w:tcW w:w="1555" w:type="dxa"/>
          </w:tcPr>
          <w:p w14:paraId="366311EF" w14:textId="77777777" w:rsidR="009D6CCD" w:rsidRPr="003F7349" w:rsidRDefault="00035E42" w:rsidP="005C0517">
            <w:pPr>
              <w:keepNext/>
              <w:spacing w:after="0"/>
              <w:jc w:val="both"/>
              <w:rPr>
                <w:rFonts w:ascii="Arial" w:hAnsi="Arial" w:cs="Arial"/>
                <w:sz w:val="20"/>
                <w:szCs w:val="20"/>
              </w:rPr>
            </w:pPr>
            <w:r w:rsidRPr="003F7349">
              <w:rPr>
                <w:rFonts w:ascii="Arial" w:hAnsi="Arial" w:cs="Arial"/>
                <w:sz w:val="20"/>
                <w:szCs w:val="20"/>
              </w:rPr>
              <w:t>36 ± 13</w:t>
            </w:r>
          </w:p>
        </w:tc>
        <w:tc>
          <w:tcPr>
            <w:tcW w:w="1556" w:type="dxa"/>
          </w:tcPr>
          <w:p w14:paraId="11B3CAEE" w14:textId="77777777" w:rsidR="009D6CCD" w:rsidRPr="003F7349" w:rsidRDefault="00035E42" w:rsidP="005C0517">
            <w:pPr>
              <w:keepNext/>
              <w:spacing w:after="0"/>
              <w:jc w:val="both"/>
              <w:rPr>
                <w:rFonts w:ascii="Arial" w:hAnsi="Arial" w:cs="Arial"/>
                <w:sz w:val="20"/>
                <w:szCs w:val="20"/>
              </w:rPr>
            </w:pPr>
            <w:r w:rsidRPr="003F7349">
              <w:rPr>
                <w:rFonts w:ascii="Arial" w:hAnsi="Arial" w:cs="Arial"/>
                <w:sz w:val="20"/>
                <w:szCs w:val="20"/>
              </w:rPr>
              <w:t>37 ± 14</w:t>
            </w:r>
          </w:p>
        </w:tc>
        <w:tc>
          <w:tcPr>
            <w:tcW w:w="1493" w:type="dxa"/>
          </w:tcPr>
          <w:p w14:paraId="397CBC6A" w14:textId="77777777" w:rsidR="009D6CCD" w:rsidRPr="003F7349" w:rsidRDefault="00A32D2C" w:rsidP="005C0517">
            <w:pPr>
              <w:keepNext/>
              <w:spacing w:after="0"/>
              <w:jc w:val="both"/>
              <w:rPr>
                <w:rFonts w:ascii="Arial" w:hAnsi="Arial" w:cs="Arial"/>
                <w:sz w:val="20"/>
                <w:szCs w:val="20"/>
              </w:rPr>
            </w:pPr>
            <w:r w:rsidRPr="003F7349">
              <w:rPr>
                <w:rFonts w:ascii="Arial" w:hAnsi="Arial" w:cs="Arial"/>
                <w:sz w:val="20"/>
                <w:szCs w:val="20"/>
              </w:rPr>
              <w:t>34 ± 12</w:t>
            </w:r>
          </w:p>
        </w:tc>
        <w:tc>
          <w:tcPr>
            <w:tcW w:w="152" w:type="dxa"/>
          </w:tcPr>
          <w:p w14:paraId="015511F1" w14:textId="77777777" w:rsidR="009D6CCD" w:rsidRPr="003F7349" w:rsidRDefault="009D6CCD" w:rsidP="005C0517">
            <w:pPr>
              <w:keepNext/>
              <w:spacing w:after="0"/>
              <w:jc w:val="both"/>
              <w:rPr>
                <w:rFonts w:ascii="Arial" w:hAnsi="Arial" w:cs="Arial"/>
                <w:sz w:val="20"/>
                <w:szCs w:val="20"/>
              </w:rPr>
            </w:pPr>
          </w:p>
        </w:tc>
        <w:tc>
          <w:tcPr>
            <w:tcW w:w="0" w:type="auto"/>
          </w:tcPr>
          <w:p w14:paraId="379DFF73" w14:textId="77777777" w:rsidR="009D6CCD" w:rsidRPr="003F7349" w:rsidRDefault="00035E42" w:rsidP="005C0517">
            <w:pPr>
              <w:keepNext/>
              <w:spacing w:after="0"/>
              <w:jc w:val="both"/>
              <w:rPr>
                <w:rFonts w:ascii="Arial" w:hAnsi="Arial" w:cs="Arial"/>
                <w:sz w:val="20"/>
                <w:szCs w:val="20"/>
              </w:rPr>
            </w:pPr>
            <w:r w:rsidRPr="003F7349">
              <w:rPr>
                <w:rFonts w:ascii="Arial" w:hAnsi="Arial" w:cs="Arial"/>
                <w:sz w:val="20"/>
                <w:szCs w:val="20"/>
              </w:rPr>
              <w:t xml:space="preserve">.3 </w:t>
            </w:r>
          </w:p>
        </w:tc>
      </w:tr>
      <w:tr w:rsidR="009D6CCD" w:rsidRPr="003F7349" w14:paraId="2FEBACC5" w14:textId="77777777" w:rsidTr="00F07172">
        <w:trPr>
          <w:cantSplit/>
          <w:trHeight w:val="20"/>
          <w:jc w:val="center"/>
        </w:trPr>
        <w:tc>
          <w:tcPr>
            <w:tcW w:w="3266" w:type="dxa"/>
          </w:tcPr>
          <w:p w14:paraId="7EDF12C1"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sz w:val="20"/>
                <w:szCs w:val="20"/>
              </w:rPr>
              <w:t>Weight gain (g)</w:t>
            </w:r>
          </w:p>
        </w:tc>
        <w:tc>
          <w:tcPr>
            <w:tcW w:w="1400" w:type="dxa"/>
          </w:tcPr>
          <w:p w14:paraId="4EDF69CD" w14:textId="77777777" w:rsidR="009D6CCD" w:rsidRPr="003F7349" w:rsidRDefault="00C2150A" w:rsidP="005C0517">
            <w:pPr>
              <w:keepNext/>
              <w:spacing w:after="0"/>
              <w:jc w:val="both"/>
              <w:rPr>
                <w:rFonts w:ascii="Arial" w:hAnsi="Arial" w:cs="Arial"/>
                <w:sz w:val="20"/>
                <w:szCs w:val="20"/>
              </w:rPr>
            </w:pPr>
            <w:r w:rsidRPr="003F7349">
              <w:rPr>
                <w:rFonts w:ascii="Arial" w:hAnsi="Arial" w:cs="Arial"/>
                <w:sz w:val="20"/>
                <w:szCs w:val="20"/>
              </w:rPr>
              <w:t>24.69</w:t>
            </w:r>
            <w:r w:rsidR="009D6CCD" w:rsidRPr="003F7349">
              <w:rPr>
                <w:rFonts w:ascii="Arial" w:hAnsi="Arial" w:cs="Arial"/>
                <w:sz w:val="20"/>
                <w:szCs w:val="20"/>
              </w:rPr>
              <w:t xml:space="preserve"> </w:t>
            </w:r>
            <w:r w:rsidR="006A368F" w:rsidRPr="003F7349">
              <w:rPr>
                <w:rFonts w:ascii="Arial" w:hAnsi="Arial" w:cs="Arial"/>
                <w:sz w:val="20"/>
                <w:szCs w:val="20"/>
              </w:rPr>
              <w:t>±</w:t>
            </w:r>
            <w:r w:rsidR="009D6CCD" w:rsidRPr="003F7349">
              <w:rPr>
                <w:rFonts w:ascii="Arial" w:hAnsi="Arial" w:cs="Arial"/>
                <w:sz w:val="20"/>
                <w:szCs w:val="20"/>
              </w:rPr>
              <w:t xml:space="preserve"> </w:t>
            </w:r>
            <w:r w:rsidR="00C53D4A" w:rsidRPr="003F7349">
              <w:rPr>
                <w:rFonts w:ascii="Arial" w:hAnsi="Arial" w:cs="Arial"/>
                <w:sz w:val="20"/>
                <w:szCs w:val="20"/>
              </w:rPr>
              <w:t>9.65</w:t>
            </w:r>
          </w:p>
        </w:tc>
        <w:tc>
          <w:tcPr>
            <w:tcW w:w="1555" w:type="dxa"/>
          </w:tcPr>
          <w:p w14:paraId="6BEAC8B1" w14:textId="77777777" w:rsidR="009D6CCD" w:rsidRPr="003F7349" w:rsidRDefault="00C2150A" w:rsidP="005C0517">
            <w:pPr>
              <w:keepNext/>
              <w:spacing w:after="0"/>
              <w:jc w:val="both"/>
              <w:rPr>
                <w:rFonts w:ascii="Arial" w:hAnsi="Arial" w:cs="Arial"/>
                <w:sz w:val="20"/>
                <w:szCs w:val="20"/>
              </w:rPr>
            </w:pPr>
            <w:r w:rsidRPr="003F7349">
              <w:rPr>
                <w:rFonts w:ascii="Arial" w:hAnsi="Arial" w:cs="Arial"/>
                <w:sz w:val="20"/>
                <w:szCs w:val="20"/>
              </w:rPr>
              <w:t>28.58</w:t>
            </w:r>
            <w:r w:rsidR="009D6CCD" w:rsidRPr="003F7349">
              <w:rPr>
                <w:rFonts w:ascii="Arial" w:hAnsi="Arial" w:cs="Arial"/>
                <w:sz w:val="20"/>
                <w:szCs w:val="20"/>
              </w:rPr>
              <w:t xml:space="preserve"> ± </w:t>
            </w:r>
            <w:r w:rsidR="00C53D4A" w:rsidRPr="003F7349">
              <w:rPr>
                <w:rFonts w:ascii="Arial" w:hAnsi="Arial" w:cs="Arial"/>
                <w:sz w:val="20"/>
                <w:szCs w:val="20"/>
              </w:rPr>
              <w:t>12.99</w:t>
            </w:r>
          </w:p>
        </w:tc>
        <w:tc>
          <w:tcPr>
            <w:tcW w:w="1556" w:type="dxa"/>
          </w:tcPr>
          <w:p w14:paraId="29222BBC" w14:textId="77777777" w:rsidR="009D6CCD" w:rsidRPr="003F7349" w:rsidRDefault="004E6BDB" w:rsidP="005C0517">
            <w:pPr>
              <w:keepNext/>
              <w:spacing w:after="0"/>
              <w:jc w:val="both"/>
              <w:rPr>
                <w:rFonts w:ascii="Arial" w:hAnsi="Arial" w:cs="Arial"/>
                <w:sz w:val="20"/>
                <w:szCs w:val="20"/>
              </w:rPr>
            </w:pPr>
            <w:r w:rsidRPr="003F7349">
              <w:rPr>
                <w:rFonts w:ascii="Arial" w:hAnsi="Arial" w:cs="Arial"/>
                <w:sz w:val="20"/>
                <w:szCs w:val="20"/>
              </w:rPr>
              <w:t>28.96</w:t>
            </w:r>
            <w:r w:rsidR="009D6CCD" w:rsidRPr="003F7349">
              <w:rPr>
                <w:rFonts w:ascii="Arial" w:hAnsi="Arial" w:cs="Arial"/>
                <w:sz w:val="20"/>
                <w:szCs w:val="20"/>
              </w:rPr>
              <w:t xml:space="preserve"> ± </w:t>
            </w:r>
            <w:r w:rsidR="00CF0B37" w:rsidRPr="003F7349">
              <w:rPr>
                <w:rFonts w:ascii="Arial" w:hAnsi="Arial" w:cs="Arial"/>
                <w:sz w:val="20"/>
                <w:szCs w:val="20"/>
              </w:rPr>
              <w:t>14.4</w:t>
            </w:r>
            <w:r w:rsidR="008022CC" w:rsidRPr="003F7349">
              <w:rPr>
                <w:rFonts w:ascii="Arial" w:hAnsi="Arial" w:cs="Arial"/>
                <w:sz w:val="20"/>
                <w:szCs w:val="20"/>
              </w:rPr>
              <w:t>5</w:t>
            </w:r>
          </w:p>
        </w:tc>
        <w:tc>
          <w:tcPr>
            <w:tcW w:w="1493" w:type="dxa"/>
          </w:tcPr>
          <w:p w14:paraId="1EF48179" w14:textId="77777777" w:rsidR="009D6CCD" w:rsidRPr="003F7349" w:rsidRDefault="004E6BDB" w:rsidP="005C0517">
            <w:pPr>
              <w:keepNext/>
              <w:spacing w:after="0"/>
              <w:jc w:val="both"/>
              <w:rPr>
                <w:rFonts w:ascii="Arial" w:hAnsi="Arial" w:cs="Arial"/>
                <w:sz w:val="20"/>
                <w:szCs w:val="20"/>
              </w:rPr>
            </w:pPr>
            <w:r w:rsidRPr="003F7349">
              <w:rPr>
                <w:rFonts w:ascii="Arial" w:hAnsi="Arial" w:cs="Arial"/>
                <w:sz w:val="20"/>
                <w:szCs w:val="20"/>
              </w:rPr>
              <w:t>25.70</w:t>
            </w:r>
            <w:r w:rsidR="009D6CCD" w:rsidRPr="003F7349">
              <w:rPr>
                <w:rFonts w:ascii="Arial" w:hAnsi="Arial" w:cs="Arial"/>
                <w:sz w:val="20"/>
                <w:szCs w:val="20"/>
              </w:rPr>
              <w:t xml:space="preserve"> ± </w:t>
            </w:r>
            <w:r w:rsidR="008022CC" w:rsidRPr="003F7349">
              <w:rPr>
                <w:rFonts w:ascii="Arial" w:hAnsi="Arial" w:cs="Arial"/>
                <w:sz w:val="20"/>
                <w:szCs w:val="20"/>
              </w:rPr>
              <w:t>11.24</w:t>
            </w:r>
          </w:p>
        </w:tc>
        <w:tc>
          <w:tcPr>
            <w:tcW w:w="152" w:type="dxa"/>
          </w:tcPr>
          <w:p w14:paraId="2517BEF3" w14:textId="77777777" w:rsidR="009D6CCD" w:rsidRPr="003F7349" w:rsidRDefault="009D6CCD" w:rsidP="005C0517">
            <w:pPr>
              <w:keepNext/>
              <w:spacing w:after="0"/>
              <w:jc w:val="both"/>
              <w:rPr>
                <w:rFonts w:ascii="Arial" w:hAnsi="Arial" w:cs="Arial"/>
                <w:sz w:val="20"/>
                <w:szCs w:val="20"/>
              </w:rPr>
            </w:pPr>
          </w:p>
        </w:tc>
        <w:tc>
          <w:tcPr>
            <w:tcW w:w="0" w:type="auto"/>
          </w:tcPr>
          <w:p w14:paraId="1B052867"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sz w:val="20"/>
                <w:szCs w:val="20"/>
              </w:rPr>
              <w:t>.3</w:t>
            </w:r>
          </w:p>
        </w:tc>
      </w:tr>
      <w:tr w:rsidR="009D6CCD" w:rsidRPr="003F7349" w14:paraId="6E34D717" w14:textId="77777777" w:rsidTr="00F07172">
        <w:trPr>
          <w:cantSplit/>
          <w:trHeight w:val="20"/>
          <w:jc w:val="center"/>
        </w:trPr>
        <w:tc>
          <w:tcPr>
            <w:tcW w:w="3266" w:type="dxa"/>
          </w:tcPr>
          <w:p w14:paraId="7F4FC1A0"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sz w:val="20"/>
                <w:szCs w:val="20"/>
              </w:rPr>
              <w:t>Daily weight gain (g/day)</w:t>
            </w:r>
          </w:p>
        </w:tc>
        <w:tc>
          <w:tcPr>
            <w:tcW w:w="1400" w:type="dxa"/>
          </w:tcPr>
          <w:p w14:paraId="31C422F1"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sz w:val="20"/>
                <w:szCs w:val="20"/>
              </w:rPr>
              <w:t>0.27 ± 0.11</w:t>
            </w:r>
          </w:p>
        </w:tc>
        <w:tc>
          <w:tcPr>
            <w:tcW w:w="1555" w:type="dxa"/>
          </w:tcPr>
          <w:p w14:paraId="4C7D4F4B"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sz w:val="20"/>
                <w:szCs w:val="20"/>
              </w:rPr>
              <w:t>0.32 ± 0.15</w:t>
            </w:r>
          </w:p>
        </w:tc>
        <w:tc>
          <w:tcPr>
            <w:tcW w:w="1556" w:type="dxa"/>
          </w:tcPr>
          <w:p w14:paraId="7E57BE9E"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sz w:val="20"/>
                <w:szCs w:val="20"/>
              </w:rPr>
              <w:t>0.32 ± 0.16</w:t>
            </w:r>
          </w:p>
        </w:tc>
        <w:tc>
          <w:tcPr>
            <w:tcW w:w="1493" w:type="dxa"/>
          </w:tcPr>
          <w:p w14:paraId="0738B374"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sz w:val="20"/>
                <w:szCs w:val="20"/>
              </w:rPr>
              <w:t>0.29 ± 0.13</w:t>
            </w:r>
          </w:p>
        </w:tc>
        <w:tc>
          <w:tcPr>
            <w:tcW w:w="152" w:type="dxa"/>
          </w:tcPr>
          <w:p w14:paraId="25492CF4" w14:textId="77777777" w:rsidR="009D6CCD" w:rsidRPr="003F7349" w:rsidRDefault="009D6CCD" w:rsidP="005C0517">
            <w:pPr>
              <w:keepNext/>
              <w:spacing w:after="0"/>
              <w:jc w:val="both"/>
              <w:rPr>
                <w:rFonts w:ascii="Arial" w:hAnsi="Arial" w:cs="Arial"/>
                <w:sz w:val="20"/>
                <w:szCs w:val="20"/>
              </w:rPr>
            </w:pPr>
          </w:p>
        </w:tc>
        <w:tc>
          <w:tcPr>
            <w:tcW w:w="0" w:type="auto"/>
          </w:tcPr>
          <w:p w14:paraId="034E4EE2"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sz w:val="20"/>
                <w:szCs w:val="20"/>
              </w:rPr>
              <w:t>.3</w:t>
            </w:r>
          </w:p>
        </w:tc>
      </w:tr>
      <w:tr w:rsidR="009D6CCD" w:rsidRPr="003F7349" w14:paraId="2AF7A95A" w14:textId="77777777" w:rsidTr="00F07172">
        <w:trPr>
          <w:cantSplit/>
          <w:trHeight w:val="20"/>
          <w:jc w:val="center"/>
        </w:trPr>
        <w:tc>
          <w:tcPr>
            <w:tcW w:w="3266" w:type="dxa"/>
          </w:tcPr>
          <w:p w14:paraId="7C2C86E3"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sz w:val="20"/>
                <w:szCs w:val="20"/>
              </w:rPr>
              <w:t>Specific growth rate (%/day)</w:t>
            </w:r>
          </w:p>
        </w:tc>
        <w:tc>
          <w:tcPr>
            <w:tcW w:w="1400" w:type="dxa"/>
          </w:tcPr>
          <w:p w14:paraId="533FBB35"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sz w:val="20"/>
                <w:szCs w:val="20"/>
              </w:rPr>
              <w:t>1.60 ± 0.35</w:t>
            </w:r>
          </w:p>
        </w:tc>
        <w:tc>
          <w:tcPr>
            <w:tcW w:w="1555" w:type="dxa"/>
          </w:tcPr>
          <w:p w14:paraId="4EFDCD20"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sz w:val="20"/>
                <w:szCs w:val="20"/>
              </w:rPr>
              <w:t>1.75 ± 0.42</w:t>
            </w:r>
          </w:p>
        </w:tc>
        <w:tc>
          <w:tcPr>
            <w:tcW w:w="1556" w:type="dxa"/>
          </w:tcPr>
          <w:p w14:paraId="79B31B8A"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sz w:val="20"/>
                <w:szCs w:val="20"/>
              </w:rPr>
              <w:t>1.72 ± 0.47</w:t>
            </w:r>
          </w:p>
        </w:tc>
        <w:tc>
          <w:tcPr>
            <w:tcW w:w="1493" w:type="dxa"/>
          </w:tcPr>
          <w:p w14:paraId="673471F2"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sz w:val="20"/>
                <w:szCs w:val="20"/>
              </w:rPr>
              <w:t>1.59 ± 0.35</w:t>
            </w:r>
          </w:p>
        </w:tc>
        <w:tc>
          <w:tcPr>
            <w:tcW w:w="152" w:type="dxa"/>
          </w:tcPr>
          <w:p w14:paraId="620431A5" w14:textId="77777777" w:rsidR="009D6CCD" w:rsidRPr="003F7349" w:rsidRDefault="009D6CCD" w:rsidP="005C0517">
            <w:pPr>
              <w:keepNext/>
              <w:spacing w:after="0"/>
              <w:jc w:val="both"/>
              <w:rPr>
                <w:rFonts w:ascii="Arial" w:hAnsi="Arial" w:cs="Arial"/>
                <w:sz w:val="20"/>
                <w:szCs w:val="20"/>
              </w:rPr>
            </w:pPr>
          </w:p>
        </w:tc>
        <w:tc>
          <w:tcPr>
            <w:tcW w:w="0" w:type="auto"/>
          </w:tcPr>
          <w:p w14:paraId="55F173E3"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sz w:val="20"/>
                <w:szCs w:val="20"/>
              </w:rPr>
              <w:t>.3</w:t>
            </w:r>
          </w:p>
        </w:tc>
      </w:tr>
      <w:tr w:rsidR="009D6CCD" w:rsidRPr="003F7349" w14:paraId="3D604678" w14:textId="77777777" w:rsidTr="00F07172">
        <w:trPr>
          <w:cantSplit/>
          <w:trHeight w:val="20"/>
          <w:jc w:val="center"/>
        </w:trPr>
        <w:tc>
          <w:tcPr>
            <w:tcW w:w="3266" w:type="dxa"/>
          </w:tcPr>
          <w:p w14:paraId="7A28AC05"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sz w:val="20"/>
                <w:szCs w:val="20"/>
              </w:rPr>
              <w:t xml:space="preserve">Survival rate (%) </w:t>
            </w:r>
          </w:p>
        </w:tc>
        <w:tc>
          <w:tcPr>
            <w:tcW w:w="1400" w:type="dxa"/>
          </w:tcPr>
          <w:p w14:paraId="055C4337"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sz w:val="20"/>
                <w:szCs w:val="20"/>
              </w:rPr>
              <w:t>95.</w:t>
            </w:r>
            <w:r w:rsidR="00B3758A" w:rsidRPr="003F7349">
              <w:rPr>
                <w:rFonts w:ascii="Arial" w:hAnsi="Arial" w:cs="Arial"/>
                <w:sz w:val="20"/>
                <w:szCs w:val="20"/>
              </w:rPr>
              <w:t>56</w:t>
            </w:r>
            <w:r w:rsidRPr="003F7349">
              <w:rPr>
                <w:rFonts w:ascii="Arial" w:hAnsi="Arial" w:cs="Arial"/>
                <w:sz w:val="20"/>
                <w:szCs w:val="20"/>
              </w:rPr>
              <w:t xml:space="preserve"> ± 7.</w:t>
            </w:r>
            <w:r w:rsidR="004E6002" w:rsidRPr="003F7349">
              <w:rPr>
                <w:rFonts w:ascii="Arial" w:hAnsi="Arial" w:cs="Arial"/>
                <w:sz w:val="20"/>
                <w:szCs w:val="20"/>
              </w:rPr>
              <w:t>65</w:t>
            </w:r>
          </w:p>
        </w:tc>
        <w:tc>
          <w:tcPr>
            <w:tcW w:w="1555" w:type="dxa"/>
          </w:tcPr>
          <w:p w14:paraId="3F8B5126"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sz w:val="20"/>
                <w:szCs w:val="20"/>
              </w:rPr>
              <w:t>91.1</w:t>
            </w:r>
            <w:r w:rsidR="00B3758A" w:rsidRPr="003F7349">
              <w:rPr>
                <w:rFonts w:ascii="Arial" w:hAnsi="Arial" w:cs="Arial"/>
                <w:sz w:val="20"/>
                <w:szCs w:val="20"/>
              </w:rPr>
              <w:t>1</w:t>
            </w:r>
            <w:r w:rsidRPr="003F7349">
              <w:rPr>
                <w:rFonts w:ascii="Arial" w:hAnsi="Arial" w:cs="Arial"/>
                <w:sz w:val="20"/>
                <w:szCs w:val="20"/>
              </w:rPr>
              <w:t xml:space="preserve"> ± 3.</w:t>
            </w:r>
            <w:r w:rsidR="001C3780" w:rsidRPr="003F7349">
              <w:rPr>
                <w:rFonts w:ascii="Arial" w:hAnsi="Arial" w:cs="Arial"/>
                <w:sz w:val="20"/>
                <w:szCs w:val="20"/>
              </w:rPr>
              <w:t>77</w:t>
            </w:r>
          </w:p>
        </w:tc>
        <w:tc>
          <w:tcPr>
            <w:tcW w:w="1556" w:type="dxa"/>
          </w:tcPr>
          <w:p w14:paraId="5EB4F32C"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sz w:val="20"/>
                <w:szCs w:val="20"/>
              </w:rPr>
              <w:t>91.1</w:t>
            </w:r>
            <w:r w:rsidR="00B3758A" w:rsidRPr="003F7349">
              <w:rPr>
                <w:rFonts w:ascii="Arial" w:hAnsi="Arial" w:cs="Arial"/>
                <w:sz w:val="20"/>
                <w:szCs w:val="20"/>
              </w:rPr>
              <w:t>1</w:t>
            </w:r>
            <w:r w:rsidRPr="003F7349">
              <w:rPr>
                <w:rFonts w:ascii="Arial" w:hAnsi="Arial" w:cs="Arial"/>
                <w:sz w:val="20"/>
                <w:szCs w:val="20"/>
              </w:rPr>
              <w:t xml:space="preserve"> ± 3.</w:t>
            </w:r>
            <w:r w:rsidR="001C3780" w:rsidRPr="003F7349">
              <w:rPr>
                <w:rFonts w:ascii="Arial" w:hAnsi="Arial" w:cs="Arial"/>
                <w:sz w:val="20"/>
                <w:szCs w:val="20"/>
              </w:rPr>
              <w:t>77</w:t>
            </w:r>
          </w:p>
        </w:tc>
        <w:tc>
          <w:tcPr>
            <w:tcW w:w="1493" w:type="dxa"/>
          </w:tcPr>
          <w:p w14:paraId="5EE1CD0D"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sz w:val="20"/>
                <w:szCs w:val="20"/>
              </w:rPr>
              <w:t>91.1</w:t>
            </w:r>
            <w:r w:rsidR="00B3758A" w:rsidRPr="003F7349">
              <w:rPr>
                <w:rFonts w:ascii="Arial" w:hAnsi="Arial" w:cs="Arial"/>
                <w:sz w:val="20"/>
                <w:szCs w:val="20"/>
              </w:rPr>
              <w:t>1</w:t>
            </w:r>
            <w:r w:rsidRPr="003F7349">
              <w:rPr>
                <w:rFonts w:ascii="Arial" w:hAnsi="Arial" w:cs="Arial"/>
                <w:sz w:val="20"/>
                <w:szCs w:val="20"/>
              </w:rPr>
              <w:t xml:space="preserve"> ± 10.</w:t>
            </w:r>
            <w:r w:rsidR="001C3780" w:rsidRPr="003F7349">
              <w:rPr>
                <w:rFonts w:ascii="Arial" w:hAnsi="Arial" w:cs="Arial"/>
                <w:sz w:val="20"/>
                <w:szCs w:val="20"/>
              </w:rPr>
              <w:t>19</w:t>
            </w:r>
          </w:p>
        </w:tc>
        <w:tc>
          <w:tcPr>
            <w:tcW w:w="152" w:type="dxa"/>
          </w:tcPr>
          <w:p w14:paraId="17846569" w14:textId="77777777" w:rsidR="009D6CCD" w:rsidRPr="003F7349" w:rsidRDefault="009D6CCD" w:rsidP="005C0517">
            <w:pPr>
              <w:keepNext/>
              <w:spacing w:after="0"/>
              <w:jc w:val="both"/>
              <w:rPr>
                <w:rFonts w:ascii="Arial" w:hAnsi="Arial" w:cs="Arial"/>
                <w:sz w:val="20"/>
                <w:szCs w:val="20"/>
              </w:rPr>
            </w:pPr>
          </w:p>
        </w:tc>
        <w:tc>
          <w:tcPr>
            <w:tcW w:w="0" w:type="auto"/>
          </w:tcPr>
          <w:p w14:paraId="4D332005"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sz w:val="20"/>
                <w:szCs w:val="20"/>
              </w:rPr>
              <w:t>.7</w:t>
            </w:r>
          </w:p>
        </w:tc>
      </w:tr>
      <w:tr w:rsidR="009D6CCD" w:rsidRPr="003F7349" w14:paraId="61AA4682" w14:textId="77777777" w:rsidTr="00F07172">
        <w:trPr>
          <w:cantSplit/>
          <w:trHeight w:val="20"/>
          <w:jc w:val="center"/>
        </w:trPr>
        <w:tc>
          <w:tcPr>
            <w:tcW w:w="3266" w:type="dxa"/>
            <w:tcBorders>
              <w:bottom w:val="single" w:sz="4" w:space="0" w:color="auto"/>
            </w:tcBorders>
          </w:tcPr>
          <w:p w14:paraId="317C3D97"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sz w:val="20"/>
                <w:szCs w:val="20"/>
              </w:rPr>
              <w:t xml:space="preserve">Feed conversion ratio </w:t>
            </w:r>
          </w:p>
        </w:tc>
        <w:tc>
          <w:tcPr>
            <w:tcW w:w="1400" w:type="dxa"/>
            <w:tcBorders>
              <w:bottom w:val="single" w:sz="4" w:space="0" w:color="auto"/>
            </w:tcBorders>
          </w:tcPr>
          <w:p w14:paraId="06539516"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sz w:val="20"/>
                <w:szCs w:val="20"/>
              </w:rPr>
              <w:t>1.78 ± 0.17</w:t>
            </w:r>
          </w:p>
        </w:tc>
        <w:tc>
          <w:tcPr>
            <w:tcW w:w="1555" w:type="dxa"/>
            <w:tcBorders>
              <w:bottom w:val="single" w:sz="4" w:space="0" w:color="auto"/>
            </w:tcBorders>
          </w:tcPr>
          <w:p w14:paraId="4F8B2E8E"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sz w:val="20"/>
                <w:szCs w:val="20"/>
              </w:rPr>
              <w:t>1.67 ± 0.15</w:t>
            </w:r>
          </w:p>
        </w:tc>
        <w:tc>
          <w:tcPr>
            <w:tcW w:w="1556" w:type="dxa"/>
            <w:tcBorders>
              <w:bottom w:val="single" w:sz="4" w:space="0" w:color="auto"/>
            </w:tcBorders>
          </w:tcPr>
          <w:p w14:paraId="2985D4F4"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sz w:val="20"/>
                <w:szCs w:val="20"/>
              </w:rPr>
              <w:t>1.69 ± 0.18</w:t>
            </w:r>
          </w:p>
        </w:tc>
        <w:tc>
          <w:tcPr>
            <w:tcW w:w="1493" w:type="dxa"/>
            <w:tcBorders>
              <w:bottom w:val="single" w:sz="4" w:space="0" w:color="auto"/>
            </w:tcBorders>
          </w:tcPr>
          <w:p w14:paraId="0E47668A"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sz w:val="20"/>
                <w:szCs w:val="20"/>
              </w:rPr>
              <w:t>1.87 ± 0.21</w:t>
            </w:r>
          </w:p>
        </w:tc>
        <w:tc>
          <w:tcPr>
            <w:tcW w:w="152" w:type="dxa"/>
            <w:tcBorders>
              <w:bottom w:val="single" w:sz="4" w:space="0" w:color="auto"/>
            </w:tcBorders>
          </w:tcPr>
          <w:p w14:paraId="64358410" w14:textId="77777777" w:rsidR="009D6CCD" w:rsidRPr="003F7349" w:rsidRDefault="009D6CCD" w:rsidP="005C0517">
            <w:pPr>
              <w:keepNext/>
              <w:spacing w:after="0"/>
              <w:jc w:val="both"/>
              <w:rPr>
                <w:rFonts w:ascii="Arial" w:hAnsi="Arial" w:cs="Arial"/>
                <w:sz w:val="20"/>
                <w:szCs w:val="20"/>
              </w:rPr>
            </w:pPr>
          </w:p>
        </w:tc>
        <w:tc>
          <w:tcPr>
            <w:tcW w:w="0" w:type="auto"/>
            <w:tcBorders>
              <w:bottom w:val="single" w:sz="4" w:space="0" w:color="auto"/>
            </w:tcBorders>
          </w:tcPr>
          <w:p w14:paraId="74184209" w14:textId="77777777" w:rsidR="009D6CCD" w:rsidRPr="003F7349" w:rsidRDefault="009D6CCD" w:rsidP="005C0517">
            <w:pPr>
              <w:keepNext/>
              <w:spacing w:after="0"/>
              <w:jc w:val="both"/>
              <w:rPr>
                <w:rFonts w:ascii="Arial" w:hAnsi="Arial" w:cs="Arial"/>
                <w:sz w:val="20"/>
                <w:szCs w:val="20"/>
              </w:rPr>
            </w:pPr>
            <w:r w:rsidRPr="003F7349">
              <w:rPr>
                <w:rFonts w:ascii="Arial" w:hAnsi="Arial" w:cs="Arial"/>
                <w:sz w:val="20"/>
                <w:szCs w:val="20"/>
              </w:rPr>
              <w:t>.4</w:t>
            </w:r>
          </w:p>
        </w:tc>
      </w:tr>
    </w:tbl>
    <w:p w14:paraId="5C5FD127" w14:textId="77777777" w:rsidR="00E67E7B" w:rsidRPr="003F7349" w:rsidRDefault="00186D80" w:rsidP="005C0517">
      <w:pPr>
        <w:spacing w:after="120" w:line="240" w:lineRule="auto"/>
        <w:jc w:val="both"/>
        <w:rPr>
          <w:rFonts w:ascii="Arial" w:hAnsi="Arial" w:cs="Arial"/>
          <w:sz w:val="20"/>
          <w:szCs w:val="20"/>
          <w:lang w:val="en-US"/>
        </w:rPr>
      </w:pPr>
      <w:r w:rsidRPr="003F7349">
        <w:rPr>
          <w:rFonts w:ascii="Arial" w:hAnsi="Arial" w:cs="Arial"/>
          <w:sz w:val="20"/>
          <w:szCs w:val="20"/>
          <w:lang w:val="en-US"/>
        </w:rPr>
        <w:t xml:space="preserve">Data are presented in mean ± SD. T0 = control; T1 = group of fish fed with 0.020% </w:t>
      </w:r>
      <w:r w:rsidRPr="003F7349">
        <w:rPr>
          <w:rFonts w:ascii="Arial" w:hAnsi="Arial" w:cs="Arial"/>
          <w:i/>
          <w:sz w:val="20"/>
          <w:szCs w:val="20"/>
          <w:lang w:val="en-US"/>
        </w:rPr>
        <w:t xml:space="preserve">D. </w:t>
      </w:r>
      <w:proofErr w:type="spellStart"/>
      <w:r w:rsidRPr="003F7349">
        <w:rPr>
          <w:rFonts w:ascii="Arial" w:hAnsi="Arial" w:cs="Arial"/>
          <w:i/>
          <w:sz w:val="20"/>
          <w:szCs w:val="20"/>
          <w:lang w:val="en-US"/>
        </w:rPr>
        <w:t>microcarpum</w:t>
      </w:r>
      <w:proofErr w:type="spellEnd"/>
      <w:r w:rsidRPr="003F7349">
        <w:rPr>
          <w:rFonts w:ascii="Arial" w:hAnsi="Arial" w:cs="Arial"/>
          <w:sz w:val="20"/>
          <w:szCs w:val="20"/>
          <w:lang w:val="en-US"/>
        </w:rPr>
        <w:t xml:space="preserve">; T2 = group of fish fed with 0.030% </w:t>
      </w:r>
      <w:r w:rsidRPr="003F7349">
        <w:rPr>
          <w:rFonts w:ascii="Arial" w:hAnsi="Arial" w:cs="Arial"/>
          <w:i/>
          <w:sz w:val="20"/>
          <w:szCs w:val="20"/>
          <w:lang w:val="en-US"/>
        </w:rPr>
        <w:t xml:space="preserve">D. </w:t>
      </w:r>
      <w:proofErr w:type="spellStart"/>
      <w:r w:rsidRPr="003F7349">
        <w:rPr>
          <w:rFonts w:ascii="Arial" w:hAnsi="Arial" w:cs="Arial"/>
          <w:i/>
          <w:sz w:val="20"/>
          <w:szCs w:val="20"/>
          <w:lang w:val="en-US"/>
        </w:rPr>
        <w:t>microcarpum</w:t>
      </w:r>
      <w:proofErr w:type="spellEnd"/>
      <w:r w:rsidRPr="003F7349">
        <w:rPr>
          <w:rFonts w:ascii="Arial" w:hAnsi="Arial" w:cs="Arial"/>
          <w:sz w:val="20"/>
          <w:szCs w:val="20"/>
          <w:lang w:val="en-US"/>
        </w:rPr>
        <w:t xml:space="preserve">; T3 = group of fish fed with 0.040% </w:t>
      </w:r>
      <w:r w:rsidRPr="003F7349">
        <w:rPr>
          <w:rFonts w:ascii="Arial" w:hAnsi="Arial" w:cs="Arial"/>
          <w:i/>
          <w:sz w:val="20"/>
          <w:szCs w:val="20"/>
          <w:lang w:val="en-US"/>
        </w:rPr>
        <w:t xml:space="preserve">D. </w:t>
      </w:r>
      <w:proofErr w:type="spellStart"/>
      <w:r w:rsidRPr="003F7349">
        <w:rPr>
          <w:rFonts w:ascii="Arial" w:hAnsi="Arial" w:cs="Arial"/>
          <w:i/>
          <w:sz w:val="20"/>
          <w:szCs w:val="20"/>
          <w:lang w:val="en-US"/>
        </w:rPr>
        <w:t>microcarpum</w:t>
      </w:r>
      <w:proofErr w:type="spellEnd"/>
      <w:r w:rsidRPr="003F7349">
        <w:rPr>
          <w:rFonts w:ascii="Arial" w:hAnsi="Arial" w:cs="Arial"/>
          <w:sz w:val="20"/>
          <w:szCs w:val="20"/>
          <w:lang w:val="en-US"/>
        </w:rPr>
        <w:t>.</w:t>
      </w:r>
    </w:p>
    <w:p w14:paraId="62E79C88" w14:textId="77777777" w:rsidR="00E67E7B" w:rsidRPr="003F7349" w:rsidRDefault="00E67E7B" w:rsidP="00AB1C01">
      <w:pPr>
        <w:spacing w:after="120" w:line="240" w:lineRule="auto"/>
        <w:jc w:val="center"/>
        <w:rPr>
          <w:rFonts w:ascii="Arial" w:hAnsi="Arial" w:cs="Arial"/>
          <w:sz w:val="20"/>
          <w:szCs w:val="20"/>
        </w:rPr>
      </w:pPr>
    </w:p>
    <w:p w14:paraId="6A6D05AA" w14:textId="77777777" w:rsidR="004A5488" w:rsidRPr="003F7349" w:rsidRDefault="004A5488" w:rsidP="00AB1C01">
      <w:pPr>
        <w:spacing w:after="120" w:line="240" w:lineRule="auto"/>
        <w:jc w:val="center"/>
        <w:rPr>
          <w:rFonts w:ascii="Arial" w:hAnsi="Arial" w:cs="Arial"/>
          <w:sz w:val="20"/>
          <w:szCs w:val="20"/>
        </w:rPr>
      </w:pPr>
      <w:r w:rsidRPr="003F7349">
        <w:rPr>
          <w:noProof/>
        </w:rPr>
        <w:lastRenderedPageBreak/>
        <w:drawing>
          <wp:inline distT="0" distB="0" distL="0" distR="0" wp14:anchorId="1E8CC9FD" wp14:editId="17A10965">
            <wp:extent cx="4572000" cy="2743200"/>
            <wp:effectExtent l="0" t="0" r="0" b="0"/>
            <wp:docPr id="2" name="Graphique 2">
              <a:extLst xmlns:a="http://schemas.openxmlformats.org/drawingml/2006/main">
                <a:ext uri="{FF2B5EF4-FFF2-40B4-BE49-F238E27FC236}">
                  <a16:creationId xmlns:a16="http://schemas.microsoft.com/office/drawing/2014/main" id="{047315FC-C6F5-4DAC-BD81-A9330D6C9C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37F390D" w14:textId="77777777" w:rsidR="00E855A5" w:rsidRPr="003F7349" w:rsidRDefault="002209C7" w:rsidP="00AB1C01">
      <w:pPr>
        <w:spacing w:after="120" w:line="240" w:lineRule="auto"/>
        <w:jc w:val="center"/>
        <w:rPr>
          <w:rFonts w:ascii="Arial" w:hAnsi="Arial" w:cs="Arial"/>
          <w:bCs/>
          <w:sz w:val="20"/>
          <w:szCs w:val="20"/>
          <w:lang w:val="en-US"/>
        </w:rPr>
      </w:pPr>
      <w:r w:rsidRPr="003F7349">
        <w:rPr>
          <w:rFonts w:ascii="Arial" w:hAnsi="Arial" w:cs="Arial"/>
          <w:b/>
          <w:sz w:val="20"/>
          <w:szCs w:val="20"/>
          <w:lang w:val="en-US"/>
        </w:rPr>
        <w:t xml:space="preserve">Figure 1. </w:t>
      </w:r>
      <w:r w:rsidRPr="003F7349">
        <w:rPr>
          <w:rFonts w:ascii="Arial" w:hAnsi="Arial" w:cs="Arial"/>
          <w:bCs/>
          <w:sz w:val="20"/>
          <w:szCs w:val="20"/>
          <w:lang w:val="en-US"/>
        </w:rPr>
        <w:t>Condition factor of reared Nile tilapia at the end of the experiment.</w:t>
      </w:r>
    </w:p>
    <w:p w14:paraId="72BC8FF2" w14:textId="77777777" w:rsidR="00D87F0F" w:rsidRPr="003F7349" w:rsidRDefault="006F1B7A" w:rsidP="005C0517">
      <w:pPr>
        <w:pStyle w:val="Default"/>
        <w:spacing w:after="120"/>
        <w:jc w:val="both"/>
        <w:rPr>
          <w:rFonts w:ascii="Arial" w:eastAsia="URWPalladioL-Roma" w:hAnsi="Arial" w:cs="Arial"/>
          <w:sz w:val="20"/>
          <w:szCs w:val="20"/>
          <w:lang w:val="en-US"/>
        </w:rPr>
      </w:pPr>
      <w:r w:rsidRPr="003F7349">
        <w:rPr>
          <w:rFonts w:ascii="Arial" w:hAnsi="Arial" w:cs="Arial"/>
          <w:sz w:val="20"/>
          <w:szCs w:val="20"/>
          <w:lang w:val="en-US"/>
        </w:rPr>
        <w:t xml:space="preserve">Nile tilapia is known for its tolerance and adaptability to various environmental conditions, such as water temperature, oxygen levels, salinity, and pH. However, a pH range of 6.5 to 8.7 (Ogunji &amp; Awoke, 2017), a temperature between 25 and 30 °C (El-Sherif &amp; El-Feky, 2009), a dissolved oxygen level greater than 3 mg/L (Mélard, 1999), and a conductivity ranging from 30 to 5,000 </w:t>
      </w:r>
      <w:r w:rsidRPr="003F7349">
        <w:rPr>
          <w:rFonts w:ascii="Arial" w:hAnsi="Arial" w:cs="Arial"/>
          <w:sz w:val="20"/>
          <w:szCs w:val="20"/>
        </w:rPr>
        <w:t>μ</w:t>
      </w:r>
      <w:r w:rsidRPr="003F7349">
        <w:rPr>
          <w:rFonts w:ascii="Arial" w:hAnsi="Arial" w:cs="Arial"/>
          <w:sz w:val="20"/>
          <w:szCs w:val="20"/>
          <w:lang w:val="en-US"/>
        </w:rPr>
        <w:t xml:space="preserve">S/cm (Kelany et al., 2024) are desirable and acceptable ranges for Nile tilapia farming. The water quality parameters measured during this study were therefore within the optimal ranges for the farming of </w:t>
      </w:r>
      <w:r w:rsidRPr="003F7349">
        <w:rPr>
          <w:rFonts w:ascii="Arial" w:hAnsi="Arial" w:cs="Arial"/>
          <w:i/>
          <w:sz w:val="20"/>
          <w:szCs w:val="20"/>
          <w:lang w:val="en-US"/>
        </w:rPr>
        <w:t>O. niloticus</w:t>
      </w:r>
      <w:r w:rsidRPr="003F7349">
        <w:rPr>
          <w:rFonts w:ascii="Arial" w:hAnsi="Arial" w:cs="Arial"/>
          <w:sz w:val="20"/>
          <w:szCs w:val="20"/>
          <w:lang w:val="en-US"/>
        </w:rPr>
        <w:t xml:space="preserve">. </w:t>
      </w:r>
    </w:p>
    <w:p w14:paraId="46EB2A3B" w14:textId="77777777" w:rsidR="00E277AF" w:rsidRPr="003F7349" w:rsidRDefault="00FA7090" w:rsidP="005C0517">
      <w:pPr>
        <w:pStyle w:val="Default"/>
        <w:spacing w:after="120"/>
        <w:jc w:val="both"/>
        <w:rPr>
          <w:rFonts w:ascii="Arial" w:hAnsi="Arial" w:cs="Arial"/>
          <w:sz w:val="20"/>
          <w:szCs w:val="20"/>
          <w:lang w:val="en-US"/>
        </w:rPr>
      </w:pPr>
      <w:r w:rsidRPr="003F7349">
        <w:rPr>
          <w:rFonts w:ascii="Arial" w:hAnsi="Arial" w:cs="Arial"/>
          <w:sz w:val="20"/>
          <w:szCs w:val="20"/>
          <w:lang w:val="en-US"/>
        </w:rPr>
        <w:t xml:space="preserve">The success and profitability of any fish farm depend on the quality of the inputs used and the environment where the operation is undertaken. In this study, the addition of different doses of </w:t>
      </w:r>
      <w:r w:rsidRPr="003F7349">
        <w:rPr>
          <w:rFonts w:ascii="Arial" w:hAnsi="Arial" w:cs="Arial"/>
          <w:i/>
          <w:iCs/>
          <w:sz w:val="20"/>
          <w:szCs w:val="20"/>
          <w:lang w:val="en-US"/>
        </w:rPr>
        <w:t>D. microcarpum</w:t>
      </w:r>
      <w:r w:rsidRPr="003F7349">
        <w:rPr>
          <w:rFonts w:ascii="Arial" w:hAnsi="Arial" w:cs="Arial"/>
          <w:sz w:val="20"/>
          <w:szCs w:val="20"/>
          <w:lang w:val="en-US"/>
        </w:rPr>
        <w:t xml:space="preserve"> extract to commercial feed had no effect on the growth performance of </w:t>
      </w:r>
      <w:r w:rsidRPr="003F7349">
        <w:rPr>
          <w:rFonts w:ascii="Arial" w:hAnsi="Arial" w:cs="Arial"/>
          <w:i/>
          <w:sz w:val="20"/>
          <w:szCs w:val="20"/>
          <w:lang w:val="en-US"/>
        </w:rPr>
        <w:t>Oreochromis niloticus</w:t>
      </w:r>
      <w:r w:rsidRPr="003F7349">
        <w:rPr>
          <w:rFonts w:ascii="Arial" w:hAnsi="Arial" w:cs="Arial"/>
          <w:sz w:val="20"/>
          <w:szCs w:val="20"/>
          <w:lang w:val="en-US"/>
        </w:rPr>
        <w:t xml:space="preserve">. At the end of the experiment, weight gain, daily weight gain, specific growth rate, survival rate, and feed conversion ratio were similar between the treated and untreated groups of fish. To the best of our knowledge, no studies have been conducted on the growth of fish fed an extract of </w:t>
      </w:r>
      <w:r w:rsidRPr="003F7349">
        <w:rPr>
          <w:rFonts w:ascii="Arial" w:hAnsi="Arial" w:cs="Arial"/>
          <w:i/>
          <w:sz w:val="20"/>
          <w:szCs w:val="20"/>
          <w:lang w:val="en-US"/>
        </w:rPr>
        <w:t>D. microcarpum</w:t>
      </w:r>
      <w:r w:rsidRPr="003F7349">
        <w:rPr>
          <w:rFonts w:ascii="Arial" w:hAnsi="Arial" w:cs="Arial"/>
          <w:sz w:val="20"/>
          <w:szCs w:val="20"/>
          <w:lang w:val="en-US"/>
        </w:rPr>
        <w:t xml:space="preserve"> bark. However, oral administration of </w:t>
      </w:r>
      <w:r w:rsidRPr="003F7349">
        <w:rPr>
          <w:rFonts w:ascii="Arial" w:hAnsi="Arial" w:cs="Arial"/>
          <w:i/>
          <w:sz w:val="20"/>
          <w:szCs w:val="20"/>
          <w:lang w:val="en-US"/>
        </w:rPr>
        <w:t>D. microcarpum</w:t>
      </w:r>
      <w:r w:rsidRPr="003F7349">
        <w:rPr>
          <w:rFonts w:ascii="Arial" w:hAnsi="Arial" w:cs="Arial"/>
          <w:sz w:val="20"/>
          <w:szCs w:val="20"/>
          <w:lang w:val="en-US"/>
        </w:rPr>
        <w:t xml:space="preserve"> bark extract in the diets of rats did not affect their growth and did not result in any significant changes in their behaviour or mortality rate (Fotso et al., 2022). Similarly, the inclusion of 10% </w:t>
      </w:r>
      <w:r w:rsidRPr="003F7349">
        <w:rPr>
          <w:rFonts w:ascii="Arial" w:hAnsi="Arial" w:cs="Arial"/>
          <w:i/>
          <w:sz w:val="20"/>
          <w:szCs w:val="20"/>
          <w:lang w:val="en-US"/>
        </w:rPr>
        <w:t>D. microcarpum</w:t>
      </w:r>
      <w:r w:rsidRPr="003F7349">
        <w:rPr>
          <w:rFonts w:ascii="Arial" w:hAnsi="Arial" w:cs="Arial"/>
          <w:sz w:val="20"/>
          <w:szCs w:val="20"/>
          <w:lang w:val="en-US"/>
        </w:rPr>
        <w:t xml:space="preserve"> seed meal in the finisher broiler ration showed no effect on their growth performance or feed utilisation (Obun et al., 2008). Similar results were reported in rabbits fed </w:t>
      </w:r>
      <w:r w:rsidRPr="003F7349">
        <w:rPr>
          <w:rFonts w:ascii="Arial" w:hAnsi="Arial" w:cs="Arial"/>
          <w:i/>
          <w:iCs/>
          <w:sz w:val="20"/>
          <w:szCs w:val="20"/>
          <w:lang w:val="en-US"/>
        </w:rPr>
        <w:t>D. microcarpum</w:t>
      </w:r>
      <w:r w:rsidRPr="003F7349">
        <w:rPr>
          <w:rFonts w:ascii="Arial" w:hAnsi="Arial" w:cs="Arial"/>
          <w:sz w:val="20"/>
          <w:szCs w:val="20"/>
          <w:lang w:val="en-US"/>
        </w:rPr>
        <w:t xml:space="preserve"> pulp meal (Obun et al., 2010). Conversely, Wahedi and David (2013) revealed that the fruit pulp of </w:t>
      </w:r>
      <w:r w:rsidRPr="003F7349">
        <w:rPr>
          <w:rFonts w:ascii="Arial" w:hAnsi="Arial" w:cs="Arial"/>
          <w:i/>
          <w:sz w:val="20"/>
          <w:szCs w:val="20"/>
          <w:lang w:val="en-US"/>
        </w:rPr>
        <w:t>D. microcarpum</w:t>
      </w:r>
      <w:r w:rsidRPr="003F7349">
        <w:rPr>
          <w:rFonts w:ascii="Arial" w:hAnsi="Arial" w:cs="Arial"/>
          <w:sz w:val="20"/>
          <w:szCs w:val="20"/>
          <w:lang w:val="en-US"/>
        </w:rPr>
        <w:t xml:space="preserve"> has a significant effect on weight gain in rats. Indeed, they noted that the rats fed with a mixture of 500 g of </w:t>
      </w:r>
      <w:r w:rsidRPr="003F7349">
        <w:rPr>
          <w:rFonts w:ascii="Arial" w:hAnsi="Arial" w:cs="Arial"/>
          <w:i/>
          <w:sz w:val="20"/>
          <w:szCs w:val="20"/>
          <w:lang w:val="en-US"/>
        </w:rPr>
        <w:t>D. microcarpum</w:t>
      </w:r>
      <w:r w:rsidRPr="003F7349">
        <w:rPr>
          <w:rFonts w:ascii="Arial" w:hAnsi="Arial" w:cs="Arial"/>
          <w:sz w:val="20"/>
          <w:szCs w:val="20"/>
          <w:lang w:val="en-US"/>
        </w:rPr>
        <w:t xml:space="preserve"> fruit pulp and 500 g of rat mash gained less weight (175.88 ± 24.63 g) than the control group fed with rat mash only (303.75 ± 14.22 g). The use of </w:t>
      </w:r>
      <w:r w:rsidRPr="003F7349">
        <w:rPr>
          <w:rFonts w:ascii="Arial" w:hAnsi="Arial" w:cs="Arial"/>
          <w:i/>
          <w:sz w:val="20"/>
          <w:szCs w:val="20"/>
          <w:lang w:val="en-US"/>
        </w:rPr>
        <w:t>D. microcarpum</w:t>
      </w:r>
      <w:r w:rsidRPr="003F7349">
        <w:rPr>
          <w:rFonts w:ascii="Arial" w:hAnsi="Arial" w:cs="Arial"/>
          <w:sz w:val="20"/>
          <w:szCs w:val="20"/>
          <w:lang w:val="en-US"/>
        </w:rPr>
        <w:t xml:space="preserve"> seed meal as feed has also been reported in rabbits; the results showed that cooked </w:t>
      </w:r>
      <w:r w:rsidRPr="003F7349">
        <w:rPr>
          <w:rFonts w:ascii="Arial" w:hAnsi="Arial" w:cs="Arial"/>
          <w:i/>
          <w:sz w:val="20"/>
          <w:szCs w:val="20"/>
          <w:lang w:val="en-US"/>
        </w:rPr>
        <w:t>D. microcarpum</w:t>
      </w:r>
      <w:r w:rsidRPr="003F7349">
        <w:rPr>
          <w:rFonts w:ascii="Arial" w:hAnsi="Arial" w:cs="Arial"/>
          <w:sz w:val="20"/>
          <w:szCs w:val="20"/>
          <w:lang w:val="en-US"/>
        </w:rPr>
        <w:t xml:space="preserve"> seed meal increased the final body weight, body weight gain, and feed conversion ratio compared to fermented seed meal (Jiya et al., 2013). According to these authors, this meal can be incorporated at 100% into the diet of weaned rabbits, as a substitute for palm kernel cake, without any adverse effects on their growth, provided that the anti-nutritional factors contained in the seeds are eliminated through cooking or fermentation. </w:t>
      </w:r>
    </w:p>
    <w:p w14:paraId="46BFE1E4" w14:textId="77777777" w:rsidR="00375638" w:rsidRPr="003F7349" w:rsidRDefault="006C681C" w:rsidP="005C0517">
      <w:pPr>
        <w:pStyle w:val="Default"/>
        <w:spacing w:after="120"/>
        <w:jc w:val="both"/>
        <w:rPr>
          <w:rFonts w:ascii="Arial" w:eastAsia="URWPalladioL-Roma" w:hAnsi="Arial" w:cs="Arial"/>
          <w:sz w:val="20"/>
          <w:szCs w:val="20"/>
          <w:lang w:val="en-US"/>
        </w:rPr>
      </w:pPr>
      <w:r w:rsidRPr="003F7349">
        <w:rPr>
          <w:rFonts w:ascii="Arial" w:hAnsi="Arial" w:cs="Arial"/>
          <w:sz w:val="20"/>
          <w:szCs w:val="20"/>
          <w:lang w:val="en-US"/>
        </w:rPr>
        <w:t xml:space="preserve">The condition factor can be used as an indicator of the health status of fish within a system and, consequently, help assess their well-being, particularly their nutrition (adequacy of food, water quality, etc.) </w:t>
      </w:r>
      <w:r w:rsidRPr="003F7349">
        <w:rPr>
          <w:rFonts w:ascii="Arial" w:hAnsi="Arial" w:cs="Arial"/>
          <w:sz w:val="20"/>
          <w:szCs w:val="20"/>
        </w:rPr>
        <w:t xml:space="preserve">(Abdul et al., 2023; Aulia et al., 2024). According to Da et al. </w:t>
      </w:r>
      <w:r w:rsidRPr="003F7349">
        <w:rPr>
          <w:rFonts w:ascii="Arial" w:hAnsi="Arial" w:cs="Arial"/>
          <w:sz w:val="20"/>
          <w:szCs w:val="20"/>
          <w:lang w:val="en-US"/>
        </w:rPr>
        <w:t xml:space="preserve">(2018), a condition factor greater than one indicates that a fish is in good physical condition. In this study, the condition factor values for both treated and untreated fish were greater than 1, indicating their good health and optimal environmental conditions. </w:t>
      </w:r>
    </w:p>
    <w:p w14:paraId="4A49B41B" w14:textId="77777777" w:rsidR="009C1985" w:rsidRPr="003F7349" w:rsidRDefault="00536E9E" w:rsidP="00822B1F">
      <w:pPr>
        <w:spacing w:after="120" w:line="240" w:lineRule="auto"/>
        <w:rPr>
          <w:rFonts w:ascii="Arial" w:hAnsi="Arial" w:cs="Arial"/>
          <w:b/>
          <w:bCs/>
          <w:lang w:val="en-US"/>
        </w:rPr>
      </w:pPr>
      <w:r w:rsidRPr="003F7349">
        <w:rPr>
          <w:rFonts w:ascii="Arial" w:hAnsi="Arial" w:cs="Arial"/>
          <w:b/>
          <w:lang w:val="en-US"/>
        </w:rPr>
        <w:t xml:space="preserve">4. </w:t>
      </w:r>
      <w:r w:rsidR="00871979" w:rsidRPr="003F7349">
        <w:rPr>
          <w:rFonts w:ascii="Arial" w:hAnsi="Arial" w:cs="Arial"/>
          <w:b/>
          <w:lang w:val="en-US"/>
        </w:rPr>
        <w:t>CONCLUSION</w:t>
      </w:r>
    </w:p>
    <w:p w14:paraId="088F4634" w14:textId="3A30BE5A" w:rsidR="00520A8D" w:rsidRDefault="00A71266" w:rsidP="005C0517">
      <w:pPr>
        <w:spacing w:after="120" w:line="240" w:lineRule="auto"/>
        <w:jc w:val="both"/>
        <w:rPr>
          <w:rFonts w:ascii="Arial" w:hAnsi="Arial" w:cs="Arial"/>
          <w:sz w:val="20"/>
          <w:szCs w:val="20"/>
        </w:rPr>
      </w:pPr>
      <w:r w:rsidRPr="00A71266">
        <w:rPr>
          <w:rFonts w:ascii="Arial" w:hAnsi="Arial" w:cs="Arial"/>
          <w:sz w:val="20"/>
          <w:szCs w:val="20"/>
        </w:rPr>
        <w:t xml:space="preserve">The 90-day </w:t>
      </w:r>
      <w:proofErr w:type="spellStart"/>
      <w:r w:rsidRPr="00A71266">
        <w:rPr>
          <w:rFonts w:ascii="Arial" w:hAnsi="Arial" w:cs="Arial"/>
          <w:sz w:val="20"/>
          <w:szCs w:val="20"/>
        </w:rPr>
        <w:t>feeding</w:t>
      </w:r>
      <w:proofErr w:type="spellEnd"/>
      <w:r w:rsidRPr="00A71266">
        <w:rPr>
          <w:rFonts w:ascii="Arial" w:hAnsi="Arial" w:cs="Arial"/>
          <w:sz w:val="20"/>
          <w:szCs w:val="20"/>
        </w:rPr>
        <w:t xml:space="preserve"> trial </w:t>
      </w:r>
      <w:proofErr w:type="spellStart"/>
      <w:r w:rsidRPr="00A71266">
        <w:rPr>
          <w:rFonts w:ascii="Arial" w:hAnsi="Arial" w:cs="Arial"/>
          <w:sz w:val="20"/>
          <w:szCs w:val="20"/>
        </w:rPr>
        <w:t>showed</w:t>
      </w:r>
      <w:proofErr w:type="spellEnd"/>
      <w:r w:rsidRPr="00A71266">
        <w:rPr>
          <w:rFonts w:ascii="Arial" w:hAnsi="Arial" w:cs="Arial"/>
          <w:sz w:val="20"/>
          <w:szCs w:val="20"/>
        </w:rPr>
        <w:t xml:space="preserve"> </w:t>
      </w:r>
      <w:proofErr w:type="spellStart"/>
      <w:r w:rsidRPr="00A71266">
        <w:rPr>
          <w:rFonts w:ascii="Arial" w:hAnsi="Arial" w:cs="Arial"/>
          <w:sz w:val="20"/>
          <w:szCs w:val="20"/>
        </w:rPr>
        <w:t>that</w:t>
      </w:r>
      <w:proofErr w:type="spellEnd"/>
      <w:r w:rsidRPr="00A71266">
        <w:rPr>
          <w:rFonts w:ascii="Arial" w:hAnsi="Arial" w:cs="Arial"/>
          <w:sz w:val="20"/>
          <w:szCs w:val="20"/>
        </w:rPr>
        <w:t xml:space="preserve"> </w:t>
      </w:r>
      <w:proofErr w:type="spellStart"/>
      <w:r w:rsidRPr="00A71266">
        <w:rPr>
          <w:rFonts w:ascii="Arial" w:hAnsi="Arial" w:cs="Arial"/>
          <w:sz w:val="20"/>
          <w:szCs w:val="20"/>
        </w:rPr>
        <w:t>dietary</w:t>
      </w:r>
      <w:proofErr w:type="spellEnd"/>
      <w:r w:rsidRPr="00A71266">
        <w:rPr>
          <w:rFonts w:ascii="Arial" w:hAnsi="Arial" w:cs="Arial"/>
          <w:sz w:val="20"/>
          <w:szCs w:val="20"/>
        </w:rPr>
        <w:t xml:space="preserve"> </w:t>
      </w:r>
      <w:proofErr w:type="spellStart"/>
      <w:r w:rsidRPr="00A71266">
        <w:rPr>
          <w:rFonts w:ascii="Arial" w:hAnsi="Arial" w:cs="Arial"/>
          <w:sz w:val="20"/>
          <w:szCs w:val="20"/>
        </w:rPr>
        <w:t>supplementation</w:t>
      </w:r>
      <w:proofErr w:type="spellEnd"/>
      <w:r w:rsidRPr="00A71266">
        <w:rPr>
          <w:rFonts w:ascii="Arial" w:hAnsi="Arial" w:cs="Arial"/>
          <w:sz w:val="20"/>
          <w:szCs w:val="20"/>
        </w:rPr>
        <w:t xml:space="preserve"> </w:t>
      </w:r>
      <w:proofErr w:type="spellStart"/>
      <w:r w:rsidRPr="00A71266">
        <w:rPr>
          <w:rFonts w:ascii="Arial" w:hAnsi="Arial" w:cs="Arial"/>
          <w:sz w:val="20"/>
          <w:szCs w:val="20"/>
        </w:rPr>
        <w:t>with</w:t>
      </w:r>
      <w:proofErr w:type="spellEnd"/>
      <w:r w:rsidRPr="00A71266">
        <w:rPr>
          <w:rFonts w:ascii="Arial" w:hAnsi="Arial" w:cs="Arial"/>
          <w:sz w:val="20"/>
          <w:szCs w:val="20"/>
        </w:rPr>
        <w:t xml:space="preserve"> </w:t>
      </w:r>
      <w:proofErr w:type="spellStart"/>
      <w:r w:rsidRPr="00A71266">
        <w:rPr>
          <w:rFonts w:ascii="Arial" w:hAnsi="Arial" w:cs="Arial"/>
          <w:i/>
          <w:iCs/>
          <w:sz w:val="20"/>
          <w:szCs w:val="20"/>
        </w:rPr>
        <w:t>Detarium</w:t>
      </w:r>
      <w:proofErr w:type="spellEnd"/>
      <w:r w:rsidRPr="00A71266">
        <w:rPr>
          <w:rFonts w:ascii="Arial" w:hAnsi="Arial" w:cs="Arial"/>
          <w:i/>
          <w:iCs/>
          <w:sz w:val="20"/>
          <w:szCs w:val="20"/>
        </w:rPr>
        <w:t xml:space="preserve"> </w:t>
      </w:r>
      <w:proofErr w:type="spellStart"/>
      <w:r w:rsidRPr="00A71266">
        <w:rPr>
          <w:rFonts w:ascii="Arial" w:hAnsi="Arial" w:cs="Arial"/>
          <w:i/>
          <w:iCs/>
          <w:sz w:val="20"/>
          <w:szCs w:val="20"/>
        </w:rPr>
        <w:t>microcarpum</w:t>
      </w:r>
      <w:proofErr w:type="spellEnd"/>
      <w:r w:rsidRPr="00A71266">
        <w:rPr>
          <w:rFonts w:ascii="Arial" w:hAnsi="Arial" w:cs="Arial"/>
          <w:sz w:val="20"/>
          <w:szCs w:val="20"/>
        </w:rPr>
        <w:t xml:space="preserve"> </w:t>
      </w:r>
      <w:proofErr w:type="spellStart"/>
      <w:r w:rsidRPr="00A71266">
        <w:rPr>
          <w:rFonts w:ascii="Arial" w:hAnsi="Arial" w:cs="Arial"/>
          <w:sz w:val="20"/>
          <w:szCs w:val="20"/>
        </w:rPr>
        <w:t>bark</w:t>
      </w:r>
      <w:proofErr w:type="spellEnd"/>
      <w:r w:rsidRPr="00A71266">
        <w:rPr>
          <w:rFonts w:ascii="Arial" w:hAnsi="Arial" w:cs="Arial"/>
          <w:sz w:val="20"/>
          <w:szCs w:val="20"/>
        </w:rPr>
        <w:t xml:space="preserve"> </w:t>
      </w:r>
      <w:proofErr w:type="spellStart"/>
      <w:r w:rsidRPr="00A71266">
        <w:rPr>
          <w:rFonts w:ascii="Arial" w:hAnsi="Arial" w:cs="Arial"/>
          <w:sz w:val="20"/>
          <w:szCs w:val="20"/>
        </w:rPr>
        <w:t>extract</w:t>
      </w:r>
      <w:proofErr w:type="spellEnd"/>
      <w:r w:rsidRPr="00A71266">
        <w:rPr>
          <w:rFonts w:ascii="Arial" w:hAnsi="Arial" w:cs="Arial"/>
          <w:sz w:val="20"/>
          <w:szCs w:val="20"/>
        </w:rPr>
        <w:t xml:space="preserve"> at 200, 300, and 400 mg/kg </w:t>
      </w:r>
      <w:proofErr w:type="spellStart"/>
      <w:r w:rsidRPr="00A71266">
        <w:rPr>
          <w:rFonts w:ascii="Arial" w:hAnsi="Arial" w:cs="Arial"/>
          <w:sz w:val="20"/>
          <w:szCs w:val="20"/>
        </w:rPr>
        <w:t>feed</w:t>
      </w:r>
      <w:proofErr w:type="spellEnd"/>
      <w:r w:rsidRPr="00A71266">
        <w:rPr>
          <w:rFonts w:ascii="Arial" w:hAnsi="Arial" w:cs="Arial"/>
          <w:sz w:val="20"/>
          <w:szCs w:val="20"/>
        </w:rPr>
        <w:t xml:space="preserve"> </w:t>
      </w:r>
      <w:proofErr w:type="spellStart"/>
      <w:r w:rsidRPr="00A71266">
        <w:rPr>
          <w:rFonts w:ascii="Arial" w:hAnsi="Arial" w:cs="Arial"/>
          <w:sz w:val="20"/>
          <w:szCs w:val="20"/>
        </w:rPr>
        <w:t>did</w:t>
      </w:r>
      <w:proofErr w:type="spellEnd"/>
      <w:r w:rsidRPr="00A71266">
        <w:rPr>
          <w:rFonts w:ascii="Arial" w:hAnsi="Arial" w:cs="Arial"/>
          <w:sz w:val="20"/>
          <w:szCs w:val="20"/>
        </w:rPr>
        <w:t xml:space="preserve"> not </w:t>
      </w:r>
      <w:proofErr w:type="spellStart"/>
      <w:r w:rsidRPr="00A71266">
        <w:rPr>
          <w:rFonts w:ascii="Arial" w:hAnsi="Arial" w:cs="Arial"/>
          <w:sz w:val="20"/>
          <w:szCs w:val="20"/>
        </w:rPr>
        <w:t>produce</w:t>
      </w:r>
      <w:proofErr w:type="spellEnd"/>
      <w:r w:rsidRPr="00A71266">
        <w:rPr>
          <w:rFonts w:ascii="Arial" w:hAnsi="Arial" w:cs="Arial"/>
          <w:sz w:val="20"/>
          <w:szCs w:val="20"/>
        </w:rPr>
        <w:t xml:space="preserve"> </w:t>
      </w:r>
      <w:proofErr w:type="spellStart"/>
      <w:r w:rsidRPr="00A71266">
        <w:rPr>
          <w:rFonts w:ascii="Arial" w:hAnsi="Arial" w:cs="Arial"/>
          <w:sz w:val="20"/>
          <w:szCs w:val="20"/>
        </w:rPr>
        <w:t>significant</w:t>
      </w:r>
      <w:proofErr w:type="spellEnd"/>
      <w:r w:rsidRPr="00A71266">
        <w:rPr>
          <w:rFonts w:ascii="Arial" w:hAnsi="Arial" w:cs="Arial"/>
          <w:sz w:val="20"/>
          <w:szCs w:val="20"/>
        </w:rPr>
        <w:t xml:space="preserve"> changes in the </w:t>
      </w:r>
      <w:proofErr w:type="spellStart"/>
      <w:r w:rsidRPr="00A71266">
        <w:rPr>
          <w:rFonts w:ascii="Arial" w:hAnsi="Arial" w:cs="Arial"/>
          <w:sz w:val="20"/>
          <w:szCs w:val="20"/>
        </w:rPr>
        <w:t>measured</w:t>
      </w:r>
      <w:proofErr w:type="spellEnd"/>
      <w:r w:rsidRPr="00A71266">
        <w:rPr>
          <w:rFonts w:ascii="Arial" w:hAnsi="Arial" w:cs="Arial"/>
          <w:sz w:val="20"/>
          <w:szCs w:val="20"/>
        </w:rPr>
        <w:t xml:space="preserve"> water-</w:t>
      </w:r>
      <w:proofErr w:type="spellStart"/>
      <w:r w:rsidRPr="00A71266">
        <w:rPr>
          <w:rFonts w:ascii="Arial" w:hAnsi="Arial" w:cs="Arial"/>
          <w:sz w:val="20"/>
          <w:szCs w:val="20"/>
        </w:rPr>
        <w:t>quality</w:t>
      </w:r>
      <w:proofErr w:type="spellEnd"/>
      <w:r w:rsidRPr="00A71266">
        <w:rPr>
          <w:rFonts w:ascii="Arial" w:hAnsi="Arial" w:cs="Arial"/>
          <w:sz w:val="20"/>
          <w:szCs w:val="20"/>
        </w:rPr>
        <w:t xml:space="preserve"> variables, </w:t>
      </w:r>
      <w:proofErr w:type="spellStart"/>
      <w:r w:rsidRPr="00A71266">
        <w:rPr>
          <w:rFonts w:ascii="Arial" w:hAnsi="Arial" w:cs="Arial"/>
          <w:sz w:val="20"/>
          <w:szCs w:val="20"/>
        </w:rPr>
        <w:t>growth</w:t>
      </w:r>
      <w:proofErr w:type="spellEnd"/>
      <w:r w:rsidRPr="00A71266">
        <w:rPr>
          <w:rFonts w:ascii="Arial" w:hAnsi="Arial" w:cs="Arial"/>
          <w:sz w:val="20"/>
          <w:szCs w:val="20"/>
        </w:rPr>
        <w:t xml:space="preserve"> performance, </w:t>
      </w:r>
      <w:proofErr w:type="spellStart"/>
      <w:r w:rsidRPr="00A71266">
        <w:rPr>
          <w:rFonts w:ascii="Arial" w:hAnsi="Arial" w:cs="Arial"/>
          <w:sz w:val="20"/>
          <w:szCs w:val="20"/>
        </w:rPr>
        <w:t>feed</w:t>
      </w:r>
      <w:proofErr w:type="spellEnd"/>
      <w:r w:rsidRPr="00A71266">
        <w:rPr>
          <w:rFonts w:ascii="Arial" w:hAnsi="Arial" w:cs="Arial"/>
          <w:sz w:val="20"/>
          <w:szCs w:val="20"/>
        </w:rPr>
        <w:t xml:space="preserve"> utilisation, </w:t>
      </w:r>
      <w:proofErr w:type="spellStart"/>
      <w:r w:rsidRPr="00A71266">
        <w:rPr>
          <w:rFonts w:ascii="Arial" w:hAnsi="Arial" w:cs="Arial"/>
          <w:sz w:val="20"/>
          <w:szCs w:val="20"/>
        </w:rPr>
        <w:t>survival</w:t>
      </w:r>
      <w:proofErr w:type="spellEnd"/>
      <w:r w:rsidRPr="00A71266">
        <w:rPr>
          <w:rFonts w:ascii="Arial" w:hAnsi="Arial" w:cs="Arial"/>
          <w:sz w:val="20"/>
          <w:szCs w:val="20"/>
        </w:rPr>
        <w:t xml:space="preserve">, or condition factor of Nile tilapia </w:t>
      </w:r>
      <w:proofErr w:type="spellStart"/>
      <w:r w:rsidRPr="00A71266">
        <w:rPr>
          <w:rFonts w:ascii="Arial" w:hAnsi="Arial" w:cs="Arial"/>
          <w:sz w:val="20"/>
          <w:szCs w:val="20"/>
        </w:rPr>
        <w:t>compared</w:t>
      </w:r>
      <w:proofErr w:type="spellEnd"/>
      <w:r w:rsidRPr="00A71266">
        <w:rPr>
          <w:rFonts w:ascii="Arial" w:hAnsi="Arial" w:cs="Arial"/>
          <w:sz w:val="20"/>
          <w:szCs w:val="20"/>
        </w:rPr>
        <w:t xml:space="preserve"> </w:t>
      </w:r>
      <w:proofErr w:type="spellStart"/>
      <w:r w:rsidRPr="00A71266">
        <w:rPr>
          <w:rFonts w:ascii="Arial" w:hAnsi="Arial" w:cs="Arial"/>
          <w:sz w:val="20"/>
          <w:szCs w:val="20"/>
        </w:rPr>
        <w:t>with</w:t>
      </w:r>
      <w:proofErr w:type="spellEnd"/>
      <w:r w:rsidRPr="00A71266">
        <w:rPr>
          <w:rFonts w:ascii="Arial" w:hAnsi="Arial" w:cs="Arial"/>
          <w:sz w:val="20"/>
          <w:szCs w:val="20"/>
        </w:rPr>
        <w:t xml:space="preserve"> the </w:t>
      </w:r>
      <w:proofErr w:type="spellStart"/>
      <w:r w:rsidRPr="00A71266">
        <w:rPr>
          <w:rFonts w:ascii="Arial" w:hAnsi="Arial" w:cs="Arial"/>
          <w:sz w:val="20"/>
          <w:szCs w:val="20"/>
        </w:rPr>
        <w:t>unsupplemented</w:t>
      </w:r>
      <w:proofErr w:type="spellEnd"/>
      <w:r w:rsidRPr="00A71266">
        <w:rPr>
          <w:rFonts w:ascii="Arial" w:hAnsi="Arial" w:cs="Arial"/>
          <w:sz w:val="20"/>
          <w:szCs w:val="20"/>
        </w:rPr>
        <w:t xml:space="preserve"> control. </w:t>
      </w:r>
      <w:proofErr w:type="spellStart"/>
      <w:r w:rsidRPr="00A71266">
        <w:rPr>
          <w:rFonts w:ascii="Arial" w:hAnsi="Arial" w:cs="Arial"/>
          <w:sz w:val="20"/>
          <w:szCs w:val="20"/>
        </w:rPr>
        <w:t>Across</w:t>
      </w:r>
      <w:proofErr w:type="spellEnd"/>
      <w:r w:rsidRPr="00A71266">
        <w:rPr>
          <w:rFonts w:ascii="Arial" w:hAnsi="Arial" w:cs="Arial"/>
          <w:sz w:val="20"/>
          <w:szCs w:val="20"/>
        </w:rPr>
        <w:t xml:space="preserve"> </w:t>
      </w:r>
      <w:proofErr w:type="spellStart"/>
      <w:r w:rsidRPr="00A71266">
        <w:rPr>
          <w:rFonts w:ascii="Arial" w:hAnsi="Arial" w:cs="Arial"/>
          <w:sz w:val="20"/>
          <w:szCs w:val="20"/>
        </w:rPr>
        <w:t>treatments</w:t>
      </w:r>
      <w:proofErr w:type="spellEnd"/>
      <w:r w:rsidRPr="00A71266">
        <w:rPr>
          <w:rFonts w:ascii="Arial" w:hAnsi="Arial" w:cs="Arial"/>
          <w:sz w:val="20"/>
          <w:szCs w:val="20"/>
        </w:rPr>
        <w:t xml:space="preserve">, </w:t>
      </w:r>
      <w:proofErr w:type="spellStart"/>
      <w:r w:rsidRPr="00A71266">
        <w:rPr>
          <w:rFonts w:ascii="Arial" w:hAnsi="Arial" w:cs="Arial"/>
          <w:sz w:val="20"/>
          <w:szCs w:val="20"/>
        </w:rPr>
        <w:t>weight</w:t>
      </w:r>
      <w:proofErr w:type="spellEnd"/>
      <w:r w:rsidRPr="00A71266">
        <w:rPr>
          <w:rFonts w:ascii="Arial" w:hAnsi="Arial" w:cs="Arial"/>
          <w:sz w:val="20"/>
          <w:szCs w:val="20"/>
        </w:rPr>
        <w:t xml:space="preserve"> gain </w:t>
      </w:r>
      <w:proofErr w:type="spellStart"/>
      <w:r w:rsidRPr="00A71266">
        <w:rPr>
          <w:rFonts w:ascii="Arial" w:hAnsi="Arial" w:cs="Arial"/>
          <w:sz w:val="20"/>
          <w:szCs w:val="20"/>
        </w:rPr>
        <w:t>ranged</w:t>
      </w:r>
      <w:proofErr w:type="spellEnd"/>
      <w:r w:rsidRPr="00A71266">
        <w:rPr>
          <w:rFonts w:ascii="Arial" w:hAnsi="Arial" w:cs="Arial"/>
          <w:sz w:val="20"/>
          <w:szCs w:val="20"/>
        </w:rPr>
        <w:t xml:space="preserve"> </w:t>
      </w:r>
      <w:proofErr w:type="spellStart"/>
      <w:r w:rsidRPr="00A71266">
        <w:rPr>
          <w:rFonts w:ascii="Arial" w:hAnsi="Arial" w:cs="Arial"/>
          <w:sz w:val="20"/>
          <w:szCs w:val="20"/>
        </w:rPr>
        <w:t>from</w:t>
      </w:r>
      <w:proofErr w:type="spellEnd"/>
      <w:r w:rsidRPr="00A71266">
        <w:rPr>
          <w:rFonts w:ascii="Arial" w:hAnsi="Arial" w:cs="Arial"/>
          <w:sz w:val="20"/>
          <w:szCs w:val="20"/>
        </w:rPr>
        <w:t xml:space="preserve"> 24.69 ± 9.65 to 28.96 ± 14.45 </w:t>
      </w:r>
      <w:r w:rsidRPr="00A71266">
        <w:rPr>
          <w:rFonts w:ascii="Arial" w:hAnsi="Arial" w:cs="Arial"/>
          <w:sz w:val="20"/>
          <w:szCs w:val="20"/>
        </w:rPr>
        <w:lastRenderedPageBreak/>
        <w:t xml:space="preserve">g, </w:t>
      </w:r>
      <w:proofErr w:type="spellStart"/>
      <w:r w:rsidRPr="00A71266">
        <w:rPr>
          <w:rFonts w:ascii="Arial" w:hAnsi="Arial" w:cs="Arial"/>
          <w:sz w:val="20"/>
          <w:szCs w:val="20"/>
        </w:rPr>
        <w:t>specific</w:t>
      </w:r>
      <w:proofErr w:type="spellEnd"/>
      <w:r w:rsidRPr="00A71266">
        <w:rPr>
          <w:rFonts w:ascii="Arial" w:hAnsi="Arial" w:cs="Arial"/>
          <w:sz w:val="20"/>
          <w:szCs w:val="20"/>
        </w:rPr>
        <w:t xml:space="preserve"> </w:t>
      </w:r>
      <w:proofErr w:type="spellStart"/>
      <w:r w:rsidRPr="00A71266">
        <w:rPr>
          <w:rFonts w:ascii="Arial" w:hAnsi="Arial" w:cs="Arial"/>
          <w:sz w:val="20"/>
          <w:szCs w:val="20"/>
        </w:rPr>
        <w:t>growth</w:t>
      </w:r>
      <w:proofErr w:type="spellEnd"/>
      <w:r w:rsidRPr="00A71266">
        <w:rPr>
          <w:rFonts w:ascii="Arial" w:hAnsi="Arial" w:cs="Arial"/>
          <w:sz w:val="20"/>
          <w:szCs w:val="20"/>
        </w:rPr>
        <w:t xml:space="preserve"> rate </w:t>
      </w:r>
      <w:proofErr w:type="spellStart"/>
      <w:r w:rsidRPr="00A71266">
        <w:rPr>
          <w:rFonts w:ascii="Arial" w:hAnsi="Arial" w:cs="Arial"/>
          <w:sz w:val="20"/>
          <w:szCs w:val="20"/>
        </w:rPr>
        <w:t>from</w:t>
      </w:r>
      <w:proofErr w:type="spellEnd"/>
      <w:r w:rsidRPr="00A71266">
        <w:rPr>
          <w:rFonts w:ascii="Arial" w:hAnsi="Arial" w:cs="Arial"/>
          <w:sz w:val="20"/>
          <w:szCs w:val="20"/>
        </w:rPr>
        <w:t xml:space="preserve"> 1.59 ± 0.35 to 1.75 ± 0.42%/</w:t>
      </w:r>
      <w:proofErr w:type="spellStart"/>
      <w:r w:rsidRPr="00A71266">
        <w:rPr>
          <w:rFonts w:ascii="Arial" w:hAnsi="Arial" w:cs="Arial"/>
          <w:sz w:val="20"/>
          <w:szCs w:val="20"/>
        </w:rPr>
        <w:t>day</w:t>
      </w:r>
      <w:proofErr w:type="spellEnd"/>
      <w:r w:rsidRPr="00A71266">
        <w:rPr>
          <w:rFonts w:ascii="Arial" w:hAnsi="Arial" w:cs="Arial"/>
          <w:sz w:val="20"/>
          <w:szCs w:val="20"/>
        </w:rPr>
        <w:t xml:space="preserve">, </w:t>
      </w:r>
      <w:proofErr w:type="spellStart"/>
      <w:r w:rsidRPr="00A71266">
        <w:rPr>
          <w:rFonts w:ascii="Arial" w:hAnsi="Arial" w:cs="Arial"/>
          <w:sz w:val="20"/>
          <w:szCs w:val="20"/>
        </w:rPr>
        <w:t>survival</w:t>
      </w:r>
      <w:proofErr w:type="spellEnd"/>
      <w:r w:rsidRPr="00A71266">
        <w:rPr>
          <w:rFonts w:ascii="Arial" w:hAnsi="Arial" w:cs="Arial"/>
          <w:sz w:val="20"/>
          <w:szCs w:val="20"/>
        </w:rPr>
        <w:t xml:space="preserve"> </w:t>
      </w:r>
      <w:proofErr w:type="spellStart"/>
      <w:r w:rsidRPr="00A71266">
        <w:rPr>
          <w:rFonts w:ascii="Arial" w:hAnsi="Arial" w:cs="Arial"/>
          <w:sz w:val="20"/>
          <w:szCs w:val="20"/>
        </w:rPr>
        <w:t>from</w:t>
      </w:r>
      <w:proofErr w:type="spellEnd"/>
      <w:r w:rsidRPr="00A71266">
        <w:rPr>
          <w:rFonts w:ascii="Arial" w:hAnsi="Arial" w:cs="Arial"/>
          <w:sz w:val="20"/>
          <w:szCs w:val="20"/>
        </w:rPr>
        <w:t xml:space="preserve"> 91.11% to 95.56%, and </w:t>
      </w:r>
      <w:proofErr w:type="spellStart"/>
      <w:r w:rsidRPr="00A71266">
        <w:rPr>
          <w:rFonts w:ascii="Arial" w:hAnsi="Arial" w:cs="Arial"/>
          <w:sz w:val="20"/>
          <w:szCs w:val="20"/>
        </w:rPr>
        <w:t>feed</w:t>
      </w:r>
      <w:proofErr w:type="spellEnd"/>
      <w:r w:rsidRPr="00A71266">
        <w:rPr>
          <w:rFonts w:ascii="Arial" w:hAnsi="Arial" w:cs="Arial"/>
          <w:sz w:val="20"/>
          <w:szCs w:val="20"/>
        </w:rPr>
        <w:t xml:space="preserve"> conversion ratio </w:t>
      </w:r>
      <w:proofErr w:type="spellStart"/>
      <w:r w:rsidRPr="00A71266">
        <w:rPr>
          <w:rFonts w:ascii="Arial" w:hAnsi="Arial" w:cs="Arial"/>
          <w:sz w:val="20"/>
          <w:szCs w:val="20"/>
        </w:rPr>
        <w:t>from</w:t>
      </w:r>
      <w:proofErr w:type="spellEnd"/>
      <w:r w:rsidRPr="00A71266">
        <w:rPr>
          <w:rFonts w:ascii="Arial" w:hAnsi="Arial" w:cs="Arial"/>
          <w:sz w:val="20"/>
          <w:szCs w:val="20"/>
        </w:rPr>
        <w:t xml:space="preserve"> 1.67 ± 0.15 to 1.87 ± 0.21. Condition factor values </w:t>
      </w:r>
      <w:proofErr w:type="spellStart"/>
      <w:r w:rsidRPr="00A71266">
        <w:rPr>
          <w:rFonts w:ascii="Arial" w:hAnsi="Arial" w:cs="Arial"/>
          <w:sz w:val="20"/>
          <w:szCs w:val="20"/>
        </w:rPr>
        <w:t>remained</w:t>
      </w:r>
      <w:proofErr w:type="spellEnd"/>
      <w:r w:rsidRPr="00A71266">
        <w:rPr>
          <w:rFonts w:ascii="Arial" w:hAnsi="Arial" w:cs="Arial"/>
          <w:sz w:val="20"/>
          <w:szCs w:val="20"/>
        </w:rPr>
        <w:t xml:space="preserve"> </w:t>
      </w:r>
      <w:proofErr w:type="spellStart"/>
      <w:r w:rsidRPr="00A71266">
        <w:rPr>
          <w:rFonts w:ascii="Arial" w:hAnsi="Arial" w:cs="Arial"/>
          <w:sz w:val="20"/>
          <w:szCs w:val="20"/>
        </w:rPr>
        <w:t>above</w:t>
      </w:r>
      <w:proofErr w:type="spellEnd"/>
      <w:r w:rsidRPr="00A71266">
        <w:rPr>
          <w:rFonts w:ascii="Arial" w:hAnsi="Arial" w:cs="Arial"/>
          <w:sz w:val="20"/>
          <w:szCs w:val="20"/>
        </w:rPr>
        <w:t xml:space="preserve"> 2.0 in all groups and </w:t>
      </w:r>
      <w:proofErr w:type="spellStart"/>
      <w:r w:rsidRPr="00A71266">
        <w:rPr>
          <w:rFonts w:ascii="Arial" w:hAnsi="Arial" w:cs="Arial"/>
          <w:sz w:val="20"/>
          <w:szCs w:val="20"/>
        </w:rPr>
        <w:t>ranged</w:t>
      </w:r>
      <w:proofErr w:type="spellEnd"/>
      <w:r w:rsidRPr="00A71266">
        <w:rPr>
          <w:rFonts w:ascii="Arial" w:hAnsi="Arial" w:cs="Arial"/>
          <w:sz w:val="20"/>
          <w:szCs w:val="20"/>
        </w:rPr>
        <w:t xml:space="preserve"> </w:t>
      </w:r>
      <w:proofErr w:type="spellStart"/>
      <w:r w:rsidRPr="00A71266">
        <w:rPr>
          <w:rFonts w:ascii="Arial" w:hAnsi="Arial" w:cs="Arial"/>
          <w:sz w:val="20"/>
          <w:szCs w:val="20"/>
        </w:rPr>
        <w:t>from</w:t>
      </w:r>
      <w:proofErr w:type="spellEnd"/>
      <w:r w:rsidRPr="00A71266">
        <w:rPr>
          <w:rFonts w:ascii="Arial" w:hAnsi="Arial" w:cs="Arial"/>
          <w:sz w:val="20"/>
          <w:szCs w:val="20"/>
        </w:rPr>
        <w:t xml:space="preserve"> 2.22 ± 0.23 to 2.29 ± 0.17. </w:t>
      </w:r>
      <w:proofErr w:type="spellStart"/>
      <w:r w:rsidRPr="00A71266">
        <w:rPr>
          <w:rFonts w:ascii="Arial" w:hAnsi="Arial" w:cs="Arial"/>
          <w:sz w:val="20"/>
          <w:szCs w:val="20"/>
        </w:rPr>
        <w:t>Therefore</w:t>
      </w:r>
      <w:proofErr w:type="spellEnd"/>
      <w:r w:rsidRPr="00A71266">
        <w:rPr>
          <w:rFonts w:ascii="Arial" w:hAnsi="Arial" w:cs="Arial"/>
          <w:sz w:val="20"/>
          <w:szCs w:val="20"/>
        </w:rPr>
        <w:t xml:space="preserve">, the </w:t>
      </w:r>
      <w:proofErr w:type="spellStart"/>
      <w:r w:rsidRPr="00A71266">
        <w:rPr>
          <w:rFonts w:ascii="Arial" w:hAnsi="Arial" w:cs="Arial"/>
          <w:sz w:val="20"/>
          <w:szCs w:val="20"/>
        </w:rPr>
        <w:t>tested</w:t>
      </w:r>
      <w:proofErr w:type="spellEnd"/>
      <w:r w:rsidRPr="00A71266">
        <w:rPr>
          <w:rFonts w:ascii="Arial" w:hAnsi="Arial" w:cs="Arial"/>
          <w:sz w:val="20"/>
          <w:szCs w:val="20"/>
        </w:rPr>
        <w:t xml:space="preserve"> inclusion </w:t>
      </w:r>
      <w:proofErr w:type="spellStart"/>
      <w:r w:rsidRPr="00A71266">
        <w:rPr>
          <w:rFonts w:ascii="Arial" w:hAnsi="Arial" w:cs="Arial"/>
          <w:sz w:val="20"/>
          <w:szCs w:val="20"/>
        </w:rPr>
        <w:t>levels</w:t>
      </w:r>
      <w:proofErr w:type="spellEnd"/>
      <w:r w:rsidRPr="00A71266">
        <w:rPr>
          <w:rFonts w:ascii="Arial" w:hAnsi="Arial" w:cs="Arial"/>
          <w:sz w:val="20"/>
          <w:szCs w:val="20"/>
        </w:rPr>
        <w:t xml:space="preserve"> </w:t>
      </w:r>
      <w:proofErr w:type="spellStart"/>
      <w:r w:rsidRPr="00A71266">
        <w:rPr>
          <w:rFonts w:ascii="Arial" w:hAnsi="Arial" w:cs="Arial"/>
          <w:sz w:val="20"/>
          <w:szCs w:val="20"/>
        </w:rPr>
        <w:t>did</w:t>
      </w:r>
      <w:proofErr w:type="spellEnd"/>
      <w:r w:rsidRPr="00A71266">
        <w:rPr>
          <w:rFonts w:ascii="Arial" w:hAnsi="Arial" w:cs="Arial"/>
          <w:sz w:val="20"/>
          <w:szCs w:val="20"/>
        </w:rPr>
        <w:t xml:space="preserve"> not </w:t>
      </w:r>
      <w:proofErr w:type="spellStart"/>
      <w:r w:rsidRPr="00A71266">
        <w:rPr>
          <w:rFonts w:ascii="Arial" w:hAnsi="Arial" w:cs="Arial"/>
          <w:sz w:val="20"/>
          <w:szCs w:val="20"/>
        </w:rPr>
        <w:t>demonstrate</w:t>
      </w:r>
      <w:proofErr w:type="spellEnd"/>
      <w:r w:rsidRPr="00A71266">
        <w:rPr>
          <w:rFonts w:ascii="Arial" w:hAnsi="Arial" w:cs="Arial"/>
          <w:sz w:val="20"/>
          <w:szCs w:val="20"/>
        </w:rPr>
        <w:t xml:space="preserve"> a </w:t>
      </w:r>
      <w:proofErr w:type="spellStart"/>
      <w:r w:rsidRPr="00A71266">
        <w:rPr>
          <w:rFonts w:ascii="Arial" w:hAnsi="Arial" w:cs="Arial"/>
          <w:sz w:val="20"/>
          <w:szCs w:val="20"/>
        </w:rPr>
        <w:t>significant</w:t>
      </w:r>
      <w:proofErr w:type="spellEnd"/>
      <w:r w:rsidRPr="00A71266">
        <w:rPr>
          <w:rFonts w:ascii="Arial" w:hAnsi="Arial" w:cs="Arial"/>
          <w:sz w:val="20"/>
          <w:szCs w:val="20"/>
        </w:rPr>
        <w:t xml:space="preserve"> </w:t>
      </w:r>
      <w:proofErr w:type="spellStart"/>
      <w:r w:rsidRPr="00A71266">
        <w:rPr>
          <w:rFonts w:ascii="Arial" w:hAnsi="Arial" w:cs="Arial"/>
          <w:sz w:val="20"/>
          <w:szCs w:val="20"/>
        </w:rPr>
        <w:t>growth-promoting</w:t>
      </w:r>
      <w:proofErr w:type="spellEnd"/>
      <w:r w:rsidRPr="00A71266">
        <w:rPr>
          <w:rFonts w:ascii="Arial" w:hAnsi="Arial" w:cs="Arial"/>
          <w:sz w:val="20"/>
          <w:szCs w:val="20"/>
        </w:rPr>
        <w:t xml:space="preserve"> </w:t>
      </w:r>
      <w:proofErr w:type="spellStart"/>
      <w:r w:rsidRPr="00A71266">
        <w:rPr>
          <w:rFonts w:ascii="Arial" w:hAnsi="Arial" w:cs="Arial"/>
          <w:sz w:val="20"/>
          <w:szCs w:val="20"/>
        </w:rPr>
        <w:t>effect</w:t>
      </w:r>
      <w:proofErr w:type="spellEnd"/>
      <w:r w:rsidRPr="00A71266">
        <w:rPr>
          <w:rFonts w:ascii="Arial" w:hAnsi="Arial" w:cs="Arial"/>
          <w:sz w:val="20"/>
          <w:szCs w:val="20"/>
        </w:rPr>
        <w:t xml:space="preserve"> </w:t>
      </w:r>
      <w:proofErr w:type="spellStart"/>
      <w:r w:rsidRPr="00A71266">
        <w:rPr>
          <w:rFonts w:ascii="Arial" w:hAnsi="Arial" w:cs="Arial"/>
          <w:sz w:val="20"/>
          <w:szCs w:val="20"/>
        </w:rPr>
        <w:t>under</w:t>
      </w:r>
      <w:proofErr w:type="spellEnd"/>
      <w:r w:rsidRPr="00A71266">
        <w:rPr>
          <w:rFonts w:ascii="Arial" w:hAnsi="Arial" w:cs="Arial"/>
          <w:sz w:val="20"/>
          <w:szCs w:val="20"/>
        </w:rPr>
        <w:t xml:space="preserve"> the </w:t>
      </w:r>
      <w:proofErr w:type="spellStart"/>
      <w:r w:rsidRPr="00A71266">
        <w:rPr>
          <w:rFonts w:ascii="Arial" w:hAnsi="Arial" w:cs="Arial"/>
          <w:sz w:val="20"/>
          <w:szCs w:val="20"/>
        </w:rPr>
        <w:t>experimental</w:t>
      </w:r>
      <w:proofErr w:type="spellEnd"/>
      <w:r w:rsidRPr="00A71266">
        <w:rPr>
          <w:rFonts w:ascii="Arial" w:hAnsi="Arial" w:cs="Arial"/>
          <w:sz w:val="20"/>
          <w:szCs w:val="20"/>
        </w:rPr>
        <w:t xml:space="preserve"> conditions, </w:t>
      </w:r>
      <w:proofErr w:type="spellStart"/>
      <w:r w:rsidRPr="00A71266">
        <w:rPr>
          <w:rFonts w:ascii="Arial" w:hAnsi="Arial" w:cs="Arial"/>
          <w:sz w:val="20"/>
          <w:szCs w:val="20"/>
        </w:rPr>
        <w:t>while</w:t>
      </w:r>
      <w:proofErr w:type="spellEnd"/>
      <w:r w:rsidRPr="00A71266">
        <w:rPr>
          <w:rFonts w:ascii="Arial" w:hAnsi="Arial" w:cs="Arial"/>
          <w:sz w:val="20"/>
          <w:szCs w:val="20"/>
        </w:rPr>
        <w:t xml:space="preserve"> no adverse change </w:t>
      </w:r>
      <w:proofErr w:type="spellStart"/>
      <w:r w:rsidRPr="00A71266">
        <w:rPr>
          <w:rFonts w:ascii="Arial" w:hAnsi="Arial" w:cs="Arial"/>
          <w:sz w:val="20"/>
          <w:szCs w:val="20"/>
        </w:rPr>
        <w:t>was</w:t>
      </w:r>
      <w:proofErr w:type="spellEnd"/>
      <w:r w:rsidRPr="00A71266">
        <w:rPr>
          <w:rFonts w:ascii="Arial" w:hAnsi="Arial" w:cs="Arial"/>
          <w:sz w:val="20"/>
          <w:szCs w:val="20"/>
        </w:rPr>
        <w:t xml:space="preserve"> </w:t>
      </w:r>
      <w:proofErr w:type="spellStart"/>
      <w:r w:rsidRPr="00A71266">
        <w:rPr>
          <w:rFonts w:ascii="Arial" w:hAnsi="Arial" w:cs="Arial"/>
          <w:sz w:val="20"/>
          <w:szCs w:val="20"/>
        </w:rPr>
        <w:t>detected</w:t>
      </w:r>
      <w:proofErr w:type="spellEnd"/>
      <w:r w:rsidRPr="00A71266">
        <w:rPr>
          <w:rFonts w:ascii="Arial" w:hAnsi="Arial" w:cs="Arial"/>
          <w:sz w:val="20"/>
          <w:szCs w:val="20"/>
        </w:rPr>
        <w:t xml:space="preserve"> in the </w:t>
      </w:r>
      <w:proofErr w:type="spellStart"/>
      <w:r w:rsidRPr="00A71266">
        <w:rPr>
          <w:rFonts w:ascii="Arial" w:hAnsi="Arial" w:cs="Arial"/>
          <w:sz w:val="20"/>
          <w:szCs w:val="20"/>
        </w:rPr>
        <w:t>measured</w:t>
      </w:r>
      <w:proofErr w:type="spellEnd"/>
      <w:r w:rsidRPr="00A71266">
        <w:rPr>
          <w:rFonts w:ascii="Arial" w:hAnsi="Arial" w:cs="Arial"/>
          <w:sz w:val="20"/>
          <w:szCs w:val="20"/>
        </w:rPr>
        <w:t xml:space="preserve"> performance </w:t>
      </w:r>
      <w:proofErr w:type="spellStart"/>
      <w:r w:rsidRPr="00A71266">
        <w:rPr>
          <w:rFonts w:ascii="Arial" w:hAnsi="Arial" w:cs="Arial"/>
          <w:sz w:val="20"/>
          <w:szCs w:val="20"/>
        </w:rPr>
        <w:t>indicators</w:t>
      </w:r>
      <w:proofErr w:type="spellEnd"/>
      <w:r w:rsidRPr="00A71266">
        <w:rPr>
          <w:rFonts w:ascii="Arial" w:hAnsi="Arial" w:cs="Arial"/>
          <w:sz w:val="20"/>
          <w:szCs w:val="20"/>
        </w:rPr>
        <w:t xml:space="preserve">. </w:t>
      </w:r>
      <w:proofErr w:type="spellStart"/>
      <w:r w:rsidRPr="00A71266">
        <w:rPr>
          <w:rFonts w:ascii="Arial" w:hAnsi="Arial" w:cs="Arial"/>
          <w:sz w:val="20"/>
          <w:szCs w:val="20"/>
        </w:rPr>
        <w:t>Further</w:t>
      </w:r>
      <w:proofErr w:type="spellEnd"/>
      <w:r w:rsidRPr="00A71266">
        <w:rPr>
          <w:rFonts w:ascii="Arial" w:hAnsi="Arial" w:cs="Arial"/>
          <w:sz w:val="20"/>
          <w:szCs w:val="20"/>
        </w:rPr>
        <w:t xml:space="preserve"> investigation of the </w:t>
      </w:r>
      <w:proofErr w:type="spellStart"/>
      <w:r w:rsidRPr="00A71266">
        <w:rPr>
          <w:rFonts w:ascii="Arial" w:hAnsi="Arial" w:cs="Arial"/>
          <w:sz w:val="20"/>
          <w:szCs w:val="20"/>
        </w:rPr>
        <w:t>biochemical</w:t>
      </w:r>
      <w:proofErr w:type="spellEnd"/>
      <w:r w:rsidRPr="00A71266">
        <w:rPr>
          <w:rFonts w:ascii="Arial" w:hAnsi="Arial" w:cs="Arial"/>
          <w:sz w:val="20"/>
          <w:szCs w:val="20"/>
        </w:rPr>
        <w:t xml:space="preserve"> and </w:t>
      </w:r>
      <w:proofErr w:type="spellStart"/>
      <w:r w:rsidRPr="00A71266">
        <w:rPr>
          <w:rFonts w:ascii="Arial" w:hAnsi="Arial" w:cs="Arial"/>
          <w:sz w:val="20"/>
          <w:szCs w:val="20"/>
        </w:rPr>
        <w:t>haematological</w:t>
      </w:r>
      <w:proofErr w:type="spellEnd"/>
      <w:r w:rsidRPr="00A71266">
        <w:rPr>
          <w:rFonts w:ascii="Arial" w:hAnsi="Arial" w:cs="Arial"/>
          <w:sz w:val="20"/>
          <w:szCs w:val="20"/>
        </w:rPr>
        <w:t xml:space="preserve"> </w:t>
      </w:r>
      <w:proofErr w:type="spellStart"/>
      <w:r w:rsidRPr="00A71266">
        <w:rPr>
          <w:rFonts w:ascii="Arial" w:hAnsi="Arial" w:cs="Arial"/>
          <w:sz w:val="20"/>
          <w:szCs w:val="20"/>
        </w:rPr>
        <w:t>responses</w:t>
      </w:r>
      <w:proofErr w:type="spellEnd"/>
      <w:r w:rsidRPr="00A71266">
        <w:rPr>
          <w:rFonts w:ascii="Arial" w:hAnsi="Arial" w:cs="Arial"/>
          <w:sz w:val="20"/>
          <w:szCs w:val="20"/>
        </w:rPr>
        <w:t xml:space="preserve"> </w:t>
      </w:r>
      <w:proofErr w:type="spellStart"/>
      <w:r w:rsidRPr="00A71266">
        <w:rPr>
          <w:rFonts w:ascii="Arial" w:hAnsi="Arial" w:cs="Arial"/>
          <w:sz w:val="20"/>
          <w:szCs w:val="20"/>
        </w:rPr>
        <w:t>associated</w:t>
      </w:r>
      <w:proofErr w:type="spellEnd"/>
      <w:r w:rsidRPr="00A71266">
        <w:rPr>
          <w:rFonts w:ascii="Arial" w:hAnsi="Arial" w:cs="Arial"/>
          <w:sz w:val="20"/>
          <w:szCs w:val="20"/>
        </w:rPr>
        <w:t xml:space="preserve"> </w:t>
      </w:r>
      <w:proofErr w:type="spellStart"/>
      <w:r w:rsidRPr="00A71266">
        <w:rPr>
          <w:rFonts w:ascii="Arial" w:hAnsi="Arial" w:cs="Arial"/>
          <w:sz w:val="20"/>
          <w:szCs w:val="20"/>
        </w:rPr>
        <w:t>with</w:t>
      </w:r>
      <w:proofErr w:type="spellEnd"/>
      <w:r w:rsidRPr="00A71266">
        <w:rPr>
          <w:rFonts w:ascii="Arial" w:hAnsi="Arial" w:cs="Arial"/>
          <w:sz w:val="20"/>
          <w:szCs w:val="20"/>
        </w:rPr>
        <w:t xml:space="preserve"> </w:t>
      </w:r>
      <w:r w:rsidRPr="00A71266">
        <w:rPr>
          <w:rFonts w:ascii="Arial" w:hAnsi="Arial" w:cs="Arial"/>
          <w:i/>
          <w:iCs/>
          <w:sz w:val="20"/>
          <w:szCs w:val="20"/>
        </w:rPr>
        <w:t xml:space="preserve">D. </w:t>
      </w:r>
      <w:proofErr w:type="spellStart"/>
      <w:r w:rsidRPr="00A71266">
        <w:rPr>
          <w:rFonts w:ascii="Arial" w:hAnsi="Arial" w:cs="Arial"/>
          <w:i/>
          <w:iCs/>
          <w:sz w:val="20"/>
          <w:szCs w:val="20"/>
        </w:rPr>
        <w:t>microcarpum</w:t>
      </w:r>
      <w:proofErr w:type="spellEnd"/>
      <w:r w:rsidRPr="00A71266">
        <w:rPr>
          <w:rFonts w:ascii="Arial" w:hAnsi="Arial" w:cs="Arial"/>
          <w:sz w:val="20"/>
          <w:szCs w:val="20"/>
        </w:rPr>
        <w:t xml:space="preserve"> </w:t>
      </w:r>
      <w:proofErr w:type="spellStart"/>
      <w:r w:rsidRPr="00A71266">
        <w:rPr>
          <w:rFonts w:ascii="Arial" w:hAnsi="Arial" w:cs="Arial"/>
          <w:sz w:val="20"/>
          <w:szCs w:val="20"/>
        </w:rPr>
        <w:t>bark</w:t>
      </w:r>
      <w:proofErr w:type="spellEnd"/>
      <w:r w:rsidRPr="00A71266">
        <w:rPr>
          <w:rFonts w:ascii="Arial" w:hAnsi="Arial" w:cs="Arial"/>
          <w:sz w:val="20"/>
          <w:szCs w:val="20"/>
        </w:rPr>
        <w:t xml:space="preserve"> compounds </w:t>
      </w:r>
      <w:proofErr w:type="spellStart"/>
      <w:r w:rsidRPr="00A71266">
        <w:rPr>
          <w:rFonts w:ascii="Arial" w:hAnsi="Arial" w:cs="Arial"/>
          <w:sz w:val="20"/>
          <w:szCs w:val="20"/>
        </w:rPr>
        <w:t>could</w:t>
      </w:r>
      <w:proofErr w:type="spellEnd"/>
      <w:r w:rsidRPr="00A71266">
        <w:rPr>
          <w:rFonts w:ascii="Arial" w:hAnsi="Arial" w:cs="Arial"/>
          <w:sz w:val="20"/>
          <w:szCs w:val="20"/>
        </w:rPr>
        <w:t xml:space="preserve"> </w:t>
      </w:r>
      <w:proofErr w:type="spellStart"/>
      <w:r w:rsidRPr="00A71266">
        <w:rPr>
          <w:rFonts w:ascii="Arial" w:hAnsi="Arial" w:cs="Arial"/>
          <w:sz w:val="20"/>
          <w:szCs w:val="20"/>
        </w:rPr>
        <w:t>provide</w:t>
      </w:r>
      <w:proofErr w:type="spellEnd"/>
      <w:r w:rsidRPr="00A71266">
        <w:rPr>
          <w:rFonts w:ascii="Arial" w:hAnsi="Arial" w:cs="Arial"/>
          <w:sz w:val="20"/>
          <w:szCs w:val="20"/>
        </w:rPr>
        <w:t xml:space="preserve"> </w:t>
      </w:r>
      <w:proofErr w:type="spellStart"/>
      <w:r w:rsidRPr="00A71266">
        <w:rPr>
          <w:rFonts w:ascii="Arial" w:hAnsi="Arial" w:cs="Arial"/>
          <w:sz w:val="20"/>
          <w:szCs w:val="20"/>
        </w:rPr>
        <w:t>additional</w:t>
      </w:r>
      <w:proofErr w:type="spellEnd"/>
      <w:r w:rsidRPr="00A71266">
        <w:rPr>
          <w:rFonts w:ascii="Arial" w:hAnsi="Arial" w:cs="Arial"/>
          <w:sz w:val="20"/>
          <w:szCs w:val="20"/>
        </w:rPr>
        <w:t xml:space="preserve"> </w:t>
      </w:r>
      <w:proofErr w:type="spellStart"/>
      <w:r w:rsidRPr="00A71266">
        <w:rPr>
          <w:rFonts w:ascii="Arial" w:hAnsi="Arial" w:cs="Arial"/>
          <w:sz w:val="20"/>
          <w:szCs w:val="20"/>
        </w:rPr>
        <w:t>evidence</w:t>
      </w:r>
      <w:proofErr w:type="spellEnd"/>
      <w:r w:rsidRPr="00A71266">
        <w:rPr>
          <w:rFonts w:ascii="Arial" w:hAnsi="Arial" w:cs="Arial"/>
          <w:sz w:val="20"/>
          <w:szCs w:val="20"/>
        </w:rPr>
        <w:t xml:space="preserve"> </w:t>
      </w:r>
      <w:proofErr w:type="spellStart"/>
      <w:r w:rsidRPr="00A71266">
        <w:rPr>
          <w:rFonts w:ascii="Arial" w:hAnsi="Arial" w:cs="Arial"/>
          <w:sz w:val="20"/>
          <w:szCs w:val="20"/>
        </w:rPr>
        <w:t>regarding</w:t>
      </w:r>
      <w:proofErr w:type="spellEnd"/>
      <w:r w:rsidRPr="00A71266">
        <w:rPr>
          <w:rFonts w:ascii="Arial" w:hAnsi="Arial" w:cs="Arial"/>
          <w:sz w:val="20"/>
          <w:szCs w:val="20"/>
        </w:rPr>
        <w:t xml:space="preserve"> </w:t>
      </w:r>
      <w:proofErr w:type="spellStart"/>
      <w:r w:rsidRPr="00A71266">
        <w:rPr>
          <w:rFonts w:ascii="Arial" w:hAnsi="Arial" w:cs="Arial"/>
          <w:sz w:val="20"/>
          <w:szCs w:val="20"/>
        </w:rPr>
        <w:t>their</w:t>
      </w:r>
      <w:proofErr w:type="spellEnd"/>
      <w:r w:rsidRPr="00A71266">
        <w:rPr>
          <w:rFonts w:ascii="Arial" w:hAnsi="Arial" w:cs="Arial"/>
          <w:sz w:val="20"/>
          <w:szCs w:val="20"/>
        </w:rPr>
        <w:t xml:space="preserve"> </w:t>
      </w:r>
      <w:proofErr w:type="spellStart"/>
      <w:r w:rsidRPr="00A71266">
        <w:rPr>
          <w:rFonts w:ascii="Arial" w:hAnsi="Arial" w:cs="Arial"/>
          <w:sz w:val="20"/>
          <w:szCs w:val="20"/>
        </w:rPr>
        <w:t>potential</w:t>
      </w:r>
      <w:proofErr w:type="spellEnd"/>
      <w:r w:rsidRPr="00A71266">
        <w:rPr>
          <w:rFonts w:ascii="Arial" w:hAnsi="Arial" w:cs="Arial"/>
          <w:sz w:val="20"/>
          <w:szCs w:val="20"/>
        </w:rPr>
        <w:t xml:space="preserve"> application in plant-</w:t>
      </w:r>
      <w:proofErr w:type="spellStart"/>
      <w:r w:rsidRPr="00A71266">
        <w:rPr>
          <w:rFonts w:ascii="Arial" w:hAnsi="Arial" w:cs="Arial"/>
          <w:sz w:val="20"/>
          <w:szCs w:val="20"/>
        </w:rPr>
        <w:t>based</w:t>
      </w:r>
      <w:proofErr w:type="spellEnd"/>
      <w:r w:rsidRPr="00A71266">
        <w:rPr>
          <w:rFonts w:ascii="Arial" w:hAnsi="Arial" w:cs="Arial"/>
          <w:sz w:val="20"/>
          <w:szCs w:val="20"/>
        </w:rPr>
        <w:t xml:space="preserve"> </w:t>
      </w:r>
      <w:proofErr w:type="spellStart"/>
      <w:r w:rsidRPr="00A71266">
        <w:rPr>
          <w:rFonts w:ascii="Arial" w:hAnsi="Arial" w:cs="Arial"/>
          <w:sz w:val="20"/>
          <w:szCs w:val="20"/>
        </w:rPr>
        <w:t>aquafeed</w:t>
      </w:r>
      <w:proofErr w:type="spellEnd"/>
      <w:r w:rsidRPr="00A71266">
        <w:rPr>
          <w:rFonts w:ascii="Arial" w:hAnsi="Arial" w:cs="Arial"/>
          <w:sz w:val="20"/>
          <w:szCs w:val="20"/>
        </w:rPr>
        <w:t>.</w:t>
      </w:r>
    </w:p>
    <w:p w14:paraId="053722FA" w14:textId="77777777" w:rsidR="00A71266" w:rsidRDefault="00A71266" w:rsidP="005C0517">
      <w:pPr>
        <w:spacing w:after="120" w:line="240" w:lineRule="auto"/>
        <w:jc w:val="both"/>
        <w:rPr>
          <w:rFonts w:ascii="Arial" w:hAnsi="Arial" w:cs="Arial"/>
          <w:sz w:val="20"/>
          <w:szCs w:val="20"/>
        </w:rPr>
      </w:pPr>
    </w:p>
    <w:p w14:paraId="3CF54AFC" w14:textId="2B27A9C0" w:rsidR="00A71266" w:rsidRPr="00A71266" w:rsidRDefault="00A71266" w:rsidP="005C0517">
      <w:pPr>
        <w:spacing w:after="120" w:line="240" w:lineRule="auto"/>
        <w:jc w:val="both"/>
        <w:rPr>
          <w:rFonts w:ascii="Arial" w:hAnsi="Arial" w:cs="Arial"/>
          <w:b/>
          <w:bCs/>
        </w:rPr>
      </w:pPr>
      <w:r w:rsidRPr="00A71266">
        <w:rPr>
          <w:rFonts w:ascii="Arial" w:hAnsi="Arial" w:cs="Arial"/>
          <w:b/>
          <w:bCs/>
        </w:rPr>
        <w:t>LIMITATION</w:t>
      </w:r>
    </w:p>
    <w:p w14:paraId="1451AC0C" w14:textId="5ED67260" w:rsidR="00A71266" w:rsidRDefault="00A71266" w:rsidP="005C0517">
      <w:pPr>
        <w:spacing w:after="120" w:line="240" w:lineRule="auto"/>
        <w:jc w:val="both"/>
        <w:rPr>
          <w:rFonts w:ascii="Arial" w:hAnsi="Arial" w:cs="Arial"/>
          <w:sz w:val="20"/>
          <w:szCs w:val="20"/>
        </w:rPr>
      </w:pPr>
      <w:r w:rsidRPr="00A71266">
        <w:rPr>
          <w:rFonts w:ascii="Arial" w:hAnsi="Arial" w:cs="Arial"/>
          <w:sz w:val="20"/>
          <w:szCs w:val="20"/>
        </w:rPr>
        <w:t xml:space="preserve">This </w:t>
      </w:r>
      <w:proofErr w:type="spellStart"/>
      <w:r w:rsidRPr="00A71266">
        <w:rPr>
          <w:rFonts w:ascii="Arial" w:hAnsi="Arial" w:cs="Arial"/>
          <w:sz w:val="20"/>
          <w:szCs w:val="20"/>
        </w:rPr>
        <w:t>study</w:t>
      </w:r>
      <w:proofErr w:type="spellEnd"/>
      <w:r w:rsidRPr="00A71266">
        <w:rPr>
          <w:rFonts w:ascii="Arial" w:hAnsi="Arial" w:cs="Arial"/>
          <w:sz w:val="20"/>
          <w:szCs w:val="20"/>
        </w:rPr>
        <w:t xml:space="preserve"> </w:t>
      </w:r>
      <w:proofErr w:type="spellStart"/>
      <w:r w:rsidRPr="00A71266">
        <w:rPr>
          <w:rFonts w:ascii="Arial" w:hAnsi="Arial" w:cs="Arial"/>
          <w:sz w:val="20"/>
          <w:szCs w:val="20"/>
        </w:rPr>
        <w:t>focused</w:t>
      </w:r>
      <w:proofErr w:type="spellEnd"/>
      <w:r w:rsidRPr="00A71266">
        <w:rPr>
          <w:rFonts w:ascii="Arial" w:hAnsi="Arial" w:cs="Arial"/>
          <w:sz w:val="20"/>
          <w:szCs w:val="20"/>
        </w:rPr>
        <w:t xml:space="preserve"> on </w:t>
      </w:r>
      <w:proofErr w:type="spellStart"/>
      <w:r w:rsidRPr="00A71266">
        <w:rPr>
          <w:rFonts w:ascii="Arial" w:hAnsi="Arial" w:cs="Arial"/>
          <w:sz w:val="20"/>
          <w:szCs w:val="20"/>
        </w:rPr>
        <w:t>growth</w:t>
      </w:r>
      <w:proofErr w:type="spellEnd"/>
      <w:r w:rsidRPr="00A71266">
        <w:rPr>
          <w:rFonts w:ascii="Arial" w:hAnsi="Arial" w:cs="Arial"/>
          <w:sz w:val="20"/>
          <w:szCs w:val="20"/>
        </w:rPr>
        <w:t xml:space="preserve"> performance, </w:t>
      </w:r>
      <w:proofErr w:type="spellStart"/>
      <w:r w:rsidRPr="00A71266">
        <w:rPr>
          <w:rFonts w:ascii="Arial" w:hAnsi="Arial" w:cs="Arial"/>
          <w:sz w:val="20"/>
          <w:szCs w:val="20"/>
        </w:rPr>
        <w:t>feed</w:t>
      </w:r>
      <w:proofErr w:type="spellEnd"/>
      <w:r w:rsidRPr="00A71266">
        <w:rPr>
          <w:rFonts w:ascii="Arial" w:hAnsi="Arial" w:cs="Arial"/>
          <w:sz w:val="20"/>
          <w:szCs w:val="20"/>
        </w:rPr>
        <w:t xml:space="preserve"> utilisation, </w:t>
      </w:r>
      <w:proofErr w:type="spellStart"/>
      <w:r w:rsidRPr="00A71266">
        <w:rPr>
          <w:rFonts w:ascii="Arial" w:hAnsi="Arial" w:cs="Arial"/>
          <w:sz w:val="20"/>
          <w:szCs w:val="20"/>
        </w:rPr>
        <w:t>survival</w:t>
      </w:r>
      <w:proofErr w:type="spellEnd"/>
      <w:r w:rsidRPr="00A71266">
        <w:rPr>
          <w:rFonts w:ascii="Arial" w:hAnsi="Arial" w:cs="Arial"/>
          <w:sz w:val="20"/>
          <w:szCs w:val="20"/>
        </w:rPr>
        <w:t>, condition factor, and water-</w:t>
      </w:r>
      <w:proofErr w:type="spellStart"/>
      <w:r w:rsidRPr="00A71266">
        <w:rPr>
          <w:rFonts w:ascii="Arial" w:hAnsi="Arial" w:cs="Arial"/>
          <w:sz w:val="20"/>
          <w:szCs w:val="20"/>
        </w:rPr>
        <w:t>quality</w:t>
      </w:r>
      <w:proofErr w:type="spellEnd"/>
      <w:r w:rsidRPr="00A71266">
        <w:rPr>
          <w:rFonts w:ascii="Arial" w:hAnsi="Arial" w:cs="Arial"/>
          <w:sz w:val="20"/>
          <w:szCs w:val="20"/>
        </w:rPr>
        <w:t xml:space="preserve"> variables </w:t>
      </w:r>
      <w:proofErr w:type="spellStart"/>
      <w:r w:rsidRPr="00A71266">
        <w:rPr>
          <w:rFonts w:ascii="Arial" w:hAnsi="Arial" w:cs="Arial"/>
          <w:sz w:val="20"/>
          <w:szCs w:val="20"/>
        </w:rPr>
        <w:t>during</w:t>
      </w:r>
      <w:proofErr w:type="spellEnd"/>
      <w:r w:rsidRPr="00A71266">
        <w:rPr>
          <w:rFonts w:ascii="Arial" w:hAnsi="Arial" w:cs="Arial"/>
          <w:sz w:val="20"/>
          <w:szCs w:val="20"/>
        </w:rPr>
        <w:t xml:space="preserve"> a 90-day </w:t>
      </w:r>
      <w:proofErr w:type="spellStart"/>
      <w:r w:rsidRPr="00A71266">
        <w:rPr>
          <w:rFonts w:ascii="Arial" w:hAnsi="Arial" w:cs="Arial"/>
          <w:sz w:val="20"/>
          <w:szCs w:val="20"/>
        </w:rPr>
        <w:t>feeding</w:t>
      </w:r>
      <w:proofErr w:type="spellEnd"/>
      <w:r w:rsidRPr="00A71266">
        <w:rPr>
          <w:rFonts w:ascii="Arial" w:hAnsi="Arial" w:cs="Arial"/>
          <w:sz w:val="20"/>
          <w:szCs w:val="20"/>
        </w:rPr>
        <w:t xml:space="preserve"> </w:t>
      </w:r>
      <w:proofErr w:type="spellStart"/>
      <w:r w:rsidRPr="00A71266">
        <w:rPr>
          <w:rFonts w:ascii="Arial" w:hAnsi="Arial" w:cs="Arial"/>
          <w:sz w:val="20"/>
          <w:szCs w:val="20"/>
        </w:rPr>
        <w:t>period</w:t>
      </w:r>
      <w:proofErr w:type="spellEnd"/>
      <w:r w:rsidRPr="00A71266">
        <w:rPr>
          <w:rFonts w:ascii="Arial" w:hAnsi="Arial" w:cs="Arial"/>
          <w:sz w:val="20"/>
          <w:szCs w:val="20"/>
        </w:rPr>
        <w:t xml:space="preserve"> </w:t>
      </w:r>
      <w:proofErr w:type="spellStart"/>
      <w:r w:rsidRPr="00A71266">
        <w:rPr>
          <w:rFonts w:ascii="Arial" w:hAnsi="Arial" w:cs="Arial"/>
          <w:sz w:val="20"/>
          <w:szCs w:val="20"/>
        </w:rPr>
        <w:t>using</w:t>
      </w:r>
      <w:proofErr w:type="spellEnd"/>
      <w:r w:rsidRPr="00A71266">
        <w:rPr>
          <w:rFonts w:ascii="Arial" w:hAnsi="Arial" w:cs="Arial"/>
          <w:sz w:val="20"/>
          <w:szCs w:val="20"/>
        </w:rPr>
        <w:t xml:space="preserve"> four </w:t>
      </w:r>
      <w:proofErr w:type="spellStart"/>
      <w:r w:rsidRPr="00A71266">
        <w:rPr>
          <w:rFonts w:ascii="Arial" w:hAnsi="Arial" w:cs="Arial"/>
          <w:sz w:val="20"/>
          <w:szCs w:val="20"/>
        </w:rPr>
        <w:t>dietary</w:t>
      </w:r>
      <w:proofErr w:type="spellEnd"/>
      <w:r w:rsidRPr="00A71266">
        <w:rPr>
          <w:rFonts w:ascii="Arial" w:hAnsi="Arial" w:cs="Arial"/>
          <w:sz w:val="20"/>
          <w:szCs w:val="20"/>
        </w:rPr>
        <w:t xml:space="preserve"> inclusion </w:t>
      </w:r>
      <w:proofErr w:type="spellStart"/>
      <w:r w:rsidRPr="00A71266">
        <w:rPr>
          <w:rFonts w:ascii="Arial" w:hAnsi="Arial" w:cs="Arial"/>
          <w:sz w:val="20"/>
          <w:szCs w:val="20"/>
        </w:rPr>
        <w:t>levels</w:t>
      </w:r>
      <w:proofErr w:type="spellEnd"/>
      <w:r w:rsidRPr="00A71266">
        <w:rPr>
          <w:rFonts w:ascii="Arial" w:hAnsi="Arial" w:cs="Arial"/>
          <w:sz w:val="20"/>
          <w:szCs w:val="20"/>
        </w:rPr>
        <w:t xml:space="preserve"> of </w:t>
      </w:r>
      <w:proofErr w:type="spellStart"/>
      <w:r w:rsidRPr="00A71266">
        <w:rPr>
          <w:rFonts w:ascii="Arial" w:hAnsi="Arial" w:cs="Arial"/>
          <w:i/>
          <w:iCs/>
          <w:sz w:val="20"/>
          <w:szCs w:val="20"/>
        </w:rPr>
        <w:t>Detarium</w:t>
      </w:r>
      <w:proofErr w:type="spellEnd"/>
      <w:r w:rsidRPr="00A71266">
        <w:rPr>
          <w:rFonts w:ascii="Arial" w:hAnsi="Arial" w:cs="Arial"/>
          <w:i/>
          <w:iCs/>
          <w:sz w:val="20"/>
          <w:szCs w:val="20"/>
        </w:rPr>
        <w:t xml:space="preserve"> </w:t>
      </w:r>
      <w:proofErr w:type="spellStart"/>
      <w:r w:rsidRPr="00A71266">
        <w:rPr>
          <w:rFonts w:ascii="Arial" w:hAnsi="Arial" w:cs="Arial"/>
          <w:i/>
          <w:iCs/>
          <w:sz w:val="20"/>
          <w:szCs w:val="20"/>
        </w:rPr>
        <w:t>microcarpum</w:t>
      </w:r>
      <w:proofErr w:type="spellEnd"/>
      <w:r w:rsidRPr="00A71266">
        <w:rPr>
          <w:rFonts w:ascii="Arial" w:hAnsi="Arial" w:cs="Arial"/>
          <w:sz w:val="20"/>
          <w:szCs w:val="20"/>
        </w:rPr>
        <w:t xml:space="preserve"> </w:t>
      </w:r>
      <w:proofErr w:type="spellStart"/>
      <w:r w:rsidRPr="00A71266">
        <w:rPr>
          <w:rFonts w:ascii="Arial" w:hAnsi="Arial" w:cs="Arial"/>
          <w:sz w:val="20"/>
          <w:szCs w:val="20"/>
        </w:rPr>
        <w:t>bark</w:t>
      </w:r>
      <w:proofErr w:type="spellEnd"/>
      <w:r w:rsidRPr="00A71266">
        <w:rPr>
          <w:rFonts w:ascii="Arial" w:hAnsi="Arial" w:cs="Arial"/>
          <w:sz w:val="20"/>
          <w:szCs w:val="20"/>
        </w:rPr>
        <w:t xml:space="preserve"> </w:t>
      </w:r>
      <w:proofErr w:type="spellStart"/>
      <w:r w:rsidRPr="00A71266">
        <w:rPr>
          <w:rFonts w:ascii="Arial" w:hAnsi="Arial" w:cs="Arial"/>
          <w:sz w:val="20"/>
          <w:szCs w:val="20"/>
        </w:rPr>
        <w:t>extract</w:t>
      </w:r>
      <w:proofErr w:type="spellEnd"/>
      <w:r w:rsidRPr="00A71266">
        <w:rPr>
          <w:rFonts w:ascii="Arial" w:hAnsi="Arial" w:cs="Arial"/>
          <w:sz w:val="20"/>
          <w:szCs w:val="20"/>
        </w:rPr>
        <w:t xml:space="preserve">. </w:t>
      </w:r>
      <w:proofErr w:type="spellStart"/>
      <w:r w:rsidRPr="00A71266">
        <w:rPr>
          <w:rFonts w:ascii="Arial" w:hAnsi="Arial" w:cs="Arial"/>
          <w:sz w:val="20"/>
          <w:szCs w:val="20"/>
        </w:rPr>
        <w:t>Biochemical</w:t>
      </w:r>
      <w:proofErr w:type="spellEnd"/>
      <w:r w:rsidRPr="00A71266">
        <w:rPr>
          <w:rFonts w:ascii="Arial" w:hAnsi="Arial" w:cs="Arial"/>
          <w:sz w:val="20"/>
          <w:szCs w:val="20"/>
        </w:rPr>
        <w:t xml:space="preserve"> and </w:t>
      </w:r>
      <w:proofErr w:type="spellStart"/>
      <w:r w:rsidRPr="00A71266">
        <w:rPr>
          <w:rFonts w:ascii="Arial" w:hAnsi="Arial" w:cs="Arial"/>
          <w:sz w:val="20"/>
          <w:szCs w:val="20"/>
        </w:rPr>
        <w:t>haematological</w:t>
      </w:r>
      <w:proofErr w:type="spellEnd"/>
      <w:r w:rsidRPr="00A71266">
        <w:rPr>
          <w:rFonts w:ascii="Arial" w:hAnsi="Arial" w:cs="Arial"/>
          <w:sz w:val="20"/>
          <w:szCs w:val="20"/>
        </w:rPr>
        <w:t xml:space="preserve"> </w:t>
      </w:r>
      <w:proofErr w:type="spellStart"/>
      <w:r w:rsidRPr="00A71266">
        <w:rPr>
          <w:rFonts w:ascii="Arial" w:hAnsi="Arial" w:cs="Arial"/>
          <w:sz w:val="20"/>
          <w:szCs w:val="20"/>
        </w:rPr>
        <w:t>responses</w:t>
      </w:r>
      <w:proofErr w:type="spellEnd"/>
      <w:r w:rsidRPr="00A71266">
        <w:rPr>
          <w:rFonts w:ascii="Arial" w:hAnsi="Arial" w:cs="Arial"/>
          <w:sz w:val="20"/>
          <w:szCs w:val="20"/>
        </w:rPr>
        <w:t xml:space="preserve"> </w:t>
      </w:r>
      <w:proofErr w:type="spellStart"/>
      <w:r w:rsidRPr="00A71266">
        <w:rPr>
          <w:rFonts w:ascii="Arial" w:hAnsi="Arial" w:cs="Arial"/>
          <w:sz w:val="20"/>
          <w:szCs w:val="20"/>
        </w:rPr>
        <w:t>were</w:t>
      </w:r>
      <w:proofErr w:type="spellEnd"/>
      <w:r w:rsidRPr="00A71266">
        <w:rPr>
          <w:rFonts w:ascii="Arial" w:hAnsi="Arial" w:cs="Arial"/>
          <w:sz w:val="20"/>
          <w:szCs w:val="20"/>
        </w:rPr>
        <w:t xml:space="preserve"> not </w:t>
      </w:r>
      <w:proofErr w:type="spellStart"/>
      <w:r w:rsidRPr="00A71266">
        <w:rPr>
          <w:rFonts w:ascii="Arial" w:hAnsi="Arial" w:cs="Arial"/>
          <w:sz w:val="20"/>
          <w:szCs w:val="20"/>
        </w:rPr>
        <w:t>among</w:t>
      </w:r>
      <w:proofErr w:type="spellEnd"/>
      <w:r w:rsidRPr="00A71266">
        <w:rPr>
          <w:rFonts w:ascii="Arial" w:hAnsi="Arial" w:cs="Arial"/>
          <w:sz w:val="20"/>
          <w:szCs w:val="20"/>
        </w:rPr>
        <w:t xml:space="preserve"> the </w:t>
      </w:r>
      <w:proofErr w:type="spellStart"/>
      <w:r w:rsidRPr="00A71266">
        <w:rPr>
          <w:rFonts w:ascii="Arial" w:hAnsi="Arial" w:cs="Arial"/>
          <w:sz w:val="20"/>
          <w:szCs w:val="20"/>
        </w:rPr>
        <w:t>evaluated</w:t>
      </w:r>
      <w:proofErr w:type="spellEnd"/>
      <w:r w:rsidRPr="00A71266">
        <w:rPr>
          <w:rFonts w:ascii="Arial" w:hAnsi="Arial" w:cs="Arial"/>
          <w:sz w:val="20"/>
          <w:szCs w:val="20"/>
        </w:rPr>
        <w:t xml:space="preserve"> </w:t>
      </w:r>
      <w:proofErr w:type="spellStart"/>
      <w:r w:rsidRPr="00A71266">
        <w:rPr>
          <w:rFonts w:ascii="Arial" w:hAnsi="Arial" w:cs="Arial"/>
          <w:sz w:val="20"/>
          <w:szCs w:val="20"/>
        </w:rPr>
        <w:t>outcomes</w:t>
      </w:r>
      <w:proofErr w:type="spellEnd"/>
      <w:r w:rsidRPr="00A71266">
        <w:rPr>
          <w:rFonts w:ascii="Arial" w:hAnsi="Arial" w:cs="Arial"/>
          <w:sz w:val="20"/>
          <w:szCs w:val="20"/>
        </w:rPr>
        <w:t xml:space="preserve">. </w:t>
      </w:r>
      <w:proofErr w:type="spellStart"/>
      <w:r w:rsidRPr="00A71266">
        <w:rPr>
          <w:rFonts w:ascii="Arial" w:hAnsi="Arial" w:cs="Arial"/>
          <w:sz w:val="20"/>
          <w:szCs w:val="20"/>
        </w:rPr>
        <w:t>Accordingly</w:t>
      </w:r>
      <w:proofErr w:type="spellEnd"/>
      <w:r w:rsidRPr="00A71266">
        <w:rPr>
          <w:rFonts w:ascii="Arial" w:hAnsi="Arial" w:cs="Arial"/>
          <w:sz w:val="20"/>
          <w:szCs w:val="20"/>
        </w:rPr>
        <w:t xml:space="preserve">, the </w:t>
      </w:r>
      <w:proofErr w:type="spellStart"/>
      <w:r w:rsidRPr="00A71266">
        <w:rPr>
          <w:rFonts w:ascii="Arial" w:hAnsi="Arial" w:cs="Arial"/>
          <w:sz w:val="20"/>
          <w:szCs w:val="20"/>
        </w:rPr>
        <w:t>findings</w:t>
      </w:r>
      <w:proofErr w:type="spellEnd"/>
      <w:r w:rsidRPr="00A71266">
        <w:rPr>
          <w:rFonts w:ascii="Arial" w:hAnsi="Arial" w:cs="Arial"/>
          <w:sz w:val="20"/>
          <w:szCs w:val="20"/>
        </w:rPr>
        <w:t xml:space="preserve"> are </w:t>
      </w:r>
      <w:proofErr w:type="spellStart"/>
      <w:r w:rsidRPr="00A71266">
        <w:rPr>
          <w:rFonts w:ascii="Arial" w:hAnsi="Arial" w:cs="Arial"/>
          <w:sz w:val="20"/>
          <w:szCs w:val="20"/>
        </w:rPr>
        <w:t>limited</w:t>
      </w:r>
      <w:proofErr w:type="spellEnd"/>
      <w:r w:rsidRPr="00A71266">
        <w:rPr>
          <w:rFonts w:ascii="Arial" w:hAnsi="Arial" w:cs="Arial"/>
          <w:sz w:val="20"/>
          <w:szCs w:val="20"/>
        </w:rPr>
        <w:t xml:space="preserve"> to the </w:t>
      </w:r>
      <w:proofErr w:type="spellStart"/>
      <w:r w:rsidRPr="00A71266">
        <w:rPr>
          <w:rFonts w:ascii="Arial" w:hAnsi="Arial" w:cs="Arial"/>
          <w:sz w:val="20"/>
          <w:szCs w:val="20"/>
        </w:rPr>
        <w:t>measured</w:t>
      </w:r>
      <w:proofErr w:type="spellEnd"/>
      <w:r w:rsidRPr="00A71266">
        <w:rPr>
          <w:rFonts w:ascii="Arial" w:hAnsi="Arial" w:cs="Arial"/>
          <w:sz w:val="20"/>
          <w:szCs w:val="20"/>
        </w:rPr>
        <w:t xml:space="preserve"> performance and condition </w:t>
      </w:r>
      <w:proofErr w:type="spellStart"/>
      <w:r w:rsidRPr="00A71266">
        <w:rPr>
          <w:rFonts w:ascii="Arial" w:hAnsi="Arial" w:cs="Arial"/>
          <w:sz w:val="20"/>
          <w:szCs w:val="20"/>
        </w:rPr>
        <w:t>indicators</w:t>
      </w:r>
      <w:proofErr w:type="spellEnd"/>
      <w:r w:rsidRPr="00A71266">
        <w:rPr>
          <w:rFonts w:ascii="Arial" w:hAnsi="Arial" w:cs="Arial"/>
          <w:sz w:val="20"/>
          <w:szCs w:val="20"/>
        </w:rPr>
        <w:t xml:space="preserve"> </w:t>
      </w:r>
      <w:proofErr w:type="spellStart"/>
      <w:r w:rsidRPr="00A71266">
        <w:rPr>
          <w:rFonts w:ascii="Arial" w:hAnsi="Arial" w:cs="Arial"/>
          <w:sz w:val="20"/>
          <w:szCs w:val="20"/>
        </w:rPr>
        <w:t>under</w:t>
      </w:r>
      <w:proofErr w:type="spellEnd"/>
      <w:r w:rsidRPr="00A71266">
        <w:rPr>
          <w:rFonts w:ascii="Arial" w:hAnsi="Arial" w:cs="Arial"/>
          <w:sz w:val="20"/>
          <w:szCs w:val="20"/>
        </w:rPr>
        <w:t xml:space="preserve"> the </w:t>
      </w:r>
      <w:proofErr w:type="spellStart"/>
      <w:r w:rsidRPr="00A71266">
        <w:rPr>
          <w:rFonts w:ascii="Arial" w:hAnsi="Arial" w:cs="Arial"/>
          <w:sz w:val="20"/>
          <w:szCs w:val="20"/>
        </w:rPr>
        <w:t>tested</w:t>
      </w:r>
      <w:proofErr w:type="spellEnd"/>
      <w:r w:rsidRPr="00A71266">
        <w:rPr>
          <w:rFonts w:ascii="Arial" w:hAnsi="Arial" w:cs="Arial"/>
          <w:sz w:val="20"/>
          <w:szCs w:val="20"/>
        </w:rPr>
        <w:t xml:space="preserve"> </w:t>
      </w:r>
      <w:proofErr w:type="spellStart"/>
      <w:r w:rsidRPr="00A71266">
        <w:rPr>
          <w:rFonts w:ascii="Arial" w:hAnsi="Arial" w:cs="Arial"/>
          <w:sz w:val="20"/>
          <w:szCs w:val="20"/>
        </w:rPr>
        <w:t>experimental</w:t>
      </w:r>
      <w:proofErr w:type="spellEnd"/>
      <w:r w:rsidRPr="00A71266">
        <w:rPr>
          <w:rFonts w:ascii="Arial" w:hAnsi="Arial" w:cs="Arial"/>
          <w:sz w:val="20"/>
          <w:szCs w:val="20"/>
        </w:rPr>
        <w:t xml:space="preserve"> conditions and do not </w:t>
      </w:r>
      <w:proofErr w:type="spellStart"/>
      <w:r w:rsidRPr="00A71266">
        <w:rPr>
          <w:rFonts w:ascii="Arial" w:hAnsi="Arial" w:cs="Arial"/>
          <w:sz w:val="20"/>
          <w:szCs w:val="20"/>
        </w:rPr>
        <w:t>establish</w:t>
      </w:r>
      <w:proofErr w:type="spellEnd"/>
      <w:r w:rsidRPr="00A71266">
        <w:rPr>
          <w:rFonts w:ascii="Arial" w:hAnsi="Arial" w:cs="Arial"/>
          <w:sz w:val="20"/>
          <w:szCs w:val="20"/>
        </w:rPr>
        <w:t xml:space="preserve"> the </w:t>
      </w:r>
      <w:proofErr w:type="spellStart"/>
      <w:r w:rsidRPr="00A71266">
        <w:rPr>
          <w:rFonts w:ascii="Arial" w:hAnsi="Arial" w:cs="Arial"/>
          <w:sz w:val="20"/>
          <w:szCs w:val="20"/>
        </w:rPr>
        <w:t>physiological</w:t>
      </w:r>
      <w:proofErr w:type="spellEnd"/>
      <w:r w:rsidRPr="00A71266">
        <w:rPr>
          <w:rFonts w:ascii="Arial" w:hAnsi="Arial" w:cs="Arial"/>
          <w:sz w:val="20"/>
          <w:szCs w:val="20"/>
        </w:rPr>
        <w:t xml:space="preserve"> </w:t>
      </w:r>
      <w:proofErr w:type="spellStart"/>
      <w:r w:rsidRPr="00A71266">
        <w:rPr>
          <w:rFonts w:ascii="Arial" w:hAnsi="Arial" w:cs="Arial"/>
          <w:sz w:val="20"/>
          <w:szCs w:val="20"/>
        </w:rPr>
        <w:t>mechanisms</w:t>
      </w:r>
      <w:proofErr w:type="spellEnd"/>
      <w:r w:rsidRPr="00A71266">
        <w:rPr>
          <w:rFonts w:ascii="Arial" w:hAnsi="Arial" w:cs="Arial"/>
          <w:sz w:val="20"/>
          <w:szCs w:val="20"/>
        </w:rPr>
        <w:t xml:space="preserve"> </w:t>
      </w:r>
      <w:proofErr w:type="spellStart"/>
      <w:r w:rsidRPr="00A71266">
        <w:rPr>
          <w:rFonts w:ascii="Arial" w:hAnsi="Arial" w:cs="Arial"/>
          <w:sz w:val="20"/>
          <w:szCs w:val="20"/>
        </w:rPr>
        <w:t>through</w:t>
      </w:r>
      <w:proofErr w:type="spellEnd"/>
      <w:r w:rsidRPr="00A71266">
        <w:rPr>
          <w:rFonts w:ascii="Arial" w:hAnsi="Arial" w:cs="Arial"/>
          <w:sz w:val="20"/>
          <w:szCs w:val="20"/>
        </w:rPr>
        <w:t xml:space="preserve"> </w:t>
      </w:r>
      <w:proofErr w:type="spellStart"/>
      <w:r w:rsidRPr="00A71266">
        <w:rPr>
          <w:rFonts w:ascii="Arial" w:hAnsi="Arial" w:cs="Arial"/>
          <w:sz w:val="20"/>
          <w:szCs w:val="20"/>
        </w:rPr>
        <w:t>which</w:t>
      </w:r>
      <w:proofErr w:type="spellEnd"/>
      <w:r w:rsidRPr="00A71266">
        <w:rPr>
          <w:rFonts w:ascii="Arial" w:hAnsi="Arial" w:cs="Arial"/>
          <w:sz w:val="20"/>
          <w:szCs w:val="20"/>
        </w:rPr>
        <w:t xml:space="preserve"> compounds in the </w:t>
      </w:r>
      <w:proofErr w:type="spellStart"/>
      <w:r w:rsidRPr="00A71266">
        <w:rPr>
          <w:rFonts w:ascii="Arial" w:hAnsi="Arial" w:cs="Arial"/>
          <w:sz w:val="20"/>
          <w:szCs w:val="20"/>
        </w:rPr>
        <w:t>bark</w:t>
      </w:r>
      <w:proofErr w:type="spellEnd"/>
      <w:r w:rsidRPr="00A71266">
        <w:rPr>
          <w:rFonts w:ascii="Arial" w:hAnsi="Arial" w:cs="Arial"/>
          <w:sz w:val="20"/>
          <w:szCs w:val="20"/>
        </w:rPr>
        <w:t xml:space="preserve"> </w:t>
      </w:r>
      <w:proofErr w:type="spellStart"/>
      <w:r w:rsidRPr="00A71266">
        <w:rPr>
          <w:rFonts w:ascii="Arial" w:hAnsi="Arial" w:cs="Arial"/>
          <w:sz w:val="20"/>
          <w:szCs w:val="20"/>
        </w:rPr>
        <w:t>extract</w:t>
      </w:r>
      <w:proofErr w:type="spellEnd"/>
      <w:r w:rsidRPr="00A71266">
        <w:rPr>
          <w:rFonts w:ascii="Arial" w:hAnsi="Arial" w:cs="Arial"/>
          <w:sz w:val="20"/>
          <w:szCs w:val="20"/>
        </w:rPr>
        <w:t xml:space="preserve"> </w:t>
      </w:r>
      <w:proofErr w:type="spellStart"/>
      <w:r w:rsidRPr="00A71266">
        <w:rPr>
          <w:rFonts w:ascii="Arial" w:hAnsi="Arial" w:cs="Arial"/>
          <w:sz w:val="20"/>
          <w:szCs w:val="20"/>
        </w:rPr>
        <w:t>may</w:t>
      </w:r>
      <w:proofErr w:type="spellEnd"/>
      <w:r w:rsidRPr="00A71266">
        <w:rPr>
          <w:rFonts w:ascii="Arial" w:hAnsi="Arial" w:cs="Arial"/>
          <w:sz w:val="20"/>
          <w:szCs w:val="20"/>
        </w:rPr>
        <w:t xml:space="preserve"> affect Nile tilapia.</w:t>
      </w:r>
    </w:p>
    <w:p w14:paraId="4CC85FF9" w14:textId="77777777" w:rsidR="00A71266" w:rsidRPr="003F7349" w:rsidRDefault="00A71266" w:rsidP="005C0517">
      <w:pPr>
        <w:spacing w:after="120" w:line="240" w:lineRule="auto"/>
        <w:jc w:val="both"/>
        <w:rPr>
          <w:rFonts w:ascii="Arial" w:hAnsi="Arial" w:cs="Arial"/>
          <w:sz w:val="20"/>
          <w:szCs w:val="20"/>
          <w:lang w:val="en-US"/>
        </w:rPr>
      </w:pPr>
    </w:p>
    <w:p w14:paraId="7B84FCEC" w14:textId="77777777" w:rsidR="00520A8D" w:rsidRPr="003F7349" w:rsidRDefault="00871979" w:rsidP="00822B1F">
      <w:pPr>
        <w:spacing w:after="120" w:line="240" w:lineRule="auto"/>
        <w:rPr>
          <w:rFonts w:ascii="Arial" w:hAnsi="Arial" w:cs="Arial"/>
          <w:b/>
          <w:bCs/>
          <w:lang w:val="en-US"/>
        </w:rPr>
      </w:pPr>
      <w:r w:rsidRPr="003F7349">
        <w:rPr>
          <w:rFonts w:ascii="Arial" w:hAnsi="Arial" w:cs="Arial"/>
          <w:b/>
          <w:lang w:val="en-US"/>
        </w:rPr>
        <w:t>COMPETING INTERESTS</w:t>
      </w:r>
    </w:p>
    <w:p w14:paraId="37E7E73D" w14:textId="77777777" w:rsidR="00520A8D" w:rsidRPr="003F7349" w:rsidRDefault="00520A8D" w:rsidP="005C0517">
      <w:pPr>
        <w:spacing w:after="120" w:line="240" w:lineRule="auto"/>
        <w:jc w:val="both"/>
        <w:rPr>
          <w:rFonts w:ascii="Arial" w:hAnsi="Arial" w:cs="Arial"/>
          <w:sz w:val="20"/>
          <w:szCs w:val="20"/>
          <w:lang w:val="en-US"/>
        </w:rPr>
      </w:pPr>
      <w:r w:rsidRPr="003F7349">
        <w:rPr>
          <w:rFonts w:ascii="Arial" w:hAnsi="Arial" w:cs="Arial"/>
          <w:sz w:val="20"/>
          <w:szCs w:val="20"/>
          <w:lang w:val="en-US"/>
        </w:rPr>
        <w:t>The authors declare that there is no conflict of interest.</w:t>
      </w:r>
    </w:p>
    <w:p w14:paraId="569EF297" w14:textId="77777777" w:rsidR="00871979" w:rsidRPr="003F7349" w:rsidRDefault="00871979" w:rsidP="00822B1F">
      <w:pPr>
        <w:spacing w:after="120" w:line="240" w:lineRule="auto"/>
        <w:rPr>
          <w:rFonts w:ascii="Arial" w:hAnsi="Arial" w:cs="Arial"/>
          <w:b/>
          <w:lang w:val="en-US"/>
        </w:rPr>
      </w:pPr>
      <w:r w:rsidRPr="003F7349">
        <w:rPr>
          <w:rFonts w:ascii="Arial" w:hAnsi="Arial" w:cs="Arial"/>
          <w:b/>
          <w:lang w:val="en-US"/>
        </w:rPr>
        <w:t>ETHICAL APPROVAL</w:t>
      </w:r>
      <w:r w:rsidR="00B33BBA" w:rsidRPr="003F7349">
        <w:rPr>
          <w:rFonts w:ascii="Arial" w:hAnsi="Arial" w:cs="Arial"/>
          <w:b/>
          <w:lang w:val="en-US"/>
        </w:rPr>
        <w:t xml:space="preserve"> </w:t>
      </w:r>
    </w:p>
    <w:p w14:paraId="2ACD661F" w14:textId="77777777" w:rsidR="005F67B0" w:rsidRPr="003F7349" w:rsidRDefault="00BA263F" w:rsidP="00B33BBA">
      <w:pPr>
        <w:tabs>
          <w:tab w:val="left" w:pos="1172"/>
        </w:tabs>
        <w:spacing w:after="120" w:line="240" w:lineRule="auto"/>
        <w:jc w:val="both"/>
        <w:rPr>
          <w:rFonts w:ascii="Arial" w:hAnsi="Arial" w:cs="Arial"/>
          <w:sz w:val="20"/>
          <w:szCs w:val="20"/>
          <w:lang w:val="en-US"/>
        </w:rPr>
      </w:pPr>
      <w:r w:rsidRPr="003F7349">
        <w:rPr>
          <w:rFonts w:ascii="Arial" w:hAnsi="Arial" w:cs="Arial"/>
          <w:sz w:val="20"/>
          <w:szCs w:val="20"/>
          <w:lang w:val="en-US"/>
        </w:rPr>
        <w:t xml:space="preserve">Nile tilapia were used as laboratory animals in this study. The </w:t>
      </w:r>
      <w:r w:rsidR="00174017" w:rsidRPr="003F7349">
        <w:rPr>
          <w:rFonts w:ascii="Arial" w:hAnsi="Arial" w:cs="Arial"/>
          <w:sz w:val="20"/>
          <w:szCs w:val="20"/>
          <w:lang w:val="en-US"/>
        </w:rPr>
        <w:t>experimental</w:t>
      </w:r>
      <w:r w:rsidRPr="003F7349">
        <w:rPr>
          <w:rFonts w:ascii="Arial" w:hAnsi="Arial" w:cs="Arial"/>
          <w:sz w:val="20"/>
          <w:szCs w:val="20"/>
          <w:lang w:val="en-US"/>
        </w:rPr>
        <w:t xml:space="preserve"> protocol was approved by the Health Research Ethics Committee (CERS No. 2026-03-145) and conducted in accordance with the Canadian Council on Animal Care (CCAC) guidelines on the care and use of laboratory animals in research, teaching and testing (2009). The fish were handled with care. All appropriate measures were taken to </w:t>
      </w:r>
      <w:proofErr w:type="spellStart"/>
      <w:r w:rsidRPr="003F7349">
        <w:rPr>
          <w:rFonts w:ascii="Arial" w:hAnsi="Arial" w:cs="Arial"/>
          <w:sz w:val="20"/>
          <w:szCs w:val="20"/>
          <w:lang w:val="en-US"/>
        </w:rPr>
        <w:t>minimise</w:t>
      </w:r>
      <w:proofErr w:type="spellEnd"/>
      <w:r w:rsidRPr="003F7349">
        <w:rPr>
          <w:rFonts w:ascii="Arial" w:hAnsi="Arial" w:cs="Arial"/>
          <w:sz w:val="20"/>
          <w:szCs w:val="20"/>
          <w:lang w:val="en-US"/>
        </w:rPr>
        <w:t xml:space="preserve"> the suffering, stress and distress of the fish used during the study.</w:t>
      </w:r>
    </w:p>
    <w:p w14:paraId="24D36FE1" w14:textId="77777777" w:rsidR="008E4445" w:rsidRPr="003F7349" w:rsidRDefault="0081133B" w:rsidP="008E4445">
      <w:pPr>
        <w:spacing w:line="278" w:lineRule="auto"/>
        <w:rPr>
          <w:rFonts w:ascii="Calibri" w:eastAsia="Calibri" w:hAnsi="Calibri" w:cs="Times New Roman"/>
          <w:b/>
          <w:bCs/>
          <w:sz w:val="24"/>
          <w:szCs w:val="24"/>
          <w:lang w:val="en-US"/>
        </w:rPr>
      </w:pPr>
      <w:r w:rsidRPr="003F7349">
        <w:rPr>
          <w:rFonts w:ascii="Times New Roman" w:hAnsi="Times New Roman" w:cs="Times New Roman"/>
          <w:b/>
          <w:lang w:val="en-US"/>
        </w:rPr>
        <w:t>D</w:t>
      </w:r>
      <w:r w:rsidR="008E4445" w:rsidRPr="003F7349">
        <w:rPr>
          <w:rFonts w:ascii="Calibri" w:eastAsia="Calibri" w:hAnsi="Calibri" w:cs="Times New Roman"/>
          <w:b/>
          <w:bCs/>
          <w:sz w:val="24"/>
          <w:szCs w:val="24"/>
          <w:lang w:val="en-US"/>
        </w:rPr>
        <w:t xml:space="preserve"> Declaration of AI Use</w:t>
      </w:r>
    </w:p>
    <w:p w14:paraId="5E77E28D" w14:textId="77777777" w:rsidR="008E4445" w:rsidRPr="003F7349" w:rsidRDefault="008E4445" w:rsidP="008E4445">
      <w:pPr>
        <w:spacing w:after="200" w:line="276" w:lineRule="auto"/>
        <w:jc w:val="both"/>
        <w:rPr>
          <w:rFonts w:ascii="Calibri" w:eastAsia="Calibri" w:hAnsi="Calibri" w:cs="Times New Roman"/>
          <w:lang w:val="en-US"/>
        </w:rPr>
      </w:pPr>
      <w:r w:rsidRPr="003F7349">
        <w:rPr>
          <w:rFonts w:ascii="Calibri" w:eastAsia="Calibri" w:hAnsi="Calibri" w:cs="Times New Roman"/>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83B36EE" w14:textId="77777777" w:rsidR="00840E20" w:rsidRPr="003F7349" w:rsidRDefault="00840E20" w:rsidP="008E4445">
      <w:pPr>
        <w:spacing w:after="0" w:line="240" w:lineRule="auto"/>
        <w:rPr>
          <w:rFonts w:ascii="Arial" w:hAnsi="Arial" w:cs="Arial"/>
          <w:b/>
          <w:lang w:val="en-US"/>
        </w:rPr>
      </w:pPr>
    </w:p>
    <w:p w14:paraId="52B71E07" w14:textId="77777777" w:rsidR="00DD6A96" w:rsidRPr="003F7349" w:rsidRDefault="00B33BBA" w:rsidP="00822B1F">
      <w:pPr>
        <w:spacing w:after="120" w:line="240" w:lineRule="auto"/>
        <w:rPr>
          <w:rFonts w:ascii="Arial" w:hAnsi="Arial" w:cs="Arial"/>
          <w:b/>
          <w:bCs/>
          <w:lang w:val="en-US"/>
        </w:rPr>
      </w:pPr>
      <w:r w:rsidRPr="003F7349">
        <w:rPr>
          <w:rFonts w:ascii="Arial" w:hAnsi="Arial" w:cs="Arial"/>
          <w:b/>
          <w:lang w:val="en-US"/>
        </w:rPr>
        <w:t>REFERENCES</w:t>
      </w:r>
    </w:p>
    <w:p w14:paraId="244CFAC2" w14:textId="17E0D184"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 xml:space="preserve">Abdul, W. O., </w:t>
      </w:r>
      <w:proofErr w:type="spellStart"/>
      <w:r w:rsidRPr="000C06A5">
        <w:rPr>
          <w:rFonts w:ascii="Times New Roman" w:eastAsia="Times New Roman" w:hAnsi="Times New Roman" w:cs="Times New Roman"/>
          <w:kern w:val="0"/>
          <w:sz w:val="24"/>
          <w:szCs w:val="24"/>
          <w:lang w:val="en-US"/>
          <w14:ligatures w14:val="none"/>
        </w:rPr>
        <w:t>Bajela</w:t>
      </w:r>
      <w:proofErr w:type="spellEnd"/>
      <w:r w:rsidRPr="000C06A5">
        <w:rPr>
          <w:rFonts w:ascii="Times New Roman" w:eastAsia="Times New Roman" w:hAnsi="Times New Roman" w:cs="Times New Roman"/>
          <w:kern w:val="0"/>
          <w:sz w:val="24"/>
          <w:szCs w:val="24"/>
          <w:lang w:val="en-US"/>
          <w14:ligatures w14:val="none"/>
        </w:rPr>
        <w:t xml:space="preserve">, M. L., Quadri, A. M., &amp; Adekoya, E. O. (2023). Length-weight relationship and condition factor of some commercial fish species in Lekki Lagoon, Southwest Nigeria. </w:t>
      </w:r>
      <w:r w:rsidRPr="000C06A5">
        <w:rPr>
          <w:rFonts w:ascii="Times New Roman" w:eastAsia="Times New Roman" w:hAnsi="Times New Roman" w:cs="Times New Roman"/>
          <w:i/>
          <w:iCs/>
          <w:kern w:val="0"/>
          <w:sz w:val="24"/>
          <w:szCs w:val="24"/>
          <w:lang w:val="en-US"/>
          <w14:ligatures w14:val="none"/>
        </w:rPr>
        <w:t>Ife Journal of Agriculture, 35</w:t>
      </w:r>
      <w:r w:rsidRPr="000C06A5">
        <w:rPr>
          <w:rFonts w:ascii="Times New Roman" w:eastAsia="Times New Roman" w:hAnsi="Times New Roman" w:cs="Times New Roman"/>
          <w:kern w:val="0"/>
          <w:sz w:val="24"/>
          <w:szCs w:val="24"/>
          <w:lang w:val="en-US"/>
          <w14:ligatures w14:val="none"/>
        </w:rPr>
        <w:t xml:space="preserve">(2), 78–87. </w:t>
      </w:r>
      <w:hyperlink r:id="rId8" w:history="1">
        <w:r w:rsidRPr="000C06A5">
          <w:rPr>
            <w:rFonts w:ascii="Times New Roman" w:eastAsia="Times New Roman" w:hAnsi="Times New Roman" w:cs="Times New Roman"/>
            <w:color w:val="0000FF"/>
            <w:kern w:val="0"/>
            <w:sz w:val="24"/>
            <w:szCs w:val="24"/>
            <w:u w:val="single"/>
            <w:lang w:val="en-US"/>
            <w14:ligatures w14:val="none"/>
          </w:rPr>
          <w:t>https://ija.oauife.edu.ng/index.php/ija/article/view/735</w:t>
        </w:r>
      </w:hyperlink>
    </w:p>
    <w:p w14:paraId="383CB83F" w14:textId="2378CECA"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nl-BE"/>
          <w14:ligatures w14:val="none"/>
        </w:rPr>
        <w:t xml:space="preserve">Alatise, S. P., Ogundele, O., &amp; Abdulazeez, A. B. (2021). </w:t>
      </w:r>
      <w:r w:rsidRPr="000C06A5">
        <w:rPr>
          <w:rFonts w:ascii="Times New Roman" w:eastAsia="Times New Roman" w:hAnsi="Times New Roman" w:cs="Times New Roman"/>
          <w:kern w:val="0"/>
          <w:sz w:val="24"/>
          <w:szCs w:val="24"/>
          <w:lang w:val="en-US"/>
          <w14:ligatures w14:val="none"/>
        </w:rPr>
        <w:t>Proximate composition of wild biscuit (</w:t>
      </w:r>
      <w:proofErr w:type="spellStart"/>
      <w:r w:rsidRPr="000C06A5">
        <w:rPr>
          <w:rFonts w:ascii="Times New Roman" w:eastAsia="Times New Roman" w:hAnsi="Times New Roman" w:cs="Times New Roman"/>
          <w:i/>
          <w:iCs/>
          <w:kern w:val="0"/>
          <w:sz w:val="24"/>
          <w:szCs w:val="24"/>
          <w:lang w:val="en-US"/>
          <w14:ligatures w14:val="none"/>
        </w:rPr>
        <w:t>Detarium</w:t>
      </w:r>
      <w:proofErr w:type="spellEnd"/>
      <w:r w:rsidRPr="000C06A5">
        <w:rPr>
          <w:rFonts w:ascii="Times New Roman" w:eastAsia="Times New Roman" w:hAnsi="Times New Roman" w:cs="Times New Roman"/>
          <w:i/>
          <w:iCs/>
          <w:kern w:val="0"/>
          <w:sz w:val="24"/>
          <w:szCs w:val="24"/>
          <w:lang w:val="en-US"/>
          <w14:ligatures w14:val="none"/>
        </w:rPr>
        <w:t xml:space="preserve"> </w:t>
      </w:r>
      <w:proofErr w:type="spellStart"/>
      <w:r w:rsidRPr="000C06A5">
        <w:rPr>
          <w:rFonts w:ascii="Times New Roman" w:eastAsia="Times New Roman" w:hAnsi="Times New Roman" w:cs="Times New Roman"/>
          <w:i/>
          <w:iCs/>
          <w:kern w:val="0"/>
          <w:sz w:val="24"/>
          <w:szCs w:val="24"/>
          <w:lang w:val="en-US"/>
          <w14:ligatures w14:val="none"/>
        </w:rPr>
        <w:t>microcarpum</w:t>
      </w:r>
      <w:proofErr w:type="spellEnd"/>
      <w:r w:rsidRPr="000C06A5">
        <w:rPr>
          <w:rFonts w:ascii="Times New Roman" w:eastAsia="Times New Roman" w:hAnsi="Times New Roman" w:cs="Times New Roman"/>
          <w:kern w:val="0"/>
          <w:sz w:val="24"/>
          <w:szCs w:val="24"/>
          <w:lang w:val="en-US"/>
          <w14:ligatures w14:val="none"/>
        </w:rPr>
        <w:t xml:space="preserve">) leaf and seed meals as potential ingredients for fish production. In </w:t>
      </w:r>
      <w:r w:rsidRPr="000C06A5">
        <w:rPr>
          <w:rFonts w:ascii="Times New Roman" w:eastAsia="Times New Roman" w:hAnsi="Times New Roman" w:cs="Times New Roman"/>
          <w:i/>
          <w:iCs/>
          <w:kern w:val="0"/>
          <w:sz w:val="24"/>
          <w:szCs w:val="24"/>
          <w:lang w:val="en-US"/>
          <w14:ligatures w14:val="none"/>
        </w:rPr>
        <w:t>Proceedings of the 36th Annual Conference of the Fisheries Society of Nigeria (FISON)</w:t>
      </w:r>
      <w:r w:rsidRPr="000C06A5">
        <w:rPr>
          <w:rFonts w:ascii="Times New Roman" w:eastAsia="Times New Roman" w:hAnsi="Times New Roman" w:cs="Times New Roman"/>
          <w:kern w:val="0"/>
          <w:sz w:val="24"/>
          <w:szCs w:val="24"/>
          <w:lang w:val="en-US"/>
          <w14:ligatures w14:val="none"/>
        </w:rPr>
        <w:t xml:space="preserve"> (pp. 396–400). </w:t>
      </w:r>
    </w:p>
    <w:p w14:paraId="0C752594" w14:textId="1096327E"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 xml:space="preserve">Amoussou, T. O., Toguyeni, A., </w:t>
      </w:r>
      <w:proofErr w:type="spellStart"/>
      <w:r w:rsidRPr="000C06A5">
        <w:rPr>
          <w:rFonts w:ascii="Times New Roman" w:eastAsia="Times New Roman" w:hAnsi="Times New Roman" w:cs="Times New Roman"/>
          <w:kern w:val="0"/>
          <w:sz w:val="24"/>
          <w:szCs w:val="24"/>
          <w:lang w:val="en-US"/>
          <w14:ligatures w14:val="none"/>
        </w:rPr>
        <w:t>Imorou</w:t>
      </w:r>
      <w:proofErr w:type="spellEnd"/>
      <w:r w:rsidRPr="000C06A5">
        <w:rPr>
          <w:rFonts w:ascii="Times New Roman" w:eastAsia="Times New Roman" w:hAnsi="Times New Roman" w:cs="Times New Roman"/>
          <w:kern w:val="0"/>
          <w:sz w:val="24"/>
          <w:szCs w:val="24"/>
          <w:lang w:val="en-US"/>
          <w14:ligatures w14:val="none"/>
        </w:rPr>
        <w:t xml:space="preserve"> Toko, I., </w:t>
      </w:r>
      <w:proofErr w:type="spellStart"/>
      <w:r w:rsidRPr="000C06A5">
        <w:rPr>
          <w:rFonts w:ascii="Times New Roman" w:eastAsia="Times New Roman" w:hAnsi="Times New Roman" w:cs="Times New Roman"/>
          <w:kern w:val="0"/>
          <w:sz w:val="24"/>
          <w:szCs w:val="24"/>
          <w:lang w:val="en-US"/>
          <w14:ligatures w14:val="none"/>
        </w:rPr>
        <w:t>Chikou</w:t>
      </w:r>
      <w:proofErr w:type="spellEnd"/>
      <w:r w:rsidRPr="000C06A5">
        <w:rPr>
          <w:rFonts w:ascii="Times New Roman" w:eastAsia="Times New Roman" w:hAnsi="Times New Roman" w:cs="Times New Roman"/>
          <w:kern w:val="0"/>
          <w:sz w:val="24"/>
          <w:szCs w:val="24"/>
          <w:lang w:val="en-US"/>
          <w14:ligatures w14:val="none"/>
        </w:rPr>
        <w:t xml:space="preserve">, A., &amp; </w:t>
      </w:r>
      <w:proofErr w:type="spellStart"/>
      <w:r w:rsidRPr="000C06A5">
        <w:rPr>
          <w:rFonts w:ascii="Times New Roman" w:eastAsia="Times New Roman" w:hAnsi="Times New Roman" w:cs="Times New Roman"/>
          <w:kern w:val="0"/>
          <w:sz w:val="24"/>
          <w:szCs w:val="24"/>
          <w:lang w:val="en-US"/>
          <w14:ligatures w14:val="none"/>
        </w:rPr>
        <w:t>Youssao</w:t>
      </w:r>
      <w:proofErr w:type="spellEnd"/>
      <w:r w:rsidRPr="000C06A5">
        <w:rPr>
          <w:rFonts w:ascii="Times New Roman" w:eastAsia="Times New Roman" w:hAnsi="Times New Roman" w:cs="Times New Roman"/>
          <w:kern w:val="0"/>
          <w:sz w:val="24"/>
          <w:szCs w:val="24"/>
          <w:lang w:val="en-US"/>
          <w14:ligatures w14:val="none"/>
        </w:rPr>
        <w:t xml:space="preserve"> Abdou Karim, I. (2016). </w:t>
      </w:r>
      <w:proofErr w:type="spellStart"/>
      <w:r w:rsidRPr="000C06A5">
        <w:rPr>
          <w:rFonts w:ascii="Times New Roman" w:eastAsia="Times New Roman" w:hAnsi="Times New Roman" w:cs="Times New Roman"/>
          <w:kern w:val="0"/>
          <w:sz w:val="24"/>
          <w:szCs w:val="24"/>
          <w:lang w:val="en-US"/>
          <w14:ligatures w14:val="none"/>
        </w:rPr>
        <w:t>Caractéristiques</w:t>
      </w:r>
      <w:proofErr w:type="spellEnd"/>
      <w:r w:rsidRPr="000C06A5">
        <w:rPr>
          <w:rFonts w:ascii="Times New Roman" w:eastAsia="Times New Roman" w:hAnsi="Times New Roman" w:cs="Times New Roman"/>
          <w:kern w:val="0"/>
          <w:sz w:val="24"/>
          <w:szCs w:val="24"/>
          <w:lang w:val="en-US"/>
          <w14:ligatures w14:val="none"/>
        </w:rPr>
        <w:t xml:space="preserve"> </w:t>
      </w:r>
      <w:proofErr w:type="spellStart"/>
      <w:r w:rsidRPr="000C06A5">
        <w:rPr>
          <w:rFonts w:ascii="Times New Roman" w:eastAsia="Times New Roman" w:hAnsi="Times New Roman" w:cs="Times New Roman"/>
          <w:kern w:val="0"/>
          <w:sz w:val="24"/>
          <w:szCs w:val="24"/>
          <w:lang w:val="en-US"/>
          <w14:ligatures w14:val="none"/>
        </w:rPr>
        <w:t>biologiques</w:t>
      </w:r>
      <w:proofErr w:type="spellEnd"/>
      <w:r w:rsidRPr="000C06A5">
        <w:rPr>
          <w:rFonts w:ascii="Times New Roman" w:eastAsia="Times New Roman" w:hAnsi="Times New Roman" w:cs="Times New Roman"/>
          <w:kern w:val="0"/>
          <w:sz w:val="24"/>
          <w:szCs w:val="24"/>
          <w:lang w:val="en-US"/>
          <w14:ligatures w14:val="none"/>
        </w:rPr>
        <w:t xml:space="preserve"> et </w:t>
      </w:r>
      <w:proofErr w:type="spellStart"/>
      <w:r w:rsidRPr="000C06A5">
        <w:rPr>
          <w:rFonts w:ascii="Times New Roman" w:eastAsia="Times New Roman" w:hAnsi="Times New Roman" w:cs="Times New Roman"/>
          <w:kern w:val="0"/>
          <w:sz w:val="24"/>
          <w:szCs w:val="24"/>
          <w:lang w:val="en-US"/>
          <w14:ligatures w14:val="none"/>
        </w:rPr>
        <w:t>zootechniques</w:t>
      </w:r>
      <w:proofErr w:type="spellEnd"/>
      <w:r w:rsidRPr="000C06A5">
        <w:rPr>
          <w:rFonts w:ascii="Times New Roman" w:eastAsia="Times New Roman" w:hAnsi="Times New Roman" w:cs="Times New Roman"/>
          <w:kern w:val="0"/>
          <w:sz w:val="24"/>
          <w:szCs w:val="24"/>
          <w:lang w:val="en-US"/>
          <w14:ligatures w14:val="none"/>
        </w:rPr>
        <w:t xml:space="preserve"> des tilapias </w:t>
      </w:r>
      <w:proofErr w:type="spellStart"/>
      <w:r w:rsidRPr="000C06A5">
        <w:rPr>
          <w:rFonts w:ascii="Times New Roman" w:eastAsia="Times New Roman" w:hAnsi="Times New Roman" w:cs="Times New Roman"/>
          <w:kern w:val="0"/>
          <w:sz w:val="24"/>
          <w:szCs w:val="24"/>
          <w:lang w:val="en-US"/>
          <w14:ligatures w14:val="none"/>
        </w:rPr>
        <w:t>africains</w:t>
      </w:r>
      <w:proofErr w:type="spellEnd"/>
      <w:r w:rsidRPr="000C06A5">
        <w:rPr>
          <w:rFonts w:ascii="Times New Roman" w:eastAsia="Times New Roman" w:hAnsi="Times New Roman" w:cs="Times New Roman"/>
          <w:kern w:val="0"/>
          <w:sz w:val="24"/>
          <w:szCs w:val="24"/>
          <w:lang w:val="en-US"/>
          <w14:ligatures w14:val="none"/>
        </w:rPr>
        <w:t xml:space="preserve"> </w:t>
      </w:r>
      <w:r w:rsidRPr="000C06A5">
        <w:rPr>
          <w:rFonts w:ascii="Times New Roman" w:eastAsia="Times New Roman" w:hAnsi="Times New Roman" w:cs="Times New Roman"/>
          <w:i/>
          <w:iCs/>
          <w:kern w:val="0"/>
          <w:sz w:val="24"/>
          <w:szCs w:val="24"/>
          <w:lang w:val="en-US"/>
          <w14:ligatures w14:val="none"/>
        </w:rPr>
        <w:t>Oreochromis niloticus</w:t>
      </w:r>
      <w:r w:rsidRPr="000C06A5">
        <w:rPr>
          <w:rFonts w:ascii="Times New Roman" w:eastAsia="Times New Roman" w:hAnsi="Times New Roman" w:cs="Times New Roman"/>
          <w:kern w:val="0"/>
          <w:sz w:val="24"/>
          <w:szCs w:val="24"/>
          <w:lang w:val="en-US"/>
          <w14:ligatures w14:val="none"/>
        </w:rPr>
        <w:t xml:space="preserve"> (Linnaeus, 1758) et </w:t>
      </w:r>
      <w:proofErr w:type="spellStart"/>
      <w:r w:rsidRPr="000C06A5">
        <w:rPr>
          <w:rFonts w:ascii="Times New Roman" w:eastAsia="Times New Roman" w:hAnsi="Times New Roman" w:cs="Times New Roman"/>
          <w:i/>
          <w:iCs/>
          <w:kern w:val="0"/>
          <w:sz w:val="24"/>
          <w:szCs w:val="24"/>
          <w:lang w:val="en-US"/>
          <w14:ligatures w14:val="none"/>
        </w:rPr>
        <w:t>Sarotherodon</w:t>
      </w:r>
      <w:proofErr w:type="spellEnd"/>
      <w:r w:rsidRPr="000C06A5">
        <w:rPr>
          <w:rFonts w:ascii="Times New Roman" w:eastAsia="Times New Roman" w:hAnsi="Times New Roman" w:cs="Times New Roman"/>
          <w:i/>
          <w:iCs/>
          <w:kern w:val="0"/>
          <w:sz w:val="24"/>
          <w:szCs w:val="24"/>
          <w:lang w:val="en-US"/>
          <w14:ligatures w14:val="none"/>
        </w:rPr>
        <w:t xml:space="preserve"> </w:t>
      </w:r>
      <w:proofErr w:type="spellStart"/>
      <w:r w:rsidRPr="000C06A5">
        <w:rPr>
          <w:rFonts w:ascii="Times New Roman" w:eastAsia="Times New Roman" w:hAnsi="Times New Roman" w:cs="Times New Roman"/>
          <w:i/>
          <w:iCs/>
          <w:kern w:val="0"/>
          <w:sz w:val="24"/>
          <w:szCs w:val="24"/>
          <w:lang w:val="en-US"/>
          <w14:ligatures w14:val="none"/>
        </w:rPr>
        <w:t>melanotheron</w:t>
      </w:r>
      <w:proofErr w:type="spellEnd"/>
      <w:r w:rsidRPr="000C06A5">
        <w:rPr>
          <w:rFonts w:ascii="Times New Roman" w:eastAsia="Times New Roman" w:hAnsi="Times New Roman" w:cs="Times New Roman"/>
          <w:kern w:val="0"/>
          <w:sz w:val="24"/>
          <w:szCs w:val="24"/>
          <w:lang w:val="en-US"/>
          <w14:ligatures w14:val="none"/>
        </w:rPr>
        <w:t xml:space="preserve"> Rüppell, </w:t>
      </w:r>
      <w:proofErr w:type="gramStart"/>
      <w:r w:rsidRPr="000C06A5">
        <w:rPr>
          <w:rFonts w:ascii="Times New Roman" w:eastAsia="Times New Roman" w:hAnsi="Times New Roman" w:cs="Times New Roman"/>
          <w:kern w:val="0"/>
          <w:sz w:val="24"/>
          <w:szCs w:val="24"/>
          <w:lang w:val="en-US"/>
          <w14:ligatures w14:val="none"/>
        </w:rPr>
        <w:t>1852 :</w:t>
      </w:r>
      <w:proofErr w:type="gramEnd"/>
      <w:r w:rsidRPr="000C06A5">
        <w:rPr>
          <w:rFonts w:ascii="Times New Roman" w:eastAsia="Times New Roman" w:hAnsi="Times New Roman" w:cs="Times New Roman"/>
          <w:kern w:val="0"/>
          <w:sz w:val="24"/>
          <w:szCs w:val="24"/>
          <w:lang w:val="en-US"/>
          <w14:ligatures w14:val="none"/>
        </w:rPr>
        <w:t xml:space="preserve"> Une revue. </w:t>
      </w:r>
      <w:r w:rsidRPr="000C06A5">
        <w:rPr>
          <w:rFonts w:ascii="Times New Roman" w:eastAsia="Times New Roman" w:hAnsi="Times New Roman" w:cs="Times New Roman"/>
          <w:i/>
          <w:iCs/>
          <w:kern w:val="0"/>
          <w:sz w:val="24"/>
          <w:szCs w:val="24"/>
          <w:lang w:val="en-US"/>
          <w14:ligatures w14:val="none"/>
        </w:rPr>
        <w:t>International Journal of Biological and Chemical Sciences, 10</w:t>
      </w:r>
      <w:r w:rsidRPr="000C06A5">
        <w:rPr>
          <w:rFonts w:ascii="Times New Roman" w:eastAsia="Times New Roman" w:hAnsi="Times New Roman" w:cs="Times New Roman"/>
          <w:kern w:val="0"/>
          <w:sz w:val="24"/>
          <w:szCs w:val="24"/>
          <w:lang w:val="en-US"/>
          <w14:ligatures w14:val="none"/>
        </w:rPr>
        <w:t xml:space="preserve">(4), 1869–1887. </w:t>
      </w:r>
      <w:hyperlink r:id="rId9" w:history="1">
        <w:r w:rsidRPr="000C06A5">
          <w:rPr>
            <w:rFonts w:ascii="Times New Roman" w:eastAsia="Times New Roman" w:hAnsi="Times New Roman" w:cs="Times New Roman"/>
            <w:color w:val="0000FF"/>
            <w:kern w:val="0"/>
            <w:sz w:val="24"/>
            <w:szCs w:val="24"/>
            <w:u w:val="single"/>
            <w:lang w:val="en-US"/>
            <w14:ligatures w14:val="none"/>
          </w:rPr>
          <w:t>https://doi.org/10.4314/ijbcs.v10i4.35</w:t>
        </w:r>
      </w:hyperlink>
    </w:p>
    <w:p w14:paraId="052F4655" w14:textId="14C611F1"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0C06A5">
        <w:rPr>
          <w:rFonts w:ascii="Times New Roman" w:eastAsia="Times New Roman" w:hAnsi="Times New Roman" w:cs="Times New Roman"/>
          <w:kern w:val="0"/>
          <w:sz w:val="24"/>
          <w:szCs w:val="24"/>
          <w:lang w:val="en-US"/>
          <w14:ligatures w14:val="none"/>
        </w:rPr>
        <w:t>Amulejoye</w:t>
      </w:r>
      <w:proofErr w:type="spellEnd"/>
      <w:r w:rsidRPr="000C06A5">
        <w:rPr>
          <w:rFonts w:ascii="Times New Roman" w:eastAsia="Times New Roman" w:hAnsi="Times New Roman" w:cs="Times New Roman"/>
          <w:kern w:val="0"/>
          <w:sz w:val="24"/>
          <w:szCs w:val="24"/>
          <w:lang w:val="en-US"/>
          <w14:ligatures w14:val="none"/>
        </w:rPr>
        <w:t xml:space="preserve">, F. D., Mitra, A., </w:t>
      </w:r>
      <w:proofErr w:type="spellStart"/>
      <w:r w:rsidRPr="000C06A5">
        <w:rPr>
          <w:rFonts w:ascii="Times New Roman" w:eastAsia="Times New Roman" w:hAnsi="Times New Roman" w:cs="Times New Roman"/>
          <w:kern w:val="0"/>
          <w:sz w:val="24"/>
          <w:szCs w:val="24"/>
          <w:lang w:val="en-US"/>
          <w14:ligatures w14:val="none"/>
        </w:rPr>
        <w:t>Hasimuna</w:t>
      </w:r>
      <w:proofErr w:type="spellEnd"/>
      <w:r w:rsidRPr="000C06A5">
        <w:rPr>
          <w:rFonts w:ascii="Times New Roman" w:eastAsia="Times New Roman" w:hAnsi="Times New Roman" w:cs="Times New Roman"/>
          <w:kern w:val="0"/>
          <w:sz w:val="24"/>
          <w:szCs w:val="24"/>
          <w:lang w:val="en-US"/>
          <w14:ligatures w14:val="none"/>
        </w:rPr>
        <w:t xml:space="preserve">, O. J., Olusola, S. E., </w:t>
      </w:r>
      <w:proofErr w:type="spellStart"/>
      <w:r w:rsidRPr="000C06A5">
        <w:rPr>
          <w:rFonts w:ascii="Times New Roman" w:eastAsia="Times New Roman" w:hAnsi="Times New Roman" w:cs="Times New Roman"/>
          <w:kern w:val="0"/>
          <w:sz w:val="24"/>
          <w:szCs w:val="24"/>
          <w:lang w:val="en-US"/>
          <w14:ligatures w14:val="none"/>
        </w:rPr>
        <w:t>Sianangama</w:t>
      </w:r>
      <w:proofErr w:type="spellEnd"/>
      <w:r w:rsidRPr="000C06A5">
        <w:rPr>
          <w:rFonts w:ascii="Times New Roman" w:eastAsia="Times New Roman" w:hAnsi="Times New Roman" w:cs="Times New Roman"/>
          <w:kern w:val="0"/>
          <w:sz w:val="24"/>
          <w:szCs w:val="24"/>
          <w:lang w:val="en-US"/>
          <w14:ligatures w14:val="none"/>
        </w:rPr>
        <w:t xml:space="preserve">, P. C., Mphande, J., Phiri, C. M., &amp; </w:t>
      </w:r>
      <w:proofErr w:type="spellStart"/>
      <w:r w:rsidRPr="000C06A5">
        <w:rPr>
          <w:rFonts w:ascii="Times New Roman" w:eastAsia="Times New Roman" w:hAnsi="Times New Roman" w:cs="Times New Roman"/>
          <w:kern w:val="0"/>
          <w:sz w:val="24"/>
          <w:szCs w:val="24"/>
          <w:lang w:val="en-US"/>
          <w14:ligatures w14:val="none"/>
        </w:rPr>
        <w:t>Maulu</w:t>
      </w:r>
      <w:proofErr w:type="spellEnd"/>
      <w:r w:rsidRPr="000C06A5">
        <w:rPr>
          <w:rFonts w:ascii="Times New Roman" w:eastAsia="Times New Roman" w:hAnsi="Times New Roman" w:cs="Times New Roman"/>
          <w:kern w:val="0"/>
          <w:sz w:val="24"/>
          <w:szCs w:val="24"/>
          <w:lang w:val="en-US"/>
          <w14:ligatures w14:val="none"/>
        </w:rPr>
        <w:t xml:space="preserve">, S. (2025). Application of medicinal plants in fish reproduction for sustainable aquaculture practices: A review. </w:t>
      </w:r>
      <w:r w:rsidRPr="000C06A5">
        <w:rPr>
          <w:rFonts w:ascii="Times New Roman" w:eastAsia="Times New Roman" w:hAnsi="Times New Roman" w:cs="Times New Roman"/>
          <w:i/>
          <w:iCs/>
          <w:kern w:val="0"/>
          <w:sz w:val="24"/>
          <w:szCs w:val="24"/>
          <w:lang w:val="en-US"/>
          <w14:ligatures w14:val="none"/>
        </w:rPr>
        <w:t>All Life, 18</w:t>
      </w:r>
      <w:r w:rsidRPr="000C06A5">
        <w:rPr>
          <w:rFonts w:ascii="Times New Roman" w:eastAsia="Times New Roman" w:hAnsi="Times New Roman" w:cs="Times New Roman"/>
          <w:kern w:val="0"/>
          <w:sz w:val="24"/>
          <w:szCs w:val="24"/>
          <w:lang w:val="en-US"/>
          <w14:ligatures w14:val="none"/>
        </w:rPr>
        <w:t xml:space="preserve">(1), Article 2575767. </w:t>
      </w:r>
      <w:hyperlink r:id="rId10" w:history="1">
        <w:r w:rsidRPr="000C06A5">
          <w:rPr>
            <w:rFonts w:ascii="Times New Roman" w:eastAsia="Times New Roman" w:hAnsi="Times New Roman" w:cs="Times New Roman"/>
            <w:color w:val="0000FF"/>
            <w:kern w:val="0"/>
            <w:sz w:val="24"/>
            <w:szCs w:val="24"/>
            <w:u w:val="single"/>
            <w:lang w:val="en-US"/>
            <w14:ligatures w14:val="none"/>
          </w:rPr>
          <w:t>https://doi.org/10.1080/26895293.2025.2575767</w:t>
        </w:r>
      </w:hyperlink>
    </w:p>
    <w:p w14:paraId="01A9DAC3" w14:textId="71969DE2"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lastRenderedPageBreak/>
        <w:t xml:space="preserve">Ashour, M., Mabrouk, M. M., Ayoub, H. F., El-Feky, M. M. M. M., Zaki, S. Z., </w:t>
      </w:r>
      <w:proofErr w:type="spellStart"/>
      <w:r w:rsidRPr="000C06A5">
        <w:rPr>
          <w:rFonts w:ascii="Times New Roman" w:eastAsia="Times New Roman" w:hAnsi="Times New Roman" w:cs="Times New Roman"/>
          <w:kern w:val="0"/>
          <w:sz w:val="24"/>
          <w:szCs w:val="24"/>
          <w:lang w:val="en-US"/>
          <w14:ligatures w14:val="none"/>
        </w:rPr>
        <w:t>Hoseinifar</w:t>
      </w:r>
      <w:proofErr w:type="spellEnd"/>
      <w:r w:rsidRPr="000C06A5">
        <w:rPr>
          <w:rFonts w:ascii="Times New Roman" w:eastAsia="Times New Roman" w:hAnsi="Times New Roman" w:cs="Times New Roman"/>
          <w:kern w:val="0"/>
          <w:sz w:val="24"/>
          <w:szCs w:val="24"/>
          <w:lang w:val="en-US"/>
          <w14:ligatures w14:val="none"/>
        </w:rPr>
        <w:t xml:space="preserve">, S. H., Rossi, W., Van Doan, H., El-Haroun, E., &amp; Goda, A. M. A.-S. (2020). Effect of dietary seaweed extract supplementation on growth, feed utilization, hematological indices, and non-specific immunity of Nile tilapia, </w:t>
      </w:r>
      <w:r w:rsidRPr="000C06A5">
        <w:rPr>
          <w:rFonts w:ascii="Times New Roman" w:eastAsia="Times New Roman" w:hAnsi="Times New Roman" w:cs="Times New Roman"/>
          <w:i/>
          <w:iCs/>
          <w:kern w:val="0"/>
          <w:sz w:val="24"/>
          <w:szCs w:val="24"/>
          <w:lang w:val="en-US"/>
          <w14:ligatures w14:val="none"/>
        </w:rPr>
        <w:t>Oreochromis niloticus</w:t>
      </w:r>
      <w:r w:rsidRPr="000C06A5">
        <w:rPr>
          <w:rFonts w:ascii="Times New Roman" w:eastAsia="Times New Roman" w:hAnsi="Times New Roman" w:cs="Times New Roman"/>
          <w:kern w:val="0"/>
          <w:sz w:val="24"/>
          <w:szCs w:val="24"/>
          <w:lang w:val="en-US"/>
          <w14:ligatures w14:val="none"/>
        </w:rPr>
        <w:t xml:space="preserve">, challenged with </w:t>
      </w:r>
      <w:r w:rsidRPr="000C06A5">
        <w:rPr>
          <w:rFonts w:ascii="Times New Roman" w:eastAsia="Times New Roman" w:hAnsi="Times New Roman" w:cs="Times New Roman"/>
          <w:i/>
          <w:iCs/>
          <w:kern w:val="0"/>
          <w:sz w:val="24"/>
          <w:szCs w:val="24"/>
          <w:lang w:val="en-US"/>
          <w14:ligatures w14:val="none"/>
        </w:rPr>
        <w:t xml:space="preserve">Aeromonas </w:t>
      </w:r>
      <w:proofErr w:type="spellStart"/>
      <w:r w:rsidRPr="000C06A5">
        <w:rPr>
          <w:rFonts w:ascii="Times New Roman" w:eastAsia="Times New Roman" w:hAnsi="Times New Roman" w:cs="Times New Roman"/>
          <w:i/>
          <w:iCs/>
          <w:kern w:val="0"/>
          <w:sz w:val="24"/>
          <w:szCs w:val="24"/>
          <w:lang w:val="en-US"/>
          <w14:ligatures w14:val="none"/>
        </w:rPr>
        <w:t>hydrophila</w:t>
      </w:r>
      <w:proofErr w:type="spellEnd"/>
      <w:r w:rsidRPr="000C06A5">
        <w:rPr>
          <w:rFonts w:ascii="Times New Roman" w:eastAsia="Times New Roman" w:hAnsi="Times New Roman" w:cs="Times New Roman"/>
          <w:kern w:val="0"/>
          <w:sz w:val="24"/>
          <w:szCs w:val="24"/>
          <w:lang w:val="en-US"/>
          <w14:ligatures w14:val="none"/>
        </w:rPr>
        <w:t xml:space="preserve">. </w:t>
      </w:r>
      <w:r w:rsidRPr="000C06A5">
        <w:rPr>
          <w:rFonts w:ascii="Times New Roman" w:eastAsia="Times New Roman" w:hAnsi="Times New Roman" w:cs="Times New Roman"/>
          <w:i/>
          <w:iCs/>
          <w:kern w:val="0"/>
          <w:sz w:val="24"/>
          <w:szCs w:val="24"/>
          <w:lang w:val="en-US"/>
          <w14:ligatures w14:val="none"/>
        </w:rPr>
        <w:t>Journal of Applied Phycology, 32</w:t>
      </w:r>
      <w:r w:rsidRPr="000C06A5">
        <w:rPr>
          <w:rFonts w:ascii="Times New Roman" w:eastAsia="Times New Roman" w:hAnsi="Times New Roman" w:cs="Times New Roman"/>
          <w:kern w:val="0"/>
          <w:sz w:val="24"/>
          <w:szCs w:val="24"/>
          <w:lang w:val="en-US"/>
          <w14:ligatures w14:val="none"/>
        </w:rPr>
        <w:t xml:space="preserve">(5), 3467–3479. </w:t>
      </w:r>
      <w:hyperlink r:id="rId11" w:history="1">
        <w:r w:rsidRPr="000C06A5">
          <w:rPr>
            <w:rFonts w:ascii="Times New Roman" w:eastAsia="Times New Roman" w:hAnsi="Times New Roman" w:cs="Times New Roman"/>
            <w:color w:val="0000FF"/>
            <w:kern w:val="0"/>
            <w:sz w:val="24"/>
            <w:szCs w:val="24"/>
            <w:u w:val="single"/>
            <w:lang w:val="en-US"/>
            <w14:ligatures w14:val="none"/>
          </w:rPr>
          <w:t>https://doi.org/10.1007/s10811-020-02178-1</w:t>
        </w:r>
      </w:hyperlink>
    </w:p>
    <w:p w14:paraId="6C3A20F0" w14:textId="2992FCD4"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 xml:space="preserve">Aulia, D., Jarir, D. V., Charity, I. W., </w:t>
      </w:r>
      <w:proofErr w:type="spellStart"/>
      <w:r w:rsidRPr="000C06A5">
        <w:rPr>
          <w:rFonts w:ascii="Times New Roman" w:eastAsia="Times New Roman" w:hAnsi="Times New Roman" w:cs="Times New Roman"/>
          <w:kern w:val="0"/>
          <w:sz w:val="24"/>
          <w:szCs w:val="24"/>
          <w:lang w:val="en-US"/>
          <w14:ligatures w14:val="none"/>
        </w:rPr>
        <w:t>Asywaq</w:t>
      </w:r>
      <w:proofErr w:type="spellEnd"/>
      <w:r w:rsidRPr="000C06A5">
        <w:rPr>
          <w:rFonts w:ascii="Times New Roman" w:eastAsia="Times New Roman" w:hAnsi="Times New Roman" w:cs="Times New Roman"/>
          <w:kern w:val="0"/>
          <w:sz w:val="24"/>
          <w:szCs w:val="24"/>
          <w:lang w:val="en-US"/>
          <w14:ligatures w14:val="none"/>
        </w:rPr>
        <w:t xml:space="preserve">, M., </w:t>
      </w:r>
      <w:proofErr w:type="spellStart"/>
      <w:r w:rsidRPr="000C06A5">
        <w:rPr>
          <w:rFonts w:ascii="Times New Roman" w:eastAsia="Times New Roman" w:hAnsi="Times New Roman" w:cs="Times New Roman"/>
          <w:kern w:val="0"/>
          <w:sz w:val="24"/>
          <w:szCs w:val="24"/>
          <w:lang w:val="en-US"/>
          <w14:ligatures w14:val="none"/>
        </w:rPr>
        <w:t>Sabariyah</w:t>
      </w:r>
      <w:proofErr w:type="spellEnd"/>
      <w:r w:rsidRPr="000C06A5">
        <w:rPr>
          <w:rFonts w:ascii="Times New Roman" w:eastAsia="Times New Roman" w:hAnsi="Times New Roman" w:cs="Times New Roman"/>
          <w:kern w:val="0"/>
          <w:sz w:val="24"/>
          <w:szCs w:val="24"/>
          <w:lang w:val="en-US"/>
          <w14:ligatures w14:val="none"/>
        </w:rPr>
        <w:t xml:space="preserve">, N., </w:t>
      </w:r>
      <w:proofErr w:type="spellStart"/>
      <w:r w:rsidRPr="000C06A5">
        <w:rPr>
          <w:rFonts w:ascii="Times New Roman" w:eastAsia="Times New Roman" w:hAnsi="Times New Roman" w:cs="Times New Roman"/>
          <w:kern w:val="0"/>
          <w:sz w:val="24"/>
          <w:szCs w:val="24"/>
          <w:lang w:val="en-US"/>
          <w14:ligatures w14:val="none"/>
        </w:rPr>
        <w:t>Umidayati</w:t>
      </w:r>
      <w:proofErr w:type="spellEnd"/>
      <w:r w:rsidRPr="000C06A5">
        <w:rPr>
          <w:rFonts w:ascii="Times New Roman" w:eastAsia="Times New Roman" w:hAnsi="Times New Roman" w:cs="Times New Roman"/>
          <w:kern w:val="0"/>
          <w:sz w:val="24"/>
          <w:szCs w:val="24"/>
          <w:lang w:val="en-US"/>
          <w14:ligatures w14:val="none"/>
        </w:rPr>
        <w:t xml:space="preserve">, U., &amp; </w:t>
      </w:r>
      <w:proofErr w:type="spellStart"/>
      <w:r w:rsidRPr="000C06A5">
        <w:rPr>
          <w:rFonts w:ascii="Times New Roman" w:eastAsia="Times New Roman" w:hAnsi="Times New Roman" w:cs="Times New Roman"/>
          <w:kern w:val="0"/>
          <w:sz w:val="24"/>
          <w:szCs w:val="24"/>
          <w:lang w:val="en-US"/>
          <w14:ligatures w14:val="none"/>
        </w:rPr>
        <w:t>Indrayati</w:t>
      </w:r>
      <w:proofErr w:type="spellEnd"/>
      <w:r w:rsidRPr="000C06A5">
        <w:rPr>
          <w:rFonts w:ascii="Times New Roman" w:eastAsia="Times New Roman" w:hAnsi="Times New Roman" w:cs="Times New Roman"/>
          <w:kern w:val="0"/>
          <w:sz w:val="24"/>
          <w:szCs w:val="24"/>
          <w:lang w:val="en-US"/>
          <w14:ligatures w14:val="none"/>
        </w:rPr>
        <w:t>, A. (2024). Avocado leaf and fruit extract (</w:t>
      </w:r>
      <w:proofErr w:type="spellStart"/>
      <w:r w:rsidRPr="000C06A5">
        <w:rPr>
          <w:rFonts w:ascii="Times New Roman" w:eastAsia="Times New Roman" w:hAnsi="Times New Roman" w:cs="Times New Roman"/>
          <w:i/>
          <w:iCs/>
          <w:kern w:val="0"/>
          <w:sz w:val="24"/>
          <w:szCs w:val="24"/>
          <w:lang w:val="en-US"/>
          <w14:ligatures w14:val="none"/>
        </w:rPr>
        <w:t>Persea</w:t>
      </w:r>
      <w:proofErr w:type="spellEnd"/>
      <w:r w:rsidRPr="000C06A5">
        <w:rPr>
          <w:rFonts w:ascii="Times New Roman" w:eastAsia="Times New Roman" w:hAnsi="Times New Roman" w:cs="Times New Roman"/>
          <w:i/>
          <w:iCs/>
          <w:kern w:val="0"/>
          <w:sz w:val="24"/>
          <w:szCs w:val="24"/>
          <w:lang w:val="en-US"/>
          <w14:ligatures w14:val="none"/>
        </w:rPr>
        <w:t xml:space="preserve"> americana</w:t>
      </w:r>
      <w:r w:rsidRPr="000C06A5">
        <w:rPr>
          <w:rFonts w:ascii="Times New Roman" w:eastAsia="Times New Roman" w:hAnsi="Times New Roman" w:cs="Times New Roman"/>
          <w:kern w:val="0"/>
          <w:sz w:val="24"/>
          <w:szCs w:val="24"/>
          <w:lang w:val="en-US"/>
          <w14:ligatures w14:val="none"/>
        </w:rPr>
        <w:t xml:space="preserve"> Mill.) as a feed additive for Nile tilapia (</w:t>
      </w:r>
      <w:r w:rsidRPr="000C06A5">
        <w:rPr>
          <w:rFonts w:ascii="Times New Roman" w:eastAsia="Times New Roman" w:hAnsi="Times New Roman" w:cs="Times New Roman"/>
          <w:i/>
          <w:iCs/>
          <w:kern w:val="0"/>
          <w:sz w:val="24"/>
          <w:szCs w:val="24"/>
          <w:lang w:val="en-US"/>
          <w14:ligatures w14:val="none"/>
        </w:rPr>
        <w:t>Oreochromis</w:t>
      </w:r>
      <w:r w:rsidRPr="000C06A5">
        <w:rPr>
          <w:rFonts w:ascii="Times New Roman" w:eastAsia="Times New Roman" w:hAnsi="Times New Roman" w:cs="Times New Roman"/>
          <w:kern w:val="0"/>
          <w:sz w:val="24"/>
          <w:szCs w:val="24"/>
          <w:lang w:val="en-US"/>
          <w14:ligatures w14:val="none"/>
        </w:rPr>
        <w:t xml:space="preserve"> sp.). </w:t>
      </w:r>
      <w:proofErr w:type="spellStart"/>
      <w:r w:rsidRPr="000C06A5">
        <w:rPr>
          <w:rFonts w:ascii="Times New Roman" w:eastAsia="Times New Roman" w:hAnsi="Times New Roman" w:cs="Times New Roman"/>
          <w:i/>
          <w:iCs/>
          <w:kern w:val="0"/>
          <w:sz w:val="24"/>
          <w:szCs w:val="24"/>
          <w:lang w:val="en-US"/>
          <w14:ligatures w14:val="none"/>
        </w:rPr>
        <w:t>Jurnal</w:t>
      </w:r>
      <w:proofErr w:type="spellEnd"/>
      <w:r w:rsidRPr="000C06A5">
        <w:rPr>
          <w:rFonts w:ascii="Times New Roman" w:eastAsia="Times New Roman" w:hAnsi="Times New Roman" w:cs="Times New Roman"/>
          <w:i/>
          <w:iCs/>
          <w:kern w:val="0"/>
          <w:sz w:val="24"/>
          <w:szCs w:val="24"/>
          <w:lang w:val="en-US"/>
          <w14:ligatures w14:val="none"/>
        </w:rPr>
        <w:t xml:space="preserve"> </w:t>
      </w:r>
      <w:proofErr w:type="spellStart"/>
      <w:r w:rsidRPr="000C06A5">
        <w:rPr>
          <w:rFonts w:ascii="Times New Roman" w:eastAsia="Times New Roman" w:hAnsi="Times New Roman" w:cs="Times New Roman"/>
          <w:i/>
          <w:iCs/>
          <w:kern w:val="0"/>
          <w:sz w:val="24"/>
          <w:szCs w:val="24"/>
          <w:lang w:val="en-US"/>
          <w14:ligatures w14:val="none"/>
        </w:rPr>
        <w:t>Perikanan</w:t>
      </w:r>
      <w:proofErr w:type="spellEnd"/>
      <w:r w:rsidRPr="000C06A5">
        <w:rPr>
          <w:rFonts w:ascii="Times New Roman" w:eastAsia="Times New Roman" w:hAnsi="Times New Roman" w:cs="Times New Roman"/>
          <w:i/>
          <w:iCs/>
          <w:kern w:val="0"/>
          <w:sz w:val="24"/>
          <w:szCs w:val="24"/>
          <w:lang w:val="en-US"/>
          <w14:ligatures w14:val="none"/>
        </w:rPr>
        <w:t>, 14</w:t>
      </w:r>
      <w:r w:rsidRPr="000C06A5">
        <w:rPr>
          <w:rFonts w:ascii="Times New Roman" w:eastAsia="Times New Roman" w:hAnsi="Times New Roman" w:cs="Times New Roman"/>
          <w:kern w:val="0"/>
          <w:sz w:val="24"/>
          <w:szCs w:val="24"/>
          <w:lang w:val="en-US"/>
          <w14:ligatures w14:val="none"/>
        </w:rPr>
        <w:t xml:space="preserve">(3), 1535–1545. </w:t>
      </w:r>
      <w:hyperlink r:id="rId12" w:history="1">
        <w:r w:rsidRPr="000C06A5">
          <w:rPr>
            <w:rFonts w:ascii="Times New Roman" w:eastAsia="Times New Roman" w:hAnsi="Times New Roman" w:cs="Times New Roman"/>
            <w:color w:val="0000FF"/>
            <w:kern w:val="0"/>
            <w:sz w:val="24"/>
            <w:szCs w:val="24"/>
            <w:u w:val="single"/>
            <w:lang w:val="en-US"/>
            <w14:ligatures w14:val="none"/>
          </w:rPr>
          <w:t>https://doi.org/10.29303/jp.v14i3.1034</w:t>
        </w:r>
      </w:hyperlink>
    </w:p>
    <w:p w14:paraId="0D0E7693" w14:textId="57FEB2B2"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 xml:space="preserve">Brum, A., Pereira, S. A., </w:t>
      </w:r>
      <w:proofErr w:type="spellStart"/>
      <w:r w:rsidRPr="000C06A5">
        <w:rPr>
          <w:rFonts w:ascii="Times New Roman" w:eastAsia="Times New Roman" w:hAnsi="Times New Roman" w:cs="Times New Roman"/>
          <w:kern w:val="0"/>
          <w:sz w:val="24"/>
          <w:szCs w:val="24"/>
          <w:lang w:val="en-US"/>
          <w14:ligatures w14:val="none"/>
        </w:rPr>
        <w:t>Owatari</w:t>
      </w:r>
      <w:proofErr w:type="spellEnd"/>
      <w:r w:rsidRPr="000C06A5">
        <w:rPr>
          <w:rFonts w:ascii="Times New Roman" w:eastAsia="Times New Roman" w:hAnsi="Times New Roman" w:cs="Times New Roman"/>
          <w:kern w:val="0"/>
          <w:sz w:val="24"/>
          <w:szCs w:val="24"/>
          <w:lang w:val="en-US"/>
          <w14:ligatures w14:val="none"/>
        </w:rPr>
        <w:t xml:space="preserve">, M. S., Chagas, E. C., Chaves, F. C. M., </w:t>
      </w:r>
      <w:proofErr w:type="spellStart"/>
      <w:r w:rsidRPr="000C06A5">
        <w:rPr>
          <w:rFonts w:ascii="Times New Roman" w:eastAsia="Times New Roman" w:hAnsi="Times New Roman" w:cs="Times New Roman"/>
          <w:kern w:val="0"/>
          <w:sz w:val="24"/>
          <w:szCs w:val="24"/>
          <w:lang w:val="en-US"/>
          <w14:ligatures w14:val="none"/>
        </w:rPr>
        <w:t>Mouriño</w:t>
      </w:r>
      <w:proofErr w:type="spellEnd"/>
      <w:r w:rsidRPr="000C06A5">
        <w:rPr>
          <w:rFonts w:ascii="Times New Roman" w:eastAsia="Times New Roman" w:hAnsi="Times New Roman" w:cs="Times New Roman"/>
          <w:kern w:val="0"/>
          <w:sz w:val="24"/>
          <w:szCs w:val="24"/>
          <w:lang w:val="en-US"/>
          <w14:ligatures w14:val="none"/>
        </w:rPr>
        <w:t>, J. L. P., &amp; Martins, M. L. (2017). Effect of dietary essential oils of clove basil and ginger on Nile tilapia (</w:t>
      </w:r>
      <w:r w:rsidRPr="000C06A5">
        <w:rPr>
          <w:rFonts w:ascii="Times New Roman" w:eastAsia="Times New Roman" w:hAnsi="Times New Roman" w:cs="Times New Roman"/>
          <w:i/>
          <w:iCs/>
          <w:kern w:val="0"/>
          <w:sz w:val="24"/>
          <w:szCs w:val="24"/>
          <w:lang w:val="en-US"/>
          <w14:ligatures w14:val="none"/>
        </w:rPr>
        <w:t>Oreochromis niloticus</w:t>
      </w:r>
      <w:r w:rsidRPr="000C06A5">
        <w:rPr>
          <w:rFonts w:ascii="Times New Roman" w:eastAsia="Times New Roman" w:hAnsi="Times New Roman" w:cs="Times New Roman"/>
          <w:kern w:val="0"/>
          <w:sz w:val="24"/>
          <w:szCs w:val="24"/>
          <w:lang w:val="en-US"/>
          <w14:ligatures w14:val="none"/>
        </w:rPr>
        <w:t xml:space="preserve">) following challenge with </w:t>
      </w:r>
      <w:r w:rsidRPr="000C06A5">
        <w:rPr>
          <w:rFonts w:ascii="Times New Roman" w:eastAsia="Times New Roman" w:hAnsi="Times New Roman" w:cs="Times New Roman"/>
          <w:i/>
          <w:iCs/>
          <w:kern w:val="0"/>
          <w:sz w:val="24"/>
          <w:szCs w:val="24"/>
          <w:lang w:val="en-US"/>
          <w14:ligatures w14:val="none"/>
        </w:rPr>
        <w:t>Streptococcus agalactiae</w:t>
      </w:r>
      <w:r w:rsidRPr="000C06A5">
        <w:rPr>
          <w:rFonts w:ascii="Times New Roman" w:eastAsia="Times New Roman" w:hAnsi="Times New Roman" w:cs="Times New Roman"/>
          <w:kern w:val="0"/>
          <w:sz w:val="24"/>
          <w:szCs w:val="24"/>
          <w:lang w:val="en-US"/>
          <w14:ligatures w14:val="none"/>
        </w:rPr>
        <w:t xml:space="preserve">. </w:t>
      </w:r>
      <w:r w:rsidRPr="000C06A5">
        <w:rPr>
          <w:rFonts w:ascii="Times New Roman" w:eastAsia="Times New Roman" w:hAnsi="Times New Roman" w:cs="Times New Roman"/>
          <w:i/>
          <w:iCs/>
          <w:kern w:val="0"/>
          <w:sz w:val="24"/>
          <w:szCs w:val="24"/>
          <w:lang w:val="en-US"/>
          <w14:ligatures w14:val="none"/>
        </w:rPr>
        <w:t>Aquaculture, 468</w:t>
      </w:r>
      <w:r w:rsidRPr="000C06A5">
        <w:rPr>
          <w:rFonts w:ascii="Times New Roman" w:eastAsia="Times New Roman" w:hAnsi="Times New Roman" w:cs="Times New Roman"/>
          <w:kern w:val="0"/>
          <w:sz w:val="24"/>
          <w:szCs w:val="24"/>
          <w:lang w:val="en-US"/>
          <w14:ligatures w14:val="none"/>
        </w:rPr>
        <w:t xml:space="preserve">, 235–243. </w:t>
      </w:r>
      <w:hyperlink r:id="rId13" w:history="1">
        <w:r w:rsidRPr="000C06A5">
          <w:rPr>
            <w:rFonts w:ascii="Times New Roman" w:eastAsia="Times New Roman" w:hAnsi="Times New Roman" w:cs="Times New Roman"/>
            <w:color w:val="0000FF"/>
            <w:kern w:val="0"/>
            <w:sz w:val="24"/>
            <w:szCs w:val="24"/>
            <w:u w:val="single"/>
            <w:lang w:val="en-US"/>
            <w14:ligatures w14:val="none"/>
          </w:rPr>
          <w:t>https://doi.org/10.1016/j.aquaculture.2016.10.020</w:t>
        </w:r>
      </w:hyperlink>
    </w:p>
    <w:p w14:paraId="7EE7AD41" w14:textId="63C6EC1D"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 xml:space="preserve">Canadian Council on Animal Care. (2009). </w:t>
      </w:r>
      <w:r w:rsidRPr="000C06A5">
        <w:rPr>
          <w:rFonts w:ascii="Times New Roman" w:eastAsia="Times New Roman" w:hAnsi="Times New Roman" w:cs="Times New Roman"/>
          <w:i/>
          <w:iCs/>
          <w:kern w:val="0"/>
          <w:sz w:val="24"/>
          <w:szCs w:val="24"/>
          <w:lang w:val="en-US"/>
          <w14:ligatures w14:val="none"/>
        </w:rPr>
        <w:t>CCAC guidelines on: The care and use of farm animals in research, teaching and testing</w:t>
      </w:r>
      <w:r w:rsidRPr="000C06A5">
        <w:rPr>
          <w:rFonts w:ascii="Times New Roman" w:eastAsia="Times New Roman" w:hAnsi="Times New Roman" w:cs="Times New Roman"/>
          <w:kern w:val="0"/>
          <w:sz w:val="24"/>
          <w:szCs w:val="24"/>
          <w:lang w:val="en-US"/>
          <w14:ligatures w14:val="none"/>
        </w:rPr>
        <w:t xml:space="preserve">. </w:t>
      </w:r>
    </w:p>
    <w:p w14:paraId="18EE9E3C" w14:textId="7E1A0C36"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0C06A5">
        <w:rPr>
          <w:rFonts w:ascii="Times New Roman" w:eastAsia="Times New Roman" w:hAnsi="Times New Roman" w:cs="Times New Roman"/>
          <w:kern w:val="0"/>
          <w:sz w:val="24"/>
          <w:szCs w:val="24"/>
          <w:lang w:val="en-US"/>
          <w14:ligatures w14:val="none"/>
        </w:rPr>
        <w:t>Chaklader</w:t>
      </w:r>
      <w:proofErr w:type="spellEnd"/>
      <w:r w:rsidRPr="000C06A5">
        <w:rPr>
          <w:rFonts w:ascii="Times New Roman" w:eastAsia="Times New Roman" w:hAnsi="Times New Roman" w:cs="Times New Roman"/>
          <w:kern w:val="0"/>
          <w:sz w:val="24"/>
          <w:szCs w:val="24"/>
          <w:lang w:val="en-US"/>
          <w14:ligatures w14:val="none"/>
        </w:rPr>
        <w:t xml:space="preserve">, M. R., Ahmed, H. A., </w:t>
      </w:r>
      <w:proofErr w:type="spellStart"/>
      <w:r w:rsidRPr="000C06A5">
        <w:rPr>
          <w:rFonts w:ascii="Times New Roman" w:eastAsia="Times New Roman" w:hAnsi="Times New Roman" w:cs="Times New Roman"/>
          <w:kern w:val="0"/>
          <w:sz w:val="24"/>
          <w:szCs w:val="24"/>
          <w:lang w:val="en-US"/>
          <w14:ligatures w14:val="none"/>
        </w:rPr>
        <w:t>Khafaga</w:t>
      </w:r>
      <w:proofErr w:type="spellEnd"/>
      <w:r w:rsidRPr="000C06A5">
        <w:rPr>
          <w:rFonts w:ascii="Times New Roman" w:eastAsia="Times New Roman" w:hAnsi="Times New Roman" w:cs="Times New Roman"/>
          <w:kern w:val="0"/>
          <w:sz w:val="24"/>
          <w:szCs w:val="24"/>
          <w:lang w:val="en-US"/>
          <w14:ligatures w14:val="none"/>
        </w:rPr>
        <w:t xml:space="preserve">, A. F., </w:t>
      </w:r>
      <w:proofErr w:type="spellStart"/>
      <w:r w:rsidRPr="000C06A5">
        <w:rPr>
          <w:rFonts w:ascii="Times New Roman" w:eastAsia="Times New Roman" w:hAnsi="Times New Roman" w:cs="Times New Roman"/>
          <w:kern w:val="0"/>
          <w:sz w:val="24"/>
          <w:szCs w:val="24"/>
          <w:lang w:val="en-US"/>
          <w14:ligatures w14:val="none"/>
        </w:rPr>
        <w:t>Shukry</w:t>
      </w:r>
      <w:proofErr w:type="spellEnd"/>
      <w:r w:rsidRPr="000C06A5">
        <w:rPr>
          <w:rFonts w:ascii="Times New Roman" w:eastAsia="Times New Roman" w:hAnsi="Times New Roman" w:cs="Times New Roman"/>
          <w:kern w:val="0"/>
          <w:sz w:val="24"/>
          <w:szCs w:val="24"/>
          <w:lang w:val="en-US"/>
          <w14:ligatures w14:val="none"/>
        </w:rPr>
        <w:t xml:space="preserve">, M., Abo Selema, T. A. M., &amp; Abdel-Latif, H. M. R. (2024). </w:t>
      </w:r>
      <w:r w:rsidRPr="000C06A5">
        <w:rPr>
          <w:rFonts w:ascii="Times New Roman" w:eastAsia="Times New Roman" w:hAnsi="Times New Roman" w:cs="Times New Roman"/>
          <w:i/>
          <w:iCs/>
          <w:kern w:val="0"/>
          <w:sz w:val="24"/>
          <w:szCs w:val="24"/>
          <w:lang w:val="en-US"/>
          <w14:ligatures w14:val="none"/>
        </w:rPr>
        <w:t>Silybum marianum</w:t>
      </w:r>
      <w:r w:rsidRPr="000C06A5">
        <w:rPr>
          <w:rFonts w:ascii="Times New Roman" w:eastAsia="Times New Roman" w:hAnsi="Times New Roman" w:cs="Times New Roman"/>
          <w:kern w:val="0"/>
          <w:sz w:val="24"/>
          <w:szCs w:val="24"/>
          <w:lang w:val="en-US"/>
          <w14:ligatures w14:val="none"/>
        </w:rPr>
        <w:t xml:space="preserve"> promotes growth, hepatic antioxidative activity, and splenic immunity but does not influence the intestinal barrier function of Nile tilapia, </w:t>
      </w:r>
      <w:r w:rsidRPr="000C06A5">
        <w:rPr>
          <w:rFonts w:ascii="Times New Roman" w:eastAsia="Times New Roman" w:hAnsi="Times New Roman" w:cs="Times New Roman"/>
          <w:i/>
          <w:iCs/>
          <w:kern w:val="0"/>
          <w:sz w:val="24"/>
          <w:szCs w:val="24"/>
          <w:lang w:val="en-US"/>
          <w14:ligatures w14:val="none"/>
        </w:rPr>
        <w:t>Oreochromis niloticus</w:t>
      </w:r>
      <w:r w:rsidRPr="000C06A5">
        <w:rPr>
          <w:rFonts w:ascii="Times New Roman" w:eastAsia="Times New Roman" w:hAnsi="Times New Roman" w:cs="Times New Roman"/>
          <w:kern w:val="0"/>
          <w:sz w:val="24"/>
          <w:szCs w:val="24"/>
          <w:lang w:val="en-US"/>
          <w14:ligatures w14:val="none"/>
        </w:rPr>
        <w:t xml:space="preserve">. </w:t>
      </w:r>
      <w:r w:rsidRPr="000C06A5">
        <w:rPr>
          <w:rFonts w:ascii="Times New Roman" w:eastAsia="Times New Roman" w:hAnsi="Times New Roman" w:cs="Times New Roman"/>
          <w:i/>
          <w:iCs/>
          <w:kern w:val="0"/>
          <w:sz w:val="24"/>
          <w:szCs w:val="24"/>
          <w:lang w:val="en-US"/>
          <w14:ligatures w14:val="none"/>
        </w:rPr>
        <w:t>Aquaculture, 583</w:t>
      </w:r>
      <w:r w:rsidRPr="000C06A5">
        <w:rPr>
          <w:rFonts w:ascii="Times New Roman" w:eastAsia="Times New Roman" w:hAnsi="Times New Roman" w:cs="Times New Roman"/>
          <w:kern w:val="0"/>
          <w:sz w:val="24"/>
          <w:szCs w:val="24"/>
          <w:lang w:val="en-US"/>
          <w14:ligatures w14:val="none"/>
        </w:rPr>
        <w:t xml:space="preserve">, Article 740554. </w:t>
      </w:r>
      <w:hyperlink r:id="rId14" w:history="1">
        <w:r w:rsidRPr="000C06A5">
          <w:rPr>
            <w:rFonts w:ascii="Times New Roman" w:eastAsia="Times New Roman" w:hAnsi="Times New Roman" w:cs="Times New Roman"/>
            <w:color w:val="0000FF"/>
            <w:kern w:val="0"/>
            <w:sz w:val="24"/>
            <w:szCs w:val="24"/>
            <w:u w:val="single"/>
            <w:lang w:val="en-US"/>
            <w14:ligatures w14:val="none"/>
          </w:rPr>
          <w:t>https://doi.org/10.1016/j.aquaculture.2024.740554</w:t>
        </w:r>
      </w:hyperlink>
    </w:p>
    <w:p w14:paraId="153934F2" w14:textId="53F7A4CD"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0C06A5">
        <w:rPr>
          <w:rFonts w:ascii="Times New Roman" w:eastAsia="Times New Roman" w:hAnsi="Times New Roman" w:cs="Times New Roman"/>
          <w:kern w:val="0"/>
          <w:sz w:val="24"/>
          <w:szCs w:val="24"/>
          <w:lang w:val="en-US"/>
          <w14:ligatures w14:val="none"/>
        </w:rPr>
        <w:t>Chakroborty</w:t>
      </w:r>
      <w:proofErr w:type="spellEnd"/>
      <w:r w:rsidRPr="000C06A5">
        <w:rPr>
          <w:rFonts w:ascii="Times New Roman" w:eastAsia="Times New Roman" w:hAnsi="Times New Roman" w:cs="Times New Roman"/>
          <w:kern w:val="0"/>
          <w:sz w:val="24"/>
          <w:szCs w:val="24"/>
          <w:lang w:val="en-US"/>
          <w14:ligatures w14:val="none"/>
        </w:rPr>
        <w:t xml:space="preserve">, K., Lima, R. A., Hossain, M. F., &amp; </w:t>
      </w:r>
      <w:proofErr w:type="spellStart"/>
      <w:r w:rsidRPr="000C06A5">
        <w:rPr>
          <w:rFonts w:ascii="Times New Roman" w:eastAsia="Times New Roman" w:hAnsi="Times New Roman" w:cs="Times New Roman"/>
          <w:kern w:val="0"/>
          <w:sz w:val="24"/>
          <w:szCs w:val="24"/>
          <w:lang w:val="en-US"/>
          <w14:ligatures w14:val="none"/>
        </w:rPr>
        <w:t>Rafiquzzaman</w:t>
      </w:r>
      <w:proofErr w:type="spellEnd"/>
      <w:r w:rsidRPr="000C06A5">
        <w:rPr>
          <w:rFonts w:ascii="Times New Roman" w:eastAsia="Times New Roman" w:hAnsi="Times New Roman" w:cs="Times New Roman"/>
          <w:kern w:val="0"/>
          <w:sz w:val="24"/>
          <w:szCs w:val="24"/>
          <w:lang w:val="en-US"/>
          <w14:ligatures w14:val="none"/>
        </w:rPr>
        <w:t xml:space="preserve">, S. M. (2025). Biobased functional feed additives in Asian aquaculture: Trends, impacts, and future directions. </w:t>
      </w:r>
      <w:r w:rsidRPr="000C06A5">
        <w:rPr>
          <w:rFonts w:ascii="Times New Roman" w:eastAsia="Times New Roman" w:hAnsi="Times New Roman" w:cs="Times New Roman"/>
          <w:i/>
          <w:iCs/>
          <w:kern w:val="0"/>
          <w:sz w:val="24"/>
          <w:szCs w:val="24"/>
          <w:lang w:val="en-US"/>
          <w14:ligatures w14:val="none"/>
        </w:rPr>
        <w:t>Animal Feed Science and Technology, 320</w:t>
      </w:r>
      <w:r w:rsidRPr="000C06A5">
        <w:rPr>
          <w:rFonts w:ascii="Times New Roman" w:eastAsia="Times New Roman" w:hAnsi="Times New Roman" w:cs="Times New Roman"/>
          <w:kern w:val="0"/>
          <w:sz w:val="24"/>
          <w:szCs w:val="24"/>
          <w:lang w:val="en-US"/>
          <w14:ligatures w14:val="none"/>
        </w:rPr>
        <w:t xml:space="preserve">, Article 116222. </w:t>
      </w:r>
      <w:hyperlink r:id="rId15" w:history="1">
        <w:r w:rsidRPr="000C06A5">
          <w:rPr>
            <w:rFonts w:ascii="Times New Roman" w:eastAsia="Times New Roman" w:hAnsi="Times New Roman" w:cs="Times New Roman"/>
            <w:color w:val="0000FF"/>
            <w:kern w:val="0"/>
            <w:sz w:val="24"/>
            <w:szCs w:val="24"/>
            <w:u w:val="single"/>
            <w:lang w:val="en-US"/>
            <w14:ligatures w14:val="none"/>
          </w:rPr>
          <w:t>https://doi.org/10.1016/j.anifeedsci.2025.116222</w:t>
        </w:r>
      </w:hyperlink>
    </w:p>
    <w:p w14:paraId="4EB0F6E3" w14:textId="68F7D848"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 xml:space="preserve">Da, N., Ouédraogo, R., &amp; </w:t>
      </w:r>
      <w:proofErr w:type="spellStart"/>
      <w:r w:rsidRPr="000C06A5">
        <w:rPr>
          <w:rFonts w:ascii="Times New Roman" w:eastAsia="Times New Roman" w:hAnsi="Times New Roman" w:cs="Times New Roman"/>
          <w:kern w:val="0"/>
          <w:sz w:val="24"/>
          <w:szCs w:val="24"/>
          <w:lang w:val="en-US"/>
          <w14:ligatures w14:val="none"/>
        </w:rPr>
        <w:t>Ouéda</w:t>
      </w:r>
      <w:proofErr w:type="spellEnd"/>
      <w:r w:rsidRPr="000C06A5">
        <w:rPr>
          <w:rFonts w:ascii="Times New Roman" w:eastAsia="Times New Roman" w:hAnsi="Times New Roman" w:cs="Times New Roman"/>
          <w:kern w:val="0"/>
          <w:sz w:val="24"/>
          <w:szCs w:val="24"/>
          <w:lang w:val="en-US"/>
          <w14:ligatures w14:val="none"/>
        </w:rPr>
        <w:t xml:space="preserve">, A. (2018). Relation </w:t>
      </w:r>
      <w:proofErr w:type="spellStart"/>
      <w:r w:rsidRPr="000C06A5">
        <w:rPr>
          <w:rFonts w:ascii="Times New Roman" w:eastAsia="Times New Roman" w:hAnsi="Times New Roman" w:cs="Times New Roman"/>
          <w:kern w:val="0"/>
          <w:sz w:val="24"/>
          <w:szCs w:val="24"/>
          <w:lang w:val="en-US"/>
          <w14:ligatures w14:val="none"/>
        </w:rPr>
        <w:t>poids</w:t>
      </w:r>
      <w:proofErr w:type="spellEnd"/>
      <w:r w:rsidRPr="000C06A5">
        <w:rPr>
          <w:rFonts w:ascii="Times New Roman" w:eastAsia="Times New Roman" w:hAnsi="Times New Roman" w:cs="Times New Roman"/>
          <w:kern w:val="0"/>
          <w:sz w:val="24"/>
          <w:szCs w:val="24"/>
          <w:lang w:val="en-US"/>
          <w14:ligatures w14:val="none"/>
        </w:rPr>
        <w:t xml:space="preserve">-longueur et </w:t>
      </w:r>
      <w:proofErr w:type="spellStart"/>
      <w:r w:rsidRPr="000C06A5">
        <w:rPr>
          <w:rFonts w:ascii="Times New Roman" w:eastAsia="Times New Roman" w:hAnsi="Times New Roman" w:cs="Times New Roman"/>
          <w:kern w:val="0"/>
          <w:sz w:val="24"/>
          <w:szCs w:val="24"/>
          <w:lang w:val="en-US"/>
          <w14:ligatures w14:val="none"/>
        </w:rPr>
        <w:t>facteur</w:t>
      </w:r>
      <w:proofErr w:type="spellEnd"/>
      <w:r w:rsidRPr="000C06A5">
        <w:rPr>
          <w:rFonts w:ascii="Times New Roman" w:eastAsia="Times New Roman" w:hAnsi="Times New Roman" w:cs="Times New Roman"/>
          <w:kern w:val="0"/>
          <w:sz w:val="24"/>
          <w:szCs w:val="24"/>
          <w:lang w:val="en-US"/>
          <w14:ligatures w14:val="none"/>
        </w:rPr>
        <w:t xml:space="preserve"> de condition de </w:t>
      </w:r>
      <w:r w:rsidRPr="000C06A5">
        <w:rPr>
          <w:rFonts w:ascii="Times New Roman" w:eastAsia="Times New Roman" w:hAnsi="Times New Roman" w:cs="Times New Roman"/>
          <w:i/>
          <w:iCs/>
          <w:kern w:val="0"/>
          <w:sz w:val="24"/>
          <w:szCs w:val="24"/>
          <w:lang w:val="en-US"/>
          <w14:ligatures w14:val="none"/>
        </w:rPr>
        <w:t xml:space="preserve">Clarias </w:t>
      </w:r>
      <w:proofErr w:type="spellStart"/>
      <w:r w:rsidRPr="000C06A5">
        <w:rPr>
          <w:rFonts w:ascii="Times New Roman" w:eastAsia="Times New Roman" w:hAnsi="Times New Roman" w:cs="Times New Roman"/>
          <w:i/>
          <w:iCs/>
          <w:kern w:val="0"/>
          <w:sz w:val="24"/>
          <w:szCs w:val="24"/>
          <w:lang w:val="en-US"/>
          <w14:ligatures w14:val="none"/>
        </w:rPr>
        <w:t>anguillaris</w:t>
      </w:r>
      <w:proofErr w:type="spellEnd"/>
      <w:r w:rsidRPr="000C06A5">
        <w:rPr>
          <w:rFonts w:ascii="Times New Roman" w:eastAsia="Times New Roman" w:hAnsi="Times New Roman" w:cs="Times New Roman"/>
          <w:kern w:val="0"/>
          <w:sz w:val="24"/>
          <w:szCs w:val="24"/>
          <w:lang w:val="en-US"/>
          <w14:ligatures w14:val="none"/>
        </w:rPr>
        <w:t xml:space="preserve"> et </w:t>
      </w:r>
      <w:proofErr w:type="spellStart"/>
      <w:r w:rsidRPr="000C06A5">
        <w:rPr>
          <w:rFonts w:ascii="Times New Roman" w:eastAsia="Times New Roman" w:hAnsi="Times New Roman" w:cs="Times New Roman"/>
          <w:i/>
          <w:iCs/>
          <w:kern w:val="0"/>
          <w:sz w:val="24"/>
          <w:szCs w:val="24"/>
          <w:lang w:val="en-US"/>
          <w14:ligatures w14:val="none"/>
        </w:rPr>
        <w:t>Sarotherodon</w:t>
      </w:r>
      <w:proofErr w:type="spellEnd"/>
      <w:r w:rsidRPr="000C06A5">
        <w:rPr>
          <w:rFonts w:ascii="Times New Roman" w:eastAsia="Times New Roman" w:hAnsi="Times New Roman" w:cs="Times New Roman"/>
          <w:i/>
          <w:iCs/>
          <w:kern w:val="0"/>
          <w:sz w:val="24"/>
          <w:szCs w:val="24"/>
          <w:lang w:val="en-US"/>
          <w14:ligatures w14:val="none"/>
        </w:rPr>
        <w:t xml:space="preserve"> </w:t>
      </w:r>
      <w:proofErr w:type="spellStart"/>
      <w:r w:rsidRPr="000C06A5">
        <w:rPr>
          <w:rFonts w:ascii="Times New Roman" w:eastAsia="Times New Roman" w:hAnsi="Times New Roman" w:cs="Times New Roman"/>
          <w:i/>
          <w:iCs/>
          <w:kern w:val="0"/>
          <w:sz w:val="24"/>
          <w:szCs w:val="24"/>
          <w:lang w:val="en-US"/>
          <w14:ligatures w14:val="none"/>
        </w:rPr>
        <w:t>galilaeus</w:t>
      </w:r>
      <w:proofErr w:type="spellEnd"/>
      <w:r w:rsidRPr="000C06A5">
        <w:rPr>
          <w:rFonts w:ascii="Times New Roman" w:eastAsia="Times New Roman" w:hAnsi="Times New Roman" w:cs="Times New Roman"/>
          <w:kern w:val="0"/>
          <w:sz w:val="24"/>
          <w:szCs w:val="24"/>
          <w:lang w:val="en-US"/>
          <w14:ligatures w14:val="none"/>
        </w:rPr>
        <w:t xml:space="preserve"> </w:t>
      </w:r>
      <w:proofErr w:type="spellStart"/>
      <w:r w:rsidRPr="000C06A5">
        <w:rPr>
          <w:rFonts w:ascii="Times New Roman" w:eastAsia="Times New Roman" w:hAnsi="Times New Roman" w:cs="Times New Roman"/>
          <w:kern w:val="0"/>
          <w:sz w:val="24"/>
          <w:szCs w:val="24"/>
          <w:lang w:val="en-US"/>
          <w14:ligatures w14:val="none"/>
        </w:rPr>
        <w:t>pêchées</w:t>
      </w:r>
      <w:proofErr w:type="spellEnd"/>
      <w:r w:rsidRPr="000C06A5">
        <w:rPr>
          <w:rFonts w:ascii="Times New Roman" w:eastAsia="Times New Roman" w:hAnsi="Times New Roman" w:cs="Times New Roman"/>
          <w:kern w:val="0"/>
          <w:sz w:val="24"/>
          <w:szCs w:val="24"/>
          <w:lang w:val="en-US"/>
          <w14:ligatures w14:val="none"/>
        </w:rPr>
        <w:t xml:space="preserve"> dans le lac Bam et le </w:t>
      </w:r>
      <w:proofErr w:type="spellStart"/>
      <w:r w:rsidRPr="000C06A5">
        <w:rPr>
          <w:rFonts w:ascii="Times New Roman" w:eastAsia="Times New Roman" w:hAnsi="Times New Roman" w:cs="Times New Roman"/>
          <w:kern w:val="0"/>
          <w:sz w:val="24"/>
          <w:szCs w:val="24"/>
          <w:lang w:val="en-US"/>
          <w14:ligatures w14:val="none"/>
        </w:rPr>
        <w:t>réservoir</w:t>
      </w:r>
      <w:proofErr w:type="spellEnd"/>
      <w:r w:rsidRPr="000C06A5">
        <w:rPr>
          <w:rFonts w:ascii="Times New Roman" w:eastAsia="Times New Roman" w:hAnsi="Times New Roman" w:cs="Times New Roman"/>
          <w:kern w:val="0"/>
          <w:sz w:val="24"/>
          <w:szCs w:val="24"/>
          <w:lang w:val="en-US"/>
          <w14:ligatures w14:val="none"/>
        </w:rPr>
        <w:t xml:space="preserve"> de la </w:t>
      </w:r>
      <w:proofErr w:type="spellStart"/>
      <w:r w:rsidRPr="000C06A5">
        <w:rPr>
          <w:rFonts w:ascii="Times New Roman" w:eastAsia="Times New Roman" w:hAnsi="Times New Roman" w:cs="Times New Roman"/>
          <w:kern w:val="0"/>
          <w:sz w:val="24"/>
          <w:szCs w:val="24"/>
          <w:lang w:val="en-US"/>
          <w14:ligatures w14:val="none"/>
        </w:rPr>
        <w:t>Kompienga</w:t>
      </w:r>
      <w:proofErr w:type="spellEnd"/>
      <w:r w:rsidRPr="000C06A5">
        <w:rPr>
          <w:rFonts w:ascii="Times New Roman" w:eastAsia="Times New Roman" w:hAnsi="Times New Roman" w:cs="Times New Roman"/>
          <w:kern w:val="0"/>
          <w:sz w:val="24"/>
          <w:szCs w:val="24"/>
          <w:lang w:val="en-US"/>
          <w14:ligatures w14:val="none"/>
        </w:rPr>
        <w:t xml:space="preserve"> au Burkina Faso. </w:t>
      </w:r>
      <w:r w:rsidRPr="000C06A5">
        <w:rPr>
          <w:rFonts w:ascii="Times New Roman" w:eastAsia="Times New Roman" w:hAnsi="Times New Roman" w:cs="Times New Roman"/>
          <w:i/>
          <w:iCs/>
          <w:kern w:val="0"/>
          <w:sz w:val="24"/>
          <w:szCs w:val="24"/>
          <w:lang w:val="en-US"/>
          <w14:ligatures w14:val="none"/>
        </w:rPr>
        <w:t>International Journal of Biological and Chemical Sciences, 12</w:t>
      </w:r>
      <w:r w:rsidRPr="000C06A5">
        <w:rPr>
          <w:rFonts w:ascii="Times New Roman" w:eastAsia="Times New Roman" w:hAnsi="Times New Roman" w:cs="Times New Roman"/>
          <w:kern w:val="0"/>
          <w:sz w:val="24"/>
          <w:szCs w:val="24"/>
          <w:lang w:val="en-US"/>
          <w14:ligatures w14:val="none"/>
        </w:rPr>
        <w:t xml:space="preserve">(4), 1601–1610. </w:t>
      </w:r>
      <w:hyperlink r:id="rId16" w:history="1">
        <w:r w:rsidRPr="000C06A5">
          <w:rPr>
            <w:rFonts w:ascii="Times New Roman" w:eastAsia="Times New Roman" w:hAnsi="Times New Roman" w:cs="Times New Roman"/>
            <w:color w:val="0000FF"/>
            <w:kern w:val="0"/>
            <w:sz w:val="24"/>
            <w:szCs w:val="24"/>
            <w:u w:val="single"/>
            <w:lang w:val="en-US"/>
            <w14:ligatures w14:val="none"/>
          </w:rPr>
          <w:t>https://doi.org/10.4314/ijbcs.v12i4.8</w:t>
        </w:r>
      </w:hyperlink>
    </w:p>
    <w:p w14:paraId="75FC4D89" w14:textId="750B6326"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 xml:space="preserve">Dawa, S. I., </w:t>
      </w:r>
      <w:proofErr w:type="spellStart"/>
      <w:r w:rsidRPr="000C06A5">
        <w:rPr>
          <w:rFonts w:ascii="Times New Roman" w:eastAsia="Times New Roman" w:hAnsi="Times New Roman" w:cs="Times New Roman"/>
          <w:kern w:val="0"/>
          <w:sz w:val="24"/>
          <w:szCs w:val="24"/>
          <w:lang w:val="en-US"/>
          <w14:ligatures w14:val="none"/>
        </w:rPr>
        <w:t>Nkafamiya</w:t>
      </w:r>
      <w:proofErr w:type="spellEnd"/>
      <w:r w:rsidRPr="000C06A5">
        <w:rPr>
          <w:rFonts w:ascii="Times New Roman" w:eastAsia="Times New Roman" w:hAnsi="Times New Roman" w:cs="Times New Roman"/>
          <w:kern w:val="0"/>
          <w:sz w:val="24"/>
          <w:szCs w:val="24"/>
          <w:lang w:val="en-US"/>
          <w14:ligatures w14:val="none"/>
        </w:rPr>
        <w:t xml:space="preserve">, I. I., Shagal, H., </w:t>
      </w:r>
      <w:proofErr w:type="spellStart"/>
      <w:r w:rsidRPr="000C06A5">
        <w:rPr>
          <w:rFonts w:ascii="Times New Roman" w:eastAsia="Times New Roman" w:hAnsi="Times New Roman" w:cs="Times New Roman"/>
          <w:kern w:val="0"/>
          <w:sz w:val="24"/>
          <w:szCs w:val="24"/>
          <w:lang w:val="en-US"/>
          <w14:ligatures w14:val="none"/>
        </w:rPr>
        <w:t>Mamza</w:t>
      </w:r>
      <w:proofErr w:type="spellEnd"/>
      <w:r w:rsidRPr="000C06A5">
        <w:rPr>
          <w:rFonts w:ascii="Times New Roman" w:eastAsia="Times New Roman" w:hAnsi="Times New Roman" w:cs="Times New Roman"/>
          <w:kern w:val="0"/>
          <w:sz w:val="24"/>
          <w:szCs w:val="24"/>
          <w:lang w:val="en-US"/>
          <w14:ligatures w14:val="none"/>
        </w:rPr>
        <w:t xml:space="preserve">, U. T., &amp; Yakubu, J. (2022). </w:t>
      </w:r>
      <w:proofErr w:type="spellStart"/>
      <w:r w:rsidRPr="000C06A5">
        <w:rPr>
          <w:rFonts w:ascii="Times New Roman" w:eastAsia="Times New Roman" w:hAnsi="Times New Roman" w:cs="Times New Roman"/>
          <w:kern w:val="0"/>
          <w:sz w:val="24"/>
          <w:szCs w:val="24"/>
          <w:lang w:val="en-US"/>
          <w14:ligatures w14:val="none"/>
        </w:rPr>
        <w:t>Antidiarrhoeal</w:t>
      </w:r>
      <w:proofErr w:type="spellEnd"/>
      <w:r w:rsidRPr="000C06A5">
        <w:rPr>
          <w:rFonts w:ascii="Times New Roman" w:eastAsia="Times New Roman" w:hAnsi="Times New Roman" w:cs="Times New Roman"/>
          <w:kern w:val="0"/>
          <w:sz w:val="24"/>
          <w:szCs w:val="24"/>
          <w:lang w:val="en-US"/>
          <w14:ligatures w14:val="none"/>
        </w:rPr>
        <w:t xml:space="preserve"> effects of methanol root extract of </w:t>
      </w:r>
      <w:proofErr w:type="spellStart"/>
      <w:r w:rsidRPr="000C06A5">
        <w:rPr>
          <w:rFonts w:ascii="Times New Roman" w:eastAsia="Times New Roman" w:hAnsi="Times New Roman" w:cs="Times New Roman"/>
          <w:i/>
          <w:iCs/>
          <w:kern w:val="0"/>
          <w:sz w:val="24"/>
          <w:szCs w:val="24"/>
          <w:lang w:val="en-US"/>
          <w14:ligatures w14:val="none"/>
        </w:rPr>
        <w:t>Detarium</w:t>
      </w:r>
      <w:proofErr w:type="spellEnd"/>
      <w:r w:rsidRPr="000C06A5">
        <w:rPr>
          <w:rFonts w:ascii="Times New Roman" w:eastAsia="Times New Roman" w:hAnsi="Times New Roman" w:cs="Times New Roman"/>
          <w:i/>
          <w:iCs/>
          <w:kern w:val="0"/>
          <w:sz w:val="24"/>
          <w:szCs w:val="24"/>
          <w:lang w:val="en-US"/>
          <w14:ligatures w14:val="none"/>
        </w:rPr>
        <w:t xml:space="preserve"> </w:t>
      </w:r>
      <w:proofErr w:type="spellStart"/>
      <w:r w:rsidRPr="000C06A5">
        <w:rPr>
          <w:rFonts w:ascii="Times New Roman" w:eastAsia="Times New Roman" w:hAnsi="Times New Roman" w:cs="Times New Roman"/>
          <w:i/>
          <w:iCs/>
          <w:kern w:val="0"/>
          <w:sz w:val="24"/>
          <w:szCs w:val="24"/>
          <w:lang w:val="en-US"/>
          <w14:ligatures w14:val="none"/>
        </w:rPr>
        <w:t>microcarpum</w:t>
      </w:r>
      <w:proofErr w:type="spellEnd"/>
      <w:r w:rsidRPr="000C06A5">
        <w:rPr>
          <w:rFonts w:ascii="Times New Roman" w:eastAsia="Times New Roman" w:hAnsi="Times New Roman" w:cs="Times New Roman"/>
          <w:kern w:val="0"/>
          <w:sz w:val="24"/>
          <w:szCs w:val="24"/>
          <w:lang w:val="en-US"/>
          <w14:ligatures w14:val="none"/>
        </w:rPr>
        <w:t xml:space="preserve"> (Leguminosae) in albino rats. </w:t>
      </w:r>
      <w:r w:rsidRPr="000C06A5">
        <w:rPr>
          <w:rFonts w:ascii="Times New Roman" w:eastAsia="Times New Roman" w:hAnsi="Times New Roman" w:cs="Times New Roman"/>
          <w:i/>
          <w:iCs/>
          <w:kern w:val="0"/>
          <w:sz w:val="24"/>
          <w:szCs w:val="24"/>
          <w:lang w:val="en-US"/>
          <w14:ligatures w14:val="none"/>
        </w:rPr>
        <w:t>Bulletin of Pure and Applied Sciences-Chemistry, 41</w:t>
      </w:r>
      <w:proofErr w:type="gramStart"/>
      <w:r w:rsidRPr="000C06A5">
        <w:rPr>
          <w:rFonts w:ascii="Times New Roman" w:eastAsia="Times New Roman" w:hAnsi="Times New Roman" w:cs="Times New Roman"/>
          <w:i/>
          <w:iCs/>
          <w:kern w:val="0"/>
          <w:sz w:val="24"/>
          <w:szCs w:val="24"/>
          <w:lang w:val="en-US"/>
          <w14:ligatures w14:val="none"/>
        </w:rPr>
        <w:t>C</w:t>
      </w:r>
      <w:r w:rsidRPr="000C06A5">
        <w:rPr>
          <w:rFonts w:ascii="Times New Roman" w:eastAsia="Times New Roman" w:hAnsi="Times New Roman" w:cs="Times New Roman"/>
          <w:kern w:val="0"/>
          <w:sz w:val="24"/>
          <w:szCs w:val="24"/>
          <w:lang w:val="en-US"/>
          <w14:ligatures w14:val="none"/>
        </w:rPr>
        <w:t>(</w:t>
      </w:r>
      <w:proofErr w:type="gramEnd"/>
      <w:r w:rsidRPr="000C06A5">
        <w:rPr>
          <w:rFonts w:ascii="Times New Roman" w:eastAsia="Times New Roman" w:hAnsi="Times New Roman" w:cs="Times New Roman"/>
          <w:kern w:val="0"/>
          <w:sz w:val="24"/>
          <w:szCs w:val="24"/>
          <w:lang w:val="en-US"/>
          <w14:ligatures w14:val="none"/>
        </w:rPr>
        <w:t xml:space="preserve">1), 22–28. </w:t>
      </w:r>
      <w:hyperlink r:id="rId17" w:history="1">
        <w:r w:rsidRPr="000C06A5">
          <w:rPr>
            <w:rFonts w:ascii="Times New Roman" w:eastAsia="Times New Roman" w:hAnsi="Times New Roman" w:cs="Times New Roman"/>
            <w:color w:val="0000FF"/>
            <w:kern w:val="0"/>
            <w:sz w:val="24"/>
            <w:szCs w:val="24"/>
            <w:u w:val="single"/>
            <w:lang w:val="en-US"/>
            <w14:ligatures w14:val="none"/>
          </w:rPr>
          <w:t>https://doi.org/10.5958/2320-320X.2022.00003.6</w:t>
        </w:r>
      </w:hyperlink>
    </w:p>
    <w:p w14:paraId="6B377043" w14:textId="0608E070"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nl-BE"/>
          <w14:ligatures w14:val="none"/>
        </w:rPr>
        <w:t xml:space="preserve">Dadras, F., Velisek, J., &amp; Zuskova, E. (2023). </w:t>
      </w:r>
      <w:r w:rsidRPr="000C06A5">
        <w:rPr>
          <w:rFonts w:ascii="Times New Roman" w:eastAsia="Times New Roman" w:hAnsi="Times New Roman" w:cs="Times New Roman"/>
          <w:kern w:val="0"/>
          <w:sz w:val="24"/>
          <w:szCs w:val="24"/>
          <w:lang w:val="en-US"/>
          <w14:ligatures w14:val="none"/>
        </w:rPr>
        <w:t xml:space="preserve">An update about beneficial effects of medicinal plants in aquaculture: A review. </w:t>
      </w:r>
      <w:proofErr w:type="spellStart"/>
      <w:r w:rsidRPr="000C06A5">
        <w:rPr>
          <w:rFonts w:ascii="Times New Roman" w:eastAsia="Times New Roman" w:hAnsi="Times New Roman" w:cs="Times New Roman"/>
          <w:i/>
          <w:iCs/>
          <w:kern w:val="0"/>
          <w:sz w:val="24"/>
          <w:szCs w:val="24"/>
          <w:lang w:val="en-US"/>
          <w14:ligatures w14:val="none"/>
        </w:rPr>
        <w:t>Veterinární</w:t>
      </w:r>
      <w:proofErr w:type="spellEnd"/>
      <w:r w:rsidRPr="000C06A5">
        <w:rPr>
          <w:rFonts w:ascii="Times New Roman" w:eastAsia="Times New Roman" w:hAnsi="Times New Roman" w:cs="Times New Roman"/>
          <w:i/>
          <w:iCs/>
          <w:kern w:val="0"/>
          <w:sz w:val="24"/>
          <w:szCs w:val="24"/>
          <w:lang w:val="en-US"/>
          <w14:ligatures w14:val="none"/>
        </w:rPr>
        <w:t xml:space="preserve"> </w:t>
      </w:r>
      <w:proofErr w:type="spellStart"/>
      <w:r w:rsidRPr="000C06A5">
        <w:rPr>
          <w:rFonts w:ascii="Times New Roman" w:eastAsia="Times New Roman" w:hAnsi="Times New Roman" w:cs="Times New Roman"/>
          <w:i/>
          <w:iCs/>
          <w:kern w:val="0"/>
          <w:sz w:val="24"/>
          <w:szCs w:val="24"/>
          <w:lang w:val="en-US"/>
          <w14:ligatures w14:val="none"/>
        </w:rPr>
        <w:t>Medicína</w:t>
      </w:r>
      <w:proofErr w:type="spellEnd"/>
      <w:r w:rsidRPr="000C06A5">
        <w:rPr>
          <w:rFonts w:ascii="Times New Roman" w:eastAsia="Times New Roman" w:hAnsi="Times New Roman" w:cs="Times New Roman"/>
          <w:i/>
          <w:iCs/>
          <w:kern w:val="0"/>
          <w:sz w:val="24"/>
          <w:szCs w:val="24"/>
          <w:lang w:val="en-US"/>
          <w14:ligatures w14:val="none"/>
        </w:rPr>
        <w:t>, 68</w:t>
      </w:r>
      <w:r w:rsidRPr="000C06A5">
        <w:rPr>
          <w:rFonts w:ascii="Times New Roman" w:eastAsia="Times New Roman" w:hAnsi="Times New Roman" w:cs="Times New Roman"/>
          <w:kern w:val="0"/>
          <w:sz w:val="24"/>
          <w:szCs w:val="24"/>
          <w:lang w:val="en-US"/>
          <w14:ligatures w14:val="none"/>
        </w:rPr>
        <w:t xml:space="preserve">(12), 449–463. </w:t>
      </w:r>
      <w:hyperlink r:id="rId18" w:history="1">
        <w:r w:rsidRPr="000C06A5">
          <w:rPr>
            <w:rFonts w:ascii="Times New Roman" w:eastAsia="Times New Roman" w:hAnsi="Times New Roman" w:cs="Times New Roman"/>
            <w:color w:val="0000FF"/>
            <w:kern w:val="0"/>
            <w:sz w:val="24"/>
            <w:szCs w:val="24"/>
            <w:u w:val="single"/>
            <w:lang w:val="en-US"/>
            <w14:ligatures w14:val="none"/>
          </w:rPr>
          <w:t>https://doi.org/10.17221/96/2023-VETMED</w:t>
        </w:r>
      </w:hyperlink>
    </w:p>
    <w:p w14:paraId="48DA9EF8" w14:textId="43965547"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0C06A5">
        <w:rPr>
          <w:rFonts w:ascii="Times New Roman" w:eastAsia="Times New Roman" w:hAnsi="Times New Roman" w:cs="Times New Roman"/>
          <w:kern w:val="0"/>
          <w:sz w:val="24"/>
          <w:szCs w:val="24"/>
          <w:lang w:val="en-US"/>
          <w14:ligatures w14:val="none"/>
        </w:rPr>
        <w:t>Dogara</w:t>
      </w:r>
      <w:proofErr w:type="spellEnd"/>
      <w:r w:rsidRPr="000C06A5">
        <w:rPr>
          <w:rFonts w:ascii="Times New Roman" w:eastAsia="Times New Roman" w:hAnsi="Times New Roman" w:cs="Times New Roman"/>
          <w:kern w:val="0"/>
          <w:sz w:val="24"/>
          <w:szCs w:val="24"/>
          <w:lang w:val="en-US"/>
          <w14:ligatures w14:val="none"/>
        </w:rPr>
        <w:t xml:space="preserve">, A. M. (2022). Biological activity and chemical composition of </w:t>
      </w:r>
      <w:proofErr w:type="spellStart"/>
      <w:r w:rsidRPr="000C06A5">
        <w:rPr>
          <w:rFonts w:ascii="Times New Roman" w:eastAsia="Times New Roman" w:hAnsi="Times New Roman" w:cs="Times New Roman"/>
          <w:i/>
          <w:iCs/>
          <w:kern w:val="0"/>
          <w:sz w:val="24"/>
          <w:szCs w:val="24"/>
          <w:lang w:val="en-US"/>
          <w14:ligatures w14:val="none"/>
        </w:rPr>
        <w:t>Detarium</w:t>
      </w:r>
      <w:proofErr w:type="spellEnd"/>
      <w:r w:rsidRPr="000C06A5">
        <w:rPr>
          <w:rFonts w:ascii="Times New Roman" w:eastAsia="Times New Roman" w:hAnsi="Times New Roman" w:cs="Times New Roman"/>
          <w:i/>
          <w:iCs/>
          <w:kern w:val="0"/>
          <w:sz w:val="24"/>
          <w:szCs w:val="24"/>
          <w:lang w:val="en-US"/>
          <w14:ligatures w14:val="none"/>
        </w:rPr>
        <w:t xml:space="preserve"> </w:t>
      </w:r>
      <w:proofErr w:type="spellStart"/>
      <w:r w:rsidRPr="000C06A5">
        <w:rPr>
          <w:rFonts w:ascii="Times New Roman" w:eastAsia="Times New Roman" w:hAnsi="Times New Roman" w:cs="Times New Roman"/>
          <w:i/>
          <w:iCs/>
          <w:kern w:val="0"/>
          <w:sz w:val="24"/>
          <w:szCs w:val="24"/>
          <w:lang w:val="en-US"/>
          <w14:ligatures w14:val="none"/>
        </w:rPr>
        <w:t>microcarpum</w:t>
      </w:r>
      <w:proofErr w:type="spellEnd"/>
      <w:r w:rsidRPr="000C06A5">
        <w:rPr>
          <w:rFonts w:ascii="Times New Roman" w:eastAsia="Times New Roman" w:hAnsi="Times New Roman" w:cs="Times New Roman"/>
          <w:kern w:val="0"/>
          <w:sz w:val="24"/>
          <w:szCs w:val="24"/>
          <w:lang w:val="en-US"/>
          <w14:ligatures w14:val="none"/>
        </w:rPr>
        <w:t xml:space="preserve"> Guill. and </w:t>
      </w:r>
      <w:proofErr w:type="gramStart"/>
      <w:r w:rsidRPr="000C06A5">
        <w:rPr>
          <w:rFonts w:ascii="Times New Roman" w:eastAsia="Times New Roman" w:hAnsi="Times New Roman" w:cs="Times New Roman"/>
          <w:kern w:val="0"/>
          <w:sz w:val="24"/>
          <w:szCs w:val="24"/>
          <w:lang w:val="en-US"/>
          <w14:ligatures w14:val="none"/>
        </w:rPr>
        <w:t>Perr.—</w:t>
      </w:r>
      <w:proofErr w:type="gramEnd"/>
      <w:r w:rsidRPr="000C06A5">
        <w:rPr>
          <w:rFonts w:ascii="Times New Roman" w:eastAsia="Times New Roman" w:hAnsi="Times New Roman" w:cs="Times New Roman"/>
          <w:kern w:val="0"/>
          <w:sz w:val="24"/>
          <w:szCs w:val="24"/>
          <w:lang w:val="en-US"/>
          <w14:ligatures w14:val="none"/>
        </w:rPr>
        <w:t xml:space="preserve">A systematic review. </w:t>
      </w:r>
      <w:r w:rsidRPr="000C06A5">
        <w:rPr>
          <w:rFonts w:ascii="Times New Roman" w:eastAsia="Times New Roman" w:hAnsi="Times New Roman" w:cs="Times New Roman"/>
          <w:i/>
          <w:iCs/>
          <w:kern w:val="0"/>
          <w:sz w:val="24"/>
          <w:szCs w:val="24"/>
          <w:lang w:val="en-US"/>
          <w14:ligatures w14:val="none"/>
        </w:rPr>
        <w:t>Advances in Pharmacological and Pharmaceutical Sciences, 2022</w:t>
      </w:r>
      <w:r w:rsidRPr="000C06A5">
        <w:rPr>
          <w:rFonts w:ascii="Times New Roman" w:eastAsia="Times New Roman" w:hAnsi="Times New Roman" w:cs="Times New Roman"/>
          <w:kern w:val="0"/>
          <w:sz w:val="24"/>
          <w:szCs w:val="24"/>
          <w:lang w:val="en-US"/>
          <w14:ligatures w14:val="none"/>
        </w:rPr>
        <w:t xml:space="preserve">, Article 7219401. </w:t>
      </w:r>
      <w:hyperlink r:id="rId19" w:history="1">
        <w:r w:rsidRPr="000C06A5">
          <w:rPr>
            <w:rFonts w:ascii="Times New Roman" w:eastAsia="Times New Roman" w:hAnsi="Times New Roman" w:cs="Times New Roman"/>
            <w:color w:val="0000FF"/>
            <w:kern w:val="0"/>
            <w:sz w:val="24"/>
            <w:szCs w:val="24"/>
            <w:u w:val="single"/>
            <w:lang w:val="en-US"/>
            <w14:ligatures w14:val="none"/>
          </w:rPr>
          <w:t>https://doi.org/10.1155/2022/7219401</w:t>
        </w:r>
      </w:hyperlink>
    </w:p>
    <w:p w14:paraId="061167D7" w14:textId="621829EA"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0C06A5">
        <w:rPr>
          <w:rFonts w:ascii="Times New Roman" w:eastAsia="Times New Roman" w:hAnsi="Times New Roman" w:cs="Times New Roman"/>
          <w:kern w:val="0"/>
          <w:sz w:val="24"/>
          <w:szCs w:val="24"/>
          <w:lang w:val="en-US"/>
          <w14:ligatures w14:val="none"/>
        </w:rPr>
        <w:t>Dème</w:t>
      </w:r>
      <w:proofErr w:type="spellEnd"/>
      <w:r w:rsidRPr="000C06A5">
        <w:rPr>
          <w:rFonts w:ascii="Times New Roman" w:eastAsia="Times New Roman" w:hAnsi="Times New Roman" w:cs="Times New Roman"/>
          <w:kern w:val="0"/>
          <w:sz w:val="24"/>
          <w:szCs w:val="24"/>
          <w:lang w:val="en-US"/>
          <w14:ligatures w14:val="none"/>
        </w:rPr>
        <w:t xml:space="preserve">, E. H. B., </w:t>
      </w:r>
      <w:proofErr w:type="spellStart"/>
      <w:r w:rsidRPr="000C06A5">
        <w:rPr>
          <w:rFonts w:ascii="Times New Roman" w:eastAsia="Times New Roman" w:hAnsi="Times New Roman" w:cs="Times New Roman"/>
          <w:kern w:val="0"/>
          <w:sz w:val="24"/>
          <w:szCs w:val="24"/>
          <w:lang w:val="en-US"/>
          <w14:ligatures w14:val="none"/>
        </w:rPr>
        <w:t>Failler</w:t>
      </w:r>
      <w:proofErr w:type="spellEnd"/>
      <w:r w:rsidRPr="000C06A5">
        <w:rPr>
          <w:rFonts w:ascii="Times New Roman" w:eastAsia="Times New Roman" w:hAnsi="Times New Roman" w:cs="Times New Roman"/>
          <w:kern w:val="0"/>
          <w:sz w:val="24"/>
          <w:szCs w:val="24"/>
          <w:lang w:val="en-US"/>
          <w14:ligatures w14:val="none"/>
        </w:rPr>
        <w:t xml:space="preserve">, P., Fall, A. D., </w:t>
      </w:r>
      <w:proofErr w:type="spellStart"/>
      <w:r w:rsidRPr="000C06A5">
        <w:rPr>
          <w:rFonts w:ascii="Times New Roman" w:eastAsia="Times New Roman" w:hAnsi="Times New Roman" w:cs="Times New Roman"/>
          <w:kern w:val="0"/>
          <w:sz w:val="24"/>
          <w:szCs w:val="24"/>
          <w:lang w:val="en-US"/>
          <w14:ligatures w14:val="none"/>
        </w:rPr>
        <w:t>Dème</w:t>
      </w:r>
      <w:proofErr w:type="spellEnd"/>
      <w:r w:rsidRPr="000C06A5">
        <w:rPr>
          <w:rFonts w:ascii="Times New Roman" w:eastAsia="Times New Roman" w:hAnsi="Times New Roman" w:cs="Times New Roman"/>
          <w:kern w:val="0"/>
          <w:sz w:val="24"/>
          <w:szCs w:val="24"/>
          <w:lang w:val="en-US"/>
          <w14:ligatures w14:val="none"/>
        </w:rPr>
        <w:t xml:space="preserve">, M., Diedhiou, I., </w:t>
      </w:r>
      <w:proofErr w:type="spellStart"/>
      <w:r w:rsidRPr="000C06A5">
        <w:rPr>
          <w:rFonts w:ascii="Times New Roman" w:eastAsia="Times New Roman" w:hAnsi="Times New Roman" w:cs="Times New Roman"/>
          <w:kern w:val="0"/>
          <w:sz w:val="24"/>
          <w:szCs w:val="24"/>
          <w:lang w:val="en-US"/>
          <w14:ligatures w14:val="none"/>
        </w:rPr>
        <w:t>Touron-Gardic</w:t>
      </w:r>
      <w:proofErr w:type="spellEnd"/>
      <w:r w:rsidRPr="000C06A5">
        <w:rPr>
          <w:rFonts w:ascii="Times New Roman" w:eastAsia="Times New Roman" w:hAnsi="Times New Roman" w:cs="Times New Roman"/>
          <w:kern w:val="0"/>
          <w:sz w:val="24"/>
          <w:szCs w:val="24"/>
          <w:lang w:val="en-US"/>
          <w14:ligatures w14:val="none"/>
        </w:rPr>
        <w:t xml:space="preserve">, G., Bocoum, W., &amp; Asiedu, B. (2023). Contribution of small-scale migrant fishing to the emergence of the fishmeal industry in West Africa: Cases of Mauritania, Senegal and the Gambia. </w:t>
      </w:r>
      <w:r w:rsidRPr="000C06A5">
        <w:rPr>
          <w:rFonts w:ascii="Times New Roman" w:eastAsia="Times New Roman" w:hAnsi="Times New Roman" w:cs="Times New Roman"/>
          <w:i/>
          <w:iCs/>
          <w:kern w:val="0"/>
          <w:sz w:val="24"/>
          <w:szCs w:val="24"/>
          <w:lang w:val="en-US"/>
          <w14:ligatures w14:val="none"/>
        </w:rPr>
        <w:t>Frontiers in Marine Science, 10</w:t>
      </w:r>
      <w:r w:rsidRPr="000C06A5">
        <w:rPr>
          <w:rFonts w:ascii="Times New Roman" w:eastAsia="Times New Roman" w:hAnsi="Times New Roman" w:cs="Times New Roman"/>
          <w:kern w:val="0"/>
          <w:sz w:val="24"/>
          <w:szCs w:val="24"/>
          <w:lang w:val="en-US"/>
          <w14:ligatures w14:val="none"/>
        </w:rPr>
        <w:t xml:space="preserve">, Article 871911. </w:t>
      </w:r>
      <w:hyperlink r:id="rId20" w:history="1">
        <w:r w:rsidRPr="000C06A5">
          <w:rPr>
            <w:rFonts w:ascii="Times New Roman" w:eastAsia="Times New Roman" w:hAnsi="Times New Roman" w:cs="Times New Roman"/>
            <w:color w:val="0000FF"/>
            <w:kern w:val="0"/>
            <w:sz w:val="24"/>
            <w:szCs w:val="24"/>
            <w:u w:val="single"/>
            <w:lang w:val="en-US"/>
            <w14:ligatures w14:val="none"/>
          </w:rPr>
          <w:t>https://doi.org/10.3389/fmars.2023.871911</w:t>
        </w:r>
      </w:hyperlink>
    </w:p>
    <w:p w14:paraId="64C94B1E" w14:textId="525B9E1B"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 xml:space="preserve">Elgendy, M. Y., Awad, E. S., Darwish, D. A., Abbas, H. H., &amp; Abbas, W. T. (2021). Investigations on the influence of </w:t>
      </w:r>
      <w:r w:rsidRPr="000C06A5">
        <w:rPr>
          <w:rFonts w:ascii="Times New Roman" w:eastAsia="Times New Roman" w:hAnsi="Times New Roman" w:cs="Times New Roman"/>
          <w:i/>
          <w:iCs/>
          <w:kern w:val="0"/>
          <w:sz w:val="24"/>
          <w:szCs w:val="24"/>
          <w:lang w:val="en-US"/>
          <w14:ligatures w14:val="none"/>
        </w:rPr>
        <w:t>Moringa oleifera</w:t>
      </w:r>
      <w:r w:rsidRPr="000C06A5">
        <w:rPr>
          <w:rFonts w:ascii="Times New Roman" w:eastAsia="Times New Roman" w:hAnsi="Times New Roman" w:cs="Times New Roman"/>
          <w:kern w:val="0"/>
          <w:sz w:val="24"/>
          <w:szCs w:val="24"/>
          <w:lang w:val="en-US"/>
          <w14:ligatures w14:val="none"/>
        </w:rPr>
        <w:t xml:space="preserve"> on the growth, </w:t>
      </w:r>
      <w:proofErr w:type="spellStart"/>
      <w:r w:rsidRPr="000C06A5">
        <w:rPr>
          <w:rFonts w:ascii="Times New Roman" w:eastAsia="Times New Roman" w:hAnsi="Times New Roman" w:cs="Times New Roman"/>
          <w:kern w:val="0"/>
          <w:sz w:val="24"/>
          <w:szCs w:val="24"/>
          <w:lang w:val="en-US"/>
          <w14:ligatures w14:val="none"/>
        </w:rPr>
        <w:t>haematology</w:t>
      </w:r>
      <w:proofErr w:type="spellEnd"/>
      <w:r w:rsidRPr="000C06A5">
        <w:rPr>
          <w:rFonts w:ascii="Times New Roman" w:eastAsia="Times New Roman" w:hAnsi="Times New Roman" w:cs="Times New Roman"/>
          <w:kern w:val="0"/>
          <w:sz w:val="24"/>
          <w:szCs w:val="24"/>
          <w:lang w:val="en-US"/>
          <w14:ligatures w14:val="none"/>
        </w:rPr>
        <w:t xml:space="preserve">, immunity and disease resistance in </w:t>
      </w:r>
      <w:r w:rsidRPr="000C06A5">
        <w:rPr>
          <w:rFonts w:ascii="Times New Roman" w:eastAsia="Times New Roman" w:hAnsi="Times New Roman" w:cs="Times New Roman"/>
          <w:i/>
          <w:iCs/>
          <w:kern w:val="0"/>
          <w:sz w:val="24"/>
          <w:szCs w:val="24"/>
          <w:lang w:val="en-US"/>
          <w14:ligatures w14:val="none"/>
        </w:rPr>
        <w:t>Oreochromis niloticus</w:t>
      </w:r>
      <w:r w:rsidRPr="000C06A5">
        <w:rPr>
          <w:rFonts w:ascii="Times New Roman" w:eastAsia="Times New Roman" w:hAnsi="Times New Roman" w:cs="Times New Roman"/>
          <w:kern w:val="0"/>
          <w:sz w:val="24"/>
          <w:szCs w:val="24"/>
          <w:lang w:val="en-US"/>
          <w14:ligatures w14:val="none"/>
        </w:rPr>
        <w:t xml:space="preserve"> with special reference to the analysis of antioxidant activities by PAGE electrophoresis. </w:t>
      </w:r>
      <w:r w:rsidRPr="000C06A5">
        <w:rPr>
          <w:rFonts w:ascii="Times New Roman" w:eastAsia="Times New Roman" w:hAnsi="Times New Roman" w:cs="Times New Roman"/>
          <w:i/>
          <w:iCs/>
          <w:kern w:val="0"/>
          <w:sz w:val="24"/>
          <w:szCs w:val="24"/>
          <w:lang w:val="en-US"/>
          <w14:ligatures w14:val="none"/>
        </w:rPr>
        <w:t>Aquaculture Research, 52</w:t>
      </w:r>
      <w:r w:rsidRPr="000C06A5">
        <w:rPr>
          <w:rFonts w:ascii="Times New Roman" w:eastAsia="Times New Roman" w:hAnsi="Times New Roman" w:cs="Times New Roman"/>
          <w:kern w:val="0"/>
          <w:sz w:val="24"/>
          <w:szCs w:val="24"/>
          <w:lang w:val="en-US"/>
          <w14:ligatures w14:val="none"/>
        </w:rPr>
        <w:t xml:space="preserve">, 4983–4995. </w:t>
      </w:r>
      <w:hyperlink r:id="rId21" w:history="1">
        <w:r w:rsidRPr="000C06A5">
          <w:rPr>
            <w:rFonts w:ascii="Times New Roman" w:eastAsia="Times New Roman" w:hAnsi="Times New Roman" w:cs="Times New Roman"/>
            <w:color w:val="0000FF"/>
            <w:kern w:val="0"/>
            <w:sz w:val="24"/>
            <w:szCs w:val="24"/>
            <w:u w:val="single"/>
            <w:lang w:val="en-US"/>
            <w14:ligatures w14:val="none"/>
          </w:rPr>
          <w:t>https://doi.org/10.1111/are.15370</w:t>
        </w:r>
      </w:hyperlink>
    </w:p>
    <w:p w14:paraId="19539797" w14:textId="3C64EBA9"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lastRenderedPageBreak/>
        <w:t xml:space="preserve">Elgendy, M. Y., Ali, S. E., Dayem, A. A., Khalil, R. H., Moustafa, M. M., &amp; Abdelsalam, M. (2024). Alternative therapies recently applied in controlling farmed fish diseases: Mechanisms, challenges, and prospects. </w:t>
      </w:r>
      <w:r w:rsidRPr="000C06A5">
        <w:rPr>
          <w:rFonts w:ascii="Times New Roman" w:eastAsia="Times New Roman" w:hAnsi="Times New Roman" w:cs="Times New Roman"/>
          <w:i/>
          <w:iCs/>
          <w:kern w:val="0"/>
          <w:sz w:val="24"/>
          <w:szCs w:val="24"/>
          <w:lang w:val="en-US"/>
          <w14:ligatures w14:val="none"/>
        </w:rPr>
        <w:t>Aquaculture International, 32</w:t>
      </w:r>
      <w:r w:rsidRPr="000C06A5">
        <w:rPr>
          <w:rFonts w:ascii="Times New Roman" w:eastAsia="Times New Roman" w:hAnsi="Times New Roman" w:cs="Times New Roman"/>
          <w:kern w:val="0"/>
          <w:sz w:val="24"/>
          <w:szCs w:val="24"/>
          <w:lang w:val="en-US"/>
          <w14:ligatures w14:val="none"/>
        </w:rPr>
        <w:t xml:space="preserve">(7), 9017–9078. </w:t>
      </w:r>
      <w:hyperlink r:id="rId22" w:history="1">
        <w:r w:rsidRPr="000C06A5">
          <w:rPr>
            <w:rFonts w:ascii="Times New Roman" w:eastAsia="Times New Roman" w:hAnsi="Times New Roman" w:cs="Times New Roman"/>
            <w:color w:val="0000FF"/>
            <w:kern w:val="0"/>
            <w:sz w:val="24"/>
            <w:szCs w:val="24"/>
            <w:u w:val="single"/>
            <w:lang w:val="en-US"/>
            <w14:ligatures w14:val="none"/>
          </w:rPr>
          <w:t>https://doi.org/10.1007/s10499-024-01603-3</w:t>
        </w:r>
      </w:hyperlink>
    </w:p>
    <w:p w14:paraId="36EB3F97" w14:textId="4EAFE44E"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nl-BE"/>
          <w14:ligatures w14:val="none"/>
        </w:rPr>
        <w:t xml:space="preserve">Elhadj Bara, D., &amp; Pierre, F. (2024). </w:t>
      </w:r>
      <w:r w:rsidRPr="000C06A5">
        <w:rPr>
          <w:rFonts w:ascii="Times New Roman" w:eastAsia="Times New Roman" w:hAnsi="Times New Roman" w:cs="Times New Roman"/>
          <w:kern w:val="0"/>
          <w:sz w:val="24"/>
          <w:szCs w:val="24"/>
          <w:lang w:val="en-US"/>
          <w14:ligatures w14:val="none"/>
        </w:rPr>
        <w:t xml:space="preserve">Analysis of fish consumption in the ECOWAS region and Mauritania: Current constraints and future challenges. </w:t>
      </w:r>
      <w:r w:rsidRPr="000C06A5">
        <w:rPr>
          <w:rFonts w:ascii="Times New Roman" w:eastAsia="Times New Roman" w:hAnsi="Times New Roman" w:cs="Times New Roman"/>
          <w:i/>
          <w:iCs/>
          <w:kern w:val="0"/>
          <w:sz w:val="24"/>
          <w:szCs w:val="24"/>
          <w:lang w:val="en-US"/>
          <w14:ligatures w14:val="none"/>
        </w:rPr>
        <w:t>Sustainability, 16</w:t>
      </w:r>
      <w:r w:rsidRPr="000C06A5">
        <w:rPr>
          <w:rFonts w:ascii="Times New Roman" w:eastAsia="Times New Roman" w:hAnsi="Times New Roman" w:cs="Times New Roman"/>
          <w:kern w:val="0"/>
          <w:sz w:val="24"/>
          <w:szCs w:val="24"/>
          <w:lang w:val="en-US"/>
          <w14:ligatures w14:val="none"/>
        </w:rPr>
        <w:t xml:space="preserve">(13), Article 5429. </w:t>
      </w:r>
      <w:hyperlink r:id="rId23" w:history="1">
        <w:r w:rsidRPr="000C06A5">
          <w:rPr>
            <w:rFonts w:ascii="Times New Roman" w:eastAsia="Times New Roman" w:hAnsi="Times New Roman" w:cs="Times New Roman"/>
            <w:color w:val="0000FF"/>
            <w:kern w:val="0"/>
            <w:sz w:val="24"/>
            <w:szCs w:val="24"/>
            <w:u w:val="single"/>
            <w:lang w:val="en-US"/>
            <w14:ligatures w14:val="none"/>
          </w:rPr>
          <w:t>https://doi.org/10.3390/su16135429</w:t>
        </w:r>
      </w:hyperlink>
    </w:p>
    <w:p w14:paraId="79F3657C" w14:textId="3F5CBCE1"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El-Sherif, M. S., &amp; El-Feky, A. M. I. (2009). Performance of Nile tilapia (</w:t>
      </w:r>
      <w:r w:rsidRPr="000C06A5">
        <w:rPr>
          <w:rFonts w:ascii="Times New Roman" w:eastAsia="Times New Roman" w:hAnsi="Times New Roman" w:cs="Times New Roman"/>
          <w:i/>
          <w:iCs/>
          <w:kern w:val="0"/>
          <w:sz w:val="24"/>
          <w:szCs w:val="24"/>
          <w:lang w:val="en-US"/>
          <w14:ligatures w14:val="none"/>
        </w:rPr>
        <w:t>Oreochromis niloticus</w:t>
      </w:r>
      <w:r w:rsidRPr="000C06A5">
        <w:rPr>
          <w:rFonts w:ascii="Times New Roman" w:eastAsia="Times New Roman" w:hAnsi="Times New Roman" w:cs="Times New Roman"/>
          <w:kern w:val="0"/>
          <w:sz w:val="24"/>
          <w:szCs w:val="24"/>
          <w:lang w:val="en-US"/>
          <w14:ligatures w14:val="none"/>
        </w:rPr>
        <w:t xml:space="preserve">) fingerlings. II. Influence of different water temperatures. </w:t>
      </w:r>
      <w:r w:rsidRPr="000C06A5">
        <w:rPr>
          <w:rFonts w:ascii="Times New Roman" w:eastAsia="Times New Roman" w:hAnsi="Times New Roman" w:cs="Times New Roman"/>
          <w:i/>
          <w:iCs/>
          <w:kern w:val="0"/>
          <w:sz w:val="24"/>
          <w:szCs w:val="24"/>
          <w:lang w:val="en-US"/>
          <w14:ligatures w14:val="none"/>
        </w:rPr>
        <w:t>International Journal of Agriculture &amp; Biology, 11</w:t>
      </w:r>
      <w:r w:rsidRPr="000C06A5">
        <w:rPr>
          <w:rFonts w:ascii="Times New Roman" w:eastAsia="Times New Roman" w:hAnsi="Times New Roman" w:cs="Times New Roman"/>
          <w:kern w:val="0"/>
          <w:sz w:val="24"/>
          <w:szCs w:val="24"/>
          <w:lang w:val="en-US"/>
          <w14:ligatures w14:val="none"/>
        </w:rPr>
        <w:t xml:space="preserve">(3), 301–305. </w:t>
      </w:r>
    </w:p>
    <w:p w14:paraId="098939E4" w14:textId="77C27F7B"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 xml:space="preserve">Food and Agriculture Organization of the United Nations. (2022). </w:t>
      </w:r>
      <w:r w:rsidRPr="000C06A5">
        <w:rPr>
          <w:rFonts w:ascii="Times New Roman" w:eastAsia="Times New Roman" w:hAnsi="Times New Roman" w:cs="Times New Roman"/>
          <w:i/>
          <w:iCs/>
          <w:kern w:val="0"/>
          <w:sz w:val="24"/>
          <w:szCs w:val="24"/>
          <w:lang w:val="en-US"/>
          <w14:ligatures w14:val="none"/>
        </w:rPr>
        <w:t>The state of world fisheries and aquaculture 2022: Towards blue transformation</w:t>
      </w:r>
      <w:r w:rsidRPr="000C06A5">
        <w:rPr>
          <w:rFonts w:ascii="Times New Roman" w:eastAsia="Times New Roman" w:hAnsi="Times New Roman" w:cs="Times New Roman"/>
          <w:kern w:val="0"/>
          <w:sz w:val="24"/>
          <w:szCs w:val="24"/>
          <w:lang w:val="en-US"/>
          <w14:ligatures w14:val="none"/>
        </w:rPr>
        <w:t xml:space="preserve">. FAO. </w:t>
      </w:r>
      <w:hyperlink r:id="rId24" w:history="1">
        <w:r w:rsidRPr="000C06A5">
          <w:rPr>
            <w:rFonts w:ascii="Times New Roman" w:eastAsia="Times New Roman" w:hAnsi="Times New Roman" w:cs="Times New Roman"/>
            <w:color w:val="0000FF"/>
            <w:kern w:val="0"/>
            <w:sz w:val="24"/>
            <w:szCs w:val="24"/>
            <w:u w:val="single"/>
            <w:lang w:val="en-US"/>
            <w14:ligatures w14:val="none"/>
          </w:rPr>
          <w:t>https://doi.org/10.4060/cc0461en</w:t>
        </w:r>
      </w:hyperlink>
    </w:p>
    <w:p w14:paraId="707E8C68" w14:textId="484F58C9"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 xml:space="preserve">Food and Agriculture Organization of the United Nations. (2026). </w:t>
      </w:r>
      <w:proofErr w:type="spellStart"/>
      <w:r w:rsidRPr="000C06A5">
        <w:rPr>
          <w:rFonts w:ascii="Times New Roman" w:eastAsia="Times New Roman" w:hAnsi="Times New Roman" w:cs="Times New Roman"/>
          <w:i/>
          <w:iCs/>
          <w:kern w:val="0"/>
          <w:sz w:val="24"/>
          <w:szCs w:val="24"/>
          <w:lang w:val="en-US"/>
          <w14:ligatures w14:val="none"/>
        </w:rPr>
        <w:t>Profils</w:t>
      </w:r>
      <w:proofErr w:type="spellEnd"/>
      <w:r w:rsidRPr="000C06A5">
        <w:rPr>
          <w:rFonts w:ascii="Times New Roman" w:eastAsia="Times New Roman" w:hAnsi="Times New Roman" w:cs="Times New Roman"/>
          <w:i/>
          <w:iCs/>
          <w:kern w:val="0"/>
          <w:sz w:val="24"/>
          <w:szCs w:val="24"/>
          <w:lang w:val="en-US"/>
          <w14:ligatures w14:val="none"/>
        </w:rPr>
        <w:t xml:space="preserve"> FAO de la </w:t>
      </w:r>
      <w:proofErr w:type="spellStart"/>
      <w:r w:rsidRPr="000C06A5">
        <w:rPr>
          <w:rFonts w:ascii="Times New Roman" w:eastAsia="Times New Roman" w:hAnsi="Times New Roman" w:cs="Times New Roman"/>
          <w:i/>
          <w:iCs/>
          <w:kern w:val="0"/>
          <w:sz w:val="24"/>
          <w:szCs w:val="24"/>
          <w:lang w:val="en-US"/>
          <w14:ligatures w14:val="none"/>
        </w:rPr>
        <w:t>pêche</w:t>
      </w:r>
      <w:proofErr w:type="spellEnd"/>
      <w:r w:rsidRPr="000C06A5">
        <w:rPr>
          <w:rFonts w:ascii="Times New Roman" w:eastAsia="Times New Roman" w:hAnsi="Times New Roman" w:cs="Times New Roman"/>
          <w:i/>
          <w:iCs/>
          <w:kern w:val="0"/>
          <w:sz w:val="24"/>
          <w:szCs w:val="24"/>
          <w:lang w:val="en-US"/>
          <w14:ligatures w14:val="none"/>
        </w:rPr>
        <w:t xml:space="preserve"> et de </w:t>
      </w:r>
      <w:proofErr w:type="spellStart"/>
      <w:r w:rsidRPr="000C06A5">
        <w:rPr>
          <w:rFonts w:ascii="Times New Roman" w:eastAsia="Times New Roman" w:hAnsi="Times New Roman" w:cs="Times New Roman"/>
          <w:i/>
          <w:iCs/>
          <w:kern w:val="0"/>
          <w:sz w:val="24"/>
          <w:szCs w:val="24"/>
          <w:lang w:val="en-US"/>
          <w14:ligatures w14:val="none"/>
        </w:rPr>
        <w:t>l’aquaculture</w:t>
      </w:r>
      <w:proofErr w:type="spellEnd"/>
      <w:r w:rsidRPr="000C06A5">
        <w:rPr>
          <w:rFonts w:ascii="Times New Roman" w:eastAsia="Times New Roman" w:hAnsi="Times New Roman" w:cs="Times New Roman"/>
          <w:i/>
          <w:iCs/>
          <w:kern w:val="0"/>
          <w:sz w:val="24"/>
          <w:szCs w:val="24"/>
          <w:lang w:val="en-US"/>
          <w14:ligatures w14:val="none"/>
        </w:rPr>
        <w:t xml:space="preserve"> par pays: Burkina Faso</w:t>
      </w:r>
      <w:r w:rsidRPr="000C06A5">
        <w:rPr>
          <w:rFonts w:ascii="Times New Roman" w:eastAsia="Times New Roman" w:hAnsi="Times New Roman" w:cs="Times New Roman"/>
          <w:kern w:val="0"/>
          <w:sz w:val="24"/>
          <w:szCs w:val="24"/>
          <w:lang w:val="en-US"/>
          <w14:ligatures w14:val="none"/>
        </w:rPr>
        <w:t xml:space="preserve">. FAO. </w:t>
      </w:r>
    </w:p>
    <w:p w14:paraId="41DD74E8" w14:textId="1193AF04"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 xml:space="preserve">Fotso Youovop, A. J., </w:t>
      </w:r>
      <w:proofErr w:type="spellStart"/>
      <w:r w:rsidRPr="000C06A5">
        <w:rPr>
          <w:rFonts w:ascii="Times New Roman" w:eastAsia="Times New Roman" w:hAnsi="Times New Roman" w:cs="Times New Roman"/>
          <w:kern w:val="0"/>
          <w:sz w:val="24"/>
          <w:szCs w:val="24"/>
          <w:lang w:val="en-US"/>
          <w14:ligatures w14:val="none"/>
        </w:rPr>
        <w:t>Takuissu</w:t>
      </w:r>
      <w:proofErr w:type="spellEnd"/>
      <w:r w:rsidRPr="000C06A5">
        <w:rPr>
          <w:rFonts w:ascii="Times New Roman" w:eastAsia="Times New Roman" w:hAnsi="Times New Roman" w:cs="Times New Roman"/>
          <w:kern w:val="0"/>
          <w:sz w:val="24"/>
          <w:szCs w:val="24"/>
          <w:lang w:val="en-US"/>
          <w14:ligatures w14:val="none"/>
        </w:rPr>
        <w:t xml:space="preserve">, G. R. N., </w:t>
      </w:r>
      <w:proofErr w:type="spellStart"/>
      <w:r w:rsidRPr="000C06A5">
        <w:rPr>
          <w:rFonts w:ascii="Times New Roman" w:eastAsia="Times New Roman" w:hAnsi="Times New Roman" w:cs="Times New Roman"/>
          <w:kern w:val="0"/>
          <w:sz w:val="24"/>
          <w:szCs w:val="24"/>
          <w:lang w:val="en-US"/>
          <w14:ligatures w14:val="none"/>
        </w:rPr>
        <w:t>Ngondi</w:t>
      </w:r>
      <w:proofErr w:type="spellEnd"/>
      <w:r w:rsidRPr="000C06A5">
        <w:rPr>
          <w:rFonts w:ascii="Times New Roman" w:eastAsia="Times New Roman" w:hAnsi="Times New Roman" w:cs="Times New Roman"/>
          <w:kern w:val="0"/>
          <w:sz w:val="24"/>
          <w:szCs w:val="24"/>
          <w:lang w:val="en-US"/>
          <w14:ligatures w14:val="none"/>
        </w:rPr>
        <w:t xml:space="preserve">, J. L., &amp; Oben, J. E. (2022). Acute and sub-chronic toxicity studies of aqueous bark extract of </w:t>
      </w:r>
      <w:proofErr w:type="spellStart"/>
      <w:r w:rsidRPr="000C06A5">
        <w:rPr>
          <w:rFonts w:ascii="Times New Roman" w:eastAsia="Times New Roman" w:hAnsi="Times New Roman" w:cs="Times New Roman"/>
          <w:i/>
          <w:iCs/>
          <w:kern w:val="0"/>
          <w:sz w:val="24"/>
          <w:szCs w:val="24"/>
          <w:lang w:val="en-US"/>
          <w14:ligatures w14:val="none"/>
        </w:rPr>
        <w:t>Detarium</w:t>
      </w:r>
      <w:proofErr w:type="spellEnd"/>
      <w:r w:rsidRPr="000C06A5">
        <w:rPr>
          <w:rFonts w:ascii="Times New Roman" w:eastAsia="Times New Roman" w:hAnsi="Times New Roman" w:cs="Times New Roman"/>
          <w:i/>
          <w:iCs/>
          <w:kern w:val="0"/>
          <w:sz w:val="24"/>
          <w:szCs w:val="24"/>
          <w:lang w:val="en-US"/>
          <w14:ligatures w14:val="none"/>
        </w:rPr>
        <w:t xml:space="preserve"> </w:t>
      </w:r>
      <w:proofErr w:type="spellStart"/>
      <w:r w:rsidRPr="000C06A5">
        <w:rPr>
          <w:rFonts w:ascii="Times New Roman" w:eastAsia="Times New Roman" w:hAnsi="Times New Roman" w:cs="Times New Roman"/>
          <w:i/>
          <w:iCs/>
          <w:kern w:val="0"/>
          <w:sz w:val="24"/>
          <w:szCs w:val="24"/>
          <w:lang w:val="en-US"/>
          <w14:ligatures w14:val="none"/>
        </w:rPr>
        <w:t>microcarpum</w:t>
      </w:r>
      <w:proofErr w:type="spellEnd"/>
      <w:r w:rsidRPr="000C06A5">
        <w:rPr>
          <w:rFonts w:ascii="Times New Roman" w:eastAsia="Times New Roman" w:hAnsi="Times New Roman" w:cs="Times New Roman"/>
          <w:kern w:val="0"/>
          <w:sz w:val="24"/>
          <w:szCs w:val="24"/>
          <w:lang w:val="en-US"/>
          <w14:ligatures w14:val="none"/>
        </w:rPr>
        <w:t xml:space="preserve"> Guill. and Perr. in albino Wistar rat. </w:t>
      </w:r>
      <w:r w:rsidRPr="000C06A5">
        <w:rPr>
          <w:rFonts w:ascii="Times New Roman" w:eastAsia="Times New Roman" w:hAnsi="Times New Roman" w:cs="Times New Roman"/>
          <w:i/>
          <w:iCs/>
          <w:kern w:val="0"/>
          <w:sz w:val="24"/>
          <w:szCs w:val="24"/>
          <w:lang w:val="en-US"/>
          <w14:ligatures w14:val="none"/>
        </w:rPr>
        <w:t>Toxicology and Environmental Health Sciences, 14</w:t>
      </w:r>
      <w:r w:rsidRPr="000C06A5">
        <w:rPr>
          <w:rFonts w:ascii="Times New Roman" w:eastAsia="Times New Roman" w:hAnsi="Times New Roman" w:cs="Times New Roman"/>
          <w:kern w:val="0"/>
          <w:sz w:val="24"/>
          <w:szCs w:val="24"/>
          <w:lang w:val="en-US"/>
          <w14:ligatures w14:val="none"/>
        </w:rPr>
        <w:t xml:space="preserve">(3), 269–276. </w:t>
      </w:r>
      <w:hyperlink r:id="rId25" w:history="1">
        <w:r w:rsidRPr="000C06A5">
          <w:rPr>
            <w:rFonts w:ascii="Times New Roman" w:eastAsia="Times New Roman" w:hAnsi="Times New Roman" w:cs="Times New Roman"/>
            <w:color w:val="0000FF"/>
            <w:kern w:val="0"/>
            <w:sz w:val="24"/>
            <w:szCs w:val="24"/>
            <w:u w:val="single"/>
            <w:lang w:val="en-US"/>
            <w14:ligatures w14:val="none"/>
          </w:rPr>
          <w:t>https://doi.org/10.1007/s13530-022-00139-4</w:t>
        </w:r>
      </w:hyperlink>
    </w:p>
    <w:p w14:paraId="67DABD53" w14:textId="0ED5AF78"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 xml:space="preserve">Gabriel, N. N., Qiang, J., He, J., Ma, X. Y., </w:t>
      </w:r>
      <w:proofErr w:type="spellStart"/>
      <w:r w:rsidRPr="000C06A5">
        <w:rPr>
          <w:rFonts w:ascii="Times New Roman" w:eastAsia="Times New Roman" w:hAnsi="Times New Roman" w:cs="Times New Roman"/>
          <w:kern w:val="0"/>
          <w:sz w:val="24"/>
          <w:szCs w:val="24"/>
          <w:lang w:val="en-US"/>
          <w14:ligatures w14:val="none"/>
        </w:rPr>
        <w:t>Kpundeh</w:t>
      </w:r>
      <w:proofErr w:type="spellEnd"/>
      <w:r w:rsidRPr="000C06A5">
        <w:rPr>
          <w:rFonts w:ascii="Times New Roman" w:eastAsia="Times New Roman" w:hAnsi="Times New Roman" w:cs="Times New Roman"/>
          <w:kern w:val="0"/>
          <w:sz w:val="24"/>
          <w:szCs w:val="24"/>
          <w:lang w:val="en-US"/>
          <w14:ligatures w14:val="none"/>
        </w:rPr>
        <w:t xml:space="preserve">, M. D., &amp; Xu, P. (2015). Dietary </w:t>
      </w:r>
      <w:r w:rsidRPr="000C06A5">
        <w:rPr>
          <w:rFonts w:ascii="Times New Roman" w:eastAsia="Times New Roman" w:hAnsi="Times New Roman" w:cs="Times New Roman"/>
          <w:i/>
          <w:iCs/>
          <w:kern w:val="0"/>
          <w:sz w:val="24"/>
          <w:szCs w:val="24"/>
          <w:lang w:val="en-US"/>
          <w14:ligatures w14:val="none"/>
        </w:rPr>
        <w:t>Aloe vera</w:t>
      </w:r>
      <w:r w:rsidRPr="000C06A5">
        <w:rPr>
          <w:rFonts w:ascii="Times New Roman" w:eastAsia="Times New Roman" w:hAnsi="Times New Roman" w:cs="Times New Roman"/>
          <w:kern w:val="0"/>
          <w:sz w:val="24"/>
          <w:szCs w:val="24"/>
          <w:lang w:val="en-US"/>
          <w14:ligatures w14:val="none"/>
        </w:rPr>
        <w:t xml:space="preserve"> supplementation on growth performance, some haemato-biochemical parameters and disease resistance against </w:t>
      </w:r>
      <w:r w:rsidRPr="000C06A5">
        <w:rPr>
          <w:rFonts w:ascii="Times New Roman" w:eastAsia="Times New Roman" w:hAnsi="Times New Roman" w:cs="Times New Roman"/>
          <w:i/>
          <w:iCs/>
          <w:kern w:val="0"/>
          <w:sz w:val="24"/>
          <w:szCs w:val="24"/>
          <w:lang w:val="en-US"/>
          <w14:ligatures w14:val="none"/>
        </w:rPr>
        <w:t xml:space="preserve">Streptococcus </w:t>
      </w:r>
      <w:proofErr w:type="spellStart"/>
      <w:r w:rsidRPr="000C06A5">
        <w:rPr>
          <w:rFonts w:ascii="Times New Roman" w:eastAsia="Times New Roman" w:hAnsi="Times New Roman" w:cs="Times New Roman"/>
          <w:i/>
          <w:iCs/>
          <w:kern w:val="0"/>
          <w:sz w:val="24"/>
          <w:szCs w:val="24"/>
          <w:lang w:val="en-US"/>
          <w14:ligatures w14:val="none"/>
        </w:rPr>
        <w:t>iniae</w:t>
      </w:r>
      <w:proofErr w:type="spellEnd"/>
      <w:r w:rsidRPr="000C06A5">
        <w:rPr>
          <w:rFonts w:ascii="Times New Roman" w:eastAsia="Times New Roman" w:hAnsi="Times New Roman" w:cs="Times New Roman"/>
          <w:kern w:val="0"/>
          <w:sz w:val="24"/>
          <w:szCs w:val="24"/>
          <w:lang w:val="en-US"/>
          <w14:ligatures w14:val="none"/>
        </w:rPr>
        <w:t xml:space="preserve"> in tilapia (GIFT). </w:t>
      </w:r>
      <w:r w:rsidRPr="000C06A5">
        <w:rPr>
          <w:rFonts w:ascii="Times New Roman" w:eastAsia="Times New Roman" w:hAnsi="Times New Roman" w:cs="Times New Roman"/>
          <w:i/>
          <w:iCs/>
          <w:kern w:val="0"/>
          <w:sz w:val="24"/>
          <w:szCs w:val="24"/>
          <w:lang w:val="en-US"/>
          <w14:ligatures w14:val="none"/>
        </w:rPr>
        <w:t>Fish &amp; Shellfish Immunology, 44</w:t>
      </w:r>
      <w:r w:rsidRPr="000C06A5">
        <w:rPr>
          <w:rFonts w:ascii="Times New Roman" w:eastAsia="Times New Roman" w:hAnsi="Times New Roman" w:cs="Times New Roman"/>
          <w:kern w:val="0"/>
          <w:sz w:val="24"/>
          <w:szCs w:val="24"/>
          <w:lang w:val="en-US"/>
          <w14:ligatures w14:val="none"/>
        </w:rPr>
        <w:t xml:space="preserve">, 504–514. </w:t>
      </w:r>
      <w:hyperlink r:id="rId26" w:history="1">
        <w:r w:rsidRPr="000C06A5">
          <w:rPr>
            <w:rFonts w:ascii="Times New Roman" w:eastAsia="Times New Roman" w:hAnsi="Times New Roman" w:cs="Times New Roman"/>
            <w:color w:val="0000FF"/>
            <w:kern w:val="0"/>
            <w:sz w:val="24"/>
            <w:szCs w:val="24"/>
            <w:u w:val="single"/>
            <w:lang w:val="en-US"/>
            <w14:ligatures w14:val="none"/>
          </w:rPr>
          <w:t>https://doi.org/10.1016/j.fsi.2015.03.002</w:t>
        </w:r>
      </w:hyperlink>
    </w:p>
    <w:p w14:paraId="4D9DF936" w14:textId="7CB8247D"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 xml:space="preserve">Guillaume, J., Kaushik, S., </w:t>
      </w:r>
      <w:proofErr w:type="spellStart"/>
      <w:r w:rsidRPr="000C06A5">
        <w:rPr>
          <w:rFonts w:ascii="Times New Roman" w:eastAsia="Times New Roman" w:hAnsi="Times New Roman" w:cs="Times New Roman"/>
          <w:kern w:val="0"/>
          <w:sz w:val="24"/>
          <w:szCs w:val="24"/>
          <w:lang w:val="en-US"/>
          <w14:ligatures w14:val="none"/>
        </w:rPr>
        <w:t>Bergot</w:t>
      </w:r>
      <w:proofErr w:type="spellEnd"/>
      <w:r w:rsidRPr="000C06A5">
        <w:rPr>
          <w:rFonts w:ascii="Times New Roman" w:eastAsia="Times New Roman" w:hAnsi="Times New Roman" w:cs="Times New Roman"/>
          <w:kern w:val="0"/>
          <w:sz w:val="24"/>
          <w:szCs w:val="24"/>
          <w:lang w:val="en-US"/>
          <w14:ligatures w14:val="none"/>
        </w:rPr>
        <w:t xml:space="preserve">, P., &amp; </w:t>
      </w:r>
      <w:proofErr w:type="spellStart"/>
      <w:r w:rsidRPr="000C06A5">
        <w:rPr>
          <w:rFonts w:ascii="Times New Roman" w:eastAsia="Times New Roman" w:hAnsi="Times New Roman" w:cs="Times New Roman"/>
          <w:kern w:val="0"/>
          <w:sz w:val="24"/>
          <w:szCs w:val="24"/>
          <w:lang w:val="en-US"/>
          <w14:ligatures w14:val="none"/>
        </w:rPr>
        <w:t>Métailler</w:t>
      </w:r>
      <w:proofErr w:type="spellEnd"/>
      <w:r w:rsidRPr="000C06A5">
        <w:rPr>
          <w:rFonts w:ascii="Times New Roman" w:eastAsia="Times New Roman" w:hAnsi="Times New Roman" w:cs="Times New Roman"/>
          <w:kern w:val="0"/>
          <w:sz w:val="24"/>
          <w:szCs w:val="24"/>
          <w:lang w:val="en-US"/>
          <w14:ligatures w14:val="none"/>
        </w:rPr>
        <w:t xml:space="preserve">, R. (Eds.). (1999). </w:t>
      </w:r>
      <w:r w:rsidRPr="000C06A5">
        <w:rPr>
          <w:rFonts w:ascii="Times New Roman" w:eastAsia="Times New Roman" w:hAnsi="Times New Roman" w:cs="Times New Roman"/>
          <w:i/>
          <w:iCs/>
          <w:kern w:val="0"/>
          <w:sz w:val="24"/>
          <w:szCs w:val="24"/>
          <w:lang w:val="en-US"/>
          <w14:ligatures w14:val="none"/>
        </w:rPr>
        <w:t xml:space="preserve">Nutrition et alimentation des </w:t>
      </w:r>
      <w:proofErr w:type="spellStart"/>
      <w:r w:rsidRPr="000C06A5">
        <w:rPr>
          <w:rFonts w:ascii="Times New Roman" w:eastAsia="Times New Roman" w:hAnsi="Times New Roman" w:cs="Times New Roman"/>
          <w:i/>
          <w:iCs/>
          <w:kern w:val="0"/>
          <w:sz w:val="24"/>
          <w:szCs w:val="24"/>
          <w:lang w:val="en-US"/>
          <w14:ligatures w14:val="none"/>
        </w:rPr>
        <w:t>poissons</w:t>
      </w:r>
      <w:proofErr w:type="spellEnd"/>
      <w:r w:rsidRPr="000C06A5">
        <w:rPr>
          <w:rFonts w:ascii="Times New Roman" w:eastAsia="Times New Roman" w:hAnsi="Times New Roman" w:cs="Times New Roman"/>
          <w:i/>
          <w:iCs/>
          <w:kern w:val="0"/>
          <w:sz w:val="24"/>
          <w:szCs w:val="24"/>
          <w:lang w:val="en-US"/>
          <w14:ligatures w14:val="none"/>
        </w:rPr>
        <w:t xml:space="preserve"> et </w:t>
      </w:r>
      <w:proofErr w:type="spellStart"/>
      <w:r w:rsidRPr="000C06A5">
        <w:rPr>
          <w:rFonts w:ascii="Times New Roman" w:eastAsia="Times New Roman" w:hAnsi="Times New Roman" w:cs="Times New Roman"/>
          <w:i/>
          <w:iCs/>
          <w:kern w:val="0"/>
          <w:sz w:val="24"/>
          <w:szCs w:val="24"/>
          <w:lang w:val="en-US"/>
          <w14:ligatures w14:val="none"/>
        </w:rPr>
        <w:t>crustacés</w:t>
      </w:r>
      <w:proofErr w:type="spellEnd"/>
      <w:r w:rsidRPr="000C06A5">
        <w:rPr>
          <w:rFonts w:ascii="Times New Roman" w:eastAsia="Times New Roman" w:hAnsi="Times New Roman" w:cs="Times New Roman"/>
          <w:kern w:val="0"/>
          <w:sz w:val="24"/>
          <w:szCs w:val="24"/>
          <w:lang w:val="en-US"/>
          <w14:ligatures w14:val="none"/>
        </w:rPr>
        <w:t xml:space="preserve">. INRA/IFREMER. </w:t>
      </w:r>
    </w:p>
    <w:p w14:paraId="406E6136" w14:textId="17A4DDBE"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nl-BE"/>
          <w14:ligatures w14:val="none"/>
        </w:rPr>
        <w:t xml:space="preserve">Gruber, C., Ocelova, V., Kesselring, J. C., &amp; Wein, S. (2025). </w:t>
      </w:r>
      <w:r w:rsidRPr="000C06A5">
        <w:rPr>
          <w:rFonts w:ascii="Times New Roman" w:eastAsia="Times New Roman" w:hAnsi="Times New Roman" w:cs="Times New Roman"/>
          <w:kern w:val="0"/>
          <w:sz w:val="24"/>
          <w:szCs w:val="24"/>
          <w:lang w:val="en-US"/>
          <w14:ligatures w14:val="none"/>
        </w:rPr>
        <w:t>Phytogenic feed additives as a sustainable alternative to antibiotics: Enhancing growth and disease resistance in Nile tilapia (</w:t>
      </w:r>
      <w:r w:rsidRPr="000C06A5">
        <w:rPr>
          <w:rFonts w:ascii="Times New Roman" w:eastAsia="Times New Roman" w:hAnsi="Times New Roman" w:cs="Times New Roman"/>
          <w:i/>
          <w:iCs/>
          <w:kern w:val="0"/>
          <w:sz w:val="24"/>
          <w:szCs w:val="24"/>
          <w:lang w:val="en-US"/>
          <w14:ligatures w14:val="none"/>
        </w:rPr>
        <w:t>Oreochromis niloticus</w:t>
      </w:r>
      <w:r w:rsidRPr="000C06A5">
        <w:rPr>
          <w:rFonts w:ascii="Times New Roman" w:eastAsia="Times New Roman" w:hAnsi="Times New Roman" w:cs="Times New Roman"/>
          <w:kern w:val="0"/>
          <w:sz w:val="24"/>
          <w:szCs w:val="24"/>
          <w:lang w:val="en-US"/>
          <w14:ligatures w14:val="none"/>
        </w:rPr>
        <w:t xml:space="preserve">). </w:t>
      </w:r>
      <w:r w:rsidRPr="000C06A5">
        <w:rPr>
          <w:rFonts w:ascii="Times New Roman" w:eastAsia="Times New Roman" w:hAnsi="Times New Roman" w:cs="Times New Roman"/>
          <w:i/>
          <w:iCs/>
          <w:kern w:val="0"/>
          <w:sz w:val="24"/>
          <w:szCs w:val="24"/>
          <w:lang w:val="en-US"/>
          <w14:ligatures w14:val="none"/>
        </w:rPr>
        <w:t>Animals, 15</w:t>
      </w:r>
      <w:r w:rsidRPr="000C06A5">
        <w:rPr>
          <w:rFonts w:ascii="Times New Roman" w:eastAsia="Times New Roman" w:hAnsi="Times New Roman" w:cs="Times New Roman"/>
          <w:kern w:val="0"/>
          <w:sz w:val="24"/>
          <w:szCs w:val="24"/>
          <w:lang w:val="en-US"/>
          <w14:ligatures w14:val="none"/>
        </w:rPr>
        <w:t xml:space="preserve">(3), Article 380. </w:t>
      </w:r>
      <w:hyperlink r:id="rId27" w:history="1">
        <w:r w:rsidRPr="000C06A5">
          <w:rPr>
            <w:rFonts w:ascii="Times New Roman" w:eastAsia="Times New Roman" w:hAnsi="Times New Roman" w:cs="Times New Roman"/>
            <w:color w:val="0000FF"/>
            <w:kern w:val="0"/>
            <w:sz w:val="24"/>
            <w:szCs w:val="24"/>
            <w:u w:val="single"/>
            <w:lang w:val="en-US"/>
            <w14:ligatures w14:val="none"/>
          </w:rPr>
          <w:t>https://doi.org/10.3390/ani15030380</w:t>
        </w:r>
      </w:hyperlink>
    </w:p>
    <w:p w14:paraId="6594313A" w14:textId="34C4C4AA"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 xml:space="preserve">Hamid, N. K. A., </w:t>
      </w:r>
      <w:proofErr w:type="spellStart"/>
      <w:r w:rsidRPr="000C06A5">
        <w:rPr>
          <w:rFonts w:ascii="Times New Roman" w:eastAsia="Times New Roman" w:hAnsi="Times New Roman" w:cs="Times New Roman"/>
          <w:kern w:val="0"/>
          <w:sz w:val="24"/>
          <w:szCs w:val="24"/>
          <w:lang w:val="en-US"/>
          <w14:ligatures w14:val="none"/>
        </w:rPr>
        <w:t>Somdare</w:t>
      </w:r>
      <w:proofErr w:type="spellEnd"/>
      <w:r w:rsidRPr="000C06A5">
        <w:rPr>
          <w:rFonts w:ascii="Times New Roman" w:eastAsia="Times New Roman" w:hAnsi="Times New Roman" w:cs="Times New Roman"/>
          <w:kern w:val="0"/>
          <w:sz w:val="24"/>
          <w:szCs w:val="24"/>
          <w:lang w:val="en-US"/>
          <w14:ligatures w14:val="none"/>
        </w:rPr>
        <w:t>, P. O., Harashid, K. A. M., Othman, N. A., Kari, Z. A., Wei, L. S., &amp; Dawood, M. A. O. (2022). Effect of papaya (</w:t>
      </w:r>
      <w:r w:rsidRPr="000C06A5">
        <w:rPr>
          <w:rFonts w:ascii="Times New Roman" w:eastAsia="Times New Roman" w:hAnsi="Times New Roman" w:cs="Times New Roman"/>
          <w:i/>
          <w:iCs/>
          <w:kern w:val="0"/>
          <w:sz w:val="24"/>
          <w:szCs w:val="24"/>
          <w:lang w:val="en-US"/>
          <w14:ligatures w14:val="none"/>
        </w:rPr>
        <w:t>Carica papaya</w:t>
      </w:r>
      <w:r w:rsidRPr="000C06A5">
        <w:rPr>
          <w:rFonts w:ascii="Times New Roman" w:eastAsia="Times New Roman" w:hAnsi="Times New Roman" w:cs="Times New Roman"/>
          <w:kern w:val="0"/>
          <w:sz w:val="24"/>
          <w:szCs w:val="24"/>
          <w:lang w:val="en-US"/>
          <w14:ligatures w14:val="none"/>
        </w:rPr>
        <w:t>) leaf extract as dietary growth promoter supplement in red hybrid tilapia (</w:t>
      </w:r>
      <w:r w:rsidRPr="000C06A5">
        <w:rPr>
          <w:rFonts w:ascii="Times New Roman" w:eastAsia="Times New Roman" w:hAnsi="Times New Roman" w:cs="Times New Roman"/>
          <w:i/>
          <w:iCs/>
          <w:kern w:val="0"/>
          <w:sz w:val="24"/>
          <w:szCs w:val="24"/>
          <w:lang w:val="en-US"/>
          <w14:ligatures w14:val="none"/>
        </w:rPr>
        <w:t xml:space="preserve">Oreochromis </w:t>
      </w:r>
      <w:proofErr w:type="spellStart"/>
      <w:r w:rsidRPr="000C06A5">
        <w:rPr>
          <w:rFonts w:ascii="Times New Roman" w:eastAsia="Times New Roman" w:hAnsi="Times New Roman" w:cs="Times New Roman"/>
          <w:i/>
          <w:iCs/>
          <w:kern w:val="0"/>
          <w:sz w:val="24"/>
          <w:szCs w:val="24"/>
          <w:lang w:val="en-US"/>
          <w14:ligatures w14:val="none"/>
        </w:rPr>
        <w:t>mossambicus</w:t>
      </w:r>
      <w:proofErr w:type="spellEnd"/>
      <w:r w:rsidRPr="000C06A5">
        <w:rPr>
          <w:rFonts w:ascii="Times New Roman" w:eastAsia="Times New Roman" w:hAnsi="Times New Roman" w:cs="Times New Roman"/>
          <w:kern w:val="0"/>
          <w:sz w:val="24"/>
          <w:szCs w:val="24"/>
          <w:lang w:val="en-US"/>
          <w14:ligatures w14:val="none"/>
        </w:rPr>
        <w:t xml:space="preserve"> × </w:t>
      </w:r>
      <w:r w:rsidRPr="000C06A5">
        <w:rPr>
          <w:rFonts w:ascii="Times New Roman" w:eastAsia="Times New Roman" w:hAnsi="Times New Roman" w:cs="Times New Roman"/>
          <w:i/>
          <w:iCs/>
          <w:kern w:val="0"/>
          <w:sz w:val="24"/>
          <w:szCs w:val="24"/>
          <w:lang w:val="en-US"/>
          <w14:ligatures w14:val="none"/>
        </w:rPr>
        <w:t>Oreochromis niloticus</w:t>
      </w:r>
      <w:r w:rsidRPr="000C06A5">
        <w:rPr>
          <w:rFonts w:ascii="Times New Roman" w:eastAsia="Times New Roman" w:hAnsi="Times New Roman" w:cs="Times New Roman"/>
          <w:kern w:val="0"/>
          <w:sz w:val="24"/>
          <w:szCs w:val="24"/>
          <w:lang w:val="en-US"/>
          <w14:ligatures w14:val="none"/>
        </w:rPr>
        <w:t xml:space="preserve">) diet. </w:t>
      </w:r>
      <w:r w:rsidRPr="000C06A5">
        <w:rPr>
          <w:rFonts w:ascii="Times New Roman" w:eastAsia="Times New Roman" w:hAnsi="Times New Roman" w:cs="Times New Roman"/>
          <w:i/>
          <w:iCs/>
          <w:kern w:val="0"/>
          <w:sz w:val="24"/>
          <w:szCs w:val="24"/>
          <w:lang w:val="en-US"/>
          <w14:ligatures w14:val="none"/>
        </w:rPr>
        <w:t>Saudi Journal of Biological Sciences, 29</w:t>
      </w:r>
      <w:r w:rsidRPr="000C06A5">
        <w:rPr>
          <w:rFonts w:ascii="Times New Roman" w:eastAsia="Times New Roman" w:hAnsi="Times New Roman" w:cs="Times New Roman"/>
          <w:kern w:val="0"/>
          <w:sz w:val="24"/>
          <w:szCs w:val="24"/>
          <w:lang w:val="en-US"/>
          <w14:ligatures w14:val="none"/>
        </w:rPr>
        <w:t xml:space="preserve">(5), 3911–3917. </w:t>
      </w:r>
      <w:hyperlink r:id="rId28" w:history="1">
        <w:r w:rsidRPr="000C06A5">
          <w:rPr>
            <w:rFonts w:ascii="Times New Roman" w:eastAsia="Times New Roman" w:hAnsi="Times New Roman" w:cs="Times New Roman"/>
            <w:color w:val="0000FF"/>
            <w:kern w:val="0"/>
            <w:sz w:val="24"/>
            <w:szCs w:val="24"/>
            <w:u w:val="single"/>
            <w:lang w:val="en-US"/>
            <w14:ligatures w14:val="none"/>
          </w:rPr>
          <w:t>https://doi.org/10.1016/j.sjbs.2022.03.004</w:t>
        </w:r>
      </w:hyperlink>
    </w:p>
    <w:p w14:paraId="01316B65" w14:textId="41E98801"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 xml:space="preserve">Hassanin, H. A. M., Koko, M., Abdalla, M., Mu, W., &amp; Jiang, B. (2019). </w:t>
      </w:r>
      <w:proofErr w:type="spellStart"/>
      <w:r w:rsidRPr="000C06A5">
        <w:rPr>
          <w:rFonts w:ascii="Times New Roman" w:eastAsia="Times New Roman" w:hAnsi="Times New Roman" w:cs="Times New Roman"/>
          <w:i/>
          <w:iCs/>
          <w:kern w:val="0"/>
          <w:sz w:val="24"/>
          <w:szCs w:val="24"/>
          <w:lang w:val="en-US"/>
          <w14:ligatures w14:val="none"/>
        </w:rPr>
        <w:t>Detarium</w:t>
      </w:r>
      <w:proofErr w:type="spellEnd"/>
      <w:r w:rsidRPr="000C06A5">
        <w:rPr>
          <w:rFonts w:ascii="Times New Roman" w:eastAsia="Times New Roman" w:hAnsi="Times New Roman" w:cs="Times New Roman"/>
          <w:i/>
          <w:iCs/>
          <w:kern w:val="0"/>
          <w:sz w:val="24"/>
          <w:szCs w:val="24"/>
          <w:lang w:val="en-US"/>
          <w14:ligatures w14:val="none"/>
        </w:rPr>
        <w:t xml:space="preserve"> </w:t>
      </w:r>
      <w:proofErr w:type="spellStart"/>
      <w:r w:rsidRPr="000C06A5">
        <w:rPr>
          <w:rFonts w:ascii="Times New Roman" w:eastAsia="Times New Roman" w:hAnsi="Times New Roman" w:cs="Times New Roman"/>
          <w:i/>
          <w:iCs/>
          <w:kern w:val="0"/>
          <w:sz w:val="24"/>
          <w:szCs w:val="24"/>
          <w:lang w:val="en-US"/>
          <w14:ligatures w14:val="none"/>
        </w:rPr>
        <w:t>microcarpum</w:t>
      </w:r>
      <w:proofErr w:type="spellEnd"/>
      <w:r w:rsidRPr="000C06A5">
        <w:rPr>
          <w:rFonts w:ascii="Times New Roman" w:eastAsia="Times New Roman" w:hAnsi="Times New Roman" w:cs="Times New Roman"/>
          <w:kern w:val="0"/>
          <w:sz w:val="24"/>
          <w:szCs w:val="24"/>
          <w:lang w:val="en-US"/>
          <w14:ligatures w14:val="none"/>
        </w:rPr>
        <w:t xml:space="preserve">: A novel source of nutrition and medicine: A review. </w:t>
      </w:r>
      <w:r w:rsidRPr="000C06A5">
        <w:rPr>
          <w:rFonts w:ascii="Times New Roman" w:eastAsia="Times New Roman" w:hAnsi="Times New Roman" w:cs="Times New Roman"/>
          <w:i/>
          <w:iCs/>
          <w:kern w:val="0"/>
          <w:sz w:val="24"/>
          <w:szCs w:val="24"/>
          <w:lang w:val="en-US"/>
          <w14:ligatures w14:val="none"/>
        </w:rPr>
        <w:t>Food Chemistry, 274</w:t>
      </w:r>
      <w:r w:rsidRPr="000C06A5">
        <w:rPr>
          <w:rFonts w:ascii="Times New Roman" w:eastAsia="Times New Roman" w:hAnsi="Times New Roman" w:cs="Times New Roman"/>
          <w:kern w:val="0"/>
          <w:sz w:val="24"/>
          <w:szCs w:val="24"/>
          <w:lang w:val="en-US"/>
          <w14:ligatures w14:val="none"/>
        </w:rPr>
        <w:t xml:space="preserve">, 900–906. </w:t>
      </w:r>
      <w:hyperlink r:id="rId29" w:history="1">
        <w:r w:rsidRPr="000C06A5">
          <w:rPr>
            <w:rFonts w:ascii="Times New Roman" w:eastAsia="Times New Roman" w:hAnsi="Times New Roman" w:cs="Times New Roman"/>
            <w:color w:val="0000FF"/>
            <w:kern w:val="0"/>
            <w:sz w:val="24"/>
            <w:szCs w:val="24"/>
            <w:u w:val="single"/>
            <w:lang w:val="en-US"/>
            <w14:ligatures w14:val="none"/>
          </w:rPr>
          <w:t>https://doi.org/10.1016/j.foodchem.2018.09.070</w:t>
        </w:r>
      </w:hyperlink>
    </w:p>
    <w:p w14:paraId="5FF1B5B1" w14:textId="40E08D2E"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 xml:space="preserve">Ibrahim, R. E., </w:t>
      </w:r>
      <w:proofErr w:type="spellStart"/>
      <w:r w:rsidRPr="000C06A5">
        <w:rPr>
          <w:rFonts w:ascii="Times New Roman" w:eastAsia="Times New Roman" w:hAnsi="Times New Roman" w:cs="Times New Roman"/>
          <w:kern w:val="0"/>
          <w:sz w:val="24"/>
          <w:szCs w:val="24"/>
          <w:lang w:val="en-US"/>
          <w14:ligatures w14:val="none"/>
        </w:rPr>
        <w:t>Rhouma</w:t>
      </w:r>
      <w:proofErr w:type="spellEnd"/>
      <w:r w:rsidRPr="000C06A5">
        <w:rPr>
          <w:rFonts w:ascii="Times New Roman" w:eastAsia="Times New Roman" w:hAnsi="Times New Roman" w:cs="Times New Roman"/>
          <w:kern w:val="0"/>
          <w:sz w:val="24"/>
          <w:szCs w:val="24"/>
          <w:lang w:val="en-US"/>
          <w14:ligatures w14:val="none"/>
        </w:rPr>
        <w:t xml:space="preserve">, N. R., </w:t>
      </w:r>
      <w:proofErr w:type="spellStart"/>
      <w:r w:rsidRPr="000C06A5">
        <w:rPr>
          <w:rFonts w:ascii="Times New Roman" w:eastAsia="Times New Roman" w:hAnsi="Times New Roman" w:cs="Times New Roman"/>
          <w:kern w:val="0"/>
          <w:sz w:val="24"/>
          <w:szCs w:val="24"/>
          <w:lang w:val="en-US"/>
          <w14:ligatures w14:val="none"/>
        </w:rPr>
        <w:t>Elbealy</w:t>
      </w:r>
      <w:proofErr w:type="spellEnd"/>
      <w:r w:rsidRPr="000C06A5">
        <w:rPr>
          <w:rFonts w:ascii="Times New Roman" w:eastAsia="Times New Roman" w:hAnsi="Times New Roman" w:cs="Times New Roman"/>
          <w:kern w:val="0"/>
          <w:sz w:val="24"/>
          <w:szCs w:val="24"/>
          <w:lang w:val="en-US"/>
          <w14:ligatures w14:val="none"/>
        </w:rPr>
        <w:t xml:space="preserve">, M. A., </w:t>
      </w:r>
      <w:proofErr w:type="spellStart"/>
      <w:r w:rsidRPr="000C06A5">
        <w:rPr>
          <w:rFonts w:ascii="Times New Roman" w:eastAsia="Times New Roman" w:hAnsi="Times New Roman" w:cs="Times New Roman"/>
          <w:kern w:val="0"/>
          <w:sz w:val="24"/>
          <w:szCs w:val="24"/>
          <w:lang w:val="en-US"/>
          <w14:ligatures w14:val="none"/>
        </w:rPr>
        <w:t>Abdelwarith</w:t>
      </w:r>
      <w:proofErr w:type="spellEnd"/>
      <w:r w:rsidRPr="000C06A5">
        <w:rPr>
          <w:rFonts w:ascii="Times New Roman" w:eastAsia="Times New Roman" w:hAnsi="Times New Roman" w:cs="Times New Roman"/>
          <w:kern w:val="0"/>
          <w:sz w:val="24"/>
          <w:szCs w:val="24"/>
          <w:lang w:val="en-US"/>
          <w14:ligatures w14:val="none"/>
        </w:rPr>
        <w:t xml:space="preserve">, A. A., Younis, E. M., Khalil, S. S., Khamis, T., Mansour, A. T., Davies, S. J., El-Murr, A., &amp; Abdel Rahman, A. N. (2024). Effect of dietary intervention with </w:t>
      </w:r>
      <w:r w:rsidRPr="000C06A5">
        <w:rPr>
          <w:rFonts w:ascii="Times New Roman" w:eastAsia="Times New Roman" w:hAnsi="Times New Roman" w:cs="Times New Roman"/>
          <w:i/>
          <w:iCs/>
          <w:kern w:val="0"/>
          <w:sz w:val="24"/>
          <w:szCs w:val="24"/>
          <w:lang w:val="en-US"/>
          <w14:ligatures w14:val="none"/>
        </w:rPr>
        <w:t>Capsicum annuum</w:t>
      </w:r>
      <w:r w:rsidRPr="000C06A5">
        <w:rPr>
          <w:rFonts w:ascii="Times New Roman" w:eastAsia="Times New Roman" w:hAnsi="Times New Roman" w:cs="Times New Roman"/>
          <w:kern w:val="0"/>
          <w:sz w:val="24"/>
          <w:szCs w:val="24"/>
          <w:lang w:val="en-US"/>
          <w14:ligatures w14:val="none"/>
        </w:rPr>
        <w:t xml:space="preserve"> extract on growth performance, physiological status, innate immune response, and related gene expression in Nile tilapia. </w:t>
      </w:r>
      <w:r w:rsidRPr="000C06A5">
        <w:rPr>
          <w:rFonts w:ascii="Times New Roman" w:eastAsia="Times New Roman" w:hAnsi="Times New Roman" w:cs="Times New Roman"/>
          <w:i/>
          <w:iCs/>
          <w:kern w:val="0"/>
          <w:sz w:val="24"/>
          <w:szCs w:val="24"/>
          <w:lang w:val="en-US"/>
          <w14:ligatures w14:val="none"/>
        </w:rPr>
        <w:t>Comparative Biochemistry and Physiology Part B: Biochemistry and Molecular Biology, 270</w:t>
      </w:r>
      <w:r w:rsidRPr="000C06A5">
        <w:rPr>
          <w:rFonts w:ascii="Times New Roman" w:eastAsia="Times New Roman" w:hAnsi="Times New Roman" w:cs="Times New Roman"/>
          <w:kern w:val="0"/>
          <w:sz w:val="24"/>
          <w:szCs w:val="24"/>
          <w:lang w:val="en-US"/>
          <w14:ligatures w14:val="none"/>
        </w:rPr>
        <w:t xml:space="preserve">, Article 110914. </w:t>
      </w:r>
      <w:hyperlink r:id="rId30" w:history="1">
        <w:r w:rsidRPr="000C06A5">
          <w:rPr>
            <w:rFonts w:ascii="Times New Roman" w:eastAsia="Times New Roman" w:hAnsi="Times New Roman" w:cs="Times New Roman"/>
            <w:color w:val="0000FF"/>
            <w:kern w:val="0"/>
            <w:sz w:val="24"/>
            <w:szCs w:val="24"/>
            <w:u w:val="single"/>
            <w:lang w:val="en-US"/>
            <w14:ligatures w14:val="none"/>
          </w:rPr>
          <w:t>https://doi.org/10.1016/j.cbpb.2023.110914</w:t>
        </w:r>
      </w:hyperlink>
    </w:p>
    <w:p w14:paraId="56D42363" w14:textId="02456F66"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 xml:space="preserve">Fotso Youovop, A. J., </w:t>
      </w:r>
      <w:proofErr w:type="spellStart"/>
      <w:r w:rsidRPr="000C06A5">
        <w:rPr>
          <w:rFonts w:ascii="Times New Roman" w:eastAsia="Times New Roman" w:hAnsi="Times New Roman" w:cs="Times New Roman"/>
          <w:kern w:val="0"/>
          <w:sz w:val="24"/>
          <w:szCs w:val="24"/>
          <w:lang w:val="en-US"/>
          <w14:ligatures w14:val="none"/>
        </w:rPr>
        <w:t>Mbaississem</w:t>
      </w:r>
      <w:proofErr w:type="spellEnd"/>
      <w:r w:rsidRPr="000C06A5">
        <w:rPr>
          <w:rFonts w:ascii="Times New Roman" w:eastAsia="Times New Roman" w:hAnsi="Times New Roman" w:cs="Times New Roman"/>
          <w:kern w:val="0"/>
          <w:sz w:val="24"/>
          <w:szCs w:val="24"/>
          <w:lang w:val="en-US"/>
          <w14:ligatures w14:val="none"/>
        </w:rPr>
        <w:t xml:space="preserve">, W. D., </w:t>
      </w:r>
      <w:proofErr w:type="spellStart"/>
      <w:r w:rsidRPr="000C06A5">
        <w:rPr>
          <w:rFonts w:ascii="Times New Roman" w:eastAsia="Times New Roman" w:hAnsi="Times New Roman" w:cs="Times New Roman"/>
          <w:kern w:val="0"/>
          <w:sz w:val="24"/>
          <w:szCs w:val="24"/>
          <w:lang w:val="en-US"/>
          <w14:ligatures w14:val="none"/>
        </w:rPr>
        <w:t>Ngondi</w:t>
      </w:r>
      <w:proofErr w:type="spellEnd"/>
      <w:r w:rsidRPr="000C06A5">
        <w:rPr>
          <w:rFonts w:ascii="Times New Roman" w:eastAsia="Times New Roman" w:hAnsi="Times New Roman" w:cs="Times New Roman"/>
          <w:kern w:val="0"/>
          <w:sz w:val="24"/>
          <w:szCs w:val="24"/>
          <w:lang w:val="en-US"/>
          <w14:ligatures w14:val="none"/>
        </w:rPr>
        <w:t xml:space="preserve">, J. L., &amp; Oben, J. E. (2020). The potential effect of aqueous extract of </w:t>
      </w:r>
      <w:proofErr w:type="spellStart"/>
      <w:r w:rsidRPr="000C06A5">
        <w:rPr>
          <w:rFonts w:ascii="Times New Roman" w:eastAsia="Times New Roman" w:hAnsi="Times New Roman" w:cs="Times New Roman"/>
          <w:i/>
          <w:iCs/>
          <w:kern w:val="0"/>
          <w:sz w:val="24"/>
          <w:szCs w:val="24"/>
          <w:lang w:val="en-US"/>
          <w14:ligatures w14:val="none"/>
        </w:rPr>
        <w:t>Detarium</w:t>
      </w:r>
      <w:proofErr w:type="spellEnd"/>
      <w:r w:rsidRPr="000C06A5">
        <w:rPr>
          <w:rFonts w:ascii="Times New Roman" w:eastAsia="Times New Roman" w:hAnsi="Times New Roman" w:cs="Times New Roman"/>
          <w:i/>
          <w:iCs/>
          <w:kern w:val="0"/>
          <w:sz w:val="24"/>
          <w:szCs w:val="24"/>
          <w:lang w:val="en-US"/>
          <w14:ligatures w14:val="none"/>
        </w:rPr>
        <w:t xml:space="preserve"> </w:t>
      </w:r>
      <w:proofErr w:type="spellStart"/>
      <w:r w:rsidRPr="000C06A5">
        <w:rPr>
          <w:rFonts w:ascii="Times New Roman" w:eastAsia="Times New Roman" w:hAnsi="Times New Roman" w:cs="Times New Roman"/>
          <w:i/>
          <w:iCs/>
          <w:kern w:val="0"/>
          <w:sz w:val="24"/>
          <w:szCs w:val="24"/>
          <w:lang w:val="en-US"/>
          <w14:ligatures w14:val="none"/>
        </w:rPr>
        <w:t>microcarpum</w:t>
      </w:r>
      <w:proofErr w:type="spellEnd"/>
      <w:r w:rsidRPr="000C06A5">
        <w:rPr>
          <w:rFonts w:ascii="Times New Roman" w:eastAsia="Times New Roman" w:hAnsi="Times New Roman" w:cs="Times New Roman"/>
          <w:kern w:val="0"/>
          <w:sz w:val="24"/>
          <w:szCs w:val="24"/>
          <w:lang w:val="en-US"/>
          <w14:ligatures w14:val="none"/>
        </w:rPr>
        <w:t xml:space="preserve"> bark on certain metabolic disorders associated with an atherogenic diet in rats. </w:t>
      </w:r>
      <w:r w:rsidRPr="000C06A5">
        <w:rPr>
          <w:rFonts w:ascii="Times New Roman" w:eastAsia="Times New Roman" w:hAnsi="Times New Roman" w:cs="Times New Roman"/>
          <w:i/>
          <w:iCs/>
          <w:kern w:val="0"/>
          <w:sz w:val="24"/>
          <w:szCs w:val="24"/>
          <w:lang w:val="en-US"/>
          <w14:ligatures w14:val="none"/>
        </w:rPr>
        <w:t>Journal of Food Research, 9</w:t>
      </w:r>
      <w:r w:rsidRPr="000C06A5">
        <w:rPr>
          <w:rFonts w:ascii="Times New Roman" w:eastAsia="Times New Roman" w:hAnsi="Times New Roman" w:cs="Times New Roman"/>
          <w:kern w:val="0"/>
          <w:sz w:val="24"/>
          <w:szCs w:val="24"/>
          <w:lang w:val="en-US"/>
          <w14:ligatures w14:val="none"/>
        </w:rPr>
        <w:t xml:space="preserve">(5), 102–112. </w:t>
      </w:r>
      <w:hyperlink r:id="rId31" w:history="1">
        <w:r w:rsidRPr="000C06A5">
          <w:rPr>
            <w:rFonts w:ascii="Times New Roman" w:eastAsia="Times New Roman" w:hAnsi="Times New Roman" w:cs="Times New Roman"/>
            <w:color w:val="0000FF"/>
            <w:kern w:val="0"/>
            <w:sz w:val="24"/>
            <w:szCs w:val="24"/>
            <w:u w:val="single"/>
            <w:lang w:val="en-US"/>
            <w14:ligatures w14:val="none"/>
          </w:rPr>
          <w:t>https://doi.org/10.5539/jfr.v9n5p102</w:t>
        </w:r>
      </w:hyperlink>
    </w:p>
    <w:p w14:paraId="235E7B56" w14:textId="2A6D60F6"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 xml:space="preserve">Jiya, E. Z., </w:t>
      </w:r>
      <w:proofErr w:type="spellStart"/>
      <w:r w:rsidRPr="000C06A5">
        <w:rPr>
          <w:rFonts w:ascii="Times New Roman" w:eastAsia="Times New Roman" w:hAnsi="Times New Roman" w:cs="Times New Roman"/>
          <w:kern w:val="0"/>
          <w:sz w:val="24"/>
          <w:szCs w:val="24"/>
          <w:lang w:val="en-US"/>
          <w14:ligatures w14:val="none"/>
        </w:rPr>
        <w:t>Ijaiya</w:t>
      </w:r>
      <w:proofErr w:type="spellEnd"/>
      <w:r w:rsidRPr="000C06A5">
        <w:rPr>
          <w:rFonts w:ascii="Times New Roman" w:eastAsia="Times New Roman" w:hAnsi="Times New Roman" w:cs="Times New Roman"/>
          <w:kern w:val="0"/>
          <w:sz w:val="24"/>
          <w:szCs w:val="24"/>
          <w:lang w:val="en-US"/>
          <w14:ligatures w14:val="none"/>
        </w:rPr>
        <w:t xml:space="preserve">, A. T., </w:t>
      </w:r>
      <w:proofErr w:type="spellStart"/>
      <w:r w:rsidRPr="000C06A5">
        <w:rPr>
          <w:rFonts w:ascii="Times New Roman" w:eastAsia="Times New Roman" w:hAnsi="Times New Roman" w:cs="Times New Roman"/>
          <w:kern w:val="0"/>
          <w:sz w:val="24"/>
          <w:szCs w:val="24"/>
          <w:lang w:val="en-US"/>
          <w14:ligatures w14:val="none"/>
        </w:rPr>
        <w:t>Olorunsanya</w:t>
      </w:r>
      <w:proofErr w:type="spellEnd"/>
      <w:r w:rsidRPr="000C06A5">
        <w:rPr>
          <w:rFonts w:ascii="Times New Roman" w:eastAsia="Times New Roman" w:hAnsi="Times New Roman" w:cs="Times New Roman"/>
          <w:kern w:val="0"/>
          <w:sz w:val="24"/>
          <w:szCs w:val="24"/>
          <w:lang w:val="en-US"/>
          <w14:ligatures w14:val="none"/>
        </w:rPr>
        <w:t xml:space="preserve">, A. O., &amp; </w:t>
      </w:r>
      <w:proofErr w:type="spellStart"/>
      <w:r w:rsidRPr="000C06A5">
        <w:rPr>
          <w:rFonts w:ascii="Times New Roman" w:eastAsia="Times New Roman" w:hAnsi="Times New Roman" w:cs="Times New Roman"/>
          <w:kern w:val="0"/>
          <w:sz w:val="24"/>
          <w:szCs w:val="24"/>
          <w:lang w:val="en-US"/>
          <w14:ligatures w14:val="none"/>
        </w:rPr>
        <w:t>Ayanwale</w:t>
      </w:r>
      <w:proofErr w:type="spellEnd"/>
      <w:r w:rsidRPr="000C06A5">
        <w:rPr>
          <w:rFonts w:ascii="Times New Roman" w:eastAsia="Times New Roman" w:hAnsi="Times New Roman" w:cs="Times New Roman"/>
          <w:kern w:val="0"/>
          <w:sz w:val="24"/>
          <w:szCs w:val="24"/>
          <w:lang w:val="en-US"/>
          <w14:ligatures w14:val="none"/>
        </w:rPr>
        <w:t>, B. A. (2013). Performance of rabbits fed diets containing graded levels of processed tallow (</w:t>
      </w:r>
      <w:proofErr w:type="spellStart"/>
      <w:r w:rsidRPr="000C06A5">
        <w:rPr>
          <w:rFonts w:ascii="Times New Roman" w:eastAsia="Times New Roman" w:hAnsi="Times New Roman" w:cs="Times New Roman"/>
          <w:i/>
          <w:iCs/>
          <w:kern w:val="0"/>
          <w:sz w:val="24"/>
          <w:szCs w:val="24"/>
          <w:lang w:val="en-US"/>
          <w14:ligatures w14:val="none"/>
        </w:rPr>
        <w:t>Detarium</w:t>
      </w:r>
      <w:proofErr w:type="spellEnd"/>
      <w:r w:rsidRPr="000C06A5">
        <w:rPr>
          <w:rFonts w:ascii="Times New Roman" w:eastAsia="Times New Roman" w:hAnsi="Times New Roman" w:cs="Times New Roman"/>
          <w:i/>
          <w:iCs/>
          <w:kern w:val="0"/>
          <w:sz w:val="24"/>
          <w:szCs w:val="24"/>
          <w:lang w:val="en-US"/>
          <w14:ligatures w14:val="none"/>
        </w:rPr>
        <w:t xml:space="preserve"> </w:t>
      </w:r>
      <w:proofErr w:type="spellStart"/>
      <w:r w:rsidRPr="000C06A5">
        <w:rPr>
          <w:rFonts w:ascii="Times New Roman" w:eastAsia="Times New Roman" w:hAnsi="Times New Roman" w:cs="Times New Roman"/>
          <w:i/>
          <w:iCs/>
          <w:kern w:val="0"/>
          <w:sz w:val="24"/>
          <w:szCs w:val="24"/>
          <w:lang w:val="en-US"/>
          <w14:ligatures w14:val="none"/>
        </w:rPr>
        <w:t>microcarpum</w:t>
      </w:r>
      <w:proofErr w:type="spellEnd"/>
      <w:r w:rsidRPr="000C06A5">
        <w:rPr>
          <w:rFonts w:ascii="Times New Roman" w:eastAsia="Times New Roman" w:hAnsi="Times New Roman" w:cs="Times New Roman"/>
          <w:kern w:val="0"/>
          <w:sz w:val="24"/>
          <w:szCs w:val="24"/>
          <w:lang w:val="en-US"/>
          <w14:ligatures w14:val="none"/>
        </w:rPr>
        <w:t xml:space="preserve">) seed </w:t>
      </w:r>
      <w:r w:rsidRPr="000C06A5">
        <w:rPr>
          <w:rFonts w:ascii="Times New Roman" w:eastAsia="Times New Roman" w:hAnsi="Times New Roman" w:cs="Times New Roman"/>
          <w:kern w:val="0"/>
          <w:sz w:val="24"/>
          <w:szCs w:val="24"/>
          <w:lang w:val="en-US"/>
          <w14:ligatures w14:val="none"/>
        </w:rPr>
        <w:lastRenderedPageBreak/>
        <w:t xml:space="preserve">meal. </w:t>
      </w:r>
      <w:r w:rsidRPr="000C06A5">
        <w:rPr>
          <w:rFonts w:ascii="Times New Roman" w:eastAsia="Times New Roman" w:hAnsi="Times New Roman" w:cs="Times New Roman"/>
          <w:i/>
          <w:iCs/>
          <w:kern w:val="0"/>
          <w:sz w:val="24"/>
          <w:szCs w:val="24"/>
          <w:lang w:val="en-US"/>
          <w14:ligatures w14:val="none"/>
        </w:rPr>
        <w:t>Nigerian Journal of Animal Production, 40</w:t>
      </w:r>
      <w:r w:rsidRPr="000C06A5">
        <w:rPr>
          <w:rFonts w:ascii="Times New Roman" w:eastAsia="Times New Roman" w:hAnsi="Times New Roman" w:cs="Times New Roman"/>
          <w:kern w:val="0"/>
          <w:sz w:val="24"/>
          <w:szCs w:val="24"/>
          <w:lang w:val="en-US"/>
          <w14:ligatures w14:val="none"/>
        </w:rPr>
        <w:t xml:space="preserve">(2), 59–70. </w:t>
      </w:r>
      <w:hyperlink r:id="rId32" w:history="1">
        <w:r w:rsidRPr="000C06A5">
          <w:rPr>
            <w:rFonts w:ascii="Times New Roman" w:eastAsia="Times New Roman" w:hAnsi="Times New Roman" w:cs="Times New Roman"/>
            <w:color w:val="0000FF"/>
            <w:kern w:val="0"/>
            <w:sz w:val="24"/>
            <w:szCs w:val="24"/>
            <w:u w:val="single"/>
            <w:lang w:val="en-US"/>
            <w14:ligatures w14:val="none"/>
          </w:rPr>
          <w:t>https://doi.org/10.51791/njap.v40i2.1170</w:t>
        </w:r>
      </w:hyperlink>
    </w:p>
    <w:p w14:paraId="7AAE5B12" w14:textId="5C72D2CD"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 xml:space="preserve">Kelany, N. F., Abdel-Mohsein, H. S., Kotb, S., &amp; Ismail, A. E.-M. A. (2024). Significant impact of physicochemical water parameters in tilapia aquaculture. </w:t>
      </w:r>
      <w:r w:rsidRPr="000C06A5">
        <w:rPr>
          <w:rFonts w:ascii="Times New Roman" w:eastAsia="Times New Roman" w:hAnsi="Times New Roman" w:cs="Times New Roman"/>
          <w:i/>
          <w:iCs/>
          <w:kern w:val="0"/>
          <w:sz w:val="24"/>
          <w:szCs w:val="24"/>
          <w:lang w:val="en-US"/>
          <w14:ligatures w14:val="none"/>
        </w:rPr>
        <w:t>Journal of Advanced Veterinary Research, 14</w:t>
      </w:r>
      <w:r w:rsidRPr="000C06A5">
        <w:rPr>
          <w:rFonts w:ascii="Times New Roman" w:eastAsia="Times New Roman" w:hAnsi="Times New Roman" w:cs="Times New Roman"/>
          <w:kern w:val="0"/>
          <w:sz w:val="24"/>
          <w:szCs w:val="24"/>
          <w:lang w:val="en-US"/>
          <w14:ligatures w14:val="none"/>
        </w:rPr>
        <w:t xml:space="preserve">(6), 1060–1064. </w:t>
      </w:r>
    </w:p>
    <w:p w14:paraId="0DE8B0A9" w14:textId="3C0DE933"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 xml:space="preserve">Kondombo, K. S. C., Silga, R. P., Coulibaly, N. D., </w:t>
      </w:r>
      <w:proofErr w:type="spellStart"/>
      <w:r w:rsidRPr="000C06A5">
        <w:rPr>
          <w:rFonts w:ascii="Times New Roman" w:eastAsia="Times New Roman" w:hAnsi="Times New Roman" w:cs="Times New Roman"/>
          <w:kern w:val="0"/>
          <w:sz w:val="24"/>
          <w:szCs w:val="24"/>
          <w:lang w:val="en-US"/>
          <w14:ligatures w14:val="none"/>
        </w:rPr>
        <w:t>Bancé</w:t>
      </w:r>
      <w:proofErr w:type="spellEnd"/>
      <w:r w:rsidRPr="000C06A5">
        <w:rPr>
          <w:rFonts w:ascii="Times New Roman" w:eastAsia="Times New Roman" w:hAnsi="Times New Roman" w:cs="Times New Roman"/>
          <w:kern w:val="0"/>
          <w:sz w:val="24"/>
          <w:szCs w:val="24"/>
          <w:lang w:val="en-US"/>
          <w14:ligatures w14:val="none"/>
        </w:rPr>
        <w:t xml:space="preserve">, V., Ouédraogo, R., &amp; </w:t>
      </w:r>
      <w:proofErr w:type="spellStart"/>
      <w:r w:rsidRPr="000C06A5">
        <w:rPr>
          <w:rFonts w:ascii="Times New Roman" w:eastAsia="Times New Roman" w:hAnsi="Times New Roman" w:cs="Times New Roman"/>
          <w:kern w:val="0"/>
          <w:sz w:val="24"/>
          <w:szCs w:val="24"/>
          <w:lang w:val="en-US"/>
          <w14:ligatures w14:val="none"/>
        </w:rPr>
        <w:t>Ouéda</w:t>
      </w:r>
      <w:proofErr w:type="spellEnd"/>
      <w:r w:rsidRPr="000C06A5">
        <w:rPr>
          <w:rFonts w:ascii="Times New Roman" w:eastAsia="Times New Roman" w:hAnsi="Times New Roman" w:cs="Times New Roman"/>
          <w:kern w:val="0"/>
          <w:sz w:val="24"/>
          <w:szCs w:val="24"/>
          <w:lang w:val="en-US"/>
          <w14:ligatures w14:val="none"/>
        </w:rPr>
        <w:t xml:space="preserve">, A. (2025). </w:t>
      </w:r>
      <w:proofErr w:type="spellStart"/>
      <w:r w:rsidRPr="000C06A5">
        <w:rPr>
          <w:rFonts w:ascii="Times New Roman" w:eastAsia="Times New Roman" w:hAnsi="Times New Roman" w:cs="Times New Roman"/>
          <w:kern w:val="0"/>
          <w:sz w:val="24"/>
          <w:szCs w:val="24"/>
          <w:lang w:val="en-US"/>
          <w14:ligatures w14:val="none"/>
        </w:rPr>
        <w:t>Effet</w:t>
      </w:r>
      <w:proofErr w:type="spellEnd"/>
      <w:r w:rsidRPr="000C06A5">
        <w:rPr>
          <w:rFonts w:ascii="Times New Roman" w:eastAsia="Times New Roman" w:hAnsi="Times New Roman" w:cs="Times New Roman"/>
          <w:kern w:val="0"/>
          <w:sz w:val="24"/>
          <w:szCs w:val="24"/>
          <w:lang w:val="en-US"/>
          <w14:ligatures w14:val="none"/>
        </w:rPr>
        <w:t xml:space="preserve"> des aliments </w:t>
      </w:r>
      <w:proofErr w:type="spellStart"/>
      <w:r w:rsidRPr="000C06A5">
        <w:rPr>
          <w:rFonts w:ascii="Times New Roman" w:eastAsia="Times New Roman" w:hAnsi="Times New Roman" w:cs="Times New Roman"/>
          <w:kern w:val="0"/>
          <w:sz w:val="24"/>
          <w:szCs w:val="24"/>
          <w:lang w:val="en-US"/>
          <w14:ligatures w14:val="none"/>
        </w:rPr>
        <w:t>composés</w:t>
      </w:r>
      <w:proofErr w:type="spellEnd"/>
      <w:r w:rsidRPr="000C06A5">
        <w:rPr>
          <w:rFonts w:ascii="Times New Roman" w:eastAsia="Times New Roman" w:hAnsi="Times New Roman" w:cs="Times New Roman"/>
          <w:kern w:val="0"/>
          <w:sz w:val="24"/>
          <w:szCs w:val="24"/>
          <w:lang w:val="en-US"/>
          <w14:ligatures w14:val="none"/>
        </w:rPr>
        <w:t xml:space="preserve"> avec des </w:t>
      </w:r>
      <w:proofErr w:type="spellStart"/>
      <w:r w:rsidRPr="000C06A5">
        <w:rPr>
          <w:rFonts w:ascii="Times New Roman" w:eastAsia="Times New Roman" w:hAnsi="Times New Roman" w:cs="Times New Roman"/>
          <w:kern w:val="0"/>
          <w:sz w:val="24"/>
          <w:szCs w:val="24"/>
          <w:lang w:val="en-US"/>
          <w14:ligatures w14:val="none"/>
        </w:rPr>
        <w:t>teintures</w:t>
      </w:r>
      <w:proofErr w:type="spellEnd"/>
      <w:r w:rsidRPr="000C06A5">
        <w:rPr>
          <w:rFonts w:ascii="Times New Roman" w:eastAsia="Times New Roman" w:hAnsi="Times New Roman" w:cs="Times New Roman"/>
          <w:kern w:val="0"/>
          <w:sz w:val="24"/>
          <w:szCs w:val="24"/>
          <w:lang w:val="en-US"/>
          <w14:ligatures w14:val="none"/>
        </w:rPr>
        <w:t xml:space="preserve"> </w:t>
      </w:r>
      <w:proofErr w:type="spellStart"/>
      <w:r w:rsidRPr="000C06A5">
        <w:rPr>
          <w:rFonts w:ascii="Times New Roman" w:eastAsia="Times New Roman" w:hAnsi="Times New Roman" w:cs="Times New Roman"/>
          <w:kern w:val="0"/>
          <w:sz w:val="24"/>
          <w:szCs w:val="24"/>
          <w:lang w:val="en-US"/>
          <w14:ligatures w14:val="none"/>
        </w:rPr>
        <w:t>médicinales</w:t>
      </w:r>
      <w:proofErr w:type="spellEnd"/>
      <w:r w:rsidRPr="000C06A5">
        <w:rPr>
          <w:rFonts w:ascii="Times New Roman" w:eastAsia="Times New Roman" w:hAnsi="Times New Roman" w:cs="Times New Roman"/>
          <w:kern w:val="0"/>
          <w:sz w:val="24"/>
          <w:szCs w:val="24"/>
          <w:lang w:val="en-US"/>
          <w14:ligatures w14:val="none"/>
        </w:rPr>
        <w:t xml:space="preserve"> </w:t>
      </w:r>
      <w:proofErr w:type="spellStart"/>
      <w:r w:rsidRPr="000C06A5">
        <w:rPr>
          <w:rFonts w:ascii="Times New Roman" w:eastAsia="Times New Roman" w:hAnsi="Times New Roman" w:cs="Times New Roman"/>
          <w:kern w:val="0"/>
          <w:sz w:val="24"/>
          <w:szCs w:val="24"/>
          <w:lang w:val="en-US"/>
          <w14:ligatures w14:val="none"/>
        </w:rPr>
        <w:t>d’écorce</w:t>
      </w:r>
      <w:proofErr w:type="spellEnd"/>
      <w:r w:rsidRPr="000C06A5">
        <w:rPr>
          <w:rFonts w:ascii="Times New Roman" w:eastAsia="Times New Roman" w:hAnsi="Times New Roman" w:cs="Times New Roman"/>
          <w:kern w:val="0"/>
          <w:sz w:val="24"/>
          <w:szCs w:val="24"/>
          <w:lang w:val="en-US"/>
          <w14:ligatures w14:val="none"/>
        </w:rPr>
        <w:t xml:space="preserve"> de </w:t>
      </w:r>
      <w:proofErr w:type="spellStart"/>
      <w:r w:rsidRPr="000C06A5">
        <w:rPr>
          <w:rFonts w:ascii="Times New Roman" w:eastAsia="Times New Roman" w:hAnsi="Times New Roman" w:cs="Times New Roman"/>
          <w:kern w:val="0"/>
          <w:sz w:val="24"/>
          <w:szCs w:val="24"/>
          <w:lang w:val="en-US"/>
          <w14:ligatures w14:val="none"/>
        </w:rPr>
        <w:t>racine</w:t>
      </w:r>
      <w:proofErr w:type="spellEnd"/>
      <w:r w:rsidRPr="000C06A5">
        <w:rPr>
          <w:rFonts w:ascii="Times New Roman" w:eastAsia="Times New Roman" w:hAnsi="Times New Roman" w:cs="Times New Roman"/>
          <w:kern w:val="0"/>
          <w:sz w:val="24"/>
          <w:szCs w:val="24"/>
          <w:lang w:val="en-US"/>
          <w14:ligatures w14:val="none"/>
        </w:rPr>
        <w:t xml:space="preserve"> de </w:t>
      </w:r>
      <w:proofErr w:type="spellStart"/>
      <w:r w:rsidRPr="000C06A5">
        <w:rPr>
          <w:rFonts w:ascii="Times New Roman" w:eastAsia="Times New Roman" w:hAnsi="Times New Roman" w:cs="Times New Roman"/>
          <w:i/>
          <w:iCs/>
          <w:kern w:val="0"/>
          <w:sz w:val="24"/>
          <w:szCs w:val="24"/>
          <w:lang w:val="en-US"/>
          <w14:ligatures w14:val="none"/>
        </w:rPr>
        <w:t>Trichilia</w:t>
      </w:r>
      <w:proofErr w:type="spellEnd"/>
      <w:r w:rsidRPr="000C06A5">
        <w:rPr>
          <w:rFonts w:ascii="Times New Roman" w:eastAsia="Times New Roman" w:hAnsi="Times New Roman" w:cs="Times New Roman"/>
          <w:i/>
          <w:iCs/>
          <w:kern w:val="0"/>
          <w:sz w:val="24"/>
          <w:szCs w:val="24"/>
          <w:lang w:val="en-US"/>
          <w14:ligatures w14:val="none"/>
        </w:rPr>
        <w:t xml:space="preserve"> </w:t>
      </w:r>
      <w:proofErr w:type="spellStart"/>
      <w:r w:rsidRPr="000C06A5">
        <w:rPr>
          <w:rFonts w:ascii="Times New Roman" w:eastAsia="Times New Roman" w:hAnsi="Times New Roman" w:cs="Times New Roman"/>
          <w:i/>
          <w:iCs/>
          <w:kern w:val="0"/>
          <w:sz w:val="24"/>
          <w:szCs w:val="24"/>
          <w:lang w:val="en-US"/>
          <w14:ligatures w14:val="none"/>
        </w:rPr>
        <w:t>emetica</w:t>
      </w:r>
      <w:proofErr w:type="spellEnd"/>
      <w:r w:rsidRPr="000C06A5">
        <w:rPr>
          <w:rFonts w:ascii="Times New Roman" w:eastAsia="Times New Roman" w:hAnsi="Times New Roman" w:cs="Times New Roman"/>
          <w:kern w:val="0"/>
          <w:sz w:val="24"/>
          <w:szCs w:val="24"/>
          <w:lang w:val="en-US"/>
          <w14:ligatures w14:val="none"/>
        </w:rPr>
        <w:t xml:space="preserve"> Vahl, 1790 </w:t>
      </w:r>
      <w:proofErr w:type="spellStart"/>
      <w:r w:rsidRPr="000C06A5">
        <w:rPr>
          <w:rFonts w:ascii="Times New Roman" w:eastAsia="Times New Roman" w:hAnsi="Times New Roman" w:cs="Times New Roman"/>
          <w:kern w:val="0"/>
          <w:sz w:val="24"/>
          <w:szCs w:val="24"/>
          <w:lang w:val="en-US"/>
          <w14:ligatures w14:val="none"/>
        </w:rPr>
        <w:t>ou</w:t>
      </w:r>
      <w:proofErr w:type="spellEnd"/>
      <w:r w:rsidRPr="000C06A5">
        <w:rPr>
          <w:rFonts w:ascii="Times New Roman" w:eastAsia="Times New Roman" w:hAnsi="Times New Roman" w:cs="Times New Roman"/>
          <w:kern w:val="0"/>
          <w:sz w:val="24"/>
          <w:szCs w:val="24"/>
          <w:lang w:val="en-US"/>
          <w14:ligatures w14:val="none"/>
        </w:rPr>
        <w:t xml:space="preserve"> de </w:t>
      </w:r>
      <w:r w:rsidRPr="000C06A5">
        <w:rPr>
          <w:rFonts w:ascii="Times New Roman" w:eastAsia="Times New Roman" w:hAnsi="Times New Roman" w:cs="Times New Roman"/>
          <w:i/>
          <w:iCs/>
          <w:kern w:val="0"/>
          <w:sz w:val="24"/>
          <w:szCs w:val="24"/>
          <w:lang w:val="en-US"/>
          <w14:ligatures w14:val="none"/>
        </w:rPr>
        <w:t xml:space="preserve">Terminalia </w:t>
      </w:r>
      <w:proofErr w:type="spellStart"/>
      <w:r w:rsidRPr="000C06A5">
        <w:rPr>
          <w:rFonts w:ascii="Times New Roman" w:eastAsia="Times New Roman" w:hAnsi="Times New Roman" w:cs="Times New Roman"/>
          <w:i/>
          <w:iCs/>
          <w:kern w:val="0"/>
          <w:sz w:val="24"/>
          <w:szCs w:val="24"/>
          <w:lang w:val="en-US"/>
          <w14:ligatures w14:val="none"/>
        </w:rPr>
        <w:t>avicennioides</w:t>
      </w:r>
      <w:proofErr w:type="spellEnd"/>
      <w:r w:rsidRPr="000C06A5">
        <w:rPr>
          <w:rFonts w:ascii="Times New Roman" w:eastAsia="Times New Roman" w:hAnsi="Times New Roman" w:cs="Times New Roman"/>
          <w:kern w:val="0"/>
          <w:sz w:val="24"/>
          <w:szCs w:val="24"/>
          <w:lang w:val="en-US"/>
          <w14:ligatures w14:val="none"/>
        </w:rPr>
        <w:t xml:space="preserve"> Guill. </w:t>
      </w:r>
      <w:r w:rsidRPr="000C06A5">
        <w:rPr>
          <w:rFonts w:ascii="Times New Roman" w:eastAsia="Times New Roman" w:hAnsi="Times New Roman" w:cs="Times New Roman"/>
          <w:kern w:val="0"/>
          <w:sz w:val="24"/>
          <w:szCs w:val="24"/>
          <w:lang w:val="nl-BE"/>
          <w14:ligatures w14:val="none"/>
        </w:rPr>
        <w:t xml:space="preserve">&amp; Perr., 1832 sur la production de </w:t>
      </w:r>
      <w:r w:rsidRPr="000C06A5">
        <w:rPr>
          <w:rFonts w:ascii="Times New Roman" w:eastAsia="Times New Roman" w:hAnsi="Times New Roman" w:cs="Times New Roman"/>
          <w:i/>
          <w:iCs/>
          <w:kern w:val="0"/>
          <w:sz w:val="24"/>
          <w:szCs w:val="24"/>
          <w:lang w:val="nl-BE"/>
          <w14:ligatures w14:val="none"/>
        </w:rPr>
        <w:t>Oreochromis niloticus</w:t>
      </w:r>
      <w:r w:rsidRPr="000C06A5">
        <w:rPr>
          <w:rFonts w:ascii="Times New Roman" w:eastAsia="Times New Roman" w:hAnsi="Times New Roman" w:cs="Times New Roman"/>
          <w:kern w:val="0"/>
          <w:sz w:val="24"/>
          <w:szCs w:val="24"/>
          <w:lang w:val="nl-BE"/>
          <w14:ligatures w14:val="none"/>
        </w:rPr>
        <w:t xml:space="preserve"> (Linnaeus, 1758) élevé en étang maçonné. </w:t>
      </w:r>
      <w:proofErr w:type="spellStart"/>
      <w:r w:rsidRPr="000C06A5">
        <w:rPr>
          <w:rFonts w:ascii="Times New Roman" w:eastAsia="Times New Roman" w:hAnsi="Times New Roman" w:cs="Times New Roman"/>
          <w:i/>
          <w:iCs/>
          <w:kern w:val="0"/>
          <w:sz w:val="24"/>
          <w:szCs w:val="24"/>
          <w:lang w:val="en-US"/>
          <w14:ligatures w14:val="none"/>
        </w:rPr>
        <w:t>Tropicultura</w:t>
      </w:r>
      <w:proofErr w:type="spellEnd"/>
      <w:r w:rsidRPr="000C06A5">
        <w:rPr>
          <w:rFonts w:ascii="Times New Roman" w:eastAsia="Times New Roman" w:hAnsi="Times New Roman" w:cs="Times New Roman"/>
          <w:i/>
          <w:iCs/>
          <w:kern w:val="0"/>
          <w:sz w:val="24"/>
          <w:szCs w:val="24"/>
          <w:lang w:val="en-US"/>
          <w14:ligatures w14:val="none"/>
        </w:rPr>
        <w:t>, 43</w:t>
      </w:r>
      <w:r w:rsidRPr="000C06A5">
        <w:rPr>
          <w:rFonts w:ascii="Times New Roman" w:eastAsia="Times New Roman" w:hAnsi="Times New Roman" w:cs="Times New Roman"/>
          <w:kern w:val="0"/>
          <w:sz w:val="24"/>
          <w:szCs w:val="24"/>
          <w:lang w:val="en-US"/>
          <w14:ligatures w14:val="none"/>
        </w:rPr>
        <w:t xml:space="preserve">, Article 2632, 1–24. </w:t>
      </w:r>
    </w:p>
    <w:p w14:paraId="32CE0542" w14:textId="08132AAA"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 xml:space="preserve">Kuebutornye, F. K. A., &amp; </w:t>
      </w:r>
      <w:proofErr w:type="spellStart"/>
      <w:r w:rsidRPr="000C06A5">
        <w:rPr>
          <w:rFonts w:ascii="Times New Roman" w:eastAsia="Times New Roman" w:hAnsi="Times New Roman" w:cs="Times New Roman"/>
          <w:kern w:val="0"/>
          <w:sz w:val="24"/>
          <w:szCs w:val="24"/>
          <w:lang w:val="en-US"/>
          <w14:ligatures w14:val="none"/>
        </w:rPr>
        <w:t>Abarike</w:t>
      </w:r>
      <w:proofErr w:type="spellEnd"/>
      <w:r w:rsidRPr="000C06A5">
        <w:rPr>
          <w:rFonts w:ascii="Times New Roman" w:eastAsia="Times New Roman" w:hAnsi="Times New Roman" w:cs="Times New Roman"/>
          <w:kern w:val="0"/>
          <w:sz w:val="24"/>
          <w:szCs w:val="24"/>
          <w:lang w:val="en-US"/>
          <w14:ligatures w14:val="none"/>
        </w:rPr>
        <w:t xml:space="preserve">, E. D. (2020). The contribution of medicinal plants to tilapia aquaculture: A review. </w:t>
      </w:r>
      <w:r w:rsidRPr="000C06A5">
        <w:rPr>
          <w:rFonts w:ascii="Times New Roman" w:eastAsia="Times New Roman" w:hAnsi="Times New Roman" w:cs="Times New Roman"/>
          <w:i/>
          <w:iCs/>
          <w:kern w:val="0"/>
          <w:sz w:val="24"/>
          <w:szCs w:val="24"/>
          <w:lang w:val="en-US"/>
          <w14:ligatures w14:val="none"/>
        </w:rPr>
        <w:t>Aquaculture International, 28</w:t>
      </w:r>
      <w:r w:rsidRPr="000C06A5">
        <w:rPr>
          <w:rFonts w:ascii="Times New Roman" w:eastAsia="Times New Roman" w:hAnsi="Times New Roman" w:cs="Times New Roman"/>
          <w:kern w:val="0"/>
          <w:sz w:val="24"/>
          <w:szCs w:val="24"/>
          <w:lang w:val="en-US"/>
          <w14:ligatures w14:val="none"/>
        </w:rPr>
        <w:t xml:space="preserve">(3), 965–983. </w:t>
      </w:r>
      <w:hyperlink r:id="rId33" w:history="1">
        <w:r w:rsidRPr="000C06A5">
          <w:rPr>
            <w:rFonts w:ascii="Times New Roman" w:eastAsia="Times New Roman" w:hAnsi="Times New Roman" w:cs="Times New Roman"/>
            <w:color w:val="0000FF"/>
            <w:kern w:val="0"/>
            <w:sz w:val="24"/>
            <w:szCs w:val="24"/>
            <w:u w:val="single"/>
            <w:lang w:val="en-US"/>
            <w14:ligatures w14:val="none"/>
          </w:rPr>
          <w:t>https://doi.org/10.1007/s10499-020-00506-3</w:t>
        </w:r>
      </w:hyperlink>
    </w:p>
    <w:p w14:paraId="24AC81DB" w14:textId="6E36B6C3"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 xml:space="preserve">Le </w:t>
      </w:r>
      <w:proofErr w:type="spellStart"/>
      <w:r w:rsidRPr="000C06A5">
        <w:rPr>
          <w:rFonts w:ascii="Times New Roman" w:eastAsia="Times New Roman" w:hAnsi="Times New Roman" w:cs="Times New Roman"/>
          <w:kern w:val="0"/>
          <w:sz w:val="24"/>
          <w:szCs w:val="24"/>
          <w:lang w:val="en-US"/>
          <w14:ligatures w14:val="none"/>
        </w:rPr>
        <w:t>Cren</w:t>
      </w:r>
      <w:proofErr w:type="spellEnd"/>
      <w:r w:rsidRPr="000C06A5">
        <w:rPr>
          <w:rFonts w:ascii="Times New Roman" w:eastAsia="Times New Roman" w:hAnsi="Times New Roman" w:cs="Times New Roman"/>
          <w:kern w:val="0"/>
          <w:sz w:val="24"/>
          <w:szCs w:val="24"/>
          <w:lang w:val="en-US"/>
          <w14:ligatures w14:val="none"/>
        </w:rPr>
        <w:t>, E. D. (1951). The length-weight relationship and seasonal cycle in the gonad weight and condition in the perch (</w:t>
      </w:r>
      <w:r w:rsidRPr="000C06A5">
        <w:rPr>
          <w:rFonts w:ascii="Times New Roman" w:eastAsia="Times New Roman" w:hAnsi="Times New Roman" w:cs="Times New Roman"/>
          <w:i/>
          <w:iCs/>
          <w:kern w:val="0"/>
          <w:sz w:val="24"/>
          <w:szCs w:val="24"/>
          <w:lang w:val="en-US"/>
          <w14:ligatures w14:val="none"/>
        </w:rPr>
        <w:t>Perca fluviatilis</w:t>
      </w:r>
      <w:r w:rsidRPr="000C06A5">
        <w:rPr>
          <w:rFonts w:ascii="Times New Roman" w:eastAsia="Times New Roman" w:hAnsi="Times New Roman" w:cs="Times New Roman"/>
          <w:kern w:val="0"/>
          <w:sz w:val="24"/>
          <w:szCs w:val="24"/>
          <w:lang w:val="en-US"/>
          <w14:ligatures w14:val="none"/>
        </w:rPr>
        <w:t xml:space="preserve">). </w:t>
      </w:r>
      <w:r w:rsidRPr="000C06A5">
        <w:rPr>
          <w:rFonts w:ascii="Times New Roman" w:eastAsia="Times New Roman" w:hAnsi="Times New Roman" w:cs="Times New Roman"/>
          <w:i/>
          <w:iCs/>
          <w:kern w:val="0"/>
          <w:sz w:val="24"/>
          <w:szCs w:val="24"/>
          <w:lang w:val="en-US"/>
          <w14:ligatures w14:val="none"/>
        </w:rPr>
        <w:t>Journal of Animal Ecology, 20</w:t>
      </w:r>
      <w:r w:rsidRPr="000C06A5">
        <w:rPr>
          <w:rFonts w:ascii="Times New Roman" w:eastAsia="Times New Roman" w:hAnsi="Times New Roman" w:cs="Times New Roman"/>
          <w:kern w:val="0"/>
          <w:sz w:val="24"/>
          <w:szCs w:val="24"/>
          <w:lang w:val="en-US"/>
          <w14:ligatures w14:val="none"/>
        </w:rPr>
        <w:t xml:space="preserve">(2), 201–219. </w:t>
      </w:r>
      <w:hyperlink r:id="rId34" w:history="1">
        <w:r w:rsidRPr="000C06A5">
          <w:rPr>
            <w:rFonts w:ascii="Times New Roman" w:eastAsia="Times New Roman" w:hAnsi="Times New Roman" w:cs="Times New Roman"/>
            <w:color w:val="0000FF"/>
            <w:kern w:val="0"/>
            <w:sz w:val="24"/>
            <w:szCs w:val="24"/>
            <w:u w:val="single"/>
            <w:lang w:val="en-US"/>
            <w14:ligatures w14:val="none"/>
          </w:rPr>
          <w:t>https://doi.org/10.2307/1540</w:t>
        </w:r>
      </w:hyperlink>
    </w:p>
    <w:p w14:paraId="08FE6FFA" w14:textId="65E79A26"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nl-BE"/>
          <w14:ligatures w14:val="none"/>
        </w:rPr>
        <w:t xml:space="preserve">Lieke, T., Meinelt, T., Hoseinifar, S. H., Pan, B., Straus, D. L., &amp; Steinberg, C. E. W. (2020). </w:t>
      </w:r>
      <w:r w:rsidRPr="000C06A5">
        <w:rPr>
          <w:rFonts w:ascii="Times New Roman" w:eastAsia="Times New Roman" w:hAnsi="Times New Roman" w:cs="Times New Roman"/>
          <w:kern w:val="0"/>
          <w:sz w:val="24"/>
          <w:szCs w:val="24"/>
          <w:lang w:val="en-US"/>
          <w14:ligatures w14:val="none"/>
        </w:rPr>
        <w:t xml:space="preserve">Sustainable aquaculture requires environmental-friendly treatment strategies for fish diseases. </w:t>
      </w:r>
      <w:r w:rsidRPr="000C06A5">
        <w:rPr>
          <w:rFonts w:ascii="Times New Roman" w:eastAsia="Times New Roman" w:hAnsi="Times New Roman" w:cs="Times New Roman"/>
          <w:i/>
          <w:iCs/>
          <w:kern w:val="0"/>
          <w:sz w:val="24"/>
          <w:szCs w:val="24"/>
          <w:lang w:val="en-US"/>
          <w14:ligatures w14:val="none"/>
        </w:rPr>
        <w:t>Reviews in Aquaculture, 12</w:t>
      </w:r>
      <w:r w:rsidRPr="000C06A5">
        <w:rPr>
          <w:rFonts w:ascii="Times New Roman" w:eastAsia="Times New Roman" w:hAnsi="Times New Roman" w:cs="Times New Roman"/>
          <w:kern w:val="0"/>
          <w:sz w:val="24"/>
          <w:szCs w:val="24"/>
          <w:lang w:val="en-US"/>
          <w14:ligatures w14:val="none"/>
        </w:rPr>
        <w:t xml:space="preserve">(2), 943–965. </w:t>
      </w:r>
      <w:hyperlink r:id="rId35" w:history="1">
        <w:r w:rsidRPr="000C06A5">
          <w:rPr>
            <w:rFonts w:ascii="Times New Roman" w:eastAsia="Times New Roman" w:hAnsi="Times New Roman" w:cs="Times New Roman"/>
            <w:color w:val="0000FF"/>
            <w:kern w:val="0"/>
            <w:sz w:val="24"/>
            <w:szCs w:val="24"/>
            <w:u w:val="single"/>
            <w:lang w:val="en-US"/>
            <w14:ligatures w14:val="none"/>
          </w:rPr>
          <w:t>https://doi.org/10.1111/raq.12365</w:t>
        </w:r>
      </w:hyperlink>
    </w:p>
    <w:p w14:paraId="241A6CE4" w14:textId="3CCF4232"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 xml:space="preserve">Mélard, C. (1999). </w:t>
      </w:r>
      <w:r w:rsidRPr="000C06A5">
        <w:rPr>
          <w:rFonts w:ascii="Times New Roman" w:eastAsia="Times New Roman" w:hAnsi="Times New Roman" w:cs="Times New Roman"/>
          <w:i/>
          <w:iCs/>
          <w:kern w:val="0"/>
          <w:sz w:val="24"/>
          <w:szCs w:val="24"/>
          <w:lang w:val="en-US"/>
          <w14:ligatures w14:val="none"/>
        </w:rPr>
        <w:t xml:space="preserve">Choix des sites, </w:t>
      </w:r>
      <w:proofErr w:type="spellStart"/>
      <w:r w:rsidRPr="000C06A5">
        <w:rPr>
          <w:rFonts w:ascii="Times New Roman" w:eastAsia="Times New Roman" w:hAnsi="Times New Roman" w:cs="Times New Roman"/>
          <w:i/>
          <w:iCs/>
          <w:kern w:val="0"/>
          <w:sz w:val="24"/>
          <w:szCs w:val="24"/>
          <w:lang w:val="en-US"/>
          <w14:ligatures w14:val="none"/>
        </w:rPr>
        <w:t>qualité</w:t>
      </w:r>
      <w:proofErr w:type="spellEnd"/>
      <w:r w:rsidRPr="000C06A5">
        <w:rPr>
          <w:rFonts w:ascii="Times New Roman" w:eastAsia="Times New Roman" w:hAnsi="Times New Roman" w:cs="Times New Roman"/>
          <w:i/>
          <w:iCs/>
          <w:kern w:val="0"/>
          <w:sz w:val="24"/>
          <w:szCs w:val="24"/>
          <w:lang w:val="en-US"/>
          <w14:ligatures w14:val="none"/>
        </w:rPr>
        <w:t xml:space="preserve"> de </w:t>
      </w:r>
      <w:proofErr w:type="spellStart"/>
      <w:r w:rsidRPr="000C06A5">
        <w:rPr>
          <w:rFonts w:ascii="Times New Roman" w:eastAsia="Times New Roman" w:hAnsi="Times New Roman" w:cs="Times New Roman"/>
          <w:i/>
          <w:iCs/>
          <w:kern w:val="0"/>
          <w:sz w:val="24"/>
          <w:szCs w:val="24"/>
          <w:lang w:val="en-US"/>
          <w14:ligatures w14:val="none"/>
        </w:rPr>
        <w:t>l’eau</w:t>
      </w:r>
      <w:proofErr w:type="spellEnd"/>
      <w:r w:rsidRPr="000C06A5">
        <w:rPr>
          <w:rFonts w:ascii="Times New Roman" w:eastAsia="Times New Roman" w:hAnsi="Times New Roman" w:cs="Times New Roman"/>
          <w:i/>
          <w:iCs/>
          <w:kern w:val="0"/>
          <w:sz w:val="24"/>
          <w:szCs w:val="24"/>
          <w:lang w:val="en-US"/>
          <w14:ligatures w14:val="none"/>
        </w:rPr>
        <w:t xml:space="preserve"> et </w:t>
      </w:r>
      <w:proofErr w:type="spellStart"/>
      <w:r w:rsidRPr="000C06A5">
        <w:rPr>
          <w:rFonts w:ascii="Times New Roman" w:eastAsia="Times New Roman" w:hAnsi="Times New Roman" w:cs="Times New Roman"/>
          <w:i/>
          <w:iCs/>
          <w:kern w:val="0"/>
          <w:sz w:val="24"/>
          <w:szCs w:val="24"/>
          <w:lang w:val="en-US"/>
          <w14:ligatures w14:val="none"/>
        </w:rPr>
        <w:t>systèmes</w:t>
      </w:r>
      <w:proofErr w:type="spellEnd"/>
      <w:r w:rsidRPr="000C06A5">
        <w:rPr>
          <w:rFonts w:ascii="Times New Roman" w:eastAsia="Times New Roman" w:hAnsi="Times New Roman" w:cs="Times New Roman"/>
          <w:i/>
          <w:iCs/>
          <w:kern w:val="0"/>
          <w:sz w:val="24"/>
          <w:szCs w:val="24"/>
          <w:lang w:val="en-US"/>
          <w14:ligatures w14:val="none"/>
        </w:rPr>
        <w:t xml:space="preserve"> </w:t>
      </w:r>
      <w:proofErr w:type="spellStart"/>
      <w:r w:rsidRPr="000C06A5">
        <w:rPr>
          <w:rFonts w:ascii="Times New Roman" w:eastAsia="Times New Roman" w:hAnsi="Times New Roman" w:cs="Times New Roman"/>
          <w:i/>
          <w:iCs/>
          <w:kern w:val="0"/>
          <w:sz w:val="24"/>
          <w:szCs w:val="24"/>
          <w:lang w:val="en-US"/>
          <w14:ligatures w14:val="none"/>
        </w:rPr>
        <w:t>d’élevage</w:t>
      </w:r>
      <w:proofErr w:type="spellEnd"/>
      <w:r w:rsidRPr="000C06A5">
        <w:rPr>
          <w:rFonts w:ascii="Times New Roman" w:eastAsia="Times New Roman" w:hAnsi="Times New Roman" w:cs="Times New Roman"/>
          <w:i/>
          <w:iCs/>
          <w:kern w:val="0"/>
          <w:sz w:val="24"/>
          <w:szCs w:val="24"/>
          <w:lang w:val="en-US"/>
          <w14:ligatures w14:val="none"/>
        </w:rPr>
        <w:t xml:space="preserve"> </w:t>
      </w:r>
      <w:proofErr w:type="spellStart"/>
      <w:r w:rsidRPr="000C06A5">
        <w:rPr>
          <w:rFonts w:ascii="Times New Roman" w:eastAsia="Times New Roman" w:hAnsi="Times New Roman" w:cs="Times New Roman"/>
          <w:i/>
          <w:iCs/>
          <w:kern w:val="0"/>
          <w:sz w:val="24"/>
          <w:szCs w:val="24"/>
          <w:lang w:val="en-US"/>
          <w14:ligatures w14:val="none"/>
        </w:rPr>
        <w:t>en</w:t>
      </w:r>
      <w:proofErr w:type="spellEnd"/>
      <w:r w:rsidRPr="000C06A5">
        <w:rPr>
          <w:rFonts w:ascii="Times New Roman" w:eastAsia="Times New Roman" w:hAnsi="Times New Roman" w:cs="Times New Roman"/>
          <w:i/>
          <w:iCs/>
          <w:kern w:val="0"/>
          <w:sz w:val="24"/>
          <w:szCs w:val="24"/>
          <w:lang w:val="en-US"/>
          <w14:ligatures w14:val="none"/>
        </w:rPr>
        <w:t xml:space="preserve"> aquaculture</w:t>
      </w:r>
      <w:r w:rsidRPr="000C06A5">
        <w:rPr>
          <w:rFonts w:ascii="Times New Roman" w:eastAsia="Times New Roman" w:hAnsi="Times New Roman" w:cs="Times New Roman"/>
          <w:kern w:val="0"/>
          <w:sz w:val="24"/>
          <w:szCs w:val="24"/>
          <w:lang w:val="en-US"/>
          <w14:ligatures w14:val="none"/>
        </w:rPr>
        <w:t xml:space="preserve">. CEFRA, Université de Liège, Station </w:t>
      </w:r>
      <w:proofErr w:type="spellStart"/>
      <w:r w:rsidRPr="000C06A5">
        <w:rPr>
          <w:rFonts w:ascii="Times New Roman" w:eastAsia="Times New Roman" w:hAnsi="Times New Roman" w:cs="Times New Roman"/>
          <w:kern w:val="0"/>
          <w:sz w:val="24"/>
          <w:szCs w:val="24"/>
          <w:lang w:val="en-US"/>
          <w14:ligatures w14:val="none"/>
        </w:rPr>
        <w:t>d’Aquaculture</w:t>
      </w:r>
      <w:proofErr w:type="spellEnd"/>
      <w:r w:rsidRPr="000C06A5">
        <w:rPr>
          <w:rFonts w:ascii="Times New Roman" w:eastAsia="Times New Roman" w:hAnsi="Times New Roman" w:cs="Times New Roman"/>
          <w:kern w:val="0"/>
          <w:sz w:val="24"/>
          <w:szCs w:val="24"/>
          <w:lang w:val="en-US"/>
          <w14:ligatures w14:val="none"/>
        </w:rPr>
        <w:t xml:space="preserve"> de </w:t>
      </w:r>
      <w:proofErr w:type="spellStart"/>
      <w:r w:rsidRPr="000C06A5">
        <w:rPr>
          <w:rFonts w:ascii="Times New Roman" w:eastAsia="Times New Roman" w:hAnsi="Times New Roman" w:cs="Times New Roman"/>
          <w:kern w:val="0"/>
          <w:sz w:val="24"/>
          <w:szCs w:val="24"/>
          <w:lang w:val="en-US"/>
          <w14:ligatures w14:val="none"/>
        </w:rPr>
        <w:t>Tihange</w:t>
      </w:r>
      <w:proofErr w:type="spellEnd"/>
      <w:r w:rsidRPr="000C06A5">
        <w:rPr>
          <w:rFonts w:ascii="Times New Roman" w:eastAsia="Times New Roman" w:hAnsi="Times New Roman" w:cs="Times New Roman"/>
          <w:kern w:val="0"/>
          <w:sz w:val="24"/>
          <w:szCs w:val="24"/>
          <w:lang w:val="en-US"/>
          <w14:ligatures w14:val="none"/>
        </w:rPr>
        <w:t xml:space="preserve">. </w:t>
      </w:r>
    </w:p>
    <w:p w14:paraId="24D01A9B" w14:textId="72A355E3"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0C06A5">
        <w:rPr>
          <w:rFonts w:ascii="Times New Roman" w:eastAsia="Times New Roman" w:hAnsi="Times New Roman" w:cs="Times New Roman"/>
          <w:kern w:val="0"/>
          <w:sz w:val="24"/>
          <w:szCs w:val="24"/>
          <w:lang w:val="en-US"/>
          <w14:ligatures w14:val="none"/>
        </w:rPr>
        <w:t>Muringai</w:t>
      </w:r>
      <w:proofErr w:type="spellEnd"/>
      <w:r w:rsidRPr="000C06A5">
        <w:rPr>
          <w:rFonts w:ascii="Times New Roman" w:eastAsia="Times New Roman" w:hAnsi="Times New Roman" w:cs="Times New Roman"/>
          <w:kern w:val="0"/>
          <w:sz w:val="24"/>
          <w:szCs w:val="24"/>
          <w:lang w:val="en-US"/>
          <w14:ligatures w14:val="none"/>
        </w:rPr>
        <w:t xml:space="preserve">, R. T., </w:t>
      </w:r>
      <w:proofErr w:type="spellStart"/>
      <w:r w:rsidRPr="000C06A5">
        <w:rPr>
          <w:rFonts w:ascii="Times New Roman" w:eastAsia="Times New Roman" w:hAnsi="Times New Roman" w:cs="Times New Roman"/>
          <w:kern w:val="0"/>
          <w:sz w:val="24"/>
          <w:szCs w:val="24"/>
          <w:lang w:val="en-US"/>
          <w14:ligatures w14:val="none"/>
        </w:rPr>
        <w:t>Mafongoya</w:t>
      </w:r>
      <w:proofErr w:type="spellEnd"/>
      <w:r w:rsidRPr="000C06A5">
        <w:rPr>
          <w:rFonts w:ascii="Times New Roman" w:eastAsia="Times New Roman" w:hAnsi="Times New Roman" w:cs="Times New Roman"/>
          <w:kern w:val="0"/>
          <w:sz w:val="24"/>
          <w:szCs w:val="24"/>
          <w:lang w:val="en-US"/>
          <w14:ligatures w14:val="none"/>
        </w:rPr>
        <w:t xml:space="preserve">, P., Lottering, R. T., </w:t>
      </w:r>
      <w:proofErr w:type="spellStart"/>
      <w:r w:rsidRPr="000C06A5">
        <w:rPr>
          <w:rFonts w:ascii="Times New Roman" w:eastAsia="Times New Roman" w:hAnsi="Times New Roman" w:cs="Times New Roman"/>
          <w:kern w:val="0"/>
          <w:sz w:val="24"/>
          <w:szCs w:val="24"/>
          <w:lang w:val="en-US"/>
          <w14:ligatures w14:val="none"/>
        </w:rPr>
        <w:t>Mugandani</w:t>
      </w:r>
      <w:proofErr w:type="spellEnd"/>
      <w:r w:rsidRPr="000C06A5">
        <w:rPr>
          <w:rFonts w:ascii="Times New Roman" w:eastAsia="Times New Roman" w:hAnsi="Times New Roman" w:cs="Times New Roman"/>
          <w:kern w:val="0"/>
          <w:sz w:val="24"/>
          <w:szCs w:val="24"/>
          <w:lang w:val="en-US"/>
          <w14:ligatures w14:val="none"/>
        </w:rPr>
        <w:t xml:space="preserve">, R., &amp; Naidoo, D. (2022). Unlocking the potential of fish to improve food and nutrition security in Sub-Saharan Africa. </w:t>
      </w:r>
      <w:r w:rsidRPr="000C06A5">
        <w:rPr>
          <w:rFonts w:ascii="Times New Roman" w:eastAsia="Times New Roman" w:hAnsi="Times New Roman" w:cs="Times New Roman"/>
          <w:i/>
          <w:iCs/>
          <w:kern w:val="0"/>
          <w:sz w:val="24"/>
          <w:szCs w:val="24"/>
          <w:lang w:val="en-US"/>
          <w14:ligatures w14:val="none"/>
        </w:rPr>
        <w:t>Sustainability, 14</w:t>
      </w:r>
      <w:r w:rsidRPr="000C06A5">
        <w:rPr>
          <w:rFonts w:ascii="Times New Roman" w:eastAsia="Times New Roman" w:hAnsi="Times New Roman" w:cs="Times New Roman"/>
          <w:kern w:val="0"/>
          <w:sz w:val="24"/>
          <w:szCs w:val="24"/>
          <w:lang w:val="en-US"/>
          <w14:ligatures w14:val="none"/>
        </w:rPr>
        <w:t xml:space="preserve">(1), Article 318. </w:t>
      </w:r>
      <w:hyperlink r:id="rId36" w:history="1">
        <w:r w:rsidRPr="000C06A5">
          <w:rPr>
            <w:rFonts w:ascii="Times New Roman" w:eastAsia="Times New Roman" w:hAnsi="Times New Roman" w:cs="Times New Roman"/>
            <w:color w:val="0000FF"/>
            <w:kern w:val="0"/>
            <w:sz w:val="24"/>
            <w:szCs w:val="24"/>
            <w:u w:val="single"/>
            <w:lang w:val="en-US"/>
            <w14:ligatures w14:val="none"/>
          </w:rPr>
          <w:t>https://doi.org/10.3390/su14010318</w:t>
        </w:r>
      </w:hyperlink>
    </w:p>
    <w:p w14:paraId="5E99737D" w14:textId="3AA0DF93"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0C06A5">
        <w:rPr>
          <w:rFonts w:ascii="Times New Roman" w:eastAsia="Times New Roman" w:hAnsi="Times New Roman" w:cs="Times New Roman"/>
          <w:kern w:val="0"/>
          <w:sz w:val="24"/>
          <w:szCs w:val="24"/>
          <w:lang w:val="en-US"/>
          <w14:ligatures w14:val="none"/>
        </w:rPr>
        <w:t>Nenuji</w:t>
      </w:r>
      <w:proofErr w:type="spellEnd"/>
      <w:r w:rsidRPr="000C06A5">
        <w:rPr>
          <w:rFonts w:ascii="Times New Roman" w:eastAsia="Times New Roman" w:hAnsi="Times New Roman" w:cs="Times New Roman"/>
          <w:kern w:val="0"/>
          <w:sz w:val="24"/>
          <w:szCs w:val="24"/>
          <w:lang w:val="en-US"/>
          <w14:ligatures w14:val="none"/>
        </w:rPr>
        <w:t xml:space="preserve">, V. D., </w:t>
      </w:r>
      <w:proofErr w:type="spellStart"/>
      <w:r w:rsidRPr="000C06A5">
        <w:rPr>
          <w:rFonts w:ascii="Times New Roman" w:eastAsia="Times New Roman" w:hAnsi="Times New Roman" w:cs="Times New Roman"/>
          <w:kern w:val="0"/>
          <w:sz w:val="24"/>
          <w:szCs w:val="24"/>
          <w:lang w:val="en-US"/>
          <w14:ligatures w14:val="none"/>
        </w:rPr>
        <w:t>Bajaniya</w:t>
      </w:r>
      <w:proofErr w:type="spellEnd"/>
      <w:r w:rsidRPr="000C06A5">
        <w:rPr>
          <w:rFonts w:ascii="Times New Roman" w:eastAsia="Times New Roman" w:hAnsi="Times New Roman" w:cs="Times New Roman"/>
          <w:kern w:val="0"/>
          <w:sz w:val="24"/>
          <w:szCs w:val="24"/>
          <w:lang w:val="en-US"/>
          <w14:ligatures w14:val="none"/>
        </w:rPr>
        <w:t xml:space="preserve">, V. C., Tank, K. V., &amp; </w:t>
      </w:r>
      <w:proofErr w:type="spellStart"/>
      <w:r w:rsidRPr="000C06A5">
        <w:rPr>
          <w:rFonts w:ascii="Times New Roman" w:eastAsia="Times New Roman" w:hAnsi="Times New Roman" w:cs="Times New Roman"/>
          <w:kern w:val="0"/>
          <w:sz w:val="24"/>
          <w:szCs w:val="24"/>
          <w:lang w:val="en-US"/>
          <w14:ligatures w14:val="none"/>
        </w:rPr>
        <w:t>Paghadar</w:t>
      </w:r>
      <w:proofErr w:type="spellEnd"/>
      <w:r w:rsidRPr="000C06A5">
        <w:rPr>
          <w:rFonts w:ascii="Times New Roman" w:eastAsia="Times New Roman" w:hAnsi="Times New Roman" w:cs="Times New Roman"/>
          <w:kern w:val="0"/>
          <w:sz w:val="24"/>
          <w:szCs w:val="24"/>
          <w:lang w:val="en-US"/>
          <w14:ligatures w14:val="none"/>
        </w:rPr>
        <w:t xml:space="preserve">, G. (2026). Effect of </w:t>
      </w:r>
      <w:r w:rsidRPr="000C06A5">
        <w:rPr>
          <w:rFonts w:ascii="Times New Roman" w:eastAsia="Times New Roman" w:hAnsi="Times New Roman" w:cs="Times New Roman"/>
          <w:i/>
          <w:iCs/>
          <w:kern w:val="0"/>
          <w:sz w:val="24"/>
          <w:szCs w:val="24"/>
          <w:lang w:val="en-US"/>
          <w14:ligatures w14:val="none"/>
        </w:rPr>
        <w:t>Andrographis paniculata</w:t>
      </w:r>
      <w:r w:rsidRPr="000C06A5">
        <w:rPr>
          <w:rFonts w:ascii="Times New Roman" w:eastAsia="Times New Roman" w:hAnsi="Times New Roman" w:cs="Times New Roman"/>
          <w:kern w:val="0"/>
          <w:sz w:val="24"/>
          <w:szCs w:val="24"/>
          <w:lang w:val="en-US"/>
          <w14:ligatures w14:val="none"/>
        </w:rPr>
        <w:t xml:space="preserve"> (</w:t>
      </w:r>
      <w:proofErr w:type="spellStart"/>
      <w:r w:rsidRPr="000C06A5">
        <w:rPr>
          <w:rFonts w:ascii="Times New Roman" w:eastAsia="Times New Roman" w:hAnsi="Times New Roman" w:cs="Times New Roman"/>
          <w:kern w:val="0"/>
          <w:sz w:val="24"/>
          <w:szCs w:val="24"/>
          <w:lang w:val="en-US"/>
          <w14:ligatures w14:val="none"/>
        </w:rPr>
        <w:t>Kalmegh</w:t>
      </w:r>
      <w:proofErr w:type="spellEnd"/>
      <w:r w:rsidRPr="000C06A5">
        <w:rPr>
          <w:rFonts w:ascii="Times New Roman" w:eastAsia="Times New Roman" w:hAnsi="Times New Roman" w:cs="Times New Roman"/>
          <w:kern w:val="0"/>
          <w:sz w:val="24"/>
          <w:szCs w:val="24"/>
          <w:lang w:val="en-US"/>
          <w14:ligatures w14:val="none"/>
        </w:rPr>
        <w:t>) extract as a feed additive on growth and survival of Nile tilapia (</w:t>
      </w:r>
      <w:r w:rsidRPr="000C06A5">
        <w:rPr>
          <w:rFonts w:ascii="Times New Roman" w:eastAsia="Times New Roman" w:hAnsi="Times New Roman" w:cs="Times New Roman"/>
          <w:i/>
          <w:iCs/>
          <w:kern w:val="0"/>
          <w:sz w:val="24"/>
          <w:szCs w:val="24"/>
          <w:lang w:val="en-US"/>
          <w14:ligatures w14:val="none"/>
        </w:rPr>
        <w:t>Oreochromis niloticus</w:t>
      </w:r>
      <w:r w:rsidRPr="000C06A5">
        <w:rPr>
          <w:rFonts w:ascii="Times New Roman" w:eastAsia="Times New Roman" w:hAnsi="Times New Roman" w:cs="Times New Roman"/>
          <w:kern w:val="0"/>
          <w:sz w:val="24"/>
          <w:szCs w:val="24"/>
          <w:lang w:val="en-US"/>
          <w14:ligatures w14:val="none"/>
        </w:rPr>
        <w:t xml:space="preserve">) fry. </w:t>
      </w:r>
      <w:r w:rsidRPr="000C06A5">
        <w:rPr>
          <w:rFonts w:ascii="Times New Roman" w:eastAsia="Times New Roman" w:hAnsi="Times New Roman" w:cs="Times New Roman"/>
          <w:i/>
          <w:iCs/>
          <w:kern w:val="0"/>
          <w:sz w:val="24"/>
          <w:szCs w:val="24"/>
          <w:lang w:val="en-US"/>
          <w14:ligatures w14:val="none"/>
        </w:rPr>
        <w:t>Uttar Pradesh Journal of Zoology, 47</w:t>
      </w:r>
      <w:r w:rsidRPr="000C06A5">
        <w:rPr>
          <w:rFonts w:ascii="Times New Roman" w:eastAsia="Times New Roman" w:hAnsi="Times New Roman" w:cs="Times New Roman"/>
          <w:kern w:val="0"/>
          <w:sz w:val="24"/>
          <w:szCs w:val="24"/>
          <w:lang w:val="en-US"/>
          <w14:ligatures w14:val="none"/>
        </w:rPr>
        <w:t xml:space="preserve">(10), 176–185. </w:t>
      </w:r>
      <w:hyperlink r:id="rId37" w:history="1">
        <w:r w:rsidRPr="000C06A5">
          <w:rPr>
            <w:rFonts w:ascii="Times New Roman" w:eastAsia="Times New Roman" w:hAnsi="Times New Roman" w:cs="Times New Roman"/>
            <w:color w:val="0000FF"/>
            <w:kern w:val="0"/>
            <w:sz w:val="24"/>
            <w:szCs w:val="24"/>
            <w:u w:val="single"/>
            <w:lang w:val="en-US"/>
            <w14:ligatures w14:val="none"/>
          </w:rPr>
          <w:t>https://doi.org/10.56557/upjoz/2026/v47i105670</w:t>
        </w:r>
      </w:hyperlink>
    </w:p>
    <w:p w14:paraId="3FF071AE" w14:textId="5ACDFBFA"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0C06A5">
        <w:rPr>
          <w:rFonts w:ascii="Times New Roman" w:eastAsia="Times New Roman" w:hAnsi="Times New Roman" w:cs="Times New Roman"/>
          <w:kern w:val="0"/>
          <w:sz w:val="24"/>
          <w:szCs w:val="24"/>
          <w:lang w:val="en-US"/>
          <w14:ligatures w14:val="none"/>
        </w:rPr>
        <w:t>Nyadjeu</w:t>
      </w:r>
      <w:proofErr w:type="spellEnd"/>
      <w:r w:rsidRPr="000C06A5">
        <w:rPr>
          <w:rFonts w:ascii="Times New Roman" w:eastAsia="Times New Roman" w:hAnsi="Times New Roman" w:cs="Times New Roman"/>
          <w:kern w:val="0"/>
          <w:sz w:val="24"/>
          <w:szCs w:val="24"/>
          <w:lang w:val="en-US"/>
          <w14:ligatures w14:val="none"/>
        </w:rPr>
        <w:t xml:space="preserve">, P., </w:t>
      </w:r>
      <w:proofErr w:type="spellStart"/>
      <w:r w:rsidRPr="000C06A5">
        <w:rPr>
          <w:rFonts w:ascii="Times New Roman" w:eastAsia="Times New Roman" w:hAnsi="Times New Roman" w:cs="Times New Roman"/>
          <w:kern w:val="0"/>
          <w:sz w:val="24"/>
          <w:szCs w:val="24"/>
          <w:lang w:val="en-US"/>
          <w14:ligatures w14:val="none"/>
        </w:rPr>
        <w:t>Yemdjie</w:t>
      </w:r>
      <w:proofErr w:type="spellEnd"/>
      <w:r w:rsidRPr="000C06A5">
        <w:rPr>
          <w:rFonts w:ascii="Times New Roman" w:eastAsia="Times New Roman" w:hAnsi="Times New Roman" w:cs="Times New Roman"/>
          <w:kern w:val="0"/>
          <w:sz w:val="24"/>
          <w:szCs w:val="24"/>
          <w:lang w:val="en-US"/>
          <w14:ligatures w14:val="none"/>
        </w:rPr>
        <w:t xml:space="preserve">, D. D. M., Ndjuissi, N. A. T., </w:t>
      </w:r>
      <w:proofErr w:type="spellStart"/>
      <w:r w:rsidRPr="000C06A5">
        <w:rPr>
          <w:rFonts w:ascii="Times New Roman" w:eastAsia="Times New Roman" w:hAnsi="Times New Roman" w:cs="Times New Roman"/>
          <w:kern w:val="0"/>
          <w:sz w:val="24"/>
          <w:szCs w:val="24"/>
          <w:lang w:val="en-US"/>
          <w14:ligatures w14:val="none"/>
        </w:rPr>
        <w:t>Nguenang</w:t>
      </w:r>
      <w:proofErr w:type="spellEnd"/>
      <w:r w:rsidRPr="000C06A5">
        <w:rPr>
          <w:rFonts w:ascii="Times New Roman" w:eastAsia="Times New Roman" w:hAnsi="Times New Roman" w:cs="Times New Roman"/>
          <w:kern w:val="0"/>
          <w:sz w:val="24"/>
          <w:szCs w:val="24"/>
          <w:lang w:val="en-US"/>
          <w14:ligatures w14:val="none"/>
        </w:rPr>
        <w:t xml:space="preserve">, G. N., </w:t>
      </w:r>
      <w:proofErr w:type="spellStart"/>
      <w:r w:rsidRPr="000C06A5">
        <w:rPr>
          <w:rFonts w:ascii="Times New Roman" w:eastAsia="Times New Roman" w:hAnsi="Times New Roman" w:cs="Times New Roman"/>
          <w:kern w:val="0"/>
          <w:sz w:val="24"/>
          <w:szCs w:val="24"/>
          <w:lang w:val="en-US"/>
          <w14:ligatures w14:val="none"/>
        </w:rPr>
        <w:t>Dedou</w:t>
      </w:r>
      <w:proofErr w:type="spellEnd"/>
      <w:r w:rsidRPr="000C06A5">
        <w:rPr>
          <w:rFonts w:ascii="Times New Roman" w:eastAsia="Times New Roman" w:hAnsi="Times New Roman" w:cs="Times New Roman"/>
          <w:kern w:val="0"/>
          <w:sz w:val="24"/>
          <w:szCs w:val="24"/>
          <w:lang w:val="en-US"/>
          <w14:ligatures w14:val="none"/>
        </w:rPr>
        <w:t>, N. Y. C., &amp; Tabi-</w:t>
      </w:r>
      <w:proofErr w:type="spellStart"/>
      <w:r w:rsidRPr="000C06A5">
        <w:rPr>
          <w:rFonts w:ascii="Times New Roman" w:eastAsia="Times New Roman" w:hAnsi="Times New Roman" w:cs="Times New Roman"/>
          <w:kern w:val="0"/>
          <w:sz w:val="24"/>
          <w:szCs w:val="24"/>
          <w:lang w:val="en-US"/>
          <w14:ligatures w14:val="none"/>
        </w:rPr>
        <w:t>Tomedi</w:t>
      </w:r>
      <w:proofErr w:type="spellEnd"/>
      <w:r w:rsidRPr="000C06A5">
        <w:rPr>
          <w:rFonts w:ascii="Times New Roman" w:eastAsia="Times New Roman" w:hAnsi="Times New Roman" w:cs="Times New Roman"/>
          <w:kern w:val="0"/>
          <w:sz w:val="24"/>
          <w:szCs w:val="24"/>
          <w:lang w:val="en-US"/>
          <w14:ligatures w14:val="none"/>
        </w:rPr>
        <w:t xml:space="preserve">, M. E. (2021). Effect of </w:t>
      </w:r>
      <w:r w:rsidRPr="000C06A5">
        <w:rPr>
          <w:rFonts w:ascii="Times New Roman" w:eastAsia="Times New Roman" w:hAnsi="Times New Roman" w:cs="Times New Roman"/>
          <w:i/>
          <w:iCs/>
          <w:kern w:val="0"/>
          <w:sz w:val="24"/>
          <w:szCs w:val="24"/>
          <w:lang w:val="en-US"/>
          <w14:ligatures w14:val="none"/>
        </w:rPr>
        <w:t>Zingiber officinale</w:t>
      </w:r>
      <w:r w:rsidRPr="000C06A5">
        <w:rPr>
          <w:rFonts w:ascii="Times New Roman" w:eastAsia="Times New Roman" w:hAnsi="Times New Roman" w:cs="Times New Roman"/>
          <w:kern w:val="0"/>
          <w:sz w:val="24"/>
          <w:szCs w:val="24"/>
          <w:lang w:val="en-US"/>
          <w14:ligatures w14:val="none"/>
        </w:rPr>
        <w:t xml:space="preserve"> and </w:t>
      </w:r>
      <w:r w:rsidRPr="000C06A5">
        <w:rPr>
          <w:rFonts w:ascii="Times New Roman" w:eastAsia="Times New Roman" w:hAnsi="Times New Roman" w:cs="Times New Roman"/>
          <w:i/>
          <w:iCs/>
          <w:kern w:val="0"/>
          <w:sz w:val="24"/>
          <w:szCs w:val="24"/>
          <w:lang w:val="en-US"/>
          <w14:ligatures w14:val="none"/>
        </w:rPr>
        <w:t>Allium sativum</w:t>
      </w:r>
      <w:r w:rsidRPr="000C06A5">
        <w:rPr>
          <w:rFonts w:ascii="Times New Roman" w:eastAsia="Times New Roman" w:hAnsi="Times New Roman" w:cs="Times New Roman"/>
          <w:kern w:val="0"/>
          <w:sz w:val="24"/>
          <w:szCs w:val="24"/>
          <w:lang w:val="en-US"/>
          <w14:ligatures w14:val="none"/>
        </w:rPr>
        <w:t xml:space="preserve"> powders as natural feed additives promoting growth, feed utilization and whole-body composition in </w:t>
      </w:r>
      <w:r w:rsidRPr="000C06A5">
        <w:rPr>
          <w:rFonts w:ascii="Times New Roman" w:eastAsia="Times New Roman" w:hAnsi="Times New Roman" w:cs="Times New Roman"/>
          <w:i/>
          <w:iCs/>
          <w:kern w:val="0"/>
          <w:sz w:val="24"/>
          <w:szCs w:val="24"/>
          <w:lang w:val="en-US"/>
          <w14:ligatures w14:val="none"/>
        </w:rPr>
        <w:t xml:space="preserve">Clarias </w:t>
      </w:r>
      <w:proofErr w:type="spellStart"/>
      <w:r w:rsidRPr="000C06A5">
        <w:rPr>
          <w:rFonts w:ascii="Times New Roman" w:eastAsia="Times New Roman" w:hAnsi="Times New Roman" w:cs="Times New Roman"/>
          <w:i/>
          <w:iCs/>
          <w:kern w:val="0"/>
          <w:sz w:val="24"/>
          <w:szCs w:val="24"/>
          <w:lang w:val="en-US"/>
          <w14:ligatures w14:val="none"/>
        </w:rPr>
        <w:t>gariepinus</w:t>
      </w:r>
      <w:proofErr w:type="spellEnd"/>
      <w:r w:rsidRPr="000C06A5">
        <w:rPr>
          <w:rFonts w:ascii="Times New Roman" w:eastAsia="Times New Roman" w:hAnsi="Times New Roman" w:cs="Times New Roman"/>
          <w:kern w:val="0"/>
          <w:sz w:val="24"/>
          <w:szCs w:val="24"/>
          <w:lang w:val="en-US"/>
          <w14:ligatures w14:val="none"/>
        </w:rPr>
        <w:t xml:space="preserve"> fry. </w:t>
      </w:r>
      <w:r w:rsidRPr="000C06A5">
        <w:rPr>
          <w:rFonts w:ascii="Times New Roman" w:eastAsia="Times New Roman" w:hAnsi="Times New Roman" w:cs="Times New Roman"/>
          <w:i/>
          <w:iCs/>
          <w:kern w:val="0"/>
          <w:sz w:val="24"/>
          <w:szCs w:val="24"/>
          <w:lang w:val="en-US"/>
          <w14:ligatures w14:val="none"/>
        </w:rPr>
        <w:t>Food and Nutrition Sciences, 12</w:t>
      </w:r>
      <w:r w:rsidRPr="000C06A5">
        <w:rPr>
          <w:rFonts w:ascii="Times New Roman" w:eastAsia="Times New Roman" w:hAnsi="Times New Roman" w:cs="Times New Roman"/>
          <w:kern w:val="0"/>
          <w:sz w:val="24"/>
          <w:szCs w:val="24"/>
          <w:lang w:val="en-US"/>
          <w14:ligatures w14:val="none"/>
        </w:rPr>
        <w:t xml:space="preserve">(6), 526–543. </w:t>
      </w:r>
      <w:hyperlink r:id="rId38" w:history="1">
        <w:r w:rsidRPr="000C06A5">
          <w:rPr>
            <w:rFonts w:ascii="Times New Roman" w:eastAsia="Times New Roman" w:hAnsi="Times New Roman" w:cs="Times New Roman"/>
            <w:color w:val="0000FF"/>
            <w:kern w:val="0"/>
            <w:sz w:val="24"/>
            <w:szCs w:val="24"/>
            <w:u w:val="single"/>
            <w:lang w:val="en-US"/>
            <w14:ligatures w14:val="none"/>
          </w:rPr>
          <w:t>https://doi.org/10.4236/fns.2021.126040</w:t>
        </w:r>
      </w:hyperlink>
    </w:p>
    <w:p w14:paraId="0645EFF0" w14:textId="49C317BF"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0C06A5">
        <w:rPr>
          <w:rFonts w:ascii="Times New Roman" w:eastAsia="Times New Roman" w:hAnsi="Times New Roman" w:cs="Times New Roman"/>
          <w:kern w:val="0"/>
          <w:sz w:val="24"/>
          <w:szCs w:val="24"/>
          <w:lang w:val="en-US"/>
          <w14:ligatures w14:val="none"/>
        </w:rPr>
        <w:t>Obun</w:t>
      </w:r>
      <w:proofErr w:type="spellEnd"/>
      <w:r w:rsidRPr="000C06A5">
        <w:rPr>
          <w:rFonts w:ascii="Times New Roman" w:eastAsia="Times New Roman" w:hAnsi="Times New Roman" w:cs="Times New Roman"/>
          <w:kern w:val="0"/>
          <w:sz w:val="24"/>
          <w:szCs w:val="24"/>
          <w:lang w:val="en-US"/>
          <w14:ligatures w14:val="none"/>
        </w:rPr>
        <w:t xml:space="preserve">, C. O., Olafadehan, O. A., </w:t>
      </w:r>
      <w:proofErr w:type="spellStart"/>
      <w:r w:rsidRPr="000C06A5">
        <w:rPr>
          <w:rFonts w:ascii="Times New Roman" w:eastAsia="Times New Roman" w:hAnsi="Times New Roman" w:cs="Times New Roman"/>
          <w:kern w:val="0"/>
          <w:sz w:val="24"/>
          <w:szCs w:val="24"/>
          <w:lang w:val="en-US"/>
          <w14:ligatures w14:val="none"/>
        </w:rPr>
        <w:t>Ayanwale</w:t>
      </w:r>
      <w:proofErr w:type="spellEnd"/>
      <w:r w:rsidRPr="000C06A5">
        <w:rPr>
          <w:rFonts w:ascii="Times New Roman" w:eastAsia="Times New Roman" w:hAnsi="Times New Roman" w:cs="Times New Roman"/>
          <w:kern w:val="0"/>
          <w:sz w:val="24"/>
          <w:szCs w:val="24"/>
          <w:lang w:val="en-US"/>
          <w14:ligatures w14:val="none"/>
        </w:rPr>
        <w:t xml:space="preserve">, B. A., &amp; Inuwa, M. (2008). Growth, carcass and organ weights of finisher broilers fed differently processed </w:t>
      </w:r>
      <w:proofErr w:type="spellStart"/>
      <w:r w:rsidRPr="000C06A5">
        <w:rPr>
          <w:rFonts w:ascii="Times New Roman" w:eastAsia="Times New Roman" w:hAnsi="Times New Roman" w:cs="Times New Roman"/>
          <w:i/>
          <w:iCs/>
          <w:kern w:val="0"/>
          <w:sz w:val="24"/>
          <w:szCs w:val="24"/>
          <w:lang w:val="en-US"/>
          <w14:ligatures w14:val="none"/>
        </w:rPr>
        <w:t>Detarium</w:t>
      </w:r>
      <w:proofErr w:type="spellEnd"/>
      <w:r w:rsidRPr="000C06A5">
        <w:rPr>
          <w:rFonts w:ascii="Times New Roman" w:eastAsia="Times New Roman" w:hAnsi="Times New Roman" w:cs="Times New Roman"/>
          <w:i/>
          <w:iCs/>
          <w:kern w:val="0"/>
          <w:sz w:val="24"/>
          <w:szCs w:val="24"/>
          <w:lang w:val="en-US"/>
          <w14:ligatures w14:val="none"/>
        </w:rPr>
        <w:t xml:space="preserve"> </w:t>
      </w:r>
      <w:proofErr w:type="spellStart"/>
      <w:r w:rsidRPr="000C06A5">
        <w:rPr>
          <w:rFonts w:ascii="Times New Roman" w:eastAsia="Times New Roman" w:hAnsi="Times New Roman" w:cs="Times New Roman"/>
          <w:i/>
          <w:iCs/>
          <w:kern w:val="0"/>
          <w:sz w:val="24"/>
          <w:szCs w:val="24"/>
          <w:lang w:val="en-US"/>
          <w14:ligatures w14:val="none"/>
        </w:rPr>
        <w:t>microcarpum</w:t>
      </w:r>
      <w:proofErr w:type="spellEnd"/>
      <w:r w:rsidRPr="000C06A5">
        <w:rPr>
          <w:rFonts w:ascii="Times New Roman" w:eastAsia="Times New Roman" w:hAnsi="Times New Roman" w:cs="Times New Roman"/>
          <w:kern w:val="0"/>
          <w:sz w:val="24"/>
          <w:szCs w:val="24"/>
          <w:lang w:val="en-US"/>
          <w14:ligatures w14:val="none"/>
        </w:rPr>
        <w:t xml:space="preserve"> (Guill and Sperr) seed meal. </w:t>
      </w:r>
      <w:r w:rsidRPr="000C06A5">
        <w:rPr>
          <w:rFonts w:ascii="Times New Roman" w:eastAsia="Times New Roman" w:hAnsi="Times New Roman" w:cs="Times New Roman"/>
          <w:i/>
          <w:iCs/>
          <w:kern w:val="0"/>
          <w:sz w:val="24"/>
          <w:szCs w:val="24"/>
          <w:lang w:val="en-US"/>
          <w14:ligatures w14:val="none"/>
        </w:rPr>
        <w:t>Livestock Research for Rural Development, 20</w:t>
      </w:r>
      <w:r w:rsidRPr="000C06A5">
        <w:rPr>
          <w:rFonts w:ascii="Times New Roman" w:eastAsia="Times New Roman" w:hAnsi="Times New Roman" w:cs="Times New Roman"/>
          <w:kern w:val="0"/>
          <w:sz w:val="24"/>
          <w:szCs w:val="24"/>
          <w:lang w:val="en-US"/>
          <w14:ligatures w14:val="none"/>
        </w:rPr>
        <w:t xml:space="preserve">(8), Article 126. </w:t>
      </w:r>
    </w:p>
    <w:p w14:paraId="441287DB" w14:textId="73D3DD1E"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0C06A5">
        <w:rPr>
          <w:rFonts w:ascii="Times New Roman" w:eastAsia="Times New Roman" w:hAnsi="Times New Roman" w:cs="Times New Roman"/>
          <w:kern w:val="0"/>
          <w:sz w:val="24"/>
          <w:szCs w:val="24"/>
          <w:lang w:val="en-US"/>
          <w14:ligatures w14:val="none"/>
        </w:rPr>
        <w:t>Obun</w:t>
      </w:r>
      <w:proofErr w:type="spellEnd"/>
      <w:r w:rsidRPr="000C06A5">
        <w:rPr>
          <w:rFonts w:ascii="Times New Roman" w:eastAsia="Times New Roman" w:hAnsi="Times New Roman" w:cs="Times New Roman"/>
          <w:kern w:val="0"/>
          <w:sz w:val="24"/>
          <w:szCs w:val="24"/>
          <w:lang w:val="en-US"/>
          <w14:ligatures w14:val="none"/>
        </w:rPr>
        <w:t xml:space="preserve">, C. O., Yahaya, S. M., </w:t>
      </w:r>
      <w:proofErr w:type="spellStart"/>
      <w:r w:rsidRPr="000C06A5">
        <w:rPr>
          <w:rFonts w:ascii="Times New Roman" w:eastAsia="Times New Roman" w:hAnsi="Times New Roman" w:cs="Times New Roman"/>
          <w:kern w:val="0"/>
          <w:sz w:val="24"/>
          <w:szCs w:val="24"/>
          <w:lang w:val="en-US"/>
          <w14:ligatures w14:val="none"/>
        </w:rPr>
        <w:t>Kibon</w:t>
      </w:r>
      <w:proofErr w:type="spellEnd"/>
      <w:r w:rsidRPr="000C06A5">
        <w:rPr>
          <w:rFonts w:ascii="Times New Roman" w:eastAsia="Times New Roman" w:hAnsi="Times New Roman" w:cs="Times New Roman"/>
          <w:kern w:val="0"/>
          <w:sz w:val="24"/>
          <w:szCs w:val="24"/>
          <w:lang w:val="en-US"/>
          <w14:ligatures w14:val="none"/>
        </w:rPr>
        <w:t xml:space="preserve">, A. A., Olafadehan, O. A., &amp; Alison, S. D. (2010). Evaluation of </w:t>
      </w:r>
      <w:proofErr w:type="spellStart"/>
      <w:r w:rsidRPr="000C06A5">
        <w:rPr>
          <w:rFonts w:ascii="Times New Roman" w:eastAsia="Times New Roman" w:hAnsi="Times New Roman" w:cs="Times New Roman"/>
          <w:i/>
          <w:iCs/>
          <w:kern w:val="0"/>
          <w:sz w:val="24"/>
          <w:szCs w:val="24"/>
          <w:lang w:val="en-US"/>
          <w14:ligatures w14:val="none"/>
        </w:rPr>
        <w:t>Detarium</w:t>
      </w:r>
      <w:proofErr w:type="spellEnd"/>
      <w:r w:rsidRPr="000C06A5">
        <w:rPr>
          <w:rFonts w:ascii="Times New Roman" w:eastAsia="Times New Roman" w:hAnsi="Times New Roman" w:cs="Times New Roman"/>
          <w:i/>
          <w:iCs/>
          <w:kern w:val="0"/>
          <w:sz w:val="24"/>
          <w:szCs w:val="24"/>
          <w:lang w:val="en-US"/>
          <w14:ligatures w14:val="none"/>
        </w:rPr>
        <w:t xml:space="preserve"> </w:t>
      </w:r>
      <w:proofErr w:type="spellStart"/>
      <w:r w:rsidRPr="000C06A5">
        <w:rPr>
          <w:rFonts w:ascii="Times New Roman" w:eastAsia="Times New Roman" w:hAnsi="Times New Roman" w:cs="Times New Roman"/>
          <w:i/>
          <w:iCs/>
          <w:kern w:val="0"/>
          <w:sz w:val="24"/>
          <w:szCs w:val="24"/>
          <w:lang w:val="en-US"/>
          <w14:ligatures w14:val="none"/>
        </w:rPr>
        <w:t>microcarpum</w:t>
      </w:r>
      <w:proofErr w:type="spellEnd"/>
      <w:r w:rsidRPr="000C06A5">
        <w:rPr>
          <w:rFonts w:ascii="Times New Roman" w:eastAsia="Times New Roman" w:hAnsi="Times New Roman" w:cs="Times New Roman"/>
          <w:kern w:val="0"/>
          <w:sz w:val="24"/>
          <w:szCs w:val="24"/>
          <w:lang w:val="en-US"/>
          <w14:ligatures w14:val="none"/>
        </w:rPr>
        <w:t xml:space="preserve"> pulp meal as feed ingredient in rabbits’ diets. </w:t>
      </w:r>
      <w:r w:rsidRPr="000C06A5">
        <w:rPr>
          <w:rFonts w:ascii="Times New Roman" w:eastAsia="Times New Roman" w:hAnsi="Times New Roman" w:cs="Times New Roman"/>
          <w:i/>
          <w:iCs/>
          <w:kern w:val="0"/>
          <w:sz w:val="24"/>
          <w:szCs w:val="24"/>
          <w:lang w:val="en-US"/>
          <w14:ligatures w14:val="none"/>
        </w:rPr>
        <w:t>Electronic Journal of Environmental, Agricultural and Food Chemistry, 8</w:t>
      </w:r>
      <w:r w:rsidRPr="000C06A5">
        <w:rPr>
          <w:rFonts w:ascii="Times New Roman" w:eastAsia="Times New Roman" w:hAnsi="Times New Roman" w:cs="Times New Roman"/>
          <w:kern w:val="0"/>
          <w:sz w:val="24"/>
          <w:szCs w:val="24"/>
          <w:lang w:val="en-US"/>
          <w14:ligatures w14:val="none"/>
        </w:rPr>
        <w:t xml:space="preserve">(2), 308–314. </w:t>
      </w:r>
    </w:p>
    <w:p w14:paraId="15F2A2D8" w14:textId="762B3D19"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0C06A5">
        <w:rPr>
          <w:rFonts w:ascii="Times New Roman" w:eastAsia="Times New Roman" w:hAnsi="Times New Roman" w:cs="Times New Roman"/>
          <w:kern w:val="0"/>
          <w:sz w:val="24"/>
          <w:szCs w:val="24"/>
          <w:lang w:val="en-US"/>
          <w14:ligatures w14:val="none"/>
        </w:rPr>
        <w:t>Obun</w:t>
      </w:r>
      <w:proofErr w:type="spellEnd"/>
      <w:r w:rsidRPr="000C06A5">
        <w:rPr>
          <w:rFonts w:ascii="Times New Roman" w:eastAsia="Times New Roman" w:hAnsi="Times New Roman" w:cs="Times New Roman"/>
          <w:kern w:val="0"/>
          <w:sz w:val="24"/>
          <w:szCs w:val="24"/>
          <w:lang w:val="en-US"/>
          <w14:ligatures w14:val="none"/>
        </w:rPr>
        <w:t xml:space="preserve">, C. O., Yahaya, S. M., &amp; </w:t>
      </w:r>
      <w:proofErr w:type="spellStart"/>
      <w:r w:rsidRPr="000C06A5">
        <w:rPr>
          <w:rFonts w:ascii="Times New Roman" w:eastAsia="Times New Roman" w:hAnsi="Times New Roman" w:cs="Times New Roman"/>
          <w:kern w:val="0"/>
          <w:sz w:val="24"/>
          <w:szCs w:val="24"/>
          <w:lang w:val="en-US"/>
          <w14:ligatures w14:val="none"/>
        </w:rPr>
        <w:t>Kibon</w:t>
      </w:r>
      <w:proofErr w:type="spellEnd"/>
      <w:r w:rsidRPr="000C06A5">
        <w:rPr>
          <w:rFonts w:ascii="Times New Roman" w:eastAsia="Times New Roman" w:hAnsi="Times New Roman" w:cs="Times New Roman"/>
          <w:kern w:val="0"/>
          <w:sz w:val="24"/>
          <w:szCs w:val="24"/>
          <w:lang w:val="en-US"/>
          <w14:ligatures w14:val="none"/>
        </w:rPr>
        <w:t xml:space="preserve">, A. A. (2011). Performance and nutrient retention of finisher broilers fed graded levels of </w:t>
      </w:r>
      <w:proofErr w:type="spellStart"/>
      <w:r w:rsidRPr="000C06A5">
        <w:rPr>
          <w:rFonts w:ascii="Times New Roman" w:eastAsia="Times New Roman" w:hAnsi="Times New Roman" w:cs="Times New Roman"/>
          <w:i/>
          <w:iCs/>
          <w:kern w:val="0"/>
          <w:sz w:val="24"/>
          <w:szCs w:val="24"/>
          <w:lang w:val="en-US"/>
          <w14:ligatures w14:val="none"/>
        </w:rPr>
        <w:t>Detarium</w:t>
      </w:r>
      <w:proofErr w:type="spellEnd"/>
      <w:r w:rsidRPr="000C06A5">
        <w:rPr>
          <w:rFonts w:ascii="Times New Roman" w:eastAsia="Times New Roman" w:hAnsi="Times New Roman" w:cs="Times New Roman"/>
          <w:i/>
          <w:iCs/>
          <w:kern w:val="0"/>
          <w:sz w:val="24"/>
          <w:szCs w:val="24"/>
          <w:lang w:val="en-US"/>
          <w14:ligatures w14:val="none"/>
        </w:rPr>
        <w:t xml:space="preserve"> </w:t>
      </w:r>
      <w:proofErr w:type="spellStart"/>
      <w:r w:rsidRPr="000C06A5">
        <w:rPr>
          <w:rFonts w:ascii="Times New Roman" w:eastAsia="Times New Roman" w:hAnsi="Times New Roman" w:cs="Times New Roman"/>
          <w:i/>
          <w:iCs/>
          <w:kern w:val="0"/>
          <w:sz w:val="24"/>
          <w:szCs w:val="24"/>
          <w:lang w:val="en-US"/>
          <w14:ligatures w14:val="none"/>
        </w:rPr>
        <w:t>microcarpum</w:t>
      </w:r>
      <w:proofErr w:type="spellEnd"/>
      <w:r w:rsidRPr="000C06A5">
        <w:rPr>
          <w:rFonts w:ascii="Times New Roman" w:eastAsia="Times New Roman" w:hAnsi="Times New Roman" w:cs="Times New Roman"/>
          <w:kern w:val="0"/>
          <w:sz w:val="24"/>
          <w:szCs w:val="24"/>
          <w:lang w:val="en-US"/>
          <w14:ligatures w14:val="none"/>
        </w:rPr>
        <w:t xml:space="preserve"> (Guill and Sperr) seed meal. </w:t>
      </w:r>
      <w:r w:rsidRPr="000C06A5">
        <w:rPr>
          <w:rFonts w:ascii="Times New Roman" w:eastAsia="Times New Roman" w:hAnsi="Times New Roman" w:cs="Times New Roman"/>
          <w:i/>
          <w:iCs/>
          <w:kern w:val="0"/>
          <w:sz w:val="24"/>
          <w:szCs w:val="24"/>
          <w:lang w:val="en-US"/>
          <w14:ligatures w14:val="none"/>
        </w:rPr>
        <w:t>Animal Research International, 8</w:t>
      </w:r>
      <w:r w:rsidRPr="000C06A5">
        <w:rPr>
          <w:rFonts w:ascii="Times New Roman" w:eastAsia="Times New Roman" w:hAnsi="Times New Roman" w:cs="Times New Roman"/>
          <w:kern w:val="0"/>
          <w:sz w:val="24"/>
          <w:szCs w:val="24"/>
          <w:lang w:val="en-US"/>
          <w14:ligatures w14:val="none"/>
        </w:rPr>
        <w:t xml:space="preserve">(1), 1380–1387. </w:t>
      </w:r>
    </w:p>
    <w:p w14:paraId="185DFA7C" w14:textId="10157491"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0C06A5">
        <w:rPr>
          <w:rFonts w:ascii="Times New Roman" w:eastAsia="Times New Roman" w:hAnsi="Times New Roman" w:cs="Times New Roman"/>
          <w:kern w:val="0"/>
          <w:sz w:val="24"/>
          <w:szCs w:val="24"/>
          <w:lang w:val="en-US"/>
          <w14:ligatures w14:val="none"/>
        </w:rPr>
        <w:t>Ogunji</w:t>
      </w:r>
      <w:proofErr w:type="spellEnd"/>
      <w:r w:rsidRPr="000C06A5">
        <w:rPr>
          <w:rFonts w:ascii="Times New Roman" w:eastAsia="Times New Roman" w:hAnsi="Times New Roman" w:cs="Times New Roman"/>
          <w:kern w:val="0"/>
          <w:sz w:val="24"/>
          <w:szCs w:val="24"/>
          <w:lang w:val="en-US"/>
          <w14:ligatures w14:val="none"/>
        </w:rPr>
        <w:t xml:space="preserve">, J. O., &amp; Awoke, J. (2017). Effect of environmental regulated water temperature variations on survival, growth performance and </w:t>
      </w:r>
      <w:proofErr w:type="spellStart"/>
      <w:r w:rsidRPr="000C06A5">
        <w:rPr>
          <w:rFonts w:ascii="Times New Roman" w:eastAsia="Times New Roman" w:hAnsi="Times New Roman" w:cs="Times New Roman"/>
          <w:kern w:val="0"/>
          <w:sz w:val="24"/>
          <w:szCs w:val="24"/>
          <w:lang w:val="en-US"/>
          <w14:ligatures w14:val="none"/>
        </w:rPr>
        <w:t>haematology</w:t>
      </w:r>
      <w:proofErr w:type="spellEnd"/>
      <w:r w:rsidRPr="000C06A5">
        <w:rPr>
          <w:rFonts w:ascii="Times New Roman" w:eastAsia="Times New Roman" w:hAnsi="Times New Roman" w:cs="Times New Roman"/>
          <w:kern w:val="0"/>
          <w:sz w:val="24"/>
          <w:szCs w:val="24"/>
          <w:lang w:val="en-US"/>
          <w14:ligatures w14:val="none"/>
        </w:rPr>
        <w:t xml:space="preserve"> of African catfish, </w:t>
      </w:r>
      <w:r w:rsidRPr="000C06A5">
        <w:rPr>
          <w:rFonts w:ascii="Times New Roman" w:eastAsia="Times New Roman" w:hAnsi="Times New Roman" w:cs="Times New Roman"/>
          <w:i/>
          <w:iCs/>
          <w:kern w:val="0"/>
          <w:sz w:val="24"/>
          <w:szCs w:val="24"/>
          <w:lang w:val="en-US"/>
          <w14:ligatures w14:val="none"/>
        </w:rPr>
        <w:t xml:space="preserve">Clarias </w:t>
      </w:r>
      <w:proofErr w:type="spellStart"/>
      <w:r w:rsidRPr="000C06A5">
        <w:rPr>
          <w:rFonts w:ascii="Times New Roman" w:eastAsia="Times New Roman" w:hAnsi="Times New Roman" w:cs="Times New Roman"/>
          <w:i/>
          <w:iCs/>
          <w:kern w:val="0"/>
          <w:sz w:val="24"/>
          <w:szCs w:val="24"/>
          <w:lang w:val="en-US"/>
          <w14:ligatures w14:val="none"/>
        </w:rPr>
        <w:t>gariepinus</w:t>
      </w:r>
      <w:proofErr w:type="spellEnd"/>
      <w:r w:rsidRPr="000C06A5">
        <w:rPr>
          <w:rFonts w:ascii="Times New Roman" w:eastAsia="Times New Roman" w:hAnsi="Times New Roman" w:cs="Times New Roman"/>
          <w:kern w:val="0"/>
          <w:sz w:val="24"/>
          <w:szCs w:val="24"/>
          <w:lang w:val="en-US"/>
          <w14:ligatures w14:val="none"/>
        </w:rPr>
        <w:t xml:space="preserve">. </w:t>
      </w:r>
      <w:r w:rsidRPr="000C06A5">
        <w:rPr>
          <w:rFonts w:ascii="Times New Roman" w:eastAsia="Times New Roman" w:hAnsi="Times New Roman" w:cs="Times New Roman"/>
          <w:i/>
          <w:iCs/>
          <w:kern w:val="0"/>
          <w:sz w:val="24"/>
          <w:szCs w:val="24"/>
          <w:lang w:val="en-US"/>
          <w14:ligatures w14:val="none"/>
        </w:rPr>
        <w:t>Our Nature, 15</w:t>
      </w:r>
      <w:r w:rsidRPr="000C06A5">
        <w:rPr>
          <w:rFonts w:ascii="Times New Roman" w:eastAsia="Times New Roman" w:hAnsi="Times New Roman" w:cs="Times New Roman"/>
          <w:kern w:val="0"/>
          <w:sz w:val="24"/>
          <w:szCs w:val="24"/>
          <w:lang w:val="en-US"/>
          <w14:ligatures w14:val="none"/>
        </w:rPr>
        <w:t xml:space="preserve">(1–2), 26–33. </w:t>
      </w:r>
      <w:hyperlink r:id="rId39" w:history="1">
        <w:r w:rsidRPr="000C06A5">
          <w:rPr>
            <w:rFonts w:ascii="Times New Roman" w:eastAsia="Times New Roman" w:hAnsi="Times New Roman" w:cs="Times New Roman"/>
            <w:color w:val="0000FF"/>
            <w:kern w:val="0"/>
            <w:sz w:val="24"/>
            <w:szCs w:val="24"/>
            <w:u w:val="single"/>
            <w:lang w:val="en-US"/>
            <w14:ligatures w14:val="none"/>
          </w:rPr>
          <w:t>https://doi.org/10.3126/on.v15i1-2.18791</w:t>
        </w:r>
      </w:hyperlink>
    </w:p>
    <w:p w14:paraId="685F1B7F" w14:textId="2B6B7365"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Olaniyi, C. O., Atoyebi, M. O., Obafunmiso, H. T., &amp; Salaam, K. A. (2020). Effect of ginger (</w:t>
      </w:r>
      <w:r w:rsidRPr="000C06A5">
        <w:rPr>
          <w:rFonts w:ascii="Times New Roman" w:eastAsia="Times New Roman" w:hAnsi="Times New Roman" w:cs="Times New Roman"/>
          <w:i/>
          <w:iCs/>
          <w:kern w:val="0"/>
          <w:sz w:val="24"/>
          <w:szCs w:val="24"/>
          <w:lang w:val="en-US"/>
          <w14:ligatures w14:val="none"/>
        </w:rPr>
        <w:t>Zingiber officinale</w:t>
      </w:r>
      <w:r w:rsidRPr="000C06A5">
        <w:rPr>
          <w:rFonts w:ascii="Times New Roman" w:eastAsia="Times New Roman" w:hAnsi="Times New Roman" w:cs="Times New Roman"/>
          <w:kern w:val="0"/>
          <w:sz w:val="24"/>
          <w:szCs w:val="24"/>
          <w:lang w:val="en-US"/>
          <w14:ligatures w14:val="none"/>
        </w:rPr>
        <w:t xml:space="preserve">) in the nutrition of African catfish—A cholesterol reducer and fertility enhancer. </w:t>
      </w:r>
      <w:r w:rsidRPr="000C06A5">
        <w:rPr>
          <w:rFonts w:ascii="Times New Roman" w:eastAsia="Times New Roman" w:hAnsi="Times New Roman" w:cs="Times New Roman"/>
          <w:i/>
          <w:iCs/>
          <w:kern w:val="0"/>
          <w:sz w:val="24"/>
          <w:szCs w:val="24"/>
          <w:lang w:val="en-US"/>
          <w14:ligatures w14:val="none"/>
        </w:rPr>
        <w:t>International Journal of Aquaculture and Fishery Sciences, 6</w:t>
      </w:r>
      <w:r w:rsidRPr="000C06A5">
        <w:rPr>
          <w:rFonts w:ascii="Times New Roman" w:eastAsia="Times New Roman" w:hAnsi="Times New Roman" w:cs="Times New Roman"/>
          <w:kern w:val="0"/>
          <w:sz w:val="24"/>
          <w:szCs w:val="24"/>
          <w:lang w:val="en-US"/>
          <w14:ligatures w14:val="none"/>
        </w:rPr>
        <w:t xml:space="preserve">, 21–28. </w:t>
      </w:r>
      <w:hyperlink r:id="rId40" w:history="1">
        <w:r w:rsidRPr="000C06A5">
          <w:rPr>
            <w:rFonts w:ascii="Times New Roman" w:eastAsia="Times New Roman" w:hAnsi="Times New Roman" w:cs="Times New Roman"/>
            <w:color w:val="0000FF"/>
            <w:kern w:val="0"/>
            <w:sz w:val="24"/>
            <w:szCs w:val="24"/>
            <w:u w:val="single"/>
            <w:lang w:val="en-US"/>
            <w14:ligatures w14:val="none"/>
          </w:rPr>
          <w:t>https://doi.org/10.17352/2455-8400.000052</w:t>
        </w:r>
      </w:hyperlink>
    </w:p>
    <w:p w14:paraId="23AEB6AC" w14:textId="05813B0D"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lastRenderedPageBreak/>
        <w:t xml:space="preserve">Handa, S. S., Khanuja, S. P. S., Longo, G., &amp; Rakesh, D. D. (Eds.). (2008). </w:t>
      </w:r>
      <w:r w:rsidRPr="000C06A5">
        <w:rPr>
          <w:rFonts w:ascii="Times New Roman" w:eastAsia="Times New Roman" w:hAnsi="Times New Roman" w:cs="Times New Roman"/>
          <w:i/>
          <w:iCs/>
          <w:kern w:val="0"/>
          <w:sz w:val="24"/>
          <w:szCs w:val="24"/>
          <w:lang w:val="en-US"/>
          <w14:ligatures w14:val="none"/>
        </w:rPr>
        <w:t>Extraction technologies for medicinal and aromatic plants</w:t>
      </w:r>
      <w:r w:rsidRPr="000C06A5">
        <w:rPr>
          <w:rFonts w:ascii="Times New Roman" w:eastAsia="Times New Roman" w:hAnsi="Times New Roman" w:cs="Times New Roman"/>
          <w:kern w:val="0"/>
          <w:sz w:val="24"/>
          <w:szCs w:val="24"/>
          <w:lang w:val="en-US"/>
          <w14:ligatures w14:val="none"/>
        </w:rPr>
        <w:t xml:space="preserve">. International Centre for Science and High Technology, United Nations Industrial Development Organization. </w:t>
      </w:r>
    </w:p>
    <w:p w14:paraId="00A2AEAB" w14:textId="7F5F062A"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 xml:space="preserve">Syanya, F. J., Mathia, W. M., &amp; Harikrishnan, M. (2023). Current status and trend on the adoption of fish feed additives for sustainable tilapia aquaculture production: A review. </w:t>
      </w:r>
      <w:r w:rsidRPr="000C06A5">
        <w:rPr>
          <w:rFonts w:ascii="Times New Roman" w:eastAsia="Times New Roman" w:hAnsi="Times New Roman" w:cs="Times New Roman"/>
          <w:i/>
          <w:iCs/>
          <w:kern w:val="0"/>
          <w:sz w:val="24"/>
          <w:szCs w:val="24"/>
          <w:lang w:val="en-US"/>
          <w14:ligatures w14:val="none"/>
        </w:rPr>
        <w:t>Asian Journal of Fisheries and Aquatic Research, 22</w:t>
      </w:r>
      <w:r w:rsidRPr="000C06A5">
        <w:rPr>
          <w:rFonts w:ascii="Times New Roman" w:eastAsia="Times New Roman" w:hAnsi="Times New Roman" w:cs="Times New Roman"/>
          <w:kern w:val="0"/>
          <w:sz w:val="24"/>
          <w:szCs w:val="24"/>
          <w:lang w:val="en-US"/>
          <w14:ligatures w14:val="none"/>
        </w:rPr>
        <w:t xml:space="preserve">(3), 10–25. </w:t>
      </w:r>
      <w:hyperlink r:id="rId41" w:history="1">
        <w:r w:rsidRPr="000C06A5">
          <w:rPr>
            <w:rFonts w:ascii="Times New Roman" w:eastAsia="Times New Roman" w:hAnsi="Times New Roman" w:cs="Times New Roman"/>
            <w:color w:val="0000FF"/>
            <w:kern w:val="0"/>
            <w:sz w:val="24"/>
            <w:szCs w:val="24"/>
            <w:u w:val="single"/>
            <w:lang w:val="en-US"/>
            <w14:ligatures w14:val="none"/>
          </w:rPr>
          <w:t>https://doi.org/10.9734/ajfar/2023/v22i3571</w:t>
        </w:r>
      </w:hyperlink>
    </w:p>
    <w:p w14:paraId="7C1382DA" w14:textId="3EC7E80F"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 xml:space="preserve">Tadese, D. A., Song, C., Sun, C., Liu, B., Liu, B., Zhou, Q., Xu, P., Ge, X., Liu, M., Xu, X., Tamiru, M., Zhou, Z., Lakew, A., &amp; Kevin, N. T. (2022). The role of currently used medicinal plants in aquaculture and their action mechanisms: A review. </w:t>
      </w:r>
      <w:r w:rsidRPr="000C06A5">
        <w:rPr>
          <w:rFonts w:ascii="Times New Roman" w:eastAsia="Times New Roman" w:hAnsi="Times New Roman" w:cs="Times New Roman"/>
          <w:i/>
          <w:iCs/>
          <w:kern w:val="0"/>
          <w:sz w:val="24"/>
          <w:szCs w:val="24"/>
          <w:lang w:val="en-US"/>
          <w14:ligatures w14:val="none"/>
        </w:rPr>
        <w:t>Reviews in Aquaculture, 14</w:t>
      </w:r>
      <w:r w:rsidRPr="000C06A5">
        <w:rPr>
          <w:rFonts w:ascii="Times New Roman" w:eastAsia="Times New Roman" w:hAnsi="Times New Roman" w:cs="Times New Roman"/>
          <w:kern w:val="0"/>
          <w:sz w:val="24"/>
          <w:szCs w:val="24"/>
          <w:lang w:val="en-US"/>
          <w14:ligatures w14:val="none"/>
        </w:rPr>
        <w:t xml:space="preserve">(2), 816–847. </w:t>
      </w:r>
      <w:hyperlink r:id="rId42" w:history="1">
        <w:r w:rsidRPr="000C06A5">
          <w:rPr>
            <w:rFonts w:ascii="Times New Roman" w:eastAsia="Times New Roman" w:hAnsi="Times New Roman" w:cs="Times New Roman"/>
            <w:color w:val="0000FF"/>
            <w:kern w:val="0"/>
            <w:sz w:val="24"/>
            <w:szCs w:val="24"/>
            <w:u w:val="single"/>
            <w:lang w:val="en-US"/>
            <w14:ligatures w14:val="none"/>
          </w:rPr>
          <w:t>https://doi.org/10.1111/raq.12626</w:t>
        </w:r>
      </w:hyperlink>
    </w:p>
    <w:p w14:paraId="138FCFE6" w14:textId="412D2A18"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 xml:space="preserve">Tran, N., Chan, C. Y., </w:t>
      </w:r>
      <w:proofErr w:type="spellStart"/>
      <w:r w:rsidRPr="000C06A5">
        <w:rPr>
          <w:rFonts w:ascii="Times New Roman" w:eastAsia="Times New Roman" w:hAnsi="Times New Roman" w:cs="Times New Roman"/>
          <w:kern w:val="0"/>
          <w:sz w:val="24"/>
          <w:szCs w:val="24"/>
          <w:lang w:val="en-US"/>
          <w14:ligatures w14:val="none"/>
        </w:rPr>
        <w:t>Genschick</w:t>
      </w:r>
      <w:proofErr w:type="spellEnd"/>
      <w:r w:rsidRPr="000C06A5">
        <w:rPr>
          <w:rFonts w:ascii="Times New Roman" w:eastAsia="Times New Roman" w:hAnsi="Times New Roman" w:cs="Times New Roman"/>
          <w:kern w:val="0"/>
          <w:sz w:val="24"/>
          <w:szCs w:val="24"/>
          <w:lang w:val="en-US"/>
          <w14:ligatures w14:val="none"/>
        </w:rPr>
        <w:t xml:space="preserve">, S., Phillips, M. J., &amp; </w:t>
      </w:r>
      <w:proofErr w:type="spellStart"/>
      <w:r w:rsidRPr="000C06A5">
        <w:rPr>
          <w:rFonts w:ascii="Times New Roman" w:eastAsia="Times New Roman" w:hAnsi="Times New Roman" w:cs="Times New Roman"/>
          <w:kern w:val="0"/>
          <w:sz w:val="24"/>
          <w:szCs w:val="24"/>
          <w:lang w:val="en-US"/>
          <w14:ligatures w14:val="none"/>
        </w:rPr>
        <w:t>Kefi</w:t>
      </w:r>
      <w:proofErr w:type="spellEnd"/>
      <w:r w:rsidRPr="000C06A5">
        <w:rPr>
          <w:rFonts w:ascii="Times New Roman" w:eastAsia="Times New Roman" w:hAnsi="Times New Roman" w:cs="Times New Roman"/>
          <w:kern w:val="0"/>
          <w:sz w:val="24"/>
          <w:szCs w:val="24"/>
          <w:lang w:val="en-US"/>
          <w14:ligatures w14:val="none"/>
        </w:rPr>
        <w:t xml:space="preserve">, A. S. (2019). Fish supply and demand for food security in Sub-Saharan Africa: An analysis of the Zambian fish sector. </w:t>
      </w:r>
      <w:r w:rsidRPr="000C06A5">
        <w:rPr>
          <w:rFonts w:ascii="Times New Roman" w:eastAsia="Times New Roman" w:hAnsi="Times New Roman" w:cs="Times New Roman"/>
          <w:i/>
          <w:iCs/>
          <w:kern w:val="0"/>
          <w:sz w:val="24"/>
          <w:szCs w:val="24"/>
          <w:lang w:val="en-US"/>
          <w14:ligatures w14:val="none"/>
        </w:rPr>
        <w:t>Marine Policy, 99</w:t>
      </w:r>
      <w:r w:rsidRPr="000C06A5">
        <w:rPr>
          <w:rFonts w:ascii="Times New Roman" w:eastAsia="Times New Roman" w:hAnsi="Times New Roman" w:cs="Times New Roman"/>
          <w:kern w:val="0"/>
          <w:sz w:val="24"/>
          <w:szCs w:val="24"/>
          <w:lang w:val="en-US"/>
          <w14:ligatures w14:val="none"/>
        </w:rPr>
        <w:t xml:space="preserve">, 343–350. </w:t>
      </w:r>
      <w:hyperlink r:id="rId43" w:history="1">
        <w:r w:rsidRPr="000C06A5">
          <w:rPr>
            <w:rFonts w:ascii="Times New Roman" w:eastAsia="Times New Roman" w:hAnsi="Times New Roman" w:cs="Times New Roman"/>
            <w:color w:val="0000FF"/>
            <w:kern w:val="0"/>
            <w:sz w:val="24"/>
            <w:szCs w:val="24"/>
            <w:u w:val="single"/>
            <w:lang w:val="en-US"/>
            <w14:ligatures w14:val="none"/>
          </w:rPr>
          <w:t>https://doi.org/10.1016/j.marpol.2018.11.009</w:t>
        </w:r>
      </w:hyperlink>
    </w:p>
    <w:p w14:paraId="0F275C63" w14:textId="7116A23D"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 xml:space="preserve">Van Doan, H., </w:t>
      </w:r>
      <w:proofErr w:type="spellStart"/>
      <w:r w:rsidRPr="000C06A5">
        <w:rPr>
          <w:rFonts w:ascii="Times New Roman" w:eastAsia="Times New Roman" w:hAnsi="Times New Roman" w:cs="Times New Roman"/>
          <w:kern w:val="0"/>
          <w:sz w:val="24"/>
          <w:szCs w:val="24"/>
          <w:lang w:val="en-US"/>
          <w14:ligatures w14:val="none"/>
        </w:rPr>
        <w:t>Hoseinifar</w:t>
      </w:r>
      <w:proofErr w:type="spellEnd"/>
      <w:r w:rsidRPr="000C06A5">
        <w:rPr>
          <w:rFonts w:ascii="Times New Roman" w:eastAsia="Times New Roman" w:hAnsi="Times New Roman" w:cs="Times New Roman"/>
          <w:kern w:val="0"/>
          <w:sz w:val="24"/>
          <w:szCs w:val="24"/>
          <w:lang w:val="en-US"/>
          <w14:ligatures w14:val="none"/>
        </w:rPr>
        <w:t xml:space="preserve">, S. H., </w:t>
      </w:r>
      <w:proofErr w:type="spellStart"/>
      <w:r w:rsidRPr="000C06A5">
        <w:rPr>
          <w:rFonts w:ascii="Times New Roman" w:eastAsia="Times New Roman" w:hAnsi="Times New Roman" w:cs="Times New Roman"/>
          <w:kern w:val="0"/>
          <w:sz w:val="24"/>
          <w:szCs w:val="24"/>
          <w:lang w:val="en-US"/>
          <w14:ligatures w14:val="none"/>
        </w:rPr>
        <w:t>Sringarm</w:t>
      </w:r>
      <w:proofErr w:type="spellEnd"/>
      <w:r w:rsidRPr="000C06A5">
        <w:rPr>
          <w:rFonts w:ascii="Times New Roman" w:eastAsia="Times New Roman" w:hAnsi="Times New Roman" w:cs="Times New Roman"/>
          <w:kern w:val="0"/>
          <w:sz w:val="24"/>
          <w:szCs w:val="24"/>
          <w:lang w:val="en-US"/>
          <w14:ligatures w14:val="none"/>
        </w:rPr>
        <w:t xml:space="preserve">, K., </w:t>
      </w:r>
      <w:proofErr w:type="spellStart"/>
      <w:r w:rsidRPr="000C06A5">
        <w:rPr>
          <w:rFonts w:ascii="Times New Roman" w:eastAsia="Times New Roman" w:hAnsi="Times New Roman" w:cs="Times New Roman"/>
          <w:kern w:val="0"/>
          <w:sz w:val="24"/>
          <w:szCs w:val="24"/>
          <w:lang w:val="en-US"/>
          <w14:ligatures w14:val="none"/>
        </w:rPr>
        <w:t>Jaturasitha</w:t>
      </w:r>
      <w:proofErr w:type="spellEnd"/>
      <w:r w:rsidRPr="000C06A5">
        <w:rPr>
          <w:rFonts w:ascii="Times New Roman" w:eastAsia="Times New Roman" w:hAnsi="Times New Roman" w:cs="Times New Roman"/>
          <w:kern w:val="0"/>
          <w:sz w:val="24"/>
          <w:szCs w:val="24"/>
          <w:lang w:val="en-US"/>
          <w14:ligatures w14:val="none"/>
        </w:rPr>
        <w:t xml:space="preserve">, S., </w:t>
      </w:r>
      <w:proofErr w:type="spellStart"/>
      <w:r w:rsidRPr="000C06A5">
        <w:rPr>
          <w:rFonts w:ascii="Times New Roman" w:eastAsia="Times New Roman" w:hAnsi="Times New Roman" w:cs="Times New Roman"/>
          <w:kern w:val="0"/>
          <w:sz w:val="24"/>
          <w:szCs w:val="24"/>
          <w:lang w:val="en-US"/>
          <w14:ligatures w14:val="none"/>
        </w:rPr>
        <w:t>Yuangsoi</w:t>
      </w:r>
      <w:proofErr w:type="spellEnd"/>
      <w:r w:rsidRPr="000C06A5">
        <w:rPr>
          <w:rFonts w:ascii="Times New Roman" w:eastAsia="Times New Roman" w:hAnsi="Times New Roman" w:cs="Times New Roman"/>
          <w:kern w:val="0"/>
          <w:sz w:val="24"/>
          <w:szCs w:val="24"/>
          <w:lang w:val="en-US"/>
          <w14:ligatures w14:val="none"/>
        </w:rPr>
        <w:t xml:space="preserve">, B., Dawood, M. A. O., Esteban, M. Á., Ringø, E., &amp; </w:t>
      </w:r>
      <w:proofErr w:type="spellStart"/>
      <w:r w:rsidRPr="000C06A5">
        <w:rPr>
          <w:rFonts w:ascii="Times New Roman" w:eastAsia="Times New Roman" w:hAnsi="Times New Roman" w:cs="Times New Roman"/>
          <w:kern w:val="0"/>
          <w:sz w:val="24"/>
          <w:szCs w:val="24"/>
          <w:lang w:val="en-US"/>
          <w14:ligatures w14:val="none"/>
        </w:rPr>
        <w:t>Faggio</w:t>
      </w:r>
      <w:proofErr w:type="spellEnd"/>
      <w:r w:rsidRPr="000C06A5">
        <w:rPr>
          <w:rFonts w:ascii="Times New Roman" w:eastAsia="Times New Roman" w:hAnsi="Times New Roman" w:cs="Times New Roman"/>
          <w:kern w:val="0"/>
          <w:sz w:val="24"/>
          <w:szCs w:val="24"/>
          <w:lang w:val="en-US"/>
          <w14:ligatures w14:val="none"/>
        </w:rPr>
        <w:t>, C. (2019). Effects of Assam tea extract on growth, skin mucus, serum immunity and disease resistance of Nile tilapia (</w:t>
      </w:r>
      <w:r w:rsidRPr="000C06A5">
        <w:rPr>
          <w:rFonts w:ascii="Times New Roman" w:eastAsia="Times New Roman" w:hAnsi="Times New Roman" w:cs="Times New Roman"/>
          <w:i/>
          <w:iCs/>
          <w:kern w:val="0"/>
          <w:sz w:val="24"/>
          <w:szCs w:val="24"/>
          <w:lang w:val="en-US"/>
          <w14:ligatures w14:val="none"/>
        </w:rPr>
        <w:t>Oreochromis niloticus</w:t>
      </w:r>
      <w:r w:rsidRPr="000C06A5">
        <w:rPr>
          <w:rFonts w:ascii="Times New Roman" w:eastAsia="Times New Roman" w:hAnsi="Times New Roman" w:cs="Times New Roman"/>
          <w:kern w:val="0"/>
          <w:sz w:val="24"/>
          <w:szCs w:val="24"/>
          <w:lang w:val="en-US"/>
          <w14:ligatures w14:val="none"/>
        </w:rPr>
        <w:t xml:space="preserve">) against </w:t>
      </w:r>
      <w:r w:rsidRPr="000C06A5">
        <w:rPr>
          <w:rFonts w:ascii="Times New Roman" w:eastAsia="Times New Roman" w:hAnsi="Times New Roman" w:cs="Times New Roman"/>
          <w:i/>
          <w:iCs/>
          <w:kern w:val="0"/>
          <w:sz w:val="24"/>
          <w:szCs w:val="24"/>
          <w:lang w:val="en-US"/>
          <w14:ligatures w14:val="none"/>
        </w:rPr>
        <w:t>Streptococcus agalactiae</w:t>
      </w:r>
      <w:r w:rsidRPr="000C06A5">
        <w:rPr>
          <w:rFonts w:ascii="Times New Roman" w:eastAsia="Times New Roman" w:hAnsi="Times New Roman" w:cs="Times New Roman"/>
          <w:kern w:val="0"/>
          <w:sz w:val="24"/>
          <w:szCs w:val="24"/>
          <w:lang w:val="en-US"/>
          <w14:ligatures w14:val="none"/>
        </w:rPr>
        <w:t xml:space="preserve">. </w:t>
      </w:r>
      <w:r w:rsidRPr="000C06A5">
        <w:rPr>
          <w:rFonts w:ascii="Times New Roman" w:eastAsia="Times New Roman" w:hAnsi="Times New Roman" w:cs="Times New Roman"/>
          <w:i/>
          <w:iCs/>
          <w:kern w:val="0"/>
          <w:sz w:val="24"/>
          <w:szCs w:val="24"/>
          <w:lang w:val="en-US"/>
          <w14:ligatures w14:val="none"/>
        </w:rPr>
        <w:t>Fish &amp; Shellfish Immunology, 93</w:t>
      </w:r>
      <w:r w:rsidRPr="000C06A5">
        <w:rPr>
          <w:rFonts w:ascii="Times New Roman" w:eastAsia="Times New Roman" w:hAnsi="Times New Roman" w:cs="Times New Roman"/>
          <w:kern w:val="0"/>
          <w:sz w:val="24"/>
          <w:szCs w:val="24"/>
          <w:lang w:val="en-US"/>
          <w14:ligatures w14:val="none"/>
        </w:rPr>
        <w:t xml:space="preserve">, 428–435. </w:t>
      </w:r>
      <w:hyperlink r:id="rId44" w:history="1">
        <w:r w:rsidRPr="000C06A5">
          <w:rPr>
            <w:rFonts w:ascii="Times New Roman" w:eastAsia="Times New Roman" w:hAnsi="Times New Roman" w:cs="Times New Roman"/>
            <w:color w:val="0000FF"/>
            <w:kern w:val="0"/>
            <w:sz w:val="24"/>
            <w:szCs w:val="24"/>
            <w:u w:val="single"/>
            <w:lang w:val="en-US"/>
            <w14:ligatures w14:val="none"/>
          </w:rPr>
          <w:t>https://doi.org/10.1016/j.fsi.2019.07.077</w:t>
        </w:r>
      </w:hyperlink>
    </w:p>
    <w:p w14:paraId="740FED6C" w14:textId="615CEF59" w:rsidR="000C06A5" w:rsidRPr="000C06A5" w:rsidRDefault="000C06A5" w:rsidP="000C06A5">
      <w:pPr>
        <w:spacing w:after="0" w:line="240" w:lineRule="auto"/>
        <w:ind w:left="540" w:hanging="540"/>
        <w:jc w:val="both"/>
        <w:rPr>
          <w:rFonts w:ascii="Times New Roman" w:eastAsia="Times New Roman" w:hAnsi="Times New Roman" w:cs="Times New Roman"/>
          <w:kern w:val="0"/>
          <w:sz w:val="24"/>
          <w:szCs w:val="24"/>
          <w:lang w:val="en-US"/>
          <w14:ligatures w14:val="none"/>
        </w:rPr>
      </w:pPr>
      <w:r w:rsidRPr="000C06A5">
        <w:rPr>
          <w:rFonts w:ascii="Times New Roman" w:eastAsia="Times New Roman" w:hAnsi="Times New Roman" w:cs="Times New Roman"/>
          <w:kern w:val="0"/>
          <w:sz w:val="24"/>
          <w:szCs w:val="24"/>
          <w:lang w:val="en-US"/>
          <w14:ligatures w14:val="none"/>
        </w:rPr>
        <w:t xml:space="preserve">Wahedi, J. A., &amp; David, L. D. (2013). Effect of </w:t>
      </w:r>
      <w:proofErr w:type="spellStart"/>
      <w:r w:rsidRPr="000C06A5">
        <w:rPr>
          <w:rFonts w:ascii="Times New Roman" w:eastAsia="Times New Roman" w:hAnsi="Times New Roman" w:cs="Times New Roman"/>
          <w:i/>
          <w:iCs/>
          <w:kern w:val="0"/>
          <w:sz w:val="24"/>
          <w:szCs w:val="24"/>
          <w:lang w:val="en-US"/>
          <w14:ligatures w14:val="none"/>
        </w:rPr>
        <w:t>Detarium</w:t>
      </w:r>
      <w:proofErr w:type="spellEnd"/>
      <w:r w:rsidRPr="000C06A5">
        <w:rPr>
          <w:rFonts w:ascii="Times New Roman" w:eastAsia="Times New Roman" w:hAnsi="Times New Roman" w:cs="Times New Roman"/>
          <w:i/>
          <w:iCs/>
          <w:kern w:val="0"/>
          <w:sz w:val="24"/>
          <w:szCs w:val="24"/>
          <w:lang w:val="en-US"/>
          <w14:ligatures w14:val="none"/>
        </w:rPr>
        <w:t xml:space="preserve"> </w:t>
      </w:r>
      <w:proofErr w:type="spellStart"/>
      <w:r w:rsidRPr="000C06A5">
        <w:rPr>
          <w:rFonts w:ascii="Times New Roman" w:eastAsia="Times New Roman" w:hAnsi="Times New Roman" w:cs="Times New Roman"/>
          <w:i/>
          <w:iCs/>
          <w:kern w:val="0"/>
          <w:sz w:val="24"/>
          <w:szCs w:val="24"/>
          <w:lang w:val="en-US"/>
          <w14:ligatures w14:val="none"/>
        </w:rPr>
        <w:t>microcarpum</w:t>
      </w:r>
      <w:proofErr w:type="spellEnd"/>
      <w:r w:rsidRPr="000C06A5">
        <w:rPr>
          <w:rFonts w:ascii="Times New Roman" w:eastAsia="Times New Roman" w:hAnsi="Times New Roman" w:cs="Times New Roman"/>
          <w:kern w:val="0"/>
          <w:sz w:val="24"/>
          <w:szCs w:val="24"/>
          <w:lang w:val="en-US"/>
          <w14:ligatures w14:val="none"/>
        </w:rPr>
        <w:t xml:space="preserve"> fruit pulp on the </w:t>
      </w:r>
      <w:proofErr w:type="spellStart"/>
      <w:r w:rsidRPr="000C06A5">
        <w:rPr>
          <w:rFonts w:ascii="Times New Roman" w:eastAsia="Times New Roman" w:hAnsi="Times New Roman" w:cs="Times New Roman"/>
          <w:kern w:val="0"/>
          <w:sz w:val="24"/>
          <w:szCs w:val="24"/>
          <w:lang w:val="en-US"/>
          <w14:ligatures w14:val="none"/>
        </w:rPr>
        <w:t>haematological</w:t>
      </w:r>
      <w:proofErr w:type="spellEnd"/>
      <w:r w:rsidRPr="000C06A5">
        <w:rPr>
          <w:rFonts w:ascii="Times New Roman" w:eastAsia="Times New Roman" w:hAnsi="Times New Roman" w:cs="Times New Roman"/>
          <w:kern w:val="0"/>
          <w:sz w:val="24"/>
          <w:szCs w:val="24"/>
          <w:lang w:val="en-US"/>
          <w14:ligatures w14:val="none"/>
        </w:rPr>
        <w:t xml:space="preserve"> indices of rats in Mubi, Adamawa State, Nigeria. </w:t>
      </w:r>
      <w:r w:rsidRPr="000C06A5">
        <w:rPr>
          <w:rFonts w:ascii="Times New Roman" w:eastAsia="Times New Roman" w:hAnsi="Times New Roman" w:cs="Times New Roman"/>
          <w:i/>
          <w:iCs/>
          <w:kern w:val="0"/>
          <w:sz w:val="24"/>
          <w:szCs w:val="24"/>
          <w:lang w:val="en-US"/>
          <w14:ligatures w14:val="none"/>
        </w:rPr>
        <w:t>Global Journal of Biology, Agriculture &amp; Health Sciences, 2</w:t>
      </w:r>
      <w:r w:rsidRPr="000C06A5">
        <w:rPr>
          <w:rFonts w:ascii="Times New Roman" w:eastAsia="Times New Roman" w:hAnsi="Times New Roman" w:cs="Times New Roman"/>
          <w:kern w:val="0"/>
          <w:sz w:val="24"/>
          <w:szCs w:val="24"/>
          <w:lang w:val="en-US"/>
          <w14:ligatures w14:val="none"/>
        </w:rPr>
        <w:t xml:space="preserve">(3), 76–80. </w:t>
      </w:r>
    </w:p>
    <w:p w14:paraId="07AC2E1F" w14:textId="455708DE" w:rsidR="00D86837" w:rsidRPr="000C06A5" w:rsidRDefault="000C06A5" w:rsidP="000C06A5">
      <w:pPr>
        <w:spacing w:before="240"/>
        <w:ind w:left="540" w:hanging="540"/>
        <w:jc w:val="both"/>
        <w:rPr>
          <w:rFonts w:ascii="Arial" w:hAnsi="Arial" w:cs="Arial"/>
          <w:sz w:val="24"/>
          <w:szCs w:val="24"/>
          <w:lang w:val="en-US"/>
        </w:rPr>
      </w:pPr>
      <w:r w:rsidRPr="000C06A5">
        <w:rPr>
          <w:rFonts w:ascii="Times New Roman" w:eastAsia="Times New Roman" w:hAnsi="Times New Roman" w:cs="Times New Roman"/>
          <w:kern w:val="0"/>
          <w:sz w:val="24"/>
          <w:szCs w:val="24"/>
          <w:lang w:val="en-US"/>
          <w14:ligatures w14:val="none"/>
        </w:rPr>
        <w:t xml:space="preserve">Yaro, A. H., Yusif, B. B., </w:t>
      </w:r>
      <w:proofErr w:type="spellStart"/>
      <w:r w:rsidRPr="000C06A5">
        <w:rPr>
          <w:rFonts w:ascii="Times New Roman" w:eastAsia="Times New Roman" w:hAnsi="Times New Roman" w:cs="Times New Roman"/>
          <w:kern w:val="0"/>
          <w:sz w:val="24"/>
          <w:szCs w:val="24"/>
          <w:lang w:val="en-US"/>
          <w14:ligatures w14:val="none"/>
        </w:rPr>
        <w:t>Mu’azu</w:t>
      </w:r>
      <w:proofErr w:type="spellEnd"/>
      <w:r w:rsidRPr="000C06A5">
        <w:rPr>
          <w:rFonts w:ascii="Times New Roman" w:eastAsia="Times New Roman" w:hAnsi="Times New Roman" w:cs="Times New Roman"/>
          <w:kern w:val="0"/>
          <w:sz w:val="24"/>
          <w:szCs w:val="24"/>
          <w:lang w:val="en-US"/>
          <w14:ligatures w14:val="none"/>
        </w:rPr>
        <w:t xml:space="preserve">, A. B., </w:t>
      </w:r>
      <w:proofErr w:type="spellStart"/>
      <w:r w:rsidRPr="000C06A5">
        <w:rPr>
          <w:rFonts w:ascii="Times New Roman" w:eastAsia="Times New Roman" w:hAnsi="Times New Roman" w:cs="Times New Roman"/>
          <w:kern w:val="0"/>
          <w:sz w:val="24"/>
          <w:szCs w:val="24"/>
          <w:lang w:val="en-US"/>
          <w14:ligatures w14:val="none"/>
        </w:rPr>
        <w:t>Matinja</w:t>
      </w:r>
      <w:proofErr w:type="spellEnd"/>
      <w:r w:rsidRPr="000C06A5">
        <w:rPr>
          <w:rFonts w:ascii="Times New Roman" w:eastAsia="Times New Roman" w:hAnsi="Times New Roman" w:cs="Times New Roman"/>
          <w:kern w:val="0"/>
          <w:sz w:val="24"/>
          <w:szCs w:val="24"/>
          <w:lang w:val="en-US"/>
          <w14:ligatures w14:val="none"/>
        </w:rPr>
        <w:t xml:space="preserve">, A. I., &amp; </w:t>
      </w:r>
      <w:proofErr w:type="spellStart"/>
      <w:r w:rsidRPr="000C06A5">
        <w:rPr>
          <w:rFonts w:ascii="Times New Roman" w:eastAsia="Times New Roman" w:hAnsi="Times New Roman" w:cs="Times New Roman"/>
          <w:kern w:val="0"/>
          <w:sz w:val="24"/>
          <w:szCs w:val="24"/>
          <w:lang w:val="en-US"/>
          <w14:ligatures w14:val="none"/>
        </w:rPr>
        <w:t>Chutiyami</w:t>
      </w:r>
      <w:proofErr w:type="spellEnd"/>
      <w:r w:rsidRPr="000C06A5">
        <w:rPr>
          <w:rFonts w:ascii="Times New Roman" w:eastAsia="Times New Roman" w:hAnsi="Times New Roman" w:cs="Times New Roman"/>
          <w:kern w:val="0"/>
          <w:sz w:val="24"/>
          <w:szCs w:val="24"/>
          <w:lang w:val="en-US"/>
          <w14:ligatures w14:val="none"/>
        </w:rPr>
        <w:t xml:space="preserve">, M. (2017). Anti-inflammatory and analgesic effect of </w:t>
      </w:r>
      <w:proofErr w:type="spellStart"/>
      <w:r w:rsidRPr="000C06A5">
        <w:rPr>
          <w:rFonts w:ascii="Times New Roman" w:eastAsia="Times New Roman" w:hAnsi="Times New Roman" w:cs="Times New Roman"/>
          <w:i/>
          <w:iCs/>
          <w:kern w:val="0"/>
          <w:sz w:val="24"/>
          <w:szCs w:val="24"/>
          <w:lang w:val="en-US"/>
          <w14:ligatures w14:val="none"/>
        </w:rPr>
        <w:t>Detarium</w:t>
      </w:r>
      <w:proofErr w:type="spellEnd"/>
      <w:r w:rsidRPr="000C06A5">
        <w:rPr>
          <w:rFonts w:ascii="Times New Roman" w:eastAsia="Times New Roman" w:hAnsi="Times New Roman" w:cs="Times New Roman"/>
          <w:i/>
          <w:iCs/>
          <w:kern w:val="0"/>
          <w:sz w:val="24"/>
          <w:szCs w:val="24"/>
          <w:lang w:val="en-US"/>
          <w14:ligatures w14:val="none"/>
        </w:rPr>
        <w:t xml:space="preserve"> </w:t>
      </w:r>
      <w:proofErr w:type="spellStart"/>
      <w:r w:rsidRPr="000C06A5">
        <w:rPr>
          <w:rFonts w:ascii="Times New Roman" w:eastAsia="Times New Roman" w:hAnsi="Times New Roman" w:cs="Times New Roman"/>
          <w:i/>
          <w:iCs/>
          <w:kern w:val="0"/>
          <w:sz w:val="24"/>
          <w:szCs w:val="24"/>
          <w:lang w:val="en-US"/>
          <w14:ligatures w14:val="none"/>
        </w:rPr>
        <w:t>microcarpum</w:t>
      </w:r>
      <w:proofErr w:type="spellEnd"/>
      <w:r w:rsidRPr="000C06A5">
        <w:rPr>
          <w:rFonts w:ascii="Times New Roman" w:eastAsia="Times New Roman" w:hAnsi="Times New Roman" w:cs="Times New Roman"/>
          <w:kern w:val="0"/>
          <w:sz w:val="24"/>
          <w:szCs w:val="24"/>
          <w:lang w:val="en-US"/>
          <w14:ligatures w14:val="none"/>
        </w:rPr>
        <w:t xml:space="preserve"> (Guill. and </w:t>
      </w:r>
      <w:proofErr w:type="spellStart"/>
      <w:r w:rsidRPr="000C06A5">
        <w:rPr>
          <w:rFonts w:ascii="Times New Roman" w:eastAsia="Times New Roman" w:hAnsi="Times New Roman" w:cs="Times New Roman"/>
          <w:kern w:val="0"/>
          <w:sz w:val="24"/>
          <w:szCs w:val="24"/>
          <w:lang w:val="en-US"/>
          <w14:ligatures w14:val="none"/>
        </w:rPr>
        <w:t>Perrs</w:t>
      </w:r>
      <w:proofErr w:type="spellEnd"/>
      <w:r w:rsidRPr="000C06A5">
        <w:rPr>
          <w:rFonts w:ascii="Times New Roman" w:eastAsia="Times New Roman" w:hAnsi="Times New Roman" w:cs="Times New Roman"/>
          <w:kern w:val="0"/>
          <w:sz w:val="24"/>
          <w:szCs w:val="24"/>
          <w:lang w:val="en-US"/>
          <w14:ligatures w14:val="none"/>
        </w:rPr>
        <w:t xml:space="preserve">.) stem bark methanol extract in rats and mice. </w:t>
      </w:r>
      <w:r w:rsidRPr="000C06A5">
        <w:rPr>
          <w:rFonts w:ascii="Times New Roman" w:eastAsia="Times New Roman" w:hAnsi="Times New Roman" w:cs="Times New Roman"/>
          <w:i/>
          <w:iCs/>
          <w:kern w:val="0"/>
          <w:sz w:val="24"/>
          <w:szCs w:val="24"/>
          <w:lang w:val="en-US"/>
          <w14:ligatures w14:val="none"/>
        </w:rPr>
        <w:t>International Research Journal of Pharmacy and Medical Sciences, 1</w:t>
      </w:r>
      <w:r w:rsidRPr="000C06A5">
        <w:rPr>
          <w:rFonts w:ascii="Times New Roman" w:eastAsia="Times New Roman" w:hAnsi="Times New Roman" w:cs="Times New Roman"/>
          <w:kern w:val="0"/>
          <w:sz w:val="24"/>
          <w:szCs w:val="24"/>
          <w:lang w:val="en-US"/>
          <w14:ligatures w14:val="none"/>
        </w:rPr>
        <w:t xml:space="preserve">(1), 7–10. </w:t>
      </w:r>
    </w:p>
    <w:sectPr w:rsidR="00D86837" w:rsidRPr="000C06A5" w:rsidSect="00DA27BC">
      <w:headerReference w:type="even" r:id="rId45"/>
      <w:headerReference w:type="default" r:id="rId46"/>
      <w:footerReference w:type="even" r:id="rId47"/>
      <w:footerReference w:type="default" r:id="rId48"/>
      <w:headerReference w:type="first" r:id="rId49"/>
      <w:footerReference w:type="first" r:id="rId5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9A275" w14:textId="77777777" w:rsidR="00804EDD" w:rsidRDefault="00804EDD" w:rsidP="003D0E26">
      <w:pPr>
        <w:spacing w:after="0" w:line="240" w:lineRule="auto"/>
      </w:pPr>
      <w:r>
        <w:separator/>
      </w:r>
    </w:p>
  </w:endnote>
  <w:endnote w:type="continuationSeparator" w:id="0">
    <w:p w14:paraId="44822CF0" w14:textId="77777777" w:rsidR="00804EDD" w:rsidRDefault="00804EDD" w:rsidP="003D0E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URWPalladioL-Roma">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603D1" w14:textId="77777777" w:rsidR="00DA27BC" w:rsidRDefault="00DA27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08915" w14:textId="77777777" w:rsidR="00DA27BC" w:rsidRDefault="00DA27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DE55" w14:textId="77777777" w:rsidR="00DA27BC" w:rsidRDefault="00DA27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E09EF" w14:textId="77777777" w:rsidR="00804EDD" w:rsidRDefault="00804EDD" w:rsidP="003D0E26">
      <w:pPr>
        <w:spacing w:after="0" w:line="240" w:lineRule="auto"/>
      </w:pPr>
      <w:r>
        <w:separator/>
      </w:r>
    </w:p>
  </w:footnote>
  <w:footnote w:type="continuationSeparator" w:id="0">
    <w:p w14:paraId="3445EEC8" w14:textId="77777777" w:rsidR="00804EDD" w:rsidRDefault="00804EDD" w:rsidP="003D0E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18A92" w14:textId="77777777" w:rsidR="00DA27BC" w:rsidRDefault="00000000">
    <w:pPr>
      <w:pStyle w:val="Header"/>
    </w:pPr>
    <w:r>
      <w:rPr>
        <w:noProof/>
      </w:rPr>
      <w:pict w14:anchorId="7B017D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481016"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B3F59" w14:textId="77777777" w:rsidR="00DA27BC" w:rsidRDefault="00000000">
    <w:pPr>
      <w:pStyle w:val="Header"/>
    </w:pPr>
    <w:r>
      <w:rPr>
        <w:noProof/>
      </w:rPr>
      <w:pict w14:anchorId="30D3BB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481017"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1F7E7" w14:textId="77777777" w:rsidR="00DA27BC" w:rsidRDefault="00000000">
    <w:pPr>
      <w:pStyle w:val="Header"/>
    </w:pPr>
    <w:r>
      <w:rPr>
        <w:noProof/>
      </w:rPr>
      <w:pict w14:anchorId="59AE11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481015"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0724F"/>
    <w:multiLevelType w:val="hybridMultilevel"/>
    <w:tmpl w:val="C3D2D5D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7110D4"/>
    <w:multiLevelType w:val="hybridMultilevel"/>
    <w:tmpl w:val="C14AA824"/>
    <w:lvl w:ilvl="0" w:tplc="F40650BC">
      <w:start w:val="300"/>
      <w:numFmt w:val="decimal"/>
      <w:lvlText w:val="%1"/>
      <w:lvlJc w:val="left"/>
      <w:pPr>
        <w:ind w:left="765" w:hanging="405"/>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0F801BC"/>
    <w:multiLevelType w:val="multilevel"/>
    <w:tmpl w:val="7B0C0BC0"/>
    <w:lvl w:ilvl="0">
      <w:start w:val="1"/>
      <w:numFmt w:val="decimal"/>
      <w:lvlText w:val="%1."/>
      <w:lvlJc w:val="left"/>
      <w:pPr>
        <w:ind w:left="502" w:hanging="360"/>
      </w:pPr>
    </w:lvl>
    <w:lvl w:ilvl="1">
      <w:start w:val="1"/>
      <w:numFmt w:val="decimal"/>
      <w:isLgl/>
      <w:lvlText w:val="%1.%2."/>
      <w:lvlJc w:val="left"/>
      <w:pPr>
        <w:ind w:left="927"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3" w15:restartNumberingAfterBreak="0">
    <w:nsid w:val="2D3220C7"/>
    <w:multiLevelType w:val="multilevel"/>
    <w:tmpl w:val="7B0C0BC0"/>
    <w:lvl w:ilvl="0">
      <w:start w:val="1"/>
      <w:numFmt w:val="decimal"/>
      <w:lvlText w:val="%1."/>
      <w:lvlJc w:val="left"/>
      <w:pPr>
        <w:ind w:left="502" w:hanging="360"/>
      </w:pPr>
    </w:lvl>
    <w:lvl w:ilvl="1">
      <w:start w:val="1"/>
      <w:numFmt w:val="decimal"/>
      <w:isLgl/>
      <w:lvlText w:val="%1.%2."/>
      <w:lvlJc w:val="left"/>
      <w:pPr>
        <w:ind w:left="927"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4" w15:restartNumberingAfterBreak="0">
    <w:nsid w:val="3B94586E"/>
    <w:multiLevelType w:val="multilevel"/>
    <w:tmpl w:val="91D0557C"/>
    <w:lvl w:ilvl="0">
      <w:start w:val="2"/>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21977A7"/>
    <w:multiLevelType w:val="multilevel"/>
    <w:tmpl w:val="3A54173A"/>
    <w:lvl w:ilvl="0">
      <w:start w:val="3"/>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9AA4169"/>
    <w:multiLevelType w:val="hybridMultilevel"/>
    <w:tmpl w:val="28140D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095C10"/>
    <w:multiLevelType w:val="multilevel"/>
    <w:tmpl w:val="7B0C0BC0"/>
    <w:lvl w:ilvl="0">
      <w:start w:val="1"/>
      <w:numFmt w:val="decimal"/>
      <w:lvlText w:val="%1."/>
      <w:lvlJc w:val="left"/>
      <w:pPr>
        <w:ind w:left="502" w:hanging="360"/>
      </w:pPr>
    </w:lvl>
    <w:lvl w:ilvl="1">
      <w:start w:val="1"/>
      <w:numFmt w:val="decimal"/>
      <w:isLgl/>
      <w:lvlText w:val="%1.%2."/>
      <w:lvlJc w:val="left"/>
      <w:pPr>
        <w:ind w:left="927"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8" w15:restartNumberingAfterBreak="0">
    <w:nsid w:val="61B35F64"/>
    <w:multiLevelType w:val="multilevel"/>
    <w:tmpl w:val="7B0C0BC0"/>
    <w:lvl w:ilvl="0">
      <w:start w:val="1"/>
      <w:numFmt w:val="decimal"/>
      <w:lvlText w:val="%1."/>
      <w:lvlJc w:val="left"/>
      <w:pPr>
        <w:ind w:left="502" w:hanging="360"/>
      </w:pPr>
    </w:lvl>
    <w:lvl w:ilvl="1">
      <w:start w:val="1"/>
      <w:numFmt w:val="decimal"/>
      <w:isLgl/>
      <w:lvlText w:val="%1.%2."/>
      <w:lvlJc w:val="left"/>
      <w:pPr>
        <w:ind w:left="927"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9" w15:restartNumberingAfterBreak="0">
    <w:nsid w:val="6361469D"/>
    <w:multiLevelType w:val="hybridMultilevel"/>
    <w:tmpl w:val="8FAA134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634137343">
    <w:abstractNumId w:val="3"/>
  </w:num>
  <w:num w:numId="2" w16cid:durableId="2029326020">
    <w:abstractNumId w:val="7"/>
  </w:num>
  <w:num w:numId="3" w16cid:durableId="1353262054">
    <w:abstractNumId w:val="2"/>
  </w:num>
  <w:num w:numId="4" w16cid:durableId="267809263">
    <w:abstractNumId w:val="8"/>
  </w:num>
  <w:num w:numId="5" w16cid:durableId="1348946042">
    <w:abstractNumId w:val="9"/>
  </w:num>
  <w:num w:numId="6" w16cid:durableId="335613809">
    <w:abstractNumId w:val="4"/>
  </w:num>
  <w:num w:numId="7" w16cid:durableId="395206150">
    <w:abstractNumId w:val="1"/>
  </w:num>
  <w:num w:numId="8" w16cid:durableId="203712416">
    <w:abstractNumId w:val="5"/>
  </w:num>
  <w:num w:numId="9" w16cid:durableId="2024893458">
    <w:abstractNumId w:val="6"/>
  </w:num>
  <w:num w:numId="10" w16cid:durableId="81776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268"/>
    <w:rsid w:val="00002CBC"/>
    <w:rsid w:val="00003CC3"/>
    <w:rsid w:val="00004FBA"/>
    <w:rsid w:val="00005EBD"/>
    <w:rsid w:val="00012165"/>
    <w:rsid w:val="000122F9"/>
    <w:rsid w:val="0001345F"/>
    <w:rsid w:val="00014F4C"/>
    <w:rsid w:val="000155CE"/>
    <w:rsid w:val="00015B2D"/>
    <w:rsid w:val="0001630B"/>
    <w:rsid w:val="000214E2"/>
    <w:rsid w:val="0002482B"/>
    <w:rsid w:val="00032A25"/>
    <w:rsid w:val="00034BCA"/>
    <w:rsid w:val="00035E42"/>
    <w:rsid w:val="0003760D"/>
    <w:rsid w:val="0004168A"/>
    <w:rsid w:val="00043E6C"/>
    <w:rsid w:val="00047D40"/>
    <w:rsid w:val="00047D65"/>
    <w:rsid w:val="00057AB9"/>
    <w:rsid w:val="00061882"/>
    <w:rsid w:val="00061B5D"/>
    <w:rsid w:val="00061F2A"/>
    <w:rsid w:val="00066583"/>
    <w:rsid w:val="000713F0"/>
    <w:rsid w:val="00071A16"/>
    <w:rsid w:val="00072236"/>
    <w:rsid w:val="00075CC7"/>
    <w:rsid w:val="000831DA"/>
    <w:rsid w:val="00085350"/>
    <w:rsid w:val="00086AD1"/>
    <w:rsid w:val="000919F1"/>
    <w:rsid w:val="00094F45"/>
    <w:rsid w:val="0009619B"/>
    <w:rsid w:val="000964FB"/>
    <w:rsid w:val="0009755C"/>
    <w:rsid w:val="000A0A9D"/>
    <w:rsid w:val="000A1695"/>
    <w:rsid w:val="000A2B69"/>
    <w:rsid w:val="000A34DE"/>
    <w:rsid w:val="000B1B66"/>
    <w:rsid w:val="000C06A5"/>
    <w:rsid w:val="000C2A44"/>
    <w:rsid w:val="000C2D0D"/>
    <w:rsid w:val="000D0E7C"/>
    <w:rsid w:val="000D41CB"/>
    <w:rsid w:val="000E3617"/>
    <w:rsid w:val="000E5460"/>
    <w:rsid w:val="000F63E0"/>
    <w:rsid w:val="000F7BDC"/>
    <w:rsid w:val="0010099A"/>
    <w:rsid w:val="00101F3C"/>
    <w:rsid w:val="0010258E"/>
    <w:rsid w:val="001026EA"/>
    <w:rsid w:val="00102D96"/>
    <w:rsid w:val="00105D20"/>
    <w:rsid w:val="00106841"/>
    <w:rsid w:val="00111099"/>
    <w:rsid w:val="00122F81"/>
    <w:rsid w:val="001322F2"/>
    <w:rsid w:val="0013321D"/>
    <w:rsid w:val="0013445B"/>
    <w:rsid w:val="001347F6"/>
    <w:rsid w:val="00136A93"/>
    <w:rsid w:val="00137923"/>
    <w:rsid w:val="00140F33"/>
    <w:rsid w:val="00147646"/>
    <w:rsid w:val="0014792D"/>
    <w:rsid w:val="001521F4"/>
    <w:rsid w:val="00154457"/>
    <w:rsid w:val="00155489"/>
    <w:rsid w:val="00157455"/>
    <w:rsid w:val="00157A7E"/>
    <w:rsid w:val="00157C6A"/>
    <w:rsid w:val="00162672"/>
    <w:rsid w:val="00165045"/>
    <w:rsid w:val="00174017"/>
    <w:rsid w:val="001805F5"/>
    <w:rsid w:val="00186D80"/>
    <w:rsid w:val="00190BD4"/>
    <w:rsid w:val="0019116F"/>
    <w:rsid w:val="00192CD0"/>
    <w:rsid w:val="00194116"/>
    <w:rsid w:val="00195AAD"/>
    <w:rsid w:val="00195BD4"/>
    <w:rsid w:val="001A4240"/>
    <w:rsid w:val="001C3780"/>
    <w:rsid w:val="001C438A"/>
    <w:rsid w:val="001D168F"/>
    <w:rsid w:val="001D1F0A"/>
    <w:rsid w:val="001D6235"/>
    <w:rsid w:val="001E1D10"/>
    <w:rsid w:val="001E4750"/>
    <w:rsid w:val="001F1254"/>
    <w:rsid w:val="001F4E60"/>
    <w:rsid w:val="001F5737"/>
    <w:rsid w:val="00211206"/>
    <w:rsid w:val="002209C7"/>
    <w:rsid w:val="00221683"/>
    <w:rsid w:val="0022352F"/>
    <w:rsid w:val="002240C6"/>
    <w:rsid w:val="00226122"/>
    <w:rsid w:val="00231431"/>
    <w:rsid w:val="002323AC"/>
    <w:rsid w:val="00236470"/>
    <w:rsid w:val="00243C12"/>
    <w:rsid w:val="00245000"/>
    <w:rsid w:val="002464DB"/>
    <w:rsid w:val="002504AB"/>
    <w:rsid w:val="002532B0"/>
    <w:rsid w:val="00261ECA"/>
    <w:rsid w:val="002746F0"/>
    <w:rsid w:val="00282CA9"/>
    <w:rsid w:val="00284A4C"/>
    <w:rsid w:val="00292918"/>
    <w:rsid w:val="00292D60"/>
    <w:rsid w:val="002A3A01"/>
    <w:rsid w:val="002A62F0"/>
    <w:rsid w:val="002B630A"/>
    <w:rsid w:val="002B69D1"/>
    <w:rsid w:val="002C23B0"/>
    <w:rsid w:val="002C3173"/>
    <w:rsid w:val="002C66CE"/>
    <w:rsid w:val="002D657E"/>
    <w:rsid w:val="002E066C"/>
    <w:rsid w:val="002E2505"/>
    <w:rsid w:val="002F0459"/>
    <w:rsid w:val="002F52B7"/>
    <w:rsid w:val="002F5E33"/>
    <w:rsid w:val="00303F21"/>
    <w:rsid w:val="00305E79"/>
    <w:rsid w:val="00306B6A"/>
    <w:rsid w:val="003148EF"/>
    <w:rsid w:val="003149AB"/>
    <w:rsid w:val="00315D54"/>
    <w:rsid w:val="00322D58"/>
    <w:rsid w:val="00326AA4"/>
    <w:rsid w:val="00326C00"/>
    <w:rsid w:val="00334706"/>
    <w:rsid w:val="00334861"/>
    <w:rsid w:val="0033526E"/>
    <w:rsid w:val="003421AB"/>
    <w:rsid w:val="0034343E"/>
    <w:rsid w:val="0034551B"/>
    <w:rsid w:val="0034609C"/>
    <w:rsid w:val="00352B39"/>
    <w:rsid w:val="00356086"/>
    <w:rsid w:val="00356DFF"/>
    <w:rsid w:val="0036188E"/>
    <w:rsid w:val="00361B46"/>
    <w:rsid w:val="003645EF"/>
    <w:rsid w:val="0037087A"/>
    <w:rsid w:val="00374D75"/>
    <w:rsid w:val="00375638"/>
    <w:rsid w:val="00397116"/>
    <w:rsid w:val="003A15CE"/>
    <w:rsid w:val="003A225F"/>
    <w:rsid w:val="003A3B81"/>
    <w:rsid w:val="003B1AB7"/>
    <w:rsid w:val="003B2B63"/>
    <w:rsid w:val="003C1E0D"/>
    <w:rsid w:val="003C2EED"/>
    <w:rsid w:val="003C60B2"/>
    <w:rsid w:val="003D0E26"/>
    <w:rsid w:val="003D1D20"/>
    <w:rsid w:val="003D1F11"/>
    <w:rsid w:val="003D2CD8"/>
    <w:rsid w:val="003D5BF3"/>
    <w:rsid w:val="003E1FCA"/>
    <w:rsid w:val="003E274A"/>
    <w:rsid w:val="003F6DA1"/>
    <w:rsid w:val="003F7349"/>
    <w:rsid w:val="00400748"/>
    <w:rsid w:val="00400E73"/>
    <w:rsid w:val="00404046"/>
    <w:rsid w:val="00414656"/>
    <w:rsid w:val="004254A5"/>
    <w:rsid w:val="00426872"/>
    <w:rsid w:val="00440F32"/>
    <w:rsid w:val="004411DE"/>
    <w:rsid w:val="00442A7C"/>
    <w:rsid w:val="00452AA4"/>
    <w:rsid w:val="00453604"/>
    <w:rsid w:val="0045484E"/>
    <w:rsid w:val="00456A80"/>
    <w:rsid w:val="00467972"/>
    <w:rsid w:val="004705D9"/>
    <w:rsid w:val="00474483"/>
    <w:rsid w:val="004747FC"/>
    <w:rsid w:val="00475558"/>
    <w:rsid w:val="00480CF1"/>
    <w:rsid w:val="00481750"/>
    <w:rsid w:val="0048252D"/>
    <w:rsid w:val="00482844"/>
    <w:rsid w:val="0048452C"/>
    <w:rsid w:val="00490B06"/>
    <w:rsid w:val="00495F50"/>
    <w:rsid w:val="004A2969"/>
    <w:rsid w:val="004A5488"/>
    <w:rsid w:val="004B0C3F"/>
    <w:rsid w:val="004B1CAB"/>
    <w:rsid w:val="004B72DE"/>
    <w:rsid w:val="004C4C98"/>
    <w:rsid w:val="004D1E94"/>
    <w:rsid w:val="004D46EF"/>
    <w:rsid w:val="004D479A"/>
    <w:rsid w:val="004D6AE2"/>
    <w:rsid w:val="004E0B7C"/>
    <w:rsid w:val="004E1E6E"/>
    <w:rsid w:val="004E2322"/>
    <w:rsid w:val="004E6002"/>
    <w:rsid w:val="004E6BDB"/>
    <w:rsid w:val="004E7B15"/>
    <w:rsid w:val="004F1B9B"/>
    <w:rsid w:val="004F2A62"/>
    <w:rsid w:val="00502A58"/>
    <w:rsid w:val="00502A5B"/>
    <w:rsid w:val="0050350F"/>
    <w:rsid w:val="00504A80"/>
    <w:rsid w:val="005078D9"/>
    <w:rsid w:val="00513623"/>
    <w:rsid w:val="00517E0F"/>
    <w:rsid w:val="00520A8D"/>
    <w:rsid w:val="00530736"/>
    <w:rsid w:val="00533381"/>
    <w:rsid w:val="00536E9E"/>
    <w:rsid w:val="00541203"/>
    <w:rsid w:val="005438B5"/>
    <w:rsid w:val="00545C77"/>
    <w:rsid w:val="005471F7"/>
    <w:rsid w:val="00550F4B"/>
    <w:rsid w:val="0056789D"/>
    <w:rsid w:val="00570171"/>
    <w:rsid w:val="0057269A"/>
    <w:rsid w:val="005744E3"/>
    <w:rsid w:val="00576F58"/>
    <w:rsid w:val="00580A22"/>
    <w:rsid w:val="005861C4"/>
    <w:rsid w:val="00590707"/>
    <w:rsid w:val="00592FCA"/>
    <w:rsid w:val="005944D9"/>
    <w:rsid w:val="00596511"/>
    <w:rsid w:val="005971FE"/>
    <w:rsid w:val="00597FD8"/>
    <w:rsid w:val="005A19EE"/>
    <w:rsid w:val="005A4028"/>
    <w:rsid w:val="005A4667"/>
    <w:rsid w:val="005B6088"/>
    <w:rsid w:val="005B75BD"/>
    <w:rsid w:val="005C0517"/>
    <w:rsid w:val="005C28BF"/>
    <w:rsid w:val="005C3983"/>
    <w:rsid w:val="005C4688"/>
    <w:rsid w:val="005C5F1A"/>
    <w:rsid w:val="005E2470"/>
    <w:rsid w:val="005E520A"/>
    <w:rsid w:val="005E57A3"/>
    <w:rsid w:val="005F01D0"/>
    <w:rsid w:val="005F0A68"/>
    <w:rsid w:val="005F1356"/>
    <w:rsid w:val="005F2C1D"/>
    <w:rsid w:val="005F39B4"/>
    <w:rsid w:val="005F67B0"/>
    <w:rsid w:val="005F75F7"/>
    <w:rsid w:val="00601122"/>
    <w:rsid w:val="00603B62"/>
    <w:rsid w:val="006100E6"/>
    <w:rsid w:val="006138A8"/>
    <w:rsid w:val="00613D92"/>
    <w:rsid w:val="00613DD7"/>
    <w:rsid w:val="006332C5"/>
    <w:rsid w:val="006363C0"/>
    <w:rsid w:val="0063678D"/>
    <w:rsid w:val="0064343F"/>
    <w:rsid w:val="006465F5"/>
    <w:rsid w:val="00646F5C"/>
    <w:rsid w:val="00652299"/>
    <w:rsid w:val="00654890"/>
    <w:rsid w:val="00660E78"/>
    <w:rsid w:val="006647AC"/>
    <w:rsid w:val="00673D20"/>
    <w:rsid w:val="00675892"/>
    <w:rsid w:val="00682712"/>
    <w:rsid w:val="00685944"/>
    <w:rsid w:val="00687632"/>
    <w:rsid w:val="00695B0C"/>
    <w:rsid w:val="006971AC"/>
    <w:rsid w:val="006A368F"/>
    <w:rsid w:val="006A7175"/>
    <w:rsid w:val="006A72CD"/>
    <w:rsid w:val="006C3D4B"/>
    <w:rsid w:val="006C681C"/>
    <w:rsid w:val="006C6E0A"/>
    <w:rsid w:val="006D002F"/>
    <w:rsid w:val="006D7D58"/>
    <w:rsid w:val="006E0343"/>
    <w:rsid w:val="006E1FF7"/>
    <w:rsid w:val="006E31EE"/>
    <w:rsid w:val="006F1B7A"/>
    <w:rsid w:val="006F3167"/>
    <w:rsid w:val="006F3CB0"/>
    <w:rsid w:val="006F64A4"/>
    <w:rsid w:val="006F6E96"/>
    <w:rsid w:val="006F73D4"/>
    <w:rsid w:val="006F78F1"/>
    <w:rsid w:val="007020C8"/>
    <w:rsid w:val="007025FE"/>
    <w:rsid w:val="00702A5D"/>
    <w:rsid w:val="00702B7E"/>
    <w:rsid w:val="007105AF"/>
    <w:rsid w:val="0071454B"/>
    <w:rsid w:val="00715169"/>
    <w:rsid w:val="0071758A"/>
    <w:rsid w:val="00720390"/>
    <w:rsid w:val="00720DD5"/>
    <w:rsid w:val="007224CB"/>
    <w:rsid w:val="00722A15"/>
    <w:rsid w:val="007235C4"/>
    <w:rsid w:val="00727F38"/>
    <w:rsid w:val="00734A56"/>
    <w:rsid w:val="0076587B"/>
    <w:rsid w:val="00772D8B"/>
    <w:rsid w:val="00773AF1"/>
    <w:rsid w:val="007741C2"/>
    <w:rsid w:val="00780563"/>
    <w:rsid w:val="00782422"/>
    <w:rsid w:val="00783396"/>
    <w:rsid w:val="00784622"/>
    <w:rsid w:val="007852EC"/>
    <w:rsid w:val="00792575"/>
    <w:rsid w:val="00792827"/>
    <w:rsid w:val="0079779F"/>
    <w:rsid w:val="00797CA2"/>
    <w:rsid w:val="007A021D"/>
    <w:rsid w:val="007A160C"/>
    <w:rsid w:val="007A1AA0"/>
    <w:rsid w:val="007A355B"/>
    <w:rsid w:val="007B1217"/>
    <w:rsid w:val="007B3DA9"/>
    <w:rsid w:val="007B457E"/>
    <w:rsid w:val="007B5299"/>
    <w:rsid w:val="007C6554"/>
    <w:rsid w:val="007C6C29"/>
    <w:rsid w:val="007D43D2"/>
    <w:rsid w:val="007E0C3A"/>
    <w:rsid w:val="007E3805"/>
    <w:rsid w:val="007E765B"/>
    <w:rsid w:val="007F34F1"/>
    <w:rsid w:val="007F3933"/>
    <w:rsid w:val="007F6052"/>
    <w:rsid w:val="0080134F"/>
    <w:rsid w:val="008022CC"/>
    <w:rsid w:val="00804EDD"/>
    <w:rsid w:val="00805454"/>
    <w:rsid w:val="008054D8"/>
    <w:rsid w:val="0081133B"/>
    <w:rsid w:val="00815A9E"/>
    <w:rsid w:val="00816833"/>
    <w:rsid w:val="00817320"/>
    <w:rsid w:val="00822935"/>
    <w:rsid w:val="00822B1F"/>
    <w:rsid w:val="0082563A"/>
    <w:rsid w:val="00826064"/>
    <w:rsid w:val="00832CA8"/>
    <w:rsid w:val="00834A06"/>
    <w:rsid w:val="00840E20"/>
    <w:rsid w:val="0084253E"/>
    <w:rsid w:val="00853CA0"/>
    <w:rsid w:val="00854422"/>
    <w:rsid w:val="00857268"/>
    <w:rsid w:val="0086476A"/>
    <w:rsid w:val="008675EB"/>
    <w:rsid w:val="008704DE"/>
    <w:rsid w:val="00871979"/>
    <w:rsid w:val="00873BBA"/>
    <w:rsid w:val="00874C12"/>
    <w:rsid w:val="00875878"/>
    <w:rsid w:val="008758DB"/>
    <w:rsid w:val="00875E2C"/>
    <w:rsid w:val="00876606"/>
    <w:rsid w:val="00884008"/>
    <w:rsid w:val="00887E1D"/>
    <w:rsid w:val="00891829"/>
    <w:rsid w:val="0089222C"/>
    <w:rsid w:val="008A005A"/>
    <w:rsid w:val="008A1BAD"/>
    <w:rsid w:val="008B14BB"/>
    <w:rsid w:val="008B229A"/>
    <w:rsid w:val="008B3F4C"/>
    <w:rsid w:val="008C5BF8"/>
    <w:rsid w:val="008D087C"/>
    <w:rsid w:val="008D28FB"/>
    <w:rsid w:val="008D4E11"/>
    <w:rsid w:val="008E4445"/>
    <w:rsid w:val="008E54AC"/>
    <w:rsid w:val="008E641F"/>
    <w:rsid w:val="008E7D20"/>
    <w:rsid w:val="00905D75"/>
    <w:rsid w:val="00912C1A"/>
    <w:rsid w:val="0091545C"/>
    <w:rsid w:val="00920229"/>
    <w:rsid w:val="00922AF2"/>
    <w:rsid w:val="00922EEA"/>
    <w:rsid w:val="00923E51"/>
    <w:rsid w:val="0093753B"/>
    <w:rsid w:val="0093791F"/>
    <w:rsid w:val="0094262C"/>
    <w:rsid w:val="009440F0"/>
    <w:rsid w:val="00945D6F"/>
    <w:rsid w:val="0095270C"/>
    <w:rsid w:val="009540A0"/>
    <w:rsid w:val="009636D7"/>
    <w:rsid w:val="00966FB7"/>
    <w:rsid w:val="0097304E"/>
    <w:rsid w:val="00975FEC"/>
    <w:rsid w:val="00980951"/>
    <w:rsid w:val="009825E9"/>
    <w:rsid w:val="0098270D"/>
    <w:rsid w:val="0098332C"/>
    <w:rsid w:val="0098339D"/>
    <w:rsid w:val="00993734"/>
    <w:rsid w:val="0099393F"/>
    <w:rsid w:val="00994917"/>
    <w:rsid w:val="00995536"/>
    <w:rsid w:val="009A55C3"/>
    <w:rsid w:val="009A5DCB"/>
    <w:rsid w:val="009A6917"/>
    <w:rsid w:val="009B3369"/>
    <w:rsid w:val="009B5523"/>
    <w:rsid w:val="009B7E94"/>
    <w:rsid w:val="009C046C"/>
    <w:rsid w:val="009C1985"/>
    <w:rsid w:val="009C359A"/>
    <w:rsid w:val="009C5F90"/>
    <w:rsid w:val="009D232E"/>
    <w:rsid w:val="009D6CCD"/>
    <w:rsid w:val="009D761B"/>
    <w:rsid w:val="009E304F"/>
    <w:rsid w:val="009E7F17"/>
    <w:rsid w:val="009F6505"/>
    <w:rsid w:val="009F6600"/>
    <w:rsid w:val="00A0535D"/>
    <w:rsid w:val="00A05C00"/>
    <w:rsid w:val="00A07C8E"/>
    <w:rsid w:val="00A149AE"/>
    <w:rsid w:val="00A159E3"/>
    <w:rsid w:val="00A22295"/>
    <w:rsid w:val="00A22AE7"/>
    <w:rsid w:val="00A2373F"/>
    <w:rsid w:val="00A30A28"/>
    <w:rsid w:val="00A32D2C"/>
    <w:rsid w:val="00A45859"/>
    <w:rsid w:val="00A511EF"/>
    <w:rsid w:val="00A5242B"/>
    <w:rsid w:val="00A537B9"/>
    <w:rsid w:val="00A53ECF"/>
    <w:rsid w:val="00A54D53"/>
    <w:rsid w:val="00A6146C"/>
    <w:rsid w:val="00A627DB"/>
    <w:rsid w:val="00A70FDB"/>
    <w:rsid w:val="00A71266"/>
    <w:rsid w:val="00A71833"/>
    <w:rsid w:val="00A73694"/>
    <w:rsid w:val="00A769B1"/>
    <w:rsid w:val="00A778F3"/>
    <w:rsid w:val="00A90ACD"/>
    <w:rsid w:val="00A926AB"/>
    <w:rsid w:val="00A94D8A"/>
    <w:rsid w:val="00AA1F4D"/>
    <w:rsid w:val="00AA585C"/>
    <w:rsid w:val="00AB0959"/>
    <w:rsid w:val="00AB0A7E"/>
    <w:rsid w:val="00AB1C01"/>
    <w:rsid w:val="00AB20B8"/>
    <w:rsid w:val="00AD32A9"/>
    <w:rsid w:val="00AD5E67"/>
    <w:rsid w:val="00AE32AE"/>
    <w:rsid w:val="00AE3F48"/>
    <w:rsid w:val="00AE6837"/>
    <w:rsid w:val="00AF32AF"/>
    <w:rsid w:val="00AF3561"/>
    <w:rsid w:val="00AF6D52"/>
    <w:rsid w:val="00B016FF"/>
    <w:rsid w:val="00B02B6E"/>
    <w:rsid w:val="00B04688"/>
    <w:rsid w:val="00B06D2C"/>
    <w:rsid w:val="00B12301"/>
    <w:rsid w:val="00B144E1"/>
    <w:rsid w:val="00B15024"/>
    <w:rsid w:val="00B2090F"/>
    <w:rsid w:val="00B21EFA"/>
    <w:rsid w:val="00B22A80"/>
    <w:rsid w:val="00B33BBA"/>
    <w:rsid w:val="00B345B0"/>
    <w:rsid w:val="00B34AEF"/>
    <w:rsid w:val="00B3758A"/>
    <w:rsid w:val="00B37A48"/>
    <w:rsid w:val="00B45D8F"/>
    <w:rsid w:val="00B4648B"/>
    <w:rsid w:val="00B556F6"/>
    <w:rsid w:val="00B55D3D"/>
    <w:rsid w:val="00B57BCB"/>
    <w:rsid w:val="00B64D32"/>
    <w:rsid w:val="00B66422"/>
    <w:rsid w:val="00B723AB"/>
    <w:rsid w:val="00B74745"/>
    <w:rsid w:val="00B751A9"/>
    <w:rsid w:val="00B77BD7"/>
    <w:rsid w:val="00B81486"/>
    <w:rsid w:val="00B908D6"/>
    <w:rsid w:val="00B94C63"/>
    <w:rsid w:val="00BA1317"/>
    <w:rsid w:val="00BA263F"/>
    <w:rsid w:val="00BA2963"/>
    <w:rsid w:val="00BA2C30"/>
    <w:rsid w:val="00BB1A7A"/>
    <w:rsid w:val="00BB304D"/>
    <w:rsid w:val="00BC73DC"/>
    <w:rsid w:val="00BD2065"/>
    <w:rsid w:val="00BD3451"/>
    <w:rsid w:val="00BD5750"/>
    <w:rsid w:val="00BD790E"/>
    <w:rsid w:val="00BF108E"/>
    <w:rsid w:val="00BF6CE7"/>
    <w:rsid w:val="00BF6EA9"/>
    <w:rsid w:val="00C079D0"/>
    <w:rsid w:val="00C079DC"/>
    <w:rsid w:val="00C13BA4"/>
    <w:rsid w:val="00C15280"/>
    <w:rsid w:val="00C15BA4"/>
    <w:rsid w:val="00C1677E"/>
    <w:rsid w:val="00C2150A"/>
    <w:rsid w:val="00C21A28"/>
    <w:rsid w:val="00C21C6C"/>
    <w:rsid w:val="00C22F48"/>
    <w:rsid w:val="00C2355B"/>
    <w:rsid w:val="00C249FE"/>
    <w:rsid w:val="00C24AD8"/>
    <w:rsid w:val="00C308D4"/>
    <w:rsid w:val="00C3111C"/>
    <w:rsid w:val="00C35C46"/>
    <w:rsid w:val="00C36F0C"/>
    <w:rsid w:val="00C424AB"/>
    <w:rsid w:val="00C437E6"/>
    <w:rsid w:val="00C4453E"/>
    <w:rsid w:val="00C47ECA"/>
    <w:rsid w:val="00C50B0C"/>
    <w:rsid w:val="00C53D4A"/>
    <w:rsid w:val="00C62498"/>
    <w:rsid w:val="00C63463"/>
    <w:rsid w:val="00C66993"/>
    <w:rsid w:val="00C730CB"/>
    <w:rsid w:val="00C74F05"/>
    <w:rsid w:val="00C74F60"/>
    <w:rsid w:val="00C74FB2"/>
    <w:rsid w:val="00C812C6"/>
    <w:rsid w:val="00C8251B"/>
    <w:rsid w:val="00C86B6E"/>
    <w:rsid w:val="00C9013B"/>
    <w:rsid w:val="00C929C5"/>
    <w:rsid w:val="00CA2DED"/>
    <w:rsid w:val="00CC0896"/>
    <w:rsid w:val="00CC1229"/>
    <w:rsid w:val="00CC6F14"/>
    <w:rsid w:val="00CD47B2"/>
    <w:rsid w:val="00CD52AA"/>
    <w:rsid w:val="00CD7501"/>
    <w:rsid w:val="00CE0B97"/>
    <w:rsid w:val="00CE0F78"/>
    <w:rsid w:val="00CE2939"/>
    <w:rsid w:val="00CE3E2D"/>
    <w:rsid w:val="00CE588B"/>
    <w:rsid w:val="00CE5C27"/>
    <w:rsid w:val="00CE5D25"/>
    <w:rsid w:val="00CE610A"/>
    <w:rsid w:val="00CE7458"/>
    <w:rsid w:val="00CE77F5"/>
    <w:rsid w:val="00CF0B37"/>
    <w:rsid w:val="00CF5DF9"/>
    <w:rsid w:val="00CF69D7"/>
    <w:rsid w:val="00D00239"/>
    <w:rsid w:val="00D01C11"/>
    <w:rsid w:val="00D02F67"/>
    <w:rsid w:val="00D03F26"/>
    <w:rsid w:val="00D06E2D"/>
    <w:rsid w:val="00D07713"/>
    <w:rsid w:val="00D11156"/>
    <w:rsid w:val="00D26199"/>
    <w:rsid w:val="00D264AC"/>
    <w:rsid w:val="00D26B79"/>
    <w:rsid w:val="00D30ECD"/>
    <w:rsid w:val="00D3318C"/>
    <w:rsid w:val="00D340FC"/>
    <w:rsid w:val="00D430F9"/>
    <w:rsid w:val="00D44480"/>
    <w:rsid w:val="00D472AA"/>
    <w:rsid w:val="00D53E46"/>
    <w:rsid w:val="00D56DA7"/>
    <w:rsid w:val="00D60D3F"/>
    <w:rsid w:val="00D62EA9"/>
    <w:rsid w:val="00D63E11"/>
    <w:rsid w:val="00D677E2"/>
    <w:rsid w:val="00D710E5"/>
    <w:rsid w:val="00D71EB3"/>
    <w:rsid w:val="00D735E3"/>
    <w:rsid w:val="00D75383"/>
    <w:rsid w:val="00D767E3"/>
    <w:rsid w:val="00D77EAA"/>
    <w:rsid w:val="00D8482D"/>
    <w:rsid w:val="00D84D45"/>
    <w:rsid w:val="00D86837"/>
    <w:rsid w:val="00D87F0F"/>
    <w:rsid w:val="00D95E7D"/>
    <w:rsid w:val="00D97359"/>
    <w:rsid w:val="00DA27BC"/>
    <w:rsid w:val="00DA47BC"/>
    <w:rsid w:val="00DA5D64"/>
    <w:rsid w:val="00DB54FA"/>
    <w:rsid w:val="00DD4BBA"/>
    <w:rsid w:val="00DD6A96"/>
    <w:rsid w:val="00DD76D4"/>
    <w:rsid w:val="00DE0662"/>
    <w:rsid w:val="00DE3B17"/>
    <w:rsid w:val="00DF0192"/>
    <w:rsid w:val="00DF0C86"/>
    <w:rsid w:val="00DF1AF1"/>
    <w:rsid w:val="00DF39E3"/>
    <w:rsid w:val="00DF5C99"/>
    <w:rsid w:val="00DF6661"/>
    <w:rsid w:val="00DF6B9E"/>
    <w:rsid w:val="00E04A91"/>
    <w:rsid w:val="00E113EC"/>
    <w:rsid w:val="00E12C25"/>
    <w:rsid w:val="00E15127"/>
    <w:rsid w:val="00E1628C"/>
    <w:rsid w:val="00E172E7"/>
    <w:rsid w:val="00E2273A"/>
    <w:rsid w:val="00E277AF"/>
    <w:rsid w:val="00E30F1C"/>
    <w:rsid w:val="00E3771B"/>
    <w:rsid w:val="00E431DE"/>
    <w:rsid w:val="00E54348"/>
    <w:rsid w:val="00E55367"/>
    <w:rsid w:val="00E5605A"/>
    <w:rsid w:val="00E5642A"/>
    <w:rsid w:val="00E57830"/>
    <w:rsid w:val="00E61526"/>
    <w:rsid w:val="00E67E7B"/>
    <w:rsid w:val="00E72E59"/>
    <w:rsid w:val="00E7382A"/>
    <w:rsid w:val="00E77980"/>
    <w:rsid w:val="00E80DD5"/>
    <w:rsid w:val="00E81341"/>
    <w:rsid w:val="00E82A3B"/>
    <w:rsid w:val="00E8371D"/>
    <w:rsid w:val="00E84F85"/>
    <w:rsid w:val="00E855A5"/>
    <w:rsid w:val="00E93E89"/>
    <w:rsid w:val="00EA37F6"/>
    <w:rsid w:val="00EA70D8"/>
    <w:rsid w:val="00EB0762"/>
    <w:rsid w:val="00EB13DC"/>
    <w:rsid w:val="00EB303F"/>
    <w:rsid w:val="00EB3544"/>
    <w:rsid w:val="00EB3F92"/>
    <w:rsid w:val="00EB506C"/>
    <w:rsid w:val="00EB567B"/>
    <w:rsid w:val="00EB78A1"/>
    <w:rsid w:val="00EC0C8A"/>
    <w:rsid w:val="00EC4D4E"/>
    <w:rsid w:val="00EC6432"/>
    <w:rsid w:val="00ED01E0"/>
    <w:rsid w:val="00ED072D"/>
    <w:rsid w:val="00ED0790"/>
    <w:rsid w:val="00ED1D4C"/>
    <w:rsid w:val="00ED7AB0"/>
    <w:rsid w:val="00EE09E4"/>
    <w:rsid w:val="00EE42F9"/>
    <w:rsid w:val="00EE45EF"/>
    <w:rsid w:val="00EF0853"/>
    <w:rsid w:val="00EF1E42"/>
    <w:rsid w:val="00EF312E"/>
    <w:rsid w:val="00EF645C"/>
    <w:rsid w:val="00EF6E47"/>
    <w:rsid w:val="00F026F2"/>
    <w:rsid w:val="00F0546B"/>
    <w:rsid w:val="00F07172"/>
    <w:rsid w:val="00F11CB0"/>
    <w:rsid w:val="00F120F1"/>
    <w:rsid w:val="00F15001"/>
    <w:rsid w:val="00F15104"/>
    <w:rsid w:val="00F31DAE"/>
    <w:rsid w:val="00F323F8"/>
    <w:rsid w:val="00F32B4D"/>
    <w:rsid w:val="00F341BC"/>
    <w:rsid w:val="00F34305"/>
    <w:rsid w:val="00F40769"/>
    <w:rsid w:val="00F50FDB"/>
    <w:rsid w:val="00F53A82"/>
    <w:rsid w:val="00F543E8"/>
    <w:rsid w:val="00F60829"/>
    <w:rsid w:val="00F6537D"/>
    <w:rsid w:val="00F65BC4"/>
    <w:rsid w:val="00F67106"/>
    <w:rsid w:val="00F676C1"/>
    <w:rsid w:val="00F705EB"/>
    <w:rsid w:val="00F72848"/>
    <w:rsid w:val="00F752EA"/>
    <w:rsid w:val="00F84D00"/>
    <w:rsid w:val="00F934D8"/>
    <w:rsid w:val="00F94CC9"/>
    <w:rsid w:val="00F9500C"/>
    <w:rsid w:val="00FA12C7"/>
    <w:rsid w:val="00FA3A3B"/>
    <w:rsid w:val="00FA44DA"/>
    <w:rsid w:val="00FA7090"/>
    <w:rsid w:val="00FB13D0"/>
    <w:rsid w:val="00FB44A4"/>
    <w:rsid w:val="00FC1ECC"/>
    <w:rsid w:val="00FC2C4A"/>
    <w:rsid w:val="00FC5AD3"/>
    <w:rsid w:val="00FD3D2C"/>
    <w:rsid w:val="00FD4DA6"/>
    <w:rsid w:val="00FE0D39"/>
    <w:rsid w:val="00FE7B0F"/>
    <w:rsid w:val="00FF2C8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DEE64"/>
  <w15:chartTrackingRefBased/>
  <w15:docId w15:val="{F117DDBC-20FC-4B57-9C0B-6045327C9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9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7268"/>
    <w:pPr>
      <w:ind w:left="720"/>
      <w:contextualSpacing/>
    </w:pPr>
  </w:style>
  <w:style w:type="paragraph" w:customStyle="1" w:styleId="Default">
    <w:name w:val="Default"/>
    <w:rsid w:val="00374D75"/>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Hyperlink">
    <w:name w:val="Hyperlink"/>
    <w:basedOn w:val="DefaultParagraphFont"/>
    <w:uiPriority w:val="99"/>
    <w:unhideWhenUsed/>
    <w:rsid w:val="00374D75"/>
    <w:rPr>
      <w:color w:val="0563C1" w:themeColor="hyperlink"/>
      <w:u w:val="single"/>
    </w:rPr>
  </w:style>
  <w:style w:type="character" w:styleId="UnresolvedMention">
    <w:name w:val="Unresolved Mention"/>
    <w:basedOn w:val="DefaultParagraphFont"/>
    <w:uiPriority w:val="99"/>
    <w:semiHidden/>
    <w:unhideWhenUsed/>
    <w:rsid w:val="00374D75"/>
    <w:rPr>
      <w:color w:val="605E5C"/>
      <w:shd w:val="clear" w:color="auto" w:fill="E1DFDD"/>
    </w:rPr>
  </w:style>
  <w:style w:type="character" w:styleId="FollowedHyperlink">
    <w:name w:val="FollowedHyperlink"/>
    <w:basedOn w:val="DefaultParagraphFont"/>
    <w:uiPriority w:val="99"/>
    <w:semiHidden/>
    <w:unhideWhenUsed/>
    <w:rsid w:val="00C9013B"/>
    <w:rPr>
      <w:color w:val="954F72" w:themeColor="followedHyperlink"/>
      <w:u w:val="single"/>
    </w:rPr>
  </w:style>
  <w:style w:type="character" w:customStyle="1" w:styleId="ref-lnk">
    <w:name w:val="ref-lnk"/>
    <w:basedOn w:val="DefaultParagraphFont"/>
    <w:rsid w:val="006F73D4"/>
  </w:style>
  <w:style w:type="character" w:customStyle="1" w:styleId="off-screen">
    <w:name w:val="off-screen"/>
    <w:basedOn w:val="DefaultParagraphFont"/>
    <w:rsid w:val="006F73D4"/>
  </w:style>
  <w:style w:type="character" w:customStyle="1" w:styleId="citationsource-journal">
    <w:name w:val="citation_source-journal"/>
    <w:basedOn w:val="DefaultParagraphFont"/>
    <w:rsid w:val="006F73D4"/>
  </w:style>
  <w:style w:type="character" w:styleId="Emphasis">
    <w:name w:val="Emphasis"/>
    <w:basedOn w:val="DefaultParagraphFont"/>
    <w:uiPriority w:val="20"/>
    <w:qFormat/>
    <w:rsid w:val="006F73D4"/>
    <w:rPr>
      <w:i/>
      <w:iCs/>
    </w:rPr>
  </w:style>
  <w:style w:type="character" w:customStyle="1" w:styleId="anchor-text">
    <w:name w:val="anchor-text"/>
    <w:basedOn w:val="DefaultParagraphFont"/>
    <w:rsid w:val="00BC73DC"/>
  </w:style>
  <w:style w:type="table" w:styleId="TableGrid">
    <w:name w:val="Table Grid"/>
    <w:basedOn w:val="TableNormal"/>
    <w:uiPriority w:val="39"/>
    <w:rsid w:val="00EB35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D0E26"/>
    <w:pPr>
      <w:tabs>
        <w:tab w:val="center" w:pos="4536"/>
        <w:tab w:val="right" w:pos="9072"/>
      </w:tabs>
      <w:spacing w:after="0" w:line="240" w:lineRule="auto"/>
    </w:pPr>
  </w:style>
  <w:style w:type="character" w:customStyle="1" w:styleId="HeaderChar">
    <w:name w:val="Header Char"/>
    <w:basedOn w:val="DefaultParagraphFont"/>
    <w:link w:val="Header"/>
    <w:uiPriority w:val="99"/>
    <w:rsid w:val="003D0E26"/>
  </w:style>
  <w:style w:type="paragraph" w:styleId="Footer">
    <w:name w:val="footer"/>
    <w:basedOn w:val="Normal"/>
    <w:link w:val="FooterChar"/>
    <w:uiPriority w:val="99"/>
    <w:unhideWhenUsed/>
    <w:rsid w:val="003D0E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3D0E26"/>
  </w:style>
  <w:style w:type="table" w:customStyle="1" w:styleId="Table">
    <w:name w:val="Table"/>
    <w:semiHidden/>
    <w:unhideWhenUsed/>
    <w:qFormat/>
    <w:rsid w:val="00570171"/>
    <w:pPr>
      <w:spacing w:after="200" w:line="240" w:lineRule="auto"/>
    </w:pPr>
    <w:rPr>
      <w:kern w:val="0"/>
      <w:sz w:val="24"/>
      <w:szCs w:val="24"/>
      <w:lang w:val="en-US" w:eastAsia="fr-FR"/>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Revision">
    <w:name w:val="Revision"/>
    <w:hidden/>
    <w:uiPriority w:val="99"/>
    <w:semiHidden/>
    <w:rsid w:val="00C249FE"/>
    <w:pPr>
      <w:spacing w:after="0" w:line="240" w:lineRule="auto"/>
    </w:pPr>
  </w:style>
  <w:style w:type="character" w:styleId="CommentReference">
    <w:name w:val="annotation reference"/>
    <w:basedOn w:val="DefaultParagraphFont"/>
    <w:uiPriority w:val="99"/>
    <w:semiHidden/>
    <w:unhideWhenUsed/>
    <w:rsid w:val="00C249FE"/>
    <w:rPr>
      <w:sz w:val="16"/>
      <w:szCs w:val="16"/>
    </w:rPr>
  </w:style>
  <w:style w:type="paragraph" w:styleId="CommentText">
    <w:name w:val="annotation text"/>
    <w:basedOn w:val="Normal"/>
    <w:link w:val="CommentTextChar"/>
    <w:uiPriority w:val="99"/>
    <w:unhideWhenUsed/>
    <w:rsid w:val="00C249FE"/>
    <w:pPr>
      <w:spacing w:line="240" w:lineRule="auto"/>
    </w:pPr>
    <w:rPr>
      <w:sz w:val="20"/>
      <w:szCs w:val="20"/>
    </w:rPr>
  </w:style>
  <w:style w:type="character" w:customStyle="1" w:styleId="CommentTextChar">
    <w:name w:val="Comment Text Char"/>
    <w:basedOn w:val="DefaultParagraphFont"/>
    <w:link w:val="CommentText"/>
    <w:uiPriority w:val="99"/>
    <w:rsid w:val="00C249FE"/>
    <w:rPr>
      <w:sz w:val="20"/>
      <w:szCs w:val="20"/>
    </w:rPr>
  </w:style>
  <w:style w:type="paragraph" w:styleId="CommentSubject">
    <w:name w:val="annotation subject"/>
    <w:basedOn w:val="CommentText"/>
    <w:next w:val="CommentText"/>
    <w:link w:val="CommentSubjectChar"/>
    <w:uiPriority w:val="99"/>
    <w:semiHidden/>
    <w:unhideWhenUsed/>
    <w:rsid w:val="00C249FE"/>
    <w:rPr>
      <w:b/>
      <w:bCs/>
    </w:rPr>
  </w:style>
  <w:style w:type="character" w:customStyle="1" w:styleId="CommentSubjectChar">
    <w:name w:val="Comment Subject Char"/>
    <w:basedOn w:val="CommentTextChar"/>
    <w:link w:val="CommentSubject"/>
    <w:uiPriority w:val="99"/>
    <w:semiHidden/>
    <w:rsid w:val="00C249FE"/>
    <w:rPr>
      <w:b/>
      <w:bCs/>
      <w:sz w:val="20"/>
      <w:szCs w:val="20"/>
    </w:rPr>
  </w:style>
  <w:style w:type="paragraph" w:customStyle="1" w:styleId="ReferHead">
    <w:name w:val="Refer Head"/>
    <w:basedOn w:val="Normal"/>
    <w:rsid w:val="00871979"/>
    <w:pPr>
      <w:keepNext/>
      <w:spacing w:after="240" w:line="240" w:lineRule="auto"/>
    </w:pPr>
    <w:rPr>
      <w:rFonts w:ascii="Helvetica" w:eastAsia="Times New Roman" w:hAnsi="Helvetica" w:cs="Times New Roman"/>
      <w:b/>
      <w:caps/>
      <w:kern w:val="0"/>
      <w:szCs w:val="20"/>
      <w:lang w:val="en-US"/>
      <w14:ligatures w14:val="none"/>
    </w:rPr>
  </w:style>
  <w:style w:type="character" w:styleId="LineNumber">
    <w:name w:val="line number"/>
    <w:basedOn w:val="DefaultParagraphFont"/>
    <w:uiPriority w:val="99"/>
    <w:semiHidden/>
    <w:unhideWhenUsed/>
    <w:rsid w:val="00CE2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293616">
      <w:bodyDiv w:val="1"/>
      <w:marLeft w:val="0"/>
      <w:marRight w:val="0"/>
      <w:marTop w:val="0"/>
      <w:marBottom w:val="0"/>
      <w:divBdr>
        <w:top w:val="none" w:sz="0" w:space="0" w:color="auto"/>
        <w:left w:val="none" w:sz="0" w:space="0" w:color="auto"/>
        <w:bottom w:val="none" w:sz="0" w:space="0" w:color="auto"/>
        <w:right w:val="none" w:sz="0" w:space="0" w:color="auto"/>
      </w:divBdr>
    </w:div>
    <w:div w:id="1748577061">
      <w:bodyDiv w:val="1"/>
      <w:marLeft w:val="0"/>
      <w:marRight w:val="0"/>
      <w:marTop w:val="0"/>
      <w:marBottom w:val="0"/>
      <w:divBdr>
        <w:top w:val="none" w:sz="0" w:space="0" w:color="auto"/>
        <w:left w:val="none" w:sz="0" w:space="0" w:color="auto"/>
        <w:bottom w:val="none" w:sz="0" w:space="0" w:color="auto"/>
        <w:right w:val="none" w:sz="0" w:space="0" w:color="auto"/>
      </w:divBdr>
      <w:divsChild>
        <w:div w:id="1370375510">
          <w:marLeft w:val="0"/>
          <w:marRight w:val="0"/>
          <w:marTop w:val="0"/>
          <w:marBottom w:val="0"/>
          <w:divBdr>
            <w:top w:val="none" w:sz="0" w:space="0" w:color="auto"/>
            <w:left w:val="none" w:sz="0" w:space="0" w:color="auto"/>
            <w:bottom w:val="none" w:sz="0" w:space="0" w:color="auto"/>
            <w:right w:val="none" w:sz="0" w:space="0" w:color="auto"/>
          </w:divBdr>
        </w:div>
        <w:div w:id="710496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aquaculture.2016.10.020?utm_source=chatgpt.com" TargetMode="External"/><Relationship Id="rId18" Type="http://schemas.openxmlformats.org/officeDocument/2006/relationships/hyperlink" Target="https://doi.org/10.17221/96/2023-VETMED?utm_source=chatgpt.com" TargetMode="External"/><Relationship Id="rId26" Type="http://schemas.openxmlformats.org/officeDocument/2006/relationships/hyperlink" Target="https://doi.org/10.1016/j.fsi.2015.03.002?utm_source=chatgpt.com" TargetMode="External"/><Relationship Id="rId39" Type="http://schemas.openxmlformats.org/officeDocument/2006/relationships/hyperlink" Target="https://doi.org/10.3126/on.v15i1-2.18791?utm_source=chatgpt.com" TargetMode="External"/><Relationship Id="rId21" Type="http://schemas.openxmlformats.org/officeDocument/2006/relationships/hyperlink" Target="https://doi.org/10.1111/are.15370?utm_source=chatgpt.com" TargetMode="External"/><Relationship Id="rId34" Type="http://schemas.openxmlformats.org/officeDocument/2006/relationships/hyperlink" Target="https://doi.org/10.2307/1540?utm_source=chatgpt.com" TargetMode="External"/><Relationship Id="rId42" Type="http://schemas.openxmlformats.org/officeDocument/2006/relationships/hyperlink" Target="https://doi.org/10.1111/raq.12626?utm_source=chatgpt.com" TargetMode="Externa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hyperlink" Target="https://doi.org/10.4314/ijbcs.v12i4.8?utm_source=chatgpt.com" TargetMode="External"/><Relationship Id="rId29" Type="http://schemas.openxmlformats.org/officeDocument/2006/relationships/hyperlink" Target="https://doi.org/10.1016/j.foodchem.2018.09.070?utm_source=chatgpt.com" TargetMode="External"/><Relationship Id="rId11" Type="http://schemas.openxmlformats.org/officeDocument/2006/relationships/hyperlink" Target="https://doi.org/10.1007/s10811-020-02178-1?utm_source=chatgpt.com" TargetMode="External"/><Relationship Id="rId24" Type="http://schemas.openxmlformats.org/officeDocument/2006/relationships/hyperlink" Target="https://doi.org/10.4060/cc0461en?utm_source=chatgpt.com" TargetMode="External"/><Relationship Id="rId32" Type="http://schemas.openxmlformats.org/officeDocument/2006/relationships/hyperlink" Target="https://doi.org/10.51791/njap.v40i2.1170?utm_source=chatgpt.com" TargetMode="External"/><Relationship Id="rId37" Type="http://schemas.openxmlformats.org/officeDocument/2006/relationships/hyperlink" Target="https://doi.org/10.56557/upjoz/2026/v47i105670?utm_source=chatgpt.com" TargetMode="External"/><Relationship Id="rId40" Type="http://schemas.openxmlformats.org/officeDocument/2006/relationships/hyperlink" Target="https://doi.org/10.17352/2455-8400.000052?utm_source=chatgpt.com" TargetMode="External"/><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doi.org/10.1016/j.anifeedsci.2025.116222?utm_source=chatgpt.com" TargetMode="External"/><Relationship Id="rId23" Type="http://schemas.openxmlformats.org/officeDocument/2006/relationships/hyperlink" Target="https://doi.org/10.3390/su16135429?utm_source=chatgpt.com" TargetMode="External"/><Relationship Id="rId28" Type="http://schemas.openxmlformats.org/officeDocument/2006/relationships/hyperlink" Target="https://doi.org/10.1016/j.sjbs.2022.03.004?utm_source=chatgpt.com" TargetMode="External"/><Relationship Id="rId36" Type="http://schemas.openxmlformats.org/officeDocument/2006/relationships/hyperlink" Target="https://doi.org/10.3390/su14010318?utm_source=chatgpt.com" TargetMode="External"/><Relationship Id="rId49" Type="http://schemas.openxmlformats.org/officeDocument/2006/relationships/header" Target="header3.xml"/><Relationship Id="rId10" Type="http://schemas.openxmlformats.org/officeDocument/2006/relationships/hyperlink" Target="https://doi.org/10.1080/26895293.2025.2575767?utm_source=chatgpt.com" TargetMode="External"/><Relationship Id="rId19" Type="http://schemas.openxmlformats.org/officeDocument/2006/relationships/hyperlink" Target="https://doi.org/10.1155/2022/7219401?utm_source=chatgpt.com" TargetMode="External"/><Relationship Id="rId31" Type="http://schemas.openxmlformats.org/officeDocument/2006/relationships/hyperlink" Target="https://doi.org/10.5539/jfr.v9n5p102?utm_source=chatgpt.com" TargetMode="External"/><Relationship Id="rId44" Type="http://schemas.openxmlformats.org/officeDocument/2006/relationships/hyperlink" Target="https://doi.org/10.1016/j.fsi.2019.07.077?utm_source=chatgpt.com"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4314/ijbcs.v10i4.35?utm_source=chatgpt.com" TargetMode="External"/><Relationship Id="rId14" Type="http://schemas.openxmlformats.org/officeDocument/2006/relationships/hyperlink" Target="https://doi.org/10.1016/j.aquaculture.2024.740554?utm_source=chatgpt.com" TargetMode="External"/><Relationship Id="rId22" Type="http://schemas.openxmlformats.org/officeDocument/2006/relationships/hyperlink" Target="https://doi.org/10.1007/s10499-024-01603-3?utm_source=chatgpt.com" TargetMode="External"/><Relationship Id="rId27" Type="http://schemas.openxmlformats.org/officeDocument/2006/relationships/hyperlink" Target="https://doi.org/10.3390/ani15030380?utm_source=chatgpt.com" TargetMode="External"/><Relationship Id="rId30" Type="http://schemas.openxmlformats.org/officeDocument/2006/relationships/hyperlink" Target="https://doi.org/10.1016/j.cbpb.2023.110914?utm_source=chatgpt.com" TargetMode="External"/><Relationship Id="rId35" Type="http://schemas.openxmlformats.org/officeDocument/2006/relationships/hyperlink" Target="https://doi.org/10.1111/raq.12365?utm_source=chatgpt.com" TargetMode="External"/><Relationship Id="rId43" Type="http://schemas.openxmlformats.org/officeDocument/2006/relationships/hyperlink" Target="https://doi.org/10.1016/j.marpol.2018.11.009?utm_source=chatgpt.com" TargetMode="External"/><Relationship Id="rId48" Type="http://schemas.openxmlformats.org/officeDocument/2006/relationships/footer" Target="footer2.xml"/><Relationship Id="rId8" Type="http://schemas.openxmlformats.org/officeDocument/2006/relationships/hyperlink" Target="https://ija.oauife.edu.ng/index.php/ija/article/view/735?utm_source=chatgpt.com"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doi.org/10.29303/jp.v14i3.1034?utm_source=chatgpt.com" TargetMode="External"/><Relationship Id="rId17" Type="http://schemas.openxmlformats.org/officeDocument/2006/relationships/hyperlink" Target="https://doi.org/10.5958/2320-320X.2022.00003.6?utm_source=chatgpt.com" TargetMode="External"/><Relationship Id="rId25" Type="http://schemas.openxmlformats.org/officeDocument/2006/relationships/hyperlink" Target="https://doi.org/10.1007/s13530-022-00139-4?utm_source=chatgpt.com" TargetMode="External"/><Relationship Id="rId33" Type="http://schemas.openxmlformats.org/officeDocument/2006/relationships/hyperlink" Target="https://doi.org/10.1007/s10499-020-00506-3?utm_source=chatgpt.com" TargetMode="External"/><Relationship Id="rId38" Type="http://schemas.openxmlformats.org/officeDocument/2006/relationships/hyperlink" Target="https://doi.org/10.4236/fns.2021.126040?utm_source=chatgpt.com" TargetMode="External"/><Relationship Id="rId46" Type="http://schemas.openxmlformats.org/officeDocument/2006/relationships/header" Target="header2.xml"/><Relationship Id="rId20" Type="http://schemas.openxmlformats.org/officeDocument/2006/relationships/hyperlink" Target="https://doi.org/10.3389/fmars.2023.871911?utm_source=chatgpt.com" TargetMode="External"/><Relationship Id="rId41" Type="http://schemas.openxmlformats.org/officeDocument/2006/relationships/hyperlink" Target="https://doi.org/10.9734/ajfar/2023/v22i3571?utm_source=chatgpt.com" TargetMode="External"/><Relationship Id="rId1" Type="http://schemas.openxmlformats.org/officeDocument/2006/relationships/numbering" Target="numbering.xml"/><Relationship Id="rId6" Type="http://schemas.openxmlformats.org/officeDocument/2006/relationships/endnotes" Target="endnote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DOSSIER_STAGE_ETUDIANTS\Sayouba%20OUEDRAOGO\Article\Trait&#233;_sayoub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Feuil1!$A$2</c:f>
              <c:strCache>
                <c:ptCount val="1"/>
                <c:pt idx="0">
                  <c:v>k</c:v>
                </c:pt>
              </c:strCache>
            </c:strRef>
          </c:tx>
          <c:spPr>
            <a:solidFill>
              <a:schemeClr val="bg1">
                <a:lumMod val="50000"/>
              </a:schemeClr>
            </a:solidFill>
            <a:ln>
              <a:solidFill>
                <a:schemeClr val="bg1">
                  <a:lumMod val="50000"/>
                </a:schemeClr>
              </a:solidFill>
            </a:ln>
            <a:effectLst/>
          </c:spPr>
          <c:invertIfNegative val="0"/>
          <c:dLbls>
            <c:dLbl>
              <c:idx val="0"/>
              <c:layout>
                <c:manualLayout>
                  <c:x val="2.5462668816039986E-17"/>
                  <c:y val="-6.018518518518518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BFA-4555-8FED-01DB08C84FD1}"/>
                </c:ext>
              </c:extLst>
            </c:dLbl>
            <c:dLbl>
              <c:idx val="1"/>
              <c:layout>
                <c:manualLayout>
                  <c:x val="-5.0925337632079971E-17"/>
                  <c:y val="-6.481481481481481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BFA-4555-8FED-01DB08C84FD1}"/>
                </c:ext>
              </c:extLst>
            </c:dLbl>
            <c:dLbl>
              <c:idx val="2"/>
              <c:layout>
                <c:manualLayout>
                  <c:x val="0"/>
                  <c:y val="-5.55555555555555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BFA-4555-8FED-01DB08C84FD1}"/>
                </c:ext>
              </c:extLst>
            </c:dLbl>
            <c:dLbl>
              <c:idx val="3"/>
              <c:layout>
                <c:manualLayout>
                  <c:x val="0"/>
                  <c:y val="-5.555555555555555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BFA-4555-8FED-01DB08C84FD1}"/>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Ref>
              <c:f>Feuil1!$B$1:$E$1</c:f>
              <c:strCache>
                <c:ptCount val="4"/>
                <c:pt idx="0">
                  <c:v>T1 </c:v>
                </c:pt>
                <c:pt idx="1">
                  <c:v>T2 </c:v>
                </c:pt>
                <c:pt idx="2">
                  <c:v>T3 </c:v>
                </c:pt>
                <c:pt idx="3">
                  <c:v>T0 </c:v>
                </c:pt>
              </c:strCache>
            </c:strRef>
          </c:cat>
          <c:val>
            <c:numRef>
              <c:f>Feuil1!$B$2:$E$2</c:f>
              <c:numCache>
                <c:formatCode>General</c:formatCode>
                <c:ptCount val="4"/>
                <c:pt idx="0">
                  <c:v>2.2200000000000002</c:v>
                </c:pt>
                <c:pt idx="1">
                  <c:v>2.27</c:v>
                </c:pt>
                <c:pt idx="2">
                  <c:v>2.27</c:v>
                </c:pt>
                <c:pt idx="3">
                  <c:v>2.29</c:v>
                </c:pt>
              </c:numCache>
            </c:numRef>
          </c:val>
          <c:extLst>
            <c:ext xmlns:c16="http://schemas.microsoft.com/office/drawing/2014/chart" uri="{C3380CC4-5D6E-409C-BE32-E72D297353CC}">
              <c16:uniqueId val="{00000004-0BFA-4555-8FED-01DB08C84FD1}"/>
            </c:ext>
          </c:extLst>
        </c:ser>
        <c:dLbls>
          <c:showLegendKey val="0"/>
          <c:showVal val="0"/>
          <c:showCatName val="0"/>
          <c:showSerName val="0"/>
          <c:showPercent val="0"/>
          <c:showBubbleSize val="0"/>
        </c:dLbls>
        <c:gapWidth val="219"/>
        <c:overlap val="-27"/>
        <c:axId val="424550368"/>
        <c:axId val="424550784"/>
      </c:barChart>
      <c:catAx>
        <c:axId val="424550368"/>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200" b="0" i="0" u="none" strike="noStrike" baseline="0">
                    <a:solidFill>
                      <a:schemeClr val="tx1"/>
                    </a:solidFill>
                    <a:effectLst/>
                    <a:latin typeface="Times New Roman" panose="02020603050405020304" pitchFamily="18" charset="0"/>
                    <a:cs typeface="Times New Roman" panose="02020603050405020304" pitchFamily="18" charset="0"/>
                  </a:rPr>
                  <a:t>Treatment</a:t>
                </a:r>
                <a:endParaRPr lang="fr-FR" sz="120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59742038495188099"/>
              <c:y val="0.89907407407407391"/>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crossAx val="424550784"/>
        <c:crosses val="autoZero"/>
        <c:auto val="1"/>
        <c:lblAlgn val="ctr"/>
        <c:lblOffset val="100"/>
        <c:noMultiLvlLbl val="0"/>
      </c:catAx>
      <c:valAx>
        <c:axId val="424550784"/>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fr-FR" sz="1200">
                    <a:solidFill>
                      <a:schemeClr val="tx1"/>
                    </a:solidFill>
                    <a:latin typeface="Times New Roman" panose="02020603050405020304" pitchFamily="18" charset="0"/>
                    <a:cs typeface="Times New Roman" panose="02020603050405020304" pitchFamily="18" charset="0"/>
                  </a:rPr>
                  <a:t>Condition factor </a:t>
                </a:r>
              </a:p>
            </c:rich>
          </c:tx>
          <c:layout>
            <c:manualLayout>
              <c:xMode val="edge"/>
              <c:yMode val="edge"/>
              <c:x val="2.2222222222222223E-2"/>
              <c:y val="0.22226086322543015"/>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crossAx val="42455036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729</TotalTime>
  <Pages>10</Pages>
  <Words>5710</Words>
  <Characters>32550</Characters>
  <Application>Microsoft Office Word</Application>
  <DocSecurity>0</DocSecurity>
  <Lines>271</Lines>
  <Paragraphs>76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Editor-90</cp:lastModifiedBy>
  <cp:revision>32</cp:revision>
  <dcterms:created xsi:type="dcterms:W3CDTF">2026-08-23T20:18:00Z</dcterms:created>
  <dcterms:modified xsi:type="dcterms:W3CDTF">2026-09-01T11:00:00Z</dcterms:modified>
</cp:coreProperties>
</file>