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E7CB6" w14:textId="77777777" w:rsidR="0035258B" w:rsidRDefault="006D1A0F" w:rsidP="008A3FD2">
      <w:pPr>
        <w:jc w:val="both"/>
        <w:rPr>
          <w:rFonts w:ascii="Times New Roman" w:hAnsi="Times New Roman" w:cs="Times New Roman"/>
          <w:sz w:val="24"/>
          <w:szCs w:val="24"/>
        </w:rPr>
      </w:pPr>
      <w:r>
        <w:rPr>
          <w:rFonts w:ascii="Times New Roman" w:hAnsi="Times New Roman" w:cs="Times New Roman"/>
          <w:b/>
          <w:bCs/>
          <w:sz w:val="24"/>
          <w:szCs w:val="24"/>
        </w:rPr>
        <w:t xml:space="preserve">EVALUATION OF THE EFFECT OF AQUEOUS EXTRACT OF </w:t>
      </w:r>
      <w:r>
        <w:rPr>
          <w:rFonts w:ascii="Times New Roman" w:hAnsi="Times New Roman" w:cs="Times New Roman"/>
          <w:b/>
          <w:bCs/>
          <w:i/>
          <w:iCs/>
          <w:sz w:val="24"/>
          <w:szCs w:val="24"/>
        </w:rPr>
        <w:t>Azanza garckeana</w:t>
      </w:r>
      <w:r>
        <w:rPr>
          <w:rFonts w:ascii="Times New Roman" w:hAnsi="Times New Roman" w:cs="Times New Roman"/>
          <w:b/>
          <w:bCs/>
          <w:sz w:val="24"/>
          <w:szCs w:val="24"/>
        </w:rPr>
        <w:t xml:space="preserve"> fruit</w:t>
      </w:r>
    </w:p>
    <w:p w14:paraId="1FC343F0" w14:textId="77777777" w:rsidR="0035258B" w:rsidRDefault="006D1A0F" w:rsidP="008A3FD2">
      <w:pPr>
        <w:jc w:val="both"/>
        <w:rPr>
          <w:rFonts w:ascii="Times New Roman" w:hAnsi="Times New Roman" w:cs="Times New Roman"/>
          <w:sz w:val="24"/>
          <w:szCs w:val="24"/>
        </w:rPr>
      </w:pPr>
      <w:r>
        <w:rPr>
          <w:rFonts w:ascii="Times New Roman" w:hAnsi="Times New Roman" w:cs="Times New Roman"/>
          <w:b/>
          <w:bCs/>
          <w:sz w:val="24"/>
          <w:szCs w:val="24"/>
        </w:rPr>
        <w:t>ON FERTILITY HORMONES IN ALLOXAN INDUCED DIABETIC ALBINO WISTAR</w:t>
      </w:r>
    </w:p>
    <w:p w14:paraId="2111FE4B" w14:textId="77777777" w:rsidR="0035258B" w:rsidRDefault="006D1A0F" w:rsidP="008A3FD2">
      <w:pPr>
        <w:jc w:val="both"/>
        <w:rPr>
          <w:rFonts w:ascii="Times New Roman" w:hAnsi="Times New Roman" w:cs="Times New Roman"/>
          <w:b/>
          <w:bCs/>
          <w:sz w:val="24"/>
          <w:szCs w:val="24"/>
        </w:rPr>
      </w:pPr>
      <w:r>
        <w:rPr>
          <w:rFonts w:ascii="Times New Roman" w:hAnsi="Times New Roman" w:cs="Times New Roman"/>
          <w:b/>
          <w:bCs/>
          <w:sz w:val="24"/>
          <w:szCs w:val="24"/>
        </w:rPr>
        <w:t>RATS</w:t>
      </w:r>
    </w:p>
    <w:p w14:paraId="4A554E40" w14:textId="77777777" w:rsidR="0034669D" w:rsidRDefault="0034669D" w:rsidP="008A3FD2">
      <w:pPr>
        <w:jc w:val="both"/>
        <w:rPr>
          <w:rFonts w:ascii="Times New Roman" w:hAnsi="Times New Roman" w:cs="Times New Roman"/>
          <w:b/>
          <w:bCs/>
          <w:sz w:val="24"/>
          <w:szCs w:val="24"/>
        </w:rPr>
      </w:pPr>
    </w:p>
    <w:p w14:paraId="45A7C045" w14:textId="77777777" w:rsidR="0034669D" w:rsidRDefault="0034669D" w:rsidP="008A3FD2">
      <w:pPr>
        <w:jc w:val="both"/>
        <w:rPr>
          <w:rFonts w:ascii="Times New Roman" w:hAnsi="Times New Roman" w:cs="Times New Roman"/>
          <w:b/>
          <w:bCs/>
          <w:sz w:val="24"/>
          <w:szCs w:val="24"/>
        </w:rPr>
      </w:pPr>
    </w:p>
    <w:p w14:paraId="4F87FACC" w14:textId="77777777" w:rsidR="0034669D" w:rsidRDefault="0034669D" w:rsidP="008A3FD2">
      <w:pPr>
        <w:jc w:val="both"/>
        <w:rPr>
          <w:rFonts w:ascii="Times New Roman" w:hAnsi="Times New Roman" w:cs="Times New Roman"/>
          <w:b/>
          <w:bCs/>
          <w:sz w:val="24"/>
          <w:szCs w:val="24"/>
        </w:rPr>
      </w:pPr>
    </w:p>
    <w:p w14:paraId="2EAD34E2" w14:textId="77777777" w:rsidR="0035258B" w:rsidRDefault="006D1A0F" w:rsidP="008A3FD2">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ABSTRACT </w:t>
      </w:r>
    </w:p>
    <w:p w14:paraId="45D29499" w14:textId="77777777" w:rsidR="0035258B" w:rsidRDefault="006D1A0F" w:rsidP="008A3FD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Infertility is a major health problem in both the developed and developing world, leading to </w:t>
      </w:r>
      <w:r>
        <w:rPr>
          <w:rFonts w:ascii="Times New Roman" w:hAnsi="Times New Roman" w:cs="Times New Roman"/>
          <w:sz w:val="24"/>
          <w:szCs w:val="24"/>
          <w:highlight w:val="yellow"/>
        </w:rPr>
        <w:t xml:space="preserve">a </w:t>
      </w:r>
      <w:r>
        <w:rPr>
          <w:rFonts w:ascii="Times New Roman" w:hAnsi="Times New Roman" w:cs="Times New Roman"/>
          <w:sz w:val="24"/>
          <w:szCs w:val="24"/>
        </w:rPr>
        <w:t xml:space="preserve">constant </w:t>
      </w:r>
      <w:r>
        <w:rPr>
          <w:rFonts w:ascii="Times New Roman" w:hAnsi="Times New Roman" w:cs="Times New Roman"/>
          <w:sz w:val="24"/>
          <w:szCs w:val="24"/>
          <w:highlight w:val="yellow"/>
        </w:rPr>
        <w:t>need fo</w:t>
      </w:r>
      <w:r>
        <w:rPr>
          <w:rFonts w:ascii="Times New Roman" w:hAnsi="Times New Roman" w:cs="Times New Roman"/>
          <w:sz w:val="24"/>
          <w:szCs w:val="24"/>
        </w:rPr>
        <w:t xml:space="preserve">r specialist investigation and treatment in order to conceive. The increase in the number of </w:t>
      </w:r>
      <w:r>
        <w:rPr>
          <w:rFonts w:ascii="Times New Roman" w:hAnsi="Times New Roman" w:cs="Times New Roman"/>
          <w:sz w:val="24"/>
          <w:szCs w:val="24"/>
          <w:highlight w:val="yellow"/>
        </w:rPr>
        <w:t>p</w:t>
      </w:r>
      <w:r>
        <w:rPr>
          <w:rFonts w:ascii="Times New Roman" w:hAnsi="Times New Roman" w:cs="Times New Roman"/>
          <w:sz w:val="24"/>
          <w:szCs w:val="24"/>
        </w:rPr>
        <w:t>e</w:t>
      </w:r>
      <w:r>
        <w:rPr>
          <w:rFonts w:ascii="Times New Roman" w:hAnsi="Times New Roman" w:cs="Times New Roman"/>
          <w:sz w:val="24"/>
          <w:szCs w:val="24"/>
          <w:highlight w:val="yellow"/>
        </w:rPr>
        <w:t>ople</w:t>
      </w:r>
      <w:r>
        <w:rPr>
          <w:rFonts w:ascii="Times New Roman" w:hAnsi="Times New Roman" w:cs="Times New Roman"/>
          <w:sz w:val="24"/>
          <w:szCs w:val="24"/>
        </w:rPr>
        <w:t xml:space="preserve"> diagnosed</w:t>
      </w:r>
      <w:r>
        <w:rPr>
          <w:rFonts w:ascii="Times New Roman" w:hAnsi="Times New Roman" w:cs="Times New Roman"/>
          <w:sz w:val="24"/>
          <w:szCs w:val="24"/>
          <w:highlight w:val="yellow"/>
        </w:rPr>
        <w:t xml:space="preserve"> with diabetes</w:t>
      </w:r>
      <w:r>
        <w:rPr>
          <w:rFonts w:ascii="Times New Roman" w:hAnsi="Times New Roman" w:cs="Times New Roman"/>
          <w:sz w:val="24"/>
          <w:szCs w:val="24"/>
        </w:rPr>
        <w:t xml:space="preserve"> at a young age has coincided with worldwide concerns over the fertility status of these individuals. This is because diabetes mellitus directly and indirectly </w:t>
      </w:r>
      <w:r>
        <w:rPr>
          <w:rFonts w:ascii="Times New Roman" w:hAnsi="Times New Roman" w:cs="Times New Roman"/>
          <w:sz w:val="24"/>
          <w:szCs w:val="24"/>
          <w:highlight w:val="yellow"/>
        </w:rPr>
        <w:t>affects</w:t>
      </w:r>
      <w:r>
        <w:rPr>
          <w:rFonts w:ascii="Times New Roman" w:hAnsi="Times New Roman" w:cs="Times New Roman"/>
          <w:sz w:val="24"/>
          <w:szCs w:val="24"/>
        </w:rPr>
        <w:t xml:space="preserve"> the fertility of couple</w:t>
      </w:r>
      <w:r>
        <w:rPr>
          <w:rFonts w:ascii="Times New Roman" w:hAnsi="Times New Roman" w:cs="Times New Roman"/>
          <w:sz w:val="24"/>
          <w:szCs w:val="24"/>
          <w:highlight w:val="yellow"/>
        </w:rPr>
        <w:t>s</w:t>
      </w:r>
      <w:r>
        <w:rPr>
          <w:rFonts w:ascii="Times New Roman" w:hAnsi="Times New Roman" w:cs="Times New Roman"/>
          <w:sz w:val="24"/>
          <w:szCs w:val="24"/>
        </w:rPr>
        <w:t>. This work aims t</w:t>
      </w:r>
      <w:r>
        <w:rPr>
          <w:rFonts w:ascii="Times New Roman" w:hAnsi="Times New Roman" w:cs="Times New Roman"/>
          <w:sz w:val="24"/>
          <w:szCs w:val="24"/>
          <w:highlight w:val="yellow"/>
        </w:rPr>
        <w:t>o</w:t>
      </w:r>
      <w:r>
        <w:rPr>
          <w:rFonts w:ascii="Times New Roman" w:hAnsi="Times New Roman" w:cs="Times New Roman"/>
          <w:sz w:val="24"/>
          <w:szCs w:val="24"/>
        </w:rPr>
        <w:t xml:space="preserve"> evaluat</w:t>
      </w:r>
      <w:r>
        <w:rPr>
          <w:rFonts w:ascii="Times New Roman" w:hAnsi="Times New Roman" w:cs="Times New Roman"/>
          <w:sz w:val="24"/>
          <w:szCs w:val="24"/>
          <w:highlight w:val="yellow"/>
        </w:rPr>
        <w:t>e the</w:t>
      </w:r>
      <w:r>
        <w:rPr>
          <w:rFonts w:ascii="Times New Roman" w:hAnsi="Times New Roman" w:cs="Times New Roman"/>
          <w:sz w:val="24"/>
          <w:szCs w:val="24"/>
        </w:rPr>
        <w:t xml:space="preserve"> effects of</w:t>
      </w:r>
      <w:r>
        <w:rPr>
          <w:rFonts w:ascii="Times New Roman" w:hAnsi="Times New Roman" w:cs="Times New Roman"/>
          <w:sz w:val="24"/>
          <w:szCs w:val="24"/>
          <w:highlight w:val="yellow"/>
        </w:rPr>
        <w:t xml:space="preserve"> an</w:t>
      </w:r>
      <w:r>
        <w:rPr>
          <w:rFonts w:ascii="Times New Roman" w:hAnsi="Times New Roman" w:cs="Times New Roman"/>
          <w:sz w:val="24"/>
          <w:szCs w:val="24"/>
        </w:rPr>
        <w:t xml:space="preserve"> aqueous extract of </w:t>
      </w:r>
      <w:r>
        <w:rPr>
          <w:rFonts w:ascii="Times New Roman" w:hAnsi="Times New Roman" w:cs="Times New Roman"/>
          <w:i/>
          <w:iCs/>
          <w:sz w:val="24"/>
          <w:szCs w:val="24"/>
        </w:rPr>
        <w:t>Azanza garckeana</w:t>
      </w:r>
      <w:r>
        <w:rPr>
          <w:rFonts w:ascii="Times New Roman" w:hAnsi="Times New Roman" w:cs="Times New Roman"/>
          <w:sz w:val="24"/>
          <w:szCs w:val="24"/>
        </w:rPr>
        <w:t xml:space="preserve"> on diabetes</w:t>
      </w:r>
      <w:r>
        <w:rPr>
          <w:rFonts w:ascii="Times New Roman" w:hAnsi="Times New Roman" w:cs="Times New Roman"/>
          <w:sz w:val="24"/>
          <w:szCs w:val="24"/>
          <w:highlight w:val="yellow"/>
        </w:rPr>
        <w:t>-</w:t>
      </w:r>
      <w:r>
        <w:rPr>
          <w:rFonts w:ascii="Times New Roman" w:hAnsi="Times New Roman" w:cs="Times New Roman"/>
          <w:sz w:val="24"/>
          <w:szCs w:val="24"/>
        </w:rPr>
        <w:t>related fertility problems in alloxan</w:t>
      </w:r>
      <w:r>
        <w:rPr>
          <w:rFonts w:ascii="Times New Roman" w:hAnsi="Times New Roman" w:cs="Times New Roman"/>
          <w:sz w:val="24"/>
          <w:szCs w:val="24"/>
          <w:highlight w:val="yellow"/>
        </w:rPr>
        <w:t>-</w:t>
      </w:r>
      <w:r>
        <w:rPr>
          <w:rFonts w:ascii="Times New Roman" w:hAnsi="Times New Roman" w:cs="Times New Roman"/>
          <w:sz w:val="24"/>
          <w:szCs w:val="24"/>
        </w:rPr>
        <w:t xml:space="preserve">induced albino Wistar rats. Phytochemical screening was carried out on the aqueous extract. Acute and subacute toxicity tests were also </w:t>
      </w:r>
      <w:r>
        <w:rPr>
          <w:rFonts w:ascii="Times New Roman" w:hAnsi="Times New Roman" w:cs="Times New Roman"/>
          <w:sz w:val="24"/>
          <w:szCs w:val="24"/>
          <w:highlight w:val="yellow"/>
        </w:rPr>
        <w:t>c</w:t>
      </w:r>
      <w:r>
        <w:rPr>
          <w:rFonts w:ascii="Times New Roman" w:hAnsi="Times New Roman" w:cs="Times New Roman"/>
          <w:sz w:val="24"/>
          <w:szCs w:val="24"/>
        </w:rPr>
        <w:t>on</w:t>
      </w:r>
      <w:r>
        <w:rPr>
          <w:rFonts w:ascii="Times New Roman" w:hAnsi="Times New Roman" w:cs="Times New Roman"/>
          <w:sz w:val="24"/>
          <w:szCs w:val="24"/>
          <w:highlight w:val="yellow"/>
        </w:rPr>
        <w:t>duct</w:t>
      </w:r>
      <w:r>
        <w:rPr>
          <w:rFonts w:ascii="Times New Roman" w:hAnsi="Times New Roman" w:cs="Times New Roman"/>
          <w:sz w:val="24"/>
          <w:szCs w:val="24"/>
        </w:rPr>
        <w:t>e</w:t>
      </w:r>
      <w:r>
        <w:rPr>
          <w:rFonts w:ascii="Times New Roman" w:hAnsi="Times New Roman" w:cs="Times New Roman"/>
          <w:sz w:val="24"/>
          <w:szCs w:val="24"/>
          <w:highlight w:val="yellow"/>
        </w:rPr>
        <w:t>d</w:t>
      </w:r>
      <w:r>
        <w:rPr>
          <w:rFonts w:ascii="Times New Roman" w:hAnsi="Times New Roman" w:cs="Times New Roman"/>
          <w:sz w:val="24"/>
          <w:szCs w:val="24"/>
        </w:rPr>
        <w:t xml:space="preserve"> using the extract </w:t>
      </w:r>
      <w:r>
        <w:rPr>
          <w:rFonts w:ascii="Times New Roman" w:hAnsi="Times New Roman" w:cs="Times New Roman"/>
          <w:sz w:val="24"/>
          <w:szCs w:val="24"/>
          <w:highlight w:val="yellow"/>
        </w:rPr>
        <w:t>i</w:t>
      </w:r>
      <w:r>
        <w:rPr>
          <w:rFonts w:ascii="Times New Roman" w:hAnsi="Times New Roman" w:cs="Times New Roman"/>
          <w:sz w:val="24"/>
          <w:szCs w:val="24"/>
        </w:rPr>
        <w:t>n albino Wistar rats. Biochemical parameters and indices of fertility were also determined. Histological analyses of the liver and kidney of the rats were performed. These four tests were carried out to monitor the toxicity of the aqueous extract and its anti-infertility effects in alloxan</w:t>
      </w:r>
      <w:r>
        <w:rPr>
          <w:rFonts w:ascii="Times New Roman" w:hAnsi="Times New Roman" w:cs="Times New Roman"/>
          <w:sz w:val="24"/>
          <w:szCs w:val="24"/>
          <w:highlight w:val="yellow"/>
        </w:rPr>
        <w:t>-</w:t>
      </w:r>
      <w:r>
        <w:rPr>
          <w:rFonts w:ascii="Times New Roman" w:hAnsi="Times New Roman" w:cs="Times New Roman"/>
          <w:sz w:val="24"/>
          <w:szCs w:val="24"/>
        </w:rPr>
        <w:t>induced albino Wistar rats. T</w:t>
      </w:r>
      <w:r>
        <w:rPr>
          <w:rFonts w:ascii="Times New Roman" w:hAnsi="Times New Roman" w:cs="Times New Roman"/>
          <w:sz w:val="24"/>
          <w:szCs w:val="24"/>
          <w:highlight w:val="yellow"/>
        </w:rPr>
        <w:t>he t</w:t>
      </w:r>
      <w:r>
        <w:rPr>
          <w:rFonts w:ascii="Times New Roman" w:hAnsi="Times New Roman" w:cs="Times New Roman"/>
          <w:sz w:val="24"/>
          <w:szCs w:val="24"/>
        </w:rPr>
        <w:t>echniques applied included Lorke’s method for acute and subacute toxicity test</w:t>
      </w:r>
      <w:r>
        <w:rPr>
          <w:rFonts w:ascii="Times New Roman" w:hAnsi="Times New Roman" w:cs="Times New Roman"/>
          <w:sz w:val="24"/>
          <w:szCs w:val="24"/>
          <w:highlight w:val="yellow"/>
        </w:rPr>
        <w:t>ing</w:t>
      </w:r>
      <w:r>
        <w:rPr>
          <w:rFonts w:ascii="Times New Roman" w:hAnsi="Times New Roman" w:cs="Times New Roman"/>
          <w:sz w:val="24"/>
          <w:szCs w:val="24"/>
        </w:rPr>
        <w:t xml:space="preserve">, </w:t>
      </w:r>
      <w:r>
        <w:rPr>
          <w:rFonts w:ascii="Times New Roman" w:hAnsi="Times New Roman" w:cs="Times New Roman"/>
          <w:sz w:val="24"/>
          <w:szCs w:val="24"/>
          <w:highlight w:val="yellow"/>
        </w:rPr>
        <w:t>the s</w:t>
      </w:r>
      <w:r>
        <w:rPr>
          <w:rFonts w:ascii="Times New Roman" w:hAnsi="Times New Roman" w:cs="Times New Roman"/>
          <w:sz w:val="24"/>
          <w:szCs w:val="24"/>
        </w:rPr>
        <w:t>trip method for glucose test</w:t>
      </w:r>
      <w:r>
        <w:rPr>
          <w:rFonts w:ascii="Times New Roman" w:hAnsi="Times New Roman" w:cs="Times New Roman"/>
          <w:sz w:val="24"/>
          <w:szCs w:val="24"/>
          <w:highlight w:val="yellow"/>
        </w:rPr>
        <w:t>ing</w:t>
      </w:r>
      <w:r>
        <w:rPr>
          <w:rFonts w:ascii="Times New Roman" w:hAnsi="Times New Roman" w:cs="Times New Roman"/>
          <w:sz w:val="24"/>
          <w:szCs w:val="24"/>
        </w:rPr>
        <w:t>,</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ELISA technique for hormonal assays, </w:t>
      </w:r>
      <w:r>
        <w:rPr>
          <w:rFonts w:ascii="Times New Roman" w:hAnsi="Times New Roman" w:cs="Times New Roman"/>
          <w:sz w:val="24"/>
          <w:szCs w:val="24"/>
          <w:highlight w:val="yellow"/>
        </w:rPr>
        <w:t xml:space="preserve">and the </w:t>
      </w:r>
      <w:r>
        <w:rPr>
          <w:rFonts w:ascii="Times New Roman" w:hAnsi="Times New Roman" w:cs="Times New Roman"/>
          <w:sz w:val="24"/>
          <w:szCs w:val="24"/>
        </w:rPr>
        <w:t>Haematox</w:t>
      </w:r>
      <w:r>
        <w:rPr>
          <w:rFonts w:ascii="Times New Roman" w:hAnsi="Times New Roman" w:cs="Times New Roman"/>
          <w:sz w:val="24"/>
          <w:szCs w:val="24"/>
          <w:highlight w:val="yellow"/>
        </w:rPr>
        <w:t>y</w:t>
      </w:r>
      <w:r>
        <w:rPr>
          <w:rFonts w:ascii="Times New Roman" w:hAnsi="Times New Roman" w:cs="Times New Roman"/>
          <w:sz w:val="24"/>
          <w:szCs w:val="24"/>
        </w:rPr>
        <w:t xml:space="preserve">lin and Eosin (H&amp;E) staining technique for histopathological studies. Results of the phytochemical screening of the extract revealed the presence of alkaloids, tannins, saponins, carbohydrate and flavonoids;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acute toxicity test of the extract showed no morbidity </w:t>
      </w:r>
      <w:r>
        <w:rPr>
          <w:rFonts w:ascii="Times New Roman" w:hAnsi="Times New Roman" w:cs="Times New Roman"/>
          <w:sz w:val="24"/>
          <w:szCs w:val="24"/>
          <w:highlight w:val="yellow"/>
        </w:rPr>
        <w:t>at</w:t>
      </w:r>
      <w:r>
        <w:rPr>
          <w:rFonts w:ascii="Times New Roman" w:hAnsi="Times New Roman" w:cs="Times New Roman"/>
          <w:sz w:val="24"/>
          <w:szCs w:val="24"/>
        </w:rPr>
        <w:t xml:space="preserve"> the six (6) different concentrations (10,</w:t>
      </w:r>
      <w:r>
        <w:rPr>
          <w:rFonts w:ascii="Times New Roman" w:hAnsi="Times New Roman" w:cs="Times New Roman"/>
          <w:sz w:val="24"/>
          <w:szCs w:val="24"/>
          <w:highlight w:val="yellow"/>
        </w:rPr>
        <w:t xml:space="preserve"> </w:t>
      </w:r>
      <w:r>
        <w:rPr>
          <w:rFonts w:ascii="Times New Roman" w:hAnsi="Times New Roman" w:cs="Times New Roman"/>
          <w:sz w:val="24"/>
          <w:szCs w:val="24"/>
        </w:rPr>
        <w:t>100,</w:t>
      </w:r>
      <w:r>
        <w:rPr>
          <w:rFonts w:ascii="Times New Roman" w:hAnsi="Times New Roman" w:cs="Times New Roman"/>
          <w:sz w:val="24"/>
          <w:szCs w:val="24"/>
          <w:highlight w:val="yellow"/>
        </w:rPr>
        <w:t xml:space="preserve"> </w:t>
      </w:r>
      <w:r>
        <w:rPr>
          <w:rFonts w:ascii="Times New Roman" w:hAnsi="Times New Roman" w:cs="Times New Roman"/>
          <w:sz w:val="24"/>
          <w:szCs w:val="24"/>
        </w:rPr>
        <w:t>1000,</w:t>
      </w:r>
      <w:r>
        <w:rPr>
          <w:rFonts w:ascii="Times New Roman" w:hAnsi="Times New Roman" w:cs="Times New Roman"/>
          <w:sz w:val="24"/>
          <w:szCs w:val="24"/>
          <w:highlight w:val="yellow"/>
        </w:rPr>
        <w:t xml:space="preserve"> </w:t>
      </w:r>
      <w:r>
        <w:rPr>
          <w:rFonts w:ascii="Times New Roman" w:hAnsi="Times New Roman" w:cs="Times New Roman"/>
          <w:sz w:val="24"/>
          <w:szCs w:val="24"/>
        </w:rPr>
        <w:t>1600,</w:t>
      </w:r>
      <w:r>
        <w:rPr>
          <w:rFonts w:ascii="Times New Roman" w:hAnsi="Times New Roman" w:cs="Times New Roman"/>
          <w:sz w:val="24"/>
          <w:szCs w:val="24"/>
          <w:highlight w:val="yellow"/>
        </w:rPr>
        <w:t xml:space="preserve"> </w:t>
      </w:r>
      <w:r>
        <w:rPr>
          <w:rFonts w:ascii="Times New Roman" w:hAnsi="Times New Roman" w:cs="Times New Roman"/>
          <w:sz w:val="24"/>
          <w:szCs w:val="24"/>
        </w:rPr>
        <w:t>2900 and 5000) mg/kg body weight used after 24 hours. The biochemical and histological analys</w:t>
      </w:r>
      <w:r>
        <w:rPr>
          <w:rFonts w:ascii="Times New Roman" w:hAnsi="Times New Roman" w:cs="Times New Roman"/>
          <w:sz w:val="24"/>
          <w:szCs w:val="24"/>
          <w:highlight w:val="yellow"/>
        </w:rPr>
        <w:t>e</w:t>
      </w:r>
      <w:r>
        <w:rPr>
          <w:rFonts w:ascii="Times New Roman" w:hAnsi="Times New Roman" w:cs="Times New Roman"/>
          <w:sz w:val="24"/>
          <w:szCs w:val="24"/>
        </w:rPr>
        <w:t xml:space="preserve">s for the subacute toxicity test showed that there was no significant change </w:t>
      </w:r>
      <w:r>
        <w:rPr>
          <w:rFonts w:ascii="Times New Roman" w:hAnsi="Times New Roman" w:cs="Times New Roman"/>
          <w:sz w:val="24"/>
          <w:szCs w:val="24"/>
          <w:highlight w:val="yellow"/>
        </w:rPr>
        <w:t>i</w:t>
      </w:r>
      <w:r>
        <w:rPr>
          <w:rFonts w:ascii="Times New Roman" w:hAnsi="Times New Roman" w:cs="Times New Roman"/>
          <w:sz w:val="24"/>
          <w:szCs w:val="24"/>
        </w:rPr>
        <w:t xml:space="preserve">n the selected biomarkers (protein, albumin, urea, creatinine, ALT, AST and ALP) when compared </w:t>
      </w:r>
      <w:r>
        <w:rPr>
          <w:rFonts w:ascii="Times New Roman" w:hAnsi="Times New Roman" w:cs="Times New Roman"/>
          <w:sz w:val="24"/>
          <w:szCs w:val="24"/>
          <w:highlight w:val="yellow"/>
        </w:rPr>
        <w:t>wi</w:t>
      </w:r>
      <w:r>
        <w:rPr>
          <w:rFonts w:ascii="Times New Roman" w:hAnsi="Times New Roman" w:cs="Times New Roman"/>
          <w:sz w:val="24"/>
          <w:szCs w:val="24"/>
        </w:rPr>
        <w:t>t</w:t>
      </w:r>
      <w:r>
        <w:rPr>
          <w:rFonts w:ascii="Times New Roman" w:hAnsi="Times New Roman" w:cs="Times New Roman"/>
          <w:sz w:val="24"/>
          <w:szCs w:val="24"/>
          <w:highlight w:val="yellow"/>
        </w:rPr>
        <w:t>h</w:t>
      </w:r>
      <w:r>
        <w:rPr>
          <w:rFonts w:ascii="Times New Roman" w:hAnsi="Times New Roman" w:cs="Times New Roman"/>
          <w:sz w:val="24"/>
          <w:szCs w:val="24"/>
        </w:rPr>
        <w:t xml:space="preserve"> the normal control, except for </w:t>
      </w:r>
      <w:r>
        <w:rPr>
          <w:rFonts w:ascii="Times New Roman" w:hAnsi="Times New Roman" w:cs="Times New Roman"/>
          <w:sz w:val="24"/>
          <w:szCs w:val="24"/>
          <w:highlight w:val="yellow"/>
        </w:rPr>
        <w:t>c</w:t>
      </w:r>
      <w:r>
        <w:rPr>
          <w:rFonts w:ascii="Times New Roman" w:hAnsi="Times New Roman" w:cs="Times New Roman"/>
          <w:sz w:val="24"/>
          <w:szCs w:val="24"/>
        </w:rPr>
        <w:t>reatinine</w:t>
      </w:r>
      <w:r>
        <w:rPr>
          <w:rFonts w:ascii="Times New Roman" w:hAnsi="Times New Roman" w:cs="Times New Roman"/>
          <w:sz w:val="24"/>
          <w:szCs w:val="24"/>
          <w:highlight w:val="yellow"/>
        </w:rPr>
        <w:t>, for</w:t>
      </w:r>
      <w:r>
        <w:rPr>
          <w:rFonts w:ascii="Times New Roman" w:hAnsi="Times New Roman" w:cs="Times New Roman"/>
          <w:sz w:val="24"/>
          <w:szCs w:val="24"/>
        </w:rPr>
        <w:t xml:space="preserve"> wh</w:t>
      </w:r>
      <w:r>
        <w:rPr>
          <w:rFonts w:ascii="Times New Roman" w:hAnsi="Times New Roman" w:cs="Times New Roman"/>
          <w:sz w:val="24"/>
          <w:szCs w:val="24"/>
          <w:highlight w:val="yellow"/>
        </w:rPr>
        <w:t>ich</w:t>
      </w:r>
      <w:r>
        <w:rPr>
          <w:rFonts w:ascii="Times New Roman" w:hAnsi="Times New Roman" w:cs="Times New Roman"/>
          <w:sz w:val="24"/>
          <w:szCs w:val="24"/>
        </w:rPr>
        <w:t xml:space="preserve"> a significant decrease was observed at p&lt;0.05</w:t>
      </w:r>
      <w:r>
        <w:rPr>
          <w:rFonts w:ascii="Times New Roman" w:hAnsi="Times New Roman" w:cs="Times New Roman"/>
          <w:sz w:val="24"/>
          <w:szCs w:val="24"/>
          <w:highlight w:val="yellow"/>
        </w:rPr>
        <w:t>,</w:t>
      </w:r>
      <w:r>
        <w:rPr>
          <w:rFonts w:ascii="Times New Roman" w:hAnsi="Times New Roman" w:cs="Times New Roman"/>
          <w:sz w:val="24"/>
          <w:szCs w:val="24"/>
        </w:rPr>
        <w:t xml:space="preserve"> and the liver enzymes (ALT, AST and ALP)</w:t>
      </w:r>
      <w:r>
        <w:rPr>
          <w:rFonts w:ascii="Times New Roman" w:hAnsi="Times New Roman" w:cs="Times New Roman"/>
          <w:sz w:val="24"/>
          <w:szCs w:val="24"/>
          <w:highlight w:val="yellow"/>
        </w:rPr>
        <w:t>, for</w:t>
      </w:r>
      <w:r>
        <w:rPr>
          <w:rFonts w:ascii="Times New Roman" w:hAnsi="Times New Roman" w:cs="Times New Roman"/>
          <w:sz w:val="24"/>
          <w:szCs w:val="24"/>
        </w:rPr>
        <w:t xml:space="preserve"> wh</w:t>
      </w:r>
      <w:r>
        <w:rPr>
          <w:rFonts w:ascii="Times New Roman" w:hAnsi="Times New Roman" w:cs="Times New Roman"/>
          <w:sz w:val="24"/>
          <w:szCs w:val="24"/>
          <w:highlight w:val="yellow"/>
        </w:rPr>
        <w:t>ich</w:t>
      </w:r>
      <w:r>
        <w:rPr>
          <w:rFonts w:ascii="Times New Roman" w:hAnsi="Times New Roman" w:cs="Times New Roman"/>
          <w:sz w:val="24"/>
          <w:szCs w:val="24"/>
        </w:rPr>
        <w:t xml:space="preserve"> a significant increase was also observed at the same p value. The histopathological analysis of the liver and kidney of the rats also confirmed the biochemical findings</w:t>
      </w:r>
      <w:r>
        <w:rPr>
          <w:rFonts w:ascii="Times New Roman" w:hAnsi="Times New Roman" w:cs="Times New Roman"/>
          <w:sz w:val="24"/>
          <w:szCs w:val="24"/>
          <w:highlight w:val="yellow"/>
        </w:rPr>
        <w:t>,</w:t>
      </w:r>
      <w:r>
        <w:rPr>
          <w:rFonts w:ascii="Times New Roman" w:hAnsi="Times New Roman" w:cs="Times New Roman"/>
          <w:sz w:val="24"/>
          <w:szCs w:val="24"/>
        </w:rPr>
        <w:t xml:space="preserve"> except for the groups that received 10mg/kg and 5000mg/kg body weight</w:t>
      </w:r>
      <w:r>
        <w:rPr>
          <w:rFonts w:ascii="Times New Roman" w:hAnsi="Times New Roman" w:cs="Times New Roman"/>
          <w:sz w:val="24"/>
          <w:szCs w:val="24"/>
          <w:highlight w:val="yellow"/>
        </w:rPr>
        <w:t>, in</w:t>
      </w:r>
      <w:r>
        <w:rPr>
          <w:rFonts w:ascii="Times New Roman" w:hAnsi="Times New Roman" w:cs="Times New Roman"/>
          <w:sz w:val="24"/>
          <w:szCs w:val="24"/>
        </w:rPr>
        <w:t xml:space="preserve"> wh</w:t>
      </w:r>
      <w:r>
        <w:rPr>
          <w:rFonts w:ascii="Times New Roman" w:hAnsi="Times New Roman" w:cs="Times New Roman"/>
          <w:sz w:val="24"/>
          <w:szCs w:val="24"/>
          <w:highlight w:val="yellow"/>
        </w:rPr>
        <w:t>ich</w:t>
      </w:r>
      <w:r>
        <w:rPr>
          <w:rFonts w:ascii="Times New Roman" w:hAnsi="Times New Roman" w:cs="Times New Roman"/>
          <w:sz w:val="24"/>
          <w:szCs w:val="24"/>
        </w:rPr>
        <w:t xml:space="preserve"> inflammation and congested renal tissues with normal liver tissues were observed</w:t>
      </w:r>
      <w:r>
        <w:rPr>
          <w:rFonts w:ascii="Times New Roman" w:hAnsi="Times New Roman" w:cs="Times New Roman"/>
          <w:sz w:val="24"/>
          <w:szCs w:val="24"/>
          <w:highlight w:val="yellow"/>
        </w:rPr>
        <w:t>,</w:t>
      </w:r>
      <w:r>
        <w:rPr>
          <w:rFonts w:ascii="Times New Roman" w:hAnsi="Times New Roman" w:cs="Times New Roman"/>
          <w:sz w:val="24"/>
          <w:szCs w:val="24"/>
        </w:rPr>
        <w:t xml:space="preserve"> respectively, suggesting that the aqueous extract is minimally safe for the rats and </w:t>
      </w:r>
      <w:r>
        <w:rPr>
          <w:rFonts w:ascii="Times New Roman" w:hAnsi="Times New Roman" w:cs="Times New Roman"/>
          <w:sz w:val="24"/>
          <w:szCs w:val="24"/>
          <w:highlight w:val="yellow"/>
        </w:rPr>
        <w:t xml:space="preserve">that </w:t>
      </w:r>
      <w:r>
        <w:rPr>
          <w:rFonts w:ascii="Times New Roman" w:hAnsi="Times New Roman" w:cs="Times New Roman"/>
          <w:sz w:val="24"/>
          <w:szCs w:val="24"/>
        </w:rPr>
        <w:t xml:space="preserve">further studies should be </w:t>
      </w:r>
      <w:r>
        <w:rPr>
          <w:rFonts w:ascii="Times New Roman" w:hAnsi="Times New Roman" w:cs="Times New Roman"/>
          <w:sz w:val="24"/>
          <w:szCs w:val="24"/>
          <w:highlight w:val="yellow"/>
        </w:rPr>
        <w:t>c</w:t>
      </w:r>
      <w:r>
        <w:rPr>
          <w:rFonts w:ascii="Times New Roman" w:hAnsi="Times New Roman" w:cs="Times New Roman"/>
          <w:sz w:val="24"/>
          <w:szCs w:val="24"/>
        </w:rPr>
        <w:t>on</w:t>
      </w:r>
      <w:r>
        <w:rPr>
          <w:rFonts w:ascii="Times New Roman" w:hAnsi="Times New Roman" w:cs="Times New Roman"/>
          <w:sz w:val="24"/>
          <w:szCs w:val="24"/>
          <w:highlight w:val="yellow"/>
        </w:rPr>
        <w:t>duct</w:t>
      </w:r>
      <w:r>
        <w:rPr>
          <w:rFonts w:ascii="Times New Roman" w:hAnsi="Times New Roman" w:cs="Times New Roman"/>
          <w:sz w:val="24"/>
          <w:szCs w:val="24"/>
        </w:rPr>
        <w:t>e</w:t>
      </w:r>
      <w:r>
        <w:rPr>
          <w:rFonts w:ascii="Times New Roman" w:hAnsi="Times New Roman" w:cs="Times New Roman"/>
          <w:sz w:val="24"/>
          <w:szCs w:val="24"/>
          <w:highlight w:val="yellow"/>
        </w:rPr>
        <w:t>d</w:t>
      </w:r>
      <w:r>
        <w:rPr>
          <w:rFonts w:ascii="Times New Roman" w:hAnsi="Times New Roman" w:cs="Times New Roman"/>
          <w:sz w:val="24"/>
          <w:szCs w:val="24"/>
        </w:rPr>
        <w:t xml:space="preserve"> to confirm the safety status of the extract. The hormonal assay </w:t>
      </w:r>
      <w:r>
        <w:rPr>
          <w:rFonts w:ascii="Times New Roman" w:hAnsi="Times New Roman" w:cs="Times New Roman"/>
          <w:sz w:val="24"/>
          <w:szCs w:val="24"/>
          <w:highlight w:val="yellow"/>
        </w:rPr>
        <w:t xml:space="preserve">results </w:t>
      </w:r>
      <w:r>
        <w:rPr>
          <w:rFonts w:ascii="Times New Roman" w:hAnsi="Times New Roman" w:cs="Times New Roman"/>
          <w:sz w:val="24"/>
          <w:szCs w:val="24"/>
        </w:rPr>
        <w:t>(progesterone, follicle</w:t>
      </w:r>
      <w:r>
        <w:rPr>
          <w:rFonts w:ascii="Times New Roman" w:hAnsi="Times New Roman" w:cs="Times New Roman"/>
          <w:sz w:val="24"/>
          <w:szCs w:val="24"/>
          <w:highlight w:val="yellow"/>
        </w:rPr>
        <w:t>-</w:t>
      </w:r>
      <w:r>
        <w:rPr>
          <w:rFonts w:ascii="Times New Roman" w:hAnsi="Times New Roman" w:cs="Times New Roman"/>
          <w:sz w:val="24"/>
          <w:szCs w:val="24"/>
        </w:rPr>
        <w:t>stimulating hormone, thyrotropin, luteini</w:t>
      </w:r>
      <w:r>
        <w:rPr>
          <w:rFonts w:ascii="Times New Roman" w:hAnsi="Times New Roman" w:cs="Times New Roman"/>
          <w:sz w:val="24"/>
          <w:szCs w:val="24"/>
          <w:highlight w:val="yellow"/>
        </w:rPr>
        <w:t>s</w:t>
      </w:r>
      <w:r>
        <w:rPr>
          <w:rFonts w:ascii="Times New Roman" w:hAnsi="Times New Roman" w:cs="Times New Roman"/>
          <w:sz w:val="24"/>
          <w:szCs w:val="24"/>
        </w:rPr>
        <w:t>ing hormone, estradiol, testosterone and gonadotropin</w:t>
      </w:r>
      <w:r>
        <w:rPr>
          <w:rFonts w:ascii="Times New Roman" w:hAnsi="Times New Roman" w:cs="Times New Roman"/>
          <w:sz w:val="24"/>
          <w:szCs w:val="24"/>
          <w:highlight w:val="yellow"/>
        </w:rPr>
        <w:t>-</w:t>
      </w:r>
      <w:r>
        <w:rPr>
          <w:rFonts w:ascii="Times New Roman" w:hAnsi="Times New Roman" w:cs="Times New Roman"/>
          <w:sz w:val="24"/>
          <w:szCs w:val="24"/>
        </w:rPr>
        <w:t xml:space="preserve">releasing hormone) of the male and female rats after induction of diabetes revealed that </w:t>
      </w:r>
      <w:r>
        <w:rPr>
          <w:rFonts w:ascii="Times New Roman" w:hAnsi="Times New Roman" w:cs="Times New Roman"/>
          <w:sz w:val="24"/>
          <w:szCs w:val="24"/>
        </w:rPr>
        <w:lastRenderedPageBreak/>
        <w:t xml:space="preserve">treatment with different doses of </w:t>
      </w:r>
      <w:r>
        <w:rPr>
          <w:rFonts w:ascii="Times New Roman" w:hAnsi="Times New Roman" w:cs="Times New Roman"/>
          <w:i/>
          <w:iCs/>
          <w:sz w:val="24"/>
          <w:szCs w:val="24"/>
        </w:rPr>
        <w:t xml:space="preserve">Azanza garckeana </w:t>
      </w:r>
      <w:r>
        <w:rPr>
          <w:rFonts w:ascii="Times New Roman" w:hAnsi="Times New Roman" w:cs="Times New Roman"/>
          <w:sz w:val="24"/>
          <w:szCs w:val="24"/>
        </w:rPr>
        <w:t xml:space="preserve">extract (1000mg/kg and 2000mg/kg), metformin and </w:t>
      </w:r>
      <w:r>
        <w:rPr>
          <w:rFonts w:ascii="Times New Roman" w:hAnsi="Times New Roman" w:cs="Times New Roman"/>
          <w:sz w:val="24"/>
          <w:szCs w:val="24"/>
          <w:highlight w:val="yellow"/>
        </w:rPr>
        <w:t>C</w:t>
      </w:r>
      <w:r>
        <w:rPr>
          <w:rFonts w:ascii="Times New Roman" w:hAnsi="Times New Roman" w:cs="Times New Roman"/>
          <w:sz w:val="24"/>
          <w:szCs w:val="24"/>
        </w:rPr>
        <w:t xml:space="preserve">lomid significantly corrected the hormone imbalance induced by diabetes when compared </w:t>
      </w:r>
      <w:r>
        <w:rPr>
          <w:rFonts w:ascii="Times New Roman" w:hAnsi="Times New Roman" w:cs="Times New Roman"/>
          <w:sz w:val="24"/>
          <w:szCs w:val="24"/>
          <w:highlight w:val="yellow"/>
        </w:rPr>
        <w:t>wi</w:t>
      </w:r>
      <w:r>
        <w:rPr>
          <w:rFonts w:ascii="Times New Roman" w:hAnsi="Times New Roman" w:cs="Times New Roman"/>
          <w:sz w:val="24"/>
          <w:szCs w:val="24"/>
        </w:rPr>
        <w:t>t</w:t>
      </w:r>
      <w:r>
        <w:rPr>
          <w:rFonts w:ascii="Times New Roman" w:hAnsi="Times New Roman" w:cs="Times New Roman"/>
          <w:sz w:val="24"/>
          <w:szCs w:val="24"/>
          <w:highlight w:val="yellow"/>
        </w:rPr>
        <w:t>h</w:t>
      </w:r>
      <w:r>
        <w:rPr>
          <w:rFonts w:ascii="Times New Roman" w:hAnsi="Times New Roman" w:cs="Times New Roman"/>
          <w:sz w:val="24"/>
          <w:szCs w:val="24"/>
        </w:rPr>
        <w:t xml:space="preserve"> the negative control at the following p</w:t>
      </w:r>
      <w:r>
        <w:rPr>
          <w:rFonts w:ascii="Times New Roman" w:hAnsi="Times New Roman" w:cs="Times New Roman"/>
          <w:sz w:val="24"/>
          <w:szCs w:val="24"/>
          <w:highlight w:val="yellow"/>
        </w:rPr>
        <w:t xml:space="preserve"> </w:t>
      </w:r>
      <w:r>
        <w:rPr>
          <w:rFonts w:ascii="Times New Roman" w:hAnsi="Times New Roman" w:cs="Times New Roman"/>
          <w:sz w:val="24"/>
          <w:szCs w:val="24"/>
        </w:rPr>
        <w:t>values (p&lt;0.05; p&lt;0.01; p&lt;0.001; and p&lt;0.0001). The results also revealed that</w:t>
      </w:r>
      <w:r>
        <w:rPr>
          <w:rFonts w:ascii="Times New Roman" w:hAnsi="Times New Roman" w:cs="Times New Roman"/>
          <w:sz w:val="24"/>
          <w:szCs w:val="24"/>
          <w:highlight w:val="yellow"/>
        </w:rPr>
        <w:t>,</w:t>
      </w:r>
      <w:r>
        <w:rPr>
          <w:rFonts w:ascii="Times New Roman" w:hAnsi="Times New Roman" w:cs="Times New Roman"/>
          <w:sz w:val="24"/>
          <w:szCs w:val="24"/>
        </w:rPr>
        <w:t xml:space="preserve"> when compared </w:t>
      </w:r>
      <w:r>
        <w:rPr>
          <w:rFonts w:ascii="Times New Roman" w:hAnsi="Times New Roman" w:cs="Times New Roman"/>
          <w:sz w:val="24"/>
          <w:szCs w:val="24"/>
          <w:highlight w:val="yellow"/>
        </w:rPr>
        <w:t>wi</w:t>
      </w:r>
      <w:r>
        <w:rPr>
          <w:rFonts w:ascii="Times New Roman" w:hAnsi="Times New Roman" w:cs="Times New Roman"/>
          <w:sz w:val="24"/>
          <w:szCs w:val="24"/>
        </w:rPr>
        <w:t>t</w:t>
      </w:r>
      <w:r>
        <w:rPr>
          <w:rFonts w:ascii="Times New Roman" w:hAnsi="Times New Roman" w:cs="Times New Roman"/>
          <w:sz w:val="24"/>
          <w:szCs w:val="24"/>
          <w:highlight w:val="yellow"/>
        </w:rPr>
        <w:t>h</w:t>
      </w:r>
      <w:r>
        <w:rPr>
          <w:rFonts w:ascii="Times New Roman" w:hAnsi="Times New Roman" w:cs="Times New Roman"/>
          <w:sz w:val="24"/>
          <w:szCs w:val="24"/>
        </w:rPr>
        <w:t xml:space="preserve"> the normal control, </w:t>
      </w:r>
      <w:r>
        <w:rPr>
          <w:rFonts w:ascii="Times New Roman" w:hAnsi="Times New Roman" w:cs="Times New Roman"/>
          <w:sz w:val="24"/>
          <w:szCs w:val="24"/>
          <w:highlight w:val="yellow"/>
        </w:rPr>
        <w:t>C</w:t>
      </w:r>
      <w:r>
        <w:rPr>
          <w:rFonts w:ascii="Times New Roman" w:hAnsi="Times New Roman" w:cs="Times New Roman"/>
          <w:sz w:val="24"/>
          <w:szCs w:val="24"/>
        </w:rPr>
        <w:t xml:space="preserve">lomid exhibited </w:t>
      </w:r>
      <w:r>
        <w:rPr>
          <w:rFonts w:ascii="Times New Roman" w:hAnsi="Times New Roman" w:cs="Times New Roman"/>
          <w:sz w:val="24"/>
          <w:szCs w:val="24"/>
          <w:highlight w:val="yellow"/>
        </w:rPr>
        <w:t>a g</w:t>
      </w:r>
      <w:r>
        <w:rPr>
          <w:rFonts w:ascii="Times New Roman" w:hAnsi="Times New Roman" w:cs="Times New Roman"/>
          <w:sz w:val="24"/>
          <w:szCs w:val="24"/>
        </w:rPr>
        <w:t>re</w:t>
      </w:r>
      <w:r>
        <w:rPr>
          <w:rFonts w:ascii="Times New Roman" w:hAnsi="Times New Roman" w:cs="Times New Roman"/>
          <w:sz w:val="24"/>
          <w:szCs w:val="24"/>
          <w:highlight w:val="yellow"/>
        </w:rPr>
        <w:t>ater</w:t>
      </w:r>
      <w:r>
        <w:rPr>
          <w:rFonts w:ascii="Times New Roman" w:hAnsi="Times New Roman" w:cs="Times New Roman"/>
          <w:sz w:val="24"/>
          <w:szCs w:val="24"/>
        </w:rPr>
        <w:t xml:space="preserve"> effect</w:t>
      </w:r>
      <w:r>
        <w:rPr>
          <w:rFonts w:ascii="Times New Roman" w:hAnsi="Times New Roman" w:cs="Times New Roman"/>
          <w:sz w:val="24"/>
          <w:szCs w:val="24"/>
          <w:highlight w:val="yellow"/>
        </w:rPr>
        <w:t>,</w:t>
      </w:r>
      <w:r>
        <w:rPr>
          <w:rFonts w:ascii="Times New Roman" w:hAnsi="Times New Roman" w:cs="Times New Roman"/>
          <w:sz w:val="24"/>
          <w:szCs w:val="24"/>
        </w:rPr>
        <w:t xml:space="preserve"> followed by metformin and </w:t>
      </w:r>
      <w:r>
        <w:rPr>
          <w:rFonts w:ascii="Times New Roman" w:hAnsi="Times New Roman" w:cs="Times New Roman"/>
          <w:i/>
          <w:iCs/>
          <w:sz w:val="24"/>
          <w:szCs w:val="24"/>
        </w:rPr>
        <w:t xml:space="preserve">Azanza garckeana </w:t>
      </w:r>
      <w:r>
        <w:rPr>
          <w:rFonts w:ascii="Times New Roman" w:hAnsi="Times New Roman" w:cs="Times New Roman"/>
          <w:sz w:val="24"/>
          <w:szCs w:val="24"/>
        </w:rPr>
        <w:t>extract</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(2000mg/kg). However, the histopathology results of the liver and kidneys of the negative control and all treated rats revealed adverse effects with features of hepatic and renal injuries compared </w:t>
      </w:r>
      <w:r>
        <w:rPr>
          <w:rFonts w:ascii="Times New Roman" w:hAnsi="Times New Roman" w:cs="Times New Roman"/>
          <w:sz w:val="24"/>
          <w:szCs w:val="24"/>
          <w:highlight w:val="yellow"/>
        </w:rPr>
        <w:t>wi</w:t>
      </w:r>
      <w:r>
        <w:rPr>
          <w:rFonts w:ascii="Times New Roman" w:hAnsi="Times New Roman" w:cs="Times New Roman"/>
          <w:sz w:val="24"/>
          <w:szCs w:val="24"/>
        </w:rPr>
        <w:t>t</w:t>
      </w:r>
      <w:r>
        <w:rPr>
          <w:rFonts w:ascii="Times New Roman" w:hAnsi="Times New Roman" w:cs="Times New Roman"/>
          <w:sz w:val="24"/>
          <w:szCs w:val="24"/>
          <w:highlight w:val="yellow"/>
        </w:rPr>
        <w:t>h</w:t>
      </w:r>
      <w:r>
        <w:rPr>
          <w:rFonts w:ascii="Times New Roman" w:hAnsi="Times New Roman" w:cs="Times New Roman"/>
          <w:sz w:val="24"/>
          <w:szCs w:val="24"/>
        </w:rPr>
        <w:t xml:space="preserve"> the normal control</w:t>
      </w:r>
      <w:r>
        <w:rPr>
          <w:rFonts w:ascii="Times New Roman" w:hAnsi="Times New Roman" w:cs="Times New Roman"/>
          <w:sz w:val="24"/>
          <w:szCs w:val="24"/>
          <w:highlight w:val="yellow"/>
        </w:rPr>
        <w:t>,</w:t>
      </w:r>
      <w:r>
        <w:rPr>
          <w:rFonts w:ascii="Times New Roman" w:hAnsi="Times New Roman" w:cs="Times New Roman"/>
          <w:sz w:val="24"/>
          <w:szCs w:val="24"/>
        </w:rPr>
        <w:t xml:space="preserve"> which showed normal liver tissue </w:t>
      </w:r>
      <w:r>
        <w:rPr>
          <w:rFonts w:ascii="Times New Roman" w:hAnsi="Times New Roman" w:cs="Times New Roman"/>
          <w:sz w:val="24"/>
          <w:szCs w:val="24"/>
          <w:highlight w:val="yellow"/>
        </w:rPr>
        <w:t>and</w:t>
      </w:r>
      <w:r>
        <w:rPr>
          <w:rFonts w:ascii="Times New Roman" w:hAnsi="Times New Roman" w:cs="Times New Roman"/>
          <w:sz w:val="24"/>
          <w:szCs w:val="24"/>
        </w:rPr>
        <w:t xml:space="preserve"> normal renal parenchyma</w:t>
      </w:r>
      <w:r>
        <w:rPr>
          <w:rFonts w:ascii="Times New Roman" w:hAnsi="Times New Roman" w:cs="Times New Roman"/>
          <w:sz w:val="24"/>
          <w:szCs w:val="24"/>
          <w:highlight w:val="yellow"/>
        </w:rPr>
        <w:t>, with</w:t>
      </w:r>
      <w:r>
        <w:rPr>
          <w:rFonts w:ascii="Times New Roman" w:hAnsi="Times New Roman" w:cs="Times New Roman"/>
          <w:sz w:val="24"/>
          <w:szCs w:val="24"/>
        </w:rPr>
        <w:t xml:space="preserve"> kidney cells containing adequate glomeruli and renal tubules</w:t>
      </w:r>
      <w:r>
        <w:rPr>
          <w:rFonts w:ascii="Times New Roman" w:hAnsi="Times New Roman" w:cs="Times New Roman"/>
          <w:sz w:val="24"/>
          <w:szCs w:val="24"/>
          <w:highlight w:val="yellow"/>
        </w:rPr>
        <w:t>,</w:t>
      </w:r>
      <w:r>
        <w:rPr>
          <w:rFonts w:ascii="Times New Roman" w:hAnsi="Times New Roman" w:cs="Times New Roman"/>
          <w:sz w:val="24"/>
          <w:szCs w:val="24"/>
        </w:rPr>
        <w:t xml:space="preserve"> respectively. In conclusion,</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findings of this study indicate that the aqueous fruit extract of </w:t>
      </w:r>
      <w:r>
        <w:rPr>
          <w:rFonts w:ascii="Times New Roman" w:hAnsi="Times New Roman" w:cs="Times New Roman"/>
          <w:i/>
          <w:iCs/>
          <w:sz w:val="24"/>
          <w:szCs w:val="24"/>
        </w:rPr>
        <w:t xml:space="preserve">Azanza garckeana </w:t>
      </w:r>
      <w:r>
        <w:rPr>
          <w:rFonts w:ascii="Times New Roman" w:hAnsi="Times New Roman" w:cs="Times New Roman"/>
          <w:sz w:val="24"/>
          <w:szCs w:val="24"/>
        </w:rPr>
        <w:t>can be used to manage diabetes-related fertility hormonal imbalance and th</w:t>
      </w:r>
      <w:r>
        <w:rPr>
          <w:rFonts w:ascii="Times New Roman" w:hAnsi="Times New Roman" w:cs="Times New Roman"/>
          <w:sz w:val="24"/>
          <w:szCs w:val="24"/>
          <w:highlight w:val="yellow"/>
        </w:rPr>
        <w:t>at th</w:t>
      </w:r>
      <w:r>
        <w:rPr>
          <w:rFonts w:ascii="Times New Roman" w:hAnsi="Times New Roman" w:cs="Times New Roman"/>
          <w:sz w:val="24"/>
          <w:szCs w:val="24"/>
        </w:rPr>
        <w:t>e correcti</w:t>
      </w:r>
      <w:r>
        <w:rPr>
          <w:rFonts w:ascii="Times New Roman" w:hAnsi="Times New Roman" w:cs="Times New Roman"/>
          <w:sz w:val="24"/>
          <w:szCs w:val="24"/>
          <w:highlight w:val="yellow"/>
        </w:rPr>
        <w:t>ve effect</w:t>
      </w:r>
      <w:r>
        <w:rPr>
          <w:rFonts w:ascii="Times New Roman" w:hAnsi="Times New Roman" w:cs="Times New Roman"/>
          <w:sz w:val="24"/>
          <w:szCs w:val="24"/>
        </w:rPr>
        <w:t xml:space="preserve"> is dose</w:t>
      </w:r>
      <w:r>
        <w:rPr>
          <w:rFonts w:ascii="Times New Roman" w:hAnsi="Times New Roman" w:cs="Times New Roman"/>
          <w:sz w:val="24"/>
          <w:szCs w:val="24"/>
          <w:highlight w:val="yellow"/>
        </w:rPr>
        <w:t>-</w:t>
      </w:r>
      <w:r>
        <w:rPr>
          <w:rFonts w:ascii="Times New Roman" w:hAnsi="Times New Roman" w:cs="Times New Roman"/>
          <w:sz w:val="24"/>
          <w:szCs w:val="24"/>
        </w:rPr>
        <w:t>dependent.</w:t>
      </w:r>
    </w:p>
    <w:p w14:paraId="3A9B8AE6" w14:textId="77777777" w:rsidR="0035258B" w:rsidRDefault="006D1A0F" w:rsidP="008A3FD2">
      <w:pPr>
        <w:spacing w:line="360" w:lineRule="auto"/>
        <w:jc w:val="both"/>
        <w:rPr>
          <w:rFonts w:ascii="Times New Roman" w:hAnsi="Times New Roman" w:cs="Times New Roman"/>
          <w:sz w:val="24"/>
          <w:szCs w:val="24"/>
        </w:rPr>
      </w:pPr>
      <w:r>
        <w:rPr>
          <w:rFonts w:ascii="Times New Roman" w:hAnsi="Times New Roman" w:cs="Times New Roman"/>
          <w:b/>
          <w:bCs/>
          <w:sz w:val="24"/>
          <w:szCs w:val="24"/>
        </w:rPr>
        <w:t>Keywords:</w:t>
      </w:r>
      <w:r>
        <w:rPr>
          <w:rFonts w:ascii="Times New Roman" w:hAnsi="Times New Roman" w:cs="Times New Roman"/>
          <w:sz w:val="24"/>
          <w:szCs w:val="24"/>
        </w:rPr>
        <w:t xml:space="preserve"> Infertility, diabetes mellitus, alloxan, aqueous extract, toxicity studies, hormonal assays, histopathology studies.</w:t>
      </w:r>
    </w:p>
    <w:p w14:paraId="7C2C60CF" w14:textId="77777777" w:rsidR="0035258B" w:rsidRDefault="006D1A0F" w:rsidP="008A3FD2">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1.0 INTRODUCTION </w:t>
      </w:r>
    </w:p>
    <w:p w14:paraId="61710A71" w14:textId="29A11B93" w:rsidR="006B05A0" w:rsidRPr="006B05A0" w:rsidRDefault="006B05A0" w:rsidP="006B05A0">
      <w:pPr>
        <w:spacing w:line="480" w:lineRule="auto"/>
        <w:jc w:val="both"/>
        <w:rPr>
          <w:rFonts w:ascii="Times New Roman" w:hAnsi="Times New Roman" w:cs="Times New Roman"/>
          <w:sz w:val="24"/>
          <w:szCs w:val="24"/>
        </w:rPr>
      </w:pPr>
      <w:r w:rsidRPr="006B05A0">
        <w:t xml:space="preserve"> </w:t>
      </w:r>
      <w:r w:rsidRPr="006B05A0">
        <w:rPr>
          <w:rFonts w:ascii="Times New Roman" w:hAnsi="Times New Roman" w:cs="Times New Roman"/>
          <w:sz w:val="24"/>
          <w:szCs w:val="24"/>
        </w:rPr>
        <w:t xml:space="preserve">Infertility is a widespread global health concern, affecting approximately 186 million people worldwide (WHO, 2021). It is commonly defined as a couple-related condition characterised by the failure to achieve pregnancy after 12 months of regular, unprotected sexual intercourse (Barnes &amp; Ramanarayanan, 2022). Globally, infertility affects approximately 10–25% of couples of reproductive </w:t>
      </w:r>
      <w:proofErr w:type="gramStart"/>
      <w:r w:rsidRPr="006B05A0">
        <w:rPr>
          <w:rFonts w:ascii="Times New Roman" w:hAnsi="Times New Roman" w:cs="Times New Roman"/>
          <w:sz w:val="24"/>
          <w:szCs w:val="24"/>
        </w:rPr>
        <w:t>age</w:t>
      </w:r>
      <w:proofErr w:type="gramEnd"/>
      <w:r w:rsidRPr="006B05A0">
        <w:rPr>
          <w:rFonts w:ascii="Times New Roman" w:hAnsi="Times New Roman" w:cs="Times New Roman"/>
          <w:sz w:val="24"/>
          <w:szCs w:val="24"/>
        </w:rPr>
        <w:t xml:space="preserve"> and has been associated with several adverse health consequences, including impaired mental health, chronic conditions such as cardiovascular disease, and complications arising from infertility treatments (Thoma et al., 2021).</w:t>
      </w:r>
    </w:p>
    <w:p w14:paraId="48AA7A66" w14:textId="77777777" w:rsidR="006B05A0" w:rsidRPr="006B05A0" w:rsidRDefault="006B05A0" w:rsidP="006B05A0">
      <w:pPr>
        <w:spacing w:line="480" w:lineRule="auto"/>
        <w:jc w:val="both"/>
        <w:rPr>
          <w:rFonts w:ascii="Times New Roman" w:hAnsi="Times New Roman" w:cs="Times New Roman"/>
          <w:sz w:val="24"/>
          <w:szCs w:val="24"/>
        </w:rPr>
      </w:pPr>
    </w:p>
    <w:p w14:paraId="6C789E49" w14:textId="54811DD4" w:rsidR="006B05A0" w:rsidRPr="006B05A0" w:rsidRDefault="006B05A0" w:rsidP="006B05A0">
      <w:pPr>
        <w:spacing w:line="480" w:lineRule="auto"/>
        <w:jc w:val="both"/>
        <w:rPr>
          <w:rFonts w:ascii="Times New Roman" w:hAnsi="Times New Roman" w:cs="Times New Roman"/>
          <w:sz w:val="24"/>
          <w:szCs w:val="24"/>
        </w:rPr>
      </w:pPr>
      <w:r w:rsidRPr="006B05A0">
        <w:rPr>
          <w:rFonts w:ascii="Times New Roman" w:hAnsi="Times New Roman" w:cs="Times New Roman"/>
          <w:sz w:val="24"/>
          <w:szCs w:val="24"/>
        </w:rPr>
        <w:t>Although the global population is approaching 8 billion, fertility rates have exhibited a sustained decline over several decades. The annual population growth rate, which stood at 2.1% in 1963, had decreased to approximately 1% by 2020 (World Bank, 2022). This downward trend has been attributed to several interrelated demographic and socioeconomic factors, including improved access to contraception and reproductive healthcare, greater participation of women in higher education, increased female empowerment and workforce involvement, reductions in infant and child mortality, the rising financial costs associated with raising children, and broader advances in gender equality (World Bank, 2022).</w:t>
      </w:r>
      <w:r w:rsidRPr="006B05A0">
        <w:t xml:space="preserve"> </w:t>
      </w:r>
      <w:r w:rsidRPr="006B05A0">
        <w:rPr>
          <w:rFonts w:ascii="Times New Roman" w:hAnsi="Times New Roman" w:cs="Times New Roman"/>
          <w:sz w:val="24"/>
          <w:szCs w:val="24"/>
        </w:rPr>
        <w:t xml:space="preserve">The </w:t>
      </w:r>
      <w:r w:rsidRPr="006B05A0">
        <w:rPr>
          <w:rFonts w:ascii="Times New Roman" w:hAnsi="Times New Roman" w:cs="Times New Roman"/>
          <w:sz w:val="24"/>
          <w:szCs w:val="24"/>
        </w:rPr>
        <w:lastRenderedPageBreak/>
        <w:t>situation is further complicated by misconceptions suggesting that public health measures, including vaccination and contraceptive use, may contribute to infertility. Such inaccurate beliefs can undermine wider public health initiatives aimed at improving vaccine uptake, promoting safer sexual practices, and strengthening overall public health and safety (Thoma et al., 2021). Efforts to prevent and manage infertility are also hindered by widespread misunderstandings regarding the principal factors associated with the issue, including limited knowledge of infertility epidemiology, the shame and stigma surrounding difficulties with conception, and insufficient political commitment to funding research and preventive interventions (Thoma et al., 2021).</w:t>
      </w:r>
    </w:p>
    <w:p w14:paraId="6A5D4749" w14:textId="77777777" w:rsidR="006B05A0" w:rsidRPr="006B05A0" w:rsidRDefault="006B05A0" w:rsidP="006B05A0">
      <w:pPr>
        <w:spacing w:line="480" w:lineRule="auto"/>
        <w:jc w:val="both"/>
        <w:rPr>
          <w:rFonts w:ascii="Times New Roman" w:hAnsi="Times New Roman" w:cs="Times New Roman"/>
          <w:sz w:val="24"/>
          <w:szCs w:val="24"/>
        </w:rPr>
      </w:pPr>
    </w:p>
    <w:p w14:paraId="4D8ADB70" w14:textId="786223F5" w:rsidR="0035258B" w:rsidRDefault="006B05A0" w:rsidP="006B05A0">
      <w:pPr>
        <w:spacing w:line="480" w:lineRule="auto"/>
        <w:jc w:val="both"/>
        <w:rPr>
          <w:rFonts w:ascii="Times New Roman" w:hAnsi="Times New Roman" w:cs="Times New Roman"/>
          <w:sz w:val="24"/>
          <w:szCs w:val="24"/>
        </w:rPr>
      </w:pPr>
      <w:r w:rsidRPr="006B05A0">
        <w:rPr>
          <w:rFonts w:ascii="Times New Roman" w:hAnsi="Times New Roman" w:cs="Times New Roman"/>
          <w:sz w:val="24"/>
          <w:szCs w:val="24"/>
        </w:rPr>
        <w:t xml:space="preserve">Moreover, the provision of infertility treatment is not regarded as a major priority by many international organisations operating in low- and middle-income countries (LMICs), particularly in settings characterised by high birth rates (Ombelet et al., 2008). In such contexts, elevated fertility levels may reduce institutional support for interventions designed to assist individuals in achieving parenthood. This creates an additional challenge in reconciling reproductive autonomy with broader demographic objectives aimed at stabilising population </w:t>
      </w:r>
      <w:proofErr w:type="gramStart"/>
      <w:r w:rsidRPr="006B05A0">
        <w:rPr>
          <w:rFonts w:ascii="Times New Roman" w:hAnsi="Times New Roman" w:cs="Times New Roman"/>
          <w:sz w:val="24"/>
          <w:szCs w:val="24"/>
        </w:rPr>
        <w:t>growth.</w:t>
      </w:r>
      <w:r w:rsidR="006D1A0F">
        <w:rPr>
          <w:rFonts w:ascii="Times New Roman" w:hAnsi="Times New Roman" w:cs="Times New Roman"/>
          <w:sz w:val="24"/>
          <w:szCs w:val="24"/>
        </w:rPr>
        <w:t>Biochemically</w:t>
      </w:r>
      <w:proofErr w:type="gramEnd"/>
      <w:r w:rsidR="006D1A0F">
        <w:rPr>
          <w:rFonts w:ascii="Times New Roman" w:hAnsi="Times New Roman" w:cs="Times New Roman"/>
          <w:sz w:val="24"/>
          <w:szCs w:val="24"/>
        </w:rPr>
        <w:t>, thyroid dysfunction, immunological disorders, malabsorption of selected micro</w:t>
      </w:r>
      <w:r w:rsidR="006D1A0F">
        <w:rPr>
          <w:rFonts w:ascii="Times New Roman" w:hAnsi="Times New Roman" w:cs="Times New Roman"/>
          <w:sz w:val="24"/>
          <w:szCs w:val="24"/>
          <w:highlight w:val="yellow"/>
        </w:rPr>
        <w:t>-</w:t>
      </w:r>
      <w:r w:rsidR="006D1A0F">
        <w:rPr>
          <w:rFonts w:ascii="Times New Roman" w:hAnsi="Times New Roman" w:cs="Times New Roman"/>
          <w:sz w:val="24"/>
          <w:szCs w:val="24"/>
        </w:rPr>
        <w:t xml:space="preserve"> and macronutrients (vitamins), autoimmune mechanism</w:t>
      </w:r>
      <w:r w:rsidR="006D1A0F">
        <w:rPr>
          <w:rFonts w:ascii="Times New Roman" w:hAnsi="Times New Roman" w:cs="Times New Roman"/>
          <w:sz w:val="24"/>
          <w:szCs w:val="24"/>
          <w:highlight w:val="yellow"/>
        </w:rPr>
        <w:t>s</w:t>
      </w:r>
      <w:r w:rsidR="006D1A0F">
        <w:rPr>
          <w:rFonts w:ascii="Times New Roman" w:hAnsi="Times New Roman" w:cs="Times New Roman"/>
          <w:sz w:val="24"/>
          <w:szCs w:val="24"/>
        </w:rPr>
        <w:t xml:space="preserve"> (gluten intolerance),</w:t>
      </w:r>
      <w:r w:rsidR="006D1A0F">
        <w:rPr>
          <w:rFonts w:ascii="Times New Roman" w:hAnsi="Times New Roman" w:cs="Times New Roman"/>
          <w:sz w:val="24"/>
          <w:szCs w:val="24"/>
          <w:highlight w:val="yellow"/>
        </w:rPr>
        <w:t xml:space="preserve"> and</w:t>
      </w:r>
      <w:r w:rsidR="006D1A0F">
        <w:rPr>
          <w:rFonts w:ascii="Times New Roman" w:hAnsi="Times New Roman" w:cs="Times New Roman"/>
          <w:sz w:val="24"/>
          <w:szCs w:val="24"/>
        </w:rPr>
        <w:t xml:space="preserve"> metabolic dysregulation (insulin resistance) are some of the factors that contribute to infertility. In both sexes, hormone imbalance is one of the major causes of infertility (WHO, 2021).</w:t>
      </w:r>
    </w:p>
    <w:p w14:paraId="63112370" w14:textId="6715570A" w:rsidR="0035258B" w:rsidRDefault="006D1A0F" w:rsidP="008A3FD2">
      <w:pPr>
        <w:spacing w:line="480" w:lineRule="auto"/>
        <w:jc w:val="both"/>
        <w:rPr>
          <w:rFonts w:ascii="Times New Roman" w:hAnsi="Times New Roman" w:cs="Times New Roman"/>
          <w:sz w:val="24"/>
          <w:szCs w:val="24"/>
        </w:rPr>
      </w:pPr>
      <w:r>
        <w:rPr>
          <w:rFonts w:ascii="Times New Roman" w:hAnsi="Times New Roman" w:cs="Times New Roman"/>
          <w:sz w:val="24"/>
          <w:szCs w:val="24"/>
        </w:rPr>
        <w:t>Infertility can be divided into primary and secondary infertility. A woman who has never conceived despite cohabitation</w:t>
      </w:r>
      <w:r>
        <w:rPr>
          <w:rFonts w:ascii="Times New Roman" w:hAnsi="Times New Roman" w:cs="Times New Roman"/>
          <w:sz w:val="24"/>
          <w:szCs w:val="24"/>
          <w:highlight w:val="yellow"/>
        </w:rPr>
        <w:t xml:space="preserve"> and</w:t>
      </w:r>
      <w:r>
        <w:rPr>
          <w:rFonts w:ascii="Times New Roman" w:hAnsi="Times New Roman" w:cs="Times New Roman"/>
          <w:sz w:val="24"/>
          <w:szCs w:val="24"/>
        </w:rPr>
        <w:t xml:space="preserve"> regular sexual intercourse for 2 years is </w:t>
      </w:r>
      <w:r>
        <w:rPr>
          <w:rFonts w:ascii="Times New Roman" w:hAnsi="Times New Roman" w:cs="Times New Roman"/>
          <w:sz w:val="24"/>
          <w:szCs w:val="24"/>
          <w:highlight w:val="yellow"/>
        </w:rPr>
        <w:t>cons</w:t>
      </w:r>
      <w:r>
        <w:rPr>
          <w:rFonts w:ascii="Times New Roman" w:hAnsi="Times New Roman" w:cs="Times New Roman"/>
          <w:sz w:val="24"/>
          <w:szCs w:val="24"/>
        </w:rPr>
        <w:t>i</w:t>
      </w:r>
      <w:r>
        <w:rPr>
          <w:rFonts w:ascii="Times New Roman" w:hAnsi="Times New Roman" w:cs="Times New Roman"/>
          <w:sz w:val="24"/>
          <w:szCs w:val="24"/>
          <w:highlight w:val="yellow"/>
        </w:rPr>
        <w:t>dered</w:t>
      </w:r>
      <w:r>
        <w:rPr>
          <w:rFonts w:ascii="Times New Roman" w:hAnsi="Times New Roman" w:cs="Times New Roman"/>
          <w:sz w:val="24"/>
          <w:szCs w:val="24"/>
        </w:rPr>
        <w:t xml:space="preserve"> </w:t>
      </w:r>
      <w:r>
        <w:rPr>
          <w:rFonts w:ascii="Times New Roman" w:hAnsi="Times New Roman" w:cs="Times New Roman"/>
          <w:sz w:val="24"/>
          <w:szCs w:val="24"/>
          <w:highlight w:val="yellow"/>
        </w:rPr>
        <w:t>to h</w:t>
      </w:r>
      <w:r>
        <w:rPr>
          <w:rFonts w:ascii="Times New Roman" w:hAnsi="Times New Roman" w:cs="Times New Roman"/>
          <w:sz w:val="24"/>
          <w:szCs w:val="24"/>
        </w:rPr>
        <w:t>a</w:t>
      </w:r>
      <w:r>
        <w:rPr>
          <w:rFonts w:ascii="Times New Roman" w:hAnsi="Times New Roman" w:cs="Times New Roman"/>
          <w:sz w:val="24"/>
          <w:szCs w:val="24"/>
          <w:highlight w:val="yellow"/>
        </w:rPr>
        <w:t>v</w:t>
      </w:r>
      <w:r>
        <w:rPr>
          <w:rFonts w:ascii="Times New Roman" w:hAnsi="Times New Roman" w:cs="Times New Roman"/>
          <w:sz w:val="24"/>
          <w:szCs w:val="24"/>
        </w:rPr>
        <w:t>e primary infertility</w:t>
      </w:r>
      <w:r>
        <w:rPr>
          <w:rFonts w:ascii="Times New Roman" w:hAnsi="Times New Roman" w:cs="Times New Roman"/>
          <w:sz w:val="24"/>
          <w:szCs w:val="24"/>
          <w:highlight w:val="yellow"/>
        </w:rPr>
        <w:t>,</w:t>
      </w:r>
      <w:r>
        <w:rPr>
          <w:rFonts w:ascii="Times New Roman" w:hAnsi="Times New Roman" w:cs="Times New Roman"/>
          <w:sz w:val="24"/>
          <w:szCs w:val="24"/>
        </w:rPr>
        <w:t xml:space="preserve"> while secondary infertility </w:t>
      </w:r>
      <w:r>
        <w:rPr>
          <w:rFonts w:ascii="Times New Roman" w:hAnsi="Times New Roman" w:cs="Times New Roman"/>
          <w:sz w:val="24"/>
          <w:szCs w:val="24"/>
          <w:highlight w:val="yellow"/>
        </w:rPr>
        <w:t>refer</w:t>
      </w:r>
      <w:r>
        <w:rPr>
          <w:rFonts w:ascii="Times New Roman" w:hAnsi="Times New Roman" w:cs="Times New Roman"/>
          <w:sz w:val="24"/>
          <w:szCs w:val="24"/>
        </w:rPr>
        <w:t>s</w:t>
      </w:r>
      <w:r>
        <w:rPr>
          <w:rFonts w:ascii="Times New Roman" w:hAnsi="Times New Roman" w:cs="Times New Roman"/>
          <w:sz w:val="24"/>
          <w:szCs w:val="24"/>
          <w:highlight w:val="yellow"/>
        </w:rPr>
        <w:t xml:space="preserve"> to</w:t>
      </w:r>
      <w:r>
        <w:rPr>
          <w:rFonts w:ascii="Times New Roman" w:hAnsi="Times New Roman" w:cs="Times New Roman"/>
          <w:sz w:val="24"/>
          <w:szCs w:val="24"/>
        </w:rPr>
        <w:t xml:space="preserve"> the status of a woman </w:t>
      </w:r>
      <w:r>
        <w:rPr>
          <w:rFonts w:ascii="Times New Roman" w:hAnsi="Times New Roman" w:cs="Times New Roman"/>
          <w:sz w:val="24"/>
          <w:szCs w:val="24"/>
          <w:highlight w:val="yellow"/>
        </w:rPr>
        <w:t>w</w:t>
      </w:r>
      <w:r>
        <w:rPr>
          <w:rFonts w:ascii="Times New Roman" w:hAnsi="Times New Roman" w:cs="Times New Roman"/>
          <w:sz w:val="24"/>
          <w:szCs w:val="24"/>
        </w:rPr>
        <w:t>h</w:t>
      </w:r>
      <w:r>
        <w:rPr>
          <w:rFonts w:ascii="Times New Roman" w:hAnsi="Times New Roman" w:cs="Times New Roman"/>
          <w:sz w:val="24"/>
          <w:szCs w:val="24"/>
          <w:highlight w:val="yellow"/>
        </w:rPr>
        <w:t>o</w:t>
      </w:r>
      <w:r>
        <w:rPr>
          <w:rFonts w:ascii="Times New Roman" w:hAnsi="Times New Roman" w:cs="Times New Roman"/>
          <w:sz w:val="24"/>
          <w:szCs w:val="24"/>
        </w:rPr>
        <w:t xml:space="preserve"> has conceived previously but is subsequently unable to conceive. When a woman is able to conceive but unable to produce a live birth, it is called pregnancy wastage. Clinicians define subfertility as the difficulty experienced by some couples, both of whom may have reduced fertility</w:t>
      </w:r>
      <w:r>
        <w:rPr>
          <w:rFonts w:ascii="Times New Roman" w:hAnsi="Times New Roman" w:cs="Times New Roman"/>
          <w:sz w:val="24"/>
          <w:szCs w:val="24"/>
          <w:highlight w:val="yellow"/>
        </w:rPr>
        <w:t>, in conceiving</w:t>
      </w:r>
      <w:r>
        <w:rPr>
          <w:rFonts w:ascii="Times New Roman" w:hAnsi="Times New Roman" w:cs="Times New Roman"/>
          <w:sz w:val="24"/>
          <w:szCs w:val="24"/>
        </w:rPr>
        <w:t xml:space="preserve"> jointly. In some cases, both the man and woman may be </w:t>
      </w:r>
      <w:r>
        <w:rPr>
          <w:rFonts w:ascii="Times New Roman" w:hAnsi="Times New Roman" w:cs="Times New Roman"/>
          <w:sz w:val="24"/>
          <w:szCs w:val="24"/>
        </w:rPr>
        <w:lastRenderedPageBreak/>
        <w:t>infertile or subfertile, and</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couple’s infertility arises from the combination of these conditions. Some researchers have shown </w:t>
      </w:r>
      <w:r>
        <w:rPr>
          <w:rFonts w:ascii="Times New Roman" w:hAnsi="Times New Roman" w:cs="Times New Roman"/>
          <w:sz w:val="24"/>
          <w:szCs w:val="24"/>
          <w:highlight w:val="yellow"/>
        </w:rPr>
        <w:t xml:space="preserve">that, </w:t>
      </w:r>
      <w:r>
        <w:rPr>
          <w:rFonts w:ascii="Times New Roman" w:hAnsi="Times New Roman" w:cs="Times New Roman"/>
          <w:sz w:val="24"/>
          <w:szCs w:val="24"/>
        </w:rPr>
        <w:t>in other cases</w:t>
      </w:r>
      <w:r>
        <w:rPr>
          <w:rFonts w:ascii="Times New Roman" w:hAnsi="Times New Roman" w:cs="Times New Roman"/>
          <w:sz w:val="24"/>
          <w:szCs w:val="24"/>
          <w:highlight w:val="yellow"/>
        </w:rPr>
        <w:t>,</w:t>
      </w:r>
      <w:r>
        <w:rPr>
          <w:rFonts w:ascii="Times New Roman" w:hAnsi="Times New Roman" w:cs="Times New Roman"/>
          <w:sz w:val="24"/>
          <w:szCs w:val="24"/>
        </w:rPr>
        <w:t xml:space="preserve"> the cause may be related to biochemical parameters such as thyroid dysfunction, immunological disorders, autoimmune mechanisms, metabolic dysregulation, as well as malabsorption of selected micro- and macronutrient</w:t>
      </w:r>
      <w:r>
        <w:rPr>
          <w:rFonts w:ascii="Times New Roman" w:hAnsi="Times New Roman" w:cs="Times New Roman"/>
          <w:sz w:val="24"/>
          <w:szCs w:val="24"/>
          <w:highlight w:val="yellow"/>
        </w:rPr>
        <w:t>s</w:t>
      </w:r>
      <w:r>
        <w:rPr>
          <w:rFonts w:ascii="Times New Roman" w:hAnsi="Times New Roman" w:cs="Times New Roman"/>
          <w:sz w:val="24"/>
          <w:szCs w:val="24"/>
        </w:rPr>
        <w:t xml:space="preserve"> th</w:t>
      </w:r>
      <w:r>
        <w:rPr>
          <w:rFonts w:ascii="Times New Roman" w:hAnsi="Times New Roman" w:cs="Times New Roman"/>
          <w:sz w:val="24"/>
          <w:szCs w:val="24"/>
          <w:highlight w:val="yellow"/>
        </w:rPr>
        <w:t>at aff</w:t>
      </w:r>
      <w:r>
        <w:rPr>
          <w:rFonts w:ascii="Times New Roman" w:hAnsi="Times New Roman" w:cs="Times New Roman"/>
          <w:sz w:val="24"/>
          <w:szCs w:val="24"/>
        </w:rPr>
        <w:t>e</w:t>
      </w:r>
      <w:r>
        <w:rPr>
          <w:rFonts w:ascii="Times New Roman" w:hAnsi="Times New Roman" w:cs="Times New Roman"/>
          <w:sz w:val="24"/>
          <w:szCs w:val="24"/>
          <w:highlight w:val="yellow"/>
        </w:rPr>
        <w:t>ct</w:t>
      </w:r>
      <w:r>
        <w:rPr>
          <w:rFonts w:ascii="Times New Roman" w:hAnsi="Times New Roman" w:cs="Times New Roman"/>
          <w:sz w:val="24"/>
          <w:szCs w:val="24"/>
        </w:rPr>
        <w:t xml:space="preserve"> fertility; </w:t>
      </w:r>
      <w:r>
        <w:rPr>
          <w:rFonts w:ascii="Times New Roman" w:hAnsi="Times New Roman" w:cs="Times New Roman"/>
          <w:sz w:val="24"/>
          <w:szCs w:val="24"/>
          <w:highlight w:val="yellow"/>
        </w:rPr>
        <w:t>co</w:t>
      </w:r>
      <w:r>
        <w:rPr>
          <w:rFonts w:ascii="Times New Roman" w:hAnsi="Times New Roman" w:cs="Times New Roman"/>
          <w:sz w:val="24"/>
          <w:szCs w:val="24"/>
        </w:rPr>
        <w:t>n</w:t>
      </w:r>
      <w:r>
        <w:rPr>
          <w:rFonts w:ascii="Times New Roman" w:hAnsi="Times New Roman" w:cs="Times New Roman"/>
          <w:sz w:val="24"/>
          <w:szCs w:val="24"/>
          <w:highlight w:val="yellow"/>
        </w:rPr>
        <w:t>sequently,</w:t>
      </w:r>
      <w:r>
        <w:rPr>
          <w:rFonts w:ascii="Times New Roman" w:hAnsi="Times New Roman" w:cs="Times New Roman"/>
          <w:sz w:val="24"/>
          <w:szCs w:val="24"/>
        </w:rPr>
        <w:t xml:space="preserve"> the couple cannot conceive together without assistance (Avidor-Reiss et al., 2015; Wasilewski et al., 2020). Against this background, this research is a plant-based attempt to regulate the hormonal imbalance that occurs in </w:t>
      </w:r>
      <w:r>
        <w:rPr>
          <w:rFonts w:ascii="Times New Roman" w:hAnsi="Times New Roman" w:cs="Times New Roman"/>
          <w:sz w:val="24"/>
          <w:szCs w:val="24"/>
          <w:highlight w:val="yellow"/>
        </w:rPr>
        <w:t xml:space="preserve">patients with </w:t>
      </w:r>
      <w:r>
        <w:rPr>
          <w:rFonts w:ascii="Times New Roman" w:hAnsi="Times New Roman" w:cs="Times New Roman"/>
          <w:sz w:val="24"/>
          <w:szCs w:val="24"/>
        </w:rPr>
        <w:t>diabetes</w:t>
      </w:r>
      <w:r>
        <w:rPr>
          <w:rFonts w:ascii="Times New Roman" w:hAnsi="Times New Roman" w:cs="Times New Roman"/>
          <w:sz w:val="24"/>
          <w:szCs w:val="24"/>
          <w:highlight w:val="yellow"/>
        </w:rPr>
        <w:t>,</w:t>
      </w:r>
      <w:r>
        <w:rPr>
          <w:rFonts w:ascii="Times New Roman" w:hAnsi="Times New Roman" w:cs="Times New Roman"/>
          <w:sz w:val="24"/>
          <w:szCs w:val="24"/>
        </w:rPr>
        <w:t xml:space="preserve"> thereby improving fertility status. </w:t>
      </w:r>
      <w:r w:rsidR="006B05A0" w:rsidRPr="006B05A0">
        <w:t xml:space="preserve"> </w:t>
      </w:r>
      <w:r w:rsidR="006B05A0" w:rsidRPr="006B05A0">
        <w:rPr>
          <w:rFonts w:ascii="Times New Roman" w:hAnsi="Times New Roman" w:cs="Times New Roman"/>
          <w:sz w:val="24"/>
          <w:szCs w:val="24"/>
        </w:rPr>
        <w:t>Infertility is a multifaceted condition with significant psychological, economic, and medical consequences, often giving rise to considerable emotional distress and trauma. These effects may be particularly pronounced in societies where childbearing is strongly valued and closely linked to social expectations. According to the International Committee for Monitoring Assisted Reproductive Technology and the World Health Organization (WHO), infertility is defined as a disease of the reproductive system characterised by the inability to achieve a clinical pregnancy after 12 months or more of regular, unprotected sexual intercourse (Zegers-Hochschild et al., 2009).</w:t>
      </w:r>
    </w:p>
    <w:p w14:paraId="23897208"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Diabetes and infertility in women </w:t>
      </w:r>
    </w:p>
    <w:p w14:paraId="29DE7787" w14:textId="3C742D20" w:rsidR="006B05A0" w:rsidRPr="006B05A0" w:rsidRDefault="006B05A0" w:rsidP="006B05A0">
      <w:pPr>
        <w:spacing w:line="480" w:lineRule="auto"/>
        <w:jc w:val="both"/>
        <w:rPr>
          <w:rFonts w:ascii="Times New Roman" w:eastAsia="CIDFont" w:hAnsi="Times New Roman" w:cs="Times New Roman"/>
          <w:color w:val="000000"/>
          <w:kern w:val="0"/>
          <w:sz w:val="24"/>
          <w:szCs w:val="24"/>
          <w:lang w:eastAsia="zh-CN" w:bidi="ar"/>
        </w:rPr>
      </w:pPr>
      <w:r w:rsidRPr="006B05A0">
        <w:t xml:space="preserve"> </w:t>
      </w:r>
      <w:r w:rsidRPr="006B05A0">
        <w:rPr>
          <w:rFonts w:ascii="Times New Roman" w:eastAsia="CIDFont" w:hAnsi="Times New Roman" w:cs="Times New Roman"/>
          <w:color w:val="000000"/>
          <w:kern w:val="0"/>
          <w:sz w:val="24"/>
          <w:szCs w:val="24"/>
          <w:lang w:eastAsia="zh-CN" w:bidi="ar"/>
        </w:rPr>
        <w:t>Reproductive dysfunction represents a relatively common yet insufficiently investigated complication of diabetes. The range of reproductive health disturbances associated with diabetes is extensive and includes delayed puberty and menarche, menstrual irregularities, reduced fertility, adverse pregnancy outcomes, and the possibility of premature menopause (Lascar et al., 2018). The timing and nature of these complications may vary according to the age at which diabetes is diagnosed, with reproductive disturbances potentially arising during puberty, becoming evident later when pregnancy is desired, or occurring during the climacteric period (Schweiger et al., 2010).</w:t>
      </w:r>
    </w:p>
    <w:p w14:paraId="569C46BE" w14:textId="77777777" w:rsidR="006B05A0" w:rsidRPr="006B05A0" w:rsidRDefault="006B05A0" w:rsidP="006B05A0">
      <w:pPr>
        <w:spacing w:line="480" w:lineRule="auto"/>
        <w:jc w:val="both"/>
        <w:rPr>
          <w:rFonts w:ascii="Times New Roman" w:eastAsia="CIDFont" w:hAnsi="Times New Roman" w:cs="Times New Roman"/>
          <w:color w:val="000000"/>
          <w:kern w:val="0"/>
          <w:sz w:val="24"/>
          <w:szCs w:val="24"/>
          <w:lang w:eastAsia="zh-CN" w:bidi="ar"/>
        </w:rPr>
      </w:pPr>
    </w:p>
    <w:p w14:paraId="6E6EC51D" w14:textId="4FF401C3" w:rsidR="0035258B" w:rsidRDefault="006B05A0" w:rsidP="006B05A0">
      <w:pPr>
        <w:spacing w:line="480" w:lineRule="auto"/>
        <w:jc w:val="both"/>
        <w:rPr>
          <w:rFonts w:ascii="Times New Roman" w:hAnsi="Times New Roman" w:cs="Times New Roman"/>
          <w:sz w:val="24"/>
          <w:szCs w:val="24"/>
        </w:rPr>
      </w:pPr>
      <w:r w:rsidRPr="006B05A0">
        <w:rPr>
          <w:rFonts w:ascii="Times New Roman" w:eastAsia="CIDFont" w:hAnsi="Times New Roman" w:cs="Times New Roman"/>
          <w:color w:val="000000"/>
          <w:kern w:val="0"/>
          <w:sz w:val="24"/>
          <w:szCs w:val="24"/>
          <w:lang w:eastAsia="zh-CN" w:bidi="ar"/>
        </w:rPr>
        <w:t xml:space="preserve">Historically, women with type 1 diabetes have experienced a high prevalence of amenorrhoea and infertility, largely as a consequence of central hypogonadism (Kim et al., 2014). Although the introduction </w:t>
      </w:r>
      <w:r w:rsidRPr="006B05A0">
        <w:rPr>
          <w:rFonts w:ascii="Times New Roman" w:eastAsia="CIDFont" w:hAnsi="Times New Roman" w:cs="Times New Roman"/>
          <w:color w:val="000000"/>
          <w:kern w:val="0"/>
          <w:sz w:val="24"/>
          <w:szCs w:val="24"/>
          <w:lang w:eastAsia="zh-CN" w:bidi="ar"/>
        </w:rPr>
        <w:lastRenderedPageBreak/>
        <w:t>of intensive insulin therapy and improvements in metabolic control have reduced the frequency of these complications, they have not been completely eliminated. At the same time, additional reproductive consequences associated with contemporary diabetes management have become increasingly recognised, including polycystic ovary syndrome and hyperandrogenism, both of which are influenced by the effects of insulin on ovarian function (Codner &amp; Escobar-Morreale, 2007). The marked increase in the incidence of type 2 diabetes among younger populations further suggests that a growing number of women of reproductive age may experience diabetes-related reproductive complications during their lifetime (Kelsey et al., 2018). Consequently, as the number of young women living with diabetes continues to rise, clinicians must be adequately informed and prepared to address reproductive health concerns throughout the female life course (Kjaer et al., 1992</w:t>
      </w:r>
      <w:proofErr w:type="gramStart"/>
      <w:r w:rsidRPr="006B05A0">
        <w:rPr>
          <w:rFonts w:ascii="Times New Roman" w:eastAsia="CIDFont" w:hAnsi="Times New Roman" w:cs="Times New Roman"/>
          <w:color w:val="000000"/>
          <w:kern w:val="0"/>
          <w:sz w:val="24"/>
          <w:szCs w:val="24"/>
          <w:lang w:eastAsia="zh-CN" w:bidi="ar"/>
        </w:rPr>
        <w:t>).</w:t>
      </w:r>
      <w:r w:rsidR="006D1A0F">
        <w:rPr>
          <w:rFonts w:ascii="Times New Roman" w:eastAsia="CIDFont" w:hAnsi="Times New Roman" w:cs="Times New Roman"/>
          <w:color w:val="000000"/>
          <w:kern w:val="0"/>
          <w:sz w:val="24"/>
          <w:szCs w:val="24"/>
          <w:highlight w:val="yellow"/>
          <w:lang w:eastAsia="zh-CN" w:bidi="ar"/>
        </w:rPr>
        <w:t>Type</w:t>
      </w:r>
      <w:proofErr w:type="gramEnd"/>
      <w:r w:rsidR="006D1A0F">
        <w:rPr>
          <w:rFonts w:ascii="Times New Roman" w:eastAsia="CIDFont" w:hAnsi="Times New Roman" w:cs="Times New Roman"/>
          <w:color w:val="000000"/>
          <w:kern w:val="0"/>
          <w:sz w:val="24"/>
          <w:szCs w:val="24"/>
          <w:highlight w:val="yellow"/>
          <w:lang w:eastAsia="zh-CN" w:bidi="ar"/>
        </w:rPr>
        <w:t xml:space="preserve"> 1 and type 2 d</w:t>
      </w:r>
      <w:r w:rsidR="006D1A0F">
        <w:rPr>
          <w:rFonts w:ascii="Times New Roman" w:eastAsia="CIDFont" w:hAnsi="Times New Roman" w:cs="Times New Roman"/>
          <w:color w:val="000000"/>
          <w:kern w:val="0"/>
          <w:sz w:val="24"/>
          <w:szCs w:val="24"/>
          <w:lang w:eastAsia="zh-CN" w:bidi="ar"/>
        </w:rPr>
        <w:t xml:space="preserve">iabetes mellitus should be considered in the differential diagnosis of menstrual abnormalities and infertility (Mayer-Davis et al., 2017). The reproductive period of </w:t>
      </w:r>
      <w:r w:rsidR="006D1A0F">
        <w:rPr>
          <w:rFonts w:ascii="Times New Roman" w:eastAsia="CIDFont" w:hAnsi="Times New Roman" w:cs="Times New Roman"/>
          <w:color w:val="000000"/>
          <w:kern w:val="0"/>
          <w:sz w:val="24"/>
          <w:szCs w:val="24"/>
          <w:highlight w:val="yellow"/>
          <w:lang w:eastAsia="zh-CN" w:bidi="ar"/>
        </w:rPr>
        <w:t xml:space="preserve">women with </w:t>
      </w:r>
      <w:r w:rsidR="006D1A0F">
        <w:rPr>
          <w:rFonts w:ascii="Times New Roman" w:eastAsia="CIDFont" w:hAnsi="Times New Roman" w:cs="Times New Roman"/>
          <w:color w:val="000000"/>
          <w:kern w:val="0"/>
          <w:sz w:val="24"/>
          <w:szCs w:val="24"/>
          <w:lang w:eastAsia="zh-CN" w:bidi="ar"/>
        </w:rPr>
        <w:t>diabete</w:t>
      </w:r>
      <w:r w:rsidR="006D1A0F">
        <w:rPr>
          <w:rFonts w:ascii="Times New Roman" w:eastAsia="CIDFont" w:hAnsi="Times New Roman" w:cs="Times New Roman"/>
          <w:color w:val="000000"/>
          <w:kern w:val="0"/>
          <w:sz w:val="24"/>
          <w:szCs w:val="24"/>
          <w:highlight w:val="yellow"/>
          <w:lang w:eastAsia="zh-CN" w:bidi="ar"/>
        </w:rPr>
        <w:t>s</w:t>
      </w:r>
      <w:r w:rsidR="006D1A0F">
        <w:rPr>
          <w:rFonts w:ascii="Times New Roman" w:eastAsia="CIDFont" w:hAnsi="Times New Roman" w:cs="Times New Roman"/>
          <w:color w:val="000000"/>
          <w:kern w:val="0"/>
          <w:sz w:val="24"/>
          <w:szCs w:val="24"/>
          <w:lang w:eastAsia="zh-CN" w:bidi="ar"/>
        </w:rPr>
        <w:t xml:space="preserve"> may be reduced due to delayed menarche and premature menopause. During the reproductive years, diabetes has been associated with menstrual abnormalities, such as oligomenorrh</w:t>
      </w:r>
      <w:r w:rsidR="006D1A0F">
        <w:rPr>
          <w:rFonts w:ascii="Times New Roman" w:eastAsia="CIDFont" w:hAnsi="Times New Roman" w:cs="Times New Roman"/>
          <w:color w:val="000000"/>
          <w:kern w:val="0"/>
          <w:sz w:val="24"/>
          <w:szCs w:val="24"/>
          <w:highlight w:val="yellow"/>
          <w:lang w:eastAsia="zh-CN" w:bidi="ar"/>
        </w:rPr>
        <w:t>o</w:t>
      </w:r>
      <w:r w:rsidR="006D1A0F">
        <w:rPr>
          <w:rFonts w:ascii="Times New Roman" w:eastAsia="CIDFont" w:hAnsi="Times New Roman" w:cs="Times New Roman"/>
          <w:color w:val="000000"/>
          <w:kern w:val="0"/>
          <w:sz w:val="24"/>
          <w:szCs w:val="24"/>
          <w:lang w:eastAsia="zh-CN" w:bidi="ar"/>
        </w:rPr>
        <w:t>ea and secondary amenorrh</w:t>
      </w:r>
      <w:r w:rsidR="006D1A0F">
        <w:rPr>
          <w:rFonts w:ascii="Times New Roman" w:eastAsia="CIDFont" w:hAnsi="Times New Roman" w:cs="Times New Roman"/>
          <w:color w:val="000000"/>
          <w:kern w:val="0"/>
          <w:sz w:val="24"/>
          <w:szCs w:val="24"/>
          <w:highlight w:val="yellow"/>
          <w:lang w:eastAsia="zh-CN" w:bidi="ar"/>
        </w:rPr>
        <w:t>o</w:t>
      </w:r>
      <w:r w:rsidR="006D1A0F">
        <w:rPr>
          <w:rFonts w:ascii="Times New Roman" w:eastAsia="CIDFont" w:hAnsi="Times New Roman" w:cs="Times New Roman"/>
          <w:color w:val="000000"/>
          <w:kern w:val="0"/>
          <w:sz w:val="24"/>
          <w:szCs w:val="24"/>
          <w:lang w:eastAsia="zh-CN" w:bidi="ar"/>
        </w:rPr>
        <w:t>ea. Codner et al. (2012) found that better glyc</w:t>
      </w:r>
      <w:r w:rsidR="006D1A0F">
        <w:rPr>
          <w:rFonts w:ascii="Times New Roman" w:eastAsia="CIDFont" w:hAnsi="Times New Roman" w:cs="Times New Roman"/>
          <w:color w:val="000000"/>
          <w:kern w:val="0"/>
          <w:sz w:val="24"/>
          <w:szCs w:val="24"/>
          <w:highlight w:val="yellow"/>
          <w:lang w:eastAsia="zh-CN" w:bidi="ar"/>
        </w:rPr>
        <w:t>a</w:t>
      </w:r>
      <w:r w:rsidR="006D1A0F">
        <w:rPr>
          <w:rFonts w:ascii="Times New Roman" w:eastAsia="CIDFont" w:hAnsi="Times New Roman" w:cs="Times New Roman"/>
          <w:color w:val="000000"/>
          <w:kern w:val="0"/>
          <w:sz w:val="24"/>
          <w:szCs w:val="24"/>
          <w:lang w:eastAsia="zh-CN" w:bidi="ar"/>
        </w:rPr>
        <w:t>emic control and prevention of diabetic complications improve these irregularities and increase fertility rates close to those seen in the general population. Women with persistent menstrual abnormalities despite adequate treatment need a broader evaluation, includ</w:t>
      </w:r>
      <w:r w:rsidR="006D1A0F">
        <w:rPr>
          <w:rFonts w:ascii="Times New Roman" w:eastAsia="CIDFont" w:hAnsi="Times New Roman" w:cs="Times New Roman"/>
          <w:color w:val="000000"/>
          <w:kern w:val="0"/>
          <w:sz w:val="24"/>
          <w:szCs w:val="24"/>
          <w:highlight w:val="yellow"/>
          <w:lang w:eastAsia="zh-CN" w:bidi="ar"/>
        </w:rPr>
        <w:t>ing</w:t>
      </w:r>
      <w:r w:rsidR="006D1A0F">
        <w:rPr>
          <w:rFonts w:ascii="Times New Roman" w:eastAsia="CIDFont" w:hAnsi="Times New Roman" w:cs="Times New Roman"/>
          <w:color w:val="000000"/>
          <w:kern w:val="0"/>
          <w:sz w:val="24"/>
          <w:szCs w:val="24"/>
          <w:lang w:eastAsia="zh-CN" w:bidi="ar"/>
        </w:rPr>
        <w:t xml:space="preserve"> examination of the hypothalamic</w:t>
      </w:r>
      <w:r w:rsidR="006D1A0F">
        <w:rPr>
          <w:rFonts w:ascii="Times New Roman" w:hAnsi="Times New Roman" w:cs="Times New Roman"/>
          <w:sz w:val="24"/>
          <w:szCs w:val="24"/>
          <w:highlight w:val="yellow"/>
        </w:rPr>
        <w:t>-</w:t>
      </w:r>
      <w:r w:rsidR="006D1A0F">
        <w:rPr>
          <w:rFonts w:ascii="Times New Roman" w:eastAsia="CIDFont" w:hAnsi="Times New Roman" w:cs="Times New Roman"/>
          <w:color w:val="000000"/>
          <w:kern w:val="0"/>
          <w:sz w:val="24"/>
          <w:szCs w:val="24"/>
          <w:lang w:eastAsia="zh-CN" w:bidi="ar"/>
        </w:rPr>
        <w:t>pituitary-ovarian axis and hormonal status,</w:t>
      </w:r>
      <w:r w:rsidR="006D1A0F">
        <w:rPr>
          <w:rFonts w:ascii="Times New Roman" w:eastAsia="CIDFont" w:hAnsi="Times New Roman" w:cs="Times New Roman"/>
          <w:color w:val="000000"/>
          <w:kern w:val="0"/>
          <w:sz w:val="24"/>
          <w:szCs w:val="24"/>
          <w:highlight w:val="yellow"/>
          <w:lang w:eastAsia="zh-CN" w:bidi="ar"/>
        </w:rPr>
        <w:t xml:space="preserve"> the</w:t>
      </w:r>
      <w:r w:rsidR="006D1A0F">
        <w:rPr>
          <w:rFonts w:ascii="Times New Roman" w:eastAsia="CIDFont" w:hAnsi="Times New Roman" w:cs="Times New Roman"/>
          <w:color w:val="000000"/>
          <w:kern w:val="0"/>
          <w:sz w:val="24"/>
          <w:szCs w:val="24"/>
          <w:lang w:eastAsia="zh-CN" w:bidi="ar"/>
        </w:rPr>
        <w:t xml:space="preserve"> presence of autoimmune thyroid disease and anti</w:t>
      </w:r>
      <w:r w:rsidR="006D1A0F">
        <w:rPr>
          <w:rFonts w:ascii="Times New Roman" w:hAnsi="Times New Roman" w:cs="Times New Roman"/>
          <w:sz w:val="24"/>
          <w:szCs w:val="24"/>
        </w:rPr>
        <w:t>-</w:t>
      </w:r>
      <w:r w:rsidR="006D1A0F">
        <w:rPr>
          <w:rFonts w:ascii="Times New Roman" w:eastAsia="CIDFont" w:hAnsi="Times New Roman" w:cs="Times New Roman"/>
          <w:color w:val="000000"/>
          <w:kern w:val="0"/>
          <w:sz w:val="24"/>
          <w:szCs w:val="24"/>
          <w:lang w:eastAsia="zh-CN" w:bidi="ar"/>
        </w:rPr>
        <w:t>ovarian autoantibodies, and hyperandrogenism (</w:t>
      </w:r>
      <w:r w:rsidR="009A1C5D" w:rsidRPr="009A1C5D">
        <w:rPr>
          <w:rFonts w:ascii="Times New Roman" w:eastAsia="CIDFont" w:hAnsi="Times New Roman" w:cs="Times New Roman"/>
          <w:color w:val="000000"/>
          <w:kern w:val="0"/>
          <w:sz w:val="24"/>
          <w:szCs w:val="24"/>
          <w:lang w:eastAsia="zh-CN" w:bidi="ar"/>
        </w:rPr>
        <w:t>Livshits &amp; Seidman</w:t>
      </w:r>
      <w:r w:rsidR="006D1A0F">
        <w:rPr>
          <w:rFonts w:ascii="Times New Roman" w:eastAsia="CIDFont" w:hAnsi="Times New Roman" w:cs="Times New Roman"/>
          <w:color w:val="000000"/>
          <w:kern w:val="0"/>
          <w:sz w:val="24"/>
          <w:szCs w:val="24"/>
          <w:lang w:eastAsia="zh-CN" w:bidi="ar"/>
        </w:rPr>
        <w:t>, 2009). Two studies found</w:t>
      </w:r>
      <w:r w:rsidR="006D1A0F">
        <w:rPr>
          <w:rFonts w:ascii="Times New Roman" w:eastAsia="CIDFont" w:hAnsi="Times New Roman" w:cs="Times New Roman"/>
          <w:color w:val="000000"/>
          <w:kern w:val="0"/>
          <w:sz w:val="24"/>
          <w:szCs w:val="24"/>
          <w:highlight w:val="yellow"/>
          <w:lang w:eastAsia="zh-CN" w:bidi="ar"/>
        </w:rPr>
        <w:t xml:space="preserve"> a</w:t>
      </w:r>
      <w:r w:rsidR="006D1A0F">
        <w:rPr>
          <w:rFonts w:ascii="Times New Roman" w:eastAsia="CIDFont" w:hAnsi="Times New Roman" w:cs="Times New Roman"/>
          <w:color w:val="000000"/>
          <w:kern w:val="0"/>
          <w:sz w:val="24"/>
          <w:szCs w:val="24"/>
          <w:lang w:eastAsia="zh-CN" w:bidi="ar"/>
        </w:rPr>
        <w:t xml:space="preserve"> longer time to pregnancy and lower fecundability ratios among women with any type of diabetes compared with women without diabetes (Whitworth et al., 2011; Eisenberg et al., 2016). The higher risk of miscarriage among women with type 2 diabetes found in this study is in line with earlier studies reporting higher </w:t>
      </w:r>
      <w:r w:rsidR="006D1A0F">
        <w:rPr>
          <w:rFonts w:ascii="Times New Roman" w:eastAsia="CIDFont" w:hAnsi="Times New Roman" w:cs="Times New Roman"/>
          <w:color w:val="000000"/>
          <w:kern w:val="0"/>
          <w:sz w:val="24"/>
          <w:szCs w:val="24"/>
          <w:highlight w:val="yellow"/>
          <w:lang w:eastAsia="zh-CN" w:bidi="ar"/>
        </w:rPr>
        <w:t>rat</w:t>
      </w:r>
      <w:r w:rsidR="006D1A0F">
        <w:rPr>
          <w:rFonts w:ascii="Times New Roman" w:eastAsia="CIDFont" w:hAnsi="Times New Roman" w:cs="Times New Roman"/>
          <w:color w:val="000000"/>
          <w:kern w:val="0"/>
          <w:sz w:val="24"/>
          <w:szCs w:val="24"/>
          <w:lang w:eastAsia="zh-CN" w:bidi="ar"/>
        </w:rPr>
        <w:t>es of pregnancy loss among women with either type 1 or type 2 diabetes (Thong et al.,</w:t>
      </w:r>
      <w:r w:rsidR="006D1A0F">
        <w:rPr>
          <w:rFonts w:ascii="Times New Roman" w:eastAsia="CIDFont" w:hAnsi="Times New Roman" w:cs="Times New Roman"/>
          <w:color w:val="000000"/>
          <w:kern w:val="0"/>
          <w:sz w:val="24"/>
          <w:szCs w:val="24"/>
          <w:highlight w:val="yellow"/>
          <w:lang w:eastAsia="zh-CN" w:bidi="ar"/>
        </w:rPr>
        <w:t xml:space="preserve"> </w:t>
      </w:r>
      <w:r w:rsidR="006D1A0F">
        <w:rPr>
          <w:rFonts w:ascii="Times New Roman" w:eastAsia="CIDFont" w:hAnsi="Times New Roman" w:cs="Times New Roman"/>
          <w:color w:val="000000"/>
          <w:kern w:val="0"/>
          <w:sz w:val="24"/>
          <w:szCs w:val="24"/>
          <w:lang w:eastAsia="zh-CN" w:bidi="ar"/>
        </w:rPr>
        <w:t>20</w:t>
      </w:r>
      <w:r w:rsidR="006D1A0F">
        <w:rPr>
          <w:rFonts w:ascii="Times New Roman" w:eastAsia="CIDFont" w:hAnsi="Times New Roman" w:cs="Times New Roman"/>
          <w:color w:val="000000"/>
          <w:kern w:val="0"/>
          <w:sz w:val="24"/>
          <w:szCs w:val="24"/>
          <w:highlight w:val="yellow"/>
          <w:lang w:eastAsia="zh-CN" w:bidi="ar"/>
        </w:rPr>
        <w:t>20;</w:t>
      </w:r>
      <w:r w:rsidR="006D1A0F">
        <w:rPr>
          <w:rFonts w:ascii="Times New Roman" w:eastAsia="CIDFont" w:hAnsi="Times New Roman" w:cs="Times New Roman"/>
          <w:color w:val="000000"/>
          <w:kern w:val="0"/>
          <w:sz w:val="24"/>
          <w:szCs w:val="24"/>
          <w:lang w:eastAsia="zh-CN" w:bidi="ar"/>
        </w:rPr>
        <w:t xml:space="preserve"> McGrogan et al.,</w:t>
      </w:r>
      <w:r w:rsidR="006D1A0F">
        <w:rPr>
          <w:rFonts w:ascii="Times New Roman" w:eastAsia="CIDFont" w:hAnsi="Times New Roman" w:cs="Times New Roman"/>
          <w:color w:val="000000"/>
          <w:kern w:val="0"/>
          <w:sz w:val="24"/>
          <w:szCs w:val="24"/>
          <w:highlight w:val="yellow"/>
          <w:lang w:eastAsia="zh-CN" w:bidi="ar"/>
        </w:rPr>
        <w:t xml:space="preserve"> </w:t>
      </w:r>
      <w:r w:rsidR="006D1A0F">
        <w:rPr>
          <w:rFonts w:ascii="Times New Roman" w:eastAsia="CIDFont" w:hAnsi="Times New Roman" w:cs="Times New Roman"/>
          <w:color w:val="000000"/>
          <w:kern w:val="0"/>
          <w:sz w:val="24"/>
          <w:szCs w:val="24"/>
          <w:lang w:eastAsia="zh-CN" w:bidi="ar"/>
        </w:rPr>
        <w:t>2014), including a linear increase in the risk of spontaneous abortion with increasing glucose levels (Wei et al.,</w:t>
      </w:r>
      <w:r w:rsidR="006D1A0F">
        <w:rPr>
          <w:rFonts w:ascii="Times New Roman" w:eastAsia="CIDFont" w:hAnsi="Times New Roman" w:cs="Times New Roman"/>
          <w:color w:val="000000"/>
          <w:kern w:val="0"/>
          <w:sz w:val="24"/>
          <w:szCs w:val="24"/>
          <w:highlight w:val="yellow"/>
          <w:lang w:eastAsia="zh-CN" w:bidi="ar"/>
        </w:rPr>
        <w:t xml:space="preserve"> </w:t>
      </w:r>
      <w:r w:rsidR="006D1A0F">
        <w:rPr>
          <w:rFonts w:ascii="Times New Roman" w:eastAsia="CIDFont" w:hAnsi="Times New Roman" w:cs="Times New Roman"/>
          <w:color w:val="000000"/>
          <w:kern w:val="0"/>
          <w:sz w:val="24"/>
          <w:szCs w:val="24"/>
          <w:lang w:eastAsia="zh-CN" w:bidi="ar"/>
        </w:rPr>
        <w:t>2019). Subsequent epidemiologic</w:t>
      </w:r>
      <w:r w:rsidR="006D1A0F">
        <w:rPr>
          <w:rFonts w:ascii="Times New Roman" w:eastAsia="CIDFont" w:hAnsi="Times New Roman" w:cs="Times New Roman"/>
          <w:color w:val="000000"/>
          <w:kern w:val="0"/>
          <w:sz w:val="24"/>
          <w:szCs w:val="24"/>
          <w:highlight w:val="yellow"/>
          <w:lang w:eastAsia="zh-CN" w:bidi="ar"/>
        </w:rPr>
        <w:t>al</w:t>
      </w:r>
      <w:r w:rsidR="006D1A0F">
        <w:rPr>
          <w:rFonts w:ascii="Times New Roman" w:eastAsia="CIDFont" w:hAnsi="Times New Roman" w:cs="Times New Roman"/>
          <w:color w:val="000000"/>
          <w:kern w:val="0"/>
          <w:sz w:val="24"/>
          <w:szCs w:val="24"/>
          <w:lang w:eastAsia="zh-CN" w:bidi="ar"/>
        </w:rPr>
        <w:t xml:space="preserve"> studies supported the f</w:t>
      </w:r>
      <w:r w:rsidR="006D1A0F">
        <w:rPr>
          <w:rFonts w:ascii="Times New Roman" w:eastAsia="CIDFont" w:hAnsi="Times New Roman" w:cs="Times New Roman"/>
          <w:color w:val="000000"/>
          <w:kern w:val="0"/>
          <w:sz w:val="24"/>
          <w:szCs w:val="24"/>
          <w:highlight w:val="yellow"/>
          <w:lang w:eastAsia="zh-CN" w:bidi="ar"/>
        </w:rPr>
        <w:t>inding</w:t>
      </w:r>
      <w:r w:rsidR="006D1A0F">
        <w:rPr>
          <w:rFonts w:ascii="Times New Roman" w:eastAsia="CIDFont" w:hAnsi="Times New Roman" w:cs="Times New Roman"/>
          <w:color w:val="000000"/>
          <w:kern w:val="0"/>
          <w:sz w:val="24"/>
          <w:szCs w:val="24"/>
          <w:lang w:eastAsia="zh-CN" w:bidi="ar"/>
        </w:rPr>
        <w:t xml:space="preserve"> that diagnosis of </w:t>
      </w:r>
      <w:r w:rsidR="006D1A0F">
        <w:rPr>
          <w:rFonts w:ascii="Times New Roman" w:eastAsia="CIDFont" w:hAnsi="Times New Roman" w:cs="Times New Roman"/>
          <w:color w:val="000000"/>
          <w:kern w:val="0"/>
          <w:sz w:val="24"/>
          <w:szCs w:val="24"/>
          <w:highlight w:val="yellow"/>
          <w:lang w:eastAsia="zh-CN" w:bidi="ar"/>
        </w:rPr>
        <w:t>t</w:t>
      </w:r>
      <w:r w:rsidR="006D1A0F">
        <w:rPr>
          <w:rFonts w:ascii="Times New Roman" w:eastAsia="CIDFont" w:hAnsi="Times New Roman" w:cs="Times New Roman"/>
          <w:color w:val="000000"/>
          <w:kern w:val="0"/>
          <w:sz w:val="24"/>
          <w:szCs w:val="24"/>
          <w:lang w:eastAsia="zh-CN" w:bidi="ar"/>
        </w:rPr>
        <w:t>ype 1 diabetes prior to menarche, particularly before 10 years of age, caused a delay in menarch</w:t>
      </w:r>
      <w:r w:rsidR="006D1A0F">
        <w:rPr>
          <w:rFonts w:ascii="Times New Roman" w:eastAsia="CIDFont" w:hAnsi="Times New Roman" w:cs="Times New Roman"/>
          <w:color w:val="000000"/>
          <w:kern w:val="0"/>
          <w:sz w:val="24"/>
          <w:szCs w:val="24"/>
          <w:highlight w:val="yellow"/>
          <w:lang w:eastAsia="zh-CN" w:bidi="ar"/>
        </w:rPr>
        <w:t>e</w:t>
      </w:r>
      <w:r w:rsidR="006D1A0F">
        <w:rPr>
          <w:rFonts w:ascii="Times New Roman" w:eastAsia="CIDFont" w:hAnsi="Times New Roman" w:cs="Times New Roman"/>
          <w:color w:val="000000"/>
          <w:kern w:val="0"/>
          <w:sz w:val="24"/>
          <w:szCs w:val="24"/>
          <w:lang w:eastAsia="zh-CN" w:bidi="ar"/>
        </w:rPr>
        <w:t xml:space="preserve">al age of approximately </w:t>
      </w:r>
      <w:r w:rsidR="006D1A0F">
        <w:rPr>
          <w:rFonts w:ascii="Times New Roman" w:eastAsia="CIDFont" w:hAnsi="Times New Roman" w:cs="Times New Roman"/>
          <w:color w:val="000000"/>
          <w:kern w:val="0"/>
          <w:sz w:val="24"/>
          <w:szCs w:val="24"/>
          <w:lang w:eastAsia="zh-CN" w:bidi="ar"/>
        </w:rPr>
        <w:lastRenderedPageBreak/>
        <w:t>1 year when compared with control</w:t>
      </w:r>
      <w:r w:rsidR="006D1A0F">
        <w:rPr>
          <w:rFonts w:ascii="Times New Roman" w:eastAsia="CIDFont" w:hAnsi="Times New Roman" w:cs="Times New Roman"/>
          <w:color w:val="000000"/>
          <w:kern w:val="0"/>
          <w:sz w:val="24"/>
          <w:szCs w:val="24"/>
          <w:highlight w:val="yellow"/>
          <w:lang w:eastAsia="zh-CN" w:bidi="ar"/>
        </w:rPr>
        <w:t>s</w:t>
      </w:r>
      <w:r w:rsidR="006D1A0F">
        <w:rPr>
          <w:rFonts w:ascii="Times New Roman" w:eastAsia="CIDFont" w:hAnsi="Times New Roman" w:cs="Times New Roman"/>
          <w:color w:val="000000"/>
          <w:kern w:val="0"/>
          <w:sz w:val="24"/>
          <w:szCs w:val="24"/>
          <w:lang w:eastAsia="zh-CN" w:bidi="ar"/>
        </w:rPr>
        <w:t xml:space="preserve"> (Yeshaya et al.,</w:t>
      </w:r>
      <w:r w:rsidR="006D1A0F">
        <w:rPr>
          <w:rFonts w:ascii="Times New Roman" w:eastAsia="CIDFont" w:hAnsi="Times New Roman" w:cs="Times New Roman"/>
          <w:color w:val="000000"/>
          <w:kern w:val="0"/>
          <w:sz w:val="24"/>
          <w:szCs w:val="24"/>
          <w:highlight w:val="yellow"/>
          <w:lang w:eastAsia="zh-CN" w:bidi="ar"/>
        </w:rPr>
        <w:t xml:space="preserve"> </w:t>
      </w:r>
      <w:r w:rsidR="006D1A0F">
        <w:rPr>
          <w:rFonts w:ascii="Times New Roman" w:eastAsia="CIDFont" w:hAnsi="Times New Roman" w:cs="Times New Roman"/>
          <w:color w:val="000000"/>
          <w:kern w:val="0"/>
          <w:sz w:val="24"/>
          <w:szCs w:val="24"/>
          <w:lang w:eastAsia="zh-CN" w:bidi="ar"/>
        </w:rPr>
        <w:t xml:space="preserve">1995). Similar results were obtained in studies conducted in different demographic populations. Moreover, a correlation was found between </w:t>
      </w:r>
      <w:r w:rsidR="006D1A0F">
        <w:rPr>
          <w:rFonts w:ascii="Times New Roman" w:eastAsia="CIDFont" w:hAnsi="Times New Roman" w:cs="Times New Roman"/>
          <w:color w:val="000000"/>
          <w:kern w:val="0"/>
          <w:sz w:val="24"/>
          <w:szCs w:val="24"/>
          <w:highlight w:val="yellow"/>
          <w:lang w:eastAsia="zh-CN" w:bidi="ar"/>
        </w:rPr>
        <w:t>d</w:t>
      </w:r>
      <w:r w:rsidR="006D1A0F">
        <w:rPr>
          <w:rFonts w:ascii="Times New Roman" w:eastAsia="CIDFont" w:hAnsi="Times New Roman" w:cs="Times New Roman"/>
          <w:color w:val="000000"/>
          <w:kern w:val="0"/>
          <w:sz w:val="24"/>
          <w:szCs w:val="24"/>
          <w:lang w:eastAsia="zh-CN" w:bidi="ar"/>
        </w:rPr>
        <w:t>e</w:t>
      </w:r>
      <w:r w:rsidR="006D1A0F">
        <w:rPr>
          <w:rFonts w:ascii="Times New Roman" w:eastAsia="CIDFont" w:hAnsi="Times New Roman" w:cs="Times New Roman"/>
          <w:color w:val="000000"/>
          <w:kern w:val="0"/>
          <w:sz w:val="24"/>
          <w:szCs w:val="24"/>
          <w:highlight w:val="yellow"/>
          <w:lang w:eastAsia="zh-CN" w:bidi="ar"/>
        </w:rPr>
        <w:t>layed</w:t>
      </w:r>
      <w:r w:rsidR="006D1A0F">
        <w:rPr>
          <w:rFonts w:ascii="Times New Roman" w:eastAsia="CIDFont" w:hAnsi="Times New Roman" w:cs="Times New Roman"/>
          <w:color w:val="000000"/>
          <w:kern w:val="0"/>
          <w:sz w:val="24"/>
          <w:szCs w:val="24"/>
          <w:lang w:eastAsia="zh-CN" w:bidi="ar"/>
        </w:rPr>
        <w:t xml:space="preserve"> menarch</w:t>
      </w:r>
      <w:r w:rsidR="006D1A0F">
        <w:rPr>
          <w:rFonts w:ascii="Times New Roman" w:eastAsia="CIDFont" w:hAnsi="Times New Roman" w:cs="Times New Roman"/>
          <w:color w:val="000000"/>
          <w:kern w:val="0"/>
          <w:sz w:val="24"/>
          <w:szCs w:val="24"/>
          <w:highlight w:val="yellow"/>
          <w:lang w:eastAsia="zh-CN" w:bidi="ar"/>
        </w:rPr>
        <w:t>e</w:t>
      </w:r>
      <w:r w:rsidR="006D1A0F">
        <w:rPr>
          <w:rFonts w:ascii="Times New Roman" w:eastAsia="CIDFont" w:hAnsi="Times New Roman" w:cs="Times New Roman"/>
          <w:color w:val="000000"/>
          <w:kern w:val="0"/>
          <w:sz w:val="24"/>
          <w:szCs w:val="24"/>
          <w:lang w:eastAsia="zh-CN" w:bidi="ar"/>
        </w:rPr>
        <w:t>al age and the presence of menstrual irregularities (Thong et al.,</w:t>
      </w:r>
      <w:r w:rsidR="006D1A0F">
        <w:rPr>
          <w:rFonts w:ascii="Times New Roman" w:eastAsia="CIDFont" w:hAnsi="Times New Roman" w:cs="Times New Roman"/>
          <w:color w:val="000000"/>
          <w:kern w:val="0"/>
          <w:sz w:val="24"/>
          <w:szCs w:val="24"/>
          <w:highlight w:val="yellow"/>
          <w:lang w:eastAsia="zh-CN" w:bidi="ar"/>
        </w:rPr>
        <w:t xml:space="preserve"> </w:t>
      </w:r>
      <w:r w:rsidR="006D1A0F">
        <w:rPr>
          <w:rFonts w:ascii="Times New Roman" w:eastAsia="CIDFont" w:hAnsi="Times New Roman" w:cs="Times New Roman"/>
          <w:color w:val="000000"/>
          <w:kern w:val="0"/>
          <w:sz w:val="24"/>
          <w:szCs w:val="24"/>
          <w:lang w:eastAsia="zh-CN" w:bidi="ar"/>
        </w:rPr>
        <w:t>20</w:t>
      </w:r>
      <w:r w:rsidR="006D1A0F">
        <w:rPr>
          <w:rFonts w:ascii="Times New Roman" w:eastAsia="CIDFont" w:hAnsi="Times New Roman" w:cs="Times New Roman"/>
          <w:color w:val="000000"/>
          <w:kern w:val="0"/>
          <w:sz w:val="24"/>
          <w:szCs w:val="24"/>
          <w:highlight w:val="yellow"/>
          <w:lang w:eastAsia="zh-CN" w:bidi="ar"/>
        </w:rPr>
        <w:t>20;</w:t>
      </w:r>
      <w:r w:rsidR="006D1A0F">
        <w:rPr>
          <w:rFonts w:ascii="Times New Roman" w:eastAsia="CIDFont" w:hAnsi="Times New Roman" w:cs="Times New Roman"/>
          <w:color w:val="000000"/>
          <w:kern w:val="0"/>
          <w:sz w:val="24"/>
          <w:szCs w:val="24"/>
          <w:lang w:eastAsia="zh-CN" w:bidi="ar"/>
        </w:rPr>
        <w:t xml:space="preserve"> McGrogan et al.,</w:t>
      </w:r>
      <w:r w:rsidR="006D1A0F">
        <w:rPr>
          <w:rFonts w:ascii="Times New Roman" w:eastAsia="CIDFont" w:hAnsi="Times New Roman" w:cs="Times New Roman"/>
          <w:color w:val="000000"/>
          <w:kern w:val="0"/>
          <w:sz w:val="24"/>
          <w:szCs w:val="24"/>
          <w:highlight w:val="yellow"/>
          <w:lang w:eastAsia="zh-CN" w:bidi="ar"/>
        </w:rPr>
        <w:t xml:space="preserve"> </w:t>
      </w:r>
      <w:r w:rsidR="006D1A0F">
        <w:rPr>
          <w:rFonts w:ascii="Times New Roman" w:eastAsia="CIDFont" w:hAnsi="Times New Roman" w:cs="Times New Roman"/>
          <w:color w:val="000000"/>
          <w:kern w:val="0"/>
          <w:sz w:val="24"/>
          <w:szCs w:val="24"/>
          <w:lang w:eastAsia="zh-CN" w:bidi="ar"/>
        </w:rPr>
        <w:t xml:space="preserve">2014). Kjaer </w:t>
      </w:r>
      <w:r w:rsidR="006D1A0F">
        <w:rPr>
          <w:rFonts w:ascii="Times New Roman" w:eastAsia="CIDFont" w:hAnsi="Times New Roman" w:cs="Times New Roman"/>
          <w:i/>
          <w:color w:val="000000"/>
          <w:kern w:val="0"/>
          <w:sz w:val="24"/>
          <w:szCs w:val="24"/>
          <w:lang w:eastAsia="zh-CN" w:bidi="ar"/>
        </w:rPr>
        <w:t>et al</w:t>
      </w:r>
      <w:r w:rsidR="006D1A0F">
        <w:rPr>
          <w:rFonts w:ascii="Times New Roman" w:eastAsia="CIDFont" w:hAnsi="Times New Roman" w:cs="Times New Roman"/>
          <w:color w:val="000000"/>
          <w:kern w:val="0"/>
          <w:sz w:val="24"/>
          <w:szCs w:val="24"/>
          <w:highlight w:val="yellow"/>
          <w:lang w:eastAsia="zh-CN" w:bidi="ar"/>
        </w:rPr>
        <w:t>.</w:t>
      </w:r>
      <w:r w:rsidR="006D1A0F">
        <w:rPr>
          <w:rFonts w:ascii="Times New Roman" w:eastAsia="CIDFont" w:hAnsi="Times New Roman" w:cs="Times New Roman"/>
          <w:color w:val="000000"/>
          <w:kern w:val="0"/>
          <w:sz w:val="24"/>
          <w:szCs w:val="24"/>
          <w:lang w:eastAsia="zh-CN" w:bidi="ar"/>
        </w:rPr>
        <w:t xml:space="preserve"> found menstrual dysfunction to be twice </w:t>
      </w:r>
      <w:r w:rsidR="006D1A0F">
        <w:rPr>
          <w:rFonts w:ascii="Times New Roman" w:eastAsia="CIDFont" w:hAnsi="Times New Roman" w:cs="Times New Roman"/>
          <w:color w:val="000000"/>
          <w:kern w:val="0"/>
          <w:sz w:val="24"/>
          <w:szCs w:val="24"/>
          <w:highlight w:val="yellow"/>
          <w:lang w:eastAsia="zh-CN" w:bidi="ar"/>
        </w:rPr>
        <w:t xml:space="preserve">as </w:t>
      </w:r>
      <w:r w:rsidR="006D1A0F">
        <w:rPr>
          <w:rFonts w:ascii="Times New Roman" w:eastAsia="CIDFont" w:hAnsi="Times New Roman" w:cs="Times New Roman"/>
          <w:color w:val="000000"/>
          <w:kern w:val="0"/>
          <w:sz w:val="24"/>
          <w:szCs w:val="24"/>
          <w:lang w:eastAsia="zh-CN" w:bidi="ar"/>
        </w:rPr>
        <w:t xml:space="preserve">frequent in </w:t>
      </w:r>
      <w:r w:rsidR="006D1A0F">
        <w:rPr>
          <w:rFonts w:ascii="Times New Roman" w:eastAsia="CIDFont" w:hAnsi="Times New Roman" w:cs="Times New Roman"/>
          <w:color w:val="000000"/>
          <w:kern w:val="0"/>
          <w:sz w:val="24"/>
          <w:szCs w:val="24"/>
          <w:highlight w:val="yellow"/>
          <w:lang w:eastAsia="zh-CN" w:bidi="ar"/>
        </w:rPr>
        <w:t xml:space="preserve">women with </w:t>
      </w:r>
      <w:r w:rsidR="006D1A0F">
        <w:rPr>
          <w:rFonts w:ascii="Times New Roman" w:eastAsia="CIDFont" w:hAnsi="Times New Roman" w:cs="Times New Roman"/>
          <w:color w:val="000000"/>
          <w:kern w:val="0"/>
          <w:sz w:val="24"/>
          <w:szCs w:val="24"/>
          <w:lang w:eastAsia="zh-CN" w:bidi="ar"/>
        </w:rPr>
        <w:t>diabet</w:t>
      </w:r>
      <w:r w:rsidR="006D1A0F">
        <w:rPr>
          <w:rFonts w:ascii="Times New Roman" w:eastAsia="CIDFont" w:hAnsi="Times New Roman" w:cs="Times New Roman"/>
          <w:color w:val="000000"/>
          <w:kern w:val="0"/>
          <w:sz w:val="24"/>
          <w:szCs w:val="24"/>
          <w:highlight w:val="yellow"/>
          <w:lang w:eastAsia="zh-CN" w:bidi="ar"/>
        </w:rPr>
        <w:t xml:space="preserve">es as </w:t>
      </w:r>
      <w:r w:rsidR="006D1A0F">
        <w:rPr>
          <w:rFonts w:ascii="Times New Roman" w:eastAsia="CIDFont" w:hAnsi="Times New Roman" w:cs="Times New Roman"/>
          <w:color w:val="000000"/>
          <w:kern w:val="0"/>
          <w:sz w:val="24"/>
          <w:szCs w:val="24"/>
          <w:lang w:eastAsia="zh-CN" w:bidi="ar"/>
        </w:rPr>
        <w:t>in non</w:t>
      </w:r>
      <w:r w:rsidR="006D1A0F">
        <w:rPr>
          <w:rFonts w:ascii="Times New Roman" w:eastAsia="CIDFont" w:hAnsi="Times New Roman" w:cs="Times New Roman"/>
          <w:color w:val="000000"/>
          <w:kern w:val="0"/>
          <w:sz w:val="24"/>
          <w:szCs w:val="24"/>
          <w:highlight w:val="yellow"/>
          <w:lang w:eastAsia="zh-CN" w:bidi="ar"/>
        </w:rPr>
        <w:t>-</w:t>
      </w:r>
      <w:r w:rsidR="006D1A0F">
        <w:rPr>
          <w:rFonts w:ascii="Times New Roman" w:eastAsia="CIDFont" w:hAnsi="Times New Roman" w:cs="Times New Roman"/>
          <w:color w:val="000000"/>
          <w:kern w:val="0"/>
          <w:sz w:val="24"/>
          <w:szCs w:val="24"/>
          <w:lang w:eastAsia="zh-CN" w:bidi="ar"/>
        </w:rPr>
        <w:t>diabetic controls (21.6 vs 10.8%) (Yeshaya et al.,</w:t>
      </w:r>
      <w:r w:rsidR="006D1A0F">
        <w:rPr>
          <w:rFonts w:ascii="Times New Roman" w:eastAsia="CIDFont" w:hAnsi="Times New Roman" w:cs="Times New Roman"/>
          <w:color w:val="000000"/>
          <w:kern w:val="0"/>
          <w:sz w:val="24"/>
          <w:szCs w:val="24"/>
          <w:highlight w:val="yellow"/>
          <w:lang w:eastAsia="zh-CN" w:bidi="ar"/>
        </w:rPr>
        <w:t xml:space="preserve"> </w:t>
      </w:r>
      <w:r w:rsidR="006D1A0F">
        <w:rPr>
          <w:rFonts w:ascii="Times New Roman" w:eastAsia="CIDFont" w:hAnsi="Times New Roman" w:cs="Times New Roman"/>
          <w:color w:val="000000"/>
          <w:kern w:val="0"/>
          <w:sz w:val="24"/>
          <w:szCs w:val="24"/>
          <w:lang w:eastAsia="zh-CN" w:bidi="ar"/>
        </w:rPr>
        <w:t xml:space="preserve">1995), which is lower than </w:t>
      </w:r>
      <w:r w:rsidR="006D1A0F">
        <w:rPr>
          <w:rFonts w:ascii="Times New Roman" w:eastAsia="CIDFont" w:hAnsi="Times New Roman" w:cs="Times New Roman"/>
          <w:color w:val="000000"/>
          <w:kern w:val="0"/>
          <w:sz w:val="24"/>
          <w:szCs w:val="24"/>
          <w:highlight w:val="yellow"/>
          <w:lang w:eastAsia="zh-CN" w:bidi="ar"/>
        </w:rPr>
        <w:t xml:space="preserve">that </w:t>
      </w:r>
      <w:r w:rsidR="006D1A0F">
        <w:rPr>
          <w:rFonts w:ascii="Times New Roman" w:eastAsia="CIDFont" w:hAnsi="Times New Roman" w:cs="Times New Roman"/>
          <w:color w:val="000000"/>
          <w:kern w:val="0"/>
          <w:sz w:val="24"/>
          <w:szCs w:val="24"/>
          <w:lang w:eastAsia="zh-CN" w:bidi="ar"/>
        </w:rPr>
        <w:t xml:space="preserve">reported by Begqvist but no less </w:t>
      </w:r>
      <w:r w:rsidR="006D1A0F">
        <w:rPr>
          <w:rFonts w:ascii="Times New Roman" w:eastAsia="CIDFont" w:hAnsi="Times New Roman" w:cs="Times New Roman"/>
          <w:color w:val="000000"/>
          <w:kern w:val="0"/>
          <w:sz w:val="24"/>
          <w:szCs w:val="24"/>
          <w:highlight w:val="yellow"/>
          <w:lang w:eastAsia="zh-CN" w:bidi="ar"/>
        </w:rPr>
        <w:t>c</w:t>
      </w:r>
      <w:r w:rsidR="006D1A0F">
        <w:rPr>
          <w:rFonts w:ascii="Times New Roman" w:eastAsia="CIDFont" w:hAnsi="Times New Roman" w:cs="Times New Roman"/>
          <w:color w:val="000000"/>
          <w:kern w:val="0"/>
          <w:sz w:val="24"/>
          <w:szCs w:val="24"/>
          <w:lang w:eastAsia="zh-CN" w:bidi="ar"/>
        </w:rPr>
        <w:t>o</w:t>
      </w:r>
      <w:r w:rsidR="006D1A0F">
        <w:rPr>
          <w:rFonts w:ascii="Times New Roman" w:eastAsia="CIDFont" w:hAnsi="Times New Roman" w:cs="Times New Roman"/>
          <w:color w:val="000000"/>
          <w:kern w:val="0"/>
          <w:sz w:val="24"/>
          <w:szCs w:val="24"/>
          <w:highlight w:val="yellow"/>
          <w:lang w:eastAsia="zh-CN" w:bidi="ar"/>
        </w:rPr>
        <w:t>nc</w:t>
      </w:r>
      <w:r w:rsidR="006D1A0F">
        <w:rPr>
          <w:rFonts w:ascii="Times New Roman" w:eastAsia="CIDFont" w:hAnsi="Times New Roman" w:cs="Times New Roman"/>
          <w:color w:val="000000"/>
          <w:kern w:val="0"/>
          <w:sz w:val="24"/>
          <w:szCs w:val="24"/>
          <w:lang w:eastAsia="zh-CN" w:bidi="ar"/>
        </w:rPr>
        <w:t>er</w:t>
      </w:r>
      <w:r w:rsidR="006D1A0F">
        <w:rPr>
          <w:rFonts w:ascii="Times New Roman" w:eastAsia="CIDFont" w:hAnsi="Times New Roman" w:cs="Times New Roman"/>
          <w:color w:val="000000"/>
          <w:kern w:val="0"/>
          <w:sz w:val="24"/>
          <w:szCs w:val="24"/>
          <w:highlight w:val="yellow"/>
          <w:lang w:eastAsia="zh-CN" w:bidi="ar"/>
        </w:rPr>
        <w:t>ning</w:t>
      </w:r>
      <w:r w:rsidR="006D1A0F">
        <w:rPr>
          <w:rFonts w:ascii="Times New Roman" w:eastAsia="CIDFont" w:hAnsi="Times New Roman" w:cs="Times New Roman"/>
          <w:color w:val="000000"/>
          <w:kern w:val="0"/>
          <w:sz w:val="24"/>
          <w:szCs w:val="24"/>
          <w:lang w:eastAsia="zh-CN" w:bidi="ar"/>
        </w:rPr>
        <w:t xml:space="preserve">. In addition, in Strotmeyer’s study, </w:t>
      </w:r>
      <w:r w:rsidR="006D1A0F">
        <w:rPr>
          <w:rFonts w:ascii="Times New Roman" w:eastAsia="CIDFont" w:hAnsi="Times New Roman" w:cs="Times New Roman"/>
          <w:color w:val="000000"/>
          <w:kern w:val="0"/>
          <w:sz w:val="24"/>
          <w:szCs w:val="24"/>
          <w:highlight w:val="yellow"/>
          <w:lang w:eastAsia="zh-CN" w:bidi="ar"/>
        </w:rPr>
        <w:t>t</w:t>
      </w:r>
      <w:r w:rsidR="006D1A0F">
        <w:rPr>
          <w:rFonts w:ascii="Times New Roman" w:eastAsia="CIDFont" w:hAnsi="Times New Roman" w:cs="Times New Roman"/>
          <w:color w:val="000000"/>
          <w:kern w:val="0"/>
          <w:sz w:val="24"/>
          <w:szCs w:val="24"/>
          <w:lang w:eastAsia="zh-CN" w:bidi="ar"/>
        </w:rPr>
        <w:t>ype 1 diabetes was independently associated with longer cycle length (&gt;31 days), long menstruation (≥6 days), heavy menstruation, and more reports of any menstrual problem at younger ages (&lt;29 years) (Wei et al.,</w:t>
      </w:r>
      <w:r w:rsidR="006D1A0F">
        <w:rPr>
          <w:rFonts w:ascii="Times New Roman" w:eastAsia="CIDFont" w:hAnsi="Times New Roman" w:cs="Times New Roman"/>
          <w:color w:val="000000"/>
          <w:kern w:val="0"/>
          <w:sz w:val="24"/>
          <w:szCs w:val="24"/>
          <w:highlight w:val="yellow"/>
          <w:lang w:eastAsia="zh-CN" w:bidi="ar"/>
        </w:rPr>
        <w:t xml:space="preserve"> </w:t>
      </w:r>
      <w:r w:rsidR="006D1A0F">
        <w:rPr>
          <w:rFonts w:ascii="Times New Roman" w:eastAsia="CIDFont" w:hAnsi="Times New Roman" w:cs="Times New Roman"/>
          <w:color w:val="000000"/>
          <w:kern w:val="0"/>
          <w:sz w:val="24"/>
          <w:szCs w:val="24"/>
          <w:lang w:eastAsia="zh-CN" w:bidi="ar"/>
        </w:rPr>
        <w:t>2019). As women moved closer to the end of their reproductive years, the differences o</w:t>
      </w:r>
      <w:r w:rsidR="006D1A0F">
        <w:rPr>
          <w:rFonts w:ascii="Times New Roman" w:eastAsia="CIDFont" w:hAnsi="Times New Roman" w:cs="Times New Roman"/>
          <w:color w:val="000000"/>
          <w:kern w:val="0"/>
          <w:sz w:val="24"/>
          <w:szCs w:val="24"/>
          <w:highlight w:val="yellow"/>
          <w:lang w:eastAsia="zh-CN" w:bidi="ar"/>
        </w:rPr>
        <w:t>bserve</w:t>
      </w:r>
      <w:r w:rsidR="006D1A0F">
        <w:rPr>
          <w:rFonts w:ascii="Times New Roman" w:eastAsia="CIDFont" w:hAnsi="Times New Roman" w:cs="Times New Roman"/>
          <w:color w:val="000000"/>
          <w:kern w:val="0"/>
          <w:sz w:val="24"/>
          <w:szCs w:val="24"/>
          <w:lang w:eastAsia="zh-CN" w:bidi="ar"/>
        </w:rPr>
        <w:t>d by diabetes status were no longer significant. The observations</w:t>
      </w:r>
      <w:r w:rsidR="006D1A0F">
        <w:rPr>
          <w:rFonts w:ascii="Times New Roman" w:eastAsia="CIDFont" w:hAnsi="Times New Roman" w:cs="Times New Roman"/>
          <w:color w:val="000000"/>
          <w:kern w:val="0"/>
          <w:sz w:val="24"/>
          <w:szCs w:val="24"/>
          <w:highlight w:val="yellow"/>
          <w:lang w:eastAsia="zh-CN" w:bidi="ar"/>
        </w:rPr>
        <w:t xml:space="preserve"> described above</w:t>
      </w:r>
      <w:r w:rsidR="006D1A0F">
        <w:rPr>
          <w:rFonts w:ascii="Times New Roman" w:eastAsia="CIDFont" w:hAnsi="Times New Roman" w:cs="Times New Roman"/>
          <w:color w:val="000000"/>
          <w:kern w:val="0"/>
          <w:sz w:val="24"/>
          <w:szCs w:val="24"/>
          <w:lang w:eastAsia="zh-CN" w:bidi="ar"/>
        </w:rPr>
        <w:t xml:space="preserve"> may reflect a general dysfunction of the hypothalamic</w:t>
      </w:r>
      <w:r w:rsidR="006D1A0F">
        <w:rPr>
          <w:rFonts w:ascii="Times New Roman" w:eastAsia="CIDFont" w:hAnsi="Times New Roman" w:cs="Times New Roman"/>
          <w:color w:val="000000"/>
          <w:kern w:val="0"/>
          <w:sz w:val="24"/>
          <w:szCs w:val="24"/>
          <w:highlight w:val="yellow"/>
          <w:lang w:eastAsia="zh-CN" w:bidi="ar"/>
        </w:rPr>
        <w:t>-</w:t>
      </w:r>
      <w:r w:rsidR="006D1A0F">
        <w:rPr>
          <w:rFonts w:ascii="Times New Roman" w:eastAsia="CIDFont" w:hAnsi="Times New Roman" w:cs="Times New Roman"/>
          <w:color w:val="000000"/>
          <w:kern w:val="0"/>
          <w:sz w:val="24"/>
          <w:szCs w:val="24"/>
          <w:lang w:eastAsia="zh-CN" w:bidi="ar"/>
        </w:rPr>
        <w:t>pituitary</w:t>
      </w:r>
      <w:r w:rsidR="006D1A0F">
        <w:rPr>
          <w:rFonts w:ascii="Times New Roman" w:eastAsia="CIDFont" w:hAnsi="Times New Roman" w:cs="Times New Roman"/>
          <w:color w:val="000000"/>
          <w:kern w:val="0"/>
          <w:sz w:val="24"/>
          <w:szCs w:val="24"/>
          <w:highlight w:val="yellow"/>
          <w:lang w:eastAsia="zh-CN" w:bidi="ar"/>
        </w:rPr>
        <w:t>-</w:t>
      </w:r>
      <w:r w:rsidR="006D1A0F">
        <w:rPr>
          <w:rFonts w:ascii="Times New Roman" w:eastAsia="CIDFont" w:hAnsi="Times New Roman" w:cs="Times New Roman"/>
          <w:color w:val="000000"/>
          <w:kern w:val="0"/>
          <w:sz w:val="24"/>
          <w:szCs w:val="24"/>
          <w:lang w:eastAsia="zh-CN" w:bidi="ar"/>
        </w:rPr>
        <w:t>ovarian (HPO) axis (Wei et al.,</w:t>
      </w:r>
      <w:r w:rsidR="006D1A0F">
        <w:rPr>
          <w:rFonts w:ascii="Times New Roman" w:eastAsia="CIDFont" w:hAnsi="Times New Roman" w:cs="Times New Roman"/>
          <w:color w:val="000000"/>
          <w:kern w:val="0"/>
          <w:sz w:val="24"/>
          <w:szCs w:val="24"/>
          <w:highlight w:val="yellow"/>
          <w:lang w:eastAsia="zh-CN" w:bidi="ar"/>
        </w:rPr>
        <w:t xml:space="preserve"> </w:t>
      </w:r>
      <w:r w:rsidR="006D1A0F">
        <w:rPr>
          <w:rFonts w:ascii="Times New Roman" w:eastAsia="CIDFont" w:hAnsi="Times New Roman" w:cs="Times New Roman"/>
          <w:color w:val="000000"/>
          <w:kern w:val="0"/>
          <w:sz w:val="24"/>
          <w:szCs w:val="24"/>
          <w:lang w:eastAsia="zh-CN" w:bidi="ar"/>
        </w:rPr>
        <w:t xml:space="preserve">2019). The effect of </w:t>
      </w:r>
      <w:r w:rsidR="006D1A0F">
        <w:rPr>
          <w:rFonts w:ascii="Times New Roman" w:eastAsia="CIDFont" w:hAnsi="Times New Roman" w:cs="Times New Roman"/>
          <w:color w:val="000000"/>
          <w:kern w:val="0"/>
          <w:sz w:val="24"/>
          <w:szCs w:val="24"/>
          <w:highlight w:val="yellow"/>
          <w:lang w:eastAsia="zh-CN" w:bidi="ar"/>
        </w:rPr>
        <w:t>t</w:t>
      </w:r>
      <w:r w:rsidR="006D1A0F">
        <w:rPr>
          <w:rFonts w:ascii="Times New Roman" w:eastAsia="CIDFont" w:hAnsi="Times New Roman" w:cs="Times New Roman"/>
          <w:color w:val="000000"/>
          <w:kern w:val="0"/>
          <w:sz w:val="24"/>
          <w:szCs w:val="24"/>
          <w:lang w:eastAsia="zh-CN" w:bidi="ar"/>
        </w:rPr>
        <w:t>ype 1 diabetes on the reproductive endocrine axis can be conceptuali</w:t>
      </w:r>
      <w:r w:rsidR="006D1A0F">
        <w:rPr>
          <w:rFonts w:ascii="Times New Roman" w:eastAsia="CIDFont" w:hAnsi="Times New Roman" w:cs="Times New Roman"/>
          <w:color w:val="000000"/>
          <w:kern w:val="0"/>
          <w:sz w:val="24"/>
          <w:szCs w:val="24"/>
          <w:highlight w:val="yellow"/>
          <w:lang w:eastAsia="zh-CN" w:bidi="ar"/>
        </w:rPr>
        <w:t>s</w:t>
      </w:r>
      <w:r w:rsidR="006D1A0F">
        <w:rPr>
          <w:rFonts w:ascii="Times New Roman" w:eastAsia="CIDFont" w:hAnsi="Times New Roman" w:cs="Times New Roman"/>
          <w:color w:val="000000"/>
          <w:kern w:val="0"/>
          <w:sz w:val="24"/>
          <w:szCs w:val="24"/>
          <w:lang w:eastAsia="zh-CN" w:bidi="ar"/>
        </w:rPr>
        <w:t xml:space="preserve">ed as anorexia-like hypothalamic anovulation. </w:t>
      </w:r>
      <w:r w:rsidR="006D1A0F">
        <w:rPr>
          <w:rFonts w:ascii="Times New Roman" w:eastAsia="CIDFont" w:hAnsi="Times New Roman" w:cs="Times New Roman"/>
          <w:color w:val="000000"/>
          <w:kern w:val="0"/>
          <w:sz w:val="24"/>
          <w:szCs w:val="24"/>
          <w:highlight w:val="yellow"/>
          <w:lang w:eastAsia="zh-CN" w:bidi="ar"/>
        </w:rPr>
        <w:t>W</w:t>
      </w:r>
      <w:r w:rsidR="006D1A0F">
        <w:rPr>
          <w:rFonts w:ascii="Times New Roman" w:eastAsia="CIDFont" w:hAnsi="Times New Roman" w:cs="Times New Roman"/>
          <w:color w:val="000000"/>
          <w:kern w:val="0"/>
          <w:sz w:val="24"/>
          <w:szCs w:val="24"/>
          <w:lang w:eastAsia="zh-CN" w:bidi="ar"/>
        </w:rPr>
        <w:t>omen with</w:t>
      </w:r>
      <w:r w:rsidR="006D1A0F">
        <w:rPr>
          <w:rFonts w:ascii="Times New Roman" w:eastAsia="CIDFont" w:hAnsi="Times New Roman" w:cs="Times New Roman"/>
          <w:color w:val="000000"/>
          <w:kern w:val="0"/>
          <w:sz w:val="24"/>
          <w:szCs w:val="24"/>
          <w:highlight w:val="yellow"/>
          <w:lang w:eastAsia="zh-CN" w:bidi="ar"/>
        </w:rPr>
        <w:t xml:space="preserve"> diabetes and a</w:t>
      </w:r>
      <w:r w:rsidR="006D1A0F">
        <w:rPr>
          <w:rFonts w:ascii="Times New Roman" w:eastAsia="CIDFont" w:hAnsi="Times New Roman" w:cs="Times New Roman"/>
          <w:color w:val="000000"/>
          <w:kern w:val="0"/>
          <w:sz w:val="24"/>
          <w:szCs w:val="24"/>
          <w:lang w:eastAsia="zh-CN" w:bidi="ar"/>
        </w:rPr>
        <w:t xml:space="preserve"> low BMI are more likely to have menstrual irregularities (Yeshaya et al.,</w:t>
      </w:r>
      <w:r w:rsidR="006D1A0F">
        <w:rPr>
          <w:rFonts w:ascii="Times New Roman" w:eastAsia="CIDFont" w:hAnsi="Times New Roman" w:cs="Times New Roman"/>
          <w:color w:val="000000"/>
          <w:kern w:val="0"/>
          <w:sz w:val="24"/>
          <w:szCs w:val="24"/>
          <w:highlight w:val="yellow"/>
          <w:lang w:eastAsia="zh-CN" w:bidi="ar"/>
        </w:rPr>
        <w:t xml:space="preserve"> </w:t>
      </w:r>
      <w:r w:rsidR="006D1A0F">
        <w:rPr>
          <w:rFonts w:ascii="Times New Roman" w:eastAsia="CIDFont" w:hAnsi="Times New Roman" w:cs="Times New Roman"/>
          <w:color w:val="000000"/>
          <w:kern w:val="0"/>
          <w:sz w:val="24"/>
          <w:szCs w:val="24"/>
          <w:lang w:eastAsia="zh-CN" w:bidi="ar"/>
        </w:rPr>
        <w:t xml:space="preserve">1995). </w:t>
      </w:r>
      <w:r w:rsidR="006D1A0F">
        <w:rPr>
          <w:rFonts w:ascii="Times New Roman" w:eastAsia="CIDFont" w:hAnsi="Times New Roman" w:cs="Times New Roman"/>
          <w:color w:val="000000"/>
          <w:kern w:val="0"/>
          <w:sz w:val="24"/>
          <w:szCs w:val="24"/>
          <w:highlight w:val="yellow"/>
          <w:lang w:eastAsia="zh-CN" w:bidi="ar"/>
        </w:rPr>
        <w:t>C</w:t>
      </w:r>
      <w:r w:rsidR="006D1A0F">
        <w:rPr>
          <w:rFonts w:ascii="Times New Roman" w:eastAsia="CIDFont" w:hAnsi="Times New Roman" w:cs="Times New Roman"/>
          <w:color w:val="000000"/>
          <w:kern w:val="0"/>
          <w:sz w:val="24"/>
          <w:szCs w:val="24"/>
          <w:lang w:eastAsia="zh-CN" w:bidi="ar"/>
        </w:rPr>
        <w:t xml:space="preserve">atabolic processes </w:t>
      </w:r>
      <w:r w:rsidR="006D1A0F">
        <w:rPr>
          <w:rFonts w:ascii="Times New Roman" w:eastAsia="CIDFont" w:hAnsi="Times New Roman" w:cs="Times New Roman"/>
          <w:color w:val="000000"/>
          <w:kern w:val="0"/>
          <w:sz w:val="24"/>
          <w:szCs w:val="24"/>
          <w:highlight w:val="yellow"/>
          <w:lang w:eastAsia="zh-CN" w:bidi="ar"/>
        </w:rPr>
        <w:t xml:space="preserve">occur </w:t>
      </w:r>
      <w:r w:rsidR="006D1A0F">
        <w:rPr>
          <w:rFonts w:ascii="Times New Roman" w:eastAsia="CIDFont" w:hAnsi="Times New Roman" w:cs="Times New Roman"/>
          <w:color w:val="000000"/>
          <w:kern w:val="0"/>
          <w:sz w:val="24"/>
          <w:szCs w:val="24"/>
          <w:lang w:eastAsia="zh-CN" w:bidi="ar"/>
        </w:rPr>
        <w:t xml:space="preserve">in young </w:t>
      </w:r>
      <w:r w:rsidR="006D1A0F">
        <w:rPr>
          <w:rFonts w:ascii="Times New Roman" w:eastAsia="CIDFont" w:hAnsi="Times New Roman" w:cs="Times New Roman"/>
          <w:color w:val="000000"/>
          <w:kern w:val="0"/>
          <w:sz w:val="24"/>
          <w:szCs w:val="24"/>
          <w:highlight w:val="yellow"/>
          <w:lang w:eastAsia="zh-CN" w:bidi="ar"/>
        </w:rPr>
        <w:t xml:space="preserve">girls with </w:t>
      </w:r>
      <w:r w:rsidR="006D1A0F">
        <w:rPr>
          <w:rFonts w:ascii="Times New Roman" w:eastAsia="CIDFont" w:hAnsi="Times New Roman" w:cs="Times New Roman"/>
          <w:color w:val="000000"/>
          <w:kern w:val="0"/>
          <w:sz w:val="24"/>
          <w:szCs w:val="24"/>
          <w:lang w:eastAsia="zh-CN" w:bidi="ar"/>
        </w:rPr>
        <w:t>diabet</w:t>
      </w:r>
      <w:r w:rsidR="006D1A0F">
        <w:rPr>
          <w:rFonts w:ascii="Times New Roman" w:eastAsia="CIDFont" w:hAnsi="Times New Roman" w:cs="Times New Roman"/>
          <w:color w:val="000000"/>
          <w:kern w:val="0"/>
          <w:sz w:val="24"/>
          <w:szCs w:val="24"/>
          <w:highlight w:val="yellow"/>
          <w:lang w:eastAsia="zh-CN" w:bidi="ar"/>
        </w:rPr>
        <w:t>e</w:t>
      </w:r>
      <w:r w:rsidR="006D1A0F">
        <w:rPr>
          <w:rFonts w:ascii="Times New Roman" w:eastAsia="CIDFont" w:hAnsi="Times New Roman" w:cs="Times New Roman"/>
          <w:color w:val="000000"/>
          <w:kern w:val="0"/>
          <w:sz w:val="24"/>
          <w:szCs w:val="24"/>
          <w:lang w:eastAsia="zh-CN" w:bidi="ar"/>
        </w:rPr>
        <w:t>s</w:t>
      </w:r>
      <w:r w:rsidR="006D1A0F">
        <w:rPr>
          <w:rFonts w:ascii="Times New Roman" w:eastAsia="CIDFont" w:hAnsi="Times New Roman" w:cs="Times New Roman"/>
          <w:color w:val="000000"/>
          <w:kern w:val="0"/>
          <w:sz w:val="24"/>
          <w:szCs w:val="24"/>
          <w:highlight w:val="yellow"/>
          <w:lang w:eastAsia="zh-CN" w:bidi="ar"/>
        </w:rPr>
        <w:t>,</w:t>
      </w:r>
      <w:r w:rsidR="006D1A0F">
        <w:rPr>
          <w:rFonts w:ascii="Times New Roman" w:eastAsia="CIDFont" w:hAnsi="Times New Roman" w:cs="Times New Roman"/>
          <w:color w:val="000000"/>
          <w:kern w:val="0"/>
          <w:sz w:val="24"/>
          <w:szCs w:val="24"/>
          <w:lang w:eastAsia="zh-CN" w:bidi="ar"/>
        </w:rPr>
        <w:t xml:space="preserve"> and nutritional restriction leads to intracellular starvation, especially before diagnosis and initiati</w:t>
      </w:r>
      <w:r w:rsidR="006D1A0F">
        <w:rPr>
          <w:rFonts w:ascii="Times New Roman" w:eastAsia="CIDFont" w:hAnsi="Times New Roman" w:cs="Times New Roman"/>
          <w:color w:val="000000"/>
          <w:kern w:val="0"/>
          <w:sz w:val="24"/>
          <w:szCs w:val="24"/>
          <w:highlight w:val="yellow"/>
          <w:lang w:eastAsia="zh-CN" w:bidi="ar"/>
        </w:rPr>
        <w:t>o</w:t>
      </w:r>
      <w:r w:rsidR="006D1A0F">
        <w:rPr>
          <w:rFonts w:ascii="Times New Roman" w:eastAsia="CIDFont" w:hAnsi="Times New Roman" w:cs="Times New Roman"/>
          <w:color w:val="000000"/>
          <w:kern w:val="0"/>
          <w:sz w:val="24"/>
          <w:szCs w:val="24"/>
          <w:lang w:eastAsia="zh-CN" w:bidi="ar"/>
        </w:rPr>
        <w:t>n</w:t>
      </w:r>
      <w:r w:rsidR="006D1A0F">
        <w:rPr>
          <w:rFonts w:ascii="Times New Roman" w:eastAsia="CIDFont" w:hAnsi="Times New Roman" w:cs="Times New Roman"/>
          <w:color w:val="000000"/>
          <w:kern w:val="0"/>
          <w:sz w:val="24"/>
          <w:szCs w:val="24"/>
          <w:highlight w:val="yellow"/>
          <w:lang w:eastAsia="zh-CN" w:bidi="ar"/>
        </w:rPr>
        <w:t xml:space="preserve"> of</w:t>
      </w:r>
      <w:r w:rsidR="006D1A0F">
        <w:rPr>
          <w:rFonts w:ascii="Times New Roman" w:eastAsia="CIDFont" w:hAnsi="Times New Roman" w:cs="Times New Roman"/>
          <w:color w:val="000000"/>
          <w:kern w:val="0"/>
          <w:sz w:val="24"/>
          <w:szCs w:val="24"/>
          <w:lang w:eastAsia="zh-CN" w:bidi="ar"/>
        </w:rPr>
        <w:t xml:space="preserve"> insulin treatment. This may subsequently cause disruption </w:t>
      </w:r>
      <w:r w:rsidR="006D1A0F">
        <w:rPr>
          <w:rFonts w:ascii="Times New Roman" w:eastAsia="CIDFont" w:hAnsi="Times New Roman" w:cs="Times New Roman"/>
          <w:color w:val="000000"/>
          <w:kern w:val="0"/>
          <w:sz w:val="24"/>
          <w:szCs w:val="24"/>
          <w:highlight w:val="yellow"/>
          <w:lang w:eastAsia="zh-CN" w:bidi="ar"/>
        </w:rPr>
        <w:t>of</w:t>
      </w:r>
      <w:r w:rsidR="006D1A0F">
        <w:rPr>
          <w:rFonts w:ascii="Times New Roman" w:eastAsia="CIDFont" w:hAnsi="Times New Roman" w:cs="Times New Roman"/>
          <w:color w:val="000000"/>
          <w:kern w:val="0"/>
          <w:sz w:val="24"/>
          <w:szCs w:val="24"/>
          <w:lang w:eastAsia="zh-CN" w:bidi="ar"/>
        </w:rPr>
        <w:t xml:space="preserve"> hypothalamic pulsatile secretion of gonadotrophin-releasing hormone (GnRH), with a resultant decrease in gonadotropin secretion.</w:t>
      </w:r>
    </w:p>
    <w:p w14:paraId="2A8CE58B"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Diabetes and infertility in men </w:t>
      </w:r>
    </w:p>
    <w:p w14:paraId="5E2AFE3C" w14:textId="283AEFD5" w:rsidR="006B05A0" w:rsidRPr="006B05A0" w:rsidRDefault="006B05A0" w:rsidP="006B05A0">
      <w:pPr>
        <w:spacing w:line="480" w:lineRule="auto"/>
        <w:jc w:val="both"/>
        <w:rPr>
          <w:rFonts w:ascii="Times New Roman" w:eastAsia="CIDFont" w:hAnsi="Times New Roman" w:cs="Times New Roman"/>
          <w:color w:val="000000"/>
          <w:kern w:val="0"/>
          <w:sz w:val="24"/>
          <w:szCs w:val="24"/>
          <w:lang w:eastAsia="zh-CN" w:bidi="ar"/>
        </w:rPr>
      </w:pPr>
      <w:r w:rsidRPr="006B05A0">
        <w:rPr>
          <w:rFonts w:ascii="Times New Roman" w:eastAsia="CIDFont" w:hAnsi="Times New Roman" w:cs="Times New Roman"/>
          <w:color w:val="000000"/>
          <w:kern w:val="0"/>
          <w:sz w:val="24"/>
          <w:szCs w:val="24"/>
          <w:lang w:eastAsia="zh-CN" w:bidi="ar"/>
        </w:rPr>
        <w:t>Diabetes mellitus is among the most prevalent medical conditions worldwide and has important consequences for male reproductive health (Dandona &amp; Dhindsa, 2011). As many as 90% of men with diabetes may experience some form of sexual dysfunction, including erectile dysfunction, ejaculatory disturbances, and reduced libido, all of which may contribute to male infertility. Studies involving individuals with diabetes of reproductive age have also demonstrated alterations in conventional semen parameters compared with non-diabetic controls, particularly in sperm concentration, progressive motility, and the proportion of morphologically normal spermatozoa.</w:t>
      </w:r>
    </w:p>
    <w:p w14:paraId="32682F3F" w14:textId="77777777" w:rsidR="006B05A0" w:rsidRPr="006B05A0" w:rsidRDefault="006B05A0" w:rsidP="006B05A0">
      <w:pPr>
        <w:spacing w:line="480" w:lineRule="auto"/>
        <w:jc w:val="both"/>
        <w:rPr>
          <w:rFonts w:ascii="Times New Roman" w:eastAsia="CIDFont" w:hAnsi="Times New Roman" w:cs="Times New Roman"/>
          <w:color w:val="000000"/>
          <w:kern w:val="0"/>
          <w:sz w:val="24"/>
          <w:szCs w:val="24"/>
          <w:lang w:eastAsia="zh-CN" w:bidi="ar"/>
        </w:rPr>
      </w:pPr>
    </w:p>
    <w:p w14:paraId="63CDFDF6" w14:textId="6012EFD3" w:rsidR="006B05A0" w:rsidRPr="006B05A0" w:rsidRDefault="006B05A0" w:rsidP="006B05A0">
      <w:pPr>
        <w:spacing w:line="480" w:lineRule="auto"/>
        <w:jc w:val="both"/>
        <w:rPr>
          <w:rFonts w:ascii="Times New Roman" w:eastAsia="CIDFont" w:hAnsi="Times New Roman" w:cs="Times New Roman"/>
          <w:color w:val="000000"/>
          <w:kern w:val="0"/>
          <w:sz w:val="24"/>
          <w:szCs w:val="24"/>
          <w:lang w:eastAsia="zh-CN" w:bidi="ar"/>
        </w:rPr>
      </w:pPr>
      <w:r w:rsidRPr="006B05A0">
        <w:rPr>
          <w:rFonts w:ascii="Times New Roman" w:eastAsia="CIDFont" w:hAnsi="Times New Roman" w:cs="Times New Roman"/>
          <w:color w:val="000000"/>
          <w:kern w:val="0"/>
          <w:sz w:val="24"/>
          <w:szCs w:val="24"/>
          <w:lang w:eastAsia="zh-CN" w:bidi="ar"/>
        </w:rPr>
        <w:lastRenderedPageBreak/>
        <w:t>Among patients with type 1 diabetes mellitus (DM1), progressive sperm motility has been reported to deteriorate significantly with increasing disease duration. However, previous investigations have not consistently identified significant changes in this parameter or demonstrated clear associations with age, duration of diabetes, or glycated haemoglobin (HbA1c) concentrations (Agbaje et al., 2007). Mitochondrial membrane potential (MMP) is an important indicator of mitochondrial function and is closely associated with the regulation of sperm motility. Compared with healthy controls, patients with diabetes have been shown to exhibit reduced progressive sperm motility alongside an increased proportion of spermatozoa with low MMP. Furthermore, ultrastructural abnormalities of sperm mitochondria have been associated with impaired sperm motility, providing additional evidence that mitochondrial dysfunction may contribute to diabetes-related alterations in male reproductive function (Amaral et al., 2013; Pelliccione et al., 2011).</w:t>
      </w:r>
      <w:r w:rsidRPr="006B05A0">
        <w:t xml:space="preserve"> </w:t>
      </w:r>
      <w:r w:rsidRPr="006B05A0">
        <w:rPr>
          <w:rFonts w:ascii="Times New Roman" w:eastAsia="CIDFont" w:hAnsi="Times New Roman" w:cs="Times New Roman"/>
          <w:color w:val="000000"/>
          <w:kern w:val="0"/>
          <w:sz w:val="24"/>
          <w:szCs w:val="24"/>
          <w:lang w:eastAsia="zh-CN" w:bidi="ar"/>
        </w:rPr>
        <w:t>In patients with type 1 diabetes mellitus (DM1), evidence of impaired mitochondrial function has been observed in those with a disease duration of approximately 5–10 years, whereas significant reductions in progressive sperm motility tend to become apparent after more than 10 years of disease. These findings suggest that mitochondrial dysfunction may precede and potentially contribute to the later decline in sperm motility. The epididymis may also represent an important target of diabetes-related oxidative stress, with immunohistochemical studies demonstrating the presence of advanced glycation end-product (AGE) receptors within this organ (Mallidis et al., 2009).</w:t>
      </w:r>
    </w:p>
    <w:p w14:paraId="7094AD51" w14:textId="77777777" w:rsidR="006B05A0" w:rsidRPr="006B05A0" w:rsidRDefault="006B05A0" w:rsidP="006B05A0">
      <w:pPr>
        <w:spacing w:line="480" w:lineRule="auto"/>
        <w:jc w:val="both"/>
        <w:rPr>
          <w:rFonts w:ascii="Times New Roman" w:eastAsia="CIDFont" w:hAnsi="Times New Roman" w:cs="Times New Roman"/>
          <w:color w:val="000000"/>
          <w:kern w:val="0"/>
          <w:sz w:val="24"/>
          <w:szCs w:val="24"/>
          <w:lang w:eastAsia="zh-CN" w:bidi="ar"/>
        </w:rPr>
      </w:pPr>
    </w:p>
    <w:p w14:paraId="7A4ED0A5" w14:textId="12C9EC4C" w:rsidR="0035258B" w:rsidRDefault="006B05A0" w:rsidP="006B05A0">
      <w:pPr>
        <w:spacing w:line="480" w:lineRule="auto"/>
        <w:jc w:val="both"/>
        <w:rPr>
          <w:rFonts w:ascii="Times New Roman" w:hAnsi="Times New Roman" w:cs="Times New Roman"/>
          <w:sz w:val="24"/>
          <w:szCs w:val="24"/>
        </w:rPr>
      </w:pPr>
      <w:r w:rsidRPr="006B05A0">
        <w:rPr>
          <w:rFonts w:ascii="Times New Roman" w:eastAsia="CIDFont" w:hAnsi="Times New Roman" w:cs="Times New Roman"/>
          <w:color w:val="000000"/>
          <w:kern w:val="0"/>
          <w:sz w:val="24"/>
          <w:szCs w:val="24"/>
          <w:lang w:eastAsia="zh-CN" w:bidi="ar"/>
        </w:rPr>
        <w:t>Ultrasonographic assessment of the epididymis has further revealed impaired physiological contraction of its cranial and caudal regions following ejaculation in patients with DM1. Under normal conditions, epididymal thickness decreases by approximately 3 mm after ejaculation, a response also observed in patients with DM1 of less than 10 years’ duration. However, this post-ejaculatory reduction was absent in patients with a longer disease duration (&gt;10 years), suggesting the development of epididymal atonia or hypotonia. This functional abnormality remains insufficiently investigated in individuals with DM1.</w:t>
      </w:r>
    </w:p>
    <w:p w14:paraId="3CA75143" w14:textId="77777777" w:rsidR="0086399A" w:rsidRDefault="006D1A0F" w:rsidP="008A3FD2">
      <w:pPr>
        <w:spacing w:line="480" w:lineRule="auto"/>
        <w:jc w:val="both"/>
        <w:rPr>
          <w:rFonts w:ascii="Times New Roman" w:hAnsi="Times New Roman" w:cs="Times New Roman"/>
          <w:sz w:val="24"/>
          <w:szCs w:val="24"/>
        </w:rPr>
      </w:pPr>
      <w:r>
        <w:rPr>
          <w:rFonts w:ascii="Times New Roman" w:hAnsi="Times New Roman"/>
          <w:b/>
          <w:sz w:val="24"/>
          <w:highlight w:val="yellow"/>
        </w:rPr>
        <w:lastRenderedPageBreak/>
        <w:t>Recent reviews indicate that diabetes-associated male reproductive dysfunction may involve oxidative stress, chronic inflammation, endocrine disturbances, impaired spermatogenesis, and disruption of the hypothalamic-pituitary-gonadal axis (Huang et al., 2024; Badejogbin et al., 2025).</w:t>
      </w:r>
    </w:p>
    <w:p w14:paraId="79E552F9" w14:textId="77777777" w:rsidR="0086399A" w:rsidRDefault="006D1A0F" w:rsidP="008A3FD2">
      <w:pPr>
        <w:spacing w:line="480" w:lineRule="auto"/>
        <w:jc w:val="both"/>
        <w:rPr>
          <w:rFonts w:ascii="Times New Roman" w:hAnsi="Times New Roman" w:cs="Times New Roman"/>
          <w:sz w:val="24"/>
          <w:szCs w:val="24"/>
        </w:rPr>
      </w:pPr>
      <w:r>
        <w:rPr>
          <w:rFonts w:ascii="Times New Roman" w:hAnsi="Times New Roman"/>
          <w:b/>
          <w:sz w:val="24"/>
          <w:highlight w:val="yellow"/>
        </w:rPr>
        <w:t>A Mendelian randomisation study has also reported evidence consistent with a causal association between genetically predicted type 2 diabetes mellitus and male infertility (Fan et al., 2024).</w:t>
      </w:r>
    </w:p>
    <w:p w14:paraId="6DAD2047"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UTILITY OF </w:t>
      </w:r>
      <w:r>
        <w:rPr>
          <w:rFonts w:ascii="Times New Roman" w:eastAsia="CIDFont" w:hAnsi="Times New Roman" w:cs="Times New Roman"/>
          <w:b/>
          <w:bCs/>
          <w:i/>
          <w:iCs/>
          <w:color w:val="000000"/>
          <w:kern w:val="0"/>
          <w:sz w:val="24"/>
          <w:szCs w:val="24"/>
          <w:lang w:eastAsia="zh-CN" w:bidi="ar"/>
        </w:rPr>
        <w:t xml:space="preserve">Azanza garckeana </w:t>
      </w:r>
    </w:p>
    <w:p w14:paraId="7C0BF671" w14:textId="5F5EDEA4" w:rsidR="006B05A0" w:rsidRPr="006B05A0" w:rsidRDefault="006B05A0" w:rsidP="006B05A0">
      <w:pPr>
        <w:spacing w:line="480" w:lineRule="auto"/>
        <w:jc w:val="both"/>
        <w:rPr>
          <w:rFonts w:ascii="Times New Roman" w:eastAsia="CIDFont" w:hAnsi="Times New Roman" w:cs="Times New Roman"/>
          <w:color w:val="000000"/>
          <w:kern w:val="0"/>
          <w:sz w:val="24"/>
          <w:szCs w:val="24"/>
          <w:lang w:eastAsia="zh-CN" w:bidi="ar"/>
        </w:rPr>
      </w:pPr>
      <w:r w:rsidRPr="006B05A0">
        <w:rPr>
          <w:rFonts w:ascii="Times New Roman" w:eastAsia="CIDFont" w:hAnsi="Times New Roman" w:cs="Times New Roman"/>
          <w:color w:val="000000"/>
          <w:kern w:val="0"/>
          <w:sz w:val="24"/>
          <w:szCs w:val="24"/>
          <w:lang w:eastAsia="zh-CN" w:bidi="ar"/>
        </w:rPr>
        <w:t>Azanza garckeana is a deciduous shrub that typically reaches a height of approximately 3–15 m. It occurs naturally in tropical regions of Africa, particularly at elevations of around 1,700 m above sea level and in areas receiving an annual rainfall of approximately 250–1,270 mm (Orwa et al., 2009). In Nigeria, the species is predominantly found in Tula, within Kaltungo Local Government Area of Gombe State in the north-eastern region of the country. It is also distributed across several other African countries, including South Africa, Mozambique, Botswana, Zimbabwe, Tanzania, the Democratic Republic of the Congo, Kenya, Malawi, and Namibia.</w:t>
      </w:r>
    </w:p>
    <w:p w14:paraId="71FA5352" w14:textId="77777777" w:rsidR="006B05A0" w:rsidRPr="006B05A0" w:rsidRDefault="006B05A0" w:rsidP="006B05A0">
      <w:pPr>
        <w:spacing w:line="480" w:lineRule="auto"/>
        <w:jc w:val="both"/>
        <w:rPr>
          <w:rFonts w:ascii="Times New Roman" w:eastAsia="CIDFont" w:hAnsi="Times New Roman" w:cs="Times New Roman"/>
          <w:color w:val="000000"/>
          <w:kern w:val="0"/>
          <w:sz w:val="24"/>
          <w:szCs w:val="24"/>
          <w:lang w:eastAsia="zh-CN" w:bidi="ar"/>
        </w:rPr>
      </w:pPr>
    </w:p>
    <w:p w14:paraId="2B5B5DD0" w14:textId="77777777" w:rsidR="006B05A0" w:rsidRPr="006B05A0" w:rsidRDefault="006B05A0" w:rsidP="006B05A0">
      <w:pPr>
        <w:spacing w:line="480" w:lineRule="auto"/>
        <w:jc w:val="both"/>
        <w:rPr>
          <w:rFonts w:ascii="Times New Roman" w:eastAsia="CIDFont" w:hAnsi="Times New Roman" w:cs="Times New Roman"/>
          <w:color w:val="000000"/>
          <w:kern w:val="0"/>
          <w:sz w:val="24"/>
          <w:szCs w:val="24"/>
          <w:lang w:eastAsia="zh-CN" w:bidi="ar"/>
        </w:rPr>
      </w:pPr>
      <w:r w:rsidRPr="006B05A0">
        <w:rPr>
          <w:rFonts w:ascii="Times New Roman" w:eastAsia="CIDFont" w:hAnsi="Times New Roman" w:cs="Times New Roman"/>
          <w:color w:val="000000"/>
          <w:kern w:val="0"/>
          <w:sz w:val="24"/>
          <w:szCs w:val="24"/>
          <w:lang w:eastAsia="zh-CN" w:bidi="ar"/>
        </w:rPr>
        <w:t>The plant is recognised by several common and vernacular names, including “silky kola”, “snot apple”, and “chewing gum”. In the Hausa language, it is commonly referred to as “Goron Tula”, where “Tula” denotes the Nigerian town in which the plant grows naturally and “goro” means kola. In Nigeria, particularly among communities located within its natural growing areas, Azanza garckeana has considerable ethnomedicinal significance and is traditionally employed in the management of several conditions, including chest pain, cough, stomach ache, menstrual disorders, and sexually transmitted infections such as gonorrhoea and syphilis.</w:t>
      </w:r>
    </w:p>
    <w:p w14:paraId="6B2AB320" w14:textId="77777777" w:rsidR="006B05A0" w:rsidRPr="006B05A0" w:rsidRDefault="006B05A0" w:rsidP="006B05A0">
      <w:pPr>
        <w:spacing w:line="480" w:lineRule="auto"/>
        <w:jc w:val="both"/>
        <w:rPr>
          <w:rFonts w:ascii="Times New Roman" w:eastAsia="CIDFont" w:hAnsi="Times New Roman" w:cs="Times New Roman"/>
          <w:color w:val="000000"/>
          <w:kern w:val="0"/>
          <w:sz w:val="24"/>
          <w:szCs w:val="24"/>
          <w:lang w:eastAsia="zh-CN" w:bidi="ar"/>
        </w:rPr>
      </w:pPr>
    </w:p>
    <w:p w14:paraId="3A54E783" w14:textId="181CA9CE" w:rsidR="0035258B" w:rsidRDefault="006B05A0" w:rsidP="008A3FD2">
      <w:pPr>
        <w:spacing w:line="480" w:lineRule="auto"/>
        <w:jc w:val="both"/>
        <w:rPr>
          <w:rFonts w:ascii="Times New Roman" w:hAnsi="Times New Roman" w:cs="Times New Roman"/>
          <w:sz w:val="24"/>
          <w:szCs w:val="24"/>
        </w:rPr>
      </w:pPr>
      <w:r w:rsidRPr="006B05A0">
        <w:rPr>
          <w:rFonts w:ascii="Times New Roman" w:eastAsia="CIDFont" w:hAnsi="Times New Roman" w:cs="Times New Roman"/>
          <w:color w:val="000000"/>
          <w:kern w:val="0"/>
          <w:sz w:val="24"/>
          <w:szCs w:val="24"/>
          <w:lang w:eastAsia="zh-CN" w:bidi="ar"/>
        </w:rPr>
        <w:t xml:space="preserve">The plant is also traditionally consumed as a libido-enhancing agent, based on the belief that it increases sexual desire in both males and females, thereby suggesting potential aphrodisiac activity. In addition to </w:t>
      </w:r>
      <w:r w:rsidRPr="006B05A0">
        <w:rPr>
          <w:rFonts w:ascii="Times New Roman" w:eastAsia="CIDFont" w:hAnsi="Times New Roman" w:cs="Times New Roman"/>
          <w:color w:val="000000"/>
          <w:kern w:val="0"/>
          <w:sz w:val="24"/>
          <w:szCs w:val="24"/>
          <w:lang w:eastAsia="zh-CN" w:bidi="ar"/>
        </w:rPr>
        <w:lastRenderedPageBreak/>
        <w:t>these traditional uses, Azanza garckeana has been reported to exhibit antibacterial and antifungal activities (Maroyi, 2017), antihyperglycaemic effects (Amuri et al., 2017), antioxidant and cytotoxic properties (Maroyi, 2017), as well as antimalarial activity (Connelly et al., 1996</w:t>
      </w:r>
      <w:proofErr w:type="gramStart"/>
      <w:r w:rsidRPr="006B05A0">
        <w:rPr>
          <w:rFonts w:ascii="Times New Roman" w:eastAsia="CIDFont" w:hAnsi="Times New Roman" w:cs="Times New Roman"/>
          <w:color w:val="000000"/>
          <w:kern w:val="0"/>
          <w:sz w:val="24"/>
          <w:szCs w:val="24"/>
          <w:lang w:eastAsia="zh-CN" w:bidi="ar"/>
        </w:rPr>
        <w:t>).</w:t>
      </w:r>
      <w:r w:rsidR="006D1A0F">
        <w:rPr>
          <w:rFonts w:ascii="Times New Roman" w:eastAsia="CIDFont" w:hAnsi="Times New Roman" w:cs="Times New Roman"/>
          <w:color w:val="000000"/>
          <w:kern w:val="0"/>
          <w:sz w:val="24"/>
          <w:szCs w:val="24"/>
          <w:lang w:eastAsia="zh-CN" w:bidi="ar"/>
        </w:rPr>
        <w:t>Some</w:t>
      </w:r>
      <w:proofErr w:type="gramEnd"/>
      <w:r w:rsidR="006D1A0F">
        <w:rPr>
          <w:rFonts w:ascii="Times New Roman" w:eastAsia="CIDFont" w:hAnsi="Times New Roman" w:cs="Times New Roman"/>
          <w:color w:val="000000"/>
          <w:kern w:val="0"/>
          <w:sz w:val="24"/>
          <w:szCs w:val="24"/>
          <w:lang w:eastAsia="zh-CN" w:bidi="ar"/>
        </w:rPr>
        <w:t xml:space="preserve"> of these pharmacological properties have been </w:t>
      </w:r>
    </w:p>
    <w:p w14:paraId="664264B4"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attributed to phytochemicals such as tannins, flavonoids, saponins, alkaloids and </w:t>
      </w:r>
    </w:p>
    <w:p w14:paraId="1C1E3E9C"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xanthones found in </w:t>
      </w:r>
      <w:r>
        <w:rPr>
          <w:rFonts w:ascii="Times New Roman" w:eastAsia="CIDFont" w:hAnsi="Times New Roman" w:cs="Times New Roman"/>
          <w:color w:val="000000"/>
          <w:kern w:val="0"/>
          <w:sz w:val="24"/>
          <w:szCs w:val="24"/>
          <w:highlight w:val="yellow"/>
          <w:lang w:eastAsia="zh-CN" w:bidi="ar"/>
        </w:rPr>
        <w:t>the plan</w:t>
      </w:r>
      <w:r>
        <w:rPr>
          <w:rFonts w:ascii="Times New Roman" w:eastAsia="CIDFont" w:hAnsi="Times New Roman" w:cs="Times New Roman"/>
          <w:color w:val="000000"/>
          <w:kern w:val="0"/>
          <w:sz w:val="24"/>
          <w:szCs w:val="24"/>
          <w:lang w:eastAsia="zh-CN" w:bidi="ar"/>
        </w:rPr>
        <w:t xml:space="preserve">t (Zhang </w:t>
      </w:r>
      <w:r>
        <w:rPr>
          <w:rFonts w:ascii="Times New Roman" w:eastAsia="CIDFont" w:hAnsi="Times New Roman" w:cs="Times New Roman"/>
          <w:color w:val="000000"/>
          <w:kern w:val="0"/>
          <w:sz w:val="24"/>
          <w:szCs w:val="24"/>
          <w:highlight w:val="yellow"/>
          <w:lang w:eastAsia="zh-CN" w:bidi="ar"/>
        </w:rPr>
        <w:t xml:space="preserve">et </w:t>
      </w:r>
      <w:r>
        <w:rPr>
          <w:rFonts w:ascii="Times New Roman" w:eastAsia="CIDFont" w:hAnsi="Times New Roman" w:cs="Times New Roman"/>
          <w:color w:val="000000"/>
          <w:kern w:val="0"/>
          <w:sz w:val="24"/>
          <w:szCs w:val="24"/>
          <w:lang w:eastAsia="zh-CN" w:bidi="ar"/>
        </w:rPr>
        <w:t>a</w:t>
      </w:r>
      <w:r>
        <w:rPr>
          <w:rFonts w:ascii="Times New Roman" w:eastAsia="CIDFont" w:hAnsi="Times New Roman" w:cs="Times New Roman"/>
          <w:color w:val="000000"/>
          <w:kern w:val="0"/>
          <w:sz w:val="24"/>
          <w:szCs w:val="24"/>
          <w:highlight w:val="yellow"/>
          <w:lang w:eastAsia="zh-CN" w:bidi="ar"/>
        </w:rPr>
        <w:t>l.</w:t>
      </w:r>
      <w:r>
        <w:rPr>
          <w:rFonts w:ascii="Times New Roman" w:eastAsia="CIDFont" w:hAnsi="Times New Roman" w:cs="Times New Roman"/>
          <w:color w:val="000000"/>
          <w:kern w:val="0"/>
          <w:sz w:val="24"/>
          <w:szCs w:val="24"/>
          <w:lang w:eastAsia="zh-CN" w:bidi="ar"/>
        </w:rPr>
        <w:t xml:space="preserve">, 2015). It has also been reported </w:t>
      </w:r>
    </w:p>
    <w:p w14:paraId="4F54ABC1"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to </w:t>
      </w:r>
      <w:r>
        <w:rPr>
          <w:rFonts w:ascii="Times New Roman" w:eastAsia="CIDFont" w:hAnsi="Times New Roman" w:cs="Times New Roman"/>
          <w:color w:val="000000"/>
          <w:kern w:val="0"/>
          <w:sz w:val="24"/>
          <w:szCs w:val="24"/>
          <w:highlight w:val="yellow"/>
          <w:lang w:eastAsia="zh-CN" w:bidi="ar"/>
        </w:rPr>
        <w:t>cont</w:t>
      </w:r>
      <w:r>
        <w:rPr>
          <w:rFonts w:ascii="Times New Roman" w:eastAsia="CIDFont" w:hAnsi="Times New Roman" w:cs="Times New Roman"/>
          <w:color w:val="000000"/>
          <w:kern w:val="0"/>
          <w:sz w:val="24"/>
          <w:szCs w:val="24"/>
          <w:lang w:eastAsia="zh-CN" w:bidi="ar"/>
        </w:rPr>
        <w:t>a</w:t>
      </w:r>
      <w:r>
        <w:rPr>
          <w:rFonts w:ascii="Times New Roman" w:eastAsia="CIDFont" w:hAnsi="Times New Roman" w:cs="Times New Roman"/>
          <w:color w:val="000000"/>
          <w:kern w:val="0"/>
          <w:sz w:val="24"/>
          <w:szCs w:val="24"/>
          <w:highlight w:val="yellow"/>
          <w:lang w:eastAsia="zh-CN" w:bidi="ar"/>
        </w:rPr>
        <w:t>in</w:t>
      </w:r>
      <w:r>
        <w:rPr>
          <w:rFonts w:ascii="Times New Roman" w:eastAsia="CIDFont" w:hAnsi="Times New Roman" w:cs="Times New Roman"/>
          <w:color w:val="000000"/>
          <w:kern w:val="0"/>
          <w:sz w:val="24"/>
          <w:szCs w:val="24"/>
          <w:lang w:eastAsia="zh-CN" w:bidi="ar"/>
        </w:rPr>
        <w:t xml:space="preserve"> high</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quality pectin </w:t>
      </w:r>
      <w:r>
        <w:rPr>
          <w:rFonts w:ascii="Times New Roman" w:eastAsia="CIDFont" w:hAnsi="Times New Roman" w:cs="Times New Roman"/>
          <w:color w:val="000000"/>
          <w:kern w:val="0"/>
          <w:sz w:val="24"/>
          <w:szCs w:val="24"/>
          <w:highlight w:val="yellow"/>
          <w:lang w:eastAsia="zh-CN" w:bidi="ar"/>
        </w:rPr>
        <w:t>with use</w:t>
      </w:r>
      <w:r>
        <w:rPr>
          <w:rFonts w:ascii="Times New Roman" w:eastAsia="CIDFont" w:hAnsi="Times New Roman" w:cs="Times New Roman"/>
          <w:color w:val="000000"/>
          <w:kern w:val="0"/>
          <w:sz w:val="24"/>
          <w:szCs w:val="24"/>
          <w:lang w:eastAsia="zh-CN" w:bidi="ar"/>
        </w:rPr>
        <w:t>f</w:t>
      </w:r>
      <w:r>
        <w:rPr>
          <w:rFonts w:ascii="Times New Roman" w:eastAsia="CIDFont" w:hAnsi="Times New Roman" w:cs="Times New Roman"/>
          <w:color w:val="000000"/>
          <w:kern w:val="0"/>
          <w:sz w:val="24"/>
          <w:szCs w:val="24"/>
          <w:highlight w:val="yellow"/>
          <w:lang w:eastAsia="zh-CN" w:bidi="ar"/>
        </w:rPr>
        <w:t>ul</w:t>
      </w:r>
      <w:r>
        <w:rPr>
          <w:rFonts w:ascii="Times New Roman" w:eastAsia="CIDFont" w:hAnsi="Times New Roman" w:cs="Times New Roman"/>
          <w:color w:val="000000"/>
          <w:kern w:val="0"/>
          <w:sz w:val="24"/>
          <w:szCs w:val="24"/>
          <w:lang w:eastAsia="zh-CN" w:bidi="ar"/>
        </w:rPr>
        <w:t xml:space="preserve"> industrial application</w:t>
      </w:r>
      <w:r>
        <w:rPr>
          <w:rFonts w:ascii="Times New Roman" w:eastAsia="CIDFont" w:hAnsi="Times New Roman" w:cs="Times New Roman"/>
          <w:color w:val="000000"/>
          <w:kern w:val="0"/>
          <w:sz w:val="24"/>
          <w:szCs w:val="24"/>
          <w:highlight w:val="yellow"/>
          <w:lang w:eastAsia="zh-CN" w:bidi="ar"/>
        </w:rPr>
        <w:t>s,</w:t>
      </w:r>
      <w:r>
        <w:rPr>
          <w:rFonts w:ascii="Times New Roman" w:eastAsia="CIDFont" w:hAnsi="Times New Roman" w:cs="Times New Roman"/>
          <w:color w:val="000000"/>
          <w:kern w:val="0"/>
          <w:sz w:val="24"/>
          <w:szCs w:val="24"/>
          <w:lang w:eastAsia="zh-CN" w:bidi="ar"/>
        </w:rPr>
        <w:t xml:space="preserve"> especially in</w:t>
      </w:r>
      <w:r>
        <w:rPr>
          <w:rFonts w:ascii="Times New Roman" w:eastAsia="CIDFont" w:hAnsi="Times New Roman" w:cs="Times New Roman"/>
          <w:color w:val="000000"/>
          <w:kern w:val="0"/>
          <w:sz w:val="24"/>
          <w:szCs w:val="24"/>
          <w:highlight w:val="yellow"/>
          <w:lang w:eastAsia="zh-CN" w:bidi="ar"/>
        </w:rPr>
        <w:t xml:space="preserve"> the</w:t>
      </w:r>
      <w:r>
        <w:rPr>
          <w:rFonts w:ascii="Times New Roman" w:eastAsia="CIDFont" w:hAnsi="Times New Roman" w:cs="Times New Roman"/>
          <w:color w:val="000000"/>
          <w:kern w:val="0"/>
          <w:sz w:val="24"/>
          <w:szCs w:val="24"/>
          <w:lang w:eastAsia="zh-CN" w:bidi="ar"/>
        </w:rPr>
        <w:t xml:space="preserve"> food and pharmaceutical </w:t>
      </w:r>
    </w:p>
    <w:p w14:paraId="7E4DF715"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industries (Joel e</w:t>
      </w:r>
      <w:r>
        <w:rPr>
          <w:rFonts w:ascii="Times New Roman" w:eastAsia="CIDFont" w:hAnsi="Times New Roman" w:cs="Times New Roman"/>
          <w:color w:val="000000"/>
          <w:kern w:val="0"/>
          <w:sz w:val="24"/>
          <w:szCs w:val="24"/>
          <w:highlight w:val="yellow"/>
          <w:lang w:eastAsia="zh-CN" w:bidi="ar"/>
        </w:rPr>
        <w:t>t</w:t>
      </w:r>
      <w:r>
        <w:rPr>
          <w:rFonts w:ascii="Times New Roman" w:eastAsia="CIDFont" w:hAnsi="Times New Roman" w:cs="Times New Roman"/>
          <w:color w:val="000000"/>
          <w:kern w:val="0"/>
          <w:sz w:val="24"/>
          <w:szCs w:val="24"/>
          <w:lang w:eastAsia="zh-CN" w:bidi="ar"/>
        </w:rPr>
        <w:t xml:space="preserve"> a</w:t>
      </w:r>
      <w:r>
        <w:rPr>
          <w:rFonts w:ascii="Times New Roman" w:eastAsia="CIDFont" w:hAnsi="Times New Roman" w:cs="Times New Roman"/>
          <w:color w:val="000000"/>
          <w:kern w:val="0"/>
          <w:sz w:val="24"/>
          <w:szCs w:val="24"/>
          <w:highlight w:val="yellow"/>
          <w:lang w:eastAsia="zh-CN" w:bidi="ar"/>
        </w:rPr>
        <w:t>l.</w:t>
      </w:r>
      <w:r>
        <w:rPr>
          <w:rFonts w:ascii="Times New Roman" w:eastAsia="CIDFont" w:hAnsi="Times New Roman" w:cs="Times New Roman"/>
          <w:color w:val="000000"/>
          <w:kern w:val="0"/>
          <w:sz w:val="24"/>
          <w:szCs w:val="24"/>
          <w:lang w:eastAsia="zh-CN" w:bidi="ar"/>
        </w:rPr>
        <w:t xml:space="preserve">, 2018). </w:t>
      </w:r>
      <w:r>
        <w:rPr>
          <w:rFonts w:ascii="Times New Roman" w:eastAsia="CIDFont" w:hAnsi="Times New Roman" w:cs="Times New Roman"/>
          <w:i/>
          <w:iCs/>
          <w:color w:val="000000"/>
          <w:kern w:val="0"/>
          <w:sz w:val="24"/>
          <w:szCs w:val="24"/>
          <w:lang w:eastAsia="zh-CN" w:bidi="ar"/>
        </w:rPr>
        <w:t>Azanza garckeana</w:t>
      </w:r>
      <w:r>
        <w:rPr>
          <w:rFonts w:ascii="Times New Roman" w:eastAsia="CIDFont" w:hAnsi="Times New Roman" w:cs="Times New Roman"/>
          <w:color w:val="000000"/>
          <w:kern w:val="0"/>
          <w:sz w:val="24"/>
          <w:szCs w:val="24"/>
          <w:lang w:eastAsia="zh-CN" w:bidi="ar"/>
        </w:rPr>
        <w:t xml:space="preserve"> has also been found </w:t>
      </w:r>
    </w:p>
    <w:p w14:paraId="100CD705"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to improve growth rate when included in a diet or feed at above 20 % in fish (Ochokwu</w:t>
      </w:r>
      <w:r>
        <w:rPr>
          <w:rFonts w:ascii="Times New Roman" w:eastAsia="CIDFont" w:hAnsi="Times New Roman" w:cs="Times New Roman"/>
          <w:color w:val="000000"/>
          <w:kern w:val="0"/>
          <w:sz w:val="24"/>
          <w:szCs w:val="24"/>
          <w:highlight w:val="yellow"/>
          <w:lang w:eastAsia="zh-CN" w:bidi="ar"/>
        </w:rPr>
        <w:t xml:space="preserve"> et al.</w:t>
      </w:r>
      <w:r>
        <w:rPr>
          <w:rFonts w:ascii="Times New Roman" w:eastAsia="CIDFont" w:hAnsi="Times New Roman" w:cs="Times New Roman"/>
          <w:color w:val="000000"/>
          <w:kern w:val="0"/>
          <w:sz w:val="24"/>
          <w:szCs w:val="24"/>
          <w:lang w:eastAsia="zh-CN" w:bidi="ar"/>
        </w:rPr>
        <w:t xml:space="preserve">, </w:t>
      </w:r>
    </w:p>
    <w:p w14:paraId="57A18DFE"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2014). Curiously, </w:t>
      </w:r>
      <w:r>
        <w:rPr>
          <w:rFonts w:ascii="Times New Roman" w:eastAsia="CIDFont" w:hAnsi="Times New Roman" w:cs="Times New Roman"/>
          <w:i/>
          <w:iCs/>
          <w:color w:val="000000"/>
          <w:kern w:val="0"/>
          <w:sz w:val="24"/>
          <w:szCs w:val="24"/>
          <w:lang w:eastAsia="zh-CN" w:bidi="ar"/>
        </w:rPr>
        <w:t>Azanza garckeana</w:t>
      </w:r>
      <w:r>
        <w:rPr>
          <w:rFonts w:ascii="Times New Roman" w:eastAsia="CIDFont" w:hAnsi="Times New Roman" w:cs="Times New Roman"/>
          <w:color w:val="000000"/>
          <w:kern w:val="0"/>
          <w:sz w:val="24"/>
          <w:szCs w:val="24"/>
          <w:lang w:eastAsia="zh-CN" w:bidi="ar"/>
        </w:rPr>
        <w:t xml:space="preserve"> is reported to have </w:t>
      </w:r>
      <w:r>
        <w:rPr>
          <w:rFonts w:ascii="Times New Roman" w:eastAsia="CIDFont" w:hAnsi="Times New Roman" w:cs="Times New Roman"/>
          <w:color w:val="000000"/>
          <w:kern w:val="0"/>
          <w:sz w:val="24"/>
          <w:szCs w:val="24"/>
          <w:highlight w:val="yellow"/>
          <w:lang w:eastAsia="zh-CN" w:bidi="ar"/>
        </w:rPr>
        <w:t xml:space="preserve">a </w:t>
      </w:r>
      <w:r>
        <w:rPr>
          <w:rFonts w:ascii="Times New Roman" w:eastAsia="CIDFont" w:hAnsi="Times New Roman" w:cs="Times New Roman"/>
          <w:color w:val="000000"/>
          <w:kern w:val="0"/>
          <w:sz w:val="24"/>
          <w:szCs w:val="24"/>
          <w:lang w:eastAsia="zh-CN" w:bidi="ar"/>
        </w:rPr>
        <w:t xml:space="preserve">significant influence on </w:t>
      </w:r>
    </w:p>
    <w:p w14:paraId="6BD1256F"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fecundity and potential pro-fertility propert</w:t>
      </w:r>
      <w:r>
        <w:rPr>
          <w:rFonts w:ascii="Times New Roman" w:eastAsia="CIDFont" w:hAnsi="Times New Roman" w:cs="Times New Roman"/>
          <w:color w:val="000000"/>
          <w:kern w:val="0"/>
          <w:sz w:val="24"/>
          <w:szCs w:val="24"/>
          <w:highlight w:val="yellow"/>
          <w:lang w:eastAsia="zh-CN" w:bidi="ar"/>
        </w:rPr>
        <w:t>ies</w:t>
      </w:r>
      <w:r>
        <w:rPr>
          <w:rFonts w:ascii="Times New Roman" w:eastAsia="CIDFont" w:hAnsi="Times New Roman" w:cs="Times New Roman"/>
          <w:color w:val="000000"/>
          <w:kern w:val="0"/>
          <w:sz w:val="24"/>
          <w:szCs w:val="24"/>
          <w:lang w:eastAsia="zh-CN" w:bidi="ar"/>
        </w:rPr>
        <w:t xml:space="preserve"> in fish (Onyia</w:t>
      </w:r>
      <w:r>
        <w:rPr>
          <w:rFonts w:ascii="Times New Roman" w:eastAsia="CIDFont" w:hAnsi="Times New Roman" w:cs="Times New Roman"/>
          <w:color w:val="000000"/>
          <w:kern w:val="0"/>
          <w:sz w:val="24"/>
          <w:szCs w:val="24"/>
          <w:highlight w:val="yellow"/>
          <w:lang w:eastAsia="zh-CN" w:bidi="ar"/>
        </w:rPr>
        <w:t xml:space="preserve"> et al.</w:t>
      </w:r>
      <w:r>
        <w:rPr>
          <w:rFonts w:ascii="Times New Roman" w:eastAsia="CIDFont" w:hAnsi="Times New Roman" w:cs="Times New Roman"/>
          <w:color w:val="000000"/>
          <w:kern w:val="0"/>
          <w:sz w:val="24"/>
          <w:szCs w:val="24"/>
          <w:lang w:eastAsia="zh-CN" w:bidi="ar"/>
        </w:rPr>
        <w:t xml:space="preserve">, </w:t>
      </w:r>
    </w:p>
    <w:p w14:paraId="5195FD32"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2015). </w:t>
      </w:r>
    </w:p>
    <w:p w14:paraId="021F5A55" w14:textId="77777777" w:rsidR="0086399A" w:rsidRDefault="006D1A0F" w:rsidP="008A3FD2">
      <w:pPr>
        <w:spacing w:line="480" w:lineRule="auto"/>
        <w:jc w:val="both"/>
        <w:rPr>
          <w:rFonts w:ascii="Times New Roman" w:hAnsi="Times New Roman" w:cs="Times New Roman"/>
          <w:sz w:val="24"/>
          <w:szCs w:val="24"/>
        </w:rPr>
      </w:pPr>
      <w:r>
        <w:rPr>
          <w:rFonts w:ascii="Times New Roman" w:hAnsi="Times New Roman"/>
          <w:b/>
          <w:sz w:val="24"/>
          <w:highlight w:val="yellow"/>
        </w:rPr>
        <w:t xml:space="preserve">Experimental studies have also reported protective effects of </w:t>
      </w:r>
      <w:r>
        <w:rPr>
          <w:rFonts w:ascii="Times New Roman" w:hAnsi="Times New Roman"/>
          <w:b/>
          <w:i/>
          <w:sz w:val="24"/>
          <w:highlight w:val="yellow"/>
        </w:rPr>
        <w:t>Azanza garckeana</w:t>
      </w:r>
      <w:r>
        <w:rPr>
          <w:rFonts w:ascii="Times New Roman" w:hAnsi="Times New Roman"/>
          <w:b/>
          <w:sz w:val="24"/>
          <w:highlight w:val="yellow"/>
        </w:rPr>
        <w:t xml:space="preserve"> fruit pulp extract against formalin-induced reproductive toxicity in adult male mice (Bukar et al., 2021).</w:t>
      </w:r>
    </w:p>
    <w:p w14:paraId="07D92954" w14:textId="77777777" w:rsidR="0086399A" w:rsidRDefault="006D1A0F" w:rsidP="008A3FD2">
      <w:pPr>
        <w:spacing w:line="480" w:lineRule="auto"/>
        <w:jc w:val="both"/>
        <w:rPr>
          <w:rFonts w:ascii="Times New Roman" w:hAnsi="Times New Roman" w:cs="Times New Roman"/>
          <w:sz w:val="24"/>
          <w:szCs w:val="24"/>
        </w:rPr>
      </w:pPr>
      <w:r>
        <w:rPr>
          <w:rFonts w:ascii="Times New Roman" w:hAnsi="Times New Roman"/>
          <w:b/>
          <w:sz w:val="24"/>
          <w:highlight w:val="yellow"/>
        </w:rPr>
        <w:t xml:space="preserve">More recently, </w:t>
      </w:r>
      <w:r>
        <w:rPr>
          <w:rFonts w:ascii="Times New Roman" w:hAnsi="Times New Roman"/>
          <w:b/>
          <w:i/>
          <w:sz w:val="24"/>
          <w:highlight w:val="yellow"/>
        </w:rPr>
        <w:t>Azanza garckeana</w:t>
      </w:r>
      <w:r>
        <w:rPr>
          <w:rFonts w:ascii="Times New Roman" w:hAnsi="Times New Roman"/>
          <w:b/>
          <w:sz w:val="24"/>
          <w:highlight w:val="yellow"/>
        </w:rPr>
        <w:t xml:space="preserve"> fruit extract was reported to ameliorate reproductive hormonal disturbances and ovarian histological changes in alloxan-induced diabetic female Wistar rats (Laz-Okenwa et al., 2026).</w:t>
      </w:r>
    </w:p>
    <w:p w14:paraId="311322B5" w14:textId="77777777" w:rsidR="0086399A" w:rsidRDefault="006D1A0F" w:rsidP="008A3FD2">
      <w:pPr>
        <w:spacing w:line="480" w:lineRule="auto"/>
        <w:jc w:val="both"/>
        <w:rPr>
          <w:rFonts w:ascii="Times New Roman" w:hAnsi="Times New Roman" w:cs="Times New Roman"/>
          <w:sz w:val="24"/>
          <w:szCs w:val="24"/>
        </w:rPr>
      </w:pPr>
      <w:r>
        <w:rPr>
          <w:rFonts w:ascii="Times New Roman" w:hAnsi="Times New Roman"/>
          <w:b/>
          <w:sz w:val="24"/>
          <w:highlight w:val="yellow"/>
        </w:rPr>
        <w:t xml:space="preserve">The available background does not directly address a combined evaluation of the aqueous </w:t>
      </w:r>
      <w:r>
        <w:rPr>
          <w:rFonts w:ascii="Times New Roman" w:hAnsi="Times New Roman"/>
          <w:b/>
          <w:i/>
          <w:sz w:val="24"/>
          <w:highlight w:val="yellow"/>
        </w:rPr>
        <w:t>Azanza garckeana</w:t>
      </w:r>
      <w:r>
        <w:rPr>
          <w:rFonts w:ascii="Times New Roman" w:hAnsi="Times New Roman"/>
          <w:b/>
          <w:sz w:val="24"/>
          <w:highlight w:val="yellow"/>
        </w:rPr>
        <w:t xml:space="preserve"> fruit extract on diabetes-related fertility hormone disturbances in both male and female albino Wistar rats together with acute and subacute safety assessment.</w:t>
      </w:r>
    </w:p>
    <w:p w14:paraId="46274426" w14:textId="77777777" w:rsidR="0086399A" w:rsidRDefault="006D1A0F" w:rsidP="008A3FD2">
      <w:pPr>
        <w:spacing w:line="480" w:lineRule="auto"/>
        <w:jc w:val="both"/>
        <w:rPr>
          <w:rFonts w:ascii="Times New Roman" w:hAnsi="Times New Roman" w:cs="Times New Roman"/>
          <w:sz w:val="24"/>
          <w:szCs w:val="24"/>
        </w:rPr>
      </w:pPr>
      <w:r>
        <w:rPr>
          <w:rFonts w:ascii="Times New Roman" w:hAnsi="Times New Roman"/>
          <w:b/>
          <w:sz w:val="24"/>
          <w:highlight w:val="yellow"/>
        </w:rPr>
        <w:t>Objective</w:t>
      </w:r>
    </w:p>
    <w:p w14:paraId="6B6E3E8E" w14:textId="77777777" w:rsidR="0086399A" w:rsidRDefault="006D1A0F" w:rsidP="008A3FD2">
      <w:pPr>
        <w:spacing w:line="480" w:lineRule="auto"/>
        <w:jc w:val="both"/>
        <w:rPr>
          <w:rFonts w:ascii="Times New Roman" w:hAnsi="Times New Roman" w:cs="Times New Roman"/>
          <w:sz w:val="24"/>
          <w:szCs w:val="24"/>
        </w:rPr>
      </w:pPr>
      <w:r>
        <w:rPr>
          <w:rFonts w:ascii="Times New Roman" w:hAnsi="Times New Roman"/>
          <w:b/>
          <w:sz w:val="24"/>
          <w:highlight w:val="yellow"/>
        </w:rPr>
        <w:lastRenderedPageBreak/>
        <w:t xml:space="preserve">This study therefore aimed to evaluate the effects of aqueous extract of </w:t>
      </w:r>
      <w:r>
        <w:rPr>
          <w:rFonts w:ascii="Times New Roman" w:hAnsi="Times New Roman"/>
          <w:b/>
          <w:i/>
          <w:sz w:val="24"/>
          <w:highlight w:val="yellow"/>
        </w:rPr>
        <w:t>Azanza garckeana</w:t>
      </w:r>
      <w:r>
        <w:rPr>
          <w:rFonts w:ascii="Times New Roman" w:hAnsi="Times New Roman"/>
          <w:b/>
          <w:sz w:val="24"/>
          <w:highlight w:val="yellow"/>
        </w:rPr>
        <w:t xml:space="preserve"> fruit on fertility hormones in alloxan-induced diabetic albino Wistar rats and to assess its acute and subacute toxicity through biochemical and histological indices.</w:t>
      </w:r>
    </w:p>
    <w:p w14:paraId="7F62C086"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2.0 MATERIALS AND METHODS </w:t>
      </w:r>
    </w:p>
    <w:p w14:paraId="0A80C719"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MATERIALS </w:t>
      </w:r>
    </w:p>
    <w:p w14:paraId="0962CBA6"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Plant Material </w:t>
      </w:r>
    </w:p>
    <w:p w14:paraId="2E2B504F"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i/>
          <w:iCs/>
          <w:color w:val="000000"/>
          <w:kern w:val="0"/>
          <w:sz w:val="24"/>
          <w:szCs w:val="24"/>
          <w:lang w:eastAsia="zh-CN" w:bidi="ar"/>
        </w:rPr>
        <w:t>Azanza gar</w:t>
      </w:r>
      <w:r>
        <w:rPr>
          <w:rFonts w:ascii="Times New Roman" w:eastAsia="CIDFont" w:hAnsi="Times New Roman" w:cs="Times New Roman"/>
          <w:i/>
          <w:iCs/>
          <w:color w:val="000000"/>
          <w:kern w:val="0"/>
          <w:sz w:val="24"/>
          <w:szCs w:val="24"/>
          <w:highlight w:val="yellow"/>
          <w:lang w:eastAsia="zh-CN" w:bidi="ar"/>
        </w:rPr>
        <w:t>c</w:t>
      </w:r>
      <w:r>
        <w:rPr>
          <w:rFonts w:ascii="Times New Roman" w:eastAsia="CIDFont" w:hAnsi="Times New Roman" w:cs="Times New Roman"/>
          <w:i/>
          <w:iCs/>
          <w:color w:val="000000"/>
          <w:kern w:val="0"/>
          <w:sz w:val="24"/>
          <w:szCs w:val="24"/>
          <w:lang w:eastAsia="zh-CN" w:bidi="ar"/>
        </w:rPr>
        <w:t>keana</w:t>
      </w:r>
      <w:r>
        <w:rPr>
          <w:rFonts w:ascii="Times New Roman" w:eastAsia="CIDFont" w:hAnsi="Times New Roman" w:cs="Times New Roman"/>
          <w:color w:val="000000"/>
          <w:kern w:val="0"/>
          <w:sz w:val="24"/>
          <w:szCs w:val="24"/>
          <w:lang w:eastAsia="zh-CN" w:bidi="ar"/>
        </w:rPr>
        <w:t xml:space="preserve"> fruits were obtained from Tula village, Kaltungo Local Government </w:t>
      </w:r>
      <w:r>
        <w:rPr>
          <w:rFonts w:ascii="Times New Roman" w:eastAsia="CIDFont" w:hAnsi="Times New Roman" w:cs="Times New Roman"/>
          <w:color w:val="000000"/>
          <w:kern w:val="0"/>
          <w:sz w:val="24"/>
          <w:szCs w:val="24"/>
          <w:highlight w:val="yellow"/>
          <w:lang w:eastAsia="zh-CN" w:bidi="ar"/>
        </w:rPr>
        <w:t>A</w:t>
      </w:r>
      <w:r>
        <w:rPr>
          <w:rFonts w:ascii="Times New Roman" w:eastAsia="CIDFont" w:hAnsi="Times New Roman" w:cs="Times New Roman"/>
          <w:color w:val="000000"/>
          <w:kern w:val="0"/>
          <w:sz w:val="24"/>
          <w:szCs w:val="24"/>
          <w:lang w:eastAsia="zh-CN" w:bidi="ar"/>
        </w:rPr>
        <w:t xml:space="preserve">rea, </w:t>
      </w:r>
    </w:p>
    <w:p w14:paraId="4EB4B898"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Gombe State</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w:t>
      </w:r>
      <w:r>
        <w:rPr>
          <w:rFonts w:ascii="Times New Roman" w:eastAsia="CIDFont" w:hAnsi="Times New Roman" w:cs="Times New Roman"/>
          <w:color w:val="000000"/>
          <w:kern w:val="0"/>
          <w:sz w:val="24"/>
          <w:szCs w:val="24"/>
          <w:highlight w:val="yellow"/>
          <w:lang w:eastAsia="zh-CN" w:bidi="ar"/>
        </w:rPr>
        <w:t>n</w:t>
      </w:r>
      <w:r>
        <w:rPr>
          <w:rFonts w:ascii="Times New Roman" w:eastAsia="CIDFont" w:hAnsi="Times New Roman" w:cs="Times New Roman"/>
          <w:color w:val="000000"/>
          <w:kern w:val="0"/>
          <w:sz w:val="24"/>
          <w:szCs w:val="24"/>
          <w:lang w:eastAsia="zh-CN" w:bidi="ar"/>
        </w:rPr>
        <w:t>orth</w:t>
      </w:r>
      <w:r>
        <w:rPr>
          <w:rFonts w:ascii="Times New Roman" w:eastAsia="CIDFont" w:hAnsi="Times New Roman" w:cs="Times New Roman"/>
          <w:color w:val="000000"/>
          <w:kern w:val="0"/>
          <w:sz w:val="24"/>
          <w:szCs w:val="24"/>
          <w:highlight w:val="yellow"/>
          <w:lang w:eastAsia="zh-CN" w:bidi="ar"/>
        </w:rPr>
        <w:t>-e</w:t>
      </w:r>
      <w:r>
        <w:rPr>
          <w:rFonts w:ascii="Times New Roman" w:eastAsia="CIDFont" w:hAnsi="Times New Roman" w:cs="Times New Roman"/>
          <w:color w:val="000000"/>
          <w:kern w:val="0"/>
          <w:sz w:val="24"/>
          <w:szCs w:val="24"/>
          <w:lang w:eastAsia="zh-CN" w:bidi="ar"/>
        </w:rPr>
        <w:t>ast</w:t>
      </w:r>
      <w:r>
        <w:rPr>
          <w:rFonts w:ascii="Times New Roman" w:eastAsia="CIDFont" w:hAnsi="Times New Roman" w:cs="Times New Roman"/>
          <w:color w:val="000000"/>
          <w:kern w:val="0"/>
          <w:sz w:val="24"/>
          <w:szCs w:val="24"/>
          <w:highlight w:val="yellow"/>
          <w:lang w:eastAsia="zh-CN" w:bidi="ar"/>
        </w:rPr>
        <w:t>ern</w:t>
      </w:r>
      <w:r>
        <w:rPr>
          <w:rFonts w:ascii="Times New Roman" w:eastAsia="CIDFont" w:hAnsi="Times New Roman" w:cs="Times New Roman"/>
          <w:color w:val="000000"/>
          <w:kern w:val="0"/>
          <w:sz w:val="24"/>
          <w:szCs w:val="24"/>
          <w:lang w:eastAsia="zh-CN" w:bidi="ar"/>
        </w:rPr>
        <w:t xml:space="preserve"> Nigeria. </w:t>
      </w:r>
      <w:r>
        <w:rPr>
          <w:rFonts w:ascii="Times New Roman" w:eastAsia="CIDFont" w:hAnsi="Times New Roman" w:cs="Times New Roman"/>
          <w:color w:val="000000"/>
          <w:kern w:val="0"/>
          <w:sz w:val="24"/>
          <w:szCs w:val="24"/>
          <w:highlight w:val="yellow"/>
          <w:lang w:eastAsia="zh-CN" w:bidi="ar"/>
        </w:rPr>
        <w:t>The plan</w:t>
      </w:r>
      <w:r>
        <w:rPr>
          <w:rFonts w:ascii="Times New Roman" w:eastAsia="CIDFont" w:hAnsi="Times New Roman" w:cs="Times New Roman"/>
          <w:color w:val="000000"/>
          <w:kern w:val="0"/>
          <w:sz w:val="24"/>
          <w:szCs w:val="24"/>
          <w:lang w:eastAsia="zh-CN" w:bidi="ar"/>
        </w:rPr>
        <w:t xml:space="preserve">t was identified and authenticated at the herbarium unit of </w:t>
      </w:r>
    </w:p>
    <w:p w14:paraId="061A8D84"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the College of Forestry</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opposite</w:t>
      </w:r>
      <w:r>
        <w:rPr>
          <w:rFonts w:ascii="Times New Roman" w:eastAsia="CIDFont" w:hAnsi="Times New Roman" w:cs="Times New Roman"/>
          <w:color w:val="000000"/>
          <w:kern w:val="0"/>
          <w:sz w:val="24"/>
          <w:szCs w:val="24"/>
          <w:highlight w:val="yellow"/>
          <w:lang w:eastAsia="zh-CN" w:bidi="ar"/>
        </w:rPr>
        <w:t xml:space="preserve"> the</w:t>
      </w:r>
      <w:r>
        <w:rPr>
          <w:rFonts w:ascii="Times New Roman" w:eastAsia="CIDFont" w:hAnsi="Times New Roman" w:cs="Times New Roman"/>
          <w:color w:val="000000"/>
          <w:kern w:val="0"/>
          <w:sz w:val="24"/>
          <w:szCs w:val="24"/>
          <w:lang w:eastAsia="zh-CN" w:bidi="ar"/>
        </w:rPr>
        <w:t xml:space="preserve"> University of Jos, Plateau State, Nigeria. </w:t>
      </w:r>
      <w:r>
        <w:rPr>
          <w:rFonts w:ascii="Times New Roman" w:eastAsia="CIDFont" w:hAnsi="Times New Roman" w:cs="Times New Roman"/>
          <w:color w:val="000000"/>
          <w:kern w:val="0"/>
          <w:sz w:val="24"/>
          <w:szCs w:val="24"/>
          <w:highlight w:val="yellow"/>
          <w:lang w:eastAsia="zh-CN" w:bidi="ar"/>
        </w:rPr>
        <w:t>A s</w:t>
      </w:r>
      <w:r>
        <w:rPr>
          <w:rFonts w:ascii="Times New Roman" w:eastAsia="CIDFont" w:hAnsi="Times New Roman" w:cs="Times New Roman"/>
          <w:color w:val="000000"/>
          <w:kern w:val="0"/>
          <w:sz w:val="24"/>
          <w:szCs w:val="24"/>
          <w:lang w:eastAsia="zh-CN" w:bidi="ar"/>
        </w:rPr>
        <w:t xml:space="preserve">pecimen was </w:t>
      </w:r>
    </w:p>
    <w:p w14:paraId="43B3C2D1"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deposited</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and voucher number (JUHN20000303)</w:t>
      </w:r>
      <w:r>
        <w:rPr>
          <w:rFonts w:ascii="Times New Roman" w:eastAsia="CIDFont" w:hAnsi="Times New Roman" w:cs="Times New Roman"/>
          <w:color w:val="000000"/>
          <w:kern w:val="0"/>
          <w:sz w:val="24"/>
          <w:szCs w:val="24"/>
          <w:highlight w:val="yellow"/>
          <w:lang w:eastAsia="zh-CN" w:bidi="ar"/>
        </w:rPr>
        <w:t xml:space="preserve"> was</w:t>
      </w:r>
      <w:r>
        <w:rPr>
          <w:rFonts w:ascii="Times New Roman" w:eastAsia="CIDFont" w:hAnsi="Times New Roman" w:cs="Times New Roman"/>
          <w:color w:val="000000"/>
          <w:kern w:val="0"/>
          <w:sz w:val="24"/>
          <w:szCs w:val="24"/>
          <w:lang w:eastAsia="zh-CN" w:bidi="ar"/>
        </w:rPr>
        <w:t xml:space="preserve"> obtained. The fruits were washed and chopped </w:t>
      </w:r>
    </w:p>
    <w:p w14:paraId="624598CD"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highlight w:val="yellow"/>
          <w:lang w:eastAsia="zh-CN" w:bidi="ar"/>
        </w:rPr>
        <w:t>in</w:t>
      </w:r>
      <w:r>
        <w:rPr>
          <w:rFonts w:ascii="Times New Roman" w:eastAsia="CIDFont" w:hAnsi="Times New Roman" w:cs="Times New Roman"/>
          <w:color w:val="000000"/>
          <w:kern w:val="0"/>
          <w:sz w:val="24"/>
          <w:szCs w:val="24"/>
          <w:lang w:eastAsia="zh-CN" w:bidi="ar"/>
        </w:rPr>
        <w:t>to pieces and then air</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dried at room temperature for 3 weeks. The chopped fruits were further </w:t>
      </w:r>
    </w:p>
    <w:p w14:paraId="2303D840"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dried at 60</w:t>
      </w:r>
      <w:r>
        <w:rPr>
          <w:rFonts w:ascii="Times New Roman" w:eastAsia="CIDFont" w:hAnsi="Times New Roman" w:cs="Times New Roman"/>
          <w:color w:val="000000"/>
          <w:kern w:val="0"/>
          <w:sz w:val="24"/>
          <w:szCs w:val="24"/>
          <w:vertAlign w:val="superscript"/>
          <w:lang w:eastAsia="zh-CN" w:bidi="ar"/>
        </w:rPr>
        <w:t>0</w:t>
      </w:r>
      <w:r>
        <w:rPr>
          <w:rFonts w:ascii="Times New Roman" w:eastAsia="CIDFont" w:hAnsi="Times New Roman" w:cs="Times New Roman"/>
          <w:color w:val="000000"/>
          <w:kern w:val="0"/>
          <w:sz w:val="24"/>
          <w:szCs w:val="24"/>
          <w:lang w:eastAsia="zh-CN" w:bidi="ar"/>
        </w:rPr>
        <w:t xml:space="preserve">C in an oven (Uniscope SM9053 Surgifriend </w:t>
      </w:r>
      <w:r>
        <w:rPr>
          <w:rFonts w:ascii="Times New Roman" w:eastAsia="CIDFont" w:hAnsi="Times New Roman" w:cs="Times New Roman"/>
          <w:color w:val="000000"/>
          <w:kern w:val="0"/>
          <w:sz w:val="24"/>
          <w:szCs w:val="24"/>
          <w:highlight w:val="yellow"/>
          <w:lang w:eastAsia="zh-CN" w:bidi="ar"/>
        </w:rPr>
        <w:t>M</w:t>
      </w:r>
      <w:r>
        <w:rPr>
          <w:rFonts w:ascii="Times New Roman" w:eastAsia="CIDFont" w:hAnsi="Times New Roman" w:cs="Times New Roman"/>
          <w:color w:val="000000"/>
          <w:kern w:val="0"/>
          <w:sz w:val="24"/>
          <w:szCs w:val="24"/>
          <w:lang w:eastAsia="zh-CN" w:bidi="ar"/>
        </w:rPr>
        <w:t xml:space="preserve">edicals, England) to constant weight. </w:t>
      </w:r>
    </w:p>
    <w:p w14:paraId="658BD8AE"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The dried fruits were crushed into </w:t>
      </w:r>
      <w:r>
        <w:rPr>
          <w:rFonts w:ascii="Times New Roman" w:eastAsia="CIDFont" w:hAnsi="Times New Roman" w:cs="Times New Roman"/>
          <w:color w:val="000000"/>
          <w:kern w:val="0"/>
          <w:sz w:val="24"/>
          <w:szCs w:val="24"/>
          <w:highlight w:val="yellow"/>
          <w:lang w:eastAsia="zh-CN" w:bidi="ar"/>
        </w:rPr>
        <w:t xml:space="preserve">a </w:t>
      </w:r>
      <w:r>
        <w:rPr>
          <w:rFonts w:ascii="Times New Roman" w:eastAsia="CIDFont" w:hAnsi="Times New Roman" w:cs="Times New Roman"/>
          <w:color w:val="000000"/>
          <w:kern w:val="0"/>
          <w:sz w:val="24"/>
          <w:szCs w:val="24"/>
          <w:lang w:eastAsia="zh-CN" w:bidi="ar"/>
        </w:rPr>
        <w:t>fine powder using</w:t>
      </w:r>
      <w:r>
        <w:rPr>
          <w:rFonts w:ascii="Times New Roman" w:eastAsia="CIDFont" w:hAnsi="Times New Roman" w:cs="Times New Roman"/>
          <w:color w:val="000000"/>
          <w:kern w:val="0"/>
          <w:sz w:val="24"/>
          <w:szCs w:val="24"/>
          <w:highlight w:val="yellow"/>
          <w:lang w:eastAsia="zh-CN" w:bidi="ar"/>
        </w:rPr>
        <w:t xml:space="preserve"> a</w:t>
      </w:r>
      <w:r>
        <w:rPr>
          <w:rFonts w:ascii="Times New Roman" w:eastAsia="CIDFont" w:hAnsi="Times New Roman" w:cs="Times New Roman"/>
          <w:color w:val="000000"/>
          <w:kern w:val="0"/>
          <w:sz w:val="24"/>
          <w:szCs w:val="24"/>
          <w:lang w:eastAsia="zh-CN" w:bidi="ar"/>
        </w:rPr>
        <w:t xml:space="preserve"> mortar and pestle. </w:t>
      </w:r>
    </w:p>
    <w:p w14:paraId="4104655A"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Experimental Animals </w:t>
      </w:r>
    </w:p>
    <w:p w14:paraId="60B0F4E0"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Sixty (60) adult male and female albino rats weighing between 136 g </w:t>
      </w:r>
      <w:r>
        <w:rPr>
          <w:rFonts w:ascii="Times New Roman" w:eastAsia="CIDFont" w:hAnsi="Times New Roman" w:cs="Times New Roman"/>
          <w:color w:val="000000"/>
          <w:kern w:val="0"/>
          <w:sz w:val="24"/>
          <w:szCs w:val="24"/>
          <w:highlight w:val="yellow"/>
          <w:lang w:eastAsia="zh-CN" w:bidi="ar"/>
        </w:rPr>
        <w:t>and</w:t>
      </w:r>
      <w:r>
        <w:rPr>
          <w:rFonts w:ascii="Times New Roman" w:eastAsia="CIDFont" w:hAnsi="Times New Roman" w:cs="Times New Roman"/>
          <w:color w:val="000000"/>
          <w:kern w:val="0"/>
          <w:sz w:val="24"/>
          <w:szCs w:val="24"/>
          <w:lang w:eastAsia="zh-CN" w:bidi="ar"/>
        </w:rPr>
        <w:t xml:space="preserve"> 265 g were obtained from </w:t>
      </w:r>
    </w:p>
    <w:p w14:paraId="7FAF24A4"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the Animal House unit, Department of Pharmacology, Faculty of Pharmaceutical Sciences, </w:t>
      </w:r>
    </w:p>
    <w:p w14:paraId="7D1D9DA9"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University of Jos. The rats were housed in well-ventilated rat cages</w:t>
      </w:r>
      <w:r>
        <w:rPr>
          <w:rFonts w:ascii="Times New Roman" w:eastAsia="CIDFont" w:hAnsi="Times New Roman" w:cs="Times New Roman"/>
          <w:color w:val="000000"/>
          <w:kern w:val="0"/>
          <w:sz w:val="24"/>
          <w:szCs w:val="24"/>
          <w:highlight w:val="yellow"/>
          <w:lang w:eastAsia="zh-CN" w:bidi="ar"/>
        </w:rPr>
        <w:t xml:space="preserve"> and</w:t>
      </w:r>
      <w:r>
        <w:rPr>
          <w:rFonts w:ascii="Times New Roman" w:eastAsia="CIDFont" w:hAnsi="Times New Roman" w:cs="Times New Roman"/>
          <w:color w:val="000000"/>
          <w:kern w:val="0"/>
          <w:sz w:val="24"/>
          <w:szCs w:val="24"/>
          <w:lang w:eastAsia="zh-CN" w:bidi="ar"/>
        </w:rPr>
        <w:t xml:space="preserve"> allowed to acclimati</w:t>
      </w:r>
      <w:r>
        <w:rPr>
          <w:rFonts w:ascii="Times New Roman" w:eastAsia="CIDFont" w:hAnsi="Times New Roman" w:cs="Times New Roman"/>
          <w:color w:val="000000"/>
          <w:kern w:val="0"/>
          <w:sz w:val="24"/>
          <w:szCs w:val="24"/>
          <w:highlight w:val="yellow"/>
          <w:lang w:eastAsia="zh-CN" w:bidi="ar"/>
        </w:rPr>
        <w:t>s</w:t>
      </w:r>
      <w:r>
        <w:rPr>
          <w:rFonts w:ascii="Times New Roman" w:eastAsia="CIDFont" w:hAnsi="Times New Roman" w:cs="Times New Roman"/>
          <w:color w:val="000000"/>
          <w:kern w:val="0"/>
          <w:sz w:val="24"/>
          <w:szCs w:val="24"/>
          <w:lang w:eastAsia="zh-CN" w:bidi="ar"/>
        </w:rPr>
        <w:t xml:space="preserve">e to </w:t>
      </w:r>
    </w:p>
    <w:p w14:paraId="743666C9"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animal</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house condition</w:t>
      </w:r>
      <w:r>
        <w:rPr>
          <w:rFonts w:ascii="Times New Roman" w:eastAsia="CIDFont" w:hAnsi="Times New Roman" w:cs="Times New Roman"/>
          <w:color w:val="000000"/>
          <w:kern w:val="0"/>
          <w:sz w:val="24"/>
          <w:szCs w:val="24"/>
          <w:highlight w:val="yellow"/>
          <w:lang w:eastAsia="zh-CN" w:bidi="ar"/>
        </w:rPr>
        <w:t>s</w:t>
      </w:r>
      <w:r>
        <w:rPr>
          <w:rFonts w:ascii="Times New Roman" w:eastAsia="CIDFont" w:hAnsi="Times New Roman" w:cs="Times New Roman"/>
          <w:color w:val="000000"/>
          <w:kern w:val="0"/>
          <w:sz w:val="24"/>
          <w:szCs w:val="24"/>
          <w:lang w:eastAsia="zh-CN" w:bidi="ar"/>
        </w:rPr>
        <w:t xml:space="preserve"> for 7 days</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w:t>
      </w:r>
      <w:r>
        <w:rPr>
          <w:rFonts w:ascii="Times New Roman" w:eastAsia="CIDFont" w:hAnsi="Times New Roman" w:cs="Times New Roman"/>
          <w:color w:val="000000"/>
          <w:kern w:val="0"/>
          <w:sz w:val="24"/>
          <w:szCs w:val="24"/>
          <w:highlight w:val="yellow"/>
          <w:lang w:eastAsia="zh-CN" w:bidi="ar"/>
        </w:rPr>
        <w:t>they</w:t>
      </w:r>
      <w:r>
        <w:rPr>
          <w:rFonts w:ascii="Times New Roman" w:eastAsia="CIDFont" w:hAnsi="Times New Roman" w:cs="Times New Roman"/>
          <w:color w:val="000000"/>
          <w:kern w:val="0"/>
          <w:sz w:val="24"/>
          <w:szCs w:val="24"/>
          <w:lang w:eastAsia="zh-CN" w:bidi="ar"/>
        </w:rPr>
        <w:t xml:space="preserve"> were fed standard rat pellet</w:t>
      </w:r>
      <w:r>
        <w:rPr>
          <w:rFonts w:ascii="Times New Roman" w:eastAsia="CIDFont" w:hAnsi="Times New Roman" w:cs="Times New Roman"/>
          <w:color w:val="000000"/>
          <w:kern w:val="0"/>
          <w:sz w:val="24"/>
          <w:szCs w:val="24"/>
          <w:highlight w:val="yellow"/>
          <w:lang w:eastAsia="zh-CN" w:bidi="ar"/>
        </w:rPr>
        <w:t>s</w:t>
      </w:r>
      <w:r>
        <w:rPr>
          <w:rFonts w:ascii="Times New Roman" w:eastAsia="CIDFont" w:hAnsi="Times New Roman" w:cs="Times New Roman"/>
          <w:color w:val="000000"/>
          <w:kern w:val="0"/>
          <w:sz w:val="24"/>
          <w:szCs w:val="24"/>
          <w:lang w:eastAsia="zh-CN" w:bidi="ar"/>
        </w:rPr>
        <w:t xml:space="preserve"> and tap water before the </w:t>
      </w:r>
    </w:p>
    <w:p w14:paraId="661219BD"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experiment. </w:t>
      </w:r>
    </w:p>
    <w:p w14:paraId="5F725714"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METHODS </w:t>
      </w:r>
    </w:p>
    <w:p w14:paraId="408377ED"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Preparation of </w:t>
      </w:r>
      <w:r>
        <w:rPr>
          <w:rFonts w:ascii="Times New Roman" w:eastAsia="CIDFont" w:hAnsi="Times New Roman" w:cs="Times New Roman"/>
          <w:b/>
          <w:bCs/>
          <w:i/>
          <w:iCs/>
          <w:color w:val="000000"/>
          <w:kern w:val="0"/>
          <w:sz w:val="24"/>
          <w:szCs w:val="24"/>
          <w:lang w:eastAsia="zh-CN" w:bidi="ar"/>
        </w:rPr>
        <w:t>Azanza garckeana</w:t>
      </w:r>
      <w:r>
        <w:rPr>
          <w:rFonts w:ascii="Times New Roman" w:eastAsia="CIDFont" w:hAnsi="Times New Roman" w:cs="Times New Roman"/>
          <w:b/>
          <w:bCs/>
          <w:color w:val="000000"/>
          <w:kern w:val="0"/>
          <w:sz w:val="24"/>
          <w:szCs w:val="24"/>
          <w:lang w:eastAsia="zh-CN" w:bidi="ar"/>
        </w:rPr>
        <w:t xml:space="preserve"> </w:t>
      </w:r>
      <w:r>
        <w:rPr>
          <w:rFonts w:ascii="Times New Roman" w:eastAsia="CIDFont" w:hAnsi="Times New Roman" w:cs="Times New Roman"/>
          <w:b/>
          <w:bCs/>
          <w:color w:val="000000"/>
          <w:kern w:val="0"/>
          <w:sz w:val="24"/>
          <w:szCs w:val="24"/>
          <w:highlight w:val="yellow"/>
          <w:lang w:eastAsia="zh-CN" w:bidi="ar"/>
        </w:rPr>
        <w:t>F</w:t>
      </w:r>
      <w:r>
        <w:rPr>
          <w:rFonts w:ascii="Times New Roman" w:eastAsia="CIDFont" w:hAnsi="Times New Roman" w:cs="Times New Roman"/>
          <w:b/>
          <w:bCs/>
          <w:color w:val="000000"/>
          <w:kern w:val="0"/>
          <w:sz w:val="24"/>
          <w:szCs w:val="24"/>
          <w:lang w:eastAsia="zh-CN" w:bidi="ar"/>
        </w:rPr>
        <w:t xml:space="preserve">ruit Extract </w:t>
      </w:r>
    </w:p>
    <w:p w14:paraId="0E9C9AE3"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lastRenderedPageBreak/>
        <w:t>A</w:t>
      </w:r>
      <w:r>
        <w:rPr>
          <w:rFonts w:ascii="Times New Roman" w:eastAsia="CIDFont" w:hAnsi="Times New Roman" w:cs="Times New Roman"/>
          <w:color w:val="000000"/>
          <w:kern w:val="0"/>
          <w:sz w:val="24"/>
          <w:szCs w:val="24"/>
          <w:highlight w:val="yellow"/>
          <w:lang w:eastAsia="zh-CN" w:bidi="ar"/>
        </w:rPr>
        <w:t>n a</w:t>
      </w:r>
      <w:r>
        <w:rPr>
          <w:rFonts w:ascii="Times New Roman" w:eastAsia="CIDFont" w:hAnsi="Times New Roman" w:cs="Times New Roman"/>
          <w:color w:val="000000"/>
          <w:kern w:val="0"/>
          <w:sz w:val="24"/>
          <w:szCs w:val="24"/>
          <w:lang w:eastAsia="zh-CN" w:bidi="ar"/>
        </w:rPr>
        <w:t xml:space="preserve">queous extract of </w:t>
      </w:r>
      <w:r>
        <w:rPr>
          <w:rFonts w:ascii="Times New Roman" w:eastAsia="CIDFont" w:hAnsi="Times New Roman" w:cs="Times New Roman"/>
          <w:i/>
          <w:iCs/>
          <w:color w:val="000000"/>
          <w:kern w:val="0"/>
          <w:sz w:val="24"/>
          <w:szCs w:val="24"/>
          <w:lang w:eastAsia="zh-CN" w:bidi="ar"/>
        </w:rPr>
        <w:t>Azanza garckeana</w:t>
      </w:r>
      <w:r>
        <w:rPr>
          <w:rFonts w:ascii="Times New Roman" w:eastAsia="CIDFont" w:hAnsi="Times New Roman" w:cs="Times New Roman"/>
          <w:color w:val="000000"/>
          <w:kern w:val="0"/>
          <w:sz w:val="24"/>
          <w:szCs w:val="24"/>
          <w:lang w:eastAsia="zh-CN" w:bidi="ar"/>
        </w:rPr>
        <w:t xml:space="preserve"> fruit was prepared by cutting </w:t>
      </w:r>
      <w:r>
        <w:rPr>
          <w:rFonts w:ascii="Times New Roman" w:eastAsia="CIDFont" w:hAnsi="Times New Roman" w:cs="Times New Roman"/>
          <w:color w:val="000000"/>
          <w:kern w:val="0"/>
          <w:sz w:val="24"/>
          <w:szCs w:val="24"/>
          <w:highlight w:val="yellow"/>
          <w:lang w:eastAsia="zh-CN" w:bidi="ar"/>
        </w:rPr>
        <w:t xml:space="preserve">open </w:t>
      </w:r>
      <w:r>
        <w:rPr>
          <w:rFonts w:ascii="Times New Roman" w:eastAsia="CIDFont" w:hAnsi="Times New Roman" w:cs="Times New Roman"/>
          <w:color w:val="000000"/>
          <w:kern w:val="0"/>
          <w:sz w:val="24"/>
          <w:szCs w:val="24"/>
          <w:lang w:eastAsia="zh-CN" w:bidi="ar"/>
        </w:rPr>
        <w:t xml:space="preserve">the fruits and </w:t>
      </w:r>
    </w:p>
    <w:p w14:paraId="28EEBD80"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highlight w:val="yellow"/>
          <w:lang w:eastAsia="zh-CN" w:bidi="ar"/>
        </w:rPr>
        <w:t xml:space="preserve">removing the </w:t>
      </w:r>
      <w:r>
        <w:rPr>
          <w:rFonts w:ascii="Times New Roman" w:eastAsia="CIDFont" w:hAnsi="Times New Roman" w:cs="Times New Roman"/>
          <w:color w:val="000000"/>
          <w:kern w:val="0"/>
          <w:sz w:val="24"/>
          <w:szCs w:val="24"/>
          <w:lang w:eastAsia="zh-CN" w:bidi="ar"/>
        </w:rPr>
        <w:t xml:space="preserve">seeds. The fruits were air-dried at room temperature until </w:t>
      </w:r>
      <w:r>
        <w:rPr>
          <w:rFonts w:ascii="Times New Roman" w:eastAsia="CIDFont" w:hAnsi="Times New Roman" w:cs="Times New Roman"/>
          <w:color w:val="000000"/>
          <w:kern w:val="0"/>
          <w:sz w:val="24"/>
          <w:szCs w:val="24"/>
          <w:highlight w:val="yellow"/>
          <w:lang w:eastAsia="zh-CN" w:bidi="ar"/>
        </w:rPr>
        <w:t xml:space="preserve">a </w:t>
      </w:r>
      <w:r>
        <w:rPr>
          <w:rFonts w:ascii="Times New Roman" w:eastAsia="CIDFont" w:hAnsi="Times New Roman" w:cs="Times New Roman"/>
          <w:color w:val="000000"/>
          <w:kern w:val="0"/>
          <w:sz w:val="24"/>
          <w:szCs w:val="24"/>
          <w:lang w:eastAsia="zh-CN" w:bidi="ar"/>
        </w:rPr>
        <w:t xml:space="preserve">constant weight was obtained, </w:t>
      </w:r>
    </w:p>
    <w:p w14:paraId="69E89277"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highlight w:val="yellow"/>
          <w:lang w:eastAsia="zh-CN" w:bidi="ar"/>
        </w:rPr>
        <w:t xml:space="preserve">and </w:t>
      </w:r>
      <w:r>
        <w:rPr>
          <w:rFonts w:ascii="Times New Roman" w:eastAsia="CIDFont" w:hAnsi="Times New Roman" w:cs="Times New Roman"/>
          <w:color w:val="000000"/>
          <w:kern w:val="0"/>
          <w:sz w:val="24"/>
          <w:szCs w:val="24"/>
          <w:lang w:eastAsia="zh-CN" w:bidi="ar"/>
        </w:rPr>
        <w:t xml:space="preserve">then pounded into </w:t>
      </w:r>
      <w:r>
        <w:rPr>
          <w:rFonts w:ascii="Times New Roman" w:eastAsia="CIDFont" w:hAnsi="Times New Roman" w:cs="Times New Roman"/>
          <w:color w:val="000000"/>
          <w:kern w:val="0"/>
          <w:sz w:val="24"/>
          <w:szCs w:val="24"/>
          <w:highlight w:val="yellow"/>
          <w:lang w:eastAsia="zh-CN" w:bidi="ar"/>
        </w:rPr>
        <w:t xml:space="preserve">a </w:t>
      </w:r>
      <w:r>
        <w:rPr>
          <w:rFonts w:ascii="Times New Roman" w:eastAsia="CIDFont" w:hAnsi="Times New Roman" w:cs="Times New Roman"/>
          <w:color w:val="000000"/>
          <w:kern w:val="0"/>
          <w:sz w:val="24"/>
          <w:szCs w:val="24"/>
          <w:lang w:eastAsia="zh-CN" w:bidi="ar"/>
        </w:rPr>
        <w:t>fine powder using</w:t>
      </w:r>
      <w:r>
        <w:rPr>
          <w:rFonts w:ascii="Times New Roman" w:eastAsia="CIDFont" w:hAnsi="Times New Roman" w:cs="Times New Roman"/>
          <w:color w:val="000000"/>
          <w:kern w:val="0"/>
          <w:sz w:val="24"/>
          <w:szCs w:val="24"/>
          <w:highlight w:val="yellow"/>
          <w:lang w:eastAsia="zh-CN" w:bidi="ar"/>
        </w:rPr>
        <w:t xml:space="preserve"> a</w:t>
      </w:r>
      <w:r>
        <w:rPr>
          <w:rFonts w:ascii="Times New Roman" w:eastAsia="CIDFont" w:hAnsi="Times New Roman" w:cs="Times New Roman"/>
          <w:color w:val="000000"/>
          <w:kern w:val="0"/>
          <w:sz w:val="24"/>
          <w:szCs w:val="24"/>
          <w:lang w:eastAsia="zh-CN" w:bidi="ar"/>
        </w:rPr>
        <w:t xml:space="preserve"> ceramic mortar and pestle. The resulting powder was </w:t>
      </w:r>
    </w:p>
    <w:p w14:paraId="1A47DD90"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macerated in distilled water for 24 hours for proper extraction according to the method described </w:t>
      </w:r>
    </w:p>
    <w:p w14:paraId="520B9A3A" w14:textId="0271F08E"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by Momodu et al. (202</w:t>
      </w:r>
      <w:r w:rsidR="009A1C5D">
        <w:rPr>
          <w:rFonts w:ascii="Times New Roman" w:eastAsia="CIDFont" w:hAnsi="Times New Roman" w:cs="Times New Roman"/>
          <w:color w:val="000000"/>
          <w:kern w:val="0"/>
          <w:sz w:val="24"/>
          <w:szCs w:val="24"/>
          <w:lang w:eastAsia="zh-CN" w:bidi="ar"/>
        </w:rPr>
        <w:t>2</w:t>
      </w:r>
      <w:r>
        <w:rPr>
          <w:rFonts w:ascii="Times New Roman" w:eastAsia="CIDFont" w:hAnsi="Times New Roman" w:cs="Times New Roman"/>
          <w:color w:val="000000"/>
          <w:kern w:val="0"/>
          <w:sz w:val="24"/>
          <w:szCs w:val="24"/>
          <w:lang w:eastAsia="zh-CN" w:bidi="ar"/>
        </w:rPr>
        <w:t>)</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with slight modification. The samples were thereafter filtered using </w:t>
      </w:r>
    </w:p>
    <w:p w14:paraId="222896C3"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Whatman No</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1 filter paper</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and the filtrate w</w:t>
      </w:r>
      <w:r>
        <w:rPr>
          <w:rFonts w:ascii="Times New Roman" w:eastAsia="CIDFont" w:hAnsi="Times New Roman" w:cs="Times New Roman"/>
          <w:color w:val="000000"/>
          <w:kern w:val="0"/>
          <w:sz w:val="24"/>
          <w:szCs w:val="24"/>
          <w:highlight w:val="yellow"/>
          <w:lang w:eastAsia="zh-CN" w:bidi="ar"/>
        </w:rPr>
        <w:t>as</w:t>
      </w:r>
      <w:r>
        <w:rPr>
          <w:rFonts w:ascii="Times New Roman" w:eastAsia="CIDFont" w:hAnsi="Times New Roman" w:cs="Times New Roman"/>
          <w:color w:val="000000"/>
          <w:kern w:val="0"/>
          <w:sz w:val="24"/>
          <w:szCs w:val="24"/>
          <w:lang w:eastAsia="zh-CN" w:bidi="ar"/>
        </w:rPr>
        <w:t xml:space="preserve"> concentrated i</w:t>
      </w:r>
      <w:r>
        <w:rPr>
          <w:rFonts w:ascii="Times New Roman" w:eastAsia="CIDFont" w:hAnsi="Times New Roman" w:cs="Times New Roman"/>
          <w:color w:val="000000"/>
          <w:kern w:val="0"/>
          <w:sz w:val="24"/>
          <w:szCs w:val="24"/>
          <w:highlight w:val="yellow"/>
          <w:lang w:eastAsia="zh-CN" w:bidi="ar"/>
        </w:rPr>
        <w:t>n a</w:t>
      </w:r>
      <w:r>
        <w:rPr>
          <w:rFonts w:ascii="Times New Roman" w:eastAsia="CIDFont" w:hAnsi="Times New Roman" w:cs="Times New Roman"/>
          <w:color w:val="000000"/>
          <w:kern w:val="0"/>
          <w:sz w:val="24"/>
          <w:szCs w:val="24"/>
          <w:lang w:eastAsia="zh-CN" w:bidi="ar"/>
        </w:rPr>
        <w:t>n oven at 55</w:t>
      </w:r>
      <w:r>
        <w:rPr>
          <w:rFonts w:ascii="Times New Roman" w:eastAsia="CIDFont" w:hAnsi="Times New Roman" w:cs="Times New Roman"/>
          <w:color w:val="000000"/>
          <w:kern w:val="0"/>
          <w:sz w:val="24"/>
          <w:szCs w:val="24"/>
          <w:vertAlign w:val="superscript"/>
          <w:lang w:eastAsia="zh-CN" w:bidi="ar"/>
        </w:rPr>
        <w:t>0</w:t>
      </w:r>
      <w:r>
        <w:rPr>
          <w:rFonts w:ascii="Times New Roman" w:eastAsia="CIDFont" w:hAnsi="Times New Roman" w:cs="Times New Roman"/>
          <w:color w:val="000000"/>
          <w:kern w:val="0"/>
          <w:sz w:val="24"/>
          <w:szCs w:val="24"/>
          <w:lang w:eastAsia="zh-CN" w:bidi="ar"/>
        </w:rPr>
        <w:t xml:space="preserve">C. The extract was </w:t>
      </w:r>
    </w:p>
    <w:p w14:paraId="0A2C7BB4"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thereafter kept in a</w:t>
      </w:r>
      <w:r>
        <w:rPr>
          <w:rFonts w:ascii="Times New Roman" w:eastAsia="CIDFont" w:hAnsi="Times New Roman" w:cs="Times New Roman"/>
          <w:color w:val="000000"/>
          <w:kern w:val="0"/>
          <w:sz w:val="24"/>
          <w:szCs w:val="24"/>
          <w:highlight w:val="yellow"/>
          <w:lang w:eastAsia="zh-CN" w:bidi="ar"/>
        </w:rPr>
        <w:t>n a</w:t>
      </w:r>
      <w:r>
        <w:rPr>
          <w:rFonts w:ascii="Times New Roman" w:eastAsia="CIDFont" w:hAnsi="Times New Roman" w:cs="Times New Roman"/>
          <w:color w:val="000000"/>
          <w:kern w:val="0"/>
          <w:sz w:val="24"/>
          <w:szCs w:val="24"/>
          <w:lang w:eastAsia="zh-CN" w:bidi="ar"/>
        </w:rPr>
        <w:t xml:space="preserve">irtight container and stored in the refrigerator prior to use. </w:t>
      </w:r>
      <w:r>
        <w:rPr>
          <w:rFonts w:ascii="Times New Roman" w:eastAsia="CIDFont" w:hAnsi="Times New Roman" w:cs="Times New Roman"/>
          <w:color w:val="000000"/>
          <w:kern w:val="0"/>
          <w:sz w:val="24"/>
          <w:szCs w:val="24"/>
          <w:highlight w:val="yellow"/>
          <w:lang w:eastAsia="zh-CN" w:bidi="ar"/>
        </w:rPr>
        <w:t>The e</w:t>
      </w:r>
      <w:r>
        <w:rPr>
          <w:rFonts w:ascii="Times New Roman" w:eastAsia="CIDFont" w:hAnsi="Times New Roman" w:cs="Times New Roman"/>
          <w:color w:val="000000"/>
          <w:kern w:val="0"/>
          <w:sz w:val="24"/>
          <w:szCs w:val="24"/>
          <w:lang w:eastAsia="zh-CN" w:bidi="ar"/>
        </w:rPr>
        <w:t xml:space="preserve">xtract was </w:t>
      </w:r>
    </w:p>
    <w:p w14:paraId="67925918"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reconstituted in distilled water to </w:t>
      </w:r>
      <w:r>
        <w:rPr>
          <w:rFonts w:ascii="Times New Roman" w:eastAsia="CIDFont" w:hAnsi="Times New Roman" w:cs="Times New Roman"/>
          <w:color w:val="000000"/>
          <w:kern w:val="0"/>
          <w:sz w:val="24"/>
          <w:szCs w:val="24"/>
          <w:highlight w:val="yellow"/>
          <w:lang w:eastAsia="zh-CN" w:bidi="ar"/>
        </w:rPr>
        <w:t>prov</w:t>
      </w:r>
      <w:r>
        <w:rPr>
          <w:rFonts w:ascii="Times New Roman" w:eastAsia="CIDFont" w:hAnsi="Times New Roman" w:cs="Times New Roman"/>
          <w:color w:val="000000"/>
          <w:kern w:val="0"/>
          <w:sz w:val="24"/>
          <w:szCs w:val="24"/>
          <w:lang w:eastAsia="zh-CN" w:bidi="ar"/>
        </w:rPr>
        <w:t>i</w:t>
      </w:r>
      <w:r>
        <w:rPr>
          <w:rFonts w:ascii="Times New Roman" w:eastAsia="CIDFont" w:hAnsi="Times New Roman" w:cs="Times New Roman"/>
          <w:color w:val="000000"/>
          <w:kern w:val="0"/>
          <w:sz w:val="24"/>
          <w:szCs w:val="24"/>
          <w:highlight w:val="yellow"/>
          <w:lang w:eastAsia="zh-CN" w:bidi="ar"/>
        </w:rPr>
        <w:t>d</w:t>
      </w:r>
      <w:r>
        <w:rPr>
          <w:rFonts w:ascii="Times New Roman" w:eastAsia="CIDFont" w:hAnsi="Times New Roman" w:cs="Times New Roman"/>
          <w:color w:val="000000"/>
          <w:kern w:val="0"/>
          <w:sz w:val="24"/>
          <w:szCs w:val="24"/>
          <w:lang w:eastAsia="zh-CN" w:bidi="ar"/>
        </w:rPr>
        <w:t xml:space="preserve">e doses of 500 and 1000 mg/kg body weight for use in </w:t>
      </w:r>
    </w:p>
    <w:p w14:paraId="7470CA1A"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this study. </w:t>
      </w:r>
    </w:p>
    <w:p w14:paraId="2606463A"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Determination of LD50 of the aqueous extract of </w:t>
      </w:r>
      <w:r>
        <w:rPr>
          <w:rFonts w:ascii="Times New Roman" w:eastAsia="CIDFont" w:hAnsi="Times New Roman" w:cs="Times New Roman"/>
          <w:b/>
          <w:bCs/>
          <w:i/>
          <w:iCs/>
          <w:color w:val="000000"/>
          <w:kern w:val="0"/>
          <w:sz w:val="24"/>
          <w:szCs w:val="24"/>
          <w:lang w:eastAsia="zh-CN" w:bidi="ar"/>
        </w:rPr>
        <w:t xml:space="preserve">Azanza garckeana </w:t>
      </w:r>
      <w:r>
        <w:rPr>
          <w:rFonts w:ascii="Times New Roman" w:eastAsia="CIDFont" w:hAnsi="Times New Roman" w:cs="Times New Roman"/>
          <w:b/>
          <w:bCs/>
          <w:color w:val="000000"/>
          <w:kern w:val="0"/>
          <w:sz w:val="24"/>
          <w:szCs w:val="24"/>
          <w:lang w:eastAsia="zh-CN" w:bidi="ar"/>
        </w:rPr>
        <w:t xml:space="preserve">fruit </w:t>
      </w:r>
    </w:p>
    <w:p w14:paraId="59C0DF6F"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highlight w:val="yellow"/>
          <w:lang w:eastAsia="zh-CN" w:bidi="ar"/>
        </w:rPr>
        <w:t>The m</w:t>
      </w:r>
      <w:r>
        <w:rPr>
          <w:rFonts w:ascii="Times New Roman" w:eastAsia="CIDFont" w:hAnsi="Times New Roman" w:cs="Times New Roman"/>
          <w:color w:val="000000"/>
          <w:kern w:val="0"/>
          <w:sz w:val="24"/>
          <w:szCs w:val="24"/>
          <w:lang w:eastAsia="zh-CN" w:bidi="ar"/>
        </w:rPr>
        <w:t>edian lethal dose (LD50) is the logarithm</w:t>
      </w:r>
      <w:r>
        <w:rPr>
          <w:rFonts w:ascii="Times New Roman" w:eastAsia="CIDFont" w:hAnsi="Times New Roman" w:cs="Times New Roman"/>
          <w:color w:val="000000"/>
          <w:kern w:val="0"/>
          <w:sz w:val="24"/>
          <w:szCs w:val="24"/>
          <w:highlight w:val="yellow"/>
          <w:lang w:eastAsia="zh-CN" w:bidi="ar"/>
        </w:rPr>
        <w:t>ic</w:t>
      </w:r>
      <w:r>
        <w:rPr>
          <w:rFonts w:ascii="Times New Roman" w:eastAsia="CIDFont" w:hAnsi="Times New Roman" w:cs="Times New Roman"/>
          <w:color w:val="000000"/>
          <w:kern w:val="0"/>
          <w:sz w:val="24"/>
          <w:szCs w:val="24"/>
          <w:lang w:eastAsia="zh-CN" w:bidi="ar"/>
        </w:rPr>
        <w:t xml:space="preserve"> dose of a drug that kills 50% of the population to </w:t>
      </w:r>
    </w:p>
    <w:p w14:paraId="57488049"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which the drug is administered. Lorke</w:t>
      </w:r>
      <w:r>
        <w:rPr>
          <w:rFonts w:ascii="Times New Roman" w:eastAsia="CIDFont" w:hAnsi="Times New Roman" w:cs="Times New Roman"/>
          <w:color w:val="000000"/>
          <w:kern w:val="0"/>
          <w:sz w:val="24"/>
          <w:szCs w:val="24"/>
          <w:highlight w:val="yellow"/>
          <w:lang w:eastAsia="zh-CN" w:bidi="ar"/>
        </w:rPr>
        <w:t>’s</w:t>
      </w:r>
      <w:r>
        <w:rPr>
          <w:rFonts w:ascii="Times New Roman" w:eastAsia="CIDFont" w:hAnsi="Times New Roman" w:cs="Times New Roman"/>
          <w:color w:val="000000"/>
          <w:kern w:val="0"/>
          <w:sz w:val="24"/>
          <w:szCs w:val="24"/>
          <w:lang w:eastAsia="zh-CN" w:bidi="ar"/>
        </w:rPr>
        <w:t xml:space="preserve"> method </w:t>
      </w:r>
      <w:r>
        <w:rPr>
          <w:rFonts w:ascii="Times New Roman" w:eastAsia="CIDFont" w:hAnsi="Times New Roman" w:cs="Times New Roman"/>
          <w:color w:val="000000"/>
          <w:kern w:val="0"/>
          <w:sz w:val="24"/>
          <w:szCs w:val="24"/>
          <w:highlight w:val="yellow"/>
          <w:lang w:eastAsia="zh-CN" w:bidi="ar"/>
        </w:rPr>
        <w:t>w</w:t>
      </w:r>
      <w:r>
        <w:rPr>
          <w:rFonts w:ascii="Times New Roman" w:eastAsia="CIDFont" w:hAnsi="Times New Roman" w:cs="Times New Roman"/>
          <w:color w:val="000000"/>
          <w:kern w:val="0"/>
          <w:sz w:val="24"/>
          <w:szCs w:val="24"/>
          <w:lang w:eastAsia="zh-CN" w:bidi="ar"/>
        </w:rPr>
        <w:t xml:space="preserve">as used to determine this lethal dose </w:t>
      </w:r>
    </w:p>
    <w:p w14:paraId="136E5DFE"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(Lorke, 1983). Acute and subacute toxicity as</w:t>
      </w:r>
      <w:r>
        <w:rPr>
          <w:rFonts w:ascii="Times New Roman" w:eastAsia="CIDFont" w:hAnsi="Times New Roman" w:cs="Times New Roman"/>
          <w:color w:val="000000"/>
          <w:kern w:val="0"/>
          <w:sz w:val="24"/>
          <w:szCs w:val="24"/>
          <w:highlight w:val="yellow"/>
          <w:lang w:eastAsia="zh-CN" w:bidi="ar"/>
        </w:rPr>
        <w:t>sessments were</w:t>
      </w:r>
      <w:r>
        <w:rPr>
          <w:rFonts w:ascii="Times New Roman" w:eastAsia="CIDFont" w:hAnsi="Times New Roman" w:cs="Times New Roman"/>
          <w:color w:val="000000"/>
          <w:kern w:val="0"/>
          <w:sz w:val="24"/>
          <w:szCs w:val="24"/>
          <w:lang w:eastAsia="zh-CN" w:bidi="ar"/>
        </w:rPr>
        <w:t xml:space="preserve"> carried out. Acute toxicity was </w:t>
      </w:r>
      <w:r>
        <w:rPr>
          <w:rFonts w:ascii="Times New Roman" w:eastAsia="CIDFont" w:hAnsi="Times New Roman" w:cs="Times New Roman"/>
          <w:color w:val="000000"/>
          <w:kern w:val="0"/>
          <w:sz w:val="24"/>
          <w:szCs w:val="24"/>
          <w:highlight w:val="yellow"/>
          <w:lang w:eastAsia="zh-CN" w:bidi="ar"/>
        </w:rPr>
        <w:t>assesse</w:t>
      </w:r>
      <w:r>
        <w:rPr>
          <w:rFonts w:ascii="Times New Roman" w:eastAsia="CIDFont" w:hAnsi="Times New Roman" w:cs="Times New Roman"/>
          <w:color w:val="000000"/>
          <w:kern w:val="0"/>
          <w:sz w:val="24"/>
          <w:szCs w:val="24"/>
          <w:lang w:eastAsia="zh-CN" w:bidi="ar"/>
        </w:rPr>
        <w:t>d to determine whether the plant extract p</w:t>
      </w:r>
      <w:r>
        <w:rPr>
          <w:rFonts w:ascii="Times New Roman" w:eastAsia="CIDFont" w:hAnsi="Times New Roman" w:cs="Times New Roman"/>
          <w:color w:val="000000"/>
          <w:kern w:val="0"/>
          <w:sz w:val="24"/>
          <w:szCs w:val="24"/>
          <w:highlight w:val="yellow"/>
          <w:lang w:eastAsia="zh-CN" w:bidi="ar"/>
        </w:rPr>
        <w:t>r</w:t>
      </w:r>
      <w:r>
        <w:rPr>
          <w:rFonts w:ascii="Times New Roman" w:eastAsia="CIDFont" w:hAnsi="Times New Roman" w:cs="Times New Roman"/>
          <w:color w:val="000000"/>
          <w:kern w:val="0"/>
          <w:sz w:val="24"/>
          <w:szCs w:val="24"/>
          <w:lang w:eastAsia="zh-CN" w:bidi="ar"/>
        </w:rPr>
        <w:t>o</w:t>
      </w:r>
      <w:r>
        <w:rPr>
          <w:rFonts w:ascii="Times New Roman" w:eastAsia="CIDFont" w:hAnsi="Times New Roman" w:cs="Times New Roman"/>
          <w:color w:val="000000"/>
          <w:kern w:val="0"/>
          <w:sz w:val="24"/>
          <w:szCs w:val="24"/>
          <w:highlight w:val="yellow"/>
          <w:lang w:eastAsia="zh-CN" w:bidi="ar"/>
        </w:rPr>
        <w:t>duc</w:t>
      </w:r>
      <w:r>
        <w:rPr>
          <w:rFonts w:ascii="Times New Roman" w:eastAsia="CIDFont" w:hAnsi="Times New Roman" w:cs="Times New Roman"/>
          <w:color w:val="000000"/>
          <w:kern w:val="0"/>
          <w:sz w:val="24"/>
          <w:szCs w:val="24"/>
          <w:lang w:eastAsia="zh-CN" w:bidi="ar"/>
        </w:rPr>
        <w:t xml:space="preserve">es a short-term effect on the experimental </w:t>
      </w:r>
    </w:p>
    <w:p w14:paraId="0C189B37"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animals</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w:t>
      </w:r>
      <w:r>
        <w:rPr>
          <w:rFonts w:ascii="Times New Roman" w:eastAsia="CIDFont" w:hAnsi="Times New Roman" w:cs="Times New Roman"/>
          <w:color w:val="000000"/>
          <w:kern w:val="0"/>
          <w:sz w:val="24"/>
          <w:szCs w:val="24"/>
          <w:highlight w:val="yellow"/>
          <w:lang w:eastAsia="zh-CN" w:bidi="ar"/>
        </w:rPr>
        <w:t>w</w:t>
      </w:r>
      <w:r>
        <w:rPr>
          <w:rFonts w:ascii="Times New Roman" w:eastAsia="CIDFont" w:hAnsi="Times New Roman" w:cs="Times New Roman"/>
          <w:color w:val="000000"/>
          <w:kern w:val="0"/>
          <w:sz w:val="24"/>
          <w:szCs w:val="24"/>
          <w:lang w:eastAsia="zh-CN" w:bidi="ar"/>
        </w:rPr>
        <w:t xml:space="preserve">hereas subacute toxicity was </w:t>
      </w:r>
      <w:r>
        <w:rPr>
          <w:rFonts w:ascii="Times New Roman" w:eastAsia="CIDFont" w:hAnsi="Times New Roman" w:cs="Times New Roman"/>
          <w:color w:val="000000"/>
          <w:kern w:val="0"/>
          <w:sz w:val="24"/>
          <w:szCs w:val="24"/>
          <w:highlight w:val="yellow"/>
          <w:lang w:eastAsia="zh-CN" w:bidi="ar"/>
        </w:rPr>
        <w:t>assesse</w:t>
      </w:r>
      <w:r>
        <w:rPr>
          <w:rFonts w:ascii="Times New Roman" w:eastAsia="CIDFont" w:hAnsi="Times New Roman" w:cs="Times New Roman"/>
          <w:color w:val="000000"/>
          <w:kern w:val="0"/>
          <w:sz w:val="24"/>
          <w:szCs w:val="24"/>
          <w:lang w:eastAsia="zh-CN" w:bidi="ar"/>
        </w:rPr>
        <w:t>d to determine whether the plant extract p</w:t>
      </w:r>
      <w:r>
        <w:rPr>
          <w:rFonts w:ascii="Times New Roman" w:eastAsia="CIDFont" w:hAnsi="Times New Roman" w:cs="Times New Roman"/>
          <w:color w:val="000000"/>
          <w:kern w:val="0"/>
          <w:sz w:val="24"/>
          <w:szCs w:val="24"/>
          <w:highlight w:val="yellow"/>
          <w:lang w:eastAsia="zh-CN" w:bidi="ar"/>
        </w:rPr>
        <w:t>r</w:t>
      </w:r>
      <w:r>
        <w:rPr>
          <w:rFonts w:ascii="Times New Roman" w:eastAsia="CIDFont" w:hAnsi="Times New Roman" w:cs="Times New Roman"/>
          <w:color w:val="000000"/>
          <w:kern w:val="0"/>
          <w:sz w:val="24"/>
          <w:szCs w:val="24"/>
          <w:lang w:eastAsia="zh-CN" w:bidi="ar"/>
        </w:rPr>
        <w:t>o</w:t>
      </w:r>
      <w:r>
        <w:rPr>
          <w:rFonts w:ascii="Times New Roman" w:eastAsia="CIDFont" w:hAnsi="Times New Roman" w:cs="Times New Roman"/>
          <w:color w:val="000000"/>
          <w:kern w:val="0"/>
          <w:sz w:val="24"/>
          <w:szCs w:val="24"/>
          <w:highlight w:val="yellow"/>
          <w:lang w:eastAsia="zh-CN" w:bidi="ar"/>
        </w:rPr>
        <w:t>duc</w:t>
      </w:r>
      <w:r>
        <w:rPr>
          <w:rFonts w:ascii="Times New Roman" w:eastAsia="CIDFont" w:hAnsi="Times New Roman" w:cs="Times New Roman"/>
          <w:color w:val="000000"/>
          <w:kern w:val="0"/>
          <w:sz w:val="24"/>
          <w:szCs w:val="24"/>
          <w:lang w:eastAsia="zh-CN" w:bidi="ar"/>
        </w:rPr>
        <w:t>es effects that could a</w:t>
      </w:r>
      <w:r>
        <w:rPr>
          <w:rFonts w:ascii="Times New Roman" w:eastAsia="CIDFont" w:hAnsi="Times New Roman" w:cs="Times New Roman"/>
          <w:color w:val="000000"/>
          <w:kern w:val="0"/>
          <w:sz w:val="24"/>
          <w:szCs w:val="24"/>
          <w:highlight w:val="yellow"/>
          <w:lang w:eastAsia="zh-CN" w:bidi="ar"/>
        </w:rPr>
        <w:t>lt</w:t>
      </w:r>
      <w:r>
        <w:rPr>
          <w:rFonts w:ascii="Times New Roman" w:eastAsia="CIDFont" w:hAnsi="Times New Roman" w:cs="Times New Roman"/>
          <w:color w:val="000000"/>
          <w:kern w:val="0"/>
          <w:sz w:val="24"/>
          <w:szCs w:val="24"/>
          <w:lang w:eastAsia="zh-CN" w:bidi="ar"/>
        </w:rPr>
        <w:t>e</w:t>
      </w:r>
      <w:r>
        <w:rPr>
          <w:rFonts w:ascii="Times New Roman" w:eastAsia="CIDFont" w:hAnsi="Times New Roman" w:cs="Times New Roman"/>
          <w:color w:val="000000"/>
          <w:kern w:val="0"/>
          <w:sz w:val="24"/>
          <w:szCs w:val="24"/>
          <w:highlight w:val="yellow"/>
          <w:lang w:eastAsia="zh-CN" w:bidi="ar"/>
        </w:rPr>
        <w:t>r</w:t>
      </w:r>
      <w:r>
        <w:rPr>
          <w:rFonts w:ascii="Times New Roman" w:eastAsia="CIDFont" w:hAnsi="Times New Roman" w:cs="Times New Roman"/>
          <w:color w:val="000000"/>
          <w:kern w:val="0"/>
          <w:sz w:val="24"/>
          <w:szCs w:val="24"/>
          <w:lang w:eastAsia="zh-CN" w:bidi="ar"/>
        </w:rPr>
        <w:t xml:space="preserve"> biochemical parameters </w:t>
      </w:r>
      <w:r>
        <w:rPr>
          <w:rFonts w:ascii="Times New Roman" w:eastAsia="CIDFont" w:hAnsi="Times New Roman" w:cs="Times New Roman"/>
          <w:color w:val="000000"/>
          <w:kern w:val="0"/>
          <w:sz w:val="24"/>
          <w:szCs w:val="24"/>
          <w:highlight w:val="yellow"/>
          <w:lang w:eastAsia="zh-CN" w:bidi="ar"/>
        </w:rPr>
        <w:t>in</w:t>
      </w:r>
      <w:r>
        <w:rPr>
          <w:rFonts w:ascii="Times New Roman" w:eastAsia="CIDFont" w:hAnsi="Times New Roman" w:cs="Times New Roman"/>
          <w:color w:val="000000"/>
          <w:kern w:val="0"/>
          <w:sz w:val="24"/>
          <w:szCs w:val="24"/>
          <w:lang w:eastAsia="zh-CN" w:bidi="ar"/>
        </w:rPr>
        <w:t xml:space="preserve"> the experimental animals. </w:t>
      </w:r>
    </w:p>
    <w:p w14:paraId="27073A77"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The acute toxicity (LD50) of the extract was d</w:t>
      </w:r>
      <w:r>
        <w:rPr>
          <w:rFonts w:ascii="Times New Roman" w:eastAsia="CIDFont" w:hAnsi="Times New Roman" w:cs="Times New Roman"/>
          <w:color w:val="000000"/>
          <w:kern w:val="0"/>
          <w:sz w:val="24"/>
          <w:szCs w:val="24"/>
          <w:highlight w:val="yellow"/>
          <w:lang w:eastAsia="zh-CN" w:bidi="ar"/>
        </w:rPr>
        <w:t>etermi</w:t>
      </w:r>
      <w:r>
        <w:rPr>
          <w:rFonts w:ascii="Times New Roman" w:eastAsia="CIDFont" w:hAnsi="Times New Roman" w:cs="Times New Roman"/>
          <w:color w:val="000000"/>
          <w:kern w:val="0"/>
          <w:sz w:val="24"/>
          <w:szCs w:val="24"/>
          <w:lang w:eastAsia="zh-CN" w:bidi="ar"/>
        </w:rPr>
        <w:t>ne</w:t>
      </w:r>
      <w:r>
        <w:rPr>
          <w:rFonts w:ascii="Times New Roman" w:eastAsia="CIDFont" w:hAnsi="Times New Roman" w:cs="Times New Roman"/>
          <w:color w:val="000000"/>
          <w:kern w:val="0"/>
          <w:sz w:val="24"/>
          <w:szCs w:val="24"/>
          <w:highlight w:val="yellow"/>
          <w:lang w:eastAsia="zh-CN" w:bidi="ar"/>
        </w:rPr>
        <w:t>d</w:t>
      </w:r>
      <w:r>
        <w:rPr>
          <w:rFonts w:ascii="Times New Roman" w:eastAsia="CIDFont" w:hAnsi="Times New Roman" w:cs="Times New Roman"/>
          <w:color w:val="000000"/>
          <w:kern w:val="0"/>
          <w:sz w:val="24"/>
          <w:szCs w:val="24"/>
          <w:lang w:eastAsia="zh-CN" w:bidi="ar"/>
        </w:rPr>
        <w:t xml:space="preserve"> using the method of </w:t>
      </w:r>
    </w:p>
    <w:p w14:paraId="5B5AA485"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Lorke (1983). Twenty-four (24) male and female rats were randomly divided into two groups</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w:t>
      </w:r>
    </w:p>
    <w:p w14:paraId="3F66727C"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alpha and beta</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consisting of 12 rats e</w:t>
      </w:r>
      <w:r>
        <w:rPr>
          <w:rFonts w:ascii="Times New Roman" w:eastAsia="CIDFont" w:hAnsi="Times New Roman" w:cs="Times New Roman"/>
          <w:color w:val="000000"/>
          <w:kern w:val="0"/>
          <w:sz w:val="24"/>
          <w:szCs w:val="24"/>
          <w:highlight w:val="yellow"/>
          <w:lang w:eastAsia="zh-CN" w:bidi="ar"/>
        </w:rPr>
        <w:t>a</w:t>
      </w:r>
      <w:r>
        <w:rPr>
          <w:rFonts w:ascii="Times New Roman" w:eastAsia="CIDFont" w:hAnsi="Times New Roman" w:cs="Times New Roman"/>
          <w:color w:val="000000"/>
          <w:kern w:val="0"/>
          <w:sz w:val="24"/>
          <w:szCs w:val="24"/>
          <w:lang w:eastAsia="zh-CN" w:bidi="ar"/>
        </w:rPr>
        <w:t>c</w:t>
      </w:r>
      <w:r>
        <w:rPr>
          <w:rFonts w:ascii="Times New Roman" w:eastAsia="CIDFont" w:hAnsi="Times New Roman" w:cs="Times New Roman"/>
          <w:color w:val="000000"/>
          <w:kern w:val="0"/>
          <w:sz w:val="24"/>
          <w:szCs w:val="24"/>
          <w:highlight w:val="yellow"/>
          <w:lang w:eastAsia="zh-CN" w:bidi="ar"/>
        </w:rPr>
        <w:t>h</w:t>
      </w:r>
      <w:r>
        <w:rPr>
          <w:rFonts w:ascii="Times New Roman" w:eastAsia="CIDFont" w:hAnsi="Times New Roman" w:cs="Times New Roman"/>
          <w:color w:val="000000"/>
          <w:kern w:val="0"/>
          <w:sz w:val="24"/>
          <w:szCs w:val="24"/>
          <w:lang w:eastAsia="zh-CN" w:bidi="ar"/>
        </w:rPr>
        <w:t xml:space="preserve">. The first group was further divided </w:t>
      </w:r>
    </w:p>
    <w:p w14:paraId="5842D5AA"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into six (6) groups consisting of two (2) rats each (i.e. A-F). Group</w:t>
      </w:r>
      <w:r>
        <w:rPr>
          <w:rFonts w:ascii="Times New Roman" w:eastAsia="CIDFont" w:hAnsi="Times New Roman" w:cs="Times New Roman"/>
          <w:color w:val="000000"/>
          <w:kern w:val="0"/>
          <w:sz w:val="24"/>
          <w:szCs w:val="24"/>
          <w:highlight w:val="yellow"/>
          <w:lang w:eastAsia="zh-CN" w:bidi="ar"/>
        </w:rPr>
        <w:t>s</w:t>
      </w:r>
      <w:r>
        <w:rPr>
          <w:rFonts w:ascii="Times New Roman" w:eastAsia="CIDFont" w:hAnsi="Times New Roman" w:cs="Times New Roman"/>
          <w:color w:val="000000"/>
          <w:kern w:val="0"/>
          <w:sz w:val="24"/>
          <w:szCs w:val="24"/>
          <w:lang w:eastAsia="zh-CN" w:bidi="ar"/>
        </w:rPr>
        <w:t xml:space="preserve"> A</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B, C, D, E and F received 10, 100, 1000, 1600, 2900 and 5000 mg/kg body weight doses of the extract</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respectively (Table 2). The first group </w:t>
      </w:r>
      <w:r>
        <w:rPr>
          <w:rFonts w:ascii="Times New Roman" w:eastAsia="CIDFont" w:hAnsi="Times New Roman" w:cs="Times New Roman"/>
          <w:color w:val="000000"/>
          <w:kern w:val="0"/>
          <w:sz w:val="24"/>
          <w:szCs w:val="24"/>
          <w:lang w:eastAsia="zh-CN" w:bidi="ar"/>
        </w:rPr>
        <w:lastRenderedPageBreak/>
        <w:t>(alpha) received treatment for 1 day</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and no mortality was recorded after observation</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w:t>
      </w:r>
      <w:r>
        <w:rPr>
          <w:rFonts w:ascii="Times New Roman" w:eastAsia="CIDFont" w:hAnsi="Times New Roman" w:cs="Times New Roman"/>
          <w:color w:val="000000"/>
          <w:kern w:val="0"/>
          <w:sz w:val="24"/>
          <w:szCs w:val="24"/>
          <w:highlight w:val="yellow"/>
          <w:lang w:eastAsia="zh-CN" w:bidi="ar"/>
        </w:rPr>
        <w:t>T</w:t>
      </w:r>
      <w:r>
        <w:rPr>
          <w:rFonts w:ascii="Times New Roman" w:eastAsia="CIDFont" w:hAnsi="Times New Roman" w:cs="Times New Roman"/>
          <w:color w:val="000000"/>
          <w:kern w:val="0"/>
          <w:sz w:val="24"/>
          <w:szCs w:val="24"/>
          <w:lang w:eastAsia="zh-CN" w:bidi="ar"/>
        </w:rPr>
        <w:t>he second group (beta) was divided into six (6) groups consisting of two (2) rats each (i.e. A-F). They received 10, 100, 1000, 1600, 2800 and 5000 mg/kg body weight doses of the extract</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respectively</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for 21 days. </w:t>
      </w:r>
      <w:r>
        <w:rPr>
          <w:rFonts w:ascii="Times New Roman" w:eastAsia="CIDFont" w:hAnsi="Times New Roman" w:cs="Times New Roman"/>
          <w:color w:val="000000"/>
          <w:kern w:val="0"/>
          <w:sz w:val="24"/>
          <w:szCs w:val="24"/>
          <w:highlight w:val="yellow"/>
          <w:lang w:eastAsia="zh-CN" w:bidi="ar"/>
        </w:rPr>
        <w:t>The e</w:t>
      </w:r>
      <w:r>
        <w:rPr>
          <w:rFonts w:ascii="Times New Roman" w:eastAsia="CIDFont" w:hAnsi="Times New Roman" w:cs="Times New Roman"/>
          <w:color w:val="000000"/>
          <w:kern w:val="0"/>
          <w:sz w:val="24"/>
          <w:szCs w:val="24"/>
          <w:lang w:eastAsia="zh-CN" w:bidi="ar"/>
        </w:rPr>
        <w:t>xtracts were administered orally using an oral cannula. The aqueous extract was weighed and dissolved in distilled water a</w:t>
      </w:r>
      <w:r>
        <w:rPr>
          <w:rFonts w:ascii="Times New Roman" w:eastAsia="CIDFont" w:hAnsi="Times New Roman" w:cs="Times New Roman"/>
          <w:color w:val="000000"/>
          <w:kern w:val="0"/>
          <w:sz w:val="24"/>
          <w:szCs w:val="24"/>
          <w:highlight w:val="yellow"/>
          <w:lang w:eastAsia="zh-CN" w:bidi="ar"/>
        </w:rPr>
        <w:t>ccording to th</w:t>
      </w:r>
      <w:r>
        <w:rPr>
          <w:rFonts w:ascii="Times New Roman" w:eastAsia="CIDFont" w:hAnsi="Times New Roman" w:cs="Times New Roman"/>
          <w:color w:val="000000"/>
          <w:kern w:val="0"/>
          <w:sz w:val="24"/>
          <w:szCs w:val="24"/>
          <w:lang w:eastAsia="zh-CN" w:bidi="ar"/>
        </w:rPr>
        <w:t>e doses to be administered. Care was taken to prevent spills and injury to the animal</w:t>
      </w:r>
      <w:r>
        <w:rPr>
          <w:rFonts w:ascii="Times New Roman" w:eastAsia="CIDFont" w:hAnsi="Times New Roman" w:cs="Times New Roman"/>
          <w:color w:val="000000"/>
          <w:kern w:val="0"/>
          <w:sz w:val="24"/>
          <w:szCs w:val="24"/>
          <w:highlight w:val="yellow"/>
          <w:lang w:eastAsia="zh-CN" w:bidi="ar"/>
        </w:rPr>
        <w:t>s</w:t>
      </w:r>
      <w:r>
        <w:rPr>
          <w:rFonts w:ascii="Times New Roman" w:eastAsia="CIDFont" w:hAnsi="Times New Roman" w:cs="Times New Roman"/>
          <w:color w:val="000000"/>
          <w:kern w:val="0"/>
          <w:sz w:val="24"/>
          <w:szCs w:val="24"/>
          <w:lang w:eastAsia="zh-CN" w:bidi="ar"/>
        </w:rPr>
        <w:t xml:space="preserve">. </w:t>
      </w:r>
    </w:p>
    <w:p w14:paraId="170BB3B3"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highlight w:val="yellow"/>
          <w:lang w:eastAsia="zh-CN" w:bidi="ar"/>
        </w:rPr>
        <w:t>The r</w:t>
      </w:r>
      <w:r>
        <w:rPr>
          <w:rFonts w:ascii="Times New Roman" w:eastAsia="CIDFont" w:hAnsi="Times New Roman" w:cs="Times New Roman"/>
          <w:color w:val="000000"/>
          <w:kern w:val="0"/>
          <w:sz w:val="24"/>
          <w:szCs w:val="24"/>
          <w:lang w:eastAsia="zh-CN" w:bidi="ar"/>
        </w:rPr>
        <w:t>ats were sacrificed 24 h after the last treatment was administered</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and their blood, liver and </w:t>
      </w:r>
    </w:p>
    <w:p w14:paraId="36F9A4CF"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kidney</w:t>
      </w:r>
      <w:r>
        <w:rPr>
          <w:rFonts w:ascii="Times New Roman" w:eastAsia="CIDFont" w:hAnsi="Times New Roman" w:cs="Times New Roman"/>
          <w:color w:val="000000"/>
          <w:kern w:val="0"/>
          <w:sz w:val="24"/>
          <w:szCs w:val="24"/>
          <w:highlight w:val="yellow"/>
          <w:lang w:eastAsia="zh-CN" w:bidi="ar"/>
        </w:rPr>
        <w:t>s were</w:t>
      </w:r>
      <w:r>
        <w:rPr>
          <w:rFonts w:ascii="Times New Roman" w:eastAsia="CIDFont" w:hAnsi="Times New Roman" w:cs="Times New Roman"/>
          <w:color w:val="000000"/>
          <w:kern w:val="0"/>
          <w:sz w:val="24"/>
          <w:szCs w:val="24"/>
          <w:lang w:eastAsia="zh-CN" w:bidi="ar"/>
        </w:rPr>
        <w:t xml:space="preserve"> collected into plain tubes for determination of liver and kidney function indices. This was </w:t>
      </w:r>
    </w:p>
    <w:p w14:paraId="22345751"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done according to</w:t>
      </w:r>
      <w:r>
        <w:rPr>
          <w:rFonts w:ascii="Times New Roman" w:eastAsia="CIDFont" w:hAnsi="Times New Roman" w:cs="Times New Roman"/>
          <w:color w:val="000000"/>
          <w:kern w:val="0"/>
          <w:sz w:val="24"/>
          <w:szCs w:val="24"/>
          <w:highlight w:val="yellow"/>
          <w:lang w:eastAsia="zh-CN" w:bidi="ar"/>
        </w:rPr>
        <w:t xml:space="preserve"> the</w:t>
      </w:r>
      <w:r>
        <w:rPr>
          <w:rFonts w:ascii="Times New Roman" w:eastAsia="CIDFont" w:hAnsi="Times New Roman" w:cs="Times New Roman"/>
          <w:color w:val="000000"/>
          <w:kern w:val="0"/>
          <w:sz w:val="24"/>
          <w:szCs w:val="24"/>
          <w:lang w:eastAsia="zh-CN" w:bidi="ar"/>
        </w:rPr>
        <w:t xml:space="preserve"> guidelines specified by</w:t>
      </w:r>
      <w:r>
        <w:rPr>
          <w:rFonts w:ascii="Times New Roman" w:eastAsia="CIDFont" w:hAnsi="Times New Roman" w:cs="Times New Roman"/>
          <w:color w:val="000000"/>
          <w:kern w:val="0"/>
          <w:sz w:val="24"/>
          <w:szCs w:val="24"/>
          <w:highlight w:val="yellow"/>
          <w:lang w:eastAsia="zh-CN" w:bidi="ar"/>
        </w:rPr>
        <w:t xml:space="preserve"> the</w:t>
      </w:r>
      <w:r>
        <w:rPr>
          <w:rFonts w:ascii="Times New Roman" w:eastAsia="CIDFont" w:hAnsi="Times New Roman" w:cs="Times New Roman"/>
          <w:color w:val="000000"/>
          <w:kern w:val="0"/>
          <w:sz w:val="24"/>
          <w:szCs w:val="24"/>
          <w:lang w:eastAsia="zh-CN" w:bidi="ar"/>
        </w:rPr>
        <w:t xml:space="preserve"> Institutional Animal Care and Use Committee </w:t>
      </w:r>
    </w:p>
    <w:p w14:paraId="4D068828" w14:textId="77777777" w:rsidR="0035258B" w:rsidRDefault="006D1A0F" w:rsidP="008A3FD2">
      <w:pPr>
        <w:spacing w:line="480" w:lineRule="auto"/>
        <w:jc w:val="both"/>
        <w:rPr>
          <w:rFonts w:ascii="Times New Roman" w:eastAsia="CIDFont" w:hAnsi="Times New Roman" w:cs="Times New Roman"/>
          <w:color w:val="000000"/>
          <w:kern w:val="0"/>
          <w:sz w:val="24"/>
          <w:szCs w:val="24"/>
          <w:lang w:eastAsia="zh-CN" w:bidi="ar"/>
        </w:rPr>
      </w:pPr>
      <w:r>
        <w:rPr>
          <w:rFonts w:ascii="Times New Roman" w:eastAsia="CIDFont" w:hAnsi="Times New Roman" w:cs="Times New Roman"/>
          <w:color w:val="000000"/>
          <w:kern w:val="0"/>
          <w:sz w:val="24"/>
          <w:szCs w:val="24"/>
          <w:lang w:eastAsia="zh-CN" w:bidi="ar"/>
        </w:rPr>
        <w:t xml:space="preserve">(IACUC). </w:t>
      </w:r>
    </w:p>
    <w:p w14:paraId="0EA2362F" w14:textId="77777777" w:rsidR="00704B93" w:rsidRPr="00704B93" w:rsidRDefault="00704B93" w:rsidP="008A3FD2">
      <w:pPr>
        <w:pStyle w:val="ListParagraph"/>
        <w:numPr>
          <w:ilvl w:val="0"/>
          <w:numId w:val="12"/>
        </w:numPr>
        <w:spacing w:line="480" w:lineRule="auto"/>
        <w:jc w:val="both"/>
        <w:rPr>
          <w:rFonts w:eastAsia="CIDFont"/>
          <w:b/>
          <w:bCs/>
          <w:color w:val="000000"/>
          <w:sz w:val="24"/>
          <w:szCs w:val="24"/>
          <w:lang w:eastAsia="zh-CN" w:bidi="ar"/>
        </w:rPr>
      </w:pPr>
      <w:r w:rsidRPr="00704B93">
        <w:rPr>
          <w:rFonts w:eastAsia="CIDFont"/>
          <w:b/>
          <w:bCs/>
          <w:color w:val="000000"/>
          <w:sz w:val="24"/>
          <w:szCs w:val="24"/>
          <w:lang w:eastAsia="zh-CN" w:bidi="ar"/>
        </w:rPr>
        <w:t>RESULTS</w:t>
      </w:r>
    </w:p>
    <w:p w14:paraId="00055FC7" w14:textId="77777777" w:rsidR="00704B93" w:rsidRDefault="00704B93" w:rsidP="008A3FD2">
      <w:pPr>
        <w:pStyle w:val="Heading2"/>
        <w:tabs>
          <w:tab w:val="left" w:pos="733"/>
        </w:tabs>
        <w:spacing w:before="161"/>
        <w:ind w:left="359"/>
        <w:jc w:val="both"/>
        <w:rPr>
          <w:i/>
        </w:rPr>
      </w:pPr>
      <w:r>
        <w:t>3.1</w:t>
      </w:r>
      <w:r>
        <w:rPr>
          <w:highlight w:val="yellow"/>
        </w:rPr>
        <w:t xml:space="preserve"> </w:t>
      </w:r>
      <w:r>
        <w:t>THE</w:t>
      </w:r>
      <w:r>
        <w:rPr>
          <w:spacing w:val="4"/>
        </w:rPr>
        <w:t xml:space="preserve"> </w:t>
      </w:r>
      <w:r>
        <w:t>PHYTOCHEMICAL</w:t>
      </w:r>
      <w:r>
        <w:rPr>
          <w:spacing w:val="5"/>
        </w:rPr>
        <w:t xml:space="preserve"> </w:t>
      </w:r>
      <w:r>
        <w:t>SCREENING</w:t>
      </w:r>
      <w:r>
        <w:rPr>
          <w:spacing w:val="4"/>
        </w:rPr>
        <w:t xml:space="preserve"> </w:t>
      </w:r>
      <w:r>
        <w:t>OF</w:t>
      </w:r>
      <w:r>
        <w:rPr>
          <w:spacing w:val="5"/>
        </w:rPr>
        <w:t xml:space="preserve"> </w:t>
      </w:r>
      <w:r>
        <w:t>THE</w:t>
      </w:r>
      <w:r>
        <w:rPr>
          <w:spacing w:val="4"/>
        </w:rPr>
        <w:t xml:space="preserve"> </w:t>
      </w:r>
      <w:r>
        <w:t>AQUEOUS</w:t>
      </w:r>
      <w:r>
        <w:rPr>
          <w:spacing w:val="5"/>
        </w:rPr>
        <w:t xml:space="preserve"> </w:t>
      </w:r>
      <w:r>
        <w:t>EXTRACT</w:t>
      </w:r>
      <w:r>
        <w:rPr>
          <w:spacing w:val="7"/>
        </w:rPr>
        <w:t xml:space="preserve"> </w:t>
      </w:r>
      <w:r>
        <w:t>OF</w:t>
      </w:r>
      <w:r>
        <w:rPr>
          <w:spacing w:val="14"/>
        </w:rPr>
        <w:t xml:space="preserve"> </w:t>
      </w:r>
      <w:r>
        <w:rPr>
          <w:i/>
          <w:spacing w:val="-2"/>
        </w:rPr>
        <w:t>Azanza</w:t>
      </w:r>
    </w:p>
    <w:p w14:paraId="6937F955" w14:textId="77777777" w:rsidR="00704B93" w:rsidRDefault="00704B93" w:rsidP="008A3FD2">
      <w:pPr>
        <w:pStyle w:val="BodyText"/>
        <w:jc w:val="both"/>
        <w:rPr>
          <w:b/>
          <w:i/>
        </w:rPr>
      </w:pPr>
    </w:p>
    <w:p w14:paraId="236519E2" w14:textId="77777777" w:rsidR="00704B93" w:rsidRDefault="00704B93" w:rsidP="008A3FD2">
      <w:pPr>
        <w:ind w:left="360"/>
        <w:jc w:val="both"/>
        <w:rPr>
          <w:b/>
          <w:sz w:val="24"/>
        </w:rPr>
      </w:pPr>
      <w:r>
        <w:rPr>
          <w:b/>
          <w:i/>
          <w:sz w:val="24"/>
        </w:rPr>
        <w:t>garckeana</w:t>
      </w:r>
      <w:r>
        <w:rPr>
          <w:b/>
          <w:i/>
          <w:spacing w:val="-11"/>
          <w:sz w:val="24"/>
        </w:rPr>
        <w:t xml:space="preserve"> </w:t>
      </w:r>
      <w:r>
        <w:rPr>
          <w:b/>
          <w:spacing w:val="-2"/>
          <w:sz w:val="24"/>
        </w:rPr>
        <w:t>FRUIT</w:t>
      </w:r>
    </w:p>
    <w:p w14:paraId="789EB8EE" w14:textId="77777777" w:rsidR="00704B93" w:rsidRDefault="00704B93" w:rsidP="008A3FD2">
      <w:pPr>
        <w:pStyle w:val="BodyText"/>
        <w:spacing w:before="158"/>
        <w:jc w:val="both"/>
        <w:rPr>
          <w:b/>
        </w:rPr>
      </w:pPr>
    </w:p>
    <w:p w14:paraId="7C298DC0" w14:textId="77777777" w:rsidR="00704B93" w:rsidRDefault="00704B93" w:rsidP="008A3FD2">
      <w:pPr>
        <w:pStyle w:val="BodyText"/>
        <w:spacing w:line="480" w:lineRule="auto"/>
        <w:ind w:left="360" w:right="361"/>
        <w:jc w:val="both"/>
      </w:pPr>
      <w:r>
        <w:t>The phytochemical</w:t>
      </w:r>
      <w:r>
        <w:rPr>
          <w:spacing w:val="-1"/>
        </w:rPr>
        <w:t xml:space="preserve"> </w:t>
      </w:r>
      <w:r>
        <w:t>screening of the aqueous and methanolic extract</w:t>
      </w:r>
      <w:r>
        <w:rPr>
          <w:spacing w:val="-1"/>
          <w:highlight w:val="yellow"/>
        </w:rPr>
        <w:t>s</w:t>
      </w:r>
      <w:r>
        <w:rPr>
          <w:spacing w:val="-1"/>
        </w:rPr>
        <w:t xml:space="preserve"> </w:t>
      </w:r>
      <w:r>
        <w:t xml:space="preserve">of </w:t>
      </w:r>
      <w:r>
        <w:rPr>
          <w:i/>
          <w:highlight w:val="yellow"/>
        </w:rPr>
        <w:t>Azanza garckeana</w:t>
      </w:r>
      <w:r>
        <w:rPr>
          <w:i/>
        </w:rPr>
        <w:t xml:space="preserve"> </w:t>
      </w:r>
      <w:r>
        <w:t>show</w:t>
      </w:r>
      <w:r>
        <w:rPr>
          <w:highlight w:val="yellow"/>
        </w:rPr>
        <w:t>ed</w:t>
      </w:r>
      <w:r>
        <w:t xml:space="preserve"> that both contain</w:t>
      </w:r>
      <w:r>
        <w:rPr>
          <w:highlight w:val="yellow"/>
        </w:rPr>
        <w:t>ed</w:t>
      </w:r>
      <w:r>
        <w:t xml:space="preserve"> </w:t>
      </w:r>
      <w:r>
        <w:rPr>
          <w:highlight w:val="yellow"/>
        </w:rPr>
        <w:t>a</w:t>
      </w:r>
      <w:r>
        <w:t xml:space="preserve">lkaloids and carbohydrate. </w:t>
      </w:r>
      <w:r>
        <w:rPr>
          <w:highlight w:val="yellow"/>
        </w:rPr>
        <w:t>In addition, t</w:t>
      </w:r>
      <w:r>
        <w:t>he aqueous extract contain</w:t>
      </w:r>
      <w:r>
        <w:rPr>
          <w:highlight w:val="yellow"/>
        </w:rPr>
        <w:t>ed</w:t>
      </w:r>
      <w:r>
        <w:t xml:space="preserve"> tannins and saponins</w:t>
      </w:r>
      <w:r>
        <w:rPr>
          <w:highlight w:val="yellow"/>
        </w:rPr>
        <w:t>,</w:t>
      </w:r>
      <w:r>
        <w:t xml:space="preserve"> whe</w:t>
      </w:r>
      <w:r>
        <w:rPr>
          <w:highlight w:val="yellow"/>
        </w:rPr>
        <w:t>reas</w:t>
      </w:r>
      <w:r>
        <w:t xml:space="preserve"> the methanolic extract contain</w:t>
      </w:r>
      <w:r>
        <w:rPr>
          <w:highlight w:val="yellow"/>
        </w:rPr>
        <w:t>ed</w:t>
      </w:r>
      <w:r>
        <w:t xml:space="preserve"> </w:t>
      </w:r>
      <w:r>
        <w:rPr>
          <w:highlight w:val="yellow"/>
        </w:rPr>
        <w:t>f</w:t>
      </w:r>
      <w:r>
        <w:t>lavonoids</w:t>
      </w:r>
      <w:r>
        <w:rPr>
          <w:highlight w:val="yellow"/>
        </w:rPr>
        <w:t xml:space="preserve"> (Table 1).</w:t>
      </w:r>
    </w:p>
    <w:p w14:paraId="612FF25D" w14:textId="77777777" w:rsidR="00704B93" w:rsidRDefault="00704B93" w:rsidP="008A3FD2">
      <w:pPr>
        <w:pStyle w:val="BodyText"/>
        <w:jc w:val="both"/>
        <w:sectPr w:rsidR="00704B93" w:rsidSect="00704B93">
          <w:headerReference w:type="even" r:id="rId7"/>
          <w:headerReference w:type="default" r:id="rId8"/>
          <w:footerReference w:type="even" r:id="rId9"/>
          <w:footerReference w:type="default" r:id="rId10"/>
          <w:headerReference w:type="first" r:id="rId11"/>
          <w:footerReference w:type="first" r:id="rId12"/>
          <w:pgSz w:w="12240" w:h="15840"/>
          <w:pgMar w:top="1320" w:right="1080" w:bottom="280" w:left="1080" w:header="752" w:footer="0" w:gutter="0"/>
          <w:cols w:space="720"/>
        </w:sectPr>
      </w:pPr>
    </w:p>
    <w:p w14:paraId="0771BE1E" w14:textId="77777777" w:rsidR="00704B93" w:rsidRDefault="00704B93" w:rsidP="008A3FD2">
      <w:pPr>
        <w:spacing w:before="100"/>
        <w:ind w:left="360"/>
        <w:jc w:val="both"/>
        <w:rPr>
          <w:i/>
          <w:sz w:val="24"/>
        </w:rPr>
      </w:pPr>
      <w:r>
        <w:rPr>
          <w:b/>
          <w:sz w:val="24"/>
        </w:rPr>
        <w:lastRenderedPageBreak/>
        <w:t>Table</w:t>
      </w:r>
      <w:r>
        <w:rPr>
          <w:b/>
          <w:spacing w:val="-10"/>
          <w:sz w:val="24"/>
        </w:rPr>
        <w:t xml:space="preserve"> </w:t>
      </w:r>
      <w:r>
        <w:rPr>
          <w:b/>
          <w:sz w:val="24"/>
        </w:rPr>
        <w:t>1:</w:t>
      </w:r>
      <w:r>
        <w:rPr>
          <w:b/>
          <w:spacing w:val="-6"/>
          <w:sz w:val="24"/>
        </w:rPr>
        <w:t xml:space="preserve"> </w:t>
      </w:r>
      <w:r>
        <w:rPr>
          <w:sz w:val="24"/>
        </w:rPr>
        <w:t>Phytochemical</w:t>
      </w:r>
      <w:r>
        <w:rPr>
          <w:spacing w:val="-8"/>
          <w:sz w:val="24"/>
        </w:rPr>
        <w:t xml:space="preserve"> </w:t>
      </w:r>
      <w:r>
        <w:rPr>
          <w:sz w:val="24"/>
        </w:rPr>
        <w:t>screening</w:t>
      </w:r>
      <w:r>
        <w:rPr>
          <w:spacing w:val="-8"/>
          <w:sz w:val="24"/>
        </w:rPr>
        <w:t xml:space="preserve"> </w:t>
      </w:r>
      <w:r>
        <w:rPr>
          <w:sz w:val="24"/>
        </w:rPr>
        <w:t>of</w:t>
      </w:r>
      <w:r>
        <w:rPr>
          <w:spacing w:val="-3"/>
          <w:sz w:val="24"/>
        </w:rPr>
        <w:t xml:space="preserve"> </w:t>
      </w:r>
      <w:r>
        <w:rPr>
          <w:i/>
          <w:sz w:val="24"/>
        </w:rPr>
        <w:t>Azanza</w:t>
      </w:r>
      <w:r>
        <w:rPr>
          <w:i/>
          <w:spacing w:val="-8"/>
          <w:sz w:val="24"/>
        </w:rPr>
        <w:t xml:space="preserve"> </w:t>
      </w:r>
      <w:r>
        <w:rPr>
          <w:i/>
          <w:spacing w:val="-2"/>
          <w:sz w:val="24"/>
        </w:rPr>
        <w:t>garkeana</w:t>
      </w:r>
    </w:p>
    <w:p w14:paraId="319740B1" w14:textId="77777777" w:rsidR="00704B93" w:rsidRDefault="00704B93" w:rsidP="008A3FD2">
      <w:pPr>
        <w:pStyle w:val="BodyText"/>
        <w:spacing w:before="212"/>
        <w:jc w:val="both"/>
        <w:rPr>
          <w:i/>
          <w:sz w:val="20"/>
        </w:rPr>
      </w:pPr>
    </w:p>
    <w:tbl>
      <w:tblPr>
        <w:tblW w:w="0" w:type="auto"/>
        <w:tblInd w:w="259" w:type="dxa"/>
        <w:tblLayout w:type="fixed"/>
        <w:tblCellMar>
          <w:left w:w="0" w:type="dxa"/>
          <w:right w:w="0" w:type="dxa"/>
        </w:tblCellMar>
        <w:tblLook w:val="04A0" w:firstRow="1" w:lastRow="0" w:firstColumn="1" w:lastColumn="0" w:noHBand="0" w:noVBand="1"/>
      </w:tblPr>
      <w:tblGrid>
        <w:gridCol w:w="3841"/>
        <w:gridCol w:w="2667"/>
        <w:gridCol w:w="2995"/>
      </w:tblGrid>
      <w:tr w:rsidR="00704B93" w14:paraId="10355709" w14:textId="77777777" w:rsidTr="00912F9D">
        <w:trPr>
          <w:trHeight w:val="585"/>
        </w:trPr>
        <w:tc>
          <w:tcPr>
            <w:tcW w:w="3841" w:type="dxa"/>
            <w:tcBorders>
              <w:top w:val="single" w:sz="4" w:space="0" w:color="000000"/>
              <w:bottom w:val="single" w:sz="4" w:space="0" w:color="000000"/>
            </w:tcBorders>
          </w:tcPr>
          <w:p w14:paraId="12999E32" w14:textId="77777777" w:rsidR="00704B93" w:rsidRDefault="00704B93" w:rsidP="008A3FD2">
            <w:pPr>
              <w:pStyle w:val="TableParagraph"/>
              <w:spacing w:line="275" w:lineRule="exact"/>
              <w:ind w:left="108"/>
              <w:jc w:val="both"/>
              <w:rPr>
                <w:b/>
                <w:sz w:val="24"/>
              </w:rPr>
            </w:pPr>
            <w:r>
              <w:rPr>
                <w:b/>
                <w:spacing w:val="-2"/>
                <w:sz w:val="24"/>
              </w:rPr>
              <w:t>PHYTOCHEMICALS</w:t>
            </w:r>
          </w:p>
        </w:tc>
        <w:tc>
          <w:tcPr>
            <w:tcW w:w="2667" w:type="dxa"/>
            <w:tcBorders>
              <w:top w:val="single" w:sz="4" w:space="0" w:color="000000"/>
              <w:bottom w:val="single" w:sz="4" w:space="0" w:color="000000"/>
            </w:tcBorders>
          </w:tcPr>
          <w:p w14:paraId="2A569A1D" w14:textId="77777777" w:rsidR="00704B93" w:rsidRDefault="00704B93" w:rsidP="008A3FD2">
            <w:pPr>
              <w:pStyle w:val="TableParagraph"/>
              <w:spacing w:line="275" w:lineRule="exact"/>
              <w:ind w:left="968"/>
              <w:jc w:val="both"/>
              <w:rPr>
                <w:b/>
                <w:sz w:val="24"/>
              </w:rPr>
            </w:pPr>
            <w:r>
              <w:rPr>
                <w:b/>
                <w:spacing w:val="-2"/>
                <w:sz w:val="24"/>
              </w:rPr>
              <w:t>AQUEOUS</w:t>
            </w:r>
          </w:p>
        </w:tc>
        <w:tc>
          <w:tcPr>
            <w:tcW w:w="2995" w:type="dxa"/>
            <w:tcBorders>
              <w:top w:val="single" w:sz="4" w:space="0" w:color="000000"/>
              <w:bottom w:val="single" w:sz="4" w:space="0" w:color="000000"/>
            </w:tcBorders>
          </w:tcPr>
          <w:p w14:paraId="57631BFB" w14:textId="77777777" w:rsidR="00704B93" w:rsidRDefault="00704B93" w:rsidP="008A3FD2">
            <w:pPr>
              <w:pStyle w:val="TableParagraph"/>
              <w:spacing w:line="275" w:lineRule="exact"/>
              <w:ind w:left="511"/>
              <w:jc w:val="both"/>
              <w:rPr>
                <w:b/>
                <w:sz w:val="24"/>
              </w:rPr>
            </w:pPr>
            <w:r>
              <w:rPr>
                <w:b/>
                <w:spacing w:val="-2"/>
                <w:sz w:val="24"/>
              </w:rPr>
              <w:t>METHANOL</w:t>
            </w:r>
          </w:p>
        </w:tc>
      </w:tr>
      <w:tr w:rsidR="00704B93" w14:paraId="7F5DDC5B" w14:textId="77777777" w:rsidTr="00912F9D">
        <w:trPr>
          <w:trHeight w:val="442"/>
        </w:trPr>
        <w:tc>
          <w:tcPr>
            <w:tcW w:w="3841" w:type="dxa"/>
            <w:tcBorders>
              <w:top w:val="single" w:sz="4" w:space="0" w:color="000000"/>
            </w:tcBorders>
          </w:tcPr>
          <w:p w14:paraId="6958A87E" w14:textId="77777777" w:rsidR="00704B93" w:rsidRDefault="00704B93" w:rsidP="008A3FD2">
            <w:pPr>
              <w:pStyle w:val="TableParagraph"/>
              <w:spacing w:line="275" w:lineRule="exact"/>
              <w:ind w:left="108"/>
              <w:jc w:val="both"/>
              <w:rPr>
                <w:b/>
                <w:sz w:val="24"/>
              </w:rPr>
            </w:pPr>
            <w:r>
              <w:rPr>
                <w:b/>
                <w:spacing w:val="-2"/>
                <w:sz w:val="24"/>
              </w:rPr>
              <w:t>ALKALOIDS</w:t>
            </w:r>
          </w:p>
        </w:tc>
        <w:tc>
          <w:tcPr>
            <w:tcW w:w="2667" w:type="dxa"/>
            <w:tcBorders>
              <w:top w:val="single" w:sz="4" w:space="0" w:color="000000"/>
            </w:tcBorders>
          </w:tcPr>
          <w:p w14:paraId="0944DAC5" w14:textId="77777777" w:rsidR="00704B93" w:rsidRDefault="00704B93" w:rsidP="008A3FD2">
            <w:pPr>
              <w:pStyle w:val="TableParagraph"/>
              <w:spacing w:line="275" w:lineRule="exact"/>
              <w:ind w:left="968"/>
              <w:jc w:val="both"/>
              <w:rPr>
                <w:b/>
                <w:sz w:val="24"/>
              </w:rPr>
            </w:pPr>
            <w:r>
              <w:rPr>
                <w:b/>
                <w:spacing w:val="-10"/>
                <w:sz w:val="24"/>
              </w:rPr>
              <w:t>+</w:t>
            </w:r>
          </w:p>
        </w:tc>
        <w:tc>
          <w:tcPr>
            <w:tcW w:w="2995" w:type="dxa"/>
            <w:tcBorders>
              <w:top w:val="single" w:sz="4" w:space="0" w:color="000000"/>
            </w:tcBorders>
          </w:tcPr>
          <w:p w14:paraId="318967BF" w14:textId="77777777" w:rsidR="00704B93" w:rsidRDefault="00704B93" w:rsidP="008A3FD2">
            <w:pPr>
              <w:pStyle w:val="TableParagraph"/>
              <w:spacing w:line="275" w:lineRule="exact"/>
              <w:ind w:left="511"/>
              <w:jc w:val="both"/>
              <w:rPr>
                <w:b/>
                <w:sz w:val="24"/>
              </w:rPr>
            </w:pPr>
            <w:r>
              <w:rPr>
                <w:b/>
                <w:spacing w:val="-10"/>
                <w:sz w:val="24"/>
              </w:rPr>
              <w:t>+</w:t>
            </w:r>
          </w:p>
        </w:tc>
      </w:tr>
      <w:tr w:rsidR="00704B93" w14:paraId="2D5D0C32" w14:textId="77777777" w:rsidTr="00912F9D">
        <w:trPr>
          <w:trHeight w:val="592"/>
        </w:trPr>
        <w:tc>
          <w:tcPr>
            <w:tcW w:w="3841" w:type="dxa"/>
          </w:tcPr>
          <w:p w14:paraId="4EDB8452" w14:textId="77777777" w:rsidR="00704B93" w:rsidRDefault="00704B93" w:rsidP="008A3FD2">
            <w:pPr>
              <w:pStyle w:val="TableParagraph"/>
              <w:spacing w:before="156"/>
              <w:ind w:left="108"/>
              <w:jc w:val="both"/>
              <w:rPr>
                <w:b/>
                <w:sz w:val="24"/>
              </w:rPr>
            </w:pPr>
            <w:r>
              <w:rPr>
                <w:b/>
                <w:spacing w:val="-2"/>
                <w:sz w:val="24"/>
              </w:rPr>
              <w:t>FLAVONOIDS</w:t>
            </w:r>
          </w:p>
        </w:tc>
        <w:tc>
          <w:tcPr>
            <w:tcW w:w="2667" w:type="dxa"/>
          </w:tcPr>
          <w:p w14:paraId="567021F8" w14:textId="77777777" w:rsidR="00704B93" w:rsidRDefault="00704B93" w:rsidP="008A3FD2">
            <w:pPr>
              <w:pStyle w:val="TableParagraph"/>
              <w:spacing w:before="156"/>
              <w:ind w:left="968"/>
              <w:jc w:val="both"/>
              <w:rPr>
                <w:b/>
                <w:sz w:val="24"/>
              </w:rPr>
            </w:pPr>
            <w:r>
              <w:rPr>
                <w:b/>
                <w:spacing w:val="-10"/>
                <w:sz w:val="24"/>
              </w:rPr>
              <w:t>-</w:t>
            </w:r>
          </w:p>
        </w:tc>
        <w:tc>
          <w:tcPr>
            <w:tcW w:w="2995" w:type="dxa"/>
          </w:tcPr>
          <w:p w14:paraId="26D3FB51" w14:textId="77777777" w:rsidR="00704B93" w:rsidRDefault="00704B93" w:rsidP="008A3FD2">
            <w:pPr>
              <w:pStyle w:val="TableParagraph"/>
              <w:spacing w:before="156"/>
              <w:ind w:left="511"/>
              <w:jc w:val="both"/>
              <w:rPr>
                <w:b/>
                <w:sz w:val="24"/>
              </w:rPr>
            </w:pPr>
            <w:r>
              <w:rPr>
                <w:b/>
                <w:spacing w:val="-10"/>
                <w:sz w:val="24"/>
              </w:rPr>
              <w:t>+</w:t>
            </w:r>
          </w:p>
        </w:tc>
      </w:tr>
      <w:tr w:rsidR="00704B93" w14:paraId="1BCCBC49" w14:textId="77777777" w:rsidTr="00912F9D">
        <w:trPr>
          <w:trHeight w:val="592"/>
        </w:trPr>
        <w:tc>
          <w:tcPr>
            <w:tcW w:w="3841" w:type="dxa"/>
          </w:tcPr>
          <w:p w14:paraId="65A9B5B9" w14:textId="77777777" w:rsidR="00704B93" w:rsidRDefault="00704B93" w:rsidP="008A3FD2">
            <w:pPr>
              <w:pStyle w:val="TableParagraph"/>
              <w:spacing w:before="149"/>
              <w:ind w:left="108"/>
              <w:jc w:val="both"/>
              <w:rPr>
                <w:b/>
                <w:sz w:val="24"/>
              </w:rPr>
            </w:pPr>
            <w:r>
              <w:rPr>
                <w:b/>
                <w:spacing w:val="-2"/>
                <w:sz w:val="24"/>
              </w:rPr>
              <w:t>TANINS</w:t>
            </w:r>
          </w:p>
        </w:tc>
        <w:tc>
          <w:tcPr>
            <w:tcW w:w="2667" w:type="dxa"/>
          </w:tcPr>
          <w:p w14:paraId="3AAD7910" w14:textId="77777777" w:rsidR="00704B93" w:rsidRDefault="00704B93" w:rsidP="008A3FD2">
            <w:pPr>
              <w:pStyle w:val="TableParagraph"/>
              <w:spacing w:before="149"/>
              <w:ind w:left="968"/>
              <w:jc w:val="both"/>
              <w:rPr>
                <w:b/>
                <w:sz w:val="24"/>
              </w:rPr>
            </w:pPr>
            <w:r>
              <w:rPr>
                <w:b/>
                <w:spacing w:val="-10"/>
                <w:sz w:val="24"/>
              </w:rPr>
              <w:t>+</w:t>
            </w:r>
          </w:p>
        </w:tc>
        <w:tc>
          <w:tcPr>
            <w:tcW w:w="2995" w:type="dxa"/>
          </w:tcPr>
          <w:p w14:paraId="2C0A2225" w14:textId="77777777" w:rsidR="00704B93" w:rsidRDefault="00704B93" w:rsidP="008A3FD2">
            <w:pPr>
              <w:pStyle w:val="TableParagraph"/>
              <w:spacing w:before="149"/>
              <w:ind w:left="511"/>
              <w:jc w:val="both"/>
              <w:rPr>
                <w:b/>
                <w:sz w:val="24"/>
              </w:rPr>
            </w:pPr>
            <w:r>
              <w:rPr>
                <w:b/>
                <w:spacing w:val="-10"/>
                <w:sz w:val="24"/>
              </w:rPr>
              <w:t>-</w:t>
            </w:r>
          </w:p>
        </w:tc>
      </w:tr>
      <w:tr w:rsidR="00704B93" w14:paraId="7750C9B7" w14:textId="77777777" w:rsidTr="00912F9D">
        <w:trPr>
          <w:trHeight w:val="592"/>
        </w:trPr>
        <w:tc>
          <w:tcPr>
            <w:tcW w:w="3841" w:type="dxa"/>
          </w:tcPr>
          <w:p w14:paraId="18600401" w14:textId="77777777" w:rsidR="00704B93" w:rsidRDefault="00704B93" w:rsidP="008A3FD2">
            <w:pPr>
              <w:pStyle w:val="TableParagraph"/>
              <w:spacing w:before="156"/>
              <w:ind w:left="108"/>
              <w:jc w:val="both"/>
              <w:rPr>
                <w:b/>
                <w:sz w:val="24"/>
              </w:rPr>
            </w:pPr>
            <w:r>
              <w:rPr>
                <w:b/>
                <w:spacing w:val="-2"/>
                <w:sz w:val="24"/>
              </w:rPr>
              <w:t>SAPONINS</w:t>
            </w:r>
          </w:p>
        </w:tc>
        <w:tc>
          <w:tcPr>
            <w:tcW w:w="2667" w:type="dxa"/>
          </w:tcPr>
          <w:p w14:paraId="368658C8" w14:textId="77777777" w:rsidR="00704B93" w:rsidRDefault="00704B93" w:rsidP="008A3FD2">
            <w:pPr>
              <w:pStyle w:val="TableParagraph"/>
              <w:spacing w:before="156"/>
              <w:ind w:left="968"/>
              <w:jc w:val="both"/>
              <w:rPr>
                <w:b/>
                <w:sz w:val="24"/>
              </w:rPr>
            </w:pPr>
            <w:r>
              <w:rPr>
                <w:b/>
                <w:spacing w:val="-5"/>
                <w:sz w:val="24"/>
              </w:rPr>
              <w:t>++</w:t>
            </w:r>
          </w:p>
        </w:tc>
        <w:tc>
          <w:tcPr>
            <w:tcW w:w="2995" w:type="dxa"/>
          </w:tcPr>
          <w:p w14:paraId="5B08AFE5" w14:textId="77777777" w:rsidR="00704B93" w:rsidRDefault="00704B93" w:rsidP="008A3FD2">
            <w:pPr>
              <w:pStyle w:val="TableParagraph"/>
              <w:spacing w:before="156"/>
              <w:ind w:left="511"/>
              <w:jc w:val="both"/>
              <w:rPr>
                <w:b/>
                <w:sz w:val="24"/>
              </w:rPr>
            </w:pPr>
            <w:r>
              <w:rPr>
                <w:b/>
                <w:spacing w:val="-10"/>
                <w:sz w:val="24"/>
              </w:rPr>
              <w:t>-</w:t>
            </w:r>
          </w:p>
        </w:tc>
      </w:tr>
      <w:tr w:rsidR="00704B93" w14:paraId="71479C71" w14:textId="77777777" w:rsidTr="00912F9D">
        <w:trPr>
          <w:trHeight w:val="592"/>
        </w:trPr>
        <w:tc>
          <w:tcPr>
            <w:tcW w:w="3841" w:type="dxa"/>
          </w:tcPr>
          <w:p w14:paraId="71577667" w14:textId="77777777" w:rsidR="00704B93" w:rsidRDefault="00704B93" w:rsidP="008A3FD2">
            <w:pPr>
              <w:pStyle w:val="TableParagraph"/>
              <w:spacing w:before="149"/>
              <w:ind w:left="108"/>
              <w:jc w:val="both"/>
              <w:rPr>
                <w:b/>
                <w:sz w:val="24"/>
              </w:rPr>
            </w:pPr>
            <w:r>
              <w:rPr>
                <w:b/>
                <w:spacing w:val="-2"/>
                <w:sz w:val="24"/>
              </w:rPr>
              <w:t>TERPENS/STEROIDS</w:t>
            </w:r>
          </w:p>
        </w:tc>
        <w:tc>
          <w:tcPr>
            <w:tcW w:w="2667" w:type="dxa"/>
          </w:tcPr>
          <w:p w14:paraId="43663040" w14:textId="77777777" w:rsidR="00704B93" w:rsidRDefault="00704B93" w:rsidP="008A3FD2">
            <w:pPr>
              <w:pStyle w:val="TableParagraph"/>
              <w:spacing w:before="149"/>
              <w:ind w:left="968"/>
              <w:jc w:val="both"/>
              <w:rPr>
                <w:b/>
                <w:sz w:val="24"/>
              </w:rPr>
            </w:pPr>
            <w:r>
              <w:rPr>
                <w:b/>
                <w:spacing w:val="-10"/>
                <w:sz w:val="24"/>
              </w:rPr>
              <w:t>-</w:t>
            </w:r>
          </w:p>
        </w:tc>
        <w:tc>
          <w:tcPr>
            <w:tcW w:w="2995" w:type="dxa"/>
          </w:tcPr>
          <w:p w14:paraId="4255D134" w14:textId="77777777" w:rsidR="00704B93" w:rsidRDefault="00704B93" w:rsidP="008A3FD2">
            <w:pPr>
              <w:pStyle w:val="TableParagraph"/>
              <w:spacing w:before="149"/>
              <w:ind w:left="511"/>
              <w:jc w:val="both"/>
              <w:rPr>
                <w:b/>
                <w:sz w:val="24"/>
              </w:rPr>
            </w:pPr>
            <w:r>
              <w:rPr>
                <w:b/>
                <w:spacing w:val="-10"/>
                <w:sz w:val="24"/>
              </w:rPr>
              <w:t>-</w:t>
            </w:r>
          </w:p>
        </w:tc>
      </w:tr>
      <w:tr w:rsidR="00704B93" w14:paraId="26633D06" w14:textId="77777777" w:rsidTr="00912F9D">
        <w:trPr>
          <w:trHeight w:val="592"/>
        </w:trPr>
        <w:tc>
          <w:tcPr>
            <w:tcW w:w="3841" w:type="dxa"/>
          </w:tcPr>
          <w:p w14:paraId="6349921C" w14:textId="77777777" w:rsidR="00704B93" w:rsidRDefault="00704B93" w:rsidP="008A3FD2">
            <w:pPr>
              <w:pStyle w:val="TableParagraph"/>
              <w:spacing w:before="156"/>
              <w:ind w:left="108"/>
              <w:jc w:val="both"/>
              <w:rPr>
                <w:b/>
                <w:sz w:val="24"/>
              </w:rPr>
            </w:pPr>
            <w:r>
              <w:rPr>
                <w:b/>
                <w:sz w:val="24"/>
              </w:rPr>
              <w:t>CARDIAC</w:t>
            </w:r>
            <w:r>
              <w:rPr>
                <w:b/>
                <w:spacing w:val="-14"/>
                <w:sz w:val="24"/>
              </w:rPr>
              <w:t xml:space="preserve"> </w:t>
            </w:r>
            <w:r>
              <w:rPr>
                <w:b/>
                <w:spacing w:val="-2"/>
                <w:sz w:val="24"/>
              </w:rPr>
              <w:t>GLYCOSIDES</w:t>
            </w:r>
          </w:p>
        </w:tc>
        <w:tc>
          <w:tcPr>
            <w:tcW w:w="2667" w:type="dxa"/>
          </w:tcPr>
          <w:p w14:paraId="18772E24" w14:textId="77777777" w:rsidR="00704B93" w:rsidRDefault="00704B93" w:rsidP="008A3FD2">
            <w:pPr>
              <w:pStyle w:val="TableParagraph"/>
              <w:spacing w:before="156"/>
              <w:ind w:left="968"/>
              <w:jc w:val="both"/>
              <w:rPr>
                <w:b/>
                <w:sz w:val="24"/>
              </w:rPr>
            </w:pPr>
            <w:r>
              <w:rPr>
                <w:b/>
                <w:spacing w:val="-10"/>
                <w:sz w:val="24"/>
              </w:rPr>
              <w:t>-</w:t>
            </w:r>
          </w:p>
        </w:tc>
        <w:tc>
          <w:tcPr>
            <w:tcW w:w="2995" w:type="dxa"/>
          </w:tcPr>
          <w:p w14:paraId="2F31D91F" w14:textId="77777777" w:rsidR="00704B93" w:rsidRDefault="00704B93" w:rsidP="008A3FD2">
            <w:pPr>
              <w:pStyle w:val="TableParagraph"/>
              <w:spacing w:before="156"/>
              <w:ind w:left="511"/>
              <w:jc w:val="both"/>
              <w:rPr>
                <w:b/>
                <w:sz w:val="24"/>
              </w:rPr>
            </w:pPr>
            <w:r>
              <w:rPr>
                <w:b/>
                <w:spacing w:val="-10"/>
                <w:sz w:val="24"/>
              </w:rPr>
              <w:t>-</w:t>
            </w:r>
          </w:p>
        </w:tc>
      </w:tr>
      <w:tr w:rsidR="00704B93" w14:paraId="74FF5045" w14:textId="77777777" w:rsidTr="00912F9D">
        <w:trPr>
          <w:trHeight w:val="593"/>
        </w:trPr>
        <w:tc>
          <w:tcPr>
            <w:tcW w:w="3841" w:type="dxa"/>
          </w:tcPr>
          <w:p w14:paraId="4828E2F3" w14:textId="77777777" w:rsidR="00704B93" w:rsidRDefault="00704B93" w:rsidP="008A3FD2">
            <w:pPr>
              <w:pStyle w:val="TableParagraph"/>
              <w:spacing w:before="149"/>
              <w:ind w:left="108"/>
              <w:jc w:val="both"/>
              <w:rPr>
                <w:b/>
                <w:sz w:val="24"/>
              </w:rPr>
            </w:pPr>
            <w:r>
              <w:rPr>
                <w:b/>
                <w:spacing w:val="-2"/>
                <w:sz w:val="24"/>
              </w:rPr>
              <w:t>BALSAM</w:t>
            </w:r>
          </w:p>
        </w:tc>
        <w:tc>
          <w:tcPr>
            <w:tcW w:w="2667" w:type="dxa"/>
          </w:tcPr>
          <w:p w14:paraId="639760F6" w14:textId="77777777" w:rsidR="00704B93" w:rsidRDefault="00704B93" w:rsidP="008A3FD2">
            <w:pPr>
              <w:pStyle w:val="TableParagraph"/>
              <w:spacing w:before="149"/>
              <w:ind w:left="968"/>
              <w:jc w:val="both"/>
              <w:rPr>
                <w:b/>
                <w:sz w:val="24"/>
              </w:rPr>
            </w:pPr>
            <w:r>
              <w:rPr>
                <w:b/>
                <w:spacing w:val="-10"/>
                <w:sz w:val="24"/>
              </w:rPr>
              <w:t>-</w:t>
            </w:r>
          </w:p>
        </w:tc>
        <w:tc>
          <w:tcPr>
            <w:tcW w:w="2995" w:type="dxa"/>
          </w:tcPr>
          <w:p w14:paraId="416FB1A8" w14:textId="77777777" w:rsidR="00704B93" w:rsidRDefault="00704B93" w:rsidP="008A3FD2">
            <w:pPr>
              <w:pStyle w:val="TableParagraph"/>
              <w:spacing w:before="149"/>
              <w:ind w:left="511"/>
              <w:jc w:val="both"/>
              <w:rPr>
                <w:b/>
                <w:sz w:val="24"/>
              </w:rPr>
            </w:pPr>
            <w:r>
              <w:rPr>
                <w:b/>
                <w:spacing w:val="-10"/>
                <w:sz w:val="24"/>
              </w:rPr>
              <w:t>-</w:t>
            </w:r>
          </w:p>
        </w:tc>
      </w:tr>
      <w:tr w:rsidR="00704B93" w14:paraId="514B09E7" w14:textId="77777777" w:rsidTr="00912F9D">
        <w:trPr>
          <w:trHeight w:val="592"/>
        </w:trPr>
        <w:tc>
          <w:tcPr>
            <w:tcW w:w="3841" w:type="dxa"/>
          </w:tcPr>
          <w:p w14:paraId="01B769E5" w14:textId="77777777" w:rsidR="00704B93" w:rsidRDefault="00704B93" w:rsidP="008A3FD2">
            <w:pPr>
              <w:pStyle w:val="TableParagraph"/>
              <w:spacing w:before="158"/>
              <w:ind w:left="108"/>
              <w:jc w:val="both"/>
              <w:rPr>
                <w:b/>
                <w:sz w:val="24"/>
              </w:rPr>
            </w:pPr>
            <w:r>
              <w:rPr>
                <w:b/>
                <w:spacing w:val="-2"/>
                <w:sz w:val="24"/>
              </w:rPr>
              <w:t>CARBOHYDRATES</w:t>
            </w:r>
          </w:p>
        </w:tc>
        <w:tc>
          <w:tcPr>
            <w:tcW w:w="2667" w:type="dxa"/>
          </w:tcPr>
          <w:p w14:paraId="74662F5C" w14:textId="77777777" w:rsidR="00704B93" w:rsidRDefault="00704B93" w:rsidP="008A3FD2">
            <w:pPr>
              <w:pStyle w:val="TableParagraph"/>
              <w:spacing w:before="158"/>
              <w:ind w:left="968"/>
              <w:jc w:val="both"/>
              <w:rPr>
                <w:b/>
                <w:sz w:val="24"/>
              </w:rPr>
            </w:pPr>
            <w:r>
              <w:rPr>
                <w:b/>
                <w:spacing w:val="-10"/>
                <w:sz w:val="24"/>
              </w:rPr>
              <w:t>+</w:t>
            </w:r>
          </w:p>
        </w:tc>
        <w:tc>
          <w:tcPr>
            <w:tcW w:w="2995" w:type="dxa"/>
          </w:tcPr>
          <w:p w14:paraId="0F33CCF8" w14:textId="77777777" w:rsidR="00704B93" w:rsidRDefault="00704B93" w:rsidP="008A3FD2">
            <w:pPr>
              <w:pStyle w:val="TableParagraph"/>
              <w:spacing w:before="158"/>
              <w:ind w:left="511"/>
              <w:jc w:val="both"/>
              <w:rPr>
                <w:b/>
                <w:sz w:val="24"/>
              </w:rPr>
            </w:pPr>
            <w:r>
              <w:rPr>
                <w:b/>
                <w:spacing w:val="-10"/>
                <w:sz w:val="24"/>
              </w:rPr>
              <w:t>+</w:t>
            </w:r>
          </w:p>
        </w:tc>
      </w:tr>
      <w:tr w:rsidR="00704B93" w14:paraId="792B337B" w14:textId="77777777" w:rsidTr="00912F9D">
        <w:trPr>
          <w:trHeight w:val="592"/>
        </w:trPr>
        <w:tc>
          <w:tcPr>
            <w:tcW w:w="3841" w:type="dxa"/>
          </w:tcPr>
          <w:p w14:paraId="46C7CB85" w14:textId="77777777" w:rsidR="00704B93" w:rsidRDefault="00704B93" w:rsidP="008A3FD2">
            <w:pPr>
              <w:pStyle w:val="TableParagraph"/>
              <w:spacing w:before="148"/>
              <w:ind w:left="108"/>
              <w:jc w:val="both"/>
              <w:rPr>
                <w:b/>
                <w:sz w:val="24"/>
              </w:rPr>
            </w:pPr>
            <w:r>
              <w:rPr>
                <w:b/>
                <w:spacing w:val="-2"/>
                <w:sz w:val="24"/>
              </w:rPr>
              <w:t>PHENOL</w:t>
            </w:r>
          </w:p>
        </w:tc>
        <w:tc>
          <w:tcPr>
            <w:tcW w:w="2667" w:type="dxa"/>
          </w:tcPr>
          <w:p w14:paraId="79D776AB" w14:textId="77777777" w:rsidR="00704B93" w:rsidRDefault="00704B93" w:rsidP="008A3FD2">
            <w:pPr>
              <w:pStyle w:val="TableParagraph"/>
              <w:spacing w:before="148"/>
              <w:ind w:left="968"/>
              <w:jc w:val="both"/>
              <w:rPr>
                <w:b/>
                <w:sz w:val="24"/>
              </w:rPr>
            </w:pPr>
            <w:r>
              <w:rPr>
                <w:b/>
                <w:spacing w:val="-10"/>
                <w:sz w:val="24"/>
              </w:rPr>
              <w:t>-</w:t>
            </w:r>
          </w:p>
        </w:tc>
        <w:tc>
          <w:tcPr>
            <w:tcW w:w="2995" w:type="dxa"/>
          </w:tcPr>
          <w:p w14:paraId="59F077A7" w14:textId="77777777" w:rsidR="00704B93" w:rsidRDefault="00704B93" w:rsidP="008A3FD2">
            <w:pPr>
              <w:pStyle w:val="TableParagraph"/>
              <w:spacing w:before="148"/>
              <w:ind w:left="511"/>
              <w:jc w:val="both"/>
              <w:rPr>
                <w:b/>
                <w:sz w:val="24"/>
              </w:rPr>
            </w:pPr>
            <w:r>
              <w:rPr>
                <w:b/>
                <w:spacing w:val="-10"/>
                <w:sz w:val="24"/>
              </w:rPr>
              <w:t>-</w:t>
            </w:r>
          </w:p>
        </w:tc>
      </w:tr>
      <w:tr w:rsidR="00704B93" w14:paraId="6B711BB0" w14:textId="77777777" w:rsidTr="00912F9D">
        <w:trPr>
          <w:trHeight w:val="433"/>
        </w:trPr>
        <w:tc>
          <w:tcPr>
            <w:tcW w:w="3841" w:type="dxa"/>
          </w:tcPr>
          <w:p w14:paraId="0962F285" w14:textId="77777777" w:rsidR="00704B93" w:rsidRDefault="00704B93" w:rsidP="008A3FD2">
            <w:pPr>
              <w:pStyle w:val="TableParagraph"/>
              <w:spacing w:before="158" w:line="256" w:lineRule="exact"/>
              <w:ind w:left="108"/>
              <w:jc w:val="both"/>
              <w:rPr>
                <w:b/>
                <w:sz w:val="24"/>
              </w:rPr>
            </w:pPr>
            <w:r>
              <w:rPr>
                <w:b/>
                <w:spacing w:val="-2"/>
                <w:sz w:val="24"/>
              </w:rPr>
              <w:t>RESINS</w:t>
            </w:r>
          </w:p>
        </w:tc>
        <w:tc>
          <w:tcPr>
            <w:tcW w:w="2667" w:type="dxa"/>
          </w:tcPr>
          <w:p w14:paraId="33FE7D1B" w14:textId="77777777" w:rsidR="00704B93" w:rsidRDefault="00704B93" w:rsidP="008A3FD2">
            <w:pPr>
              <w:pStyle w:val="TableParagraph"/>
              <w:spacing w:before="158" w:line="256" w:lineRule="exact"/>
              <w:ind w:left="968"/>
              <w:jc w:val="both"/>
              <w:rPr>
                <w:b/>
                <w:sz w:val="24"/>
              </w:rPr>
            </w:pPr>
            <w:r>
              <w:rPr>
                <w:b/>
                <w:spacing w:val="-10"/>
                <w:sz w:val="24"/>
              </w:rPr>
              <w:t>-</w:t>
            </w:r>
          </w:p>
        </w:tc>
        <w:tc>
          <w:tcPr>
            <w:tcW w:w="2995" w:type="dxa"/>
          </w:tcPr>
          <w:p w14:paraId="451255C4" w14:textId="77777777" w:rsidR="00704B93" w:rsidRDefault="00704B93" w:rsidP="008A3FD2">
            <w:pPr>
              <w:pStyle w:val="TableParagraph"/>
              <w:spacing w:before="158" w:line="256" w:lineRule="exact"/>
              <w:ind w:left="511"/>
              <w:jc w:val="both"/>
              <w:rPr>
                <w:b/>
                <w:sz w:val="24"/>
              </w:rPr>
            </w:pPr>
            <w:r>
              <w:rPr>
                <w:b/>
                <w:spacing w:val="-10"/>
                <w:sz w:val="24"/>
              </w:rPr>
              <w:t>-</w:t>
            </w:r>
          </w:p>
        </w:tc>
      </w:tr>
    </w:tbl>
    <w:p w14:paraId="6D4026D2" w14:textId="77777777" w:rsidR="00704B93" w:rsidRDefault="00704B93" w:rsidP="008A3FD2">
      <w:pPr>
        <w:pStyle w:val="BodyText"/>
        <w:spacing w:before="59"/>
        <w:jc w:val="both"/>
        <w:rPr>
          <w:i/>
          <w:sz w:val="20"/>
        </w:rPr>
      </w:pPr>
      <w:r>
        <w:rPr>
          <w:i/>
          <w:noProof/>
          <w:sz w:val="20"/>
        </w:rPr>
        <mc:AlternateContent>
          <mc:Choice Requires="wps">
            <w:drawing>
              <wp:anchor distT="0" distB="0" distL="0" distR="0" simplePos="0" relativeHeight="251661312" behindDoc="1" locked="0" layoutInCell="1" allowOverlap="1" wp14:anchorId="345CEB3C" wp14:editId="6BB919A3">
                <wp:simplePos x="0" y="0"/>
                <wp:positionH relativeFrom="page">
                  <wp:posOffset>836295</wp:posOffset>
                </wp:positionH>
                <wp:positionV relativeFrom="paragraph">
                  <wp:posOffset>198755</wp:posOffset>
                </wp:positionV>
                <wp:extent cx="6042660" cy="6350"/>
                <wp:effectExtent l="0" t="0" r="0" b="0"/>
                <wp:wrapTopAndBottom/>
                <wp:docPr id="20" name="Graphic 20"/>
                <wp:cNvGraphicFramePr/>
                <a:graphic xmlns:a="http://schemas.openxmlformats.org/drawingml/2006/main">
                  <a:graphicData uri="http://schemas.microsoft.com/office/word/2010/wordprocessingShape">
                    <wps:wsp>
                      <wps:cNvSpPr/>
                      <wps:spPr>
                        <a:xfrm>
                          <a:off x="0" y="0"/>
                          <a:ext cx="6042660" cy="6350"/>
                        </a:xfrm>
                        <a:custGeom>
                          <a:avLst/>
                          <a:gdLst/>
                          <a:ahLst/>
                          <a:cxnLst/>
                          <a:rect l="l" t="t" r="r" b="b"/>
                          <a:pathLst>
                            <a:path w="6042660" h="6350">
                              <a:moveTo>
                                <a:pt x="6042660" y="0"/>
                              </a:moveTo>
                              <a:lnTo>
                                <a:pt x="4398264" y="0"/>
                              </a:lnTo>
                              <a:lnTo>
                                <a:pt x="4395216" y="0"/>
                              </a:lnTo>
                              <a:lnTo>
                                <a:pt x="0" y="0"/>
                              </a:lnTo>
                              <a:lnTo>
                                <a:pt x="0" y="6083"/>
                              </a:lnTo>
                              <a:lnTo>
                                <a:pt x="4395216" y="6083"/>
                              </a:lnTo>
                              <a:lnTo>
                                <a:pt x="4398264" y="6083"/>
                              </a:lnTo>
                              <a:lnTo>
                                <a:pt x="6042660" y="6083"/>
                              </a:lnTo>
                              <a:lnTo>
                                <a:pt x="6042660" y="0"/>
                              </a:lnTo>
                              <a:close/>
                            </a:path>
                          </a:pathLst>
                        </a:custGeom>
                        <a:solidFill>
                          <a:srgbClr val="000000"/>
                        </a:solidFill>
                      </wps:spPr>
                      <wps:bodyPr wrap="square" lIns="0" tIns="0" rIns="0" bIns="0" rtlCol="0">
                        <a:noAutofit/>
                      </wps:bodyPr>
                    </wps:wsp>
                  </a:graphicData>
                </a:graphic>
              </wp:anchor>
            </w:drawing>
          </mc:Choice>
          <mc:Fallback>
            <w:pict>
              <v:shape w14:anchorId="26F56D57" id="Graphic 20" o:spid="_x0000_s1026" style="position:absolute;margin-left:65.85pt;margin-top:15.65pt;width:475.8pt;height:.5pt;z-index:-251655168;visibility:visible;mso-wrap-style:square;mso-wrap-distance-left:0;mso-wrap-distance-top:0;mso-wrap-distance-right:0;mso-wrap-distance-bottom:0;mso-position-horizontal:absolute;mso-position-horizontal-relative:page;mso-position-vertical:absolute;mso-position-vertical-relative:text;v-text-anchor:top" coordsize="60426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" path="m6042660,l4398264,r-3048,l,,,6083r4395216,l4398264,6083r1644396,l6042660,xe" fillcolor="black" stroked="f">
                <v:path arrowok="t"/>
                <w10:wrap type="topAndBottom" anchorx="page"/>
              </v:shape>
            </w:pict>
          </mc:Fallback>
        </mc:AlternateContent>
      </w:r>
    </w:p>
    <w:p w14:paraId="511E381B" w14:textId="77777777" w:rsidR="00704B93" w:rsidRDefault="00704B93" w:rsidP="008A3FD2">
      <w:pPr>
        <w:pStyle w:val="BodyText"/>
        <w:jc w:val="both"/>
        <w:rPr>
          <w:i/>
          <w:sz w:val="20"/>
        </w:rPr>
        <w:sectPr w:rsidR="00704B93" w:rsidSect="00704B93">
          <w:headerReference w:type="even" r:id="rId13"/>
          <w:headerReference w:type="default" r:id="rId14"/>
          <w:headerReference w:type="first" r:id="rId15"/>
          <w:pgSz w:w="12240" w:h="15840"/>
          <w:pgMar w:top="1320" w:right="1080" w:bottom="280" w:left="1080" w:header="752" w:footer="0" w:gutter="0"/>
          <w:cols w:space="720"/>
        </w:sectPr>
      </w:pPr>
    </w:p>
    <w:p w14:paraId="0F5B3A5B" w14:textId="77777777" w:rsidR="00704B93" w:rsidRDefault="00704B93" w:rsidP="008A3FD2">
      <w:pPr>
        <w:pStyle w:val="Heading1"/>
        <w:spacing w:before="99"/>
        <w:ind w:left="360" w:firstLine="0"/>
        <w:jc w:val="both"/>
        <w:rPr>
          <w:position w:val="1"/>
        </w:rPr>
      </w:pPr>
      <w:r>
        <w:rPr>
          <w:position w:val="1"/>
        </w:rPr>
        <w:lastRenderedPageBreak/>
        <w:t>3.2.</w:t>
      </w:r>
      <w:r>
        <w:rPr>
          <w:spacing w:val="-8"/>
          <w:position w:val="1"/>
        </w:rPr>
        <w:t xml:space="preserve"> </w:t>
      </w:r>
      <w:r>
        <w:rPr>
          <w:position w:val="1"/>
        </w:rPr>
        <w:t>ACUTE</w:t>
      </w:r>
      <w:r>
        <w:rPr>
          <w:spacing w:val="-3"/>
          <w:position w:val="1"/>
        </w:rPr>
        <w:t xml:space="preserve"> </w:t>
      </w:r>
      <w:r>
        <w:rPr>
          <w:position w:val="1"/>
        </w:rPr>
        <w:t>TOXICITY</w:t>
      </w:r>
      <w:r>
        <w:rPr>
          <w:spacing w:val="-7"/>
          <w:position w:val="1"/>
        </w:rPr>
        <w:t xml:space="preserve"> </w:t>
      </w:r>
      <w:r>
        <w:rPr>
          <w:position w:val="1"/>
        </w:rPr>
        <w:t>(LD</w:t>
      </w:r>
      <w:r>
        <w:rPr>
          <w:sz w:val="16"/>
        </w:rPr>
        <w:t>50</w:t>
      </w:r>
      <w:r>
        <w:rPr>
          <w:position w:val="1"/>
        </w:rPr>
        <w:t>)</w:t>
      </w:r>
      <w:r>
        <w:rPr>
          <w:spacing w:val="-8"/>
          <w:position w:val="1"/>
        </w:rPr>
        <w:t xml:space="preserve"> </w:t>
      </w:r>
      <w:r>
        <w:rPr>
          <w:spacing w:val="-2"/>
          <w:position w:val="1"/>
        </w:rPr>
        <w:t>ASSESSMENT</w:t>
      </w:r>
    </w:p>
    <w:p w14:paraId="39DA60AB" w14:textId="77777777" w:rsidR="00704B93" w:rsidRDefault="00704B93" w:rsidP="008A3FD2">
      <w:pPr>
        <w:pStyle w:val="BodyText"/>
        <w:spacing w:before="162"/>
        <w:jc w:val="both"/>
        <w:rPr>
          <w:b/>
        </w:rPr>
      </w:pPr>
    </w:p>
    <w:p w14:paraId="09BB4F06" w14:textId="77777777" w:rsidR="00704B93" w:rsidRDefault="00704B93" w:rsidP="008A3FD2">
      <w:pPr>
        <w:pStyle w:val="BodyText"/>
        <w:spacing w:line="480" w:lineRule="auto"/>
        <w:ind w:left="360" w:right="369"/>
        <w:jc w:val="both"/>
      </w:pPr>
      <w:r>
        <w:t xml:space="preserve">The results of the acute toxicity </w:t>
      </w:r>
      <w:r>
        <w:rPr>
          <w:highlight w:val="yellow"/>
        </w:rPr>
        <w:t xml:space="preserve">assessment </w:t>
      </w:r>
      <w:r>
        <w:t>showed no mortality in a</w:t>
      </w:r>
      <w:r>
        <w:rPr>
          <w:highlight w:val="yellow"/>
        </w:rPr>
        <w:t>ny of</w:t>
      </w:r>
      <w:r>
        <w:t xml:space="preserve"> the groups</w:t>
      </w:r>
      <w:r>
        <w:rPr>
          <w:highlight w:val="yellow"/>
        </w:rPr>
        <w:t xml:space="preserve"> receiving</w:t>
      </w:r>
      <w:r>
        <w:t xml:space="preserve"> 10mg/kg, 100mg/kg, 1000mg/kg, 1600mg/kg, 2900mg/kg and 5000mg/kg doses of </w:t>
      </w:r>
      <w:r>
        <w:rPr>
          <w:highlight w:val="yellow"/>
        </w:rPr>
        <w:t xml:space="preserve">the </w:t>
      </w:r>
      <w:r>
        <w:t>extract after 24 hours of administration (</w:t>
      </w:r>
      <w:r>
        <w:rPr>
          <w:highlight w:val="yellow"/>
        </w:rPr>
        <w:t>T</w:t>
      </w:r>
      <w:r>
        <w:t>able 2).</w:t>
      </w:r>
    </w:p>
    <w:p w14:paraId="71D356EB" w14:textId="77777777" w:rsidR="00704B93" w:rsidRDefault="00704B93" w:rsidP="008A3FD2">
      <w:pPr>
        <w:pStyle w:val="BodyText"/>
        <w:spacing w:line="480" w:lineRule="auto"/>
        <w:jc w:val="both"/>
        <w:sectPr w:rsidR="00704B93" w:rsidSect="00704B93">
          <w:headerReference w:type="even" r:id="rId16"/>
          <w:headerReference w:type="default" r:id="rId17"/>
          <w:headerReference w:type="first" r:id="rId18"/>
          <w:pgSz w:w="12240" w:h="15840"/>
          <w:pgMar w:top="1320" w:right="1080" w:bottom="280" w:left="1080" w:header="752" w:footer="0" w:gutter="0"/>
          <w:pgNumType w:start="1"/>
          <w:cols w:space="720"/>
        </w:sectPr>
      </w:pPr>
    </w:p>
    <w:p w14:paraId="53BA68FC" w14:textId="77777777" w:rsidR="00704B93" w:rsidRDefault="00704B93" w:rsidP="008A3FD2">
      <w:pPr>
        <w:spacing w:before="99"/>
        <w:ind w:left="360"/>
        <w:jc w:val="both"/>
        <w:rPr>
          <w:position w:val="2"/>
          <w:sz w:val="24"/>
        </w:rPr>
      </w:pPr>
      <w:r>
        <w:rPr>
          <w:b/>
          <w:position w:val="2"/>
          <w:sz w:val="24"/>
        </w:rPr>
        <w:lastRenderedPageBreak/>
        <w:t>Table</w:t>
      </w:r>
      <w:r>
        <w:rPr>
          <w:b/>
          <w:spacing w:val="-8"/>
          <w:position w:val="2"/>
          <w:sz w:val="24"/>
        </w:rPr>
        <w:t xml:space="preserve"> </w:t>
      </w:r>
      <w:r>
        <w:rPr>
          <w:b/>
          <w:position w:val="2"/>
          <w:sz w:val="24"/>
        </w:rPr>
        <w:t>2:</w:t>
      </w:r>
      <w:r>
        <w:rPr>
          <w:b/>
          <w:spacing w:val="-4"/>
          <w:position w:val="2"/>
          <w:sz w:val="24"/>
        </w:rPr>
        <w:t xml:space="preserve"> </w:t>
      </w:r>
      <w:r>
        <w:rPr>
          <w:position w:val="2"/>
          <w:sz w:val="24"/>
        </w:rPr>
        <w:t>Acute</w:t>
      </w:r>
      <w:r>
        <w:rPr>
          <w:spacing w:val="-7"/>
          <w:position w:val="2"/>
          <w:sz w:val="24"/>
        </w:rPr>
        <w:t xml:space="preserve"> </w:t>
      </w:r>
      <w:r>
        <w:rPr>
          <w:position w:val="2"/>
          <w:sz w:val="24"/>
        </w:rPr>
        <w:t>toxicity</w:t>
      </w:r>
      <w:r>
        <w:rPr>
          <w:spacing w:val="-3"/>
          <w:position w:val="2"/>
          <w:sz w:val="24"/>
        </w:rPr>
        <w:t xml:space="preserve"> </w:t>
      </w:r>
      <w:r>
        <w:rPr>
          <w:position w:val="2"/>
          <w:sz w:val="24"/>
        </w:rPr>
        <w:t>(LD</w:t>
      </w:r>
      <w:r>
        <w:rPr>
          <w:sz w:val="16"/>
        </w:rPr>
        <w:t>50</w:t>
      </w:r>
      <w:r>
        <w:rPr>
          <w:position w:val="2"/>
          <w:sz w:val="24"/>
        </w:rPr>
        <w:t>)</w:t>
      </w:r>
      <w:r>
        <w:rPr>
          <w:spacing w:val="-5"/>
          <w:position w:val="2"/>
          <w:sz w:val="24"/>
        </w:rPr>
        <w:t xml:space="preserve"> </w:t>
      </w:r>
      <w:r>
        <w:rPr>
          <w:spacing w:val="-2"/>
          <w:position w:val="2"/>
          <w:sz w:val="24"/>
        </w:rPr>
        <w:t>assessment</w:t>
      </w:r>
    </w:p>
    <w:p w14:paraId="315A6FE1" w14:textId="77777777" w:rsidR="00704B93" w:rsidRDefault="00704B93" w:rsidP="008A3FD2">
      <w:pPr>
        <w:pStyle w:val="BodyText"/>
        <w:spacing w:before="210" w:after="1"/>
        <w:jc w:val="both"/>
        <w:rPr>
          <w:sz w:val="20"/>
        </w:rPr>
      </w:pPr>
    </w:p>
    <w:tbl>
      <w:tblPr>
        <w:tblW w:w="0" w:type="auto"/>
        <w:tblInd w:w="252" w:type="dxa"/>
        <w:tblLayout w:type="fixed"/>
        <w:tblCellMar>
          <w:left w:w="0" w:type="dxa"/>
          <w:right w:w="0" w:type="dxa"/>
        </w:tblCellMar>
        <w:tblLook w:val="04A0" w:firstRow="1" w:lastRow="0" w:firstColumn="1" w:lastColumn="0" w:noHBand="0" w:noVBand="1"/>
      </w:tblPr>
      <w:tblGrid>
        <w:gridCol w:w="1377"/>
        <w:gridCol w:w="2314"/>
        <w:gridCol w:w="2182"/>
        <w:gridCol w:w="836"/>
      </w:tblGrid>
      <w:tr w:rsidR="00704B93" w14:paraId="02FD8674" w14:textId="77777777" w:rsidTr="00912F9D">
        <w:trPr>
          <w:trHeight w:val="551"/>
        </w:trPr>
        <w:tc>
          <w:tcPr>
            <w:tcW w:w="1377" w:type="dxa"/>
            <w:tcBorders>
              <w:top w:val="single" w:sz="4" w:space="0" w:color="000000"/>
              <w:bottom w:val="single" w:sz="4" w:space="0" w:color="000000"/>
            </w:tcBorders>
          </w:tcPr>
          <w:p w14:paraId="7582C687" w14:textId="77777777" w:rsidR="00704B93" w:rsidRDefault="00704B93" w:rsidP="008A3FD2">
            <w:pPr>
              <w:pStyle w:val="TableParagraph"/>
              <w:spacing w:line="275" w:lineRule="exact"/>
              <w:ind w:left="115"/>
              <w:jc w:val="both"/>
              <w:rPr>
                <w:b/>
                <w:sz w:val="24"/>
              </w:rPr>
            </w:pPr>
            <w:r>
              <w:rPr>
                <w:b/>
                <w:spacing w:val="-2"/>
                <w:sz w:val="24"/>
              </w:rPr>
              <w:t>Groups</w:t>
            </w:r>
          </w:p>
        </w:tc>
        <w:tc>
          <w:tcPr>
            <w:tcW w:w="2314" w:type="dxa"/>
            <w:tcBorders>
              <w:top w:val="single" w:sz="4" w:space="0" w:color="000000"/>
              <w:bottom w:val="single" w:sz="4" w:space="0" w:color="000000"/>
            </w:tcBorders>
          </w:tcPr>
          <w:p w14:paraId="3507274C" w14:textId="77777777" w:rsidR="00704B93" w:rsidRDefault="00704B93" w:rsidP="008A3FD2">
            <w:pPr>
              <w:pStyle w:val="TableParagraph"/>
              <w:spacing w:line="275" w:lineRule="exact"/>
              <w:ind w:left="108"/>
              <w:jc w:val="both"/>
              <w:rPr>
                <w:b/>
                <w:sz w:val="24"/>
              </w:rPr>
            </w:pPr>
            <w:r>
              <w:rPr>
                <w:b/>
                <w:sz w:val="24"/>
              </w:rPr>
              <w:t>Number</w:t>
            </w:r>
            <w:r>
              <w:rPr>
                <w:b/>
                <w:spacing w:val="-7"/>
                <w:sz w:val="24"/>
              </w:rPr>
              <w:t xml:space="preserve"> </w:t>
            </w:r>
            <w:r>
              <w:rPr>
                <w:b/>
                <w:sz w:val="24"/>
              </w:rPr>
              <w:t>of</w:t>
            </w:r>
            <w:r>
              <w:rPr>
                <w:b/>
                <w:spacing w:val="-6"/>
                <w:sz w:val="24"/>
              </w:rPr>
              <w:t xml:space="preserve"> </w:t>
            </w:r>
            <w:r>
              <w:rPr>
                <w:b/>
                <w:sz w:val="24"/>
              </w:rPr>
              <w:t>rats</w:t>
            </w:r>
            <w:r>
              <w:rPr>
                <w:b/>
                <w:spacing w:val="-5"/>
                <w:sz w:val="24"/>
              </w:rPr>
              <w:t xml:space="preserve"> </w:t>
            </w:r>
            <w:r>
              <w:rPr>
                <w:b/>
                <w:spacing w:val="-4"/>
                <w:sz w:val="24"/>
              </w:rPr>
              <w:t>used</w:t>
            </w:r>
          </w:p>
        </w:tc>
        <w:tc>
          <w:tcPr>
            <w:tcW w:w="2182" w:type="dxa"/>
            <w:tcBorders>
              <w:top w:val="single" w:sz="4" w:space="0" w:color="000000"/>
              <w:bottom w:val="single" w:sz="4" w:space="0" w:color="000000"/>
            </w:tcBorders>
          </w:tcPr>
          <w:p w14:paraId="6E7B6AFE" w14:textId="77777777" w:rsidR="00704B93" w:rsidRDefault="00704B93" w:rsidP="008A3FD2">
            <w:pPr>
              <w:pStyle w:val="TableParagraph"/>
              <w:spacing w:line="275" w:lineRule="exact"/>
              <w:ind w:left="110"/>
              <w:jc w:val="both"/>
              <w:rPr>
                <w:b/>
                <w:sz w:val="24"/>
              </w:rPr>
            </w:pPr>
            <w:r>
              <w:rPr>
                <w:b/>
                <w:sz w:val="24"/>
              </w:rPr>
              <w:t>Mortality</w:t>
            </w:r>
            <w:r>
              <w:rPr>
                <w:b/>
                <w:spacing w:val="-12"/>
                <w:sz w:val="24"/>
              </w:rPr>
              <w:t xml:space="preserve"> </w:t>
            </w:r>
            <w:r>
              <w:rPr>
                <w:b/>
                <w:spacing w:val="-2"/>
                <w:sz w:val="24"/>
              </w:rPr>
              <w:t>recorded</w:t>
            </w:r>
          </w:p>
        </w:tc>
        <w:tc>
          <w:tcPr>
            <w:tcW w:w="836" w:type="dxa"/>
            <w:tcBorders>
              <w:top w:val="single" w:sz="4" w:space="0" w:color="000000"/>
              <w:bottom w:val="single" w:sz="4" w:space="0" w:color="000000"/>
            </w:tcBorders>
          </w:tcPr>
          <w:p w14:paraId="0FC4910E" w14:textId="77777777" w:rsidR="00704B93" w:rsidRDefault="00704B93" w:rsidP="008A3FD2">
            <w:pPr>
              <w:pStyle w:val="TableParagraph"/>
              <w:spacing w:line="275" w:lineRule="exact"/>
              <w:ind w:left="110"/>
              <w:jc w:val="both"/>
              <w:rPr>
                <w:b/>
                <w:sz w:val="16"/>
              </w:rPr>
            </w:pPr>
            <w:r>
              <w:rPr>
                <w:b/>
                <w:spacing w:val="-4"/>
                <w:position w:val="1"/>
                <w:sz w:val="24"/>
              </w:rPr>
              <w:t>LD</w:t>
            </w:r>
            <w:r>
              <w:rPr>
                <w:b/>
                <w:spacing w:val="-4"/>
                <w:sz w:val="16"/>
              </w:rPr>
              <w:t>50</w:t>
            </w:r>
          </w:p>
        </w:tc>
      </w:tr>
      <w:tr w:rsidR="00704B93" w14:paraId="5A540F87" w14:textId="77777777" w:rsidTr="00912F9D">
        <w:trPr>
          <w:trHeight w:val="418"/>
        </w:trPr>
        <w:tc>
          <w:tcPr>
            <w:tcW w:w="1377" w:type="dxa"/>
            <w:tcBorders>
              <w:top w:val="single" w:sz="4" w:space="0" w:color="000000"/>
            </w:tcBorders>
          </w:tcPr>
          <w:p w14:paraId="531BC4BD" w14:textId="77777777" w:rsidR="00704B93" w:rsidRDefault="00704B93" w:rsidP="008A3FD2">
            <w:pPr>
              <w:pStyle w:val="TableParagraph"/>
              <w:spacing w:line="275" w:lineRule="exact"/>
              <w:ind w:left="115"/>
              <w:jc w:val="both"/>
              <w:rPr>
                <w:sz w:val="24"/>
              </w:rPr>
            </w:pPr>
            <w:r>
              <w:rPr>
                <w:sz w:val="24"/>
              </w:rPr>
              <w:t>10</w:t>
            </w:r>
            <w:r>
              <w:rPr>
                <w:spacing w:val="-4"/>
                <w:sz w:val="24"/>
              </w:rPr>
              <w:t xml:space="preserve"> g/kg</w:t>
            </w:r>
          </w:p>
        </w:tc>
        <w:tc>
          <w:tcPr>
            <w:tcW w:w="2314" w:type="dxa"/>
            <w:tcBorders>
              <w:top w:val="single" w:sz="4" w:space="0" w:color="000000"/>
            </w:tcBorders>
          </w:tcPr>
          <w:p w14:paraId="6B577421" w14:textId="77777777" w:rsidR="00704B93" w:rsidRDefault="00704B93" w:rsidP="008A3FD2">
            <w:pPr>
              <w:pStyle w:val="TableParagraph"/>
              <w:spacing w:line="275" w:lineRule="exact"/>
              <w:ind w:left="107"/>
              <w:jc w:val="both"/>
              <w:rPr>
                <w:sz w:val="24"/>
              </w:rPr>
            </w:pPr>
            <w:r>
              <w:rPr>
                <w:spacing w:val="-10"/>
                <w:sz w:val="24"/>
              </w:rPr>
              <w:t>2</w:t>
            </w:r>
          </w:p>
        </w:tc>
        <w:tc>
          <w:tcPr>
            <w:tcW w:w="2182" w:type="dxa"/>
            <w:tcBorders>
              <w:top w:val="single" w:sz="4" w:space="0" w:color="000000"/>
            </w:tcBorders>
          </w:tcPr>
          <w:p w14:paraId="150F154B" w14:textId="77777777" w:rsidR="00704B93" w:rsidRDefault="00704B93" w:rsidP="008A3FD2">
            <w:pPr>
              <w:pStyle w:val="TableParagraph"/>
              <w:spacing w:line="275" w:lineRule="exact"/>
              <w:ind w:left="107"/>
              <w:jc w:val="both"/>
              <w:rPr>
                <w:sz w:val="24"/>
              </w:rPr>
            </w:pPr>
            <w:r>
              <w:rPr>
                <w:spacing w:val="-10"/>
                <w:sz w:val="24"/>
              </w:rPr>
              <w:t>0</w:t>
            </w:r>
          </w:p>
        </w:tc>
        <w:tc>
          <w:tcPr>
            <w:tcW w:w="836" w:type="dxa"/>
            <w:tcBorders>
              <w:top w:val="single" w:sz="4" w:space="0" w:color="000000"/>
            </w:tcBorders>
          </w:tcPr>
          <w:p w14:paraId="7EB0A919" w14:textId="77777777" w:rsidR="00704B93" w:rsidRDefault="00704B93" w:rsidP="008A3FD2">
            <w:pPr>
              <w:pStyle w:val="TableParagraph"/>
              <w:spacing w:line="275" w:lineRule="exact"/>
              <w:ind w:left="108"/>
              <w:jc w:val="both"/>
              <w:rPr>
                <w:sz w:val="24"/>
              </w:rPr>
            </w:pPr>
            <w:r>
              <w:rPr>
                <w:spacing w:val="-5"/>
                <w:sz w:val="24"/>
              </w:rPr>
              <w:t>&gt;10</w:t>
            </w:r>
          </w:p>
        </w:tc>
      </w:tr>
      <w:tr w:rsidR="00704B93" w14:paraId="3120723E" w14:textId="77777777" w:rsidTr="00912F9D">
        <w:trPr>
          <w:trHeight w:val="552"/>
        </w:trPr>
        <w:tc>
          <w:tcPr>
            <w:tcW w:w="1377" w:type="dxa"/>
          </w:tcPr>
          <w:p w14:paraId="65E49A2A" w14:textId="77777777" w:rsidR="00704B93" w:rsidRDefault="00704B93" w:rsidP="008A3FD2">
            <w:pPr>
              <w:pStyle w:val="TableParagraph"/>
              <w:spacing w:before="132"/>
              <w:ind w:left="115"/>
              <w:jc w:val="both"/>
              <w:rPr>
                <w:sz w:val="24"/>
              </w:rPr>
            </w:pPr>
            <w:r>
              <w:rPr>
                <w:sz w:val="24"/>
              </w:rPr>
              <w:t>100</w:t>
            </w:r>
            <w:r>
              <w:rPr>
                <w:spacing w:val="-5"/>
                <w:sz w:val="24"/>
              </w:rPr>
              <w:t xml:space="preserve"> </w:t>
            </w:r>
            <w:r>
              <w:rPr>
                <w:spacing w:val="-2"/>
                <w:sz w:val="24"/>
              </w:rPr>
              <w:t>mg/kg</w:t>
            </w:r>
          </w:p>
        </w:tc>
        <w:tc>
          <w:tcPr>
            <w:tcW w:w="2314" w:type="dxa"/>
          </w:tcPr>
          <w:p w14:paraId="0DFB1B39" w14:textId="77777777" w:rsidR="00704B93" w:rsidRDefault="00704B93" w:rsidP="008A3FD2">
            <w:pPr>
              <w:pStyle w:val="TableParagraph"/>
              <w:spacing w:before="132"/>
              <w:ind w:left="107"/>
              <w:jc w:val="both"/>
              <w:rPr>
                <w:sz w:val="24"/>
              </w:rPr>
            </w:pPr>
            <w:r>
              <w:rPr>
                <w:spacing w:val="-10"/>
                <w:sz w:val="24"/>
              </w:rPr>
              <w:t>2</w:t>
            </w:r>
          </w:p>
        </w:tc>
        <w:tc>
          <w:tcPr>
            <w:tcW w:w="2182" w:type="dxa"/>
          </w:tcPr>
          <w:p w14:paraId="755004A3" w14:textId="77777777" w:rsidR="00704B93" w:rsidRDefault="00704B93" w:rsidP="008A3FD2">
            <w:pPr>
              <w:pStyle w:val="TableParagraph"/>
              <w:spacing w:before="132"/>
              <w:ind w:left="109"/>
              <w:jc w:val="both"/>
              <w:rPr>
                <w:sz w:val="24"/>
              </w:rPr>
            </w:pPr>
            <w:r>
              <w:rPr>
                <w:spacing w:val="-10"/>
                <w:sz w:val="24"/>
              </w:rPr>
              <w:t>0</w:t>
            </w:r>
          </w:p>
        </w:tc>
        <w:tc>
          <w:tcPr>
            <w:tcW w:w="836" w:type="dxa"/>
          </w:tcPr>
          <w:p w14:paraId="19CEE47E" w14:textId="77777777" w:rsidR="00704B93" w:rsidRDefault="00704B93" w:rsidP="008A3FD2">
            <w:pPr>
              <w:pStyle w:val="TableParagraph"/>
              <w:spacing w:before="132"/>
              <w:ind w:left="107"/>
              <w:jc w:val="both"/>
              <w:rPr>
                <w:sz w:val="24"/>
              </w:rPr>
            </w:pPr>
            <w:r>
              <w:rPr>
                <w:spacing w:val="-4"/>
                <w:sz w:val="24"/>
              </w:rPr>
              <w:t>&gt;100</w:t>
            </w:r>
          </w:p>
        </w:tc>
      </w:tr>
      <w:tr w:rsidR="00704B93" w14:paraId="5F17C207" w14:textId="77777777" w:rsidTr="00912F9D">
        <w:trPr>
          <w:trHeight w:val="552"/>
        </w:trPr>
        <w:tc>
          <w:tcPr>
            <w:tcW w:w="1377" w:type="dxa"/>
          </w:tcPr>
          <w:p w14:paraId="44CB7E67" w14:textId="77777777" w:rsidR="00704B93" w:rsidRDefault="00704B93" w:rsidP="008A3FD2">
            <w:pPr>
              <w:pStyle w:val="TableParagraph"/>
              <w:spacing w:before="132"/>
              <w:ind w:left="115"/>
              <w:jc w:val="both"/>
              <w:rPr>
                <w:sz w:val="24"/>
              </w:rPr>
            </w:pPr>
            <w:r>
              <w:rPr>
                <w:sz w:val="24"/>
              </w:rPr>
              <w:t>1000</w:t>
            </w:r>
            <w:r>
              <w:rPr>
                <w:spacing w:val="-6"/>
                <w:sz w:val="24"/>
              </w:rPr>
              <w:t xml:space="preserve"> </w:t>
            </w:r>
            <w:r>
              <w:rPr>
                <w:spacing w:val="-2"/>
                <w:sz w:val="24"/>
              </w:rPr>
              <w:t>mg/kg</w:t>
            </w:r>
          </w:p>
        </w:tc>
        <w:tc>
          <w:tcPr>
            <w:tcW w:w="2314" w:type="dxa"/>
          </w:tcPr>
          <w:p w14:paraId="4DBD1301" w14:textId="77777777" w:rsidR="00704B93" w:rsidRDefault="00704B93" w:rsidP="008A3FD2">
            <w:pPr>
              <w:pStyle w:val="TableParagraph"/>
              <w:spacing w:before="132"/>
              <w:ind w:left="108"/>
              <w:jc w:val="both"/>
              <w:rPr>
                <w:sz w:val="24"/>
              </w:rPr>
            </w:pPr>
            <w:r>
              <w:rPr>
                <w:spacing w:val="-10"/>
                <w:sz w:val="24"/>
              </w:rPr>
              <w:t>2</w:t>
            </w:r>
          </w:p>
        </w:tc>
        <w:tc>
          <w:tcPr>
            <w:tcW w:w="2182" w:type="dxa"/>
          </w:tcPr>
          <w:p w14:paraId="698EE22E" w14:textId="77777777" w:rsidR="00704B93" w:rsidRDefault="00704B93" w:rsidP="008A3FD2">
            <w:pPr>
              <w:pStyle w:val="TableParagraph"/>
              <w:spacing w:before="132"/>
              <w:ind w:left="111"/>
              <w:jc w:val="both"/>
              <w:rPr>
                <w:sz w:val="24"/>
              </w:rPr>
            </w:pPr>
            <w:r>
              <w:rPr>
                <w:spacing w:val="-10"/>
                <w:sz w:val="24"/>
              </w:rPr>
              <w:t>0</w:t>
            </w:r>
          </w:p>
        </w:tc>
        <w:tc>
          <w:tcPr>
            <w:tcW w:w="836" w:type="dxa"/>
          </w:tcPr>
          <w:p w14:paraId="2987F03B" w14:textId="77777777" w:rsidR="00704B93" w:rsidRDefault="00704B93" w:rsidP="008A3FD2">
            <w:pPr>
              <w:pStyle w:val="TableParagraph"/>
              <w:spacing w:before="132"/>
              <w:ind w:left="108"/>
              <w:jc w:val="both"/>
              <w:rPr>
                <w:sz w:val="24"/>
              </w:rPr>
            </w:pPr>
            <w:r>
              <w:rPr>
                <w:spacing w:val="-4"/>
                <w:sz w:val="24"/>
              </w:rPr>
              <w:t>&gt;1000</w:t>
            </w:r>
          </w:p>
        </w:tc>
      </w:tr>
      <w:tr w:rsidR="00704B93" w14:paraId="64EACEC4" w14:textId="77777777" w:rsidTr="00912F9D">
        <w:trPr>
          <w:trHeight w:val="551"/>
        </w:trPr>
        <w:tc>
          <w:tcPr>
            <w:tcW w:w="1377" w:type="dxa"/>
          </w:tcPr>
          <w:p w14:paraId="2D7B6208" w14:textId="77777777" w:rsidR="00704B93" w:rsidRDefault="00704B93" w:rsidP="008A3FD2">
            <w:pPr>
              <w:pStyle w:val="TableParagraph"/>
              <w:spacing w:before="132"/>
              <w:ind w:left="115"/>
              <w:jc w:val="both"/>
              <w:rPr>
                <w:sz w:val="24"/>
              </w:rPr>
            </w:pPr>
            <w:r>
              <w:rPr>
                <w:sz w:val="24"/>
              </w:rPr>
              <w:t>1600</w:t>
            </w:r>
            <w:r>
              <w:rPr>
                <w:spacing w:val="-6"/>
                <w:sz w:val="24"/>
              </w:rPr>
              <w:t xml:space="preserve"> </w:t>
            </w:r>
            <w:r>
              <w:rPr>
                <w:spacing w:val="-2"/>
                <w:sz w:val="24"/>
              </w:rPr>
              <w:t>mg/kg</w:t>
            </w:r>
          </w:p>
        </w:tc>
        <w:tc>
          <w:tcPr>
            <w:tcW w:w="2314" w:type="dxa"/>
          </w:tcPr>
          <w:p w14:paraId="716C9E6D" w14:textId="77777777" w:rsidR="00704B93" w:rsidRDefault="00704B93" w:rsidP="008A3FD2">
            <w:pPr>
              <w:pStyle w:val="TableParagraph"/>
              <w:spacing w:before="132"/>
              <w:ind w:left="108"/>
              <w:jc w:val="both"/>
              <w:rPr>
                <w:sz w:val="24"/>
              </w:rPr>
            </w:pPr>
            <w:r>
              <w:rPr>
                <w:spacing w:val="-10"/>
                <w:sz w:val="24"/>
              </w:rPr>
              <w:t>2</w:t>
            </w:r>
          </w:p>
        </w:tc>
        <w:tc>
          <w:tcPr>
            <w:tcW w:w="2182" w:type="dxa"/>
          </w:tcPr>
          <w:p w14:paraId="6F06AD69" w14:textId="77777777" w:rsidR="00704B93" w:rsidRDefault="00704B93" w:rsidP="008A3FD2">
            <w:pPr>
              <w:pStyle w:val="TableParagraph"/>
              <w:spacing w:before="132"/>
              <w:ind w:left="111"/>
              <w:jc w:val="both"/>
              <w:rPr>
                <w:sz w:val="24"/>
              </w:rPr>
            </w:pPr>
            <w:r>
              <w:rPr>
                <w:spacing w:val="-10"/>
                <w:sz w:val="24"/>
              </w:rPr>
              <w:t>0</w:t>
            </w:r>
          </w:p>
        </w:tc>
        <w:tc>
          <w:tcPr>
            <w:tcW w:w="836" w:type="dxa"/>
          </w:tcPr>
          <w:p w14:paraId="6E37920C" w14:textId="77777777" w:rsidR="00704B93" w:rsidRDefault="00704B93" w:rsidP="008A3FD2">
            <w:pPr>
              <w:pStyle w:val="TableParagraph"/>
              <w:spacing w:before="132"/>
              <w:ind w:left="108"/>
              <w:jc w:val="both"/>
              <w:rPr>
                <w:sz w:val="24"/>
              </w:rPr>
            </w:pPr>
            <w:r>
              <w:rPr>
                <w:spacing w:val="-4"/>
                <w:sz w:val="24"/>
              </w:rPr>
              <w:t>&gt;1600</w:t>
            </w:r>
          </w:p>
        </w:tc>
      </w:tr>
      <w:tr w:rsidR="00704B93" w14:paraId="434C016B" w14:textId="77777777" w:rsidTr="00912F9D">
        <w:trPr>
          <w:trHeight w:val="552"/>
        </w:trPr>
        <w:tc>
          <w:tcPr>
            <w:tcW w:w="1377" w:type="dxa"/>
          </w:tcPr>
          <w:p w14:paraId="1F0B3183" w14:textId="77777777" w:rsidR="00704B93" w:rsidRDefault="00704B93" w:rsidP="008A3FD2">
            <w:pPr>
              <w:pStyle w:val="TableParagraph"/>
              <w:spacing w:before="132"/>
              <w:ind w:left="115"/>
              <w:jc w:val="both"/>
              <w:rPr>
                <w:sz w:val="24"/>
              </w:rPr>
            </w:pPr>
            <w:r>
              <w:rPr>
                <w:sz w:val="24"/>
              </w:rPr>
              <w:t>2900</w:t>
            </w:r>
            <w:r>
              <w:rPr>
                <w:spacing w:val="-6"/>
                <w:sz w:val="24"/>
              </w:rPr>
              <w:t xml:space="preserve"> </w:t>
            </w:r>
            <w:r>
              <w:rPr>
                <w:spacing w:val="-2"/>
                <w:sz w:val="24"/>
              </w:rPr>
              <w:t>mg/kg</w:t>
            </w:r>
          </w:p>
        </w:tc>
        <w:tc>
          <w:tcPr>
            <w:tcW w:w="2314" w:type="dxa"/>
          </w:tcPr>
          <w:p w14:paraId="0B772F2E" w14:textId="77777777" w:rsidR="00704B93" w:rsidRDefault="00704B93" w:rsidP="008A3FD2">
            <w:pPr>
              <w:pStyle w:val="TableParagraph"/>
              <w:spacing w:before="132"/>
              <w:ind w:left="108"/>
              <w:jc w:val="both"/>
              <w:rPr>
                <w:sz w:val="24"/>
              </w:rPr>
            </w:pPr>
            <w:r>
              <w:rPr>
                <w:spacing w:val="-10"/>
                <w:sz w:val="24"/>
              </w:rPr>
              <w:t>2</w:t>
            </w:r>
          </w:p>
        </w:tc>
        <w:tc>
          <w:tcPr>
            <w:tcW w:w="2182" w:type="dxa"/>
          </w:tcPr>
          <w:p w14:paraId="7659C136" w14:textId="77777777" w:rsidR="00704B93" w:rsidRDefault="00704B93" w:rsidP="008A3FD2">
            <w:pPr>
              <w:pStyle w:val="TableParagraph"/>
              <w:spacing w:before="132"/>
              <w:ind w:left="111"/>
              <w:jc w:val="both"/>
              <w:rPr>
                <w:sz w:val="24"/>
              </w:rPr>
            </w:pPr>
            <w:r>
              <w:rPr>
                <w:spacing w:val="-10"/>
                <w:sz w:val="24"/>
              </w:rPr>
              <w:t>0</w:t>
            </w:r>
          </w:p>
        </w:tc>
        <w:tc>
          <w:tcPr>
            <w:tcW w:w="836" w:type="dxa"/>
          </w:tcPr>
          <w:p w14:paraId="6C563C16" w14:textId="77777777" w:rsidR="00704B93" w:rsidRDefault="00704B93" w:rsidP="008A3FD2">
            <w:pPr>
              <w:pStyle w:val="TableParagraph"/>
              <w:spacing w:before="132"/>
              <w:ind w:left="108"/>
              <w:jc w:val="both"/>
              <w:rPr>
                <w:sz w:val="24"/>
              </w:rPr>
            </w:pPr>
            <w:r>
              <w:rPr>
                <w:spacing w:val="-4"/>
                <w:sz w:val="24"/>
              </w:rPr>
              <w:t>&gt;2900</w:t>
            </w:r>
          </w:p>
        </w:tc>
      </w:tr>
      <w:tr w:rsidR="00704B93" w14:paraId="3DC356FA" w14:textId="77777777" w:rsidTr="00912F9D">
        <w:trPr>
          <w:trHeight w:val="685"/>
        </w:trPr>
        <w:tc>
          <w:tcPr>
            <w:tcW w:w="1377" w:type="dxa"/>
            <w:tcBorders>
              <w:bottom w:val="single" w:sz="4" w:space="0" w:color="000000"/>
            </w:tcBorders>
          </w:tcPr>
          <w:p w14:paraId="55DF2F3A" w14:textId="77777777" w:rsidR="00704B93" w:rsidRDefault="00704B93" w:rsidP="008A3FD2">
            <w:pPr>
              <w:pStyle w:val="TableParagraph"/>
              <w:spacing w:before="132"/>
              <w:ind w:left="115"/>
              <w:jc w:val="both"/>
              <w:rPr>
                <w:sz w:val="24"/>
              </w:rPr>
            </w:pPr>
            <w:r>
              <w:rPr>
                <w:sz w:val="24"/>
              </w:rPr>
              <w:t>5000</w:t>
            </w:r>
            <w:r>
              <w:rPr>
                <w:spacing w:val="-6"/>
                <w:sz w:val="24"/>
              </w:rPr>
              <w:t xml:space="preserve"> </w:t>
            </w:r>
            <w:r>
              <w:rPr>
                <w:spacing w:val="-2"/>
                <w:sz w:val="24"/>
              </w:rPr>
              <w:t>mg/kg</w:t>
            </w:r>
          </w:p>
        </w:tc>
        <w:tc>
          <w:tcPr>
            <w:tcW w:w="2314" w:type="dxa"/>
            <w:tcBorders>
              <w:bottom w:val="single" w:sz="4" w:space="0" w:color="000000"/>
            </w:tcBorders>
          </w:tcPr>
          <w:p w14:paraId="6E23973D" w14:textId="77777777" w:rsidR="00704B93" w:rsidRDefault="00704B93" w:rsidP="008A3FD2">
            <w:pPr>
              <w:pStyle w:val="TableParagraph"/>
              <w:spacing w:before="132"/>
              <w:ind w:left="108"/>
              <w:jc w:val="both"/>
              <w:rPr>
                <w:sz w:val="24"/>
              </w:rPr>
            </w:pPr>
            <w:r>
              <w:rPr>
                <w:spacing w:val="-10"/>
                <w:sz w:val="24"/>
              </w:rPr>
              <w:t>2</w:t>
            </w:r>
          </w:p>
        </w:tc>
        <w:tc>
          <w:tcPr>
            <w:tcW w:w="2182" w:type="dxa"/>
            <w:tcBorders>
              <w:bottom w:val="single" w:sz="4" w:space="0" w:color="000000"/>
            </w:tcBorders>
          </w:tcPr>
          <w:p w14:paraId="666DF0D3" w14:textId="77777777" w:rsidR="00704B93" w:rsidRDefault="00704B93" w:rsidP="008A3FD2">
            <w:pPr>
              <w:pStyle w:val="TableParagraph"/>
              <w:spacing w:before="132"/>
              <w:ind w:left="111"/>
              <w:jc w:val="both"/>
              <w:rPr>
                <w:sz w:val="24"/>
              </w:rPr>
            </w:pPr>
            <w:r>
              <w:rPr>
                <w:spacing w:val="-10"/>
                <w:sz w:val="24"/>
              </w:rPr>
              <w:t>0</w:t>
            </w:r>
          </w:p>
        </w:tc>
        <w:tc>
          <w:tcPr>
            <w:tcW w:w="836" w:type="dxa"/>
            <w:tcBorders>
              <w:bottom w:val="single" w:sz="4" w:space="0" w:color="000000"/>
            </w:tcBorders>
          </w:tcPr>
          <w:p w14:paraId="22BCBDA0" w14:textId="77777777" w:rsidR="00704B93" w:rsidRDefault="00704B93" w:rsidP="008A3FD2">
            <w:pPr>
              <w:pStyle w:val="TableParagraph"/>
              <w:spacing w:before="132"/>
              <w:ind w:left="108"/>
              <w:jc w:val="both"/>
              <w:rPr>
                <w:sz w:val="24"/>
              </w:rPr>
            </w:pPr>
            <w:r>
              <w:rPr>
                <w:spacing w:val="-4"/>
                <w:sz w:val="24"/>
              </w:rPr>
              <w:t>&gt;5000</w:t>
            </w:r>
          </w:p>
        </w:tc>
      </w:tr>
      <w:tr w:rsidR="00704B93" w14:paraId="5F77881B" w14:textId="77777777" w:rsidTr="00912F9D">
        <w:trPr>
          <w:trHeight w:val="274"/>
        </w:trPr>
        <w:tc>
          <w:tcPr>
            <w:tcW w:w="1377" w:type="dxa"/>
            <w:tcBorders>
              <w:top w:val="single" w:sz="4" w:space="0" w:color="000000"/>
            </w:tcBorders>
          </w:tcPr>
          <w:p w14:paraId="09EC82F9" w14:textId="77777777" w:rsidR="00704B93" w:rsidRDefault="00704B93" w:rsidP="008A3FD2">
            <w:pPr>
              <w:pStyle w:val="TableParagraph"/>
              <w:spacing w:line="255" w:lineRule="exact"/>
              <w:ind w:left="115"/>
              <w:jc w:val="both"/>
              <w:rPr>
                <w:b/>
                <w:sz w:val="24"/>
              </w:rPr>
            </w:pPr>
            <w:r>
              <w:rPr>
                <w:b/>
                <w:spacing w:val="-4"/>
                <w:sz w:val="24"/>
              </w:rPr>
              <w:t>Key:</w:t>
            </w:r>
          </w:p>
        </w:tc>
        <w:tc>
          <w:tcPr>
            <w:tcW w:w="2314" w:type="dxa"/>
            <w:tcBorders>
              <w:top w:val="single" w:sz="4" w:space="0" w:color="000000"/>
            </w:tcBorders>
          </w:tcPr>
          <w:p w14:paraId="51694F3E" w14:textId="77777777" w:rsidR="00704B93" w:rsidRDefault="00704B93" w:rsidP="008A3FD2">
            <w:pPr>
              <w:pStyle w:val="TableParagraph"/>
              <w:jc w:val="both"/>
              <w:rPr>
                <w:sz w:val="20"/>
              </w:rPr>
            </w:pPr>
          </w:p>
        </w:tc>
        <w:tc>
          <w:tcPr>
            <w:tcW w:w="2182" w:type="dxa"/>
            <w:tcBorders>
              <w:top w:val="single" w:sz="4" w:space="0" w:color="000000"/>
            </w:tcBorders>
          </w:tcPr>
          <w:p w14:paraId="5011CD9F" w14:textId="77777777" w:rsidR="00704B93" w:rsidRDefault="00704B93" w:rsidP="008A3FD2">
            <w:pPr>
              <w:pStyle w:val="TableParagraph"/>
              <w:jc w:val="both"/>
              <w:rPr>
                <w:sz w:val="20"/>
              </w:rPr>
            </w:pPr>
          </w:p>
        </w:tc>
        <w:tc>
          <w:tcPr>
            <w:tcW w:w="836" w:type="dxa"/>
            <w:tcBorders>
              <w:top w:val="single" w:sz="4" w:space="0" w:color="000000"/>
            </w:tcBorders>
          </w:tcPr>
          <w:p w14:paraId="560A2D45" w14:textId="77777777" w:rsidR="00704B93" w:rsidRDefault="00704B93" w:rsidP="008A3FD2">
            <w:pPr>
              <w:pStyle w:val="TableParagraph"/>
              <w:jc w:val="both"/>
              <w:rPr>
                <w:sz w:val="20"/>
              </w:rPr>
            </w:pPr>
          </w:p>
        </w:tc>
      </w:tr>
    </w:tbl>
    <w:p w14:paraId="07AD5E10" w14:textId="77777777" w:rsidR="00704B93" w:rsidRDefault="00704B93" w:rsidP="008A3FD2">
      <w:pPr>
        <w:pStyle w:val="BodyText"/>
        <w:spacing w:before="158"/>
        <w:jc w:val="both"/>
      </w:pPr>
    </w:p>
    <w:p w14:paraId="20FE2EA8" w14:textId="77777777" w:rsidR="00704B93" w:rsidRDefault="00704B93" w:rsidP="008A3FD2">
      <w:pPr>
        <w:pStyle w:val="BodyText"/>
        <w:ind w:left="360"/>
        <w:jc w:val="both"/>
        <w:rPr>
          <w:position w:val="2"/>
        </w:rPr>
      </w:pPr>
      <w:r>
        <w:rPr>
          <w:b/>
          <w:position w:val="2"/>
        </w:rPr>
        <w:t>&gt;</w:t>
      </w:r>
      <w:r>
        <w:rPr>
          <w:b/>
          <w:spacing w:val="-5"/>
          <w:position w:val="2"/>
        </w:rPr>
        <w:t xml:space="preserve"> </w:t>
      </w:r>
      <w:r>
        <w:rPr>
          <w:position w:val="2"/>
        </w:rPr>
        <w:t>Indicates</w:t>
      </w:r>
      <w:r>
        <w:rPr>
          <w:spacing w:val="-5"/>
          <w:position w:val="2"/>
        </w:rPr>
        <w:t xml:space="preserve"> </w:t>
      </w:r>
      <w:r>
        <w:rPr>
          <w:position w:val="2"/>
        </w:rPr>
        <w:t>that</w:t>
      </w:r>
      <w:r>
        <w:rPr>
          <w:spacing w:val="-6"/>
          <w:position w:val="2"/>
        </w:rPr>
        <w:t xml:space="preserve"> </w:t>
      </w:r>
      <w:r>
        <w:rPr>
          <w:position w:val="2"/>
        </w:rPr>
        <w:t>the</w:t>
      </w:r>
      <w:r>
        <w:rPr>
          <w:spacing w:val="-5"/>
          <w:position w:val="2"/>
        </w:rPr>
        <w:t xml:space="preserve"> </w:t>
      </w:r>
      <w:r>
        <w:rPr>
          <w:position w:val="2"/>
        </w:rPr>
        <w:t>LD</w:t>
      </w:r>
      <w:r>
        <w:rPr>
          <w:sz w:val="16"/>
        </w:rPr>
        <w:t>50</w:t>
      </w:r>
      <w:r>
        <w:rPr>
          <w:spacing w:val="15"/>
          <w:sz w:val="16"/>
        </w:rPr>
        <w:t xml:space="preserve"> </w:t>
      </w:r>
      <w:r>
        <w:rPr>
          <w:position w:val="2"/>
        </w:rPr>
        <w:t>is</w:t>
      </w:r>
      <w:r>
        <w:rPr>
          <w:spacing w:val="-5"/>
          <w:position w:val="2"/>
        </w:rPr>
        <w:t xml:space="preserve"> </w:t>
      </w:r>
      <w:r>
        <w:rPr>
          <w:position w:val="2"/>
        </w:rPr>
        <w:t>above</w:t>
      </w:r>
      <w:r>
        <w:rPr>
          <w:spacing w:val="-6"/>
          <w:position w:val="2"/>
        </w:rPr>
        <w:t xml:space="preserve"> </w:t>
      </w:r>
      <w:r>
        <w:rPr>
          <w:position w:val="2"/>
        </w:rPr>
        <w:t>the</w:t>
      </w:r>
      <w:r>
        <w:rPr>
          <w:spacing w:val="-7"/>
          <w:position w:val="2"/>
        </w:rPr>
        <w:t xml:space="preserve"> </w:t>
      </w:r>
      <w:r>
        <w:rPr>
          <w:position w:val="2"/>
        </w:rPr>
        <w:t>prescribed</w:t>
      </w:r>
      <w:r>
        <w:rPr>
          <w:spacing w:val="-6"/>
          <w:position w:val="2"/>
        </w:rPr>
        <w:t xml:space="preserve"> </w:t>
      </w:r>
      <w:r>
        <w:rPr>
          <w:position w:val="2"/>
        </w:rPr>
        <w:t>dose</w:t>
      </w:r>
      <w:r>
        <w:rPr>
          <w:spacing w:val="-7"/>
          <w:position w:val="2"/>
        </w:rPr>
        <w:t xml:space="preserve"> </w:t>
      </w:r>
      <w:r>
        <w:rPr>
          <w:position w:val="2"/>
        </w:rPr>
        <w:t>for</w:t>
      </w:r>
      <w:r>
        <w:rPr>
          <w:spacing w:val="-5"/>
          <w:position w:val="2"/>
        </w:rPr>
        <w:t xml:space="preserve"> </w:t>
      </w:r>
      <w:r>
        <w:rPr>
          <w:position w:val="2"/>
        </w:rPr>
        <w:t>the</w:t>
      </w:r>
      <w:r>
        <w:rPr>
          <w:spacing w:val="-6"/>
          <w:position w:val="2"/>
        </w:rPr>
        <w:t xml:space="preserve"> </w:t>
      </w:r>
      <w:r>
        <w:rPr>
          <w:position w:val="2"/>
        </w:rPr>
        <w:t>specified</w:t>
      </w:r>
      <w:r>
        <w:rPr>
          <w:spacing w:val="-5"/>
          <w:position w:val="2"/>
        </w:rPr>
        <w:t xml:space="preserve"> </w:t>
      </w:r>
      <w:r>
        <w:rPr>
          <w:spacing w:val="-2"/>
          <w:position w:val="2"/>
        </w:rPr>
        <w:t>step.</w:t>
      </w:r>
    </w:p>
    <w:p w14:paraId="5250A844" w14:textId="77777777" w:rsidR="00704B93" w:rsidRDefault="00704B93" w:rsidP="008A3FD2">
      <w:pPr>
        <w:pStyle w:val="BodyText"/>
        <w:jc w:val="both"/>
        <w:rPr>
          <w:position w:val="2"/>
        </w:rPr>
        <w:sectPr w:rsidR="00704B93" w:rsidSect="00704B93">
          <w:pgSz w:w="12240" w:h="15840"/>
          <w:pgMar w:top="1320" w:right="1080" w:bottom="280" w:left="1080" w:header="752" w:footer="0" w:gutter="0"/>
          <w:cols w:space="720"/>
        </w:sectPr>
      </w:pPr>
    </w:p>
    <w:p w14:paraId="7B540C3F" w14:textId="77777777" w:rsidR="00704B93" w:rsidRDefault="00704B93" w:rsidP="008A3FD2">
      <w:pPr>
        <w:pStyle w:val="Heading1"/>
        <w:numPr>
          <w:ilvl w:val="1"/>
          <w:numId w:val="13"/>
        </w:numPr>
        <w:tabs>
          <w:tab w:val="left" w:pos="718"/>
        </w:tabs>
        <w:spacing w:before="100"/>
        <w:jc w:val="both"/>
      </w:pPr>
      <w:r>
        <w:lastRenderedPageBreak/>
        <w:t>SUB-ACUTE</w:t>
      </w:r>
      <w:r>
        <w:rPr>
          <w:spacing w:val="-17"/>
        </w:rPr>
        <w:t xml:space="preserve"> </w:t>
      </w:r>
      <w:r>
        <w:t>TOXICITY</w:t>
      </w:r>
      <w:r>
        <w:rPr>
          <w:spacing w:val="-14"/>
        </w:rPr>
        <w:t xml:space="preserve"> </w:t>
      </w:r>
      <w:r>
        <w:rPr>
          <w:spacing w:val="-2"/>
        </w:rPr>
        <w:t>ASSESSMENT</w:t>
      </w:r>
    </w:p>
    <w:p w14:paraId="6266BB08" w14:textId="77777777" w:rsidR="00704B93" w:rsidRDefault="00704B93" w:rsidP="008A3FD2">
      <w:pPr>
        <w:pStyle w:val="BodyText"/>
        <w:jc w:val="both"/>
        <w:rPr>
          <w:b/>
        </w:rPr>
      </w:pPr>
    </w:p>
    <w:p w14:paraId="1A21FC59" w14:textId="77777777" w:rsidR="00704B93" w:rsidRDefault="00704B93" w:rsidP="008A3FD2">
      <w:pPr>
        <w:pStyle w:val="BodyText"/>
        <w:spacing w:line="480" w:lineRule="auto"/>
        <w:ind w:left="360" w:right="362"/>
        <w:jc w:val="both"/>
      </w:pPr>
      <w:r>
        <w:t>The results</w:t>
      </w:r>
      <w:r>
        <w:rPr>
          <w:spacing w:val="-1"/>
        </w:rPr>
        <w:t xml:space="preserve"> </w:t>
      </w:r>
      <w:r>
        <w:t>of the</w:t>
      </w:r>
      <w:r>
        <w:rPr>
          <w:spacing w:val="-4"/>
        </w:rPr>
        <w:t xml:space="preserve"> </w:t>
      </w:r>
      <w:r>
        <w:t xml:space="preserve">subacute administration of </w:t>
      </w:r>
      <w:r>
        <w:rPr>
          <w:i/>
        </w:rPr>
        <w:t>Azanza</w:t>
      </w:r>
      <w:r>
        <w:rPr>
          <w:i/>
          <w:spacing w:val="-1"/>
        </w:rPr>
        <w:t xml:space="preserve"> </w:t>
      </w:r>
      <w:r>
        <w:rPr>
          <w:i/>
        </w:rPr>
        <w:t xml:space="preserve">garckeana </w:t>
      </w:r>
      <w:r>
        <w:t>extract to</w:t>
      </w:r>
      <w:r>
        <w:rPr>
          <w:spacing w:val="-1"/>
        </w:rPr>
        <w:t xml:space="preserve"> </w:t>
      </w:r>
      <w:r>
        <w:t>six</w:t>
      </w:r>
      <w:r>
        <w:rPr>
          <w:spacing w:val="-1"/>
        </w:rPr>
        <w:t xml:space="preserve"> </w:t>
      </w:r>
      <w:r>
        <w:t>(6)</w:t>
      </w:r>
      <w:r>
        <w:rPr>
          <w:spacing w:val="-1"/>
        </w:rPr>
        <w:t xml:space="preserve"> </w:t>
      </w:r>
      <w:r>
        <w:t xml:space="preserve">different groups of animals for twenty-one (21) days on weight, </w:t>
      </w:r>
      <w:r>
        <w:rPr>
          <w:highlight w:val="yellow"/>
        </w:rPr>
        <w:t>t</w:t>
      </w:r>
      <w:r>
        <w:t>otal protein, albumin, urea, creatinine</w:t>
      </w:r>
      <w:r>
        <w:rPr>
          <w:highlight w:val="yellow"/>
        </w:rPr>
        <w:t>,</w:t>
      </w:r>
      <w:r>
        <w:t xml:space="preserve"> ALT</w:t>
      </w:r>
      <w:r>
        <w:rPr>
          <w:highlight w:val="yellow"/>
        </w:rPr>
        <w:t xml:space="preserve"> </w:t>
      </w:r>
      <w:r>
        <w:t>(GPT), AST (GOT) and ALP indicated</w:t>
      </w:r>
      <w:r>
        <w:rPr>
          <w:highlight w:val="yellow"/>
        </w:rPr>
        <w:t xml:space="preserve"> a</w:t>
      </w:r>
      <w:r>
        <w:t xml:space="preserve"> final weight</w:t>
      </w:r>
      <w:r>
        <w:rPr>
          <w:spacing w:val="-4"/>
        </w:rPr>
        <w:t xml:space="preserve"> </w:t>
      </w:r>
      <w:r>
        <w:t>lower than the corresponding initial weight</w:t>
      </w:r>
      <w:r>
        <w:rPr>
          <w:highlight w:val="yellow"/>
        </w:rPr>
        <w:t>,</w:t>
      </w:r>
      <w:r>
        <w:t xml:space="preserve"> except</w:t>
      </w:r>
      <w:r>
        <w:rPr>
          <w:highlight w:val="yellow"/>
        </w:rPr>
        <w:t xml:space="preserve"> in</w:t>
      </w:r>
      <w:r>
        <w:t xml:space="preserve"> the group treated with AFEAG 10mg/kg. </w:t>
      </w:r>
      <w:r>
        <w:rPr>
          <w:highlight w:val="yellow"/>
        </w:rPr>
        <w:t>Thus</w:t>
      </w:r>
      <w:r>
        <w:t>, the plant extract used at a dose</w:t>
      </w:r>
      <w:r>
        <w:rPr>
          <w:spacing w:val="40"/>
        </w:rPr>
        <w:t xml:space="preserve"> </w:t>
      </w:r>
      <w:r>
        <w:t>higher than 10 mg/kg caused weight</w:t>
      </w:r>
      <w:r>
        <w:rPr>
          <w:highlight w:val="yellow"/>
        </w:rPr>
        <w:t xml:space="preserve"> loss</w:t>
      </w:r>
      <w:r>
        <w:t>.</w:t>
      </w:r>
    </w:p>
    <w:p w14:paraId="24DA9F07" w14:textId="77777777" w:rsidR="00704B93" w:rsidRDefault="00704B93" w:rsidP="008A3FD2">
      <w:pPr>
        <w:pStyle w:val="BodyText"/>
        <w:spacing w:line="480" w:lineRule="auto"/>
        <w:ind w:left="360" w:right="369"/>
        <w:jc w:val="both"/>
      </w:pPr>
      <w:r>
        <w:t>For total protein, albumin, urea, creatinine and ALAT (GPT), Table 3 revealed no significant difference</w:t>
      </w:r>
      <w:r>
        <w:rPr>
          <w:highlight w:val="yellow"/>
        </w:rPr>
        <w:t>s</w:t>
      </w:r>
      <w:r>
        <w:t xml:space="preserve"> </w:t>
      </w:r>
      <w:r>
        <w:rPr>
          <w:highlight w:val="yellow"/>
        </w:rPr>
        <w:t>in</w:t>
      </w:r>
      <w:r>
        <w:t xml:space="preserve"> level</w:t>
      </w:r>
      <w:r>
        <w:rPr>
          <w:highlight w:val="yellow"/>
        </w:rPr>
        <w:t>s</w:t>
      </w:r>
      <w:r>
        <w:t xml:space="preserve"> between the groups treated with AFEAG at 100, 1000, 1600, 2900 and 5000 mg/kg a</w:t>
      </w:r>
      <w:r>
        <w:rPr>
          <w:highlight w:val="yellow"/>
        </w:rPr>
        <w:t>n</w:t>
      </w:r>
      <w:r>
        <w:t>d th</w:t>
      </w:r>
      <w:r>
        <w:rPr>
          <w:highlight w:val="yellow"/>
        </w:rPr>
        <w:t>e</w:t>
      </w:r>
      <w:r>
        <w:t xml:space="preserve"> corresponding group </w:t>
      </w:r>
      <w:r>
        <w:rPr>
          <w:highlight w:val="yellow"/>
        </w:rPr>
        <w:t>treated with</w:t>
      </w:r>
      <w:r>
        <w:t xml:space="preserve"> AFEAG 10 mg/kg.</w:t>
      </w:r>
    </w:p>
    <w:p w14:paraId="721387F6" w14:textId="77777777" w:rsidR="00704B93" w:rsidRDefault="00704B93" w:rsidP="008A3FD2">
      <w:pPr>
        <w:pStyle w:val="BodyText"/>
        <w:spacing w:line="480" w:lineRule="auto"/>
        <w:ind w:left="360" w:right="368"/>
        <w:jc w:val="both"/>
      </w:pPr>
      <w:r>
        <w:t>For AST (GOT)</w:t>
      </w:r>
      <w:r>
        <w:rPr>
          <w:highlight w:val="yellow"/>
        </w:rPr>
        <w:t>,</w:t>
      </w:r>
      <w:r>
        <w:t xml:space="preserve"> </w:t>
      </w:r>
      <w:r>
        <w:rPr>
          <w:highlight w:val="yellow"/>
        </w:rPr>
        <w:t>a</w:t>
      </w:r>
      <w:r>
        <w:t xml:space="preserve"> significant difference </w:t>
      </w:r>
      <w:r>
        <w:rPr>
          <w:highlight w:val="yellow"/>
        </w:rPr>
        <w:t>in</w:t>
      </w:r>
      <w:r>
        <w:t xml:space="preserve"> activity was found only </w:t>
      </w:r>
      <w:r>
        <w:rPr>
          <w:highlight w:val="yellow"/>
        </w:rPr>
        <w:t>a</w:t>
      </w:r>
      <w:r>
        <w:t>t 2900 and 5000 mg/kg relative</w:t>
      </w:r>
      <w:r>
        <w:rPr>
          <w:spacing w:val="-2"/>
        </w:rPr>
        <w:t xml:space="preserve"> </w:t>
      </w:r>
      <w:r>
        <w:rPr>
          <w:highlight w:val="yellow"/>
        </w:rPr>
        <w:t xml:space="preserve">to the </w:t>
      </w:r>
      <w:r>
        <w:t>corresponding AFEAG 10 mg/kg</w:t>
      </w:r>
      <w:r>
        <w:rPr>
          <w:highlight w:val="yellow"/>
        </w:rPr>
        <w:t xml:space="preserve"> group</w:t>
      </w:r>
      <w:r>
        <w:t>. The difference</w:t>
      </w:r>
      <w:r>
        <w:rPr>
          <w:spacing w:val="-2"/>
          <w:highlight w:val="yellow"/>
        </w:rPr>
        <w:t xml:space="preserve"> in alkaline phosphatase activity</w:t>
      </w:r>
      <w:r>
        <w:rPr>
          <w:spacing w:val="-2"/>
        </w:rPr>
        <w:t xml:space="preserve"> </w:t>
      </w:r>
      <w:r>
        <w:t>was highly significant at</w:t>
      </w:r>
      <w:r>
        <w:rPr>
          <w:spacing w:val="-2"/>
        </w:rPr>
        <w:t xml:space="preserve"> </w:t>
      </w:r>
      <w:r>
        <w:t>p-value &lt; .05 for</w:t>
      </w:r>
      <w:r>
        <w:rPr>
          <w:highlight w:val="yellow"/>
        </w:rPr>
        <w:t xml:space="preserve"> the</w:t>
      </w:r>
      <w:r>
        <w:t xml:space="preserve"> 100, 1000, 2900 and 5000mg/kg groups compared with </w:t>
      </w:r>
      <w:r>
        <w:rPr>
          <w:highlight w:val="yellow"/>
        </w:rPr>
        <w:t xml:space="preserve">the </w:t>
      </w:r>
      <w:r>
        <w:t>corresponding AFEAG 10 mg/kg</w:t>
      </w:r>
      <w:r>
        <w:rPr>
          <w:highlight w:val="yellow"/>
        </w:rPr>
        <w:t xml:space="preserve"> group</w:t>
      </w:r>
      <w:r>
        <w:t>.</w:t>
      </w:r>
    </w:p>
    <w:p w14:paraId="7253DFF3" w14:textId="77777777" w:rsidR="00704B93" w:rsidRDefault="00704B93" w:rsidP="008A3FD2">
      <w:pPr>
        <w:pStyle w:val="BodyText"/>
        <w:spacing w:line="480" w:lineRule="auto"/>
        <w:ind w:left="360" w:right="366"/>
        <w:jc w:val="both"/>
      </w:pPr>
      <w:r>
        <w:t xml:space="preserve">Therefore, AFEAG was not harmful </w:t>
      </w:r>
      <w:r>
        <w:rPr>
          <w:highlight w:val="yellow"/>
        </w:rPr>
        <w:t>with respect t</w:t>
      </w:r>
      <w:r>
        <w:t>o the biochemical parameters analyse</w:t>
      </w:r>
      <w:r>
        <w:rPr>
          <w:highlight w:val="yellow"/>
        </w:rPr>
        <w:t>d</w:t>
      </w:r>
      <w:r>
        <w:t xml:space="preserve">. These findings showed a decrease </w:t>
      </w:r>
      <w:r>
        <w:rPr>
          <w:highlight w:val="yellow"/>
        </w:rPr>
        <w:t>in</w:t>
      </w:r>
      <w:r>
        <w:t xml:space="preserve"> weight in groups treated with doses higher than 10 mg/kg</w:t>
      </w:r>
      <w:r>
        <w:rPr>
          <w:highlight w:val="yellow"/>
        </w:rPr>
        <w:t>,</w:t>
      </w:r>
      <w:r>
        <w:t xml:space="preserve"> but could also explain the safety of AFEAG </w:t>
      </w:r>
      <w:r>
        <w:rPr>
          <w:highlight w:val="yellow"/>
        </w:rPr>
        <w:t>with respect t</w:t>
      </w:r>
      <w:r>
        <w:t>o biochemical parameters</w:t>
      </w:r>
      <w:r>
        <w:rPr>
          <w:highlight w:val="yellow"/>
        </w:rPr>
        <w:t>,</w:t>
      </w:r>
      <w:r>
        <w:t xml:space="preserve"> </w:t>
      </w:r>
      <w:r>
        <w:rPr>
          <w:highlight w:val="yellow"/>
        </w:rPr>
        <w:t>al</w:t>
      </w:r>
      <w:r>
        <w:t xml:space="preserve">though there was no normal control group. AFEAG 10 mg/kg showed an increase </w:t>
      </w:r>
      <w:r>
        <w:rPr>
          <w:highlight w:val="yellow"/>
        </w:rPr>
        <w:t>in</w:t>
      </w:r>
      <w:r>
        <w:t xml:space="preserve"> body weight</w:t>
      </w:r>
      <w:r>
        <w:rPr>
          <w:highlight w:val="yellow"/>
        </w:rPr>
        <w:t>,</w:t>
      </w:r>
      <w:r>
        <w:t xml:space="preserve"> and this could explain the safety of body weight when this plant is used at small doses.</w:t>
      </w:r>
    </w:p>
    <w:p w14:paraId="16C36996" w14:textId="77777777" w:rsidR="00704B93" w:rsidRDefault="00704B93" w:rsidP="008A3FD2">
      <w:pPr>
        <w:pStyle w:val="BodyText"/>
        <w:spacing w:line="480" w:lineRule="auto"/>
        <w:jc w:val="both"/>
        <w:sectPr w:rsidR="00704B93" w:rsidSect="00704B93">
          <w:pgSz w:w="12240" w:h="15840"/>
          <w:pgMar w:top="1320" w:right="1080" w:bottom="280" w:left="1080" w:header="752" w:footer="0" w:gutter="0"/>
          <w:cols w:space="720"/>
        </w:sectPr>
      </w:pPr>
    </w:p>
    <w:p w14:paraId="61B66027" w14:textId="77777777" w:rsidR="00704B93" w:rsidRDefault="00704B93" w:rsidP="008A3FD2">
      <w:pPr>
        <w:spacing w:before="27"/>
        <w:ind w:right="1"/>
        <w:jc w:val="both"/>
        <w:rPr>
          <w:rFonts w:ascii="Calibri"/>
        </w:rPr>
      </w:pPr>
      <w:r>
        <w:rPr>
          <w:rFonts w:ascii="Calibri"/>
          <w:spacing w:val="-5"/>
        </w:rPr>
        <w:lastRenderedPageBreak/>
        <w:t>74</w:t>
      </w:r>
    </w:p>
    <w:p w14:paraId="2C93AF01" w14:textId="77777777" w:rsidR="00704B93" w:rsidRDefault="00704B93" w:rsidP="008A3FD2">
      <w:pPr>
        <w:pStyle w:val="BodyText"/>
        <w:spacing w:before="170"/>
        <w:jc w:val="both"/>
        <w:rPr>
          <w:rFonts w:ascii="Calibri"/>
        </w:rPr>
      </w:pPr>
    </w:p>
    <w:p w14:paraId="38AD965A" w14:textId="77777777" w:rsidR="00704B93" w:rsidRDefault="00704B93" w:rsidP="008A3FD2">
      <w:pPr>
        <w:pStyle w:val="BodyText"/>
        <w:ind w:left="1080"/>
        <w:jc w:val="both"/>
      </w:pPr>
      <w:r>
        <w:rPr>
          <w:b/>
        </w:rPr>
        <w:t>Table</w:t>
      </w:r>
      <w:r>
        <w:rPr>
          <w:b/>
          <w:spacing w:val="-4"/>
        </w:rPr>
        <w:t xml:space="preserve"> </w:t>
      </w:r>
      <w:r>
        <w:rPr>
          <w:b/>
        </w:rPr>
        <w:t>3:</w:t>
      </w:r>
      <w:r>
        <w:rPr>
          <w:b/>
          <w:spacing w:val="-3"/>
        </w:rPr>
        <w:t xml:space="preserve"> </w:t>
      </w:r>
      <w:r>
        <w:t>Weights</w:t>
      </w:r>
      <w:r>
        <w:rPr>
          <w:spacing w:val="-1"/>
        </w:rPr>
        <w:t xml:space="preserve"> </w:t>
      </w:r>
      <w:r>
        <w:t>and</w:t>
      </w:r>
      <w:r>
        <w:rPr>
          <w:spacing w:val="-1"/>
        </w:rPr>
        <w:t xml:space="preserve"> </w:t>
      </w:r>
      <w:r>
        <w:t>Levels</w:t>
      </w:r>
      <w:r>
        <w:rPr>
          <w:spacing w:val="1"/>
        </w:rPr>
        <w:t xml:space="preserve"> </w:t>
      </w:r>
      <w:r>
        <w:t>of</w:t>
      </w:r>
      <w:r>
        <w:rPr>
          <w:spacing w:val="-1"/>
        </w:rPr>
        <w:t xml:space="preserve"> </w:t>
      </w:r>
      <w:r>
        <w:t xml:space="preserve">Biochemical </w:t>
      </w:r>
      <w:r>
        <w:rPr>
          <w:spacing w:val="-2"/>
        </w:rPr>
        <w:t>Parameters</w:t>
      </w:r>
    </w:p>
    <w:p w14:paraId="766DBE21" w14:textId="77777777" w:rsidR="00704B93" w:rsidRDefault="00704B93" w:rsidP="008A3FD2">
      <w:pPr>
        <w:pStyle w:val="BodyText"/>
        <w:spacing w:before="208"/>
        <w:jc w:val="both"/>
        <w:rPr>
          <w:sz w:val="20"/>
        </w:rPr>
      </w:pPr>
    </w:p>
    <w:tbl>
      <w:tblPr>
        <w:tblW w:w="0" w:type="auto"/>
        <w:tblInd w:w="93" w:type="dxa"/>
        <w:tblLayout w:type="fixed"/>
        <w:tblCellMar>
          <w:left w:w="0" w:type="dxa"/>
          <w:right w:w="0" w:type="dxa"/>
        </w:tblCellMar>
        <w:tblLook w:val="04A0" w:firstRow="1" w:lastRow="0" w:firstColumn="1" w:lastColumn="0" w:noHBand="0" w:noVBand="1"/>
      </w:tblPr>
      <w:tblGrid>
        <w:gridCol w:w="2825"/>
        <w:gridCol w:w="1847"/>
        <w:gridCol w:w="1790"/>
        <w:gridCol w:w="1742"/>
        <w:gridCol w:w="1706"/>
        <w:gridCol w:w="1707"/>
        <w:gridCol w:w="1685"/>
        <w:gridCol w:w="1628"/>
      </w:tblGrid>
      <w:tr w:rsidR="00704B93" w14:paraId="495EE8E7" w14:textId="77777777" w:rsidTr="00912F9D">
        <w:trPr>
          <w:trHeight w:val="551"/>
        </w:trPr>
        <w:tc>
          <w:tcPr>
            <w:tcW w:w="2825" w:type="dxa"/>
            <w:vMerge w:val="restart"/>
            <w:tcBorders>
              <w:top w:val="single" w:sz="4" w:space="0" w:color="000000"/>
              <w:bottom w:val="single" w:sz="4" w:space="0" w:color="000000"/>
              <w:right w:val="single" w:sz="4" w:space="0" w:color="000000"/>
            </w:tcBorders>
          </w:tcPr>
          <w:p w14:paraId="6B23E41C" w14:textId="77777777" w:rsidR="00704B93" w:rsidRDefault="00704B93" w:rsidP="008A3FD2">
            <w:pPr>
              <w:pStyle w:val="TableParagraph"/>
              <w:jc w:val="both"/>
              <w:rPr>
                <w:sz w:val="24"/>
              </w:rPr>
            </w:pPr>
          </w:p>
          <w:p w14:paraId="5AF2E435" w14:textId="77777777" w:rsidR="00704B93" w:rsidRDefault="00704B93" w:rsidP="008A3FD2">
            <w:pPr>
              <w:pStyle w:val="TableParagraph"/>
              <w:spacing w:before="3"/>
              <w:jc w:val="both"/>
              <w:rPr>
                <w:sz w:val="24"/>
              </w:rPr>
            </w:pPr>
          </w:p>
          <w:p w14:paraId="33299D98" w14:textId="77777777" w:rsidR="00704B93" w:rsidRDefault="00704B93" w:rsidP="008A3FD2">
            <w:pPr>
              <w:pStyle w:val="TableParagraph"/>
              <w:ind w:left="124"/>
              <w:jc w:val="both"/>
              <w:rPr>
                <w:b/>
                <w:sz w:val="24"/>
              </w:rPr>
            </w:pPr>
            <w:r>
              <w:rPr>
                <w:b/>
                <w:spacing w:val="-2"/>
                <w:sz w:val="24"/>
              </w:rPr>
              <w:t>PARAMETERS</w:t>
            </w:r>
          </w:p>
        </w:tc>
        <w:tc>
          <w:tcPr>
            <w:tcW w:w="12105" w:type="dxa"/>
            <w:gridSpan w:val="7"/>
            <w:tcBorders>
              <w:top w:val="single" w:sz="4" w:space="0" w:color="000000"/>
              <w:left w:val="single" w:sz="4" w:space="0" w:color="000000"/>
              <w:bottom w:val="single" w:sz="4" w:space="0" w:color="000000"/>
            </w:tcBorders>
          </w:tcPr>
          <w:p w14:paraId="5E8FAFFA" w14:textId="77777777" w:rsidR="00704B93" w:rsidRDefault="00704B93" w:rsidP="008A3FD2">
            <w:pPr>
              <w:pStyle w:val="TableParagraph"/>
              <w:spacing w:line="275" w:lineRule="exact"/>
              <w:ind w:left="2052"/>
              <w:jc w:val="both"/>
              <w:rPr>
                <w:b/>
                <w:sz w:val="24"/>
              </w:rPr>
            </w:pPr>
            <w:r>
              <w:rPr>
                <w:b/>
                <w:sz w:val="24"/>
              </w:rPr>
              <w:t>PLANT</w:t>
            </w:r>
            <w:r>
              <w:rPr>
                <w:b/>
                <w:spacing w:val="-6"/>
                <w:sz w:val="24"/>
              </w:rPr>
              <w:t xml:space="preserve"> </w:t>
            </w:r>
            <w:r>
              <w:rPr>
                <w:b/>
                <w:spacing w:val="-2"/>
                <w:sz w:val="24"/>
              </w:rPr>
              <w:t>EXTRACT</w:t>
            </w:r>
          </w:p>
        </w:tc>
      </w:tr>
      <w:tr w:rsidR="00704B93" w14:paraId="1BE23971" w14:textId="77777777" w:rsidTr="00912F9D">
        <w:trPr>
          <w:trHeight w:val="1103"/>
        </w:trPr>
        <w:tc>
          <w:tcPr>
            <w:tcW w:w="2825" w:type="dxa"/>
            <w:vMerge/>
            <w:tcBorders>
              <w:top w:val="nil"/>
              <w:bottom w:val="single" w:sz="4" w:space="0" w:color="000000"/>
              <w:right w:val="single" w:sz="4" w:space="0" w:color="000000"/>
            </w:tcBorders>
          </w:tcPr>
          <w:p w14:paraId="5919D303" w14:textId="77777777" w:rsidR="00704B93" w:rsidRDefault="00704B93" w:rsidP="008A3FD2">
            <w:pPr>
              <w:jc w:val="both"/>
              <w:rPr>
                <w:sz w:val="2"/>
                <w:szCs w:val="2"/>
              </w:rPr>
            </w:pPr>
          </w:p>
        </w:tc>
        <w:tc>
          <w:tcPr>
            <w:tcW w:w="1847" w:type="dxa"/>
            <w:tcBorders>
              <w:top w:val="single" w:sz="4" w:space="0" w:color="000000"/>
              <w:left w:val="single" w:sz="4" w:space="0" w:color="000000"/>
              <w:bottom w:val="single" w:sz="4" w:space="0" w:color="000000"/>
            </w:tcBorders>
          </w:tcPr>
          <w:p w14:paraId="4EC105E9" w14:textId="77777777" w:rsidR="00704B93" w:rsidRDefault="00704B93" w:rsidP="008A3FD2">
            <w:pPr>
              <w:pStyle w:val="TableParagraph"/>
              <w:spacing w:line="275" w:lineRule="exact"/>
              <w:ind w:left="100"/>
              <w:jc w:val="both"/>
              <w:rPr>
                <w:sz w:val="24"/>
              </w:rPr>
            </w:pPr>
            <w:r>
              <w:rPr>
                <w:noProof/>
                <w:sz w:val="24"/>
              </w:rPr>
              <mc:AlternateContent>
                <mc:Choice Requires="wpg">
                  <w:drawing>
                    <wp:anchor distT="0" distB="0" distL="0" distR="0" simplePos="0" relativeHeight="251660288" behindDoc="1" locked="0" layoutInCell="1" allowOverlap="1" wp14:anchorId="37196EF0" wp14:editId="65C1B63E">
                      <wp:simplePos x="0" y="0"/>
                      <wp:positionH relativeFrom="column">
                        <wp:posOffset>66675</wp:posOffset>
                      </wp:positionH>
                      <wp:positionV relativeFrom="paragraph">
                        <wp:posOffset>158115</wp:posOffset>
                      </wp:positionV>
                      <wp:extent cx="969645" cy="7620"/>
                      <wp:effectExtent l="0" t="0" r="0" b="0"/>
                      <wp:wrapNone/>
                      <wp:docPr id="22" name="Group 22"/>
                      <wp:cNvGraphicFramePr/>
                      <a:graphic xmlns:a="http://schemas.openxmlformats.org/drawingml/2006/main">
                        <a:graphicData uri="http://schemas.microsoft.com/office/word/2010/wordprocessingGroup">
                          <wpg:wgp>
                            <wpg:cNvGrpSpPr/>
                            <wpg:grpSpPr>
                              <a:xfrm>
                                <a:off x="0" y="0"/>
                                <a:ext cx="969644" cy="7620"/>
                                <a:chOff x="0" y="0"/>
                                <a:chExt cx="969644" cy="7620"/>
                              </a:xfrm>
                            </wpg:grpSpPr>
                            <wps:wsp>
                              <wps:cNvPr id="23" name="Graphic 23"/>
                              <wps:cNvSpPr/>
                              <wps:spPr>
                                <a:xfrm>
                                  <a:off x="0" y="0"/>
                                  <a:ext cx="969644" cy="7620"/>
                                </a:xfrm>
                                <a:custGeom>
                                  <a:avLst/>
                                  <a:gdLst/>
                                  <a:ahLst/>
                                  <a:cxnLst/>
                                  <a:rect l="l" t="t" r="r" b="b"/>
                                  <a:pathLst>
                                    <a:path w="969644" h="7620">
                                      <a:moveTo>
                                        <a:pt x="969263" y="7619"/>
                                      </a:moveTo>
                                      <a:lnTo>
                                        <a:pt x="0" y="7619"/>
                                      </a:lnTo>
                                      <a:lnTo>
                                        <a:pt x="0" y="0"/>
                                      </a:lnTo>
                                      <a:lnTo>
                                        <a:pt x="969263" y="0"/>
                                      </a:lnTo>
                                      <a:lnTo>
                                        <a:pt x="969263" y="7619"/>
                                      </a:lnTo>
                                      <a:close/>
                                    </a:path>
                                  </a:pathLst>
                                </a:custGeom>
                                <a:solidFill>
                                  <a:srgbClr val="FFFFFF"/>
                                </a:solidFill>
                              </wps:spPr>
                              <wps:bodyPr wrap="square" lIns="0" tIns="0" rIns="0" bIns="0" rtlCol="0">
                                <a:noAutofit/>
                              </wps:bodyPr>
                            </wps:wsp>
                          </wpg:wgp>
                        </a:graphicData>
                      </a:graphic>
                    </wp:anchor>
                  </w:drawing>
                </mc:Choice>
                <mc:Fallback>
                  <w:pict>
                    <v:group w14:anchorId="3F0A7E37" id="Group 22" o:spid="_x0000_s1026" style="position:absolute;margin-left:5.25pt;margin-top:12.45pt;width:76.35pt;height:.6pt;z-index:-251656192;mso-wrap-distance-left:0;mso-wrap-distance-right:0" coordsize="969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">
                      <v:shape id="Graphic 23" o:spid="_x0000_s1027" style="position:absolute;width:9696;height:76;visibility:visible;mso-wrap-style:square;v-text-anchor:top" coordsize="96964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" path="m969263,7619l,7619,,,969263,r,7619xe" stroked="f">
                        <v:path arrowok="t"/>
                      </v:shape>
                    </v:group>
                  </w:pict>
                </mc:Fallback>
              </mc:AlternateContent>
            </w:r>
            <w:r>
              <w:rPr>
                <w:sz w:val="24"/>
              </w:rPr>
              <w:t>Normal</w:t>
            </w:r>
            <w:r>
              <w:rPr>
                <w:spacing w:val="-2"/>
                <w:sz w:val="24"/>
              </w:rPr>
              <w:t xml:space="preserve"> Control</w:t>
            </w:r>
          </w:p>
        </w:tc>
        <w:tc>
          <w:tcPr>
            <w:tcW w:w="1790" w:type="dxa"/>
            <w:tcBorders>
              <w:top w:val="single" w:sz="4" w:space="0" w:color="000000"/>
              <w:bottom w:val="single" w:sz="4" w:space="0" w:color="000000"/>
            </w:tcBorders>
          </w:tcPr>
          <w:p w14:paraId="5E0CA418" w14:textId="77777777" w:rsidR="00704B93" w:rsidRDefault="00704B93" w:rsidP="008A3FD2">
            <w:pPr>
              <w:pStyle w:val="TableParagraph"/>
              <w:spacing w:line="275" w:lineRule="exact"/>
              <w:ind w:left="211"/>
              <w:jc w:val="both"/>
              <w:rPr>
                <w:b/>
                <w:sz w:val="24"/>
              </w:rPr>
            </w:pPr>
            <w:r>
              <w:rPr>
                <w:b/>
                <w:spacing w:val="-2"/>
                <w:sz w:val="24"/>
              </w:rPr>
              <w:t>AFEAG</w:t>
            </w:r>
          </w:p>
          <w:p w14:paraId="26000E81" w14:textId="77777777" w:rsidR="00704B93" w:rsidRDefault="00704B93" w:rsidP="008A3FD2">
            <w:pPr>
              <w:pStyle w:val="TableParagraph"/>
              <w:jc w:val="both"/>
              <w:rPr>
                <w:sz w:val="24"/>
              </w:rPr>
            </w:pPr>
          </w:p>
          <w:p w14:paraId="6B391FE9" w14:textId="77777777" w:rsidR="00704B93" w:rsidRDefault="00704B93" w:rsidP="008A3FD2">
            <w:pPr>
              <w:pStyle w:val="TableParagraph"/>
              <w:ind w:left="211"/>
              <w:jc w:val="both"/>
              <w:rPr>
                <w:b/>
                <w:sz w:val="24"/>
              </w:rPr>
            </w:pPr>
            <w:r>
              <w:rPr>
                <w:b/>
                <w:spacing w:val="-2"/>
                <w:sz w:val="24"/>
              </w:rPr>
              <w:t>10mg/kg</w:t>
            </w:r>
          </w:p>
        </w:tc>
        <w:tc>
          <w:tcPr>
            <w:tcW w:w="1742" w:type="dxa"/>
            <w:tcBorders>
              <w:top w:val="single" w:sz="4" w:space="0" w:color="000000"/>
              <w:bottom w:val="single" w:sz="4" w:space="0" w:color="000000"/>
            </w:tcBorders>
          </w:tcPr>
          <w:p w14:paraId="098A1E91" w14:textId="77777777" w:rsidR="00704B93" w:rsidRDefault="00704B93" w:rsidP="008A3FD2">
            <w:pPr>
              <w:pStyle w:val="TableParagraph"/>
              <w:spacing w:line="275" w:lineRule="exact"/>
              <w:ind w:left="174"/>
              <w:jc w:val="both"/>
              <w:rPr>
                <w:b/>
                <w:sz w:val="24"/>
              </w:rPr>
            </w:pPr>
            <w:r>
              <w:rPr>
                <w:b/>
                <w:spacing w:val="-2"/>
                <w:sz w:val="24"/>
              </w:rPr>
              <w:t>AFEAG</w:t>
            </w:r>
          </w:p>
          <w:p w14:paraId="12C349F7" w14:textId="77777777" w:rsidR="00704B93" w:rsidRDefault="00704B93" w:rsidP="008A3FD2">
            <w:pPr>
              <w:pStyle w:val="TableParagraph"/>
              <w:jc w:val="both"/>
              <w:rPr>
                <w:sz w:val="24"/>
              </w:rPr>
            </w:pPr>
          </w:p>
          <w:p w14:paraId="68F93F6D" w14:textId="77777777" w:rsidR="00704B93" w:rsidRDefault="00704B93" w:rsidP="008A3FD2">
            <w:pPr>
              <w:pStyle w:val="TableParagraph"/>
              <w:ind w:left="174"/>
              <w:jc w:val="both"/>
              <w:rPr>
                <w:b/>
                <w:sz w:val="24"/>
              </w:rPr>
            </w:pPr>
            <w:r>
              <w:rPr>
                <w:b/>
                <w:spacing w:val="-2"/>
                <w:sz w:val="24"/>
              </w:rPr>
              <w:t>100mg/kg</w:t>
            </w:r>
          </w:p>
        </w:tc>
        <w:tc>
          <w:tcPr>
            <w:tcW w:w="1706" w:type="dxa"/>
            <w:tcBorders>
              <w:top w:val="single" w:sz="4" w:space="0" w:color="000000"/>
              <w:bottom w:val="single" w:sz="4" w:space="0" w:color="000000"/>
            </w:tcBorders>
          </w:tcPr>
          <w:p w14:paraId="3D03295E" w14:textId="77777777" w:rsidR="00704B93" w:rsidRDefault="00704B93" w:rsidP="008A3FD2">
            <w:pPr>
              <w:pStyle w:val="TableParagraph"/>
              <w:spacing w:line="275" w:lineRule="exact"/>
              <w:ind w:left="164"/>
              <w:jc w:val="both"/>
              <w:rPr>
                <w:b/>
                <w:sz w:val="24"/>
              </w:rPr>
            </w:pPr>
            <w:r>
              <w:rPr>
                <w:b/>
                <w:spacing w:val="-2"/>
                <w:sz w:val="24"/>
              </w:rPr>
              <w:t>AFEAG</w:t>
            </w:r>
          </w:p>
          <w:p w14:paraId="3D56BCC9" w14:textId="77777777" w:rsidR="00704B93" w:rsidRDefault="00704B93" w:rsidP="008A3FD2">
            <w:pPr>
              <w:pStyle w:val="TableParagraph"/>
              <w:jc w:val="both"/>
              <w:rPr>
                <w:sz w:val="24"/>
              </w:rPr>
            </w:pPr>
          </w:p>
          <w:p w14:paraId="4395495B" w14:textId="77777777" w:rsidR="00704B93" w:rsidRDefault="00704B93" w:rsidP="008A3FD2">
            <w:pPr>
              <w:pStyle w:val="TableParagraph"/>
              <w:ind w:left="164"/>
              <w:jc w:val="both"/>
              <w:rPr>
                <w:b/>
                <w:sz w:val="24"/>
              </w:rPr>
            </w:pPr>
            <w:r>
              <w:rPr>
                <w:b/>
                <w:spacing w:val="-2"/>
                <w:sz w:val="24"/>
              </w:rPr>
              <w:t>1000mg/kg</w:t>
            </w:r>
          </w:p>
        </w:tc>
        <w:tc>
          <w:tcPr>
            <w:tcW w:w="1707" w:type="dxa"/>
            <w:tcBorders>
              <w:top w:val="single" w:sz="4" w:space="0" w:color="000000"/>
              <w:bottom w:val="single" w:sz="4" w:space="0" w:color="000000"/>
            </w:tcBorders>
          </w:tcPr>
          <w:p w14:paraId="512BF5D5" w14:textId="77777777" w:rsidR="00704B93" w:rsidRDefault="00704B93" w:rsidP="008A3FD2">
            <w:pPr>
              <w:pStyle w:val="TableParagraph"/>
              <w:spacing w:line="275" w:lineRule="exact"/>
              <w:ind w:left="129"/>
              <w:jc w:val="both"/>
              <w:rPr>
                <w:b/>
                <w:sz w:val="24"/>
              </w:rPr>
            </w:pPr>
            <w:r>
              <w:rPr>
                <w:b/>
                <w:spacing w:val="-2"/>
                <w:sz w:val="24"/>
              </w:rPr>
              <w:t>AFEAG</w:t>
            </w:r>
          </w:p>
          <w:p w14:paraId="1E82DB0D" w14:textId="77777777" w:rsidR="00704B93" w:rsidRDefault="00704B93" w:rsidP="008A3FD2">
            <w:pPr>
              <w:pStyle w:val="TableParagraph"/>
              <w:jc w:val="both"/>
              <w:rPr>
                <w:sz w:val="24"/>
              </w:rPr>
            </w:pPr>
          </w:p>
          <w:p w14:paraId="1D1A4011" w14:textId="77777777" w:rsidR="00704B93" w:rsidRDefault="00704B93" w:rsidP="008A3FD2">
            <w:pPr>
              <w:pStyle w:val="TableParagraph"/>
              <w:ind w:left="129"/>
              <w:jc w:val="both"/>
              <w:rPr>
                <w:b/>
                <w:sz w:val="24"/>
              </w:rPr>
            </w:pPr>
            <w:r>
              <w:rPr>
                <w:b/>
                <w:spacing w:val="-2"/>
                <w:sz w:val="24"/>
              </w:rPr>
              <w:t>1600mg/kg</w:t>
            </w:r>
          </w:p>
        </w:tc>
        <w:tc>
          <w:tcPr>
            <w:tcW w:w="1685" w:type="dxa"/>
            <w:tcBorders>
              <w:top w:val="single" w:sz="4" w:space="0" w:color="000000"/>
              <w:bottom w:val="single" w:sz="4" w:space="0" w:color="000000"/>
            </w:tcBorders>
          </w:tcPr>
          <w:p w14:paraId="13188473" w14:textId="77777777" w:rsidR="00704B93" w:rsidRDefault="00704B93" w:rsidP="008A3FD2">
            <w:pPr>
              <w:pStyle w:val="TableParagraph"/>
              <w:spacing w:line="275" w:lineRule="exact"/>
              <w:ind w:left="176"/>
              <w:jc w:val="both"/>
              <w:rPr>
                <w:b/>
                <w:sz w:val="24"/>
              </w:rPr>
            </w:pPr>
            <w:r>
              <w:rPr>
                <w:b/>
                <w:spacing w:val="-2"/>
                <w:sz w:val="24"/>
              </w:rPr>
              <w:t>AFEAG</w:t>
            </w:r>
          </w:p>
          <w:p w14:paraId="2E9DF310" w14:textId="77777777" w:rsidR="00704B93" w:rsidRDefault="00704B93" w:rsidP="008A3FD2">
            <w:pPr>
              <w:pStyle w:val="TableParagraph"/>
              <w:jc w:val="both"/>
              <w:rPr>
                <w:sz w:val="24"/>
              </w:rPr>
            </w:pPr>
          </w:p>
          <w:p w14:paraId="7C828AFE" w14:textId="77777777" w:rsidR="00704B93" w:rsidRDefault="00704B93" w:rsidP="008A3FD2">
            <w:pPr>
              <w:pStyle w:val="TableParagraph"/>
              <w:ind w:left="176"/>
              <w:jc w:val="both"/>
              <w:rPr>
                <w:b/>
                <w:sz w:val="24"/>
              </w:rPr>
            </w:pPr>
            <w:r>
              <w:rPr>
                <w:b/>
                <w:spacing w:val="-2"/>
                <w:sz w:val="24"/>
              </w:rPr>
              <w:t>2900mg/kg</w:t>
            </w:r>
          </w:p>
        </w:tc>
        <w:tc>
          <w:tcPr>
            <w:tcW w:w="1628" w:type="dxa"/>
            <w:tcBorders>
              <w:top w:val="single" w:sz="4" w:space="0" w:color="000000"/>
              <w:bottom w:val="single" w:sz="4" w:space="0" w:color="000000"/>
            </w:tcBorders>
          </w:tcPr>
          <w:p w14:paraId="371B3ED7" w14:textId="77777777" w:rsidR="00704B93" w:rsidRDefault="00704B93" w:rsidP="008A3FD2">
            <w:pPr>
              <w:pStyle w:val="TableParagraph"/>
              <w:spacing w:line="275" w:lineRule="exact"/>
              <w:ind w:left="109"/>
              <w:jc w:val="both"/>
              <w:rPr>
                <w:b/>
                <w:sz w:val="24"/>
              </w:rPr>
            </w:pPr>
            <w:r>
              <w:rPr>
                <w:b/>
                <w:spacing w:val="-2"/>
                <w:sz w:val="24"/>
              </w:rPr>
              <w:t>AFEAG</w:t>
            </w:r>
          </w:p>
          <w:p w14:paraId="2B468EA8" w14:textId="77777777" w:rsidR="00704B93" w:rsidRDefault="00704B93" w:rsidP="008A3FD2">
            <w:pPr>
              <w:pStyle w:val="TableParagraph"/>
              <w:jc w:val="both"/>
              <w:rPr>
                <w:sz w:val="24"/>
              </w:rPr>
            </w:pPr>
          </w:p>
          <w:p w14:paraId="4CDB809F" w14:textId="77777777" w:rsidR="00704B93" w:rsidRDefault="00704B93" w:rsidP="008A3FD2">
            <w:pPr>
              <w:pStyle w:val="TableParagraph"/>
              <w:ind w:left="109"/>
              <w:jc w:val="both"/>
              <w:rPr>
                <w:b/>
                <w:sz w:val="24"/>
              </w:rPr>
            </w:pPr>
            <w:r>
              <w:rPr>
                <w:b/>
                <w:spacing w:val="-2"/>
                <w:sz w:val="24"/>
              </w:rPr>
              <w:t>5000mg/kg</w:t>
            </w:r>
          </w:p>
        </w:tc>
      </w:tr>
      <w:tr w:rsidR="00704B93" w14:paraId="3555638F" w14:textId="77777777" w:rsidTr="00912F9D">
        <w:trPr>
          <w:trHeight w:val="417"/>
        </w:trPr>
        <w:tc>
          <w:tcPr>
            <w:tcW w:w="2825" w:type="dxa"/>
            <w:tcBorders>
              <w:top w:val="single" w:sz="4" w:space="0" w:color="000000"/>
              <w:right w:val="single" w:sz="4" w:space="0" w:color="000000"/>
            </w:tcBorders>
          </w:tcPr>
          <w:p w14:paraId="50C26A2F" w14:textId="77777777" w:rsidR="00704B93" w:rsidRDefault="00704B93" w:rsidP="008A3FD2">
            <w:pPr>
              <w:pStyle w:val="TableParagraph"/>
              <w:spacing w:line="275" w:lineRule="exact"/>
              <w:ind w:left="124"/>
              <w:jc w:val="both"/>
              <w:rPr>
                <w:b/>
                <w:sz w:val="24"/>
              </w:rPr>
            </w:pPr>
            <w:r>
              <w:rPr>
                <w:b/>
                <w:sz w:val="24"/>
              </w:rPr>
              <w:t>Initial</w:t>
            </w:r>
            <w:r>
              <w:rPr>
                <w:b/>
                <w:spacing w:val="-15"/>
                <w:sz w:val="24"/>
              </w:rPr>
              <w:t xml:space="preserve"> </w:t>
            </w:r>
            <w:r>
              <w:rPr>
                <w:b/>
                <w:sz w:val="24"/>
              </w:rPr>
              <w:t>Weight</w:t>
            </w:r>
            <w:r>
              <w:rPr>
                <w:b/>
                <w:spacing w:val="-7"/>
                <w:sz w:val="24"/>
              </w:rPr>
              <w:t xml:space="preserve"> </w:t>
            </w:r>
            <w:r>
              <w:rPr>
                <w:b/>
                <w:spacing w:val="-5"/>
                <w:sz w:val="24"/>
              </w:rPr>
              <w:t>(g)</w:t>
            </w:r>
          </w:p>
        </w:tc>
        <w:tc>
          <w:tcPr>
            <w:tcW w:w="1847" w:type="dxa"/>
            <w:tcBorders>
              <w:top w:val="single" w:sz="4" w:space="0" w:color="000000"/>
              <w:left w:val="single" w:sz="4" w:space="0" w:color="000000"/>
            </w:tcBorders>
          </w:tcPr>
          <w:p w14:paraId="4D706783" w14:textId="77777777" w:rsidR="00704B93" w:rsidRDefault="00704B93" w:rsidP="008A3FD2">
            <w:pPr>
              <w:pStyle w:val="TableParagraph"/>
              <w:spacing w:line="275" w:lineRule="exact"/>
              <w:ind w:left="100"/>
              <w:jc w:val="both"/>
              <w:rPr>
                <w:sz w:val="24"/>
              </w:rPr>
            </w:pPr>
            <w:r>
              <w:rPr>
                <w:spacing w:val="-2"/>
                <w:sz w:val="24"/>
              </w:rPr>
              <w:t>189.2±4.65</w:t>
            </w:r>
          </w:p>
        </w:tc>
        <w:tc>
          <w:tcPr>
            <w:tcW w:w="1790" w:type="dxa"/>
            <w:tcBorders>
              <w:top w:val="single" w:sz="4" w:space="0" w:color="000000"/>
            </w:tcBorders>
          </w:tcPr>
          <w:p w14:paraId="6C3FEFA5" w14:textId="77777777" w:rsidR="00704B93" w:rsidRDefault="00704B93" w:rsidP="008A3FD2">
            <w:pPr>
              <w:pStyle w:val="TableParagraph"/>
              <w:spacing w:line="275" w:lineRule="exact"/>
              <w:ind w:left="213"/>
              <w:jc w:val="both"/>
              <w:rPr>
                <w:sz w:val="24"/>
              </w:rPr>
            </w:pPr>
            <w:r>
              <w:rPr>
                <w:spacing w:val="-2"/>
                <w:sz w:val="24"/>
              </w:rPr>
              <w:t>142.07±1.63</w:t>
            </w:r>
          </w:p>
        </w:tc>
        <w:tc>
          <w:tcPr>
            <w:tcW w:w="1742" w:type="dxa"/>
            <w:tcBorders>
              <w:top w:val="single" w:sz="4" w:space="0" w:color="000000"/>
            </w:tcBorders>
          </w:tcPr>
          <w:p w14:paraId="6BD96BB9" w14:textId="77777777" w:rsidR="00704B93" w:rsidRDefault="00704B93" w:rsidP="008A3FD2">
            <w:pPr>
              <w:pStyle w:val="TableParagraph"/>
              <w:spacing w:line="275" w:lineRule="exact"/>
              <w:ind w:left="178"/>
              <w:jc w:val="both"/>
              <w:rPr>
                <w:sz w:val="24"/>
              </w:rPr>
            </w:pPr>
            <w:r>
              <w:rPr>
                <w:spacing w:val="-2"/>
                <w:sz w:val="24"/>
              </w:rPr>
              <w:t>133.80±1.80</w:t>
            </w:r>
          </w:p>
        </w:tc>
        <w:tc>
          <w:tcPr>
            <w:tcW w:w="1706" w:type="dxa"/>
            <w:tcBorders>
              <w:top w:val="single" w:sz="4" w:space="0" w:color="000000"/>
            </w:tcBorders>
          </w:tcPr>
          <w:p w14:paraId="0F068FDF" w14:textId="77777777" w:rsidR="00704B93" w:rsidRDefault="00704B93" w:rsidP="008A3FD2">
            <w:pPr>
              <w:pStyle w:val="TableParagraph"/>
              <w:spacing w:line="275" w:lineRule="exact"/>
              <w:ind w:left="171"/>
              <w:jc w:val="both"/>
              <w:rPr>
                <w:sz w:val="24"/>
              </w:rPr>
            </w:pPr>
            <w:r>
              <w:rPr>
                <w:spacing w:val="-2"/>
                <w:sz w:val="24"/>
              </w:rPr>
              <w:t>150.70±4.70</w:t>
            </w:r>
          </w:p>
        </w:tc>
        <w:tc>
          <w:tcPr>
            <w:tcW w:w="1707" w:type="dxa"/>
            <w:tcBorders>
              <w:top w:val="single" w:sz="4" w:space="0" w:color="000000"/>
            </w:tcBorders>
          </w:tcPr>
          <w:p w14:paraId="09CA14A3" w14:textId="77777777" w:rsidR="00704B93" w:rsidRDefault="00704B93" w:rsidP="008A3FD2">
            <w:pPr>
              <w:pStyle w:val="TableParagraph"/>
              <w:spacing w:line="275" w:lineRule="exact"/>
              <w:ind w:left="136"/>
              <w:jc w:val="both"/>
              <w:rPr>
                <w:sz w:val="24"/>
              </w:rPr>
            </w:pPr>
            <w:r>
              <w:rPr>
                <w:spacing w:val="-2"/>
                <w:sz w:val="24"/>
              </w:rPr>
              <w:t>210.73±9.67</w:t>
            </w:r>
          </w:p>
        </w:tc>
        <w:tc>
          <w:tcPr>
            <w:tcW w:w="1685" w:type="dxa"/>
            <w:tcBorders>
              <w:top w:val="single" w:sz="4" w:space="0" w:color="000000"/>
            </w:tcBorders>
          </w:tcPr>
          <w:p w14:paraId="288674A7" w14:textId="77777777" w:rsidR="00704B93" w:rsidRDefault="00704B93" w:rsidP="008A3FD2">
            <w:pPr>
              <w:pStyle w:val="TableParagraph"/>
              <w:spacing w:line="275" w:lineRule="exact"/>
              <w:ind w:left="187"/>
              <w:jc w:val="both"/>
              <w:rPr>
                <w:sz w:val="24"/>
              </w:rPr>
            </w:pPr>
            <w:r>
              <w:rPr>
                <w:spacing w:val="-2"/>
                <w:sz w:val="24"/>
              </w:rPr>
              <w:t>187.27±2.73</w:t>
            </w:r>
          </w:p>
        </w:tc>
        <w:tc>
          <w:tcPr>
            <w:tcW w:w="1628" w:type="dxa"/>
            <w:tcBorders>
              <w:top w:val="single" w:sz="4" w:space="0" w:color="000000"/>
            </w:tcBorders>
          </w:tcPr>
          <w:p w14:paraId="4935F06D" w14:textId="77777777" w:rsidR="00704B93" w:rsidRDefault="00704B93" w:rsidP="008A3FD2">
            <w:pPr>
              <w:pStyle w:val="TableParagraph"/>
              <w:spacing w:line="275" w:lineRule="exact"/>
              <w:ind w:left="122"/>
              <w:jc w:val="both"/>
              <w:rPr>
                <w:sz w:val="24"/>
              </w:rPr>
            </w:pPr>
            <w:r>
              <w:rPr>
                <w:spacing w:val="-2"/>
                <w:sz w:val="24"/>
              </w:rPr>
              <w:t>196.57±9.43</w:t>
            </w:r>
          </w:p>
        </w:tc>
      </w:tr>
      <w:tr w:rsidR="00704B93" w14:paraId="3B815C83" w14:textId="77777777" w:rsidTr="00912F9D">
        <w:trPr>
          <w:trHeight w:val="551"/>
        </w:trPr>
        <w:tc>
          <w:tcPr>
            <w:tcW w:w="2825" w:type="dxa"/>
            <w:tcBorders>
              <w:right w:val="single" w:sz="4" w:space="0" w:color="000000"/>
            </w:tcBorders>
          </w:tcPr>
          <w:p w14:paraId="27D93640" w14:textId="77777777" w:rsidR="00704B93" w:rsidRDefault="00704B93" w:rsidP="008A3FD2">
            <w:pPr>
              <w:pStyle w:val="TableParagraph"/>
              <w:spacing w:before="133"/>
              <w:ind w:left="124"/>
              <w:jc w:val="both"/>
              <w:rPr>
                <w:b/>
                <w:sz w:val="24"/>
              </w:rPr>
            </w:pPr>
            <w:r>
              <w:rPr>
                <w:b/>
                <w:sz w:val="24"/>
              </w:rPr>
              <w:t>Final</w:t>
            </w:r>
            <w:r>
              <w:rPr>
                <w:b/>
                <w:spacing w:val="-13"/>
                <w:sz w:val="24"/>
              </w:rPr>
              <w:t xml:space="preserve"> </w:t>
            </w:r>
            <w:r>
              <w:rPr>
                <w:b/>
                <w:sz w:val="24"/>
              </w:rPr>
              <w:t>Weight</w:t>
            </w:r>
            <w:r>
              <w:rPr>
                <w:b/>
                <w:spacing w:val="-9"/>
                <w:sz w:val="24"/>
              </w:rPr>
              <w:t xml:space="preserve"> </w:t>
            </w:r>
            <w:r>
              <w:rPr>
                <w:b/>
                <w:spacing w:val="-5"/>
                <w:sz w:val="24"/>
              </w:rPr>
              <w:t>(g)</w:t>
            </w:r>
          </w:p>
        </w:tc>
        <w:tc>
          <w:tcPr>
            <w:tcW w:w="1847" w:type="dxa"/>
            <w:tcBorders>
              <w:left w:val="single" w:sz="4" w:space="0" w:color="000000"/>
            </w:tcBorders>
          </w:tcPr>
          <w:p w14:paraId="5302EBCC" w14:textId="77777777" w:rsidR="00704B93" w:rsidRDefault="00704B93" w:rsidP="008A3FD2">
            <w:pPr>
              <w:pStyle w:val="TableParagraph"/>
              <w:spacing w:before="133"/>
              <w:ind w:left="100"/>
              <w:jc w:val="both"/>
              <w:rPr>
                <w:sz w:val="24"/>
              </w:rPr>
            </w:pPr>
            <w:r>
              <w:rPr>
                <w:spacing w:val="-2"/>
                <w:sz w:val="24"/>
              </w:rPr>
              <w:t>207.8±7.43</w:t>
            </w:r>
          </w:p>
        </w:tc>
        <w:tc>
          <w:tcPr>
            <w:tcW w:w="1790" w:type="dxa"/>
          </w:tcPr>
          <w:p w14:paraId="321CD3F1" w14:textId="77777777" w:rsidR="00704B93" w:rsidRDefault="00704B93" w:rsidP="008A3FD2">
            <w:pPr>
              <w:pStyle w:val="TableParagraph"/>
              <w:spacing w:before="133"/>
              <w:ind w:left="213"/>
              <w:jc w:val="both"/>
              <w:rPr>
                <w:sz w:val="24"/>
              </w:rPr>
            </w:pPr>
            <w:r>
              <w:rPr>
                <w:spacing w:val="-2"/>
                <w:sz w:val="24"/>
              </w:rPr>
              <w:t>147.5±3.17</w:t>
            </w:r>
          </w:p>
        </w:tc>
        <w:tc>
          <w:tcPr>
            <w:tcW w:w="1742" w:type="dxa"/>
          </w:tcPr>
          <w:p w14:paraId="16FB8E6F" w14:textId="77777777" w:rsidR="00704B93" w:rsidRDefault="00704B93" w:rsidP="008A3FD2">
            <w:pPr>
              <w:pStyle w:val="TableParagraph"/>
              <w:spacing w:before="133"/>
              <w:ind w:left="178"/>
              <w:jc w:val="both"/>
              <w:rPr>
                <w:sz w:val="24"/>
              </w:rPr>
            </w:pPr>
            <w:r>
              <w:rPr>
                <w:spacing w:val="-2"/>
                <w:sz w:val="24"/>
              </w:rPr>
              <w:t>133.07±2.47</w:t>
            </w:r>
          </w:p>
        </w:tc>
        <w:tc>
          <w:tcPr>
            <w:tcW w:w="1706" w:type="dxa"/>
          </w:tcPr>
          <w:p w14:paraId="4B93EF8C" w14:textId="77777777" w:rsidR="00704B93" w:rsidRDefault="00704B93" w:rsidP="008A3FD2">
            <w:pPr>
              <w:pStyle w:val="TableParagraph"/>
              <w:spacing w:before="133"/>
              <w:ind w:left="171"/>
              <w:jc w:val="both"/>
              <w:rPr>
                <w:sz w:val="24"/>
              </w:rPr>
            </w:pPr>
            <w:r>
              <w:rPr>
                <w:spacing w:val="-2"/>
                <w:sz w:val="24"/>
              </w:rPr>
              <w:t>145.90±3.60</w:t>
            </w:r>
          </w:p>
        </w:tc>
        <w:tc>
          <w:tcPr>
            <w:tcW w:w="1707" w:type="dxa"/>
          </w:tcPr>
          <w:p w14:paraId="0559A2AF" w14:textId="77777777" w:rsidR="00704B93" w:rsidRDefault="00704B93" w:rsidP="008A3FD2">
            <w:pPr>
              <w:pStyle w:val="TableParagraph"/>
              <w:spacing w:before="133"/>
              <w:ind w:left="137"/>
              <w:jc w:val="both"/>
              <w:rPr>
                <w:sz w:val="24"/>
              </w:rPr>
            </w:pPr>
            <w:r>
              <w:rPr>
                <w:spacing w:val="-2"/>
                <w:sz w:val="24"/>
              </w:rPr>
              <w:t>190.77±0.07</w:t>
            </w:r>
          </w:p>
        </w:tc>
        <w:tc>
          <w:tcPr>
            <w:tcW w:w="1685" w:type="dxa"/>
          </w:tcPr>
          <w:p w14:paraId="5AC2B85D" w14:textId="77777777" w:rsidR="00704B93" w:rsidRDefault="00704B93" w:rsidP="008A3FD2">
            <w:pPr>
              <w:pStyle w:val="TableParagraph"/>
              <w:spacing w:before="133"/>
              <w:ind w:left="187"/>
              <w:jc w:val="both"/>
              <w:rPr>
                <w:sz w:val="24"/>
              </w:rPr>
            </w:pPr>
            <w:r>
              <w:rPr>
                <w:spacing w:val="-2"/>
                <w:sz w:val="24"/>
              </w:rPr>
              <w:t>177.80±6.00</w:t>
            </w:r>
          </w:p>
        </w:tc>
        <w:tc>
          <w:tcPr>
            <w:tcW w:w="1628" w:type="dxa"/>
          </w:tcPr>
          <w:p w14:paraId="7B27A8BD" w14:textId="77777777" w:rsidR="00704B93" w:rsidRDefault="00704B93" w:rsidP="008A3FD2">
            <w:pPr>
              <w:pStyle w:val="TableParagraph"/>
              <w:spacing w:before="133"/>
              <w:ind w:left="122"/>
              <w:jc w:val="both"/>
              <w:rPr>
                <w:sz w:val="24"/>
              </w:rPr>
            </w:pPr>
            <w:r>
              <w:rPr>
                <w:spacing w:val="-2"/>
                <w:sz w:val="24"/>
              </w:rPr>
              <w:t>186.27±12.93</w:t>
            </w:r>
          </w:p>
        </w:tc>
      </w:tr>
      <w:tr w:rsidR="00704B93" w14:paraId="79BA62D7" w14:textId="77777777" w:rsidTr="00912F9D">
        <w:trPr>
          <w:trHeight w:val="552"/>
        </w:trPr>
        <w:tc>
          <w:tcPr>
            <w:tcW w:w="2825" w:type="dxa"/>
            <w:tcBorders>
              <w:right w:val="single" w:sz="4" w:space="0" w:color="000000"/>
            </w:tcBorders>
          </w:tcPr>
          <w:p w14:paraId="6CC6DF2F" w14:textId="77777777" w:rsidR="00704B93" w:rsidRDefault="00704B93" w:rsidP="008A3FD2">
            <w:pPr>
              <w:pStyle w:val="TableParagraph"/>
              <w:spacing w:before="133"/>
              <w:ind w:left="124"/>
              <w:jc w:val="both"/>
              <w:rPr>
                <w:b/>
                <w:sz w:val="24"/>
              </w:rPr>
            </w:pPr>
            <w:r>
              <w:rPr>
                <w:b/>
                <w:spacing w:val="-2"/>
                <w:sz w:val="24"/>
              </w:rPr>
              <w:t>Total</w:t>
            </w:r>
            <w:r>
              <w:rPr>
                <w:b/>
                <w:spacing w:val="-3"/>
                <w:sz w:val="24"/>
              </w:rPr>
              <w:t xml:space="preserve"> </w:t>
            </w:r>
            <w:r>
              <w:rPr>
                <w:b/>
                <w:spacing w:val="-2"/>
                <w:sz w:val="24"/>
              </w:rPr>
              <w:t>Protein</w:t>
            </w:r>
            <w:r>
              <w:rPr>
                <w:b/>
                <w:spacing w:val="-4"/>
                <w:sz w:val="24"/>
              </w:rPr>
              <w:t xml:space="preserve"> </w:t>
            </w:r>
            <w:r>
              <w:rPr>
                <w:b/>
                <w:spacing w:val="-2"/>
                <w:sz w:val="24"/>
              </w:rPr>
              <w:t>(g/L)</w:t>
            </w:r>
          </w:p>
        </w:tc>
        <w:tc>
          <w:tcPr>
            <w:tcW w:w="1847" w:type="dxa"/>
            <w:tcBorders>
              <w:left w:val="single" w:sz="4" w:space="0" w:color="000000"/>
            </w:tcBorders>
          </w:tcPr>
          <w:p w14:paraId="246D06DC" w14:textId="77777777" w:rsidR="00704B93" w:rsidRDefault="00704B93" w:rsidP="008A3FD2">
            <w:pPr>
              <w:pStyle w:val="TableParagraph"/>
              <w:spacing w:before="133"/>
              <w:ind w:left="100"/>
              <w:jc w:val="both"/>
              <w:rPr>
                <w:sz w:val="24"/>
              </w:rPr>
            </w:pPr>
            <w:r>
              <w:rPr>
                <w:spacing w:val="-2"/>
                <w:sz w:val="24"/>
              </w:rPr>
              <w:t>78.67±4.16</w:t>
            </w:r>
          </w:p>
        </w:tc>
        <w:tc>
          <w:tcPr>
            <w:tcW w:w="1790" w:type="dxa"/>
          </w:tcPr>
          <w:p w14:paraId="05ACF846" w14:textId="77777777" w:rsidR="00704B93" w:rsidRDefault="00704B93" w:rsidP="008A3FD2">
            <w:pPr>
              <w:pStyle w:val="TableParagraph"/>
              <w:spacing w:before="133"/>
              <w:ind w:left="213"/>
              <w:jc w:val="both"/>
              <w:rPr>
                <w:sz w:val="24"/>
              </w:rPr>
            </w:pPr>
            <w:r>
              <w:rPr>
                <w:spacing w:val="-2"/>
                <w:sz w:val="24"/>
              </w:rPr>
              <w:t>99.33±0.67</w:t>
            </w:r>
          </w:p>
        </w:tc>
        <w:tc>
          <w:tcPr>
            <w:tcW w:w="1742" w:type="dxa"/>
          </w:tcPr>
          <w:p w14:paraId="57BD3A71" w14:textId="77777777" w:rsidR="00704B93" w:rsidRDefault="00704B93" w:rsidP="008A3FD2">
            <w:pPr>
              <w:pStyle w:val="TableParagraph"/>
              <w:spacing w:before="133"/>
              <w:ind w:left="178"/>
              <w:jc w:val="both"/>
              <w:rPr>
                <w:sz w:val="24"/>
              </w:rPr>
            </w:pPr>
            <w:r>
              <w:rPr>
                <w:spacing w:val="-2"/>
                <w:sz w:val="24"/>
              </w:rPr>
              <w:t>97.33±2.67</w:t>
            </w:r>
          </w:p>
        </w:tc>
        <w:tc>
          <w:tcPr>
            <w:tcW w:w="1706" w:type="dxa"/>
          </w:tcPr>
          <w:p w14:paraId="1177F6EB" w14:textId="77777777" w:rsidR="00704B93" w:rsidRDefault="00704B93" w:rsidP="008A3FD2">
            <w:pPr>
              <w:pStyle w:val="TableParagraph"/>
              <w:spacing w:before="133"/>
              <w:ind w:left="171"/>
              <w:jc w:val="both"/>
              <w:rPr>
                <w:sz w:val="24"/>
              </w:rPr>
            </w:pPr>
            <w:r>
              <w:rPr>
                <w:spacing w:val="-2"/>
                <w:sz w:val="24"/>
              </w:rPr>
              <w:t>90.67±1.33</w:t>
            </w:r>
          </w:p>
        </w:tc>
        <w:tc>
          <w:tcPr>
            <w:tcW w:w="1707" w:type="dxa"/>
          </w:tcPr>
          <w:p w14:paraId="42483E22" w14:textId="77777777" w:rsidR="00704B93" w:rsidRDefault="00704B93" w:rsidP="008A3FD2">
            <w:pPr>
              <w:pStyle w:val="TableParagraph"/>
              <w:spacing w:before="133"/>
              <w:ind w:left="136"/>
              <w:jc w:val="both"/>
              <w:rPr>
                <w:sz w:val="24"/>
              </w:rPr>
            </w:pPr>
            <w:r>
              <w:rPr>
                <w:spacing w:val="-2"/>
                <w:sz w:val="24"/>
              </w:rPr>
              <w:t>90.67±5.67</w:t>
            </w:r>
          </w:p>
        </w:tc>
        <w:tc>
          <w:tcPr>
            <w:tcW w:w="1685" w:type="dxa"/>
          </w:tcPr>
          <w:p w14:paraId="688470FF" w14:textId="77777777" w:rsidR="00704B93" w:rsidRDefault="00704B93" w:rsidP="008A3FD2">
            <w:pPr>
              <w:pStyle w:val="TableParagraph"/>
              <w:spacing w:before="133"/>
              <w:ind w:left="187"/>
              <w:jc w:val="both"/>
              <w:rPr>
                <w:sz w:val="24"/>
              </w:rPr>
            </w:pPr>
            <w:r>
              <w:rPr>
                <w:spacing w:val="-2"/>
                <w:sz w:val="24"/>
              </w:rPr>
              <w:t>91.33±0.67</w:t>
            </w:r>
          </w:p>
        </w:tc>
        <w:tc>
          <w:tcPr>
            <w:tcW w:w="1628" w:type="dxa"/>
          </w:tcPr>
          <w:p w14:paraId="3BEFCDE3" w14:textId="77777777" w:rsidR="00704B93" w:rsidRDefault="00704B93" w:rsidP="008A3FD2">
            <w:pPr>
              <w:pStyle w:val="TableParagraph"/>
              <w:spacing w:before="133"/>
              <w:ind w:left="120"/>
              <w:jc w:val="both"/>
              <w:rPr>
                <w:sz w:val="24"/>
              </w:rPr>
            </w:pPr>
            <w:r>
              <w:rPr>
                <w:spacing w:val="-2"/>
                <w:sz w:val="24"/>
              </w:rPr>
              <w:t>90.67±5.33</w:t>
            </w:r>
          </w:p>
        </w:tc>
      </w:tr>
      <w:tr w:rsidR="00704B93" w14:paraId="307F4A0A" w14:textId="77777777" w:rsidTr="00912F9D">
        <w:trPr>
          <w:trHeight w:val="551"/>
        </w:trPr>
        <w:tc>
          <w:tcPr>
            <w:tcW w:w="2825" w:type="dxa"/>
            <w:tcBorders>
              <w:right w:val="single" w:sz="4" w:space="0" w:color="000000"/>
            </w:tcBorders>
          </w:tcPr>
          <w:p w14:paraId="7E6EC917" w14:textId="77777777" w:rsidR="00704B93" w:rsidRDefault="00704B93" w:rsidP="008A3FD2">
            <w:pPr>
              <w:pStyle w:val="TableParagraph"/>
              <w:spacing w:before="133"/>
              <w:ind w:left="124"/>
              <w:jc w:val="both"/>
              <w:rPr>
                <w:b/>
                <w:sz w:val="24"/>
              </w:rPr>
            </w:pPr>
            <w:r>
              <w:rPr>
                <w:b/>
                <w:sz w:val="24"/>
              </w:rPr>
              <w:t>Albumin</w:t>
            </w:r>
            <w:r>
              <w:rPr>
                <w:b/>
                <w:spacing w:val="1"/>
                <w:sz w:val="24"/>
              </w:rPr>
              <w:t xml:space="preserve"> </w:t>
            </w:r>
            <w:r>
              <w:rPr>
                <w:b/>
                <w:spacing w:val="-2"/>
                <w:sz w:val="24"/>
              </w:rPr>
              <w:t>(g/L)</w:t>
            </w:r>
          </w:p>
        </w:tc>
        <w:tc>
          <w:tcPr>
            <w:tcW w:w="1847" w:type="dxa"/>
            <w:tcBorders>
              <w:left w:val="single" w:sz="4" w:space="0" w:color="000000"/>
            </w:tcBorders>
          </w:tcPr>
          <w:p w14:paraId="7B256246" w14:textId="77777777" w:rsidR="00704B93" w:rsidRDefault="00704B93" w:rsidP="008A3FD2">
            <w:pPr>
              <w:pStyle w:val="TableParagraph"/>
              <w:spacing w:before="133"/>
              <w:ind w:left="100"/>
              <w:jc w:val="both"/>
              <w:rPr>
                <w:sz w:val="24"/>
              </w:rPr>
            </w:pPr>
            <w:r>
              <w:rPr>
                <w:spacing w:val="-2"/>
                <w:sz w:val="24"/>
              </w:rPr>
              <w:t>47.33±5.03</w:t>
            </w:r>
          </w:p>
        </w:tc>
        <w:tc>
          <w:tcPr>
            <w:tcW w:w="1790" w:type="dxa"/>
          </w:tcPr>
          <w:p w14:paraId="64381F6C" w14:textId="77777777" w:rsidR="00704B93" w:rsidRDefault="00704B93" w:rsidP="008A3FD2">
            <w:pPr>
              <w:pStyle w:val="TableParagraph"/>
              <w:spacing w:before="133"/>
              <w:ind w:left="213"/>
              <w:jc w:val="both"/>
              <w:rPr>
                <w:sz w:val="24"/>
              </w:rPr>
            </w:pPr>
            <w:r>
              <w:rPr>
                <w:spacing w:val="-2"/>
                <w:sz w:val="24"/>
              </w:rPr>
              <w:t>48.33±1.67</w:t>
            </w:r>
          </w:p>
        </w:tc>
        <w:tc>
          <w:tcPr>
            <w:tcW w:w="1742" w:type="dxa"/>
          </w:tcPr>
          <w:p w14:paraId="581A6626" w14:textId="77777777" w:rsidR="00704B93" w:rsidRDefault="00704B93" w:rsidP="008A3FD2">
            <w:pPr>
              <w:pStyle w:val="TableParagraph"/>
              <w:spacing w:before="133"/>
              <w:ind w:left="178"/>
              <w:jc w:val="both"/>
              <w:rPr>
                <w:sz w:val="24"/>
              </w:rPr>
            </w:pPr>
            <w:r>
              <w:rPr>
                <w:spacing w:val="-2"/>
                <w:sz w:val="24"/>
              </w:rPr>
              <w:t>51.67±1.67</w:t>
            </w:r>
          </w:p>
        </w:tc>
        <w:tc>
          <w:tcPr>
            <w:tcW w:w="1706" w:type="dxa"/>
          </w:tcPr>
          <w:p w14:paraId="07CD9993" w14:textId="77777777" w:rsidR="00704B93" w:rsidRDefault="00704B93" w:rsidP="008A3FD2">
            <w:pPr>
              <w:pStyle w:val="TableParagraph"/>
              <w:spacing w:before="133"/>
              <w:ind w:left="171"/>
              <w:jc w:val="both"/>
              <w:rPr>
                <w:sz w:val="24"/>
              </w:rPr>
            </w:pPr>
            <w:r>
              <w:rPr>
                <w:spacing w:val="-2"/>
                <w:sz w:val="24"/>
              </w:rPr>
              <w:t>41.67±0.33</w:t>
            </w:r>
          </w:p>
        </w:tc>
        <w:tc>
          <w:tcPr>
            <w:tcW w:w="1707" w:type="dxa"/>
          </w:tcPr>
          <w:p w14:paraId="758940BD" w14:textId="77777777" w:rsidR="00704B93" w:rsidRDefault="00704B93" w:rsidP="008A3FD2">
            <w:pPr>
              <w:pStyle w:val="TableParagraph"/>
              <w:spacing w:before="133"/>
              <w:ind w:left="136"/>
              <w:jc w:val="both"/>
              <w:rPr>
                <w:sz w:val="24"/>
              </w:rPr>
            </w:pPr>
            <w:r>
              <w:rPr>
                <w:spacing w:val="-2"/>
                <w:sz w:val="24"/>
              </w:rPr>
              <w:t>52.67±1.33</w:t>
            </w:r>
          </w:p>
        </w:tc>
        <w:tc>
          <w:tcPr>
            <w:tcW w:w="1685" w:type="dxa"/>
          </w:tcPr>
          <w:p w14:paraId="2D859689" w14:textId="77777777" w:rsidR="00704B93" w:rsidRDefault="00704B93" w:rsidP="008A3FD2">
            <w:pPr>
              <w:pStyle w:val="TableParagraph"/>
              <w:spacing w:before="133"/>
              <w:ind w:left="187"/>
              <w:jc w:val="both"/>
              <w:rPr>
                <w:sz w:val="24"/>
              </w:rPr>
            </w:pPr>
            <w:r>
              <w:rPr>
                <w:spacing w:val="-2"/>
                <w:sz w:val="24"/>
              </w:rPr>
              <w:t>48.00±0.00</w:t>
            </w:r>
          </w:p>
        </w:tc>
        <w:tc>
          <w:tcPr>
            <w:tcW w:w="1628" w:type="dxa"/>
          </w:tcPr>
          <w:p w14:paraId="78ECD39E" w14:textId="77777777" w:rsidR="00704B93" w:rsidRDefault="00704B93" w:rsidP="008A3FD2">
            <w:pPr>
              <w:pStyle w:val="TableParagraph"/>
              <w:spacing w:before="133"/>
              <w:ind w:left="120"/>
              <w:jc w:val="both"/>
              <w:rPr>
                <w:sz w:val="24"/>
              </w:rPr>
            </w:pPr>
            <w:r>
              <w:rPr>
                <w:spacing w:val="-2"/>
                <w:sz w:val="24"/>
              </w:rPr>
              <w:t>47.67±0.33</w:t>
            </w:r>
          </w:p>
        </w:tc>
      </w:tr>
      <w:tr w:rsidR="00704B93" w14:paraId="474E406F" w14:textId="77777777" w:rsidTr="00912F9D">
        <w:trPr>
          <w:trHeight w:val="547"/>
        </w:trPr>
        <w:tc>
          <w:tcPr>
            <w:tcW w:w="2825" w:type="dxa"/>
            <w:tcBorders>
              <w:right w:val="single" w:sz="4" w:space="0" w:color="000000"/>
            </w:tcBorders>
          </w:tcPr>
          <w:p w14:paraId="1E481C01" w14:textId="77777777" w:rsidR="00704B93" w:rsidRDefault="00704B93" w:rsidP="008A3FD2">
            <w:pPr>
              <w:pStyle w:val="TableParagraph"/>
              <w:spacing w:before="133"/>
              <w:ind w:left="124"/>
              <w:jc w:val="both"/>
              <w:rPr>
                <w:b/>
                <w:sz w:val="24"/>
              </w:rPr>
            </w:pPr>
            <w:r>
              <w:rPr>
                <w:b/>
                <w:sz w:val="24"/>
              </w:rPr>
              <w:t>Urea</w:t>
            </w:r>
            <w:r>
              <w:rPr>
                <w:b/>
                <w:spacing w:val="-6"/>
                <w:sz w:val="24"/>
              </w:rPr>
              <w:t xml:space="preserve"> </w:t>
            </w:r>
            <w:r>
              <w:rPr>
                <w:b/>
                <w:spacing w:val="-2"/>
                <w:sz w:val="24"/>
              </w:rPr>
              <w:t>(mmol/L)</w:t>
            </w:r>
          </w:p>
        </w:tc>
        <w:tc>
          <w:tcPr>
            <w:tcW w:w="1847" w:type="dxa"/>
            <w:tcBorders>
              <w:left w:val="single" w:sz="4" w:space="0" w:color="000000"/>
            </w:tcBorders>
          </w:tcPr>
          <w:p w14:paraId="4F6718F2" w14:textId="77777777" w:rsidR="00704B93" w:rsidRDefault="00704B93" w:rsidP="008A3FD2">
            <w:pPr>
              <w:pStyle w:val="TableParagraph"/>
              <w:spacing w:before="133"/>
              <w:ind w:left="100"/>
              <w:jc w:val="both"/>
              <w:rPr>
                <w:sz w:val="24"/>
              </w:rPr>
            </w:pPr>
            <w:r>
              <w:rPr>
                <w:spacing w:val="-2"/>
                <w:sz w:val="24"/>
              </w:rPr>
              <w:t>3.73±0.50</w:t>
            </w:r>
          </w:p>
        </w:tc>
        <w:tc>
          <w:tcPr>
            <w:tcW w:w="1790" w:type="dxa"/>
          </w:tcPr>
          <w:p w14:paraId="4134D9CD" w14:textId="77777777" w:rsidR="00704B93" w:rsidRDefault="00704B93" w:rsidP="008A3FD2">
            <w:pPr>
              <w:pStyle w:val="TableParagraph"/>
              <w:spacing w:before="133"/>
              <w:ind w:left="213"/>
              <w:jc w:val="both"/>
              <w:rPr>
                <w:sz w:val="24"/>
              </w:rPr>
            </w:pPr>
            <w:r>
              <w:rPr>
                <w:spacing w:val="-2"/>
                <w:sz w:val="24"/>
              </w:rPr>
              <w:t>5.17±0.23</w:t>
            </w:r>
          </w:p>
        </w:tc>
        <w:tc>
          <w:tcPr>
            <w:tcW w:w="1742" w:type="dxa"/>
          </w:tcPr>
          <w:p w14:paraId="239457CE" w14:textId="77777777" w:rsidR="00704B93" w:rsidRDefault="00704B93" w:rsidP="008A3FD2">
            <w:pPr>
              <w:pStyle w:val="TableParagraph"/>
              <w:spacing w:before="133"/>
              <w:ind w:left="178"/>
              <w:jc w:val="both"/>
              <w:rPr>
                <w:sz w:val="24"/>
              </w:rPr>
            </w:pPr>
            <w:r>
              <w:rPr>
                <w:spacing w:val="-2"/>
                <w:sz w:val="24"/>
              </w:rPr>
              <w:t>5.73±0.03</w:t>
            </w:r>
          </w:p>
        </w:tc>
        <w:tc>
          <w:tcPr>
            <w:tcW w:w="1706" w:type="dxa"/>
          </w:tcPr>
          <w:p w14:paraId="0CF93482" w14:textId="77777777" w:rsidR="00704B93" w:rsidRDefault="00704B93" w:rsidP="008A3FD2">
            <w:pPr>
              <w:pStyle w:val="TableParagraph"/>
              <w:spacing w:before="133"/>
              <w:ind w:left="169"/>
              <w:jc w:val="both"/>
              <w:rPr>
                <w:sz w:val="24"/>
              </w:rPr>
            </w:pPr>
            <w:r>
              <w:rPr>
                <w:spacing w:val="-2"/>
                <w:sz w:val="24"/>
              </w:rPr>
              <w:t>4.67±0.03</w:t>
            </w:r>
          </w:p>
        </w:tc>
        <w:tc>
          <w:tcPr>
            <w:tcW w:w="1707" w:type="dxa"/>
          </w:tcPr>
          <w:p w14:paraId="4F601B52" w14:textId="77777777" w:rsidR="00704B93" w:rsidRDefault="00704B93" w:rsidP="008A3FD2">
            <w:pPr>
              <w:pStyle w:val="TableParagraph"/>
              <w:spacing w:before="133"/>
              <w:ind w:left="136"/>
              <w:jc w:val="both"/>
              <w:rPr>
                <w:sz w:val="24"/>
              </w:rPr>
            </w:pPr>
            <w:r>
              <w:rPr>
                <w:spacing w:val="-2"/>
                <w:sz w:val="24"/>
              </w:rPr>
              <w:t>8.87±1.43</w:t>
            </w:r>
          </w:p>
        </w:tc>
        <w:tc>
          <w:tcPr>
            <w:tcW w:w="1685" w:type="dxa"/>
          </w:tcPr>
          <w:p w14:paraId="3504E631" w14:textId="77777777" w:rsidR="00704B93" w:rsidRDefault="00704B93" w:rsidP="008A3FD2">
            <w:pPr>
              <w:pStyle w:val="TableParagraph"/>
              <w:spacing w:before="133"/>
              <w:ind w:left="184"/>
              <w:jc w:val="both"/>
              <w:rPr>
                <w:sz w:val="24"/>
              </w:rPr>
            </w:pPr>
            <w:r>
              <w:rPr>
                <w:spacing w:val="-2"/>
                <w:sz w:val="24"/>
              </w:rPr>
              <w:t>6.73±0.57</w:t>
            </w:r>
          </w:p>
        </w:tc>
        <w:tc>
          <w:tcPr>
            <w:tcW w:w="1628" w:type="dxa"/>
          </w:tcPr>
          <w:p w14:paraId="17FFB1A2" w14:textId="77777777" w:rsidR="00704B93" w:rsidRDefault="00704B93" w:rsidP="008A3FD2">
            <w:pPr>
              <w:pStyle w:val="TableParagraph"/>
              <w:spacing w:before="133"/>
              <w:ind w:left="120"/>
              <w:jc w:val="both"/>
              <w:rPr>
                <w:sz w:val="24"/>
              </w:rPr>
            </w:pPr>
            <w:r>
              <w:rPr>
                <w:spacing w:val="-2"/>
                <w:sz w:val="24"/>
              </w:rPr>
              <w:t>6.03±0.07</w:t>
            </w:r>
          </w:p>
        </w:tc>
      </w:tr>
      <w:tr w:rsidR="00704B93" w14:paraId="60F34444" w14:textId="77777777" w:rsidTr="00912F9D">
        <w:trPr>
          <w:trHeight w:val="584"/>
        </w:trPr>
        <w:tc>
          <w:tcPr>
            <w:tcW w:w="2825" w:type="dxa"/>
            <w:tcBorders>
              <w:right w:val="single" w:sz="4" w:space="0" w:color="000000"/>
            </w:tcBorders>
          </w:tcPr>
          <w:p w14:paraId="200ABF16" w14:textId="77777777" w:rsidR="00704B93" w:rsidRDefault="00704B93" w:rsidP="008A3FD2">
            <w:pPr>
              <w:pStyle w:val="TableParagraph"/>
              <w:spacing w:before="143"/>
              <w:ind w:left="124"/>
              <w:jc w:val="both"/>
              <w:rPr>
                <w:b/>
                <w:sz w:val="24"/>
              </w:rPr>
            </w:pPr>
            <w:r>
              <w:rPr>
                <w:b/>
                <w:sz w:val="24"/>
              </w:rPr>
              <w:t>Creatinine</w:t>
            </w:r>
            <w:r>
              <w:rPr>
                <w:b/>
                <w:spacing w:val="-9"/>
                <w:sz w:val="24"/>
              </w:rPr>
              <w:t xml:space="preserve"> </w:t>
            </w:r>
            <w:r>
              <w:rPr>
                <w:b/>
                <w:spacing w:val="-2"/>
                <w:sz w:val="24"/>
              </w:rPr>
              <w:t>(</w:t>
            </w:r>
            <w:r>
              <w:rPr>
                <w:rFonts w:ascii="Century" w:hAnsi="Century"/>
                <w:spacing w:val="-2"/>
                <w:sz w:val="24"/>
              </w:rPr>
              <w:t>µ</w:t>
            </w:r>
            <w:r>
              <w:rPr>
                <w:b/>
                <w:spacing w:val="-2"/>
                <w:sz w:val="24"/>
              </w:rPr>
              <w:t>mol/L)</w:t>
            </w:r>
          </w:p>
        </w:tc>
        <w:tc>
          <w:tcPr>
            <w:tcW w:w="1847" w:type="dxa"/>
            <w:tcBorders>
              <w:left w:val="single" w:sz="4" w:space="0" w:color="000000"/>
            </w:tcBorders>
          </w:tcPr>
          <w:p w14:paraId="575183E3" w14:textId="77777777" w:rsidR="00704B93" w:rsidRDefault="00704B93" w:rsidP="008A3FD2">
            <w:pPr>
              <w:pStyle w:val="TableParagraph"/>
              <w:spacing w:before="137"/>
              <w:ind w:left="100"/>
              <w:jc w:val="both"/>
              <w:rPr>
                <w:sz w:val="24"/>
              </w:rPr>
            </w:pPr>
            <w:r>
              <w:rPr>
                <w:spacing w:val="-2"/>
                <w:sz w:val="24"/>
              </w:rPr>
              <w:t>60.57±0.50</w:t>
            </w:r>
          </w:p>
        </w:tc>
        <w:tc>
          <w:tcPr>
            <w:tcW w:w="1790" w:type="dxa"/>
          </w:tcPr>
          <w:p w14:paraId="6D3D6D95" w14:textId="77777777" w:rsidR="00704B93" w:rsidRDefault="00704B93" w:rsidP="008A3FD2">
            <w:pPr>
              <w:pStyle w:val="TableParagraph"/>
              <w:spacing w:before="156"/>
              <w:ind w:left="211"/>
              <w:jc w:val="both"/>
              <w:rPr>
                <w:sz w:val="24"/>
              </w:rPr>
            </w:pPr>
            <w:r>
              <w:rPr>
                <w:spacing w:val="-2"/>
                <w:sz w:val="24"/>
              </w:rPr>
              <w:t>28.63±1.37</w:t>
            </w:r>
            <w:r>
              <w:rPr>
                <w:spacing w:val="-2"/>
                <w:sz w:val="24"/>
                <w:vertAlign w:val="superscript"/>
              </w:rPr>
              <w:t>a</w:t>
            </w:r>
          </w:p>
        </w:tc>
        <w:tc>
          <w:tcPr>
            <w:tcW w:w="1742" w:type="dxa"/>
          </w:tcPr>
          <w:p w14:paraId="68A1F054" w14:textId="77777777" w:rsidR="00704B93" w:rsidRDefault="00704B93" w:rsidP="008A3FD2">
            <w:pPr>
              <w:pStyle w:val="TableParagraph"/>
              <w:spacing w:before="156"/>
              <w:ind w:left="175"/>
              <w:jc w:val="both"/>
              <w:rPr>
                <w:sz w:val="24"/>
              </w:rPr>
            </w:pPr>
            <w:r>
              <w:rPr>
                <w:spacing w:val="-2"/>
                <w:sz w:val="24"/>
              </w:rPr>
              <w:t>16.30±4.90</w:t>
            </w:r>
            <w:r>
              <w:rPr>
                <w:spacing w:val="-2"/>
                <w:sz w:val="24"/>
                <w:vertAlign w:val="superscript"/>
              </w:rPr>
              <w:t>b</w:t>
            </w:r>
          </w:p>
        </w:tc>
        <w:tc>
          <w:tcPr>
            <w:tcW w:w="1706" w:type="dxa"/>
          </w:tcPr>
          <w:p w14:paraId="278DA274" w14:textId="77777777" w:rsidR="00704B93" w:rsidRDefault="00704B93" w:rsidP="008A3FD2">
            <w:pPr>
              <w:pStyle w:val="TableParagraph"/>
              <w:spacing w:before="156"/>
              <w:ind w:left="165"/>
              <w:jc w:val="both"/>
              <w:rPr>
                <w:sz w:val="24"/>
              </w:rPr>
            </w:pPr>
            <w:r>
              <w:rPr>
                <w:spacing w:val="-2"/>
                <w:sz w:val="24"/>
              </w:rPr>
              <w:t>19.90±5.35</w:t>
            </w:r>
            <w:r>
              <w:rPr>
                <w:spacing w:val="-2"/>
                <w:sz w:val="24"/>
                <w:vertAlign w:val="superscript"/>
              </w:rPr>
              <w:t>b</w:t>
            </w:r>
          </w:p>
        </w:tc>
        <w:tc>
          <w:tcPr>
            <w:tcW w:w="1707" w:type="dxa"/>
          </w:tcPr>
          <w:p w14:paraId="7F9E111B" w14:textId="77777777" w:rsidR="00704B93" w:rsidRDefault="00704B93" w:rsidP="008A3FD2">
            <w:pPr>
              <w:pStyle w:val="TableParagraph"/>
              <w:spacing w:before="156"/>
              <w:ind w:left="130"/>
              <w:jc w:val="both"/>
              <w:rPr>
                <w:sz w:val="24"/>
              </w:rPr>
            </w:pPr>
            <w:r>
              <w:rPr>
                <w:spacing w:val="-2"/>
                <w:sz w:val="24"/>
              </w:rPr>
              <w:t>27.00±2.300</w:t>
            </w:r>
            <w:r>
              <w:rPr>
                <w:spacing w:val="-2"/>
                <w:sz w:val="24"/>
                <w:vertAlign w:val="superscript"/>
              </w:rPr>
              <w:t>a</w:t>
            </w:r>
          </w:p>
        </w:tc>
        <w:tc>
          <w:tcPr>
            <w:tcW w:w="1685" w:type="dxa"/>
          </w:tcPr>
          <w:p w14:paraId="6E033842" w14:textId="77777777" w:rsidR="00704B93" w:rsidRDefault="00704B93" w:rsidP="008A3FD2">
            <w:pPr>
              <w:pStyle w:val="TableParagraph"/>
              <w:spacing w:before="156"/>
              <w:ind w:left="177"/>
              <w:jc w:val="both"/>
              <w:rPr>
                <w:sz w:val="24"/>
              </w:rPr>
            </w:pPr>
            <w:r>
              <w:rPr>
                <w:spacing w:val="-2"/>
                <w:sz w:val="24"/>
              </w:rPr>
              <w:t>18.00±1.90</w:t>
            </w:r>
            <w:r>
              <w:rPr>
                <w:spacing w:val="-2"/>
                <w:sz w:val="24"/>
                <w:vertAlign w:val="superscript"/>
              </w:rPr>
              <w:t>b</w:t>
            </w:r>
          </w:p>
        </w:tc>
        <w:tc>
          <w:tcPr>
            <w:tcW w:w="1628" w:type="dxa"/>
          </w:tcPr>
          <w:p w14:paraId="0C923B22" w14:textId="77777777" w:rsidR="00704B93" w:rsidRDefault="00704B93" w:rsidP="008A3FD2">
            <w:pPr>
              <w:pStyle w:val="TableParagraph"/>
              <w:spacing w:before="156"/>
              <w:ind w:left="110"/>
              <w:jc w:val="both"/>
              <w:rPr>
                <w:sz w:val="24"/>
              </w:rPr>
            </w:pPr>
            <w:r>
              <w:rPr>
                <w:spacing w:val="-2"/>
                <w:sz w:val="24"/>
              </w:rPr>
              <w:t>22.67±1.47</w:t>
            </w:r>
            <w:r>
              <w:rPr>
                <w:spacing w:val="-2"/>
                <w:sz w:val="24"/>
                <w:vertAlign w:val="superscript"/>
              </w:rPr>
              <w:t>a</w:t>
            </w:r>
          </w:p>
        </w:tc>
      </w:tr>
      <w:tr w:rsidR="00704B93" w14:paraId="6B2F523F" w14:textId="77777777" w:rsidTr="00912F9D">
        <w:trPr>
          <w:trHeight w:val="421"/>
        </w:trPr>
        <w:tc>
          <w:tcPr>
            <w:tcW w:w="2825" w:type="dxa"/>
            <w:tcBorders>
              <w:right w:val="single" w:sz="4" w:space="0" w:color="000000"/>
            </w:tcBorders>
          </w:tcPr>
          <w:p w14:paraId="6F8ED864" w14:textId="77777777" w:rsidR="00704B93" w:rsidRDefault="00704B93" w:rsidP="008A3FD2">
            <w:pPr>
              <w:pStyle w:val="TableParagraph"/>
              <w:tabs>
                <w:tab w:val="left" w:pos="1439"/>
              </w:tabs>
              <w:spacing w:before="141" w:line="261" w:lineRule="exact"/>
              <w:ind w:left="124"/>
              <w:jc w:val="both"/>
              <w:rPr>
                <w:b/>
                <w:sz w:val="24"/>
              </w:rPr>
            </w:pPr>
            <w:r>
              <w:rPr>
                <w:b/>
                <w:spacing w:val="-2"/>
                <w:sz w:val="24"/>
              </w:rPr>
              <w:t>Alkaline</w:t>
            </w:r>
            <w:r>
              <w:rPr>
                <w:b/>
                <w:sz w:val="24"/>
              </w:rPr>
              <w:tab/>
            </w:r>
            <w:r>
              <w:rPr>
                <w:b/>
                <w:spacing w:val="-2"/>
                <w:sz w:val="24"/>
              </w:rPr>
              <w:t>Phosphatase</w:t>
            </w:r>
          </w:p>
        </w:tc>
        <w:tc>
          <w:tcPr>
            <w:tcW w:w="1847" w:type="dxa"/>
            <w:tcBorders>
              <w:left w:val="single" w:sz="4" w:space="0" w:color="000000"/>
            </w:tcBorders>
          </w:tcPr>
          <w:p w14:paraId="56105F8D" w14:textId="77777777" w:rsidR="00704B93" w:rsidRDefault="00704B93" w:rsidP="008A3FD2">
            <w:pPr>
              <w:pStyle w:val="TableParagraph"/>
              <w:spacing w:before="141" w:line="261" w:lineRule="exact"/>
              <w:ind w:left="100"/>
              <w:jc w:val="both"/>
              <w:rPr>
                <w:sz w:val="24"/>
              </w:rPr>
            </w:pPr>
            <w:r>
              <w:rPr>
                <w:spacing w:val="-2"/>
                <w:sz w:val="24"/>
              </w:rPr>
              <w:t>61.33±11.02</w:t>
            </w:r>
          </w:p>
        </w:tc>
        <w:tc>
          <w:tcPr>
            <w:tcW w:w="1790" w:type="dxa"/>
          </w:tcPr>
          <w:p w14:paraId="4D2E7B5D" w14:textId="77777777" w:rsidR="00704B93" w:rsidRDefault="00704B93" w:rsidP="008A3FD2">
            <w:pPr>
              <w:pStyle w:val="TableParagraph"/>
              <w:jc w:val="both"/>
            </w:pPr>
          </w:p>
        </w:tc>
        <w:tc>
          <w:tcPr>
            <w:tcW w:w="1742" w:type="dxa"/>
          </w:tcPr>
          <w:p w14:paraId="0B3F8225" w14:textId="77777777" w:rsidR="00704B93" w:rsidRDefault="00704B93" w:rsidP="008A3FD2">
            <w:pPr>
              <w:pStyle w:val="TableParagraph"/>
              <w:jc w:val="both"/>
            </w:pPr>
          </w:p>
        </w:tc>
        <w:tc>
          <w:tcPr>
            <w:tcW w:w="1706" w:type="dxa"/>
          </w:tcPr>
          <w:p w14:paraId="1E707360" w14:textId="77777777" w:rsidR="00704B93" w:rsidRDefault="00704B93" w:rsidP="008A3FD2">
            <w:pPr>
              <w:pStyle w:val="TableParagraph"/>
              <w:jc w:val="both"/>
            </w:pPr>
          </w:p>
        </w:tc>
        <w:tc>
          <w:tcPr>
            <w:tcW w:w="1707" w:type="dxa"/>
          </w:tcPr>
          <w:p w14:paraId="5B06EA9D" w14:textId="77777777" w:rsidR="00704B93" w:rsidRDefault="00704B93" w:rsidP="008A3FD2">
            <w:pPr>
              <w:pStyle w:val="TableParagraph"/>
              <w:jc w:val="both"/>
            </w:pPr>
          </w:p>
        </w:tc>
        <w:tc>
          <w:tcPr>
            <w:tcW w:w="1685" w:type="dxa"/>
          </w:tcPr>
          <w:p w14:paraId="3363607A" w14:textId="77777777" w:rsidR="00704B93" w:rsidRDefault="00704B93" w:rsidP="008A3FD2">
            <w:pPr>
              <w:pStyle w:val="TableParagraph"/>
              <w:jc w:val="both"/>
            </w:pPr>
          </w:p>
        </w:tc>
        <w:tc>
          <w:tcPr>
            <w:tcW w:w="1628" w:type="dxa"/>
          </w:tcPr>
          <w:p w14:paraId="06790130" w14:textId="77777777" w:rsidR="00704B93" w:rsidRDefault="00704B93" w:rsidP="008A3FD2">
            <w:pPr>
              <w:pStyle w:val="TableParagraph"/>
              <w:jc w:val="both"/>
            </w:pPr>
          </w:p>
        </w:tc>
      </w:tr>
      <w:tr w:rsidR="00704B93" w14:paraId="04FBBB27" w14:textId="77777777" w:rsidTr="00912F9D">
        <w:trPr>
          <w:trHeight w:val="276"/>
        </w:trPr>
        <w:tc>
          <w:tcPr>
            <w:tcW w:w="2825" w:type="dxa"/>
            <w:tcBorders>
              <w:right w:val="single" w:sz="4" w:space="0" w:color="000000"/>
            </w:tcBorders>
          </w:tcPr>
          <w:p w14:paraId="1173237D" w14:textId="77777777" w:rsidR="00704B93" w:rsidRDefault="00704B93" w:rsidP="008A3FD2">
            <w:pPr>
              <w:pStyle w:val="TableParagraph"/>
              <w:jc w:val="both"/>
              <w:rPr>
                <w:sz w:val="20"/>
              </w:rPr>
            </w:pPr>
          </w:p>
        </w:tc>
        <w:tc>
          <w:tcPr>
            <w:tcW w:w="1847" w:type="dxa"/>
            <w:tcBorders>
              <w:left w:val="single" w:sz="4" w:space="0" w:color="000000"/>
            </w:tcBorders>
          </w:tcPr>
          <w:p w14:paraId="09253BC5" w14:textId="77777777" w:rsidR="00704B93" w:rsidRDefault="00704B93" w:rsidP="008A3FD2">
            <w:pPr>
              <w:pStyle w:val="TableParagraph"/>
              <w:jc w:val="both"/>
              <w:rPr>
                <w:sz w:val="20"/>
              </w:rPr>
            </w:pPr>
          </w:p>
        </w:tc>
        <w:tc>
          <w:tcPr>
            <w:tcW w:w="1790" w:type="dxa"/>
          </w:tcPr>
          <w:p w14:paraId="7472A15F" w14:textId="77777777" w:rsidR="00704B93" w:rsidRDefault="00704B93" w:rsidP="008A3FD2">
            <w:pPr>
              <w:pStyle w:val="TableParagraph"/>
              <w:spacing w:line="256" w:lineRule="exact"/>
              <w:ind w:left="211"/>
              <w:jc w:val="both"/>
              <w:rPr>
                <w:sz w:val="24"/>
              </w:rPr>
            </w:pPr>
            <w:r>
              <w:rPr>
                <w:spacing w:val="-2"/>
                <w:sz w:val="24"/>
              </w:rPr>
              <w:t>102.33±12.33</w:t>
            </w:r>
            <w:r>
              <w:rPr>
                <w:spacing w:val="-2"/>
                <w:sz w:val="24"/>
                <w:vertAlign w:val="superscript"/>
              </w:rPr>
              <w:t>c</w:t>
            </w:r>
          </w:p>
        </w:tc>
        <w:tc>
          <w:tcPr>
            <w:tcW w:w="1742" w:type="dxa"/>
          </w:tcPr>
          <w:p w14:paraId="6CA5AB2D" w14:textId="77777777" w:rsidR="00704B93" w:rsidRDefault="00704B93" w:rsidP="008A3FD2">
            <w:pPr>
              <w:pStyle w:val="TableParagraph"/>
              <w:spacing w:line="256" w:lineRule="exact"/>
              <w:ind w:left="174"/>
              <w:jc w:val="both"/>
              <w:rPr>
                <w:sz w:val="24"/>
              </w:rPr>
            </w:pPr>
            <w:r>
              <w:rPr>
                <w:spacing w:val="-2"/>
                <w:sz w:val="24"/>
              </w:rPr>
              <w:t>149.13±11.37</w:t>
            </w:r>
            <w:r>
              <w:rPr>
                <w:spacing w:val="-2"/>
                <w:sz w:val="24"/>
                <w:vertAlign w:val="superscript"/>
              </w:rPr>
              <w:t>d</w:t>
            </w:r>
          </w:p>
        </w:tc>
        <w:tc>
          <w:tcPr>
            <w:tcW w:w="1706" w:type="dxa"/>
          </w:tcPr>
          <w:p w14:paraId="2AA4CC51" w14:textId="77777777" w:rsidR="00704B93" w:rsidRDefault="00704B93" w:rsidP="008A3FD2">
            <w:pPr>
              <w:pStyle w:val="TableParagraph"/>
              <w:spacing w:line="256" w:lineRule="exact"/>
              <w:ind w:left="165"/>
              <w:jc w:val="both"/>
              <w:rPr>
                <w:sz w:val="24"/>
              </w:rPr>
            </w:pPr>
            <w:r>
              <w:rPr>
                <w:spacing w:val="-2"/>
                <w:sz w:val="24"/>
              </w:rPr>
              <w:t>153.20±23.40</w:t>
            </w:r>
            <w:r>
              <w:rPr>
                <w:spacing w:val="-2"/>
                <w:sz w:val="24"/>
                <w:vertAlign w:val="superscript"/>
              </w:rPr>
              <w:t>d</w:t>
            </w:r>
          </w:p>
        </w:tc>
        <w:tc>
          <w:tcPr>
            <w:tcW w:w="1707" w:type="dxa"/>
          </w:tcPr>
          <w:p w14:paraId="0F3F19B8" w14:textId="77777777" w:rsidR="00704B93" w:rsidRDefault="00704B93" w:rsidP="008A3FD2">
            <w:pPr>
              <w:pStyle w:val="TableParagraph"/>
              <w:spacing w:line="256" w:lineRule="exact"/>
              <w:ind w:left="129"/>
              <w:jc w:val="both"/>
              <w:rPr>
                <w:sz w:val="24"/>
              </w:rPr>
            </w:pPr>
            <w:r>
              <w:rPr>
                <w:spacing w:val="-2"/>
                <w:sz w:val="24"/>
              </w:rPr>
              <w:t>120.93±8.17</w:t>
            </w:r>
            <w:r>
              <w:rPr>
                <w:spacing w:val="-2"/>
                <w:sz w:val="24"/>
                <w:vertAlign w:val="superscript"/>
              </w:rPr>
              <w:t>c</w:t>
            </w:r>
          </w:p>
        </w:tc>
        <w:tc>
          <w:tcPr>
            <w:tcW w:w="1685" w:type="dxa"/>
          </w:tcPr>
          <w:p w14:paraId="02CA569A" w14:textId="77777777" w:rsidR="00704B93" w:rsidRDefault="00704B93" w:rsidP="008A3FD2">
            <w:pPr>
              <w:pStyle w:val="TableParagraph"/>
              <w:spacing w:line="256" w:lineRule="exact"/>
              <w:ind w:left="177"/>
              <w:jc w:val="both"/>
              <w:rPr>
                <w:sz w:val="24"/>
              </w:rPr>
            </w:pPr>
            <w:r>
              <w:rPr>
                <w:spacing w:val="-2"/>
                <w:sz w:val="24"/>
              </w:rPr>
              <w:t>121.93±19.87</w:t>
            </w:r>
            <w:r>
              <w:rPr>
                <w:spacing w:val="-2"/>
                <w:sz w:val="24"/>
                <w:vertAlign w:val="superscript"/>
              </w:rPr>
              <w:t>c</w:t>
            </w:r>
          </w:p>
        </w:tc>
        <w:tc>
          <w:tcPr>
            <w:tcW w:w="1628" w:type="dxa"/>
          </w:tcPr>
          <w:p w14:paraId="2769129C" w14:textId="77777777" w:rsidR="00704B93" w:rsidRDefault="00704B93" w:rsidP="008A3FD2">
            <w:pPr>
              <w:pStyle w:val="TableParagraph"/>
              <w:spacing w:line="256" w:lineRule="exact"/>
              <w:ind w:left="109"/>
              <w:jc w:val="both"/>
              <w:rPr>
                <w:sz w:val="24"/>
              </w:rPr>
            </w:pPr>
            <w:r>
              <w:rPr>
                <w:spacing w:val="-2"/>
                <w:sz w:val="24"/>
              </w:rPr>
              <w:t>200.17±15.87</w:t>
            </w:r>
            <w:r>
              <w:rPr>
                <w:spacing w:val="-2"/>
                <w:sz w:val="24"/>
                <w:vertAlign w:val="superscript"/>
              </w:rPr>
              <w:t>d</w:t>
            </w:r>
          </w:p>
        </w:tc>
      </w:tr>
      <w:tr w:rsidR="00704B93" w14:paraId="5E7D52F6" w14:textId="77777777" w:rsidTr="00912F9D">
        <w:trPr>
          <w:trHeight w:val="413"/>
        </w:trPr>
        <w:tc>
          <w:tcPr>
            <w:tcW w:w="2825" w:type="dxa"/>
            <w:tcBorders>
              <w:right w:val="single" w:sz="4" w:space="0" w:color="000000"/>
            </w:tcBorders>
          </w:tcPr>
          <w:p w14:paraId="48476E6E" w14:textId="77777777" w:rsidR="00704B93" w:rsidRDefault="00704B93" w:rsidP="008A3FD2">
            <w:pPr>
              <w:pStyle w:val="TableParagraph"/>
              <w:spacing w:line="271" w:lineRule="exact"/>
              <w:ind w:left="124"/>
              <w:jc w:val="both"/>
              <w:rPr>
                <w:b/>
                <w:sz w:val="24"/>
              </w:rPr>
            </w:pPr>
            <w:r>
              <w:rPr>
                <w:b/>
                <w:spacing w:val="-2"/>
                <w:sz w:val="24"/>
              </w:rPr>
              <w:t>(IU/L)</w:t>
            </w:r>
          </w:p>
        </w:tc>
        <w:tc>
          <w:tcPr>
            <w:tcW w:w="1847" w:type="dxa"/>
            <w:tcBorders>
              <w:left w:val="single" w:sz="4" w:space="0" w:color="000000"/>
            </w:tcBorders>
          </w:tcPr>
          <w:p w14:paraId="776452B1" w14:textId="77777777" w:rsidR="00704B93" w:rsidRDefault="00704B93" w:rsidP="008A3FD2">
            <w:pPr>
              <w:pStyle w:val="TableParagraph"/>
              <w:jc w:val="both"/>
            </w:pPr>
          </w:p>
        </w:tc>
        <w:tc>
          <w:tcPr>
            <w:tcW w:w="1790" w:type="dxa"/>
          </w:tcPr>
          <w:p w14:paraId="5EC53D3F" w14:textId="77777777" w:rsidR="00704B93" w:rsidRDefault="00704B93" w:rsidP="008A3FD2">
            <w:pPr>
              <w:pStyle w:val="TableParagraph"/>
              <w:jc w:val="both"/>
            </w:pPr>
          </w:p>
        </w:tc>
        <w:tc>
          <w:tcPr>
            <w:tcW w:w="1742" w:type="dxa"/>
          </w:tcPr>
          <w:p w14:paraId="4FCB77EC" w14:textId="77777777" w:rsidR="00704B93" w:rsidRDefault="00704B93" w:rsidP="008A3FD2">
            <w:pPr>
              <w:pStyle w:val="TableParagraph"/>
              <w:jc w:val="both"/>
            </w:pPr>
          </w:p>
        </w:tc>
        <w:tc>
          <w:tcPr>
            <w:tcW w:w="1706" w:type="dxa"/>
          </w:tcPr>
          <w:p w14:paraId="4BC47100" w14:textId="77777777" w:rsidR="00704B93" w:rsidRDefault="00704B93" w:rsidP="008A3FD2">
            <w:pPr>
              <w:pStyle w:val="TableParagraph"/>
              <w:jc w:val="both"/>
            </w:pPr>
          </w:p>
        </w:tc>
        <w:tc>
          <w:tcPr>
            <w:tcW w:w="1707" w:type="dxa"/>
          </w:tcPr>
          <w:p w14:paraId="4A2FE5CA" w14:textId="77777777" w:rsidR="00704B93" w:rsidRDefault="00704B93" w:rsidP="008A3FD2">
            <w:pPr>
              <w:pStyle w:val="TableParagraph"/>
              <w:jc w:val="both"/>
            </w:pPr>
          </w:p>
        </w:tc>
        <w:tc>
          <w:tcPr>
            <w:tcW w:w="1685" w:type="dxa"/>
          </w:tcPr>
          <w:p w14:paraId="2A8F5997" w14:textId="77777777" w:rsidR="00704B93" w:rsidRDefault="00704B93" w:rsidP="008A3FD2">
            <w:pPr>
              <w:pStyle w:val="TableParagraph"/>
              <w:jc w:val="both"/>
            </w:pPr>
          </w:p>
        </w:tc>
        <w:tc>
          <w:tcPr>
            <w:tcW w:w="1628" w:type="dxa"/>
          </w:tcPr>
          <w:p w14:paraId="586CBC36" w14:textId="77777777" w:rsidR="00704B93" w:rsidRDefault="00704B93" w:rsidP="008A3FD2">
            <w:pPr>
              <w:pStyle w:val="TableParagraph"/>
              <w:jc w:val="both"/>
            </w:pPr>
          </w:p>
        </w:tc>
      </w:tr>
      <w:tr w:rsidR="00704B93" w14:paraId="1B86C558" w14:textId="77777777" w:rsidTr="00912F9D">
        <w:trPr>
          <w:trHeight w:val="551"/>
        </w:trPr>
        <w:tc>
          <w:tcPr>
            <w:tcW w:w="2825" w:type="dxa"/>
            <w:tcBorders>
              <w:right w:val="single" w:sz="4" w:space="0" w:color="000000"/>
            </w:tcBorders>
          </w:tcPr>
          <w:p w14:paraId="08E47E10" w14:textId="77777777" w:rsidR="00704B93" w:rsidRDefault="00704B93" w:rsidP="008A3FD2">
            <w:pPr>
              <w:pStyle w:val="TableParagraph"/>
              <w:spacing w:before="133"/>
              <w:ind w:left="124"/>
              <w:jc w:val="both"/>
              <w:rPr>
                <w:b/>
                <w:sz w:val="24"/>
              </w:rPr>
            </w:pPr>
            <w:r>
              <w:rPr>
                <w:b/>
                <w:spacing w:val="-2"/>
                <w:sz w:val="24"/>
              </w:rPr>
              <w:t>ALAT(GPT)</w:t>
            </w:r>
            <w:r>
              <w:rPr>
                <w:b/>
                <w:sz w:val="24"/>
              </w:rPr>
              <w:t xml:space="preserve"> </w:t>
            </w:r>
            <w:r>
              <w:rPr>
                <w:b/>
                <w:spacing w:val="-2"/>
                <w:sz w:val="24"/>
              </w:rPr>
              <w:t>(IU/L)</w:t>
            </w:r>
          </w:p>
        </w:tc>
        <w:tc>
          <w:tcPr>
            <w:tcW w:w="1847" w:type="dxa"/>
            <w:tcBorders>
              <w:left w:val="single" w:sz="4" w:space="0" w:color="000000"/>
            </w:tcBorders>
          </w:tcPr>
          <w:p w14:paraId="40C4E55C" w14:textId="77777777" w:rsidR="00704B93" w:rsidRDefault="00704B93" w:rsidP="008A3FD2">
            <w:pPr>
              <w:pStyle w:val="TableParagraph"/>
              <w:spacing w:before="133"/>
              <w:ind w:left="100"/>
              <w:jc w:val="both"/>
              <w:rPr>
                <w:sz w:val="24"/>
              </w:rPr>
            </w:pPr>
            <w:r>
              <w:rPr>
                <w:spacing w:val="-2"/>
                <w:sz w:val="24"/>
              </w:rPr>
              <w:t>52.67±4.04</w:t>
            </w:r>
          </w:p>
        </w:tc>
        <w:tc>
          <w:tcPr>
            <w:tcW w:w="1790" w:type="dxa"/>
          </w:tcPr>
          <w:p w14:paraId="5C9FC114" w14:textId="77777777" w:rsidR="00704B93" w:rsidRDefault="00704B93" w:rsidP="008A3FD2">
            <w:pPr>
              <w:pStyle w:val="TableParagraph"/>
              <w:spacing w:before="133"/>
              <w:ind w:left="213"/>
              <w:jc w:val="both"/>
              <w:rPr>
                <w:sz w:val="24"/>
              </w:rPr>
            </w:pPr>
            <w:r>
              <w:rPr>
                <w:spacing w:val="-2"/>
                <w:sz w:val="24"/>
              </w:rPr>
              <w:t>81.90±6.10</w:t>
            </w:r>
            <w:r>
              <w:rPr>
                <w:spacing w:val="-2"/>
                <w:sz w:val="24"/>
                <w:vertAlign w:val="superscript"/>
              </w:rPr>
              <w:t>a</w:t>
            </w:r>
          </w:p>
        </w:tc>
        <w:tc>
          <w:tcPr>
            <w:tcW w:w="1742" w:type="dxa"/>
          </w:tcPr>
          <w:p w14:paraId="77BF011E" w14:textId="77777777" w:rsidR="00704B93" w:rsidRDefault="00704B93" w:rsidP="008A3FD2">
            <w:pPr>
              <w:pStyle w:val="TableParagraph"/>
              <w:spacing w:before="133"/>
              <w:ind w:left="175"/>
              <w:jc w:val="both"/>
              <w:rPr>
                <w:sz w:val="24"/>
              </w:rPr>
            </w:pPr>
            <w:r>
              <w:rPr>
                <w:spacing w:val="-2"/>
                <w:sz w:val="24"/>
              </w:rPr>
              <w:t>72.03±1.77</w:t>
            </w:r>
            <w:r>
              <w:rPr>
                <w:spacing w:val="-2"/>
                <w:sz w:val="24"/>
                <w:vertAlign w:val="superscript"/>
              </w:rPr>
              <w:t>a</w:t>
            </w:r>
          </w:p>
        </w:tc>
        <w:tc>
          <w:tcPr>
            <w:tcW w:w="1706" w:type="dxa"/>
          </w:tcPr>
          <w:p w14:paraId="759AC877" w14:textId="77777777" w:rsidR="00704B93" w:rsidRDefault="00704B93" w:rsidP="008A3FD2">
            <w:pPr>
              <w:pStyle w:val="TableParagraph"/>
              <w:spacing w:before="133"/>
              <w:ind w:left="165"/>
              <w:jc w:val="both"/>
              <w:rPr>
                <w:sz w:val="24"/>
              </w:rPr>
            </w:pPr>
            <w:r>
              <w:rPr>
                <w:spacing w:val="-2"/>
                <w:sz w:val="24"/>
              </w:rPr>
              <w:t>74.53±0.17</w:t>
            </w:r>
            <w:r>
              <w:rPr>
                <w:spacing w:val="-2"/>
                <w:sz w:val="24"/>
                <w:vertAlign w:val="superscript"/>
              </w:rPr>
              <w:t>a</w:t>
            </w:r>
          </w:p>
        </w:tc>
        <w:tc>
          <w:tcPr>
            <w:tcW w:w="1707" w:type="dxa"/>
          </w:tcPr>
          <w:p w14:paraId="4E098513" w14:textId="77777777" w:rsidR="00704B93" w:rsidRDefault="00704B93" w:rsidP="008A3FD2">
            <w:pPr>
              <w:pStyle w:val="TableParagraph"/>
              <w:spacing w:before="133"/>
              <w:ind w:left="130"/>
              <w:jc w:val="both"/>
              <w:rPr>
                <w:sz w:val="24"/>
              </w:rPr>
            </w:pPr>
            <w:r>
              <w:rPr>
                <w:spacing w:val="-2"/>
                <w:sz w:val="24"/>
              </w:rPr>
              <w:t>76.47±7.83</w:t>
            </w:r>
            <w:r>
              <w:rPr>
                <w:spacing w:val="-2"/>
                <w:sz w:val="24"/>
                <w:vertAlign w:val="superscript"/>
              </w:rPr>
              <w:t>a</w:t>
            </w:r>
          </w:p>
        </w:tc>
        <w:tc>
          <w:tcPr>
            <w:tcW w:w="1685" w:type="dxa"/>
          </w:tcPr>
          <w:p w14:paraId="5E430FE1" w14:textId="77777777" w:rsidR="00704B93" w:rsidRDefault="00704B93" w:rsidP="008A3FD2">
            <w:pPr>
              <w:pStyle w:val="TableParagraph"/>
              <w:spacing w:before="133"/>
              <w:ind w:left="177"/>
              <w:jc w:val="both"/>
              <w:rPr>
                <w:sz w:val="24"/>
              </w:rPr>
            </w:pPr>
            <w:r>
              <w:rPr>
                <w:spacing w:val="-2"/>
                <w:sz w:val="24"/>
              </w:rPr>
              <w:t>91.57±4.43</w:t>
            </w:r>
            <w:r>
              <w:rPr>
                <w:spacing w:val="-2"/>
                <w:sz w:val="24"/>
                <w:vertAlign w:val="superscript"/>
              </w:rPr>
              <w:t>b</w:t>
            </w:r>
          </w:p>
        </w:tc>
        <w:tc>
          <w:tcPr>
            <w:tcW w:w="1628" w:type="dxa"/>
          </w:tcPr>
          <w:p w14:paraId="4DC50CBE" w14:textId="77777777" w:rsidR="00704B93" w:rsidRDefault="00704B93" w:rsidP="008A3FD2">
            <w:pPr>
              <w:pStyle w:val="TableParagraph"/>
              <w:spacing w:before="133"/>
              <w:ind w:left="110"/>
              <w:jc w:val="both"/>
              <w:rPr>
                <w:sz w:val="24"/>
              </w:rPr>
            </w:pPr>
            <w:r>
              <w:rPr>
                <w:spacing w:val="-2"/>
                <w:sz w:val="24"/>
              </w:rPr>
              <w:t>88.07±3.03</w:t>
            </w:r>
            <w:r>
              <w:rPr>
                <w:spacing w:val="-2"/>
                <w:sz w:val="24"/>
                <w:vertAlign w:val="superscript"/>
              </w:rPr>
              <w:t>a</w:t>
            </w:r>
          </w:p>
        </w:tc>
      </w:tr>
      <w:tr w:rsidR="00704B93" w14:paraId="012B4474" w14:textId="77777777" w:rsidTr="00912F9D">
        <w:trPr>
          <w:trHeight w:val="685"/>
        </w:trPr>
        <w:tc>
          <w:tcPr>
            <w:tcW w:w="2825" w:type="dxa"/>
            <w:tcBorders>
              <w:bottom w:val="single" w:sz="4" w:space="0" w:color="000000"/>
              <w:right w:val="single" w:sz="4" w:space="0" w:color="000000"/>
            </w:tcBorders>
          </w:tcPr>
          <w:p w14:paraId="1C4D7F29" w14:textId="77777777" w:rsidR="00704B93" w:rsidRDefault="00704B93" w:rsidP="008A3FD2">
            <w:pPr>
              <w:pStyle w:val="TableParagraph"/>
              <w:spacing w:before="133"/>
              <w:ind w:left="124"/>
              <w:jc w:val="both"/>
              <w:rPr>
                <w:b/>
                <w:sz w:val="24"/>
              </w:rPr>
            </w:pPr>
            <w:proofErr w:type="gramStart"/>
            <w:r>
              <w:rPr>
                <w:b/>
                <w:spacing w:val="-2"/>
                <w:sz w:val="24"/>
              </w:rPr>
              <w:t>AsPAT(</w:t>
            </w:r>
            <w:proofErr w:type="gramEnd"/>
            <w:r>
              <w:rPr>
                <w:b/>
                <w:spacing w:val="-2"/>
                <w:sz w:val="24"/>
              </w:rPr>
              <w:t>GOT)(IU/L)</w:t>
            </w:r>
          </w:p>
        </w:tc>
        <w:tc>
          <w:tcPr>
            <w:tcW w:w="1847" w:type="dxa"/>
            <w:tcBorders>
              <w:left w:val="single" w:sz="4" w:space="0" w:color="000000"/>
              <w:bottom w:val="single" w:sz="4" w:space="0" w:color="000000"/>
            </w:tcBorders>
          </w:tcPr>
          <w:p w14:paraId="64141897" w14:textId="77777777" w:rsidR="00704B93" w:rsidRDefault="00704B93" w:rsidP="008A3FD2">
            <w:pPr>
              <w:pStyle w:val="TableParagraph"/>
              <w:spacing w:before="133"/>
              <w:ind w:left="100"/>
              <w:jc w:val="both"/>
              <w:rPr>
                <w:sz w:val="24"/>
              </w:rPr>
            </w:pPr>
            <w:r>
              <w:rPr>
                <w:spacing w:val="-2"/>
                <w:sz w:val="24"/>
              </w:rPr>
              <w:t>35.00±3.00</w:t>
            </w:r>
          </w:p>
        </w:tc>
        <w:tc>
          <w:tcPr>
            <w:tcW w:w="1790" w:type="dxa"/>
            <w:tcBorders>
              <w:bottom w:val="single" w:sz="4" w:space="0" w:color="000000"/>
            </w:tcBorders>
          </w:tcPr>
          <w:p w14:paraId="72004ABE" w14:textId="77777777" w:rsidR="00704B93" w:rsidRDefault="00704B93" w:rsidP="008A3FD2">
            <w:pPr>
              <w:pStyle w:val="TableParagraph"/>
              <w:spacing w:before="133"/>
              <w:ind w:left="213"/>
              <w:jc w:val="both"/>
              <w:rPr>
                <w:sz w:val="24"/>
              </w:rPr>
            </w:pPr>
            <w:r>
              <w:rPr>
                <w:spacing w:val="-2"/>
                <w:sz w:val="24"/>
              </w:rPr>
              <w:t>191.33±10.67</w:t>
            </w:r>
            <w:r>
              <w:rPr>
                <w:spacing w:val="-2"/>
                <w:sz w:val="24"/>
                <w:vertAlign w:val="superscript"/>
              </w:rPr>
              <w:t>c</w:t>
            </w:r>
          </w:p>
        </w:tc>
        <w:tc>
          <w:tcPr>
            <w:tcW w:w="1742" w:type="dxa"/>
            <w:tcBorders>
              <w:bottom w:val="single" w:sz="4" w:space="0" w:color="000000"/>
            </w:tcBorders>
          </w:tcPr>
          <w:p w14:paraId="10405ED3" w14:textId="77777777" w:rsidR="00704B93" w:rsidRDefault="00704B93" w:rsidP="008A3FD2">
            <w:pPr>
              <w:pStyle w:val="TableParagraph"/>
              <w:spacing w:before="133"/>
              <w:ind w:left="174"/>
              <w:jc w:val="both"/>
              <w:rPr>
                <w:sz w:val="24"/>
              </w:rPr>
            </w:pPr>
            <w:r>
              <w:rPr>
                <w:spacing w:val="-2"/>
                <w:sz w:val="24"/>
              </w:rPr>
              <w:t>200.23±0.23</w:t>
            </w:r>
            <w:r>
              <w:rPr>
                <w:spacing w:val="-2"/>
                <w:sz w:val="24"/>
                <w:vertAlign w:val="superscript"/>
              </w:rPr>
              <w:t>c</w:t>
            </w:r>
          </w:p>
        </w:tc>
        <w:tc>
          <w:tcPr>
            <w:tcW w:w="1706" w:type="dxa"/>
            <w:tcBorders>
              <w:bottom w:val="single" w:sz="4" w:space="0" w:color="000000"/>
            </w:tcBorders>
          </w:tcPr>
          <w:p w14:paraId="10828B9D" w14:textId="77777777" w:rsidR="00704B93" w:rsidRDefault="00704B93" w:rsidP="008A3FD2">
            <w:pPr>
              <w:pStyle w:val="TableParagraph"/>
              <w:spacing w:before="133"/>
              <w:ind w:left="165"/>
              <w:jc w:val="both"/>
              <w:rPr>
                <w:sz w:val="24"/>
              </w:rPr>
            </w:pPr>
            <w:r>
              <w:rPr>
                <w:spacing w:val="-2"/>
                <w:sz w:val="24"/>
              </w:rPr>
              <w:t>179.07±3.83</w:t>
            </w:r>
            <w:r>
              <w:rPr>
                <w:spacing w:val="-2"/>
                <w:sz w:val="24"/>
                <w:vertAlign w:val="superscript"/>
              </w:rPr>
              <w:t>b</w:t>
            </w:r>
          </w:p>
        </w:tc>
        <w:tc>
          <w:tcPr>
            <w:tcW w:w="1707" w:type="dxa"/>
            <w:tcBorders>
              <w:bottom w:val="single" w:sz="4" w:space="0" w:color="000000"/>
            </w:tcBorders>
          </w:tcPr>
          <w:p w14:paraId="7B32BA08" w14:textId="77777777" w:rsidR="00704B93" w:rsidRDefault="00704B93" w:rsidP="008A3FD2">
            <w:pPr>
              <w:pStyle w:val="TableParagraph"/>
              <w:spacing w:before="133"/>
              <w:ind w:left="129"/>
              <w:jc w:val="both"/>
              <w:rPr>
                <w:sz w:val="24"/>
              </w:rPr>
            </w:pPr>
            <w:r>
              <w:rPr>
                <w:spacing w:val="-2"/>
                <w:sz w:val="24"/>
              </w:rPr>
              <w:t>192.53±10.47</w:t>
            </w:r>
            <w:r>
              <w:rPr>
                <w:spacing w:val="-2"/>
                <w:sz w:val="24"/>
                <w:vertAlign w:val="superscript"/>
              </w:rPr>
              <w:t>c</w:t>
            </w:r>
          </w:p>
        </w:tc>
        <w:tc>
          <w:tcPr>
            <w:tcW w:w="1685" w:type="dxa"/>
            <w:tcBorders>
              <w:bottom w:val="single" w:sz="4" w:space="0" w:color="000000"/>
            </w:tcBorders>
          </w:tcPr>
          <w:p w14:paraId="6417C75B" w14:textId="77777777" w:rsidR="00704B93" w:rsidRDefault="00704B93" w:rsidP="008A3FD2">
            <w:pPr>
              <w:pStyle w:val="TableParagraph"/>
              <w:spacing w:before="133"/>
              <w:ind w:left="177"/>
              <w:jc w:val="both"/>
              <w:rPr>
                <w:sz w:val="24"/>
              </w:rPr>
            </w:pPr>
            <w:r>
              <w:rPr>
                <w:spacing w:val="-2"/>
                <w:sz w:val="24"/>
              </w:rPr>
              <w:t>221.03±1.02</w:t>
            </w:r>
            <w:r>
              <w:rPr>
                <w:spacing w:val="-2"/>
                <w:sz w:val="24"/>
                <w:vertAlign w:val="superscript"/>
              </w:rPr>
              <w:t>d</w:t>
            </w:r>
          </w:p>
        </w:tc>
        <w:tc>
          <w:tcPr>
            <w:tcW w:w="1628" w:type="dxa"/>
            <w:tcBorders>
              <w:bottom w:val="single" w:sz="4" w:space="0" w:color="000000"/>
            </w:tcBorders>
          </w:tcPr>
          <w:p w14:paraId="7F47D109" w14:textId="77777777" w:rsidR="00704B93" w:rsidRDefault="00704B93" w:rsidP="008A3FD2">
            <w:pPr>
              <w:pStyle w:val="TableParagraph"/>
              <w:spacing w:before="133"/>
              <w:ind w:left="109"/>
              <w:jc w:val="both"/>
              <w:rPr>
                <w:sz w:val="24"/>
              </w:rPr>
            </w:pPr>
            <w:r>
              <w:rPr>
                <w:spacing w:val="-2"/>
                <w:sz w:val="24"/>
              </w:rPr>
              <w:t>219.73±2.2</w:t>
            </w:r>
            <w:r>
              <w:rPr>
                <w:spacing w:val="-2"/>
                <w:sz w:val="24"/>
                <w:vertAlign w:val="superscript"/>
              </w:rPr>
              <w:t>d</w:t>
            </w:r>
          </w:p>
        </w:tc>
      </w:tr>
    </w:tbl>
    <w:p w14:paraId="73EDC51E" w14:textId="77777777" w:rsidR="00704B93" w:rsidRDefault="00704B93" w:rsidP="008A3FD2">
      <w:pPr>
        <w:spacing w:before="247"/>
        <w:ind w:left="1080"/>
        <w:jc w:val="both"/>
        <w:rPr>
          <w:i/>
          <w:sz w:val="24"/>
        </w:rPr>
      </w:pPr>
      <w:r>
        <w:rPr>
          <w:sz w:val="24"/>
        </w:rPr>
        <w:t>AFEAG:</w:t>
      </w:r>
      <w:r>
        <w:rPr>
          <w:spacing w:val="-1"/>
          <w:sz w:val="24"/>
        </w:rPr>
        <w:t xml:space="preserve"> </w:t>
      </w:r>
      <w:r>
        <w:rPr>
          <w:sz w:val="24"/>
        </w:rPr>
        <w:t>Aqueous</w:t>
      </w:r>
      <w:r>
        <w:rPr>
          <w:spacing w:val="-1"/>
          <w:sz w:val="24"/>
        </w:rPr>
        <w:t xml:space="preserve"> </w:t>
      </w:r>
      <w:r>
        <w:rPr>
          <w:sz w:val="24"/>
        </w:rPr>
        <w:t>Fruit Extract</w:t>
      </w:r>
      <w:r>
        <w:rPr>
          <w:spacing w:val="-3"/>
          <w:sz w:val="24"/>
        </w:rPr>
        <w:t xml:space="preserve"> </w:t>
      </w:r>
      <w:r>
        <w:rPr>
          <w:sz w:val="24"/>
        </w:rPr>
        <w:t>of</w:t>
      </w:r>
      <w:r>
        <w:rPr>
          <w:spacing w:val="-6"/>
          <w:sz w:val="24"/>
        </w:rPr>
        <w:t xml:space="preserve"> </w:t>
      </w:r>
      <w:r>
        <w:rPr>
          <w:i/>
          <w:sz w:val="24"/>
        </w:rPr>
        <w:t xml:space="preserve">Azanga </w:t>
      </w:r>
      <w:r>
        <w:rPr>
          <w:i/>
          <w:spacing w:val="-2"/>
          <w:sz w:val="24"/>
        </w:rPr>
        <w:t>garkeana</w:t>
      </w:r>
    </w:p>
    <w:p w14:paraId="03B00BD6" w14:textId="77777777" w:rsidR="00704B93" w:rsidRDefault="00704B93" w:rsidP="008A3FD2">
      <w:pPr>
        <w:pStyle w:val="BodyText"/>
        <w:spacing w:before="161"/>
        <w:jc w:val="both"/>
        <w:rPr>
          <w:i/>
        </w:rPr>
      </w:pPr>
    </w:p>
    <w:p w14:paraId="13C2BA08" w14:textId="77777777" w:rsidR="00704B93" w:rsidRDefault="00704B93" w:rsidP="008A3FD2">
      <w:pPr>
        <w:pStyle w:val="BodyText"/>
        <w:tabs>
          <w:tab w:val="left" w:pos="1981"/>
          <w:tab w:val="left" w:pos="2722"/>
          <w:tab w:val="left" w:pos="4119"/>
          <w:tab w:val="left" w:pos="4769"/>
          <w:tab w:val="left" w:pos="6426"/>
          <w:tab w:val="left" w:pos="7305"/>
          <w:tab w:val="left" w:pos="7960"/>
          <w:tab w:val="left" w:pos="9023"/>
          <w:tab w:val="left" w:pos="9688"/>
          <w:tab w:val="left" w:pos="10749"/>
          <w:tab w:val="left" w:pos="11404"/>
          <w:tab w:val="left" w:pos="12587"/>
          <w:tab w:val="left" w:pos="13250"/>
        </w:tabs>
        <w:ind w:left="1080"/>
        <w:jc w:val="both"/>
      </w:pPr>
      <w:r>
        <w:rPr>
          <w:spacing w:val="-4"/>
        </w:rPr>
        <w:t>Data</w:t>
      </w:r>
      <w:r>
        <w:tab/>
      </w:r>
      <w:r>
        <w:rPr>
          <w:spacing w:val="-5"/>
        </w:rPr>
        <w:t>are</w:t>
      </w:r>
      <w:r>
        <w:tab/>
      </w:r>
      <w:r>
        <w:rPr>
          <w:spacing w:val="-2"/>
        </w:rPr>
        <w:t>expressed</w:t>
      </w:r>
      <w:r>
        <w:tab/>
      </w:r>
      <w:r>
        <w:rPr>
          <w:spacing w:val="-5"/>
        </w:rPr>
        <w:t>as</w:t>
      </w:r>
      <w:r>
        <w:tab/>
      </w:r>
      <w:r>
        <w:rPr>
          <w:spacing w:val="-2"/>
        </w:rPr>
        <w:t>mean±SEM.</w:t>
      </w:r>
      <w:r>
        <w:tab/>
      </w:r>
      <w:r>
        <w:rPr>
          <w:spacing w:val="-4"/>
        </w:rPr>
        <w:t>n=3,</w:t>
      </w:r>
      <w:r>
        <w:tab/>
      </w:r>
      <w:r>
        <w:rPr>
          <w:spacing w:val="-5"/>
          <w:vertAlign w:val="superscript"/>
        </w:rPr>
        <w:t>a</w:t>
      </w:r>
      <w:r>
        <w:rPr>
          <w:spacing w:val="-5"/>
        </w:rPr>
        <w:t>P</w:t>
      </w:r>
      <w:r>
        <w:tab/>
      </w:r>
      <w:r>
        <w:rPr>
          <w:spacing w:val="-2"/>
        </w:rPr>
        <w:t>&lt;0.05,</w:t>
      </w:r>
      <w:r>
        <w:tab/>
      </w:r>
      <w:r>
        <w:rPr>
          <w:spacing w:val="-5"/>
          <w:vertAlign w:val="superscript"/>
        </w:rPr>
        <w:t>b</w:t>
      </w:r>
      <w:r>
        <w:rPr>
          <w:spacing w:val="-5"/>
        </w:rPr>
        <w:t>P</w:t>
      </w:r>
      <w:r>
        <w:tab/>
      </w:r>
      <w:r>
        <w:rPr>
          <w:spacing w:val="-2"/>
        </w:rPr>
        <w:t>&lt;0.01,</w:t>
      </w:r>
      <w:r>
        <w:tab/>
      </w:r>
      <w:r>
        <w:rPr>
          <w:spacing w:val="-5"/>
          <w:vertAlign w:val="superscript"/>
        </w:rPr>
        <w:t>c</w:t>
      </w:r>
      <w:r>
        <w:rPr>
          <w:spacing w:val="-5"/>
        </w:rPr>
        <w:t>P</w:t>
      </w:r>
      <w:r>
        <w:tab/>
      </w:r>
      <w:r>
        <w:rPr>
          <w:spacing w:val="-2"/>
        </w:rPr>
        <w:t>&lt;0.001,</w:t>
      </w:r>
      <w:r>
        <w:tab/>
      </w:r>
      <w:r>
        <w:rPr>
          <w:spacing w:val="-5"/>
          <w:vertAlign w:val="superscript"/>
        </w:rPr>
        <w:t>d</w:t>
      </w:r>
      <w:r>
        <w:rPr>
          <w:spacing w:val="-5"/>
        </w:rPr>
        <w:t>P</w:t>
      </w:r>
      <w:r>
        <w:tab/>
      </w:r>
      <w:r>
        <w:rPr>
          <w:spacing w:val="-2"/>
        </w:rPr>
        <w:t>&lt;0.0001</w:t>
      </w:r>
    </w:p>
    <w:p w14:paraId="30677B9B" w14:textId="77777777" w:rsidR="00704B93" w:rsidRDefault="00704B93" w:rsidP="008A3FD2">
      <w:pPr>
        <w:pStyle w:val="BodyText"/>
        <w:jc w:val="both"/>
        <w:sectPr w:rsidR="00704B93" w:rsidSect="00704B93">
          <w:headerReference w:type="even" r:id="rId19"/>
          <w:headerReference w:type="default" r:id="rId20"/>
          <w:headerReference w:type="first" r:id="rId21"/>
          <w:pgSz w:w="15840" w:h="12240" w:orient="landscape"/>
          <w:pgMar w:top="680" w:right="360" w:bottom="280" w:left="360" w:header="0" w:footer="0" w:gutter="0"/>
          <w:cols w:space="720"/>
        </w:sectPr>
      </w:pPr>
    </w:p>
    <w:p w14:paraId="0CFDB3B7" w14:textId="77777777" w:rsidR="00704B93" w:rsidRDefault="00704B93" w:rsidP="008A3FD2">
      <w:pPr>
        <w:pStyle w:val="Heading1"/>
        <w:numPr>
          <w:ilvl w:val="1"/>
          <w:numId w:val="13"/>
        </w:numPr>
        <w:tabs>
          <w:tab w:val="left" w:pos="1438"/>
        </w:tabs>
        <w:spacing w:before="79"/>
        <w:jc w:val="both"/>
      </w:pPr>
      <w:r>
        <w:lastRenderedPageBreak/>
        <w:t>ANTI</w:t>
      </w:r>
      <w:r>
        <w:rPr>
          <w:spacing w:val="-12"/>
          <w:highlight w:val="yellow"/>
        </w:rPr>
        <w:t>-</w:t>
      </w:r>
      <w:r>
        <w:t>INFERTILITY</w:t>
      </w:r>
      <w:r>
        <w:rPr>
          <w:spacing w:val="-12"/>
        </w:rPr>
        <w:t xml:space="preserve"> </w:t>
      </w:r>
      <w:r>
        <w:rPr>
          <w:spacing w:val="-2"/>
        </w:rPr>
        <w:t>ACTIVITIES</w:t>
      </w:r>
    </w:p>
    <w:p w14:paraId="7BE4351D" w14:textId="77777777" w:rsidR="00704B93" w:rsidRDefault="00704B93" w:rsidP="008A3FD2">
      <w:pPr>
        <w:pStyle w:val="BodyText"/>
        <w:jc w:val="both"/>
        <w:rPr>
          <w:b/>
        </w:rPr>
      </w:pPr>
    </w:p>
    <w:p w14:paraId="7CD69E3B" w14:textId="77777777" w:rsidR="00704B93" w:rsidRDefault="00704B93" w:rsidP="008A3FD2">
      <w:pPr>
        <w:pStyle w:val="Heading2"/>
        <w:numPr>
          <w:ilvl w:val="2"/>
          <w:numId w:val="13"/>
        </w:numPr>
        <w:tabs>
          <w:tab w:val="left" w:pos="1618"/>
        </w:tabs>
        <w:ind w:hanging="538"/>
        <w:jc w:val="both"/>
      </w:pPr>
      <w:r>
        <w:t>Body</w:t>
      </w:r>
      <w:r>
        <w:rPr>
          <w:spacing w:val="-4"/>
        </w:rPr>
        <w:t xml:space="preserve"> </w:t>
      </w:r>
      <w:r>
        <w:rPr>
          <w:highlight w:val="yellow"/>
        </w:rPr>
        <w:t>W</w:t>
      </w:r>
      <w:r>
        <w:t>eight</w:t>
      </w:r>
      <w:r>
        <w:rPr>
          <w:spacing w:val="-5"/>
        </w:rPr>
        <w:t xml:space="preserve"> </w:t>
      </w:r>
      <w:r>
        <w:t>of</w:t>
      </w:r>
      <w:r>
        <w:rPr>
          <w:spacing w:val="-8"/>
        </w:rPr>
        <w:t xml:space="preserve"> </w:t>
      </w:r>
      <w:r>
        <w:rPr>
          <w:spacing w:val="-2"/>
          <w:highlight w:val="yellow"/>
        </w:rPr>
        <w:t>A</w:t>
      </w:r>
      <w:r>
        <w:rPr>
          <w:spacing w:val="-2"/>
        </w:rPr>
        <w:t>nimals</w:t>
      </w:r>
    </w:p>
    <w:p w14:paraId="508131A6" w14:textId="77777777" w:rsidR="00704B93" w:rsidRDefault="00704B93" w:rsidP="008A3FD2">
      <w:pPr>
        <w:pStyle w:val="BodyText"/>
        <w:jc w:val="both"/>
        <w:rPr>
          <w:b/>
        </w:rPr>
      </w:pPr>
    </w:p>
    <w:p w14:paraId="075A7CA8" w14:textId="77777777" w:rsidR="00704B93" w:rsidRDefault="00704B93" w:rsidP="008A3FD2">
      <w:pPr>
        <w:pStyle w:val="BodyText"/>
        <w:spacing w:line="480" w:lineRule="auto"/>
        <w:ind w:left="1080" w:right="1087"/>
        <w:jc w:val="both"/>
      </w:pPr>
      <w:r>
        <w:t>The weight of rats used for the anti-infertility test was between 112 and 223 g. The findings in Figure</w:t>
      </w:r>
      <w:r>
        <w:rPr>
          <w:spacing w:val="-2"/>
        </w:rPr>
        <w:t xml:space="preserve"> </w:t>
      </w:r>
      <w:r>
        <w:t>1</w:t>
      </w:r>
      <w:r>
        <w:rPr>
          <w:spacing w:val="-2"/>
        </w:rPr>
        <w:t xml:space="preserve"> </w:t>
      </w:r>
      <w:r>
        <w:t>revealed</w:t>
      </w:r>
      <w:r>
        <w:rPr>
          <w:spacing w:val="-2"/>
        </w:rPr>
        <w:t xml:space="preserve"> </w:t>
      </w:r>
      <w:r>
        <w:t>a</w:t>
      </w:r>
      <w:r>
        <w:rPr>
          <w:spacing w:val="-5"/>
        </w:rPr>
        <w:t xml:space="preserve"> </w:t>
      </w:r>
      <w:r>
        <w:t>loss</w:t>
      </w:r>
      <w:r>
        <w:rPr>
          <w:spacing w:val="-2"/>
        </w:rPr>
        <w:t xml:space="preserve"> </w:t>
      </w:r>
      <w:r>
        <w:t>in</w:t>
      </w:r>
      <w:r>
        <w:rPr>
          <w:spacing w:val="-2"/>
        </w:rPr>
        <w:t xml:space="preserve"> </w:t>
      </w:r>
      <w:r>
        <w:t>final</w:t>
      </w:r>
      <w:r>
        <w:rPr>
          <w:spacing w:val="-2"/>
        </w:rPr>
        <w:t xml:space="preserve"> </w:t>
      </w:r>
      <w:r>
        <w:t>body</w:t>
      </w:r>
      <w:r>
        <w:rPr>
          <w:spacing w:val="-2"/>
        </w:rPr>
        <w:t xml:space="preserve"> </w:t>
      </w:r>
      <w:r>
        <w:t xml:space="preserve">weight </w:t>
      </w:r>
      <w:r>
        <w:rPr>
          <w:highlight w:val="yellow"/>
        </w:rPr>
        <w:t xml:space="preserve">in </w:t>
      </w:r>
      <w:r>
        <w:t>both</w:t>
      </w:r>
      <w:r>
        <w:rPr>
          <w:spacing w:val="-2"/>
        </w:rPr>
        <w:t xml:space="preserve"> </w:t>
      </w:r>
      <w:r>
        <w:t>males</w:t>
      </w:r>
      <w:r>
        <w:rPr>
          <w:spacing w:val="-2"/>
        </w:rPr>
        <w:t xml:space="preserve"> </w:t>
      </w:r>
      <w:r>
        <w:t>and</w:t>
      </w:r>
      <w:r>
        <w:rPr>
          <w:spacing w:val="-2"/>
        </w:rPr>
        <w:t xml:space="preserve"> </w:t>
      </w:r>
      <w:r>
        <w:t>females.</w:t>
      </w:r>
      <w:r>
        <w:rPr>
          <w:spacing w:val="-2"/>
        </w:rPr>
        <w:t xml:space="preserve"> </w:t>
      </w:r>
      <w:r>
        <w:t>Among</w:t>
      </w:r>
      <w:r>
        <w:rPr>
          <w:spacing w:val="-2"/>
        </w:rPr>
        <w:t xml:space="preserve"> </w:t>
      </w:r>
      <w:r>
        <w:t>all animals,</w:t>
      </w:r>
      <w:r>
        <w:rPr>
          <w:spacing w:val="-2"/>
        </w:rPr>
        <w:t xml:space="preserve"> </w:t>
      </w:r>
      <w:r>
        <w:t xml:space="preserve">only </w:t>
      </w:r>
      <w:r>
        <w:rPr>
          <w:highlight w:val="yellow"/>
        </w:rPr>
        <w:t xml:space="preserve">males in </w:t>
      </w:r>
      <w:r>
        <w:t xml:space="preserve">the Normal Control Group </w:t>
      </w:r>
      <w:r>
        <w:rPr>
          <w:highlight w:val="yellow"/>
        </w:rPr>
        <w:t>g</w:t>
      </w:r>
      <w:r>
        <w:t>a</w:t>
      </w:r>
      <w:r>
        <w:rPr>
          <w:highlight w:val="yellow"/>
        </w:rPr>
        <w:t>in</w:t>
      </w:r>
      <w:r>
        <w:t xml:space="preserve">ed weight significantly compared with </w:t>
      </w:r>
      <w:r>
        <w:rPr>
          <w:highlight w:val="yellow"/>
        </w:rPr>
        <w:t xml:space="preserve">the </w:t>
      </w:r>
      <w:r>
        <w:t xml:space="preserve">corresponding Negative </w:t>
      </w:r>
      <w:r>
        <w:rPr>
          <w:highlight w:val="yellow"/>
        </w:rPr>
        <w:t>C</w:t>
      </w:r>
      <w:r>
        <w:t xml:space="preserve">ontrol </w:t>
      </w:r>
      <w:r>
        <w:rPr>
          <w:highlight w:val="yellow"/>
        </w:rPr>
        <w:t>G</w:t>
      </w:r>
      <w:r>
        <w:t>roup.</w:t>
      </w:r>
    </w:p>
    <w:p w14:paraId="356CFA38" w14:textId="77777777" w:rsidR="00704B93" w:rsidRDefault="00704B93" w:rsidP="008A3FD2">
      <w:pPr>
        <w:pStyle w:val="BodyText"/>
        <w:spacing w:line="480" w:lineRule="auto"/>
        <w:jc w:val="both"/>
        <w:sectPr w:rsidR="00704B93" w:rsidSect="00704B93">
          <w:headerReference w:type="even" r:id="rId22"/>
          <w:headerReference w:type="default" r:id="rId23"/>
          <w:headerReference w:type="first" r:id="rId24"/>
          <w:pgSz w:w="12240" w:h="15840"/>
          <w:pgMar w:top="1340" w:right="360" w:bottom="280" w:left="360" w:header="752" w:footer="0" w:gutter="0"/>
          <w:pgNumType w:start="5"/>
          <w:cols w:space="720"/>
        </w:sectPr>
      </w:pPr>
    </w:p>
    <w:p w14:paraId="30C8113C" w14:textId="77777777" w:rsidR="00704B93" w:rsidRDefault="00704B93" w:rsidP="008A3FD2">
      <w:pPr>
        <w:pStyle w:val="BodyText"/>
        <w:jc w:val="both"/>
      </w:pPr>
    </w:p>
    <w:p w14:paraId="0649EAF0" w14:textId="77777777" w:rsidR="00704B93" w:rsidRDefault="00704B93" w:rsidP="008A3FD2">
      <w:pPr>
        <w:pStyle w:val="BodyText"/>
        <w:jc w:val="both"/>
      </w:pPr>
    </w:p>
    <w:p w14:paraId="5CC6BF3E" w14:textId="77777777" w:rsidR="00704B93" w:rsidRDefault="00704B93" w:rsidP="008A3FD2">
      <w:pPr>
        <w:pStyle w:val="BodyText"/>
        <w:jc w:val="both"/>
      </w:pPr>
    </w:p>
    <w:p w14:paraId="4FA3A75B" w14:textId="77777777" w:rsidR="00704B93" w:rsidRDefault="00704B93" w:rsidP="008A3FD2">
      <w:pPr>
        <w:pStyle w:val="BodyText"/>
        <w:jc w:val="both"/>
      </w:pPr>
    </w:p>
    <w:p w14:paraId="5458353C" w14:textId="77777777" w:rsidR="00704B93" w:rsidRDefault="00704B93" w:rsidP="008A3FD2">
      <w:pPr>
        <w:pStyle w:val="BodyText"/>
        <w:jc w:val="both"/>
      </w:pPr>
    </w:p>
    <w:p w14:paraId="56FF1D35" w14:textId="77777777" w:rsidR="00704B93" w:rsidRDefault="00704B93" w:rsidP="008A3FD2">
      <w:pPr>
        <w:pStyle w:val="BodyText"/>
        <w:jc w:val="both"/>
      </w:pPr>
    </w:p>
    <w:p w14:paraId="14104F00" w14:textId="77777777" w:rsidR="00704B93" w:rsidRDefault="00704B93" w:rsidP="008A3FD2">
      <w:pPr>
        <w:pStyle w:val="BodyText"/>
        <w:jc w:val="both"/>
      </w:pPr>
    </w:p>
    <w:p w14:paraId="50B3772F" w14:textId="77777777" w:rsidR="00704B93" w:rsidRDefault="00704B93" w:rsidP="008A3FD2">
      <w:pPr>
        <w:pStyle w:val="BodyText"/>
        <w:jc w:val="both"/>
      </w:pPr>
    </w:p>
    <w:p w14:paraId="0FF02B28" w14:textId="77777777" w:rsidR="00704B93" w:rsidRDefault="00704B93" w:rsidP="008A3FD2">
      <w:pPr>
        <w:pStyle w:val="BodyText"/>
        <w:jc w:val="both"/>
      </w:pPr>
    </w:p>
    <w:p w14:paraId="0BB45249" w14:textId="77777777" w:rsidR="00704B93" w:rsidRDefault="00704B93" w:rsidP="008A3FD2">
      <w:pPr>
        <w:pStyle w:val="BodyText"/>
        <w:jc w:val="both"/>
      </w:pPr>
    </w:p>
    <w:p w14:paraId="1FC56934" w14:textId="77777777" w:rsidR="00704B93" w:rsidRDefault="00704B93" w:rsidP="008A3FD2">
      <w:pPr>
        <w:pStyle w:val="BodyText"/>
        <w:jc w:val="both"/>
      </w:pPr>
    </w:p>
    <w:p w14:paraId="7361A995" w14:textId="77777777" w:rsidR="00704B93" w:rsidRDefault="00704B93" w:rsidP="008A3FD2">
      <w:pPr>
        <w:pStyle w:val="BodyText"/>
        <w:jc w:val="both"/>
      </w:pPr>
    </w:p>
    <w:p w14:paraId="04B3B417" w14:textId="77777777" w:rsidR="00704B93" w:rsidRDefault="00704B93" w:rsidP="008A3FD2">
      <w:pPr>
        <w:pStyle w:val="BodyText"/>
        <w:jc w:val="both"/>
      </w:pPr>
    </w:p>
    <w:p w14:paraId="7D108CAD" w14:textId="77777777" w:rsidR="00704B93" w:rsidRDefault="00704B93" w:rsidP="008A3FD2">
      <w:pPr>
        <w:pStyle w:val="BodyText"/>
        <w:jc w:val="both"/>
      </w:pPr>
    </w:p>
    <w:p w14:paraId="7EF1BD22" w14:textId="77777777" w:rsidR="00704B93" w:rsidRDefault="00704B93" w:rsidP="008A3FD2">
      <w:pPr>
        <w:pStyle w:val="BodyText"/>
        <w:jc w:val="both"/>
      </w:pPr>
    </w:p>
    <w:p w14:paraId="1AF1BDF6" w14:textId="77777777" w:rsidR="00704B93" w:rsidRDefault="00704B93" w:rsidP="008A3FD2">
      <w:pPr>
        <w:pStyle w:val="BodyText"/>
        <w:jc w:val="both"/>
      </w:pPr>
    </w:p>
    <w:p w14:paraId="47113C8A" w14:textId="77777777" w:rsidR="00704B93" w:rsidRDefault="00704B93" w:rsidP="008A3FD2">
      <w:pPr>
        <w:pStyle w:val="BodyText"/>
        <w:spacing w:before="84"/>
        <w:jc w:val="both"/>
      </w:pPr>
    </w:p>
    <w:p w14:paraId="7B4C607B" w14:textId="77777777" w:rsidR="00704B93" w:rsidRDefault="00704B93" w:rsidP="008A3FD2">
      <w:pPr>
        <w:ind w:left="1139"/>
        <w:jc w:val="both"/>
        <w:rPr>
          <w:sz w:val="24"/>
        </w:rPr>
      </w:pPr>
      <w:r>
        <w:rPr>
          <w:noProof/>
          <w:sz w:val="24"/>
        </w:rPr>
        <w:drawing>
          <wp:anchor distT="0" distB="0" distL="0" distR="0" simplePos="0" relativeHeight="251659264" behindDoc="0" locked="0" layoutInCell="1" allowOverlap="1" wp14:anchorId="5379462F" wp14:editId="6E8654DC">
            <wp:simplePos x="0" y="0"/>
            <wp:positionH relativeFrom="page">
              <wp:posOffset>987425</wp:posOffset>
            </wp:positionH>
            <wp:positionV relativeFrom="paragraph">
              <wp:posOffset>-2984500</wp:posOffset>
            </wp:positionV>
            <wp:extent cx="5779135" cy="3130550"/>
            <wp:effectExtent l="0" t="0" r="0" b="0"/>
            <wp:wrapNone/>
            <wp:docPr id="25" name="Image 25"/>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5" cstate="print"/>
                    <a:stretch>
                      <a:fillRect/>
                    </a:stretch>
                  </pic:blipFill>
                  <pic:spPr>
                    <a:xfrm>
                      <a:off x="0" y="0"/>
                      <a:ext cx="5779008" cy="3130296"/>
                    </a:xfrm>
                    <a:prstGeom prst="rect">
                      <a:avLst/>
                    </a:prstGeom>
                  </pic:spPr>
                </pic:pic>
              </a:graphicData>
            </a:graphic>
          </wp:anchor>
        </w:drawing>
      </w:r>
      <w:r>
        <w:rPr>
          <w:spacing w:val="-10"/>
          <w:sz w:val="24"/>
        </w:rPr>
        <w:t>.</w:t>
      </w:r>
    </w:p>
    <w:p w14:paraId="3C1E5388" w14:textId="77777777" w:rsidR="00704B93" w:rsidRDefault="00704B93" w:rsidP="008A3FD2">
      <w:pPr>
        <w:pStyle w:val="BodyText"/>
        <w:spacing w:before="159"/>
        <w:jc w:val="both"/>
      </w:pPr>
    </w:p>
    <w:p w14:paraId="72776431" w14:textId="77777777" w:rsidR="00704B93" w:rsidRDefault="00704B93" w:rsidP="008A3FD2">
      <w:pPr>
        <w:pStyle w:val="BodyText"/>
        <w:ind w:left="1080"/>
        <w:jc w:val="both"/>
      </w:pPr>
      <w:r>
        <w:t>Figure</w:t>
      </w:r>
      <w:r>
        <w:rPr>
          <w:spacing w:val="-7"/>
        </w:rPr>
        <w:t xml:space="preserve"> </w:t>
      </w:r>
      <w:r w:rsidR="00D661EB">
        <w:t>1</w:t>
      </w:r>
      <w:r>
        <w:t>:</w:t>
      </w:r>
      <w:r>
        <w:rPr>
          <w:spacing w:val="-2"/>
        </w:rPr>
        <w:t xml:space="preserve"> </w:t>
      </w:r>
      <w:r>
        <w:t>Initial</w:t>
      </w:r>
      <w:r>
        <w:rPr>
          <w:spacing w:val="-8"/>
        </w:rPr>
        <w:t xml:space="preserve"> </w:t>
      </w:r>
      <w:r>
        <w:t>and</w:t>
      </w:r>
      <w:r>
        <w:rPr>
          <w:spacing w:val="-3"/>
        </w:rPr>
        <w:t xml:space="preserve"> </w:t>
      </w:r>
      <w:r>
        <w:t>Final</w:t>
      </w:r>
      <w:r>
        <w:rPr>
          <w:spacing w:val="-4"/>
        </w:rPr>
        <w:t xml:space="preserve"> </w:t>
      </w:r>
      <w:r>
        <w:t>Body</w:t>
      </w:r>
      <w:r>
        <w:rPr>
          <w:spacing w:val="-6"/>
        </w:rPr>
        <w:t xml:space="preserve"> </w:t>
      </w:r>
      <w:r>
        <w:t>Weights</w:t>
      </w:r>
      <w:r>
        <w:rPr>
          <w:spacing w:val="-6"/>
        </w:rPr>
        <w:t xml:space="preserve"> </w:t>
      </w:r>
      <w:r>
        <w:t>of</w:t>
      </w:r>
      <w:r>
        <w:rPr>
          <w:spacing w:val="-7"/>
        </w:rPr>
        <w:t xml:space="preserve"> </w:t>
      </w:r>
      <w:r>
        <w:t>Male</w:t>
      </w:r>
      <w:r>
        <w:rPr>
          <w:spacing w:val="-6"/>
        </w:rPr>
        <w:t xml:space="preserve"> </w:t>
      </w:r>
      <w:r>
        <w:t>and</w:t>
      </w:r>
      <w:r>
        <w:rPr>
          <w:spacing w:val="-6"/>
        </w:rPr>
        <w:t xml:space="preserve"> </w:t>
      </w:r>
      <w:r>
        <w:t>Female</w:t>
      </w:r>
      <w:r>
        <w:rPr>
          <w:spacing w:val="-8"/>
        </w:rPr>
        <w:t xml:space="preserve"> </w:t>
      </w:r>
      <w:r>
        <w:rPr>
          <w:spacing w:val="-2"/>
        </w:rPr>
        <w:t>Rats.</w:t>
      </w:r>
    </w:p>
    <w:p w14:paraId="694B9932" w14:textId="77777777" w:rsidR="00704B93" w:rsidRDefault="00704B93" w:rsidP="008A3FD2">
      <w:pPr>
        <w:pStyle w:val="BodyText"/>
        <w:spacing w:before="160"/>
        <w:jc w:val="both"/>
      </w:pPr>
    </w:p>
    <w:p w14:paraId="1440F480" w14:textId="77777777" w:rsidR="00704B93" w:rsidRDefault="00704B93" w:rsidP="008A3FD2">
      <w:pPr>
        <w:pStyle w:val="BodyText"/>
        <w:spacing w:before="1" w:line="480" w:lineRule="auto"/>
        <w:ind w:left="1080" w:right="1078"/>
        <w:jc w:val="both"/>
      </w:pPr>
      <w:r>
        <w:t>IWM: Initial Weight of Males; FWM: Final Weight of Males; IWF: Initial Weight of Females;</w:t>
      </w:r>
      <w:r>
        <w:rPr>
          <w:spacing w:val="40"/>
        </w:rPr>
        <w:t xml:space="preserve"> </w:t>
      </w:r>
      <w:r>
        <w:t>FWF: Final Weight of Females.</w:t>
      </w:r>
    </w:p>
    <w:p w14:paraId="1AF0841B" w14:textId="77777777" w:rsidR="00704B93" w:rsidRDefault="00704B93" w:rsidP="008A3FD2">
      <w:pPr>
        <w:pStyle w:val="BodyText"/>
        <w:spacing w:line="480" w:lineRule="auto"/>
        <w:ind w:left="1080" w:right="1078"/>
        <w:jc w:val="both"/>
      </w:pPr>
      <w:r>
        <w:t>Data</w:t>
      </w:r>
      <w:r>
        <w:rPr>
          <w:spacing w:val="40"/>
        </w:rPr>
        <w:t xml:space="preserve"> </w:t>
      </w:r>
      <w:r>
        <w:t>are</w:t>
      </w:r>
      <w:r>
        <w:rPr>
          <w:spacing w:val="40"/>
        </w:rPr>
        <w:t xml:space="preserve"> </w:t>
      </w:r>
      <w:r>
        <w:t>presented</w:t>
      </w:r>
      <w:r>
        <w:rPr>
          <w:spacing w:val="40"/>
        </w:rPr>
        <w:t xml:space="preserve"> </w:t>
      </w:r>
      <w:r>
        <w:t>as</w:t>
      </w:r>
      <w:r>
        <w:rPr>
          <w:spacing w:val="40"/>
        </w:rPr>
        <w:t xml:space="preserve"> </w:t>
      </w:r>
      <w:r>
        <w:t>mean</w:t>
      </w:r>
      <w:r>
        <w:rPr>
          <w:spacing w:val="40"/>
        </w:rPr>
        <w:t xml:space="preserve"> </w:t>
      </w:r>
      <w:r>
        <w:t>±</w:t>
      </w:r>
      <w:r>
        <w:rPr>
          <w:spacing w:val="40"/>
        </w:rPr>
        <w:t xml:space="preserve"> </w:t>
      </w:r>
      <w:r>
        <w:t>SEM.</w:t>
      </w:r>
      <w:r>
        <w:rPr>
          <w:spacing w:val="40"/>
        </w:rPr>
        <w:t xml:space="preserve"> </w:t>
      </w:r>
      <w:r>
        <w:t>n=3,</w:t>
      </w:r>
      <w:r>
        <w:rPr>
          <w:spacing w:val="40"/>
        </w:rPr>
        <w:t xml:space="preserve"> </w:t>
      </w:r>
      <w:r>
        <w:rPr>
          <w:vertAlign w:val="superscript"/>
        </w:rPr>
        <w:t>*</w:t>
      </w:r>
      <w:r>
        <w:t>P</w:t>
      </w:r>
      <w:r>
        <w:rPr>
          <w:spacing w:val="40"/>
        </w:rPr>
        <w:t xml:space="preserve"> </w:t>
      </w:r>
      <w:r>
        <w:t>&lt;0.05</w:t>
      </w:r>
      <w:r>
        <w:rPr>
          <w:spacing w:val="40"/>
        </w:rPr>
        <w:t xml:space="preserve"> </w:t>
      </w:r>
      <w:r>
        <w:t>Compared</w:t>
      </w:r>
      <w:r>
        <w:rPr>
          <w:spacing w:val="40"/>
        </w:rPr>
        <w:t xml:space="preserve"> </w:t>
      </w:r>
      <w:r>
        <w:t>with</w:t>
      </w:r>
      <w:r>
        <w:rPr>
          <w:spacing w:val="40"/>
        </w:rPr>
        <w:t xml:space="preserve"> </w:t>
      </w:r>
      <w:r>
        <w:t>corresponding</w:t>
      </w:r>
      <w:r>
        <w:rPr>
          <w:spacing w:val="40"/>
        </w:rPr>
        <w:t xml:space="preserve"> </w:t>
      </w:r>
      <w:r>
        <w:t xml:space="preserve">Negative </w:t>
      </w:r>
      <w:r>
        <w:rPr>
          <w:spacing w:val="-2"/>
        </w:rPr>
        <w:t>Control.</w:t>
      </w:r>
    </w:p>
    <w:p w14:paraId="1808BCBA" w14:textId="77777777" w:rsidR="00704B93" w:rsidRDefault="00704B93" w:rsidP="008A3FD2">
      <w:pPr>
        <w:pStyle w:val="BodyText"/>
        <w:spacing w:line="480" w:lineRule="auto"/>
        <w:jc w:val="both"/>
        <w:sectPr w:rsidR="00704B93" w:rsidSect="00704B93">
          <w:pgSz w:w="12240" w:h="15840"/>
          <w:pgMar w:top="1340" w:right="360" w:bottom="280" w:left="360" w:header="752" w:footer="0" w:gutter="0"/>
          <w:cols w:space="720"/>
        </w:sectPr>
      </w:pPr>
    </w:p>
    <w:p w14:paraId="223CF8E6" w14:textId="77777777" w:rsidR="00704B93" w:rsidRDefault="00704B93" w:rsidP="008A3FD2">
      <w:pPr>
        <w:pStyle w:val="Heading2"/>
        <w:numPr>
          <w:ilvl w:val="2"/>
          <w:numId w:val="13"/>
        </w:numPr>
        <w:tabs>
          <w:tab w:val="left" w:pos="1618"/>
        </w:tabs>
        <w:spacing w:before="79"/>
        <w:ind w:hanging="538"/>
        <w:jc w:val="both"/>
      </w:pPr>
      <w:r>
        <w:lastRenderedPageBreak/>
        <w:t>Glucose</w:t>
      </w:r>
      <w:r>
        <w:rPr>
          <w:spacing w:val="-6"/>
        </w:rPr>
        <w:t xml:space="preserve"> </w:t>
      </w:r>
      <w:r>
        <w:rPr>
          <w:highlight w:val="yellow"/>
        </w:rPr>
        <w:t>L</w:t>
      </w:r>
      <w:r>
        <w:t>evel</w:t>
      </w:r>
      <w:r>
        <w:rPr>
          <w:spacing w:val="-6"/>
        </w:rPr>
        <w:t xml:space="preserve"> </w:t>
      </w:r>
      <w:r>
        <w:t>of</w:t>
      </w:r>
      <w:r>
        <w:rPr>
          <w:spacing w:val="-7"/>
        </w:rPr>
        <w:t xml:space="preserve"> </w:t>
      </w:r>
      <w:r>
        <w:rPr>
          <w:spacing w:val="-2"/>
          <w:highlight w:val="yellow"/>
        </w:rPr>
        <w:t>A</w:t>
      </w:r>
      <w:r>
        <w:rPr>
          <w:spacing w:val="-2"/>
        </w:rPr>
        <w:t>nimals</w:t>
      </w:r>
    </w:p>
    <w:p w14:paraId="1825546B" w14:textId="77777777" w:rsidR="00704B93" w:rsidRDefault="00704B93" w:rsidP="008A3FD2">
      <w:pPr>
        <w:pStyle w:val="BodyText"/>
        <w:jc w:val="both"/>
        <w:rPr>
          <w:b/>
        </w:rPr>
      </w:pPr>
    </w:p>
    <w:p w14:paraId="6B243D92" w14:textId="77777777" w:rsidR="00704B93" w:rsidRDefault="00704B93" w:rsidP="008A3FD2">
      <w:pPr>
        <w:pStyle w:val="BodyText"/>
        <w:spacing w:line="480" w:lineRule="auto"/>
        <w:ind w:left="1080" w:right="1089"/>
        <w:jc w:val="both"/>
      </w:pPr>
      <w:r>
        <w:t xml:space="preserve">The results revealed that </w:t>
      </w:r>
      <w:r>
        <w:rPr>
          <w:highlight w:val="yellow"/>
        </w:rPr>
        <w:t xml:space="preserve">the </w:t>
      </w:r>
      <w:r>
        <w:t>initial glucose</w:t>
      </w:r>
      <w:r>
        <w:rPr>
          <w:highlight w:val="yellow"/>
        </w:rPr>
        <w:t xml:space="preserve"> levels</w:t>
      </w:r>
      <w:r>
        <w:t xml:space="preserve"> in male and female rats were higher than their final levels</w:t>
      </w:r>
      <w:r>
        <w:rPr>
          <w:highlight w:val="yellow"/>
        </w:rPr>
        <w:t>,</w:t>
      </w:r>
      <w:r>
        <w:t xml:space="preserve"> except </w:t>
      </w:r>
      <w:r>
        <w:rPr>
          <w:highlight w:val="yellow"/>
        </w:rPr>
        <w:t>in the</w:t>
      </w:r>
      <w:r>
        <w:t xml:space="preserve"> Normal Control and Negative Control Groups. For the Normal Control Group, there was no difference between </w:t>
      </w:r>
      <w:r>
        <w:rPr>
          <w:highlight w:val="yellow"/>
        </w:rPr>
        <w:t xml:space="preserve">the </w:t>
      </w:r>
      <w:r>
        <w:t xml:space="preserve">initial and final glucose </w:t>
      </w:r>
      <w:r>
        <w:rPr>
          <w:highlight w:val="yellow"/>
        </w:rPr>
        <w:t xml:space="preserve">levels </w:t>
      </w:r>
      <w:r>
        <w:t>in</w:t>
      </w:r>
      <w:r>
        <w:rPr>
          <w:highlight w:val="yellow"/>
        </w:rPr>
        <w:t xml:space="preserve"> the</w:t>
      </w:r>
      <w:r>
        <w:t xml:space="preserve"> animals</w:t>
      </w:r>
      <w:r>
        <w:rPr>
          <w:highlight w:val="yellow"/>
        </w:rPr>
        <w:t>,</w:t>
      </w:r>
      <w:r>
        <w:t xml:space="preserve"> </w:t>
      </w:r>
      <w:r>
        <w:rPr>
          <w:highlight w:val="yellow"/>
        </w:rPr>
        <w:t>w</w:t>
      </w:r>
      <w:r>
        <w:t>he</w:t>
      </w:r>
      <w:r>
        <w:rPr>
          <w:highlight w:val="yellow"/>
        </w:rPr>
        <w:t>reas</w:t>
      </w:r>
      <w:r>
        <w:t xml:space="preserve"> the final glucose level in </w:t>
      </w:r>
      <w:r>
        <w:rPr>
          <w:highlight w:val="yellow"/>
        </w:rPr>
        <w:t xml:space="preserve">the </w:t>
      </w:r>
      <w:r>
        <w:t xml:space="preserve">Negative </w:t>
      </w:r>
      <w:r>
        <w:rPr>
          <w:highlight w:val="yellow"/>
        </w:rPr>
        <w:t>C</w:t>
      </w:r>
      <w:r>
        <w:t>ontrol</w:t>
      </w:r>
      <w:r>
        <w:rPr>
          <w:highlight w:val="yellow"/>
        </w:rPr>
        <w:t xml:space="preserve"> Group</w:t>
      </w:r>
      <w:r>
        <w:t xml:space="preserve"> increased compared </w:t>
      </w:r>
      <w:r>
        <w:rPr>
          <w:highlight w:val="yellow"/>
        </w:rPr>
        <w:t>wi</w:t>
      </w:r>
      <w:r>
        <w:t>t</w:t>
      </w:r>
      <w:r>
        <w:rPr>
          <w:highlight w:val="yellow"/>
        </w:rPr>
        <w:t>h</w:t>
      </w:r>
      <w:r>
        <w:t xml:space="preserve"> the initial glucose level for both sexes. Treated groups exhibited a significant decrease </w:t>
      </w:r>
      <w:r>
        <w:rPr>
          <w:highlight w:val="yellow"/>
        </w:rPr>
        <w:t>in</w:t>
      </w:r>
      <w:r>
        <w:t xml:space="preserve"> glucose level compared with</w:t>
      </w:r>
      <w:r>
        <w:rPr>
          <w:highlight w:val="yellow"/>
        </w:rPr>
        <w:t xml:space="preserve"> the</w:t>
      </w:r>
      <w:r>
        <w:t xml:space="preserve"> corresponding Negative Control Group in males and females. The decrease </w:t>
      </w:r>
      <w:r>
        <w:rPr>
          <w:highlight w:val="yellow"/>
        </w:rPr>
        <w:t>in</w:t>
      </w:r>
      <w:r>
        <w:t xml:space="preserve"> glucose level in females was </w:t>
      </w:r>
      <w:r>
        <w:rPr>
          <w:highlight w:val="yellow"/>
        </w:rPr>
        <w:t>g</w:t>
      </w:r>
      <w:r>
        <w:t>re</w:t>
      </w:r>
      <w:r>
        <w:rPr>
          <w:highlight w:val="yellow"/>
        </w:rPr>
        <w:t>ate</w:t>
      </w:r>
      <w:r>
        <w:t>r than th</w:t>
      </w:r>
      <w:r>
        <w:rPr>
          <w:highlight w:val="yellow"/>
        </w:rPr>
        <w:t>at</w:t>
      </w:r>
      <w:r>
        <w:t xml:space="preserve"> in males (Figure 2).</w:t>
      </w:r>
    </w:p>
    <w:p w14:paraId="685B0CC9" w14:textId="77777777" w:rsidR="00704B93" w:rsidRDefault="00704B93" w:rsidP="008A3FD2">
      <w:pPr>
        <w:pStyle w:val="BodyText"/>
        <w:spacing w:line="480" w:lineRule="auto"/>
        <w:jc w:val="both"/>
        <w:sectPr w:rsidR="00704B93" w:rsidSect="00704B93">
          <w:pgSz w:w="12240" w:h="15840"/>
          <w:pgMar w:top="1340" w:right="360" w:bottom="280" w:left="360" w:header="752" w:footer="0" w:gutter="0"/>
          <w:cols w:space="720"/>
        </w:sectPr>
      </w:pPr>
    </w:p>
    <w:p w14:paraId="080679E0" w14:textId="77777777" w:rsidR="00704B93" w:rsidRDefault="00704B93" w:rsidP="008A3FD2">
      <w:pPr>
        <w:pStyle w:val="BodyText"/>
        <w:spacing w:before="152"/>
        <w:jc w:val="both"/>
        <w:rPr>
          <w:sz w:val="20"/>
        </w:rPr>
      </w:pPr>
    </w:p>
    <w:p w14:paraId="7B7E4DB4" w14:textId="77777777" w:rsidR="00704B93" w:rsidRDefault="00704B93" w:rsidP="008A3FD2">
      <w:pPr>
        <w:pStyle w:val="BodyText"/>
        <w:ind w:left="1344"/>
        <w:jc w:val="both"/>
        <w:rPr>
          <w:sz w:val="20"/>
        </w:rPr>
      </w:pPr>
      <w:r>
        <w:rPr>
          <w:noProof/>
          <w:sz w:val="20"/>
        </w:rPr>
        <w:drawing>
          <wp:inline distT="0" distB="0" distL="0" distR="0" wp14:anchorId="32726951" wp14:editId="6A3F29C1">
            <wp:extent cx="5095875" cy="2560320"/>
            <wp:effectExtent l="0" t="0" r="0" b="0"/>
            <wp:docPr id="26" name="Image 26"/>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6" cstate="print"/>
                    <a:stretch>
                      <a:fillRect/>
                    </a:stretch>
                  </pic:blipFill>
                  <pic:spPr>
                    <a:xfrm>
                      <a:off x="0" y="0"/>
                      <a:ext cx="5096256" cy="2560320"/>
                    </a:xfrm>
                    <a:prstGeom prst="rect">
                      <a:avLst/>
                    </a:prstGeom>
                  </pic:spPr>
                </pic:pic>
              </a:graphicData>
            </a:graphic>
          </wp:inline>
        </w:drawing>
      </w:r>
    </w:p>
    <w:p w14:paraId="3777EF99" w14:textId="77777777" w:rsidR="00704B93" w:rsidRDefault="00704B93" w:rsidP="008A3FD2">
      <w:pPr>
        <w:pStyle w:val="BodyText"/>
        <w:jc w:val="both"/>
      </w:pPr>
    </w:p>
    <w:p w14:paraId="0F2F8824" w14:textId="77777777" w:rsidR="00704B93" w:rsidRDefault="00704B93" w:rsidP="008A3FD2">
      <w:pPr>
        <w:pStyle w:val="BodyText"/>
        <w:spacing w:before="169"/>
        <w:jc w:val="both"/>
      </w:pPr>
    </w:p>
    <w:p w14:paraId="2D869277" w14:textId="77777777" w:rsidR="00704B93" w:rsidRDefault="00704B93" w:rsidP="008A3FD2">
      <w:pPr>
        <w:pStyle w:val="BodyText"/>
        <w:ind w:left="1139"/>
        <w:jc w:val="both"/>
      </w:pPr>
      <w:r>
        <w:t>Figure</w:t>
      </w:r>
      <w:r>
        <w:rPr>
          <w:spacing w:val="-6"/>
        </w:rPr>
        <w:t xml:space="preserve"> </w:t>
      </w:r>
      <w:r w:rsidR="00D661EB">
        <w:t>2</w:t>
      </w:r>
      <w:r>
        <w:t>:</w:t>
      </w:r>
      <w:r>
        <w:rPr>
          <w:spacing w:val="-3"/>
        </w:rPr>
        <w:t xml:space="preserve"> </w:t>
      </w:r>
      <w:r>
        <w:t>Initial</w:t>
      </w:r>
      <w:r>
        <w:rPr>
          <w:spacing w:val="-6"/>
        </w:rPr>
        <w:t xml:space="preserve"> </w:t>
      </w:r>
      <w:r>
        <w:t>and</w:t>
      </w:r>
      <w:r>
        <w:rPr>
          <w:spacing w:val="-4"/>
        </w:rPr>
        <w:t xml:space="preserve"> </w:t>
      </w:r>
      <w:r>
        <w:t>Final</w:t>
      </w:r>
      <w:r>
        <w:rPr>
          <w:spacing w:val="-6"/>
        </w:rPr>
        <w:t xml:space="preserve"> </w:t>
      </w:r>
      <w:r>
        <w:t>Glucose</w:t>
      </w:r>
      <w:r>
        <w:rPr>
          <w:spacing w:val="-7"/>
        </w:rPr>
        <w:t xml:space="preserve"> </w:t>
      </w:r>
      <w:r>
        <w:t>of</w:t>
      </w:r>
      <w:r>
        <w:rPr>
          <w:spacing w:val="-8"/>
        </w:rPr>
        <w:t xml:space="preserve"> </w:t>
      </w:r>
      <w:r>
        <w:t>Male</w:t>
      </w:r>
      <w:r>
        <w:rPr>
          <w:spacing w:val="-6"/>
        </w:rPr>
        <w:t xml:space="preserve"> </w:t>
      </w:r>
      <w:r>
        <w:t>and</w:t>
      </w:r>
      <w:r>
        <w:rPr>
          <w:spacing w:val="-1"/>
        </w:rPr>
        <w:t xml:space="preserve"> </w:t>
      </w:r>
      <w:r>
        <w:t>Female</w:t>
      </w:r>
      <w:r>
        <w:rPr>
          <w:spacing w:val="-8"/>
        </w:rPr>
        <w:t xml:space="preserve"> </w:t>
      </w:r>
      <w:r>
        <w:rPr>
          <w:spacing w:val="-2"/>
        </w:rPr>
        <w:t>Rats.</w:t>
      </w:r>
    </w:p>
    <w:p w14:paraId="1EAD9A5A" w14:textId="77777777" w:rsidR="00704B93" w:rsidRDefault="00704B93" w:rsidP="008A3FD2">
      <w:pPr>
        <w:pStyle w:val="BodyText"/>
        <w:spacing w:before="159"/>
        <w:jc w:val="both"/>
      </w:pPr>
    </w:p>
    <w:p w14:paraId="05072E3D" w14:textId="77777777" w:rsidR="00704B93" w:rsidRDefault="00704B93" w:rsidP="008A3FD2">
      <w:pPr>
        <w:pStyle w:val="BodyText"/>
        <w:spacing w:line="480" w:lineRule="auto"/>
        <w:ind w:left="1080" w:right="1078"/>
        <w:jc w:val="both"/>
      </w:pPr>
      <w:r>
        <w:t>IGluM:</w:t>
      </w:r>
      <w:r>
        <w:rPr>
          <w:spacing w:val="39"/>
        </w:rPr>
        <w:t xml:space="preserve"> </w:t>
      </w:r>
      <w:r>
        <w:t>Initial</w:t>
      </w:r>
      <w:r>
        <w:rPr>
          <w:spacing w:val="34"/>
        </w:rPr>
        <w:t xml:space="preserve"> </w:t>
      </w:r>
      <w:r>
        <w:t>Glucose</w:t>
      </w:r>
      <w:r>
        <w:rPr>
          <w:spacing w:val="40"/>
        </w:rPr>
        <w:t xml:space="preserve"> </w:t>
      </w:r>
      <w:r>
        <w:t>of</w:t>
      </w:r>
      <w:r>
        <w:rPr>
          <w:spacing w:val="34"/>
        </w:rPr>
        <w:t xml:space="preserve"> </w:t>
      </w:r>
      <w:r>
        <w:t>Males;</w:t>
      </w:r>
      <w:r>
        <w:rPr>
          <w:spacing w:val="39"/>
        </w:rPr>
        <w:t xml:space="preserve"> </w:t>
      </w:r>
      <w:r>
        <w:t>FGluM:</w:t>
      </w:r>
      <w:r>
        <w:rPr>
          <w:spacing w:val="39"/>
        </w:rPr>
        <w:t xml:space="preserve"> </w:t>
      </w:r>
      <w:r>
        <w:t>Final</w:t>
      </w:r>
      <w:r>
        <w:rPr>
          <w:spacing w:val="34"/>
        </w:rPr>
        <w:t xml:space="preserve"> </w:t>
      </w:r>
      <w:r>
        <w:t>Glucose</w:t>
      </w:r>
      <w:r>
        <w:rPr>
          <w:spacing w:val="36"/>
        </w:rPr>
        <w:t xml:space="preserve"> </w:t>
      </w:r>
      <w:r>
        <w:t>of</w:t>
      </w:r>
      <w:r>
        <w:rPr>
          <w:spacing w:val="36"/>
        </w:rPr>
        <w:t xml:space="preserve"> </w:t>
      </w:r>
      <w:r>
        <w:t>Males;</w:t>
      </w:r>
      <w:r>
        <w:rPr>
          <w:spacing w:val="39"/>
        </w:rPr>
        <w:t xml:space="preserve"> </w:t>
      </w:r>
      <w:r>
        <w:t>IGluF:</w:t>
      </w:r>
      <w:r>
        <w:rPr>
          <w:spacing w:val="39"/>
        </w:rPr>
        <w:t xml:space="preserve"> </w:t>
      </w:r>
      <w:r>
        <w:t>Initial</w:t>
      </w:r>
      <w:r>
        <w:rPr>
          <w:spacing w:val="37"/>
        </w:rPr>
        <w:t xml:space="preserve"> </w:t>
      </w:r>
      <w:r>
        <w:t>Glucose</w:t>
      </w:r>
      <w:r>
        <w:rPr>
          <w:spacing w:val="36"/>
        </w:rPr>
        <w:t xml:space="preserve"> </w:t>
      </w:r>
      <w:r>
        <w:t>of Females; FGluF: Final Glucose of Females.</w:t>
      </w:r>
    </w:p>
    <w:p w14:paraId="7F858ED5" w14:textId="77777777" w:rsidR="00704B93" w:rsidRDefault="00704B93" w:rsidP="008A3FD2">
      <w:pPr>
        <w:pStyle w:val="BodyText"/>
        <w:spacing w:line="480" w:lineRule="auto"/>
        <w:ind w:left="1080"/>
        <w:jc w:val="both"/>
      </w:pPr>
      <w:r>
        <w:t>Data</w:t>
      </w:r>
      <w:r>
        <w:rPr>
          <w:spacing w:val="17"/>
        </w:rPr>
        <w:t xml:space="preserve"> </w:t>
      </w:r>
      <w:r>
        <w:t>are presented</w:t>
      </w:r>
      <w:r>
        <w:rPr>
          <w:spacing w:val="18"/>
        </w:rPr>
        <w:t xml:space="preserve"> </w:t>
      </w:r>
      <w:r>
        <w:t>as mean ±</w:t>
      </w:r>
      <w:r>
        <w:rPr>
          <w:spacing w:val="18"/>
        </w:rPr>
        <w:t xml:space="preserve"> </w:t>
      </w:r>
      <w:r>
        <w:t>SEM. n=3,</w:t>
      </w:r>
      <w:r>
        <w:rPr>
          <w:spacing w:val="20"/>
        </w:rPr>
        <w:t xml:space="preserve"> </w:t>
      </w:r>
      <w:r>
        <w:rPr>
          <w:vertAlign w:val="superscript"/>
        </w:rPr>
        <w:t>a</w:t>
      </w:r>
      <w:r>
        <w:t>P &lt;0.01,</w:t>
      </w:r>
      <w:r>
        <w:rPr>
          <w:spacing w:val="75"/>
        </w:rPr>
        <w:t xml:space="preserve"> </w:t>
      </w:r>
      <w:r>
        <w:rPr>
          <w:vertAlign w:val="superscript"/>
        </w:rPr>
        <w:t>b</w:t>
      </w:r>
      <w:r>
        <w:t>P &lt;0.001 and</w:t>
      </w:r>
      <w:r>
        <w:rPr>
          <w:spacing w:val="40"/>
        </w:rPr>
        <w:t xml:space="preserve"> </w:t>
      </w:r>
      <w:r>
        <w:rPr>
          <w:vertAlign w:val="superscript"/>
        </w:rPr>
        <w:t>c</w:t>
      </w:r>
      <w:r>
        <w:t>P &lt;0.0001 Compared with corresponding Negative Control.</w:t>
      </w:r>
    </w:p>
    <w:p w14:paraId="41C575D1" w14:textId="77777777" w:rsidR="00704B93" w:rsidRDefault="00704B93" w:rsidP="008A3FD2">
      <w:pPr>
        <w:pStyle w:val="BodyText"/>
        <w:spacing w:line="480" w:lineRule="auto"/>
        <w:jc w:val="both"/>
        <w:sectPr w:rsidR="00704B93" w:rsidSect="00704B93">
          <w:pgSz w:w="12240" w:h="15840"/>
          <w:pgMar w:top="1340" w:right="360" w:bottom="280" w:left="360" w:header="752" w:footer="0" w:gutter="0"/>
          <w:cols w:space="720"/>
        </w:sectPr>
      </w:pPr>
    </w:p>
    <w:p w14:paraId="4F45B741" w14:textId="77777777" w:rsidR="00704B93" w:rsidRDefault="00704B93" w:rsidP="008A3FD2">
      <w:pPr>
        <w:pStyle w:val="Heading2"/>
        <w:numPr>
          <w:ilvl w:val="2"/>
          <w:numId w:val="13"/>
        </w:numPr>
        <w:tabs>
          <w:tab w:val="left" w:pos="1618"/>
        </w:tabs>
        <w:spacing w:before="79"/>
        <w:ind w:hanging="538"/>
        <w:jc w:val="both"/>
      </w:pPr>
      <w:r>
        <w:lastRenderedPageBreak/>
        <w:t>Hormonal</w:t>
      </w:r>
      <w:r>
        <w:rPr>
          <w:spacing w:val="-6"/>
        </w:rPr>
        <w:t xml:space="preserve"> </w:t>
      </w:r>
      <w:r>
        <w:rPr>
          <w:highlight w:val="yellow"/>
        </w:rPr>
        <w:t>A</w:t>
      </w:r>
      <w:r>
        <w:t>ssays</w:t>
      </w:r>
      <w:r>
        <w:rPr>
          <w:spacing w:val="-8"/>
        </w:rPr>
        <w:t xml:space="preserve"> </w:t>
      </w:r>
      <w:r>
        <w:t>from</w:t>
      </w:r>
      <w:r>
        <w:rPr>
          <w:spacing w:val="-6"/>
        </w:rPr>
        <w:t xml:space="preserve"> </w:t>
      </w:r>
      <w:r>
        <w:rPr>
          <w:highlight w:val="yellow"/>
        </w:rPr>
        <w:t>M</w:t>
      </w:r>
      <w:r>
        <w:t>ale</w:t>
      </w:r>
      <w:r>
        <w:rPr>
          <w:spacing w:val="-8"/>
        </w:rPr>
        <w:t xml:space="preserve"> </w:t>
      </w:r>
      <w:r>
        <w:rPr>
          <w:spacing w:val="-4"/>
          <w:highlight w:val="yellow"/>
        </w:rPr>
        <w:t>R</w:t>
      </w:r>
      <w:r>
        <w:rPr>
          <w:spacing w:val="-4"/>
        </w:rPr>
        <w:t>ats</w:t>
      </w:r>
    </w:p>
    <w:p w14:paraId="40941AC5" w14:textId="77777777" w:rsidR="00704B93" w:rsidRDefault="00704B93" w:rsidP="008A3FD2">
      <w:pPr>
        <w:pStyle w:val="BodyText"/>
        <w:jc w:val="both"/>
        <w:rPr>
          <w:b/>
        </w:rPr>
      </w:pPr>
    </w:p>
    <w:p w14:paraId="0CD3CF76" w14:textId="77777777" w:rsidR="00704B93" w:rsidRDefault="00704B93" w:rsidP="008A3FD2">
      <w:pPr>
        <w:pStyle w:val="BodyText"/>
        <w:spacing w:line="480" w:lineRule="auto"/>
        <w:ind w:left="1080" w:right="1088"/>
        <w:jc w:val="both"/>
      </w:pPr>
      <w:r>
        <w:t>Generally,</w:t>
      </w:r>
      <w:r>
        <w:rPr>
          <w:spacing w:val="-2"/>
        </w:rPr>
        <w:t xml:space="preserve"> </w:t>
      </w:r>
      <w:r>
        <w:rPr>
          <w:highlight w:val="yellow"/>
        </w:rPr>
        <w:t>T</w:t>
      </w:r>
      <w:r>
        <w:t>able</w:t>
      </w:r>
      <w:r>
        <w:rPr>
          <w:spacing w:val="-5"/>
        </w:rPr>
        <w:t xml:space="preserve"> </w:t>
      </w:r>
      <w:r>
        <w:rPr>
          <w:highlight w:val="yellow"/>
        </w:rPr>
        <w:t>4</w:t>
      </w:r>
      <w:r>
        <w:rPr>
          <w:spacing w:val="-2"/>
        </w:rPr>
        <w:t xml:space="preserve"> </w:t>
      </w:r>
      <w:r>
        <w:t>showed that</w:t>
      </w:r>
      <w:r>
        <w:rPr>
          <w:spacing w:val="-2"/>
        </w:rPr>
        <w:t xml:space="preserve"> </w:t>
      </w:r>
      <w:r>
        <w:t>hormone</w:t>
      </w:r>
      <w:r>
        <w:rPr>
          <w:highlight w:val="yellow"/>
        </w:rPr>
        <w:t xml:space="preserve"> level</w:t>
      </w:r>
      <w:r>
        <w:t>s</w:t>
      </w:r>
      <w:r>
        <w:rPr>
          <w:spacing w:val="-4"/>
        </w:rPr>
        <w:t xml:space="preserve"> </w:t>
      </w:r>
      <w:r>
        <w:t>increased</w:t>
      </w:r>
      <w:r>
        <w:rPr>
          <w:spacing w:val="-5"/>
        </w:rPr>
        <w:t xml:space="preserve"> </w:t>
      </w:r>
      <w:r>
        <w:t>in</w:t>
      </w:r>
      <w:r>
        <w:rPr>
          <w:highlight w:val="yellow"/>
        </w:rPr>
        <w:t xml:space="preserve"> the</w:t>
      </w:r>
      <w:r>
        <w:t xml:space="preserve"> normal</w:t>
      </w:r>
      <w:r>
        <w:rPr>
          <w:spacing w:val="-4"/>
        </w:rPr>
        <w:t xml:space="preserve"> </w:t>
      </w:r>
      <w:r>
        <w:t>control</w:t>
      </w:r>
      <w:r>
        <w:rPr>
          <w:spacing w:val="-2"/>
        </w:rPr>
        <w:t xml:space="preserve"> </w:t>
      </w:r>
      <w:r>
        <w:t>and</w:t>
      </w:r>
      <w:r>
        <w:rPr>
          <w:spacing w:val="-2"/>
        </w:rPr>
        <w:t xml:space="preserve"> </w:t>
      </w:r>
      <w:r>
        <w:t>treated</w:t>
      </w:r>
      <w:r>
        <w:rPr>
          <w:spacing w:val="-2"/>
        </w:rPr>
        <w:t xml:space="preserve"> </w:t>
      </w:r>
      <w:r>
        <w:t xml:space="preserve">groups compared with the corresponding Negative Control Group. However, </w:t>
      </w:r>
      <w:r>
        <w:rPr>
          <w:highlight w:val="yellow"/>
        </w:rPr>
        <w:t xml:space="preserve">the </w:t>
      </w:r>
      <w:r>
        <w:t xml:space="preserve">groups treated with plant extracts (PE1 and PE2) did not </w:t>
      </w:r>
      <w:r>
        <w:rPr>
          <w:highlight w:val="yellow"/>
        </w:rPr>
        <w:t xml:space="preserve">show </w:t>
      </w:r>
      <w:r>
        <w:t xml:space="preserve">a significant </w:t>
      </w:r>
      <w:r>
        <w:rPr>
          <w:highlight w:val="yellow"/>
        </w:rPr>
        <w:t>increas</w:t>
      </w:r>
      <w:r>
        <w:t xml:space="preserve">e </w:t>
      </w:r>
      <w:r>
        <w:rPr>
          <w:highlight w:val="yellow"/>
        </w:rPr>
        <w:t>in</w:t>
      </w:r>
      <w:r>
        <w:t xml:space="preserve"> testosterone</w:t>
      </w:r>
      <w:r>
        <w:rPr>
          <w:highlight w:val="yellow"/>
        </w:rPr>
        <w:t xml:space="preserve"> levels</w:t>
      </w:r>
      <w:r>
        <w:t xml:space="preserve"> at 14, 21 and 28 days</w:t>
      </w:r>
      <w:r>
        <w:rPr>
          <w:highlight w:val="yellow"/>
        </w:rPr>
        <w:t>,</w:t>
      </w:r>
      <w:r>
        <w:t xml:space="preserve"> </w:t>
      </w:r>
      <w:r>
        <w:rPr>
          <w:highlight w:val="yellow"/>
        </w:rPr>
        <w:t>w</w:t>
      </w:r>
      <w:r>
        <w:t>he</w:t>
      </w:r>
      <w:r>
        <w:rPr>
          <w:highlight w:val="yellow"/>
        </w:rPr>
        <w:t>reas</w:t>
      </w:r>
      <w:r>
        <w:t xml:space="preserve"> all treated groups (PE1, PE2, Metformin and Clomid) showed a significant increase </w:t>
      </w:r>
      <w:r>
        <w:rPr>
          <w:highlight w:val="yellow"/>
        </w:rPr>
        <w:t>in</w:t>
      </w:r>
      <w:r>
        <w:t xml:space="preserve"> progesterone level</w:t>
      </w:r>
      <w:r>
        <w:rPr>
          <w:highlight w:val="yellow"/>
        </w:rPr>
        <w:t>s</w:t>
      </w:r>
      <w:r>
        <w:t xml:space="preserve"> at 14, 21 and 28 days.</w:t>
      </w:r>
    </w:p>
    <w:p w14:paraId="34CA97D1" w14:textId="77777777" w:rsidR="00704B93" w:rsidRDefault="00704B93" w:rsidP="008A3FD2">
      <w:pPr>
        <w:pStyle w:val="BodyText"/>
        <w:spacing w:line="480" w:lineRule="auto"/>
        <w:jc w:val="both"/>
        <w:sectPr w:rsidR="00704B93" w:rsidSect="00704B93">
          <w:pgSz w:w="12240" w:h="15840"/>
          <w:pgMar w:top="1340" w:right="360" w:bottom="280" w:left="360" w:header="752" w:footer="0" w:gutter="0"/>
          <w:cols w:space="720"/>
        </w:sectPr>
      </w:pPr>
    </w:p>
    <w:p w14:paraId="5B2EFE5F" w14:textId="77777777" w:rsidR="00704B93" w:rsidRDefault="00704B93" w:rsidP="008A3FD2">
      <w:pPr>
        <w:pStyle w:val="BodyText"/>
        <w:spacing w:before="79"/>
        <w:ind w:left="1080"/>
        <w:jc w:val="both"/>
      </w:pPr>
      <w:r>
        <w:rPr>
          <w:b/>
        </w:rPr>
        <w:lastRenderedPageBreak/>
        <w:t>Table</w:t>
      </w:r>
      <w:r>
        <w:rPr>
          <w:b/>
          <w:spacing w:val="-8"/>
        </w:rPr>
        <w:t xml:space="preserve"> </w:t>
      </w:r>
      <w:r>
        <w:rPr>
          <w:b/>
        </w:rPr>
        <w:t>4:</w:t>
      </w:r>
      <w:r>
        <w:rPr>
          <w:b/>
          <w:spacing w:val="-4"/>
        </w:rPr>
        <w:t xml:space="preserve"> </w:t>
      </w:r>
      <w:r>
        <w:t>Level</w:t>
      </w:r>
      <w:r>
        <w:rPr>
          <w:spacing w:val="-7"/>
        </w:rPr>
        <w:t xml:space="preserve"> </w:t>
      </w:r>
      <w:r>
        <w:t>of</w:t>
      </w:r>
      <w:r>
        <w:rPr>
          <w:spacing w:val="-5"/>
        </w:rPr>
        <w:t xml:space="preserve"> </w:t>
      </w:r>
      <w:r>
        <w:t>Hormones</w:t>
      </w:r>
      <w:r>
        <w:rPr>
          <w:spacing w:val="-8"/>
        </w:rPr>
        <w:t xml:space="preserve"> </w:t>
      </w:r>
      <w:r>
        <w:t>in</w:t>
      </w:r>
      <w:r>
        <w:rPr>
          <w:spacing w:val="-3"/>
        </w:rPr>
        <w:t xml:space="preserve"> </w:t>
      </w:r>
      <w:r>
        <w:t>Males</w:t>
      </w:r>
      <w:r>
        <w:rPr>
          <w:spacing w:val="-6"/>
        </w:rPr>
        <w:t xml:space="preserve"> </w:t>
      </w:r>
      <w:r>
        <w:t>According</w:t>
      </w:r>
      <w:r>
        <w:rPr>
          <w:spacing w:val="-5"/>
        </w:rPr>
        <w:t xml:space="preserve"> </w:t>
      </w:r>
      <w:r>
        <w:t>to</w:t>
      </w:r>
      <w:r>
        <w:rPr>
          <w:spacing w:val="-6"/>
        </w:rPr>
        <w:t xml:space="preserve"> </w:t>
      </w:r>
      <w:r>
        <w:t>the</w:t>
      </w:r>
      <w:r>
        <w:rPr>
          <w:spacing w:val="-6"/>
        </w:rPr>
        <w:t xml:space="preserve"> </w:t>
      </w:r>
      <w:r>
        <w:t>Period</w:t>
      </w:r>
      <w:r>
        <w:rPr>
          <w:spacing w:val="-6"/>
        </w:rPr>
        <w:t xml:space="preserve"> </w:t>
      </w:r>
      <w:r>
        <w:t>and</w:t>
      </w:r>
      <w:r>
        <w:rPr>
          <w:spacing w:val="-3"/>
        </w:rPr>
        <w:t xml:space="preserve"> </w:t>
      </w:r>
      <w:r>
        <w:t>the</w:t>
      </w:r>
      <w:r>
        <w:rPr>
          <w:spacing w:val="-7"/>
        </w:rPr>
        <w:t xml:space="preserve"> </w:t>
      </w:r>
      <w:r>
        <w:rPr>
          <w:spacing w:val="-2"/>
        </w:rPr>
        <w:t>Treatment</w:t>
      </w:r>
    </w:p>
    <w:p w14:paraId="34E16D5C" w14:textId="77777777" w:rsidR="00704B93" w:rsidRDefault="00704B93" w:rsidP="008A3FD2">
      <w:pPr>
        <w:pStyle w:val="BodyText"/>
        <w:spacing w:before="212" w:after="1"/>
        <w:jc w:val="both"/>
        <w:rPr>
          <w:sz w:val="20"/>
        </w:rPr>
      </w:pPr>
    </w:p>
    <w:tbl>
      <w:tblPr>
        <w:tblW w:w="5000" w:type="pct"/>
        <w:tblCellMar>
          <w:left w:w="0" w:type="dxa"/>
          <w:right w:w="0" w:type="dxa"/>
        </w:tblCellMar>
        <w:tblLook w:val="04A0" w:firstRow="1" w:lastRow="0" w:firstColumn="1" w:lastColumn="0" w:noHBand="0" w:noVBand="1"/>
      </w:tblPr>
      <w:tblGrid>
        <w:gridCol w:w="978"/>
        <w:gridCol w:w="1428"/>
        <w:gridCol w:w="1970"/>
        <w:gridCol w:w="1548"/>
        <w:gridCol w:w="1472"/>
        <w:gridCol w:w="1463"/>
        <w:gridCol w:w="2661"/>
      </w:tblGrid>
      <w:tr w:rsidR="00704B93" w14:paraId="7314C951" w14:textId="77777777" w:rsidTr="00D661EB">
        <w:trPr>
          <w:trHeight w:val="274"/>
        </w:trPr>
        <w:tc>
          <w:tcPr>
            <w:tcW w:w="424" w:type="pct"/>
            <w:tcBorders>
              <w:top w:val="single" w:sz="4" w:space="0" w:color="000000"/>
            </w:tcBorders>
          </w:tcPr>
          <w:p w14:paraId="472D3D03" w14:textId="77777777" w:rsidR="00704B93" w:rsidRDefault="00704B93" w:rsidP="008A3FD2">
            <w:pPr>
              <w:pStyle w:val="TableParagraph"/>
              <w:spacing w:line="255" w:lineRule="exact"/>
              <w:ind w:left="107"/>
              <w:jc w:val="both"/>
              <w:rPr>
                <w:b/>
                <w:sz w:val="24"/>
              </w:rPr>
            </w:pPr>
            <w:r>
              <w:rPr>
                <w:b/>
                <w:spacing w:val="-2"/>
                <w:sz w:val="24"/>
              </w:rPr>
              <w:t>Period</w:t>
            </w:r>
          </w:p>
        </w:tc>
        <w:tc>
          <w:tcPr>
            <w:tcW w:w="620" w:type="pct"/>
            <w:tcBorders>
              <w:top w:val="single" w:sz="4" w:space="0" w:color="000000"/>
            </w:tcBorders>
          </w:tcPr>
          <w:p w14:paraId="2D8A66B8" w14:textId="77777777" w:rsidR="00704B93" w:rsidRDefault="00704B93" w:rsidP="008A3FD2">
            <w:pPr>
              <w:pStyle w:val="TableParagraph"/>
              <w:spacing w:line="255" w:lineRule="exact"/>
              <w:ind w:left="149"/>
              <w:jc w:val="both"/>
              <w:rPr>
                <w:b/>
                <w:sz w:val="24"/>
              </w:rPr>
            </w:pPr>
            <w:r>
              <w:rPr>
                <w:b/>
                <w:spacing w:val="-2"/>
                <w:sz w:val="24"/>
              </w:rPr>
              <w:t>Experiment</w:t>
            </w:r>
          </w:p>
        </w:tc>
        <w:tc>
          <w:tcPr>
            <w:tcW w:w="855" w:type="pct"/>
            <w:tcBorders>
              <w:top w:val="single" w:sz="4" w:space="0" w:color="000000"/>
            </w:tcBorders>
          </w:tcPr>
          <w:p w14:paraId="31937763" w14:textId="77777777" w:rsidR="00704B93" w:rsidRDefault="00704B93" w:rsidP="008A3FD2">
            <w:pPr>
              <w:pStyle w:val="TableParagraph"/>
              <w:spacing w:line="255" w:lineRule="exact"/>
              <w:ind w:left="496"/>
              <w:jc w:val="both"/>
              <w:rPr>
                <w:b/>
                <w:sz w:val="24"/>
              </w:rPr>
            </w:pPr>
            <w:r>
              <w:rPr>
                <w:b/>
                <w:spacing w:val="-5"/>
                <w:sz w:val="24"/>
              </w:rPr>
              <w:t>LH</w:t>
            </w:r>
          </w:p>
        </w:tc>
        <w:tc>
          <w:tcPr>
            <w:tcW w:w="672" w:type="pct"/>
            <w:tcBorders>
              <w:top w:val="single" w:sz="4" w:space="0" w:color="000000"/>
            </w:tcBorders>
          </w:tcPr>
          <w:p w14:paraId="0157E2F1" w14:textId="77777777" w:rsidR="00704B93" w:rsidRDefault="00704B93" w:rsidP="008A3FD2">
            <w:pPr>
              <w:pStyle w:val="TableParagraph"/>
              <w:spacing w:line="255" w:lineRule="exact"/>
              <w:ind w:left="194"/>
              <w:jc w:val="both"/>
              <w:rPr>
                <w:b/>
                <w:sz w:val="24"/>
              </w:rPr>
            </w:pPr>
            <w:r>
              <w:rPr>
                <w:b/>
                <w:spacing w:val="-5"/>
                <w:sz w:val="24"/>
              </w:rPr>
              <w:t>FSH</w:t>
            </w:r>
          </w:p>
        </w:tc>
        <w:tc>
          <w:tcPr>
            <w:tcW w:w="639" w:type="pct"/>
            <w:tcBorders>
              <w:top w:val="single" w:sz="4" w:space="0" w:color="000000"/>
            </w:tcBorders>
          </w:tcPr>
          <w:p w14:paraId="23A9E017" w14:textId="77777777" w:rsidR="00704B93" w:rsidRDefault="00704B93" w:rsidP="008A3FD2">
            <w:pPr>
              <w:pStyle w:val="TableParagraph"/>
              <w:spacing w:line="255" w:lineRule="exact"/>
              <w:ind w:left="122"/>
              <w:jc w:val="both"/>
              <w:rPr>
                <w:b/>
                <w:sz w:val="24"/>
              </w:rPr>
            </w:pPr>
            <w:r>
              <w:rPr>
                <w:b/>
                <w:spacing w:val="-2"/>
                <w:sz w:val="24"/>
              </w:rPr>
              <w:t>Estradiol</w:t>
            </w:r>
          </w:p>
        </w:tc>
        <w:tc>
          <w:tcPr>
            <w:tcW w:w="635" w:type="pct"/>
            <w:tcBorders>
              <w:top w:val="single" w:sz="4" w:space="0" w:color="000000"/>
            </w:tcBorders>
          </w:tcPr>
          <w:p w14:paraId="47069019" w14:textId="77777777" w:rsidR="00704B93" w:rsidRDefault="00704B93" w:rsidP="008A3FD2">
            <w:pPr>
              <w:pStyle w:val="TableParagraph"/>
              <w:spacing w:line="255" w:lineRule="exact"/>
              <w:ind w:left="123" w:right="-29"/>
              <w:jc w:val="both"/>
              <w:rPr>
                <w:b/>
                <w:sz w:val="24"/>
              </w:rPr>
            </w:pPr>
            <w:r>
              <w:rPr>
                <w:b/>
                <w:spacing w:val="-2"/>
                <w:sz w:val="24"/>
              </w:rPr>
              <w:t>Testosterone</w:t>
            </w:r>
          </w:p>
        </w:tc>
        <w:tc>
          <w:tcPr>
            <w:tcW w:w="1155" w:type="pct"/>
            <w:tcBorders>
              <w:top w:val="single" w:sz="4" w:space="0" w:color="000000"/>
            </w:tcBorders>
          </w:tcPr>
          <w:p w14:paraId="61D2E7D5" w14:textId="77777777" w:rsidR="00704B93" w:rsidRDefault="00704B93" w:rsidP="008A3FD2">
            <w:pPr>
              <w:pStyle w:val="TableParagraph"/>
              <w:spacing w:line="255" w:lineRule="exact"/>
              <w:ind w:left="672"/>
              <w:jc w:val="both"/>
              <w:rPr>
                <w:b/>
                <w:sz w:val="24"/>
              </w:rPr>
            </w:pPr>
            <w:r>
              <w:rPr>
                <w:b/>
                <w:spacing w:val="-2"/>
                <w:sz w:val="24"/>
              </w:rPr>
              <w:t>Progesterone</w:t>
            </w:r>
          </w:p>
        </w:tc>
      </w:tr>
      <w:tr w:rsidR="00704B93" w14:paraId="7340910C" w14:textId="77777777" w:rsidTr="00D661EB">
        <w:trPr>
          <w:trHeight w:val="655"/>
        </w:trPr>
        <w:tc>
          <w:tcPr>
            <w:tcW w:w="424" w:type="pct"/>
            <w:tcBorders>
              <w:bottom w:val="single" w:sz="4" w:space="0" w:color="000000"/>
            </w:tcBorders>
          </w:tcPr>
          <w:p w14:paraId="7F7C1AB0" w14:textId="77777777" w:rsidR="00704B93" w:rsidRDefault="00704B93" w:rsidP="008A3FD2">
            <w:pPr>
              <w:pStyle w:val="TableParagraph"/>
              <w:jc w:val="both"/>
            </w:pPr>
          </w:p>
        </w:tc>
        <w:tc>
          <w:tcPr>
            <w:tcW w:w="620" w:type="pct"/>
            <w:tcBorders>
              <w:bottom w:val="single" w:sz="4" w:space="0" w:color="000000"/>
            </w:tcBorders>
          </w:tcPr>
          <w:p w14:paraId="5718D24A" w14:textId="77777777" w:rsidR="00704B93" w:rsidRDefault="00704B93" w:rsidP="008A3FD2">
            <w:pPr>
              <w:pStyle w:val="TableParagraph"/>
              <w:ind w:left="149"/>
              <w:jc w:val="both"/>
              <w:rPr>
                <w:b/>
                <w:sz w:val="24"/>
              </w:rPr>
            </w:pPr>
            <w:r>
              <w:rPr>
                <w:b/>
                <w:spacing w:val="-2"/>
                <w:sz w:val="24"/>
              </w:rPr>
              <w:t>Groups</w:t>
            </w:r>
          </w:p>
        </w:tc>
        <w:tc>
          <w:tcPr>
            <w:tcW w:w="855" w:type="pct"/>
            <w:tcBorders>
              <w:bottom w:val="single" w:sz="4" w:space="0" w:color="000000"/>
            </w:tcBorders>
          </w:tcPr>
          <w:p w14:paraId="6E484090" w14:textId="77777777" w:rsidR="00704B93" w:rsidRDefault="00704B93" w:rsidP="008A3FD2">
            <w:pPr>
              <w:pStyle w:val="TableParagraph"/>
              <w:ind w:left="496"/>
              <w:jc w:val="both"/>
              <w:rPr>
                <w:b/>
                <w:sz w:val="24"/>
              </w:rPr>
            </w:pPr>
            <w:r>
              <w:rPr>
                <w:b/>
                <w:spacing w:val="-2"/>
                <w:sz w:val="24"/>
              </w:rPr>
              <w:t>(mIU/ml)</w:t>
            </w:r>
          </w:p>
        </w:tc>
        <w:tc>
          <w:tcPr>
            <w:tcW w:w="672" w:type="pct"/>
            <w:tcBorders>
              <w:bottom w:val="single" w:sz="4" w:space="0" w:color="000000"/>
            </w:tcBorders>
          </w:tcPr>
          <w:p w14:paraId="64E1D2CA" w14:textId="77777777" w:rsidR="00704B93" w:rsidRDefault="00704B93" w:rsidP="008A3FD2">
            <w:pPr>
              <w:pStyle w:val="TableParagraph"/>
              <w:ind w:left="194"/>
              <w:jc w:val="both"/>
              <w:rPr>
                <w:b/>
                <w:sz w:val="24"/>
              </w:rPr>
            </w:pPr>
            <w:r>
              <w:rPr>
                <w:b/>
                <w:spacing w:val="-2"/>
                <w:sz w:val="24"/>
              </w:rPr>
              <w:t>(mIU/ml)</w:t>
            </w:r>
          </w:p>
        </w:tc>
        <w:tc>
          <w:tcPr>
            <w:tcW w:w="639" w:type="pct"/>
            <w:tcBorders>
              <w:bottom w:val="single" w:sz="4" w:space="0" w:color="000000"/>
            </w:tcBorders>
          </w:tcPr>
          <w:p w14:paraId="46608099" w14:textId="77777777" w:rsidR="00704B93" w:rsidRDefault="00704B93" w:rsidP="008A3FD2">
            <w:pPr>
              <w:pStyle w:val="TableParagraph"/>
              <w:ind w:left="122"/>
              <w:jc w:val="both"/>
              <w:rPr>
                <w:b/>
                <w:sz w:val="24"/>
              </w:rPr>
            </w:pPr>
            <w:r>
              <w:rPr>
                <w:b/>
                <w:spacing w:val="-2"/>
                <w:sz w:val="24"/>
              </w:rPr>
              <w:t>(pg/ml)</w:t>
            </w:r>
          </w:p>
        </w:tc>
        <w:tc>
          <w:tcPr>
            <w:tcW w:w="635" w:type="pct"/>
            <w:tcBorders>
              <w:bottom w:val="single" w:sz="4" w:space="0" w:color="000000"/>
            </w:tcBorders>
          </w:tcPr>
          <w:p w14:paraId="7F325907" w14:textId="77777777" w:rsidR="00704B93" w:rsidRDefault="00704B93" w:rsidP="008A3FD2">
            <w:pPr>
              <w:pStyle w:val="TableParagraph"/>
              <w:ind w:left="123"/>
              <w:jc w:val="both"/>
              <w:rPr>
                <w:b/>
                <w:sz w:val="24"/>
              </w:rPr>
            </w:pPr>
            <w:r>
              <w:rPr>
                <w:b/>
                <w:spacing w:val="-2"/>
                <w:sz w:val="24"/>
              </w:rPr>
              <w:t>(ng/ml)</w:t>
            </w:r>
          </w:p>
        </w:tc>
        <w:tc>
          <w:tcPr>
            <w:tcW w:w="1155" w:type="pct"/>
            <w:tcBorders>
              <w:bottom w:val="single" w:sz="4" w:space="0" w:color="000000"/>
            </w:tcBorders>
          </w:tcPr>
          <w:p w14:paraId="498E4D84" w14:textId="77777777" w:rsidR="00704B93" w:rsidRDefault="00704B93" w:rsidP="008A3FD2">
            <w:pPr>
              <w:pStyle w:val="TableParagraph"/>
              <w:ind w:left="672"/>
              <w:jc w:val="both"/>
              <w:rPr>
                <w:b/>
                <w:sz w:val="24"/>
              </w:rPr>
            </w:pPr>
            <w:r>
              <w:rPr>
                <w:b/>
                <w:spacing w:val="-2"/>
                <w:sz w:val="24"/>
              </w:rPr>
              <w:t>(ng/ml)</w:t>
            </w:r>
          </w:p>
        </w:tc>
      </w:tr>
      <w:tr w:rsidR="00704B93" w14:paraId="03417323" w14:textId="77777777" w:rsidTr="00D661EB">
        <w:trPr>
          <w:trHeight w:val="569"/>
        </w:trPr>
        <w:tc>
          <w:tcPr>
            <w:tcW w:w="424" w:type="pct"/>
            <w:tcBorders>
              <w:top w:val="single" w:sz="4" w:space="0" w:color="000000"/>
            </w:tcBorders>
          </w:tcPr>
          <w:p w14:paraId="0F09803C" w14:textId="77777777" w:rsidR="00704B93" w:rsidRDefault="00704B93" w:rsidP="008A3FD2">
            <w:pPr>
              <w:pStyle w:val="TableParagraph"/>
              <w:jc w:val="both"/>
            </w:pPr>
          </w:p>
        </w:tc>
        <w:tc>
          <w:tcPr>
            <w:tcW w:w="620" w:type="pct"/>
            <w:tcBorders>
              <w:top w:val="single" w:sz="4" w:space="0" w:color="000000"/>
            </w:tcBorders>
          </w:tcPr>
          <w:p w14:paraId="7A892F79" w14:textId="77777777" w:rsidR="00704B93" w:rsidRDefault="00704B93" w:rsidP="008A3FD2">
            <w:pPr>
              <w:pStyle w:val="TableParagraph"/>
              <w:spacing w:line="276" w:lineRule="exact"/>
              <w:ind w:left="149" w:right="481"/>
              <w:jc w:val="both"/>
              <w:rPr>
                <w:sz w:val="24"/>
              </w:rPr>
            </w:pPr>
            <w:r>
              <w:rPr>
                <w:spacing w:val="-2"/>
                <w:sz w:val="24"/>
              </w:rPr>
              <w:t>Normal Control</w:t>
            </w:r>
          </w:p>
        </w:tc>
        <w:tc>
          <w:tcPr>
            <w:tcW w:w="855" w:type="pct"/>
            <w:tcBorders>
              <w:top w:val="single" w:sz="4" w:space="0" w:color="000000"/>
            </w:tcBorders>
          </w:tcPr>
          <w:p w14:paraId="7BEF1F34" w14:textId="77777777" w:rsidR="00704B93" w:rsidRDefault="00704B93" w:rsidP="008A3FD2">
            <w:pPr>
              <w:pStyle w:val="TableParagraph"/>
              <w:spacing w:line="275" w:lineRule="exact"/>
              <w:ind w:left="496"/>
              <w:jc w:val="both"/>
              <w:rPr>
                <w:sz w:val="24"/>
              </w:rPr>
            </w:pPr>
            <w:r>
              <w:rPr>
                <w:sz w:val="24"/>
              </w:rPr>
              <w:t>11.38</w:t>
            </w:r>
            <w:r>
              <w:rPr>
                <w:spacing w:val="-7"/>
                <w:sz w:val="24"/>
              </w:rPr>
              <w:t xml:space="preserve"> </w:t>
            </w:r>
            <w:r>
              <w:rPr>
                <w:spacing w:val="-2"/>
                <w:sz w:val="24"/>
              </w:rPr>
              <w:t>±0.25</w:t>
            </w:r>
            <w:r>
              <w:rPr>
                <w:spacing w:val="-2"/>
                <w:sz w:val="24"/>
                <w:vertAlign w:val="superscript"/>
              </w:rPr>
              <w:t>d</w:t>
            </w:r>
          </w:p>
        </w:tc>
        <w:tc>
          <w:tcPr>
            <w:tcW w:w="672" w:type="pct"/>
            <w:tcBorders>
              <w:top w:val="single" w:sz="4" w:space="0" w:color="000000"/>
            </w:tcBorders>
          </w:tcPr>
          <w:p w14:paraId="1F8CFD9C" w14:textId="77777777" w:rsidR="00704B93" w:rsidRDefault="00704B93" w:rsidP="008A3FD2">
            <w:pPr>
              <w:pStyle w:val="TableParagraph"/>
              <w:spacing w:line="275" w:lineRule="exact"/>
              <w:ind w:left="162"/>
              <w:jc w:val="both"/>
              <w:rPr>
                <w:sz w:val="24"/>
              </w:rPr>
            </w:pPr>
            <w:r>
              <w:rPr>
                <w:spacing w:val="-2"/>
                <w:sz w:val="24"/>
              </w:rPr>
              <w:t>12.54±0.18</w:t>
            </w:r>
            <w:r>
              <w:rPr>
                <w:spacing w:val="-2"/>
                <w:sz w:val="24"/>
                <w:vertAlign w:val="superscript"/>
              </w:rPr>
              <w:t>d</w:t>
            </w:r>
          </w:p>
        </w:tc>
        <w:tc>
          <w:tcPr>
            <w:tcW w:w="639" w:type="pct"/>
            <w:tcBorders>
              <w:top w:val="single" w:sz="4" w:space="0" w:color="000000"/>
            </w:tcBorders>
          </w:tcPr>
          <w:p w14:paraId="7EEA1CEA" w14:textId="77777777" w:rsidR="00704B93" w:rsidRDefault="00704B93" w:rsidP="008A3FD2">
            <w:pPr>
              <w:pStyle w:val="TableParagraph"/>
              <w:spacing w:line="275" w:lineRule="exact"/>
              <w:ind w:left="121"/>
              <w:jc w:val="both"/>
              <w:rPr>
                <w:sz w:val="24"/>
              </w:rPr>
            </w:pPr>
            <w:r>
              <w:rPr>
                <w:spacing w:val="-2"/>
                <w:sz w:val="24"/>
              </w:rPr>
              <w:t>8.80±0.15</w:t>
            </w:r>
            <w:r>
              <w:rPr>
                <w:spacing w:val="-2"/>
                <w:sz w:val="24"/>
                <w:vertAlign w:val="superscript"/>
              </w:rPr>
              <w:t>d</w:t>
            </w:r>
          </w:p>
        </w:tc>
        <w:tc>
          <w:tcPr>
            <w:tcW w:w="635" w:type="pct"/>
            <w:tcBorders>
              <w:top w:val="single" w:sz="4" w:space="0" w:color="000000"/>
            </w:tcBorders>
          </w:tcPr>
          <w:p w14:paraId="766435A4" w14:textId="77777777" w:rsidR="00704B93" w:rsidRDefault="00704B93" w:rsidP="008A3FD2">
            <w:pPr>
              <w:pStyle w:val="TableParagraph"/>
              <w:spacing w:line="275" w:lineRule="exact"/>
              <w:ind w:left="122"/>
              <w:jc w:val="both"/>
              <w:rPr>
                <w:sz w:val="24"/>
              </w:rPr>
            </w:pPr>
            <w:r>
              <w:rPr>
                <w:spacing w:val="-2"/>
                <w:sz w:val="24"/>
              </w:rPr>
              <w:t>8.06±0.02</w:t>
            </w:r>
            <w:r>
              <w:rPr>
                <w:spacing w:val="-2"/>
                <w:sz w:val="24"/>
                <w:vertAlign w:val="superscript"/>
              </w:rPr>
              <w:t>d</w:t>
            </w:r>
          </w:p>
        </w:tc>
        <w:tc>
          <w:tcPr>
            <w:tcW w:w="1155" w:type="pct"/>
            <w:tcBorders>
              <w:top w:val="single" w:sz="4" w:space="0" w:color="000000"/>
            </w:tcBorders>
          </w:tcPr>
          <w:p w14:paraId="7D6ABF7F" w14:textId="77777777" w:rsidR="00704B93" w:rsidRDefault="00704B93" w:rsidP="008A3FD2">
            <w:pPr>
              <w:pStyle w:val="TableParagraph"/>
              <w:spacing w:line="275" w:lineRule="exact"/>
              <w:ind w:left="673"/>
              <w:jc w:val="both"/>
              <w:rPr>
                <w:sz w:val="24"/>
              </w:rPr>
            </w:pPr>
            <w:r>
              <w:rPr>
                <w:spacing w:val="-2"/>
                <w:sz w:val="24"/>
              </w:rPr>
              <w:t>25.73±1.91</w:t>
            </w:r>
            <w:r>
              <w:rPr>
                <w:spacing w:val="-2"/>
                <w:sz w:val="24"/>
                <w:vertAlign w:val="superscript"/>
              </w:rPr>
              <w:t>d</w:t>
            </w:r>
          </w:p>
        </w:tc>
      </w:tr>
      <w:tr w:rsidR="00704B93" w14:paraId="2E89AE4C" w14:textId="77777777" w:rsidTr="00D661EB">
        <w:trPr>
          <w:trHeight w:val="283"/>
        </w:trPr>
        <w:tc>
          <w:tcPr>
            <w:tcW w:w="424" w:type="pct"/>
          </w:tcPr>
          <w:p w14:paraId="00EAACE8" w14:textId="77777777" w:rsidR="00704B93" w:rsidRDefault="00704B93" w:rsidP="008A3FD2">
            <w:pPr>
              <w:pStyle w:val="TableParagraph"/>
              <w:jc w:val="both"/>
              <w:rPr>
                <w:sz w:val="20"/>
              </w:rPr>
            </w:pPr>
          </w:p>
        </w:tc>
        <w:tc>
          <w:tcPr>
            <w:tcW w:w="620" w:type="pct"/>
          </w:tcPr>
          <w:p w14:paraId="45F7F3AF" w14:textId="77777777" w:rsidR="00704B93" w:rsidRDefault="00704B93" w:rsidP="008A3FD2">
            <w:pPr>
              <w:pStyle w:val="TableParagraph"/>
              <w:spacing w:before="8" w:line="256" w:lineRule="exact"/>
              <w:ind w:left="149"/>
              <w:jc w:val="both"/>
              <w:rPr>
                <w:sz w:val="24"/>
              </w:rPr>
            </w:pPr>
            <w:r>
              <w:rPr>
                <w:spacing w:val="-2"/>
                <w:sz w:val="24"/>
              </w:rPr>
              <w:t>Negative</w:t>
            </w:r>
          </w:p>
        </w:tc>
        <w:tc>
          <w:tcPr>
            <w:tcW w:w="855" w:type="pct"/>
          </w:tcPr>
          <w:p w14:paraId="544C6246" w14:textId="77777777" w:rsidR="00704B93" w:rsidRDefault="00704B93" w:rsidP="008A3FD2">
            <w:pPr>
              <w:pStyle w:val="TableParagraph"/>
              <w:spacing w:before="8" w:line="256" w:lineRule="exact"/>
              <w:ind w:left="496"/>
              <w:jc w:val="both"/>
              <w:rPr>
                <w:sz w:val="24"/>
              </w:rPr>
            </w:pPr>
            <w:r>
              <w:rPr>
                <w:spacing w:val="-2"/>
                <w:sz w:val="24"/>
              </w:rPr>
              <w:t>2.12±0.14</w:t>
            </w:r>
          </w:p>
        </w:tc>
        <w:tc>
          <w:tcPr>
            <w:tcW w:w="672" w:type="pct"/>
          </w:tcPr>
          <w:p w14:paraId="1162FF22" w14:textId="77777777" w:rsidR="00704B93" w:rsidRDefault="00704B93" w:rsidP="008A3FD2">
            <w:pPr>
              <w:pStyle w:val="TableParagraph"/>
              <w:spacing w:before="8" w:line="256" w:lineRule="exact"/>
              <w:ind w:left="193"/>
              <w:jc w:val="both"/>
              <w:rPr>
                <w:sz w:val="24"/>
              </w:rPr>
            </w:pPr>
            <w:r>
              <w:rPr>
                <w:spacing w:val="-2"/>
                <w:sz w:val="24"/>
              </w:rPr>
              <w:t>2.93±0.04</w:t>
            </w:r>
          </w:p>
        </w:tc>
        <w:tc>
          <w:tcPr>
            <w:tcW w:w="639" w:type="pct"/>
          </w:tcPr>
          <w:p w14:paraId="1DE27DD1" w14:textId="77777777" w:rsidR="00704B93" w:rsidRDefault="00704B93" w:rsidP="008A3FD2">
            <w:pPr>
              <w:pStyle w:val="TableParagraph"/>
              <w:spacing w:before="8" w:line="256" w:lineRule="exact"/>
              <w:ind w:left="118"/>
              <w:jc w:val="both"/>
              <w:rPr>
                <w:sz w:val="24"/>
              </w:rPr>
            </w:pPr>
            <w:r>
              <w:rPr>
                <w:spacing w:val="-2"/>
                <w:sz w:val="24"/>
              </w:rPr>
              <w:t>2.05±0.04</w:t>
            </w:r>
          </w:p>
        </w:tc>
        <w:tc>
          <w:tcPr>
            <w:tcW w:w="635" w:type="pct"/>
          </w:tcPr>
          <w:p w14:paraId="150172D3" w14:textId="77777777" w:rsidR="00704B93" w:rsidRDefault="00704B93" w:rsidP="008A3FD2">
            <w:pPr>
              <w:pStyle w:val="TableParagraph"/>
              <w:spacing w:before="8" w:line="256" w:lineRule="exact"/>
              <w:ind w:left="118"/>
              <w:jc w:val="both"/>
              <w:rPr>
                <w:sz w:val="24"/>
              </w:rPr>
            </w:pPr>
            <w:r>
              <w:rPr>
                <w:spacing w:val="-2"/>
                <w:sz w:val="24"/>
              </w:rPr>
              <w:t>0.06±0.02</w:t>
            </w:r>
          </w:p>
        </w:tc>
        <w:tc>
          <w:tcPr>
            <w:tcW w:w="1155" w:type="pct"/>
          </w:tcPr>
          <w:p w14:paraId="739ECF75" w14:textId="77777777" w:rsidR="00704B93" w:rsidRDefault="00704B93" w:rsidP="008A3FD2">
            <w:pPr>
              <w:pStyle w:val="TableParagraph"/>
              <w:spacing w:before="8" w:line="256" w:lineRule="exact"/>
              <w:ind w:left="664"/>
              <w:jc w:val="both"/>
              <w:rPr>
                <w:sz w:val="24"/>
              </w:rPr>
            </w:pPr>
            <w:r>
              <w:rPr>
                <w:spacing w:val="-2"/>
                <w:sz w:val="24"/>
              </w:rPr>
              <w:t>3.71±0.20</w:t>
            </w:r>
          </w:p>
        </w:tc>
      </w:tr>
      <w:tr w:rsidR="00704B93" w14:paraId="4848D795" w14:textId="77777777" w:rsidTr="00D661EB">
        <w:trPr>
          <w:trHeight w:val="639"/>
        </w:trPr>
        <w:tc>
          <w:tcPr>
            <w:tcW w:w="424" w:type="pct"/>
          </w:tcPr>
          <w:p w14:paraId="72F05793" w14:textId="77777777" w:rsidR="00704B93" w:rsidRDefault="00704B93" w:rsidP="008A3FD2">
            <w:pPr>
              <w:pStyle w:val="TableParagraph"/>
              <w:spacing w:before="105"/>
              <w:ind w:left="107"/>
              <w:jc w:val="both"/>
              <w:rPr>
                <w:b/>
                <w:sz w:val="24"/>
              </w:rPr>
            </w:pPr>
            <w:r>
              <w:rPr>
                <w:b/>
                <w:spacing w:val="-5"/>
                <w:sz w:val="24"/>
              </w:rPr>
              <w:t>14</w:t>
            </w:r>
          </w:p>
          <w:p w14:paraId="095C8490" w14:textId="77777777" w:rsidR="00704B93" w:rsidRDefault="00704B93" w:rsidP="008A3FD2">
            <w:pPr>
              <w:pStyle w:val="TableParagraph"/>
              <w:spacing w:line="238" w:lineRule="exact"/>
              <w:ind w:left="107"/>
              <w:jc w:val="both"/>
              <w:rPr>
                <w:b/>
                <w:sz w:val="24"/>
              </w:rPr>
            </w:pPr>
            <w:r>
              <w:rPr>
                <w:b/>
                <w:spacing w:val="-4"/>
                <w:sz w:val="24"/>
              </w:rPr>
              <w:t>days</w:t>
            </w:r>
          </w:p>
        </w:tc>
        <w:tc>
          <w:tcPr>
            <w:tcW w:w="620" w:type="pct"/>
          </w:tcPr>
          <w:p w14:paraId="3D5639FE" w14:textId="77777777" w:rsidR="00704B93" w:rsidRDefault="00704B93" w:rsidP="008A3FD2">
            <w:pPr>
              <w:pStyle w:val="TableParagraph"/>
              <w:ind w:left="149"/>
              <w:jc w:val="both"/>
              <w:rPr>
                <w:sz w:val="24"/>
              </w:rPr>
            </w:pPr>
            <w:r>
              <w:rPr>
                <w:spacing w:val="-2"/>
                <w:sz w:val="24"/>
              </w:rPr>
              <w:t>control</w:t>
            </w:r>
          </w:p>
          <w:p w14:paraId="2FFB8929" w14:textId="77777777" w:rsidR="00704B93" w:rsidRDefault="00704B93" w:rsidP="008A3FD2">
            <w:pPr>
              <w:pStyle w:val="TableParagraph"/>
              <w:spacing w:before="38"/>
              <w:ind w:left="149"/>
              <w:jc w:val="both"/>
              <w:rPr>
                <w:sz w:val="24"/>
              </w:rPr>
            </w:pPr>
            <w:r>
              <w:rPr>
                <w:spacing w:val="-5"/>
                <w:sz w:val="24"/>
              </w:rPr>
              <w:t>PE1</w:t>
            </w:r>
          </w:p>
        </w:tc>
        <w:tc>
          <w:tcPr>
            <w:tcW w:w="855" w:type="pct"/>
          </w:tcPr>
          <w:p w14:paraId="5FC9B319" w14:textId="77777777" w:rsidR="00704B93" w:rsidRDefault="00704B93" w:rsidP="008A3FD2">
            <w:pPr>
              <w:pStyle w:val="TableParagraph"/>
              <w:spacing w:before="38"/>
              <w:jc w:val="both"/>
              <w:rPr>
                <w:sz w:val="24"/>
              </w:rPr>
            </w:pPr>
          </w:p>
          <w:p w14:paraId="57E8B1AE" w14:textId="77777777" w:rsidR="00704B93" w:rsidRDefault="00704B93" w:rsidP="008A3FD2">
            <w:pPr>
              <w:pStyle w:val="TableParagraph"/>
              <w:ind w:left="496"/>
              <w:jc w:val="both"/>
              <w:rPr>
                <w:sz w:val="24"/>
              </w:rPr>
            </w:pPr>
            <w:r>
              <w:rPr>
                <w:spacing w:val="-2"/>
                <w:sz w:val="24"/>
              </w:rPr>
              <w:t>4.49±0.25</w:t>
            </w:r>
            <w:r>
              <w:rPr>
                <w:spacing w:val="-2"/>
                <w:sz w:val="24"/>
                <w:vertAlign w:val="superscript"/>
              </w:rPr>
              <w:t>a</w:t>
            </w:r>
          </w:p>
        </w:tc>
        <w:tc>
          <w:tcPr>
            <w:tcW w:w="672" w:type="pct"/>
          </w:tcPr>
          <w:p w14:paraId="14F533C2" w14:textId="77777777" w:rsidR="00704B93" w:rsidRDefault="00704B93" w:rsidP="008A3FD2">
            <w:pPr>
              <w:pStyle w:val="TableParagraph"/>
              <w:spacing w:before="38"/>
              <w:jc w:val="both"/>
              <w:rPr>
                <w:sz w:val="24"/>
              </w:rPr>
            </w:pPr>
          </w:p>
          <w:p w14:paraId="1DCF6143" w14:textId="77777777" w:rsidR="00704B93" w:rsidRDefault="00704B93" w:rsidP="008A3FD2">
            <w:pPr>
              <w:pStyle w:val="TableParagraph"/>
              <w:ind w:left="194"/>
              <w:jc w:val="both"/>
              <w:rPr>
                <w:sz w:val="24"/>
              </w:rPr>
            </w:pPr>
            <w:r>
              <w:rPr>
                <w:spacing w:val="-2"/>
                <w:sz w:val="24"/>
              </w:rPr>
              <w:t>4.52±0.28</w:t>
            </w:r>
          </w:p>
        </w:tc>
        <w:tc>
          <w:tcPr>
            <w:tcW w:w="639" w:type="pct"/>
          </w:tcPr>
          <w:p w14:paraId="37D2FB44" w14:textId="77777777" w:rsidR="00704B93" w:rsidRDefault="00704B93" w:rsidP="008A3FD2">
            <w:pPr>
              <w:pStyle w:val="TableParagraph"/>
              <w:spacing w:before="38"/>
              <w:jc w:val="both"/>
              <w:rPr>
                <w:sz w:val="24"/>
              </w:rPr>
            </w:pPr>
          </w:p>
          <w:p w14:paraId="33FE34D3" w14:textId="77777777" w:rsidR="00704B93" w:rsidRDefault="00704B93" w:rsidP="008A3FD2">
            <w:pPr>
              <w:pStyle w:val="TableParagraph"/>
              <w:ind w:left="122"/>
              <w:jc w:val="both"/>
              <w:rPr>
                <w:sz w:val="24"/>
              </w:rPr>
            </w:pPr>
            <w:r>
              <w:rPr>
                <w:spacing w:val="-2"/>
                <w:sz w:val="24"/>
              </w:rPr>
              <w:t>4.67±0.09</w:t>
            </w:r>
            <w:r>
              <w:rPr>
                <w:spacing w:val="-2"/>
                <w:sz w:val="24"/>
                <w:vertAlign w:val="superscript"/>
              </w:rPr>
              <w:t>a</w:t>
            </w:r>
          </w:p>
        </w:tc>
        <w:tc>
          <w:tcPr>
            <w:tcW w:w="635" w:type="pct"/>
          </w:tcPr>
          <w:p w14:paraId="3A3D4351" w14:textId="77777777" w:rsidR="00704B93" w:rsidRDefault="00704B93" w:rsidP="008A3FD2">
            <w:pPr>
              <w:pStyle w:val="TableParagraph"/>
              <w:spacing w:before="38"/>
              <w:jc w:val="both"/>
              <w:rPr>
                <w:sz w:val="24"/>
              </w:rPr>
            </w:pPr>
          </w:p>
          <w:p w14:paraId="5B4C4AE6" w14:textId="77777777" w:rsidR="00704B93" w:rsidRDefault="00704B93" w:rsidP="008A3FD2">
            <w:pPr>
              <w:pStyle w:val="TableParagraph"/>
              <w:ind w:left="123"/>
              <w:jc w:val="both"/>
              <w:rPr>
                <w:sz w:val="24"/>
              </w:rPr>
            </w:pPr>
            <w:r>
              <w:rPr>
                <w:spacing w:val="-2"/>
                <w:sz w:val="24"/>
              </w:rPr>
              <w:t>1.31±0.08</w:t>
            </w:r>
          </w:p>
        </w:tc>
        <w:tc>
          <w:tcPr>
            <w:tcW w:w="1155" w:type="pct"/>
          </w:tcPr>
          <w:p w14:paraId="18E2368B" w14:textId="77777777" w:rsidR="00704B93" w:rsidRDefault="00704B93" w:rsidP="008A3FD2">
            <w:pPr>
              <w:pStyle w:val="TableParagraph"/>
              <w:spacing w:before="38"/>
              <w:jc w:val="both"/>
              <w:rPr>
                <w:sz w:val="24"/>
              </w:rPr>
            </w:pPr>
          </w:p>
          <w:p w14:paraId="395335EF" w14:textId="77777777" w:rsidR="00704B93" w:rsidRDefault="00704B93" w:rsidP="008A3FD2">
            <w:pPr>
              <w:pStyle w:val="TableParagraph"/>
              <w:ind w:left="672"/>
              <w:jc w:val="both"/>
              <w:rPr>
                <w:sz w:val="24"/>
              </w:rPr>
            </w:pPr>
            <w:r>
              <w:rPr>
                <w:spacing w:val="-2"/>
                <w:sz w:val="24"/>
              </w:rPr>
              <w:t>8.69±0.59</w:t>
            </w:r>
            <w:r>
              <w:rPr>
                <w:spacing w:val="-2"/>
                <w:sz w:val="24"/>
                <w:vertAlign w:val="superscript"/>
              </w:rPr>
              <w:t>d</w:t>
            </w:r>
          </w:p>
        </w:tc>
      </w:tr>
      <w:tr w:rsidR="00704B93" w14:paraId="70E428B8" w14:textId="77777777" w:rsidTr="00D661EB">
        <w:trPr>
          <w:trHeight w:val="283"/>
        </w:trPr>
        <w:tc>
          <w:tcPr>
            <w:tcW w:w="424" w:type="pct"/>
          </w:tcPr>
          <w:p w14:paraId="2D834D17" w14:textId="77777777" w:rsidR="00704B93" w:rsidRDefault="00704B93" w:rsidP="008A3FD2">
            <w:pPr>
              <w:pStyle w:val="TableParagraph"/>
              <w:jc w:val="both"/>
              <w:rPr>
                <w:sz w:val="20"/>
              </w:rPr>
            </w:pPr>
          </w:p>
        </w:tc>
        <w:tc>
          <w:tcPr>
            <w:tcW w:w="620" w:type="pct"/>
          </w:tcPr>
          <w:p w14:paraId="21313CA8" w14:textId="77777777" w:rsidR="00704B93" w:rsidRDefault="00704B93" w:rsidP="008A3FD2">
            <w:pPr>
              <w:pStyle w:val="TableParagraph"/>
              <w:spacing w:line="263" w:lineRule="exact"/>
              <w:ind w:left="149"/>
              <w:jc w:val="both"/>
              <w:rPr>
                <w:sz w:val="24"/>
              </w:rPr>
            </w:pPr>
            <w:r>
              <w:rPr>
                <w:spacing w:val="-5"/>
                <w:sz w:val="24"/>
              </w:rPr>
              <w:t>PE2</w:t>
            </w:r>
          </w:p>
        </w:tc>
        <w:tc>
          <w:tcPr>
            <w:tcW w:w="855" w:type="pct"/>
          </w:tcPr>
          <w:p w14:paraId="78F0AF93" w14:textId="77777777" w:rsidR="00704B93" w:rsidRDefault="00704B93" w:rsidP="008A3FD2">
            <w:pPr>
              <w:pStyle w:val="TableParagraph"/>
              <w:spacing w:line="263" w:lineRule="exact"/>
              <w:ind w:left="496"/>
              <w:jc w:val="both"/>
              <w:rPr>
                <w:sz w:val="24"/>
              </w:rPr>
            </w:pPr>
            <w:r>
              <w:rPr>
                <w:spacing w:val="-2"/>
                <w:sz w:val="24"/>
              </w:rPr>
              <w:t>6.58±0.09</w:t>
            </w:r>
            <w:r>
              <w:rPr>
                <w:spacing w:val="-2"/>
                <w:sz w:val="24"/>
                <w:vertAlign w:val="superscript"/>
              </w:rPr>
              <w:t>d</w:t>
            </w:r>
          </w:p>
        </w:tc>
        <w:tc>
          <w:tcPr>
            <w:tcW w:w="672" w:type="pct"/>
          </w:tcPr>
          <w:p w14:paraId="448CA399" w14:textId="77777777" w:rsidR="00704B93" w:rsidRDefault="00704B93" w:rsidP="008A3FD2">
            <w:pPr>
              <w:pStyle w:val="TableParagraph"/>
              <w:spacing w:line="263" w:lineRule="exact"/>
              <w:ind w:left="194"/>
              <w:jc w:val="both"/>
              <w:rPr>
                <w:sz w:val="24"/>
              </w:rPr>
            </w:pPr>
            <w:r>
              <w:rPr>
                <w:spacing w:val="-2"/>
                <w:sz w:val="24"/>
              </w:rPr>
              <w:t>6.10±0.66</w:t>
            </w:r>
            <w:r>
              <w:rPr>
                <w:spacing w:val="-2"/>
                <w:sz w:val="24"/>
                <w:vertAlign w:val="superscript"/>
              </w:rPr>
              <w:t>b</w:t>
            </w:r>
          </w:p>
        </w:tc>
        <w:tc>
          <w:tcPr>
            <w:tcW w:w="639" w:type="pct"/>
          </w:tcPr>
          <w:p w14:paraId="626CEE89" w14:textId="77777777" w:rsidR="00704B93" w:rsidRDefault="00704B93" w:rsidP="008A3FD2">
            <w:pPr>
              <w:pStyle w:val="TableParagraph"/>
              <w:spacing w:line="263" w:lineRule="exact"/>
              <w:ind w:left="122"/>
              <w:jc w:val="both"/>
              <w:rPr>
                <w:sz w:val="24"/>
              </w:rPr>
            </w:pPr>
            <w:r>
              <w:rPr>
                <w:spacing w:val="-2"/>
                <w:sz w:val="24"/>
              </w:rPr>
              <w:t>6.47±0.10</w:t>
            </w:r>
            <w:r>
              <w:rPr>
                <w:spacing w:val="-2"/>
                <w:sz w:val="24"/>
                <w:vertAlign w:val="superscript"/>
              </w:rPr>
              <w:t>d</w:t>
            </w:r>
          </w:p>
        </w:tc>
        <w:tc>
          <w:tcPr>
            <w:tcW w:w="635" w:type="pct"/>
          </w:tcPr>
          <w:p w14:paraId="0807E254" w14:textId="77777777" w:rsidR="00704B93" w:rsidRDefault="00704B93" w:rsidP="008A3FD2">
            <w:pPr>
              <w:pStyle w:val="TableParagraph"/>
              <w:spacing w:line="263" w:lineRule="exact"/>
              <w:ind w:left="123"/>
              <w:jc w:val="both"/>
              <w:rPr>
                <w:sz w:val="24"/>
              </w:rPr>
            </w:pPr>
            <w:r>
              <w:rPr>
                <w:spacing w:val="-2"/>
                <w:sz w:val="24"/>
              </w:rPr>
              <w:t>2.17±0.05</w:t>
            </w:r>
          </w:p>
        </w:tc>
        <w:tc>
          <w:tcPr>
            <w:tcW w:w="1155" w:type="pct"/>
          </w:tcPr>
          <w:p w14:paraId="31825ADA" w14:textId="77777777" w:rsidR="00704B93" w:rsidRDefault="00704B93" w:rsidP="008A3FD2">
            <w:pPr>
              <w:pStyle w:val="TableParagraph"/>
              <w:spacing w:line="263" w:lineRule="exact"/>
              <w:ind w:left="672"/>
              <w:jc w:val="both"/>
              <w:rPr>
                <w:sz w:val="24"/>
              </w:rPr>
            </w:pPr>
            <w:r>
              <w:rPr>
                <w:spacing w:val="-2"/>
                <w:sz w:val="24"/>
              </w:rPr>
              <w:t>13.83±0.36</w:t>
            </w:r>
            <w:r>
              <w:rPr>
                <w:spacing w:val="-2"/>
                <w:sz w:val="24"/>
                <w:vertAlign w:val="superscript"/>
              </w:rPr>
              <w:t>d</w:t>
            </w:r>
          </w:p>
        </w:tc>
      </w:tr>
      <w:tr w:rsidR="00704B93" w14:paraId="51EE6021" w14:textId="77777777" w:rsidTr="00D661EB">
        <w:trPr>
          <w:trHeight w:val="315"/>
        </w:trPr>
        <w:tc>
          <w:tcPr>
            <w:tcW w:w="424" w:type="pct"/>
          </w:tcPr>
          <w:p w14:paraId="7BFB1EA4" w14:textId="77777777" w:rsidR="00704B93" w:rsidRDefault="00704B93" w:rsidP="008A3FD2">
            <w:pPr>
              <w:pStyle w:val="TableParagraph"/>
              <w:jc w:val="both"/>
            </w:pPr>
          </w:p>
        </w:tc>
        <w:tc>
          <w:tcPr>
            <w:tcW w:w="620" w:type="pct"/>
          </w:tcPr>
          <w:p w14:paraId="6BD366E5" w14:textId="77777777" w:rsidR="00704B93" w:rsidRDefault="00704B93" w:rsidP="008A3FD2">
            <w:pPr>
              <w:pStyle w:val="TableParagraph"/>
              <w:spacing w:before="25" w:line="270" w:lineRule="exact"/>
              <w:ind w:left="149"/>
              <w:jc w:val="both"/>
              <w:rPr>
                <w:sz w:val="24"/>
              </w:rPr>
            </w:pPr>
            <w:r>
              <w:rPr>
                <w:spacing w:val="-2"/>
                <w:sz w:val="24"/>
              </w:rPr>
              <w:t>Metformin</w:t>
            </w:r>
          </w:p>
        </w:tc>
        <w:tc>
          <w:tcPr>
            <w:tcW w:w="855" w:type="pct"/>
          </w:tcPr>
          <w:p w14:paraId="281F5FFF" w14:textId="77777777" w:rsidR="00704B93" w:rsidRDefault="00704B93" w:rsidP="008A3FD2">
            <w:pPr>
              <w:pStyle w:val="TableParagraph"/>
              <w:spacing w:before="25" w:line="270" w:lineRule="exact"/>
              <w:ind w:left="496"/>
              <w:jc w:val="both"/>
              <w:rPr>
                <w:sz w:val="24"/>
              </w:rPr>
            </w:pPr>
            <w:r>
              <w:rPr>
                <w:spacing w:val="-2"/>
                <w:sz w:val="24"/>
              </w:rPr>
              <w:t>8.65±0.59</w:t>
            </w:r>
            <w:r>
              <w:rPr>
                <w:spacing w:val="-2"/>
                <w:sz w:val="24"/>
                <w:vertAlign w:val="superscript"/>
              </w:rPr>
              <w:t>d</w:t>
            </w:r>
          </w:p>
        </w:tc>
        <w:tc>
          <w:tcPr>
            <w:tcW w:w="672" w:type="pct"/>
          </w:tcPr>
          <w:p w14:paraId="56B27667" w14:textId="77777777" w:rsidR="00704B93" w:rsidRDefault="00704B93" w:rsidP="008A3FD2">
            <w:pPr>
              <w:pStyle w:val="TableParagraph"/>
              <w:spacing w:before="25" w:line="270" w:lineRule="exact"/>
              <w:ind w:left="194"/>
              <w:jc w:val="both"/>
              <w:rPr>
                <w:sz w:val="24"/>
              </w:rPr>
            </w:pPr>
            <w:r>
              <w:rPr>
                <w:spacing w:val="-2"/>
                <w:sz w:val="24"/>
              </w:rPr>
              <w:t>9.03±0.08</w:t>
            </w:r>
            <w:r>
              <w:rPr>
                <w:spacing w:val="-2"/>
                <w:sz w:val="24"/>
                <w:vertAlign w:val="superscript"/>
              </w:rPr>
              <w:t>d</w:t>
            </w:r>
          </w:p>
        </w:tc>
        <w:tc>
          <w:tcPr>
            <w:tcW w:w="639" w:type="pct"/>
          </w:tcPr>
          <w:p w14:paraId="1775332C" w14:textId="77777777" w:rsidR="00704B93" w:rsidRDefault="00704B93" w:rsidP="008A3FD2">
            <w:pPr>
              <w:pStyle w:val="TableParagraph"/>
              <w:spacing w:before="25" w:line="270" w:lineRule="exact"/>
              <w:ind w:left="122"/>
              <w:jc w:val="both"/>
              <w:rPr>
                <w:sz w:val="24"/>
              </w:rPr>
            </w:pPr>
            <w:r>
              <w:rPr>
                <w:spacing w:val="-2"/>
                <w:sz w:val="24"/>
              </w:rPr>
              <w:t>8.93±0.26</w:t>
            </w:r>
            <w:r>
              <w:rPr>
                <w:spacing w:val="-2"/>
                <w:sz w:val="24"/>
                <w:vertAlign w:val="superscript"/>
              </w:rPr>
              <w:t>d</w:t>
            </w:r>
          </w:p>
        </w:tc>
        <w:tc>
          <w:tcPr>
            <w:tcW w:w="635" w:type="pct"/>
          </w:tcPr>
          <w:p w14:paraId="0638EC17" w14:textId="77777777" w:rsidR="00704B93" w:rsidRDefault="00704B93" w:rsidP="008A3FD2">
            <w:pPr>
              <w:pStyle w:val="TableParagraph"/>
              <w:spacing w:before="25" w:line="270" w:lineRule="exact"/>
              <w:ind w:left="123"/>
              <w:jc w:val="both"/>
              <w:rPr>
                <w:sz w:val="24"/>
              </w:rPr>
            </w:pPr>
            <w:r>
              <w:rPr>
                <w:spacing w:val="-2"/>
                <w:sz w:val="24"/>
              </w:rPr>
              <w:t>3.10±0.04</w:t>
            </w:r>
            <w:r>
              <w:rPr>
                <w:spacing w:val="-2"/>
                <w:sz w:val="24"/>
                <w:vertAlign w:val="superscript"/>
              </w:rPr>
              <w:t>b</w:t>
            </w:r>
          </w:p>
        </w:tc>
        <w:tc>
          <w:tcPr>
            <w:tcW w:w="1155" w:type="pct"/>
          </w:tcPr>
          <w:p w14:paraId="50C5DE4F" w14:textId="77777777" w:rsidR="00704B93" w:rsidRDefault="00704B93" w:rsidP="008A3FD2">
            <w:pPr>
              <w:pStyle w:val="TableParagraph"/>
              <w:spacing w:before="25" w:line="270" w:lineRule="exact"/>
              <w:ind w:left="672"/>
              <w:jc w:val="both"/>
              <w:rPr>
                <w:sz w:val="24"/>
              </w:rPr>
            </w:pPr>
            <w:r>
              <w:rPr>
                <w:spacing w:val="-2"/>
                <w:sz w:val="24"/>
              </w:rPr>
              <w:t>21.15±0.39</w:t>
            </w:r>
            <w:r>
              <w:rPr>
                <w:spacing w:val="-2"/>
                <w:sz w:val="24"/>
                <w:vertAlign w:val="superscript"/>
              </w:rPr>
              <w:t>d</w:t>
            </w:r>
          </w:p>
        </w:tc>
      </w:tr>
      <w:tr w:rsidR="00704B93" w14:paraId="08608757" w14:textId="77777777" w:rsidTr="00D661EB">
        <w:trPr>
          <w:trHeight w:val="397"/>
        </w:trPr>
        <w:tc>
          <w:tcPr>
            <w:tcW w:w="424" w:type="pct"/>
            <w:tcBorders>
              <w:bottom w:val="single" w:sz="4" w:space="0" w:color="000000"/>
            </w:tcBorders>
          </w:tcPr>
          <w:p w14:paraId="40EAAD40" w14:textId="77777777" w:rsidR="00704B93" w:rsidRDefault="00704B93" w:rsidP="008A3FD2">
            <w:pPr>
              <w:pStyle w:val="TableParagraph"/>
              <w:jc w:val="both"/>
            </w:pPr>
          </w:p>
        </w:tc>
        <w:tc>
          <w:tcPr>
            <w:tcW w:w="620" w:type="pct"/>
            <w:tcBorders>
              <w:bottom w:val="single" w:sz="4" w:space="0" w:color="000000"/>
            </w:tcBorders>
          </w:tcPr>
          <w:p w14:paraId="0605533C" w14:textId="77777777" w:rsidR="00704B93" w:rsidRDefault="00704B93" w:rsidP="008A3FD2">
            <w:pPr>
              <w:pStyle w:val="TableParagraph"/>
              <w:spacing w:before="24"/>
              <w:ind w:left="149"/>
              <w:jc w:val="both"/>
              <w:rPr>
                <w:sz w:val="24"/>
              </w:rPr>
            </w:pPr>
            <w:r>
              <w:rPr>
                <w:spacing w:val="-2"/>
                <w:sz w:val="24"/>
              </w:rPr>
              <w:t>Clomid</w:t>
            </w:r>
          </w:p>
        </w:tc>
        <w:tc>
          <w:tcPr>
            <w:tcW w:w="855" w:type="pct"/>
            <w:tcBorders>
              <w:bottom w:val="single" w:sz="4" w:space="0" w:color="000000"/>
            </w:tcBorders>
          </w:tcPr>
          <w:p w14:paraId="1556D641" w14:textId="77777777" w:rsidR="00704B93" w:rsidRDefault="00704B93" w:rsidP="008A3FD2">
            <w:pPr>
              <w:pStyle w:val="TableParagraph"/>
              <w:spacing w:before="24"/>
              <w:ind w:left="495"/>
              <w:jc w:val="both"/>
              <w:rPr>
                <w:sz w:val="24"/>
              </w:rPr>
            </w:pPr>
            <w:r>
              <w:rPr>
                <w:spacing w:val="-2"/>
                <w:sz w:val="24"/>
              </w:rPr>
              <w:t>10.14±0.03</w:t>
            </w:r>
            <w:r>
              <w:rPr>
                <w:spacing w:val="-2"/>
                <w:sz w:val="24"/>
                <w:vertAlign w:val="superscript"/>
              </w:rPr>
              <w:t>d</w:t>
            </w:r>
          </w:p>
        </w:tc>
        <w:tc>
          <w:tcPr>
            <w:tcW w:w="672" w:type="pct"/>
            <w:tcBorders>
              <w:bottom w:val="single" w:sz="4" w:space="0" w:color="000000"/>
            </w:tcBorders>
          </w:tcPr>
          <w:p w14:paraId="3F662A98" w14:textId="77777777" w:rsidR="00704B93" w:rsidRDefault="00704B93" w:rsidP="008A3FD2">
            <w:pPr>
              <w:pStyle w:val="TableParagraph"/>
              <w:spacing w:before="24"/>
              <w:ind w:left="193"/>
              <w:jc w:val="both"/>
              <w:rPr>
                <w:sz w:val="24"/>
              </w:rPr>
            </w:pPr>
            <w:r>
              <w:rPr>
                <w:spacing w:val="-2"/>
                <w:sz w:val="24"/>
              </w:rPr>
              <w:t>9.99±0.35</w:t>
            </w:r>
            <w:r>
              <w:rPr>
                <w:spacing w:val="-2"/>
                <w:sz w:val="24"/>
                <w:vertAlign w:val="superscript"/>
              </w:rPr>
              <w:t>d</w:t>
            </w:r>
          </w:p>
        </w:tc>
        <w:tc>
          <w:tcPr>
            <w:tcW w:w="639" w:type="pct"/>
            <w:tcBorders>
              <w:bottom w:val="single" w:sz="4" w:space="0" w:color="000000"/>
            </w:tcBorders>
          </w:tcPr>
          <w:p w14:paraId="4D7CDEC9" w14:textId="77777777" w:rsidR="00704B93" w:rsidRDefault="00704B93" w:rsidP="008A3FD2">
            <w:pPr>
              <w:pStyle w:val="TableParagraph"/>
              <w:spacing w:before="24"/>
              <w:ind w:left="121"/>
              <w:jc w:val="both"/>
              <w:rPr>
                <w:sz w:val="24"/>
              </w:rPr>
            </w:pPr>
            <w:r>
              <w:rPr>
                <w:spacing w:val="-2"/>
                <w:sz w:val="24"/>
              </w:rPr>
              <w:t>9.13±0.37</w:t>
            </w:r>
            <w:r>
              <w:rPr>
                <w:spacing w:val="-2"/>
                <w:sz w:val="24"/>
                <w:vertAlign w:val="superscript"/>
              </w:rPr>
              <w:t>d</w:t>
            </w:r>
          </w:p>
        </w:tc>
        <w:tc>
          <w:tcPr>
            <w:tcW w:w="635" w:type="pct"/>
            <w:tcBorders>
              <w:bottom w:val="single" w:sz="4" w:space="0" w:color="000000"/>
            </w:tcBorders>
          </w:tcPr>
          <w:p w14:paraId="4A7BAF7E" w14:textId="77777777" w:rsidR="00704B93" w:rsidRDefault="00704B93" w:rsidP="008A3FD2">
            <w:pPr>
              <w:pStyle w:val="TableParagraph"/>
              <w:spacing w:before="24"/>
              <w:ind w:left="122"/>
              <w:jc w:val="both"/>
              <w:rPr>
                <w:sz w:val="24"/>
              </w:rPr>
            </w:pPr>
            <w:r>
              <w:rPr>
                <w:spacing w:val="-2"/>
                <w:sz w:val="24"/>
              </w:rPr>
              <w:t>5.12±0.06</w:t>
            </w:r>
            <w:r>
              <w:rPr>
                <w:spacing w:val="-2"/>
                <w:sz w:val="24"/>
                <w:vertAlign w:val="superscript"/>
              </w:rPr>
              <w:t>d</w:t>
            </w:r>
          </w:p>
        </w:tc>
        <w:tc>
          <w:tcPr>
            <w:tcW w:w="1155" w:type="pct"/>
            <w:tcBorders>
              <w:bottom w:val="single" w:sz="4" w:space="0" w:color="000000"/>
            </w:tcBorders>
          </w:tcPr>
          <w:p w14:paraId="060852E3" w14:textId="77777777" w:rsidR="00704B93" w:rsidRDefault="00704B93" w:rsidP="008A3FD2">
            <w:pPr>
              <w:pStyle w:val="TableParagraph"/>
              <w:spacing w:before="24"/>
              <w:ind w:left="673"/>
              <w:jc w:val="both"/>
              <w:rPr>
                <w:sz w:val="24"/>
              </w:rPr>
            </w:pPr>
            <w:r>
              <w:rPr>
                <w:spacing w:val="-2"/>
                <w:sz w:val="24"/>
              </w:rPr>
              <w:t>24.13±0.61</w:t>
            </w:r>
            <w:r>
              <w:rPr>
                <w:spacing w:val="-2"/>
                <w:sz w:val="24"/>
                <w:vertAlign w:val="superscript"/>
              </w:rPr>
              <w:t>d</w:t>
            </w:r>
          </w:p>
        </w:tc>
      </w:tr>
      <w:tr w:rsidR="00704B93" w14:paraId="0CF6233C" w14:textId="77777777" w:rsidTr="00D661EB">
        <w:trPr>
          <w:trHeight w:val="568"/>
        </w:trPr>
        <w:tc>
          <w:tcPr>
            <w:tcW w:w="424" w:type="pct"/>
            <w:tcBorders>
              <w:top w:val="single" w:sz="4" w:space="0" w:color="000000"/>
            </w:tcBorders>
          </w:tcPr>
          <w:p w14:paraId="7A34C2E8" w14:textId="77777777" w:rsidR="00704B93" w:rsidRDefault="00704B93" w:rsidP="008A3FD2">
            <w:pPr>
              <w:pStyle w:val="TableParagraph"/>
              <w:jc w:val="both"/>
            </w:pPr>
          </w:p>
        </w:tc>
        <w:tc>
          <w:tcPr>
            <w:tcW w:w="620" w:type="pct"/>
            <w:tcBorders>
              <w:top w:val="single" w:sz="4" w:space="0" w:color="000000"/>
            </w:tcBorders>
          </w:tcPr>
          <w:p w14:paraId="55264839" w14:textId="77777777" w:rsidR="00704B93" w:rsidRDefault="00704B93" w:rsidP="008A3FD2">
            <w:pPr>
              <w:pStyle w:val="TableParagraph"/>
              <w:spacing w:line="276" w:lineRule="exact"/>
              <w:ind w:left="149" w:right="481"/>
              <w:jc w:val="both"/>
              <w:rPr>
                <w:sz w:val="24"/>
              </w:rPr>
            </w:pPr>
            <w:r>
              <w:rPr>
                <w:spacing w:val="-2"/>
                <w:sz w:val="24"/>
              </w:rPr>
              <w:t>Normal Control</w:t>
            </w:r>
          </w:p>
        </w:tc>
        <w:tc>
          <w:tcPr>
            <w:tcW w:w="855" w:type="pct"/>
            <w:tcBorders>
              <w:top w:val="single" w:sz="4" w:space="0" w:color="000000"/>
            </w:tcBorders>
          </w:tcPr>
          <w:p w14:paraId="38AD9BFB" w14:textId="77777777" w:rsidR="00704B93" w:rsidRDefault="00704B93" w:rsidP="008A3FD2">
            <w:pPr>
              <w:pStyle w:val="TableParagraph"/>
              <w:spacing w:line="275" w:lineRule="exact"/>
              <w:ind w:left="496"/>
              <w:jc w:val="both"/>
              <w:rPr>
                <w:sz w:val="24"/>
              </w:rPr>
            </w:pPr>
            <w:r>
              <w:rPr>
                <w:spacing w:val="-2"/>
                <w:sz w:val="24"/>
              </w:rPr>
              <w:t>11.90±0.13</w:t>
            </w:r>
            <w:r>
              <w:rPr>
                <w:spacing w:val="-2"/>
                <w:sz w:val="24"/>
                <w:vertAlign w:val="superscript"/>
              </w:rPr>
              <w:t>d</w:t>
            </w:r>
          </w:p>
        </w:tc>
        <w:tc>
          <w:tcPr>
            <w:tcW w:w="672" w:type="pct"/>
            <w:tcBorders>
              <w:top w:val="single" w:sz="4" w:space="0" w:color="000000"/>
            </w:tcBorders>
          </w:tcPr>
          <w:p w14:paraId="7745CDE3" w14:textId="77777777" w:rsidR="00704B93" w:rsidRDefault="00704B93" w:rsidP="008A3FD2">
            <w:pPr>
              <w:pStyle w:val="TableParagraph"/>
              <w:spacing w:line="275" w:lineRule="exact"/>
              <w:ind w:left="193"/>
              <w:jc w:val="both"/>
              <w:rPr>
                <w:sz w:val="24"/>
              </w:rPr>
            </w:pPr>
            <w:r>
              <w:rPr>
                <w:spacing w:val="-2"/>
                <w:sz w:val="24"/>
              </w:rPr>
              <w:t>12.7±0.31</w:t>
            </w:r>
            <w:r>
              <w:rPr>
                <w:spacing w:val="-2"/>
                <w:sz w:val="24"/>
                <w:vertAlign w:val="superscript"/>
              </w:rPr>
              <w:t>d</w:t>
            </w:r>
          </w:p>
        </w:tc>
        <w:tc>
          <w:tcPr>
            <w:tcW w:w="639" w:type="pct"/>
            <w:tcBorders>
              <w:top w:val="single" w:sz="4" w:space="0" w:color="000000"/>
            </w:tcBorders>
          </w:tcPr>
          <w:p w14:paraId="4BF87846" w14:textId="77777777" w:rsidR="00704B93" w:rsidRDefault="00704B93" w:rsidP="008A3FD2">
            <w:pPr>
              <w:pStyle w:val="TableParagraph"/>
              <w:spacing w:line="275" w:lineRule="exact"/>
              <w:ind w:left="121"/>
              <w:jc w:val="both"/>
              <w:rPr>
                <w:sz w:val="24"/>
              </w:rPr>
            </w:pPr>
            <w:r>
              <w:rPr>
                <w:spacing w:val="-2"/>
                <w:sz w:val="24"/>
              </w:rPr>
              <w:t>18.93±0.62</w:t>
            </w:r>
            <w:r>
              <w:rPr>
                <w:spacing w:val="-2"/>
                <w:sz w:val="24"/>
                <w:vertAlign w:val="superscript"/>
              </w:rPr>
              <w:t>d</w:t>
            </w:r>
          </w:p>
        </w:tc>
        <w:tc>
          <w:tcPr>
            <w:tcW w:w="635" w:type="pct"/>
            <w:tcBorders>
              <w:top w:val="single" w:sz="4" w:space="0" w:color="000000"/>
            </w:tcBorders>
          </w:tcPr>
          <w:p w14:paraId="162AE42F" w14:textId="77777777" w:rsidR="00704B93" w:rsidRDefault="00704B93" w:rsidP="008A3FD2">
            <w:pPr>
              <w:pStyle w:val="TableParagraph"/>
              <w:spacing w:line="275" w:lineRule="exact"/>
              <w:ind w:left="122"/>
              <w:jc w:val="both"/>
              <w:rPr>
                <w:sz w:val="24"/>
              </w:rPr>
            </w:pPr>
            <w:r>
              <w:rPr>
                <w:spacing w:val="-2"/>
                <w:sz w:val="24"/>
              </w:rPr>
              <w:t>8.09±0.03</w:t>
            </w:r>
            <w:r>
              <w:rPr>
                <w:spacing w:val="-2"/>
                <w:sz w:val="24"/>
                <w:vertAlign w:val="superscript"/>
              </w:rPr>
              <w:t>d</w:t>
            </w:r>
          </w:p>
        </w:tc>
        <w:tc>
          <w:tcPr>
            <w:tcW w:w="1155" w:type="pct"/>
            <w:tcBorders>
              <w:top w:val="single" w:sz="4" w:space="0" w:color="000000"/>
            </w:tcBorders>
          </w:tcPr>
          <w:p w14:paraId="06808EE2" w14:textId="77777777" w:rsidR="00704B93" w:rsidRDefault="00704B93" w:rsidP="008A3FD2">
            <w:pPr>
              <w:pStyle w:val="TableParagraph"/>
              <w:spacing w:line="275" w:lineRule="exact"/>
              <w:ind w:left="673"/>
              <w:jc w:val="both"/>
              <w:rPr>
                <w:sz w:val="24"/>
              </w:rPr>
            </w:pPr>
            <w:r>
              <w:rPr>
                <w:spacing w:val="-2"/>
                <w:sz w:val="24"/>
              </w:rPr>
              <w:t>26.60±1.26</w:t>
            </w:r>
            <w:r>
              <w:rPr>
                <w:spacing w:val="-2"/>
                <w:sz w:val="24"/>
                <w:vertAlign w:val="superscript"/>
              </w:rPr>
              <w:t>d</w:t>
            </w:r>
          </w:p>
        </w:tc>
      </w:tr>
      <w:tr w:rsidR="00704B93" w14:paraId="605F345E" w14:textId="77777777" w:rsidTr="00D661EB">
        <w:trPr>
          <w:trHeight w:val="608"/>
        </w:trPr>
        <w:tc>
          <w:tcPr>
            <w:tcW w:w="424" w:type="pct"/>
          </w:tcPr>
          <w:p w14:paraId="59B271F0" w14:textId="77777777" w:rsidR="00704B93" w:rsidRDefault="00704B93" w:rsidP="008A3FD2">
            <w:pPr>
              <w:pStyle w:val="TableParagraph"/>
              <w:spacing w:before="76"/>
              <w:jc w:val="both"/>
              <w:rPr>
                <w:sz w:val="24"/>
              </w:rPr>
            </w:pPr>
          </w:p>
          <w:p w14:paraId="2DC9E66C" w14:textId="77777777" w:rsidR="00704B93" w:rsidRDefault="00704B93" w:rsidP="008A3FD2">
            <w:pPr>
              <w:pStyle w:val="TableParagraph"/>
              <w:spacing w:line="236" w:lineRule="exact"/>
              <w:ind w:left="107"/>
              <w:jc w:val="both"/>
              <w:rPr>
                <w:b/>
                <w:sz w:val="24"/>
              </w:rPr>
            </w:pPr>
            <w:r>
              <w:rPr>
                <w:b/>
                <w:spacing w:val="-5"/>
                <w:sz w:val="24"/>
              </w:rPr>
              <w:t>21</w:t>
            </w:r>
          </w:p>
        </w:tc>
        <w:tc>
          <w:tcPr>
            <w:tcW w:w="620" w:type="pct"/>
          </w:tcPr>
          <w:p w14:paraId="359975BB" w14:textId="77777777" w:rsidR="00704B93" w:rsidRDefault="00704B93" w:rsidP="008A3FD2">
            <w:pPr>
              <w:pStyle w:val="TableParagraph"/>
              <w:spacing w:before="6"/>
              <w:ind w:left="149" w:right="352"/>
              <w:jc w:val="both"/>
              <w:rPr>
                <w:sz w:val="24"/>
              </w:rPr>
            </w:pPr>
            <w:r>
              <w:rPr>
                <w:spacing w:val="-2"/>
                <w:sz w:val="24"/>
              </w:rPr>
              <w:t>Negative control</w:t>
            </w:r>
          </w:p>
        </w:tc>
        <w:tc>
          <w:tcPr>
            <w:tcW w:w="855" w:type="pct"/>
          </w:tcPr>
          <w:p w14:paraId="5B465F1F" w14:textId="77777777" w:rsidR="00704B93" w:rsidRDefault="00704B93" w:rsidP="008A3FD2">
            <w:pPr>
              <w:pStyle w:val="TableParagraph"/>
              <w:spacing w:before="6"/>
              <w:ind w:left="496"/>
              <w:jc w:val="both"/>
              <w:rPr>
                <w:sz w:val="24"/>
              </w:rPr>
            </w:pPr>
            <w:r>
              <w:rPr>
                <w:spacing w:val="-2"/>
                <w:sz w:val="24"/>
              </w:rPr>
              <w:t>2.59±0.03</w:t>
            </w:r>
          </w:p>
        </w:tc>
        <w:tc>
          <w:tcPr>
            <w:tcW w:w="672" w:type="pct"/>
          </w:tcPr>
          <w:p w14:paraId="35BC2073" w14:textId="77777777" w:rsidR="00704B93" w:rsidRDefault="00704B93" w:rsidP="008A3FD2">
            <w:pPr>
              <w:pStyle w:val="TableParagraph"/>
              <w:spacing w:before="6"/>
              <w:ind w:left="193"/>
              <w:jc w:val="both"/>
              <w:rPr>
                <w:sz w:val="24"/>
              </w:rPr>
            </w:pPr>
            <w:r>
              <w:rPr>
                <w:spacing w:val="-2"/>
                <w:sz w:val="24"/>
              </w:rPr>
              <w:t>2.16±0.13</w:t>
            </w:r>
          </w:p>
        </w:tc>
        <w:tc>
          <w:tcPr>
            <w:tcW w:w="639" w:type="pct"/>
          </w:tcPr>
          <w:p w14:paraId="0D359CBE" w14:textId="77777777" w:rsidR="00704B93" w:rsidRDefault="00704B93" w:rsidP="008A3FD2">
            <w:pPr>
              <w:pStyle w:val="TableParagraph"/>
              <w:spacing w:before="6"/>
              <w:ind w:left="118"/>
              <w:jc w:val="both"/>
              <w:rPr>
                <w:sz w:val="24"/>
              </w:rPr>
            </w:pPr>
            <w:r>
              <w:rPr>
                <w:spacing w:val="-2"/>
                <w:sz w:val="24"/>
              </w:rPr>
              <w:t>2.99±0.06</w:t>
            </w:r>
          </w:p>
        </w:tc>
        <w:tc>
          <w:tcPr>
            <w:tcW w:w="635" w:type="pct"/>
          </w:tcPr>
          <w:p w14:paraId="5CCAEB01" w14:textId="77777777" w:rsidR="00704B93" w:rsidRDefault="00704B93" w:rsidP="008A3FD2">
            <w:pPr>
              <w:pStyle w:val="TableParagraph"/>
              <w:spacing w:before="6"/>
              <w:ind w:left="118"/>
              <w:jc w:val="both"/>
              <w:rPr>
                <w:sz w:val="24"/>
              </w:rPr>
            </w:pPr>
            <w:r>
              <w:rPr>
                <w:spacing w:val="-2"/>
                <w:sz w:val="24"/>
              </w:rPr>
              <w:t>0.11±0.02</w:t>
            </w:r>
          </w:p>
        </w:tc>
        <w:tc>
          <w:tcPr>
            <w:tcW w:w="1155" w:type="pct"/>
          </w:tcPr>
          <w:p w14:paraId="6FA6783A" w14:textId="77777777" w:rsidR="00704B93" w:rsidRDefault="00704B93" w:rsidP="008A3FD2">
            <w:pPr>
              <w:pStyle w:val="TableParagraph"/>
              <w:spacing w:before="6"/>
              <w:ind w:left="664"/>
              <w:jc w:val="both"/>
              <w:rPr>
                <w:sz w:val="24"/>
              </w:rPr>
            </w:pPr>
            <w:r>
              <w:rPr>
                <w:spacing w:val="-2"/>
                <w:sz w:val="24"/>
              </w:rPr>
              <w:t>3.73±0.18</w:t>
            </w:r>
          </w:p>
        </w:tc>
      </w:tr>
      <w:tr w:rsidR="00704B93" w14:paraId="55E277DA" w14:textId="77777777" w:rsidTr="00D661EB">
        <w:trPr>
          <w:trHeight w:val="295"/>
        </w:trPr>
        <w:tc>
          <w:tcPr>
            <w:tcW w:w="424" w:type="pct"/>
          </w:tcPr>
          <w:p w14:paraId="3F68D82F" w14:textId="77777777" w:rsidR="00704B93" w:rsidRDefault="00704B93" w:rsidP="008A3FD2">
            <w:pPr>
              <w:pStyle w:val="TableParagraph"/>
              <w:spacing w:before="19" w:line="256" w:lineRule="exact"/>
              <w:ind w:left="107"/>
              <w:jc w:val="both"/>
              <w:rPr>
                <w:b/>
                <w:sz w:val="24"/>
              </w:rPr>
            </w:pPr>
            <w:r>
              <w:rPr>
                <w:b/>
                <w:spacing w:val="-4"/>
                <w:sz w:val="24"/>
              </w:rPr>
              <w:t>Days</w:t>
            </w:r>
          </w:p>
        </w:tc>
        <w:tc>
          <w:tcPr>
            <w:tcW w:w="620" w:type="pct"/>
          </w:tcPr>
          <w:p w14:paraId="343A5B57" w14:textId="77777777" w:rsidR="00704B93" w:rsidRDefault="00704B93" w:rsidP="008A3FD2">
            <w:pPr>
              <w:pStyle w:val="TableParagraph"/>
              <w:spacing w:line="267" w:lineRule="exact"/>
              <w:ind w:left="149"/>
              <w:jc w:val="both"/>
              <w:rPr>
                <w:sz w:val="24"/>
              </w:rPr>
            </w:pPr>
            <w:r>
              <w:rPr>
                <w:spacing w:val="-5"/>
                <w:sz w:val="24"/>
              </w:rPr>
              <w:t>PE1</w:t>
            </w:r>
          </w:p>
        </w:tc>
        <w:tc>
          <w:tcPr>
            <w:tcW w:w="855" w:type="pct"/>
          </w:tcPr>
          <w:p w14:paraId="3DCEF165" w14:textId="77777777" w:rsidR="00704B93" w:rsidRDefault="00704B93" w:rsidP="008A3FD2">
            <w:pPr>
              <w:pStyle w:val="TableParagraph"/>
              <w:spacing w:line="267" w:lineRule="exact"/>
              <w:ind w:left="496"/>
              <w:jc w:val="both"/>
              <w:rPr>
                <w:sz w:val="24"/>
              </w:rPr>
            </w:pPr>
            <w:r>
              <w:rPr>
                <w:spacing w:val="-2"/>
                <w:sz w:val="24"/>
              </w:rPr>
              <w:t>4.59±0.26</w:t>
            </w:r>
          </w:p>
        </w:tc>
        <w:tc>
          <w:tcPr>
            <w:tcW w:w="672" w:type="pct"/>
          </w:tcPr>
          <w:p w14:paraId="470F92E5" w14:textId="77777777" w:rsidR="00704B93" w:rsidRDefault="00704B93" w:rsidP="008A3FD2">
            <w:pPr>
              <w:pStyle w:val="TableParagraph"/>
              <w:spacing w:line="267" w:lineRule="exact"/>
              <w:ind w:left="194"/>
              <w:jc w:val="both"/>
              <w:rPr>
                <w:sz w:val="24"/>
              </w:rPr>
            </w:pPr>
            <w:r>
              <w:rPr>
                <w:spacing w:val="-2"/>
                <w:sz w:val="24"/>
              </w:rPr>
              <w:t>2.36±0.09</w:t>
            </w:r>
          </w:p>
        </w:tc>
        <w:tc>
          <w:tcPr>
            <w:tcW w:w="639" w:type="pct"/>
          </w:tcPr>
          <w:p w14:paraId="3B8347EA" w14:textId="77777777" w:rsidR="00704B93" w:rsidRDefault="00704B93" w:rsidP="008A3FD2">
            <w:pPr>
              <w:pStyle w:val="TableParagraph"/>
              <w:spacing w:line="267" w:lineRule="exact"/>
              <w:ind w:left="122"/>
              <w:jc w:val="both"/>
              <w:rPr>
                <w:sz w:val="24"/>
              </w:rPr>
            </w:pPr>
            <w:r>
              <w:rPr>
                <w:spacing w:val="-2"/>
                <w:sz w:val="24"/>
              </w:rPr>
              <w:t>10.20±0.67</w:t>
            </w:r>
            <w:r>
              <w:rPr>
                <w:spacing w:val="-2"/>
                <w:sz w:val="24"/>
                <w:vertAlign w:val="superscript"/>
              </w:rPr>
              <w:t>d</w:t>
            </w:r>
          </w:p>
        </w:tc>
        <w:tc>
          <w:tcPr>
            <w:tcW w:w="635" w:type="pct"/>
          </w:tcPr>
          <w:p w14:paraId="366AA4FD" w14:textId="77777777" w:rsidR="00704B93" w:rsidRDefault="00704B93" w:rsidP="008A3FD2">
            <w:pPr>
              <w:pStyle w:val="TableParagraph"/>
              <w:spacing w:line="267" w:lineRule="exact"/>
              <w:ind w:left="123"/>
              <w:jc w:val="both"/>
              <w:rPr>
                <w:sz w:val="24"/>
              </w:rPr>
            </w:pPr>
            <w:r>
              <w:rPr>
                <w:spacing w:val="-2"/>
                <w:sz w:val="24"/>
              </w:rPr>
              <w:t>0.06±0.01</w:t>
            </w:r>
          </w:p>
        </w:tc>
        <w:tc>
          <w:tcPr>
            <w:tcW w:w="1155" w:type="pct"/>
          </w:tcPr>
          <w:p w14:paraId="3448549A" w14:textId="77777777" w:rsidR="00704B93" w:rsidRDefault="00704B93" w:rsidP="008A3FD2">
            <w:pPr>
              <w:pStyle w:val="TableParagraph"/>
              <w:spacing w:line="267" w:lineRule="exact"/>
              <w:ind w:left="672"/>
              <w:jc w:val="both"/>
              <w:rPr>
                <w:sz w:val="24"/>
              </w:rPr>
            </w:pPr>
            <w:r>
              <w:rPr>
                <w:spacing w:val="-2"/>
                <w:sz w:val="24"/>
              </w:rPr>
              <w:t>10.82±0.10</w:t>
            </w:r>
            <w:r>
              <w:rPr>
                <w:spacing w:val="-2"/>
                <w:sz w:val="24"/>
                <w:vertAlign w:val="superscript"/>
              </w:rPr>
              <w:t>d</w:t>
            </w:r>
          </w:p>
        </w:tc>
      </w:tr>
      <w:tr w:rsidR="00704B93" w14:paraId="2D882746" w14:textId="77777777" w:rsidTr="00D661EB">
        <w:trPr>
          <w:trHeight w:val="302"/>
        </w:trPr>
        <w:tc>
          <w:tcPr>
            <w:tcW w:w="424" w:type="pct"/>
          </w:tcPr>
          <w:p w14:paraId="6C1CD337" w14:textId="77777777" w:rsidR="00704B93" w:rsidRDefault="00704B93" w:rsidP="008A3FD2">
            <w:pPr>
              <w:pStyle w:val="TableParagraph"/>
              <w:jc w:val="both"/>
            </w:pPr>
          </w:p>
        </w:tc>
        <w:tc>
          <w:tcPr>
            <w:tcW w:w="620" w:type="pct"/>
          </w:tcPr>
          <w:p w14:paraId="28DFC9D6" w14:textId="77777777" w:rsidR="00704B93" w:rsidRDefault="00704B93" w:rsidP="008A3FD2">
            <w:pPr>
              <w:pStyle w:val="TableParagraph"/>
              <w:spacing w:before="12" w:line="270" w:lineRule="exact"/>
              <w:ind w:left="149"/>
              <w:jc w:val="both"/>
              <w:rPr>
                <w:sz w:val="24"/>
              </w:rPr>
            </w:pPr>
            <w:r>
              <w:rPr>
                <w:spacing w:val="-5"/>
                <w:sz w:val="24"/>
              </w:rPr>
              <w:t>PE2</w:t>
            </w:r>
          </w:p>
        </w:tc>
        <w:tc>
          <w:tcPr>
            <w:tcW w:w="855" w:type="pct"/>
          </w:tcPr>
          <w:p w14:paraId="2C4EDD1A" w14:textId="77777777" w:rsidR="00704B93" w:rsidRDefault="00704B93" w:rsidP="008A3FD2">
            <w:pPr>
              <w:pStyle w:val="TableParagraph"/>
              <w:spacing w:before="12" w:line="270" w:lineRule="exact"/>
              <w:ind w:left="496"/>
              <w:jc w:val="both"/>
              <w:rPr>
                <w:sz w:val="24"/>
              </w:rPr>
            </w:pPr>
            <w:r>
              <w:rPr>
                <w:spacing w:val="-2"/>
                <w:sz w:val="24"/>
              </w:rPr>
              <w:t>6.69±0.10</w:t>
            </w:r>
            <w:r>
              <w:rPr>
                <w:spacing w:val="-2"/>
                <w:sz w:val="24"/>
                <w:vertAlign w:val="superscript"/>
              </w:rPr>
              <w:t>d</w:t>
            </w:r>
          </w:p>
        </w:tc>
        <w:tc>
          <w:tcPr>
            <w:tcW w:w="672" w:type="pct"/>
          </w:tcPr>
          <w:p w14:paraId="6884F76C" w14:textId="77777777" w:rsidR="00704B93" w:rsidRDefault="00704B93" w:rsidP="008A3FD2">
            <w:pPr>
              <w:pStyle w:val="TableParagraph"/>
              <w:spacing w:before="12" w:line="270" w:lineRule="exact"/>
              <w:ind w:left="194"/>
              <w:jc w:val="both"/>
              <w:rPr>
                <w:sz w:val="24"/>
              </w:rPr>
            </w:pPr>
            <w:r>
              <w:rPr>
                <w:spacing w:val="-2"/>
                <w:sz w:val="24"/>
              </w:rPr>
              <w:t>4.67±0.14</w:t>
            </w:r>
            <w:r>
              <w:rPr>
                <w:spacing w:val="-2"/>
                <w:sz w:val="24"/>
                <w:vertAlign w:val="superscript"/>
              </w:rPr>
              <w:t>a</w:t>
            </w:r>
          </w:p>
        </w:tc>
        <w:tc>
          <w:tcPr>
            <w:tcW w:w="639" w:type="pct"/>
          </w:tcPr>
          <w:p w14:paraId="5014E74A" w14:textId="77777777" w:rsidR="00704B93" w:rsidRDefault="00704B93" w:rsidP="008A3FD2">
            <w:pPr>
              <w:pStyle w:val="TableParagraph"/>
              <w:spacing w:before="12" w:line="270" w:lineRule="exact"/>
              <w:ind w:left="122"/>
              <w:jc w:val="both"/>
              <w:rPr>
                <w:sz w:val="24"/>
              </w:rPr>
            </w:pPr>
            <w:r>
              <w:rPr>
                <w:spacing w:val="-2"/>
                <w:sz w:val="24"/>
              </w:rPr>
              <w:t>12.47±0.38</w:t>
            </w:r>
            <w:r>
              <w:rPr>
                <w:spacing w:val="-2"/>
                <w:sz w:val="24"/>
                <w:vertAlign w:val="superscript"/>
              </w:rPr>
              <w:t>d</w:t>
            </w:r>
          </w:p>
        </w:tc>
        <w:tc>
          <w:tcPr>
            <w:tcW w:w="635" w:type="pct"/>
          </w:tcPr>
          <w:p w14:paraId="4CF9E1CA" w14:textId="77777777" w:rsidR="00704B93" w:rsidRDefault="00704B93" w:rsidP="008A3FD2">
            <w:pPr>
              <w:pStyle w:val="TableParagraph"/>
              <w:spacing w:before="12" w:line="270" w:lineRule="exact"/>
              <w:ind w:left="123"/>
              <w:jc w:val="both"/>
              <w:rPr>
                <w:sz w:val="24"/>
              </w:rPr>
            </w:pPr>
            <w:r>
              <w:rPr>
                <w:spacing w:val="-2"/>
                <w:sz w:val="24"/>
              </w:rPr>
              <w:t>0.97±0.38</w:t>
            </w:r>
          </w:p>
        </w:tc>
        <w:tc>
          <w:tcPr>
            <w:tcW w:w="1155" w:type="pct"/>
          </w:tcPr>
          <w:p w14:paraId="2957EF68" w14:textId="77777777" w:rsidR="00704B93" w:rsidRDefault="00704B93" w:rsidP="008A3FD2">
            <w:pPr>
              <w:pStyle w:val="TableParagraph"/>
              <w:spacing w:before="12" w:line="270" w:lineRule="exact"/>
              <w:ind w:left="672"/>
              <w:jc w:val="both"/>
              <w:rPr>
                <w:sz w:val="24"/>
              </w:rPr>
            </w:pPr>
            <w:r>
              <w:rPr>
                <w:spacing w:val="-2"/>
                <w:sz w:val="24"/>
              </w:rPr>
              <w:t>12.86±0.94</w:t>
            </w:r>
            <w:r>
              <w:rPr>
                <w:spacing w:val="-2"/>
                <w:sz w:val="24"/>
                <w:vertAlign w:val="superscript"/>
              </w:rPr>
              <w:t>d</w:t>
            </w:r>
          </w:p>
        </w:tc>
      </w:tr>
      <w:tr w:rsidR="00704B93" w14:paraId="36C64537" w14:textId="77777777" w:rsidTr="00D661EB">
        <w:trPr>
          <w:trHeight w:val="315"/>
        </w:trPr>
        <w:tc>
          <w:tcPr>
            <w:tcW w:w="424" w:type="pct"/>
          </w:tcPr>
          <w:p w14:paraId="5B576EA3" w14:textId="77777777" w:rsidR="00704B93" w:rsidRDefault="00704B93" w:rsidP="008A3FD2">
            <w:pPr>
              <w:pStyle w:val="TableParagraph"/>
              <w:jc w:val="both"/>
            </w:pPr>
          </w:p>
        </w:tc>
        <w:tc>
          <w:tcPr>
            <w:tcW w:w="620" w:type="pct"/>
          </w:tcPr>
          <w:p w14:paraId="443C449F" w14:textId="77777777" w:rsidR="00704B93" w:rsidRDefault="00704B93" w:rsidP="008A3FD2">
            <w:pPr>
              <w:pStyle w:val="TableParagraph"/>
              <w:spacing w:before="24" w:line="271" w:lineRule="exact"/>
              <w:ind w:left="149"/>
              <w:jc w:val="both"/>
              <w:rPr>
                <w:sz w:val="24"/>
              </w:rPr>
            </w:pPr>
            <w:r>
              <w:rPr>
                <w:spacing w:val="-2"/>
                <w:sz w:val="24"/>
              </w:rPr>
              <w:t>Metformin</w:t>
            </w:r>
          </w:p>
        </w:tc>
        <w:tc>
          <w:tcPr>
            <w:tcW w:w="855" w:type="pct"/>
          </w:tcPr>
          <w:p w14:paraId="572166B2" w14:textId="77777777" w:rsidR="00704B93" w:rsidRDefault="00704B93" w:rsidP="008A3FD2">
            <w:pPr>
              <w:pStyle w:val="TableParagraph"/>
              <w:spacing w:before="24" w:line="271" w:lineRule="exact"/>
              <w:ind w:left="496"/>
              <w:jc w:val="both"/>
              <w:rPr>
                <w:sz w:val="24"/>
              </w:rPr>
            </w:pPr>
            <w:r>
              <w:rPr>
                <w:spacing w:val="-2"/>
                <w:sz w:val="24"/>
              </w:rPr>
              <w:t>9.59±0.17</w:t>
            </w:r>
            <w:r>
              <w:rPr>
                <w:spacing w:val="-2"/>
                <w:sz w:val="24"/>
                <w:vertAlign w:val="superscript"/>
              </w:rPr>
              <w:t>d</w:t>
            </w:r>
          </w:p>
        </w:tc>
        <w:tc>
          <w:tcPr>
            <w:tcW w:w="672" w:type="pct"/>
          </w:tcPr>
          <w:p w14:paraId="376D99D3" w14:textId="77777777" w:rsidR="00704B93" w:rsidRDefault="00704B93" w:rsidP="008A3FD2">
            <w:pPr>
              <w:pStyle w:val="TableParagraph"/>
              <w:spacing w:before="24" w:line="271" w:lineRule="exact"/>
              <w:ind w:left="194"/>
              <w:jc w:val="both"/>
              <w:rPr>
                <w:sz w:val="24"/>
              </w:rPr>
            </w:pPr>
            <w:r>
              <w:rPr>
                <w:spacing w:val="-2"/>
                <w:sz w:val="24"/>
              </w:rPr>
              <w:t>8.14±0.34</w:t>
            </w:r>
            <w:r>
              <w:rPr>
                <w:spacing w:val="-2"/>
                <w:sz w:val="24"/>
                <w:vertAlign w:val="superscript"/>
              </w:rPr>
              <w:t>d</w:t>
            </w:r>
          </w:p>
        </w:tc>
        <w:tc>
          <w:tcPr>
            <w:tcW w:w="639" w:type="pct"/>
          </w:tcPr>
          <w:p w14:paraId="02B3015B" w14:textId="77777777" w:rsidR="00704B93" w:rsidRDefault="00704B93" w:rsidP="008A3FD2">
            <w:pPr>
              <w:pStyle w:val="TableParagraph"/>
              <w:spacing w:before="24" w:line="271" w:lineRule="exact"/>
              <w:ind w:left="122"/>
              <w:jc w:val="both"/>
              <w:rPr>
                <w:sz w:val="24"/>
              </w:rPr>
            </w:pPr>
            <w:r>
              <w:rPr>
                <w:spacing w:val="-2"/>
                <w:sz w:val="24"/>
              </w:rPr>
              <w:t>15.03±0.27</w:t>
            </w:r>
            <w:r>
              <w:rPr>
                <w:spacing w:val="-2"/>
                <w:sz w:val="24"/>
                <w:vertAlign w:val="superscript"/>
              </w:rPr>
              <w:t>d</w:t>
            </w:r>
          </w:p>
        </w:tc>
        <w:tc>
          <w:tcPr>
            <w:tcW w:w="635" w:type="pct"/>
          </w:tcPr>
          <w:p w14:paraId="2847C166" w14:textId="77777777" w:rsidR="00704B93" w:rsidRDefault="00704B93" w:rsidP="008A3FD2">
            <w:pPr>
              <w:pStyle w:val="TableParagraph"/>
              <w:spacing w:before="24" w:line="271" w:lineRule="exact"/>
              <w:ind w:left="123"/>
              <w:jc w:val="both"/>
              <w:rPr>
                <w:sz w:val="24"/>
              </w:rPr>
            </w:pPr>
            <w:r>
              <w:rPr>
                <w:spacing w:val="-2"/>
                <w:sz w:val="24"/>
              </w:rPr>
              <w:t>2.00±0.17</w:t>
            </w:r>
          </w:p>
        </w:tc>
        <w:tc>
          <w:tcPr>
            <w:tcW w:w="1155" w:type="pct"/>
          </w:tcPr>
          <w:p w14:paraId="63D32884" w14:textId="77777777" w:rsidR="00704B93" w:rsidRDefault="00704B93" w:rsidP="008A3FD2">
            <w:pPr>
              <w:pStyle w:val="TableParagraph"/>
              <w:spacing w:before="24" w:line="271" w:lineRule="exact"/>
              <w:ind w:left="672"/>
              <w:jc w:val="both"/>
              <w:rPr>
                <w:sz w:val="24"/>
              </w:rPr>
            </w:pPr>
            <w:r>
              <w:rPr>
                <w:spacing w:val="-2"/>
                <w:sz w:val="24"/>
              </w:rPr>
              <w:t>18.25±0.42</w:t>
            </w:r>
            <w:r>
              <w:rPr>
                <w:spacing w:val="-2"/>
                <w:sz w:val="24"/>
                <w:vertAlign w:val="superscript"/>
              </w:rPr>
              <w:t>d</w:t>
            </w:r>
          </w:p>
        </w:tc>
      </w:tr>
      <w:tr w:rsidR="00704B93" w14:paraId="545BD951" w14:textId="77777777" w:rsidTr="00D661EB">
        <w:trPr>
          <w:trHeight w:val="316"/>
        </w:trPr>
        <w:tc>
          <w:tcPr>
            <w:tcW w:w="424" w:type="pct"/>
            <w:tcBorders>
              <w:bottom w:val="single" w:sz="4" w:space="0" w:color="000000"/>
            </w:tcBorders>
          </w:tcPr>
          <w:p w14:paraId="6F5A3315" w14:textId="77777777" w:rsidR="00704B93" w:rsidRDefault="00704B93" w:rsidP="008A3FD2">
            <w:pPr>
              <w:pStyle w:val="TableParagraph"/>
              <w:jc w:val="both"/>
            </w:pPr>
          </w:p>
        </w:tc>
        <w:tc>
          <w:tcPr>
            <w:tcW w:w="620" w:type="pct"/>
            <w:tcBorders>
              <w:bottom w:val="single" w:sz="4" w:space="0" w:color="000000"/>
            </w:tcBorders>
          </w:tcPr>
          <w:p w14:paraId="7266A03E" w14:textId="77777777" w:rsidR="00704B93" w:rsidRDefault="00704B93" w:rsidP="008A3FD2">
            <w:pPr>
              <w:pStyle w:val="TableParagraph"/>
              <w:spacing w:before="25" w:line="271" w:lineRule="exact"/>
              <w:ind w:left="149"/>
              <w:jc w:val="both"/>
              <w:rPr>
                <w:sz w:val="24"/>
              </w:rPr>
            </w:pPr>
            <w:r>
              <w:rPr>
                <w:spacing w:val="-2"/>
                <w:sz w:val="24"/>
              </w:rPr>
              <w:t>Clomid</w:t>
            </w:r>
          </w:p>
        </w:tc>
        <w:tc>
          <w:tcPr>
            <w:tcW w:w="855" w:type="pct"/>
            <w:tcBorders>
              <w:bottom w:val="single" w:sz="4" w:space="0" w:color="000000"/>
            </w:tcBorders>
          </w:tcPr>
          <w:p w14:paraId="661E4EDA" w14:textId="77777777" w:rsidR="00704B93" w:rsidRDefault="00704B93" w:rsidP="008A3FD2">
            <w:pPr>
              <w:pStyle w:val="TableParagraph"/>
              <w:spacing w:before="25" w:line="271" w:lineRule="exact"/>
              <w:ind w:left="496"/>
              <w:jc w:val="both"/>
              <w:rPr>
                <w:sz w:val="24"/>
              </w:rPr>
            </w:pPr>
            <w:r>
              <w:rPr>
                <w:spacing w:val="-2"/>
                <w:sz w:val="24"/>
              </w:rPr>
              <w:t>10.46±0.21</w:t>
            </w:r>
            <w:r>
              <w:rPr>
                <w:spacing w:val="-2"/>
                <w:sz w:val="24"/>
                <w:vertAlign w:val="superscript"/>
              </w:rPr>
              <w:t>d</w:t>
            </w:r>
          </w:p>
        </w:tc>
        <w:tc>
          <w:tcPr>
            <w:tcW w:w="672" w:type="pct"/>
            <w:tcBorders>
              <w:bottom w:val="single" w:sz="4" w:space="0" w:color="000000"/>
            </w:tcBorders>
          </w:tcPr>
          <w:p w14:paraId="33C3E36D" w14:textId="77777777" w:rsidR="00704B93" w:rsidRDefault="00704B93" w:rsidP="008A3FD2">
            <w:pPr>
              <w:pStyle w:val="TableParagraph"/>
              <w:spacing w:before="25" w:line="271" w:lineRule="exact"/>
              <w:ind w:left="194"/>
              <w:jc w:val="both"/>
              <w:rPr>
                <w:sz w:val="24"/>
              </w:rPr>
            </w:pPr>
            <w:r>
              <w:rPr>
                <w:spacing w:val="-2"/>
                <w:sz w:val="24"/>
              </w:rPr>
              <w:t>12.21±0.65</w:t>
            </w:r>
            <w:r>
              <w:rPr>
                <w:spacing w:val="-2"/>
                <w:sz w:val="24"/>
                <w:vertAlign w:val="superscript"/>
              </w:rPr>
              <w:t>d</w:t>
            </w:r>
          </w:p>
        </w:tc>
        <w:tc>
          <w:tcPr>
            <w:tcW w:w="639" w:type="pct"/>
            <w:tcBorders>
              <w:bottom w:val="single" w:sz="4" w:space="0" w:color="000000"/>
            </w:tcBorders>
          </w:tcPr>
          <w:p w14:paraId="7CF8AB74" w14:textId="77777777" w:rsidR="00704B93" w:rsidRDefault="00704B93" w:rsidP="008A3FD2">
            <w:pPr>
              <w:pStyle w:val="TableParagraph"/>
              <w:spacing w:before="25" w:line="271" w:lineRule="exact"/>
              <w:ind w:left="122"/>
              <w:jc w:val="both"/>
              <w:rPr>
                <w:sz w:val="24"/>
              </w:rPr>
            </w:pPr>
            <w:r>
              <w:rPr>
                <w:spacing w:val="-2"/>
                <w:sz w:val="24"/>
              </w:rPr>
              <w:t>17.37±0.72</w:t>
            </w:r>
            <w:r>
              <w:rPr>
                <w:spacing w:val="-2"/>
                <w:sz w:val="24"/>
                <w:vertAlign w:val="superscript"/>
              </w:rPr>
              <w:t>d</w:t>
            </w:r>
          </w:p>
        </w:tc>
        <w:tc>
          <w:tcPr>
            <w:tcW w:w="635" w:type="pct"/>
            <w:tcBorders>
              <w:bottom w:val="single" w:sz="4" w:space="0" w:color="000000"/>
            </w:tcBorders>
          </w:tcPr>
          <w:p w14:paraId="6AD67FB1" w14:textId="77777777" w:rsidR="00704B93" w:rsidRDefault="00704B93" w:rsidP="008A3FD2">
            <w:pPr>
              <w:pStyle w:val="TableParagraph"/>
              <w:spacing w:before="25" w:line="271" w:lineRule="exact"/>
              <w:ind w:left="123"/>
              <w:jc w:val="both"/>
              <w:rPr>
                <w:sz w:val="24"/>
              </w:rPr>
            </w:pPr>
            <w:r>
              <w:rPr>
                <w:spacing w:val="-2"/>
                <w:sz w:val="24"/>
              </w:rPr>
              <w:t>3.08±0.05</w:t>
            </w:r>
            <w:r>
              <w:rPr>
                <w:spacing w:val="-2"/>
                <w:sz w:val="24"/>
                <w:vertAlign w:val="superscript"/>
              </w:rPr>
              <w:t>a</w:t>
            </w:r>
          </w:p>
        </w:tc>
        <w:tc>
          <w:tcPr>
            <w:tcW w:w="1155" w:type="pct"/>
            <w:tcBorders>
              <w:bottom w:val="single" w:sz="4" w:space="0" w:color="000000"/>
            </w:tcBorders>
          </w:tcPr>
          <w:p w14:paraId="41EDA190" w14:textId="77777777" w:rsidR="00704B93" w:rsidRDefault="00704B93" w:rsidP="008A3FD2">
            <w:pPr>
              <w:pStyle w:val="TableParagraph"/>
              <w:spacing w:before="25" w:line="271" w:lineRule="exact"/>
              <w:ind w:left="672"/>
              <w:jc w:val="both"/>
              <w:rPr>
                <w:sz w:val="24"/>
              </w:rPr>
            </w:pPr>
            <w:r>
              <w:rPr>
                <w:spacing w:val="-2"/>
                <w:sz w:val="24"/>
              </w:rPr>
              <w:t>19.48±0.33</w:t>
            </w:r>
            <w:r>
              <w:rPr>
                <w:spacing w:val="-2"/>
                <w:sz w:val="24"/>
                <w:vertAlign w:val="superscript"/>
              </w:rPr>
              <w:t>d</w:t>
            </w:r>
          </w:p>
        </w:tc>
      </w:tr>
      <w:tr w:rsidR="00704B93" w14:paraId="5D73EC11" w14:textId="77777777" w:rsidTr="00D661EB">
        <w:trPr>
          <w:trHeight w:val="569"/>
        </w:trPr>
        <w:tc>
          <w:tcPr>
            <w:tcW w:w="424" w:type="pct"/>
            <w:tcBorders>
              <w:top w:val="single" w:sz="4" w:space="0" w:color="000000"/>
            </w:tcBorders>
          </w:tcPr>
          <w:p w14:paraId="62ACE79E" w14:textId="77777777" w:rsidR="00704B93" w:rsidRDefault="00704B93" w:rsidP="008A3FD2">
            <w:pPr>
              <w:pStyle w:val="TableParagraph"/>
              <w:jc w:val="both"/>
            </w:pPr>
          </w:p>
        </w:tc>
        <w:tc>
          <w:tcPr>
            <w:tcW w:w="620" w:type="pct"/>
            <w:tcBorders>
              <w:top w:val="single" w:sz="4" w:space="0" w:color="000000"/>
            </w:tcBorders>
          </w:tcPr>
          <w:p w14:paraId="1E3E8785" w14:textId="77777777" w:rsidR="00704B93" w:rsidRDefault="00704B93" w:rsidP="008A3FD2">
            <w:pPr>
              <w:pStyle w:val="TableParagraph"/>
              <w:spacing w:line="276" w:lineRule="exact"/>
              <w:ind w:left="149" w:right="481"/>
              <w:jc w:val="both"/>
              <w:rPr>
                <w:sz w:val="24"/>
              </w:rPr>
            </w:pPr>
            <w:r>
              <w:rPr>
                <w:spacing w:val="-2"/>
                <w:sz w:val="24"/>
              </w:rPr>
              <w:t>Normal Control</w:t>
            </w:r>
          </w:p>
        </w:tc>
        <w:tc>
          <w:tcPr>
            <w:tcW w:w="855" w:type="pct"/>
            <w:tcBorders>
              <w:top w:val="single" w:sz="4" w:space="0" w:color="000000"/>
            </w:tcBorders>
          </w:tcPr>
          <w:p w14:paraId="5FE1BB1A" w14:textId="77777777" w:rsidR="00704B93" w:rsidRDefault="00704B93" w:rsidP="008A3FD2">
            <w:pPr>
              <w:pStyle w:val="TableParagraph"/>
              <w:spacing w:line="275" w:lineRule="exact"/>
              <w:ind w:left="496"/>
              <w:jc w:val="both"/>
              <w:rPr>
                <w:sz w:val="24"/>
              </w:rPr>
            </w:pPr>
            <w:r>
              <w:rPr>
                <w:spacing w:val="-2"/>
                <w:sz w:val="24"/>
              </w:rPr>
              <w:t>8.28±0.12</w:t>
            </w:r>
            <w:r>
              <w:rPr>
                <w:spacing w:val="-2"/>
                <w:sz w:val="24"/>
                <w:vertAlign w:val="superscript"/>
              </w:rPr>
              <w:t>d</w:t>
            </w:r>
          </w:p>
        </w:tc>
        <w:tc>
          <w:tcPr>
            <w:tcW w:w="672" w:type="pct"/>
            <w:tcBorders>
              <w:top w:val="single" w:sz="4" w:space="0" w:color="000000"/>
            </w:tcBorders>
          </w:tcPr>
          <w:p w14:paraId="71D3C0B7" w14:textId="77777777" w:rsidR="00704B93" w:rsidRDefault="00704B93" w:rsidP="008A3FD2">
            <w:pPr>
              <w:pStyle w:val="TableParagraph"/>
              <w:spacing w:line="275" w:lineRule="exact"/>
              <w:ind w:left="193"/>
              <w:jc w:val="both"/>
              <w:rPr>
                <w:sz w:val="24"/>
              </w:rPr>
            </w:pPr>
            <w:r>
              <w:rPr>
                <w:spacing w:val="-2"/>
                <w:sz w:val="24"/>
              </w:rPr>
              <w:t>8.95±0.07</w:t>
            </w:r>
            <w:r>
              <w:rPr>
                <w:spacing w:val="-2"/>
                <w:sz w:val="24"/>
                <w:vertAlign w:val="superscript"/>
              </w:rPr>
              <w:t>d</w:t>
            </w:r>
          </w:p>
        </w:tc>
        <w:tc>
          <w:tcPr>
            <w:tcW w:w="639" w:type="pct"/>
            <w:tcBorders>
              <w:top w:val="single" w:sz="4" w:space="0" w:color="000000"/>
            </w:tcBorders>
          </w:tcPr>
          <w:p w14:paraId="63951860" w14:textId="77777777" w:rsidR="00704B93" w:rsidRDefault="00704B93" w:rsidP="008A3FD2">
            <w:pPr>
              <w:pStyle w:val="TableParagraph"/>
              <w:spacing w:line="275" w:lineRule="exact"/>
              <w:ind w:left="121"/>
              <w:jc w:val="both"/>
              <w:rPr>
                <w:sz w:val="24"/>
              </w:rPr>
            </w:pPr>
            <w:r>
              <w:rPr>
                <w:spacing w:val="-2"/>
                <w:sz w:val="24"/>
              </w:rPr>
              <w:t>39.30±1.49</w:t>
            </w:r>
            <w:r>
              <w:rPr>
                <w:spacing w:val="-2"/>
                <w:sz w:val="24"/>
                <w:vertAlign w:val="superscript"/>
              </w:rPr>
              <w:t>d</w:t>
            </w:r>
          </w:p>
        </w:tc>
        <w:tc>
          <w:tcPr>
            <w:tcW w:w="635" w:type="pct"/>
            <w:tcBorders>
              <w:top w:val="single" w:sz="4" w:space="0" w:color="000000"/>
            </w:tcBorders>
          </w:tcPr>
          <w:p w14:paraId="69D50A4B" w14:textId="77777777" w:rsidR="00704B93" w:rsidRDefault="00704B93" w:rsidP="008A3FD2">
            <w:pPr>
              <w:pStyle w:val="TableParagraph"/>
              <w:spacing w:line="275" w:lineRule="exact"/>
              <w:ind w:left="122"/>
              <w:jc w:val="both"/>
              <w:rPr>
                <w:sz w:val="24"/>
              </w:rPr>
            </w:pPr>
            <w:r>
              <w:rPr>
                <w:spacing w:val="-2"/>
                <w:sz w:val="24"/>
              </w:rPr>
              <w:t>6.04±0.07</w:t>
            </w:r>
            <w:r>
              <w:rPr>
                <w:spacing w:val="-2"/>
                <w:sz w:val="24"/>
                <w:vertAlign w:val="superscript"/>
              </w:rPr>
              <w:t>d</w:t>
            </w:r>
          </w:p>
        </w:tc>
        <w:tc>
          <w:tcPr>
            <w:tcW w:w="1155" w:type="pct"/>
            <w:tcBorders>
              <w:top w:val="single" w:sz="4" w:space="0" w:color="000000"/>
            </w:tcBorders>
          </w:tcPr>
          <w:p w14:paraId="2CF8BCE8" w14:textId="77777777" w:rsidR="00704B93" w:rsidRDefault="00704B93" w:rsidP="008A3FD2">
            <w:pPr>
              <w:pStyle w:val="TableParagraph"/>
              <w:spacing w:line="275" w:lineRule="exact"/>
              <w:ind w:left="673"/>
              <w:jc w:val="both"/>
              <w:rPr>
                <w:sz w:val="24"/>
              </w:rPr>
            </w:pPr>
            <w:r>
              <w:rPr>
                <w:spacing w:val="-2"/>
                <w:sz w:val="24"/>
              </w:rPr>
              <w:t>27.17±1.32</w:t>
            </w:r>
            <w:r>
              <w:rPr>
                <w:spacing w:val="-2"/>
                <w:sz w:val="24"/>
                <w:vertAlign w:val="superscript"/>
              </w:rPr>
              <w:t>d</w:t>
            </w:r>
          </w:p>
        </w:tc>
      </w:tr>
      <w:tr w:rsidR="00704B93" w14:paraId="5E8EF9BE" w14:textId="77777777" w:rsidTr="00D661EB">
        <w:trPr>
          <w:trHeight w:val="608"/>
        </w:trPr>
        <w:tc>
          <w:tcPr>
            <w:tcW w:w="424" w:type="pct"/>
          </w:tcPr>
          <w:p w14:paraId="43343592" w14:textId="77777777" w:rsidR="00704B93" w:rsidRDefault="00704B93" w:rsidP="008A3FD2">
            <w:pPr>
              <w:pStyle w:val="TableParagraph"/>
              <w:spacing w:before="75"/>
              <w:jc w:val="both"/>
              <w:rPr>
                <w:sz w:val="24"/>
              </w:rPr>
            </w:pPr>
          </w:p>
          <w:p w14:paraId="44F8035F" w14:textId="77777777" w:rsidR="00704B93" w:rsidRDefault="00704B93" w:rsidP="008A3FD2">
            <w:pPr>
              <w:pStyle w:val="TableParagraph"/>
              <w:spacing w:line="238" w:lineRule="exact"/>
              <w:ind w:left="107"/>
              <w:jc w:val="both"/>
              <w:rPr>
                <w:b/>
                <w:sz w:val="24"/>
              </w:rPr>
            </w:pPr>
            <w:r>
              <w:rPr>
                <w:b/>
                <w:spacing w:val="-5"/>
                <w:sz w:val="24"/>
              </w:rPr>
              <w:t>28</w:t>
            </w:r>
          </w:p>
        </w:tc>
        <w:tc>
          <w:tcPr>
            <w:tcW w:w="620" w:type="pct"/>
          </w:tcPr>
          <w:p w14:paraId="79A62B79" w14:textId="77777777" w:rsidR="00704B93" w:rsidRDefault="00704B93" w:rsidP="008A3FD2">
            <w:pPr>
              <w:pStyle w:val="TableParagraph"/>
              <w:spacing w:before="8"/>
              <w:ind w:left="149" w:right="352"/>
              <w:jc w:val="both"/>
              <w:rPr>
                <w:sz w:val="24"/>
              </w:rPr>
            </w:pPr>
            <w:r>
              <w:rPr>
                <w:spacing w:val="-2"/>
                <w:sz w:val="24"/>
              </w:rPr>
              <w:t>Negative control</w:t>
            </w:r>
          </w:p>
        </w:tc>
        <w:tc>
          <w:tcPr>
            <w:tcW w:w="855" w:type="pct"/>
          </w:tcPr>
          <w:p w14:paraId="76DECA99" w14:textId="77777777" w:rsidR="00704B93" w:rsidRDefault="00704B93" w:rsidP="008A3FD2">
            <w:pPr>
              <w:pStyle w:val="TableParagraph"/>
              <w:spacing w:before="8"/>
              <w:ind w:left="496"/>
              <w:jc w:val="both"/>
              <w:rPr>
                <w:sz w:val="24"/>
              </w:rPr>
            </w:pPr>
            <w:r>
              <w:rPr>
                <w:spacing w:val="-2"/>
                <w:sz w:val="24"/>
              </w:rPr>
              <w:t>1.97±0.09</w:t>
            </w:r>
          </w:p>
        </w:tc>
        <w:tc>
          <w:tcPr>
            <w:tcW w:w="672" w:type="pct"/>
          </w:tcPr>
          <w:p w14:paraId="5C0F4358" w14:textId="77777777" w:rsidR="00704B93" w:rsidRDefault="00704B93" w:rsidP="008A3FD2">
            <w:pPr>
              <w:pStyle w:val="TableParagraph"/>
              <w:spacing w:before="8"/>
              <w:ind w:left="193"/>
              <w:jc w:val="both"/>
              <w:rPr>
                <w:sz w:val="24"/>
              </w:rPr>
            </w:pPr>
            <w:r>
              <w:rPr>
                <w:spacing w:val="-2"/>
                <w:sz w:val="24"/>
              </w:rPr>
              <w:t>1.94±0.05</w:t>
            </w:r>
          </w:p>
        </w:tc>
        <w:tc>
          <w:tcPr>
            <w:tcW w:w="639" w:type="pct"/>
          </w:tcPr>
          <w:p w14:paraId="5097793C" w14:textId="77777777" w:rsidR="00704B93" w:rsidRDefault="00704B93" w:rsidP="008A3FD2">
            <w:pPr>
              <w:pStyle w:val="TableParagraph"/>
              <w:spacing w:before="8"/>
              <w:ind w:left="118"/>
              <w:jc w:val="both"/>
              <w:rPr>
                <w:sz w:val="24"/>
              </w:rPr>
            </w:pPr>
            <w:r>
              <w:rPr>
                <w:spacing w:val="-2"/>
                <w:sz w:val="24"/>
              </w:rPr>
              <w:t>10.43±0.35</w:t>
            </w:r>
          </w:p>
        </w:tc>
        <w:tc>
          <w:tcPr>
            <w:tcW w:w="635" w:type="pct"/>
          </w:tcPr>
          <w:p w14:paraId="5E12CCB6" w14:textId="77777777" w:rsidR="00704B93" w:rsidRDefault="00704B93" w:rsidP="008A3FD2">
            <w:pPr>
              <w:pStyle w:val="TableParagraph"/>
              <w:spacing w:before="8"/>
              <w:ind w:left="116"/>
              <w:jc w:val="both"/>
              <w:rPr>
                <w:sz w:val="24"/>
              </w:rPr>
            </w:pPr>
            <w:r>
              <w:rPr>
                <w:spacing w:val="-2"/>
                <w:sz w:val="24"/>
              </w:rPr>
              <w:t>0.59±0.12</w:t>
            </w:r>
          </w:p>
        </w:tc>
        <w:tc>
          <w:tcPr>
            <w:tcW w:w="1155" w:type="pct"/>
          </w:tcPr>
          <w:p w14:paraId="12443AC3" w14:textId="77777777" w:rsidR="00704B93" w:rsidRDefault="00704B93" w:rsidP="008A3FD2">
            <w:pPr>
              <w:pStyle w:val="TableParagraph"/>
              <w:spacing w:before="8"/>
              <w:ind w:left="664"/>
              <w:jc w:val="both"/>
              <w:rPr>
                <w:sz w:val="24"/>
              </w:rPr>
            </w:pPr>
            <w:r>
              <w:rPr>
                <w:spacing w:val="-2"/>
                <w:sz w:val="24"/>
              </w:rPr>
              <w:t>4.45±0.19</w:t>
            </w:r>
          </w:p>
        </w:tc>
      </w:tr>
      <w:tr w:rsidR="00704B93" w14:paraId="77934BC5" w14:textId="77777777" w:rsidTr="00D661EB">
        <w:trPr>
          <w:trHeight w:val="294"/>
        </w:trPr>
        <w:tc>
          <w:tcPr>
            <w:tcW w:w="424" w:type="pct"/>
          </w:tcPr>
          <w:p w14:paraId="2E0FE2FD" w14:textId="77777777" w:rsidR="00704B93" w:rsidRDefault="00704B93" w:rsidP="008A3FD2">
            <w:pPr>
              <w:pStyle w:val="TableParagraph"/>
              <w:spacing w:before="18" w:line="256" w:lineRule="exact"/>
              <w:ind w:left="107"/>
              <w:jc w:val="both"/>
              <w:rPr>
                <w:b/>
                <w:sz w:val="24"/>
              </w:rPr>
            </w:pPr>
            <w:r>
              <w:rPr>
                <w:b/>
                <w:spacing w:val="-4"/>
                <w:sz w:val="24"/>
              </w:rPr>
              <w:t>Days</w:t>
            </w:r>
          </w:p>
        </w:tc>
        <w:tc>
          <w:tcPr>
            <w:tcW w:w="620" w:type="pct"/>
          </w:tcPr>
          <w:p w14:paraId="3283CC24" w14:textId="77777777" w:rsidR="00704B93" w:rsidRDefault="00704B93" w:rsidP="008A3FD2">
            <w:pPr>
              <w:pStyle w:val="TableParagraph"/>
              <w:spacing w:line="268" w:lineRule="exact"/>
              <w:ind w:left="149"/>
              <w:jc w:val="both"/>
              <w:rPr>
                <w:sz w:val="24"/>
              </w:rPr>
            </w:pPr>
            <w:r>
              <w:rPr>
                <w:spacing w:val="-5"/>
                <w:sz w:val="24"/>
              </w:rPr>
              <w:t>PE1</w:t>
            </w:r>
          </w:p>
        </w:tc>
        <w:tc>
          <w:tcPr>
            <w:tcW w:w="855" w:type="pct"/>
          </w:tcPr>
          <w:p w14:paraId="053B5ED1" w14:textId="77777777" w:rsidR="00704B93" w:rsidRDefault="00704B93" w:rsidP="008A3FD2">
            <w:pPr>
              <w:pStyle w:val="TableParagraph"/>
              <w:spacing w:line="268" w:lineRule="exact"/>
              <w:ind w:left="496"/>
              <w:jc w:val="both"/>
              <w:rPr>
                <w:sz w:val="24"/>
              </w:rPr>
            </w:pPr>
            <w:r>
              <w:rPr>
                <w:spacing w:val="-2"/>
                <w:sz w:val="24"/>
              </w:rPr>
              <w:t>3.95±0.25</w:t>
            </w:r>
          </w:p>
        </w:tc>
        <w:tc>
          <w:tcPr>
            <w:tcW w:w="672" w:type="pct"/>
          </w:tcPr>
          <w:p w14:paraId="51B13451" w14:textId="77777777" w:rsidR="00704B93" w:rsidRDefault="00704B93" w:rsidP="008A3FD2">
            <w:pPr>
              <w:pStyle w:val="TableParagraph"/>
              <w:spacing w:line="268" w:lineRule="exact"/>
              <w:ind w:left="194"/>
              <w:jc w:val="both"/>
              <w:rPr>
                <w:sz w:val="24"/>
              </w:rPr>
            </w:pPr>
            <w:r>
              <w:rPr>
                <w:spacing w:val="-2"/>
                <w:sz w:val="24"/>
              </w:rPr>
              <w:t>3.59±0.30</w:t>
            </w:r>
          </w:p>
        </w:tc>
        <w:tc>
          <w:tcPr>
            <w:tcW w:w="639" w:type="pct"/>
          </w:tcPr>
          <w:p w14:paraId="1630F0B4" w14:textId="77777777" w:rsidR="00704B93" w:rsidRDefault="00704B93" w:rsidP="008A3FD2">
            <w:pPr>
              <w:pStyle w:val="TableParagraph"/>
              <w:spacing w:line="268" w:lineRule="exact"/>
              <w:ind w:left="122"/>
              <w:jc w:val="both"/>
              <w:rPr>
                <w:sz w:val="24"/>
              </w:rPr>
            </w:pPr>
            <w:r>
              <w:rPr>
                <w:spacing w:val="-2"/>
                <w:sz w:val="24"/>
              </w:rPr>
              <w:t>19.56±0.43</w:t>
            </w:r>
            <w:r>
              <w:rPr>
                <w:spacing w:val="-2"/>
                <w:sz w:val="24"/>
                <w:vertAlign w:val="superscript"/>
              </w:rPr>
              <w:t>d</w:t>
            </w:r>
          </w:p>
        </w:tc>
        <w:tc>
          <w:tcPr>
            <w:tcW w:w="635" w:type="pct"/>
          </w:tcPr>
          <w:p w14:paraId="6E8EE4BB" w14:textId="77777777" w:rsidR="00704B93" w:rsidRDefault="00704B93" w:rsidP="008A3FD2">
            <w:pPr>
              <w:pStyle w:val="TableParagraph"/>
              <w:spacing w:line="268" w:lineRule="exact"/>
              <w:ind w:left="123"/>
              <w:jc w:val="both"/>
              <w:rPr>
                <w:sz w:val="24"/>
              </w:rPr>
            </w:pPr>
            <w:r>
              <w:rPr>
                <w:spacing w:val="-2"/>
                <w:sz w:val="24"/>
              </w:rPr>
              <w:t>1.20±0.05</w:t>
            </w:r>
          </w:p>
        </w:tc>
        <w:tc>
          <w:tcPr>
            <w:tcW w:w="1155" w:type="pct"/>
          </w:tcPr>
          <w:p w14:paraId="7AE9D4BD" w14:textId="77777777" w:rsidR="00704B93" w:rsidRDefault="00704B93" w:rsidP="008A3FD2">
            <w:pPr>
              <w:pStyle w:val="TableParagraph"/>
              <w:spacing w:line="268" w:lineRule="exact"/>
              <w:ind w:left="672"/>
              <w:jc w:val="both"/>
              <w:rPr>
                <w:sz w:val="24"/>
              </w:rPr>
            </w:pPr>
            <w:r>
              <w:rPr>
                <w:spacing w:val="-2"/>
                <w:sz w:val="24"/>
              </w:rPr>
              <w:t>11.38±0.76</w:t>
            </w:r>
            <w:r>
              <w:rPr>
                <w:spacing w:val="-2"/>
                <w:sz w:val="24"/>
                <w:vertAlign w:val="superscript"/>
              </w:rPr>
              <w:t>d</w:t>
            </w:r>
          </w:p>
        </w:tc>
      </w:tr>
      <w:tr w:rsidR="00704B93" w14:paraId="19437090" w14:textId="77777777" w:rsidTr="00D661EB">
        <w:trPr>
          <w:trHeight w:val="303"/>
        </w:trPr>
        <w:tc>
          <w:tcPr>
            <w:tcW w:w="424" w:type="pct"/>
          </w:tcPr>
          <w:p w14:paraId="68CEC12C" w14:textId="77777777" w:rsidR="00704B93" w:rsidRDefault="00704B93" w:rsidP="008A3FD2">
            <w:pPr>
              <w:pStyle w:val="TableParagraph"/>
              <w:jc w:val="both"/>
            </w:pPr>
          </w:p>
        </w:tc>
        <w:tc>
          <w:tcPr>
            <w:tcW w:w="620" w:type="pct"/>
          </w:tcPr>
          <w:p w14:paraId="5ED59185" w14:textId="77777777" w:rsidR="00704B93" w:rsidRDefault="00704B93" w:rsidP="008A3FD2">
            <w:pPr>
              <w:pStyle w:val="TableParagraph"/>
              <w:spacing w:before="12" w:line="271" w:lineRule="exact"/>
              <w:ind w:left="149"/>
              <w:jc w:val="both"/>
              <w:rPr>
                <w:sz w:val="24"/>
              </w:rPr>
            </w:pPr>
            <w:r>
              <w:rPr>
                <w:spacing w:val="-5"/>
                <w:sz w:val="24"/>
              </w:rPr>
              <w:t>PE2</w:t>
            </w:r>
          </w:p>
        </w:tc>
        <w:tc>
          <w:tcPr>
            <w:tcW w:w="855" w:type="pct"/>
          </w:tcPr>
          <w:p w14:paraId="423C81AB" w14:textId="77777777" w:rsidR="00704B93" w:rsidRDefault="00704B93" w:rsidP="008A3FD2">
            <w:pPr>
              <w:pStyle w:val="TableParagraph"/>
              <w:spacing w:before="12" w:line="271" w:lineRule="exact"/>
              <w:ind w:left="496"/>
              <w:jc w:val="both"/>
              <w:rPr>
                <w:sz w:val="24"/>
              </w:rPr>
            </w:pPr>
            <w:r>
              <w:rPr>
                <w:spacing w:val="-2"/>
                <w:sz w:val="24"/>
              </w:rPr>
              <w:t>5.78±0.08</w:t>
            </w:r>
            <w:r>
              <w:rPr>
                <w:spacing w:val="-2"/>
                <w:sz w:val="24"/>
                <w:vertAlign w:val="superscript"/>
              </w:rPr>
              <w:t>c</w:t>
            </w:r>
          </w:p>
        </w:tc>
        <w:tc>
          <w:tcPr>
            <w:tcW w:w="672" w:type="pct"/>
          </w:tcPr>
          <w:p w14:paraId="26475B9C" w14:textId="77777777" w:rsidR="00704B93" w:rsidRDefault="00704B93" w:rsidP="008A3FD2">
            <w:pPr>
              <w:pStyle w:val="TableParagraph"/>
              <w:spacing w:before="12" w:line="271" w:lineRule="exact"/>
              <w:ind w:left="194"/>
              <w:jc w:val="both"/>
              <w:rPr>
                <w:sz w:val="24"/>
              </w:rPr>
            </w:pPr>
            <w:r>
              <w:rPr>
                <w:spacing w:val="-2"/>
                <w:sz w:val="24"/>
              </w:rPr>
              <w:t>5.91±0.54</w:t>
            </w:r>
            <w:r>
              <w:rPr>
                <w:spacing w:val="-2"/>
                <w:sz w:val="24"/>
                <w:vertAlign w:val="superscript"/>
              </w:rPr>
              <w:t>c</w:t>
            </w:r>
          </w:p>
        </w:tc>
        <w:tc>
          <w:tcPr>
            <w:tcW w:w="639" w:type="pct"/>
          </w:tcPr>
          <w:p w14:paraId="1A922506" w14:textId="77777777" w:rsidR="00704B93" w:rsidRDefault="00704B93" w:rsidP="008A3FD2">
            <w:pPr>
              <w:pStyle w:val="TableParagraph"/>
              <w:spacing w:before="12" w:line="271" w:lineRule="exact"/>
              <w:ind w:left="122"/>
              <w:jc w:val="both"/>
              <w:rPr>
                <w:sz w:val="24"/>
              </w:rPr>
            </w:pPr>
            <w:r>
              <w:rPr>
                <w:spacing w:val="-2"/>
                <w:sz w:val="24"/>
              </w:rPr>
              <w:t>27.57±0.73</w:t>
            </w:r>
            <w:r>
              <w:rPr>
                <w:spacing w:val="-2"/>
                <w:sz w:val="24"/>
                <w:vertAlign w:val="superscript"/>
              </w:rPr>
              <w:t>d</w:t>
            </w:r>
          </w:p>
        </w:tc>
        <w:tc>
          <w:tcPr>
            <w:tcW w:w="635" w:type="pct"/>
          </w:tcPr>
          <w:p w14:paraId="73A3173E" w14:textId="77777777" w:rsidR="00704B93" w:rsidRDefault="00704B93" w:rsidP="008A3FD2">
            <w:pPr>
              <w:pStyle w:val="TableParagraph"/>
              <w:spacing w:before="12" w:line="271" w:lineRule="exact"/>
              <w:ind w:left="123"/>
              <w:jc w:val="both"/>
              <w:rPr>
                <w:sz w:val="24"/>
              </w:rPr>
            </w:pPr>
            <w:r>
              <w:rPr>
                <w:spacing w:val="-2"/>
                <w:sz w:val="24"/>
              </w:rPr>
              <w:t>2.05±0.00</w:t>
            </w:r>
          </w:p>
        </w:tc>
        <w:tc>
          <w:tcPr>
            <w:tcW w:w="1155" w:type="pct"/>
          </w:tcPr>
          <w:p w14:paraId="52BF8AFA" w14:textId="77777777" w:rsidR="00704B93" w:rsidRDefault="00704B93" w:rsidP="008A3FD2">
            <w:pPr>
              <w:pStyle w:val="TableParagraph"/>
              <w:spacing w:before="12" w:line="271" w:lineRule="exact"/>
              <w:ind w:left="672"/>
              <w:jc w:val="both"/>
              <w:rPr>
                <w:sz w:val="24"/>
              </w:rPr>
            </w:pPr>
            <w:r>
              <w:rPr>
                <w:spacing w:val="-2"/>
                <w:sz w:val="24"/>
              </w:rPr>
              <w:t>14.75±0.13</w:t>
            </w:r>
            <w:r>
              <w:rPr>
                <w:spacing w:val="-2"/>
                <w:sz w:val="24"/>
                <w:vertAlign w:val="superscript"/>
              </w:rPr>
              <w:t>d</w:t>
            </w:r>
          </w:p>
        </w:tc>
      </w:tr>
      <w:tr w:rsidR="00704B93" w14:paraId="63CC565E" w14:textId="77777777" w:rsidTr="00D661EB">
        <w:trPr>
          <w:trHeight w:val="316"/>
        </w:trPr>
        <w:tc>
          <w:tcPr>
            <w:tcW w:w="424" w:type="pct"/>
          </w:tcPr>
          <w:p w14:paraId="4B4212B0" w14:textId="77777777" w:rsidR="00704B93" w:rsidRDefault="00704B93" w:rsidP="008A3FD2">
            <w:pPr>
              <w:pStyle w:val="TableParagraph"/>
              <w:jc w:val="both"/>
            </w:pPr>
          </w:p>
        </w:tc>
        <w:tc>
          <w:tcPr>
            <w:tcW w:w="620" w:type="pct"/>
          </w:tcPr>
          <w:p w14:paraId="40D3C3A0" w14:textId="77777777" w:rsidR="00704B93" w:rsidRDefault="00704B93" w:rsidP="008A3FD2">
            <w:pPr>
              <w:pStyle w:val="TableParagraph"/>
              <w:spacing w:before="25" w:line="271" w:lineRule="exact"/>
              <w:ind w:left="149"/>
              <w:jc w:val="both"/>
              <w:rPr>
                <w:sz w:val="24"/>
              </w:rPr>
            </w:pPr>
            <w:r>
              <w:rPr>
                <w:spacing w:val="-2"/>
                <w:sz w:val="24"/>
              </w:rPr>
              <w:t>Metformin</w:t>
            </w:r>
          </w:p>
        </w:tc>
        <w:tc>
          <w:tcPr>
            <w:tcW w:w="855" w:type="pct"/>
          </w:tcPr>
          <w:p w14:paraId="1704BB3A" w14:textId="77777777" w:rsidR="00704B93" w:rsidRDefault="00704B93" w:rsidP="008A3FD2">
            <w:pPr>
              <w:pStyle w:val="TableParagraph"/>
              <w:spacing w:before="25" w:line="271" w:lineRule="exact"/>
              <w:ind w:left="496"/>
              <w:jc w:val="both"/>
              <w:rPr>
                <w:sz w:val="24"/>
              </w:rPr>
            </w:pPr>
            <w:r>
              <w:rPr>
                <w:spacing w:val="-2"/>
                <w:sz w:val="24"/>
              </w:rPr>
              <w:t>6.35±0.17</w:t>
            </w:r>
            <w:r>
              <w:rPr>
                <w:spacing w:val="-2"/>
                <w:sz w:val="24"/>
                <w:vertAlign w:val="superscript"/>
              </w:rPr>
              <w:t>d</w:t>
            </w:r>
          </w:p>
        </w:tc>
        <w:tc>
          <w:tcPr>
            <w:tcW w:w="672" w:type="pct"/>
          </w:tcPr>
          <w:p w14:paraId="2B8F5B57" w14:textId="77777777" w:rsidR="00704B93" w:rsidRDefault="00704B93" w:rsidP="008A3FD2">
            <w:pPr>
              <w:pStyle w:val="TableParagraph"/>
              <w:spacing w:before="25" w:line="271" w:lineRule="exact"/>
              <w:ind w:left="194"/>
              <w:jc w:val="both"/>
              <w:rPr>
                <w:sz w:val="24"/>
              </w:rPr>
            </w:pPr>
            <w:r>
              <w:rPr>
                <w:spacing w:val="-2"/>
                <w:sz w:val="24"/>
              </w:rPr>
              <w:t>5.89±0.83</w:t>
            </w:r>
            <w:r>
              <w:rPr>
                <w:spacing w:val="-2"/>
                <w:sz w:val="24"/>
                <w:vertAlign w:val="superscript"/>
              </w:rPr>
              <w:t>c</w:t>
            </w:r>
          </w:p>
        </w:tc>
        <w:tc>
          <w:tcPr>
            <w:tcW w:w="639" w:type="pct"/>
          </w:tcPr>
          <w:p w14:paraId="35AFE615" w14:textId="77777777" w:rsidR="00704B93" w:rsidRDefault="00704B93" w:rsidP="008A3FD2">
            <w:pPr>
              <w:pStyle w:val="TableParagraph"/>
              <w:spacing w:before="25" w:line="271" w:lineRule="exact"/>
              <w:ind w:left="122"/>
              <w:jc w:val="both"/>
              <w:rPr>
                <w:sz w:val="24"/>
              </w:rPr>
            </w:pPr>
            <w:r>
              <w:rPr>
                <w:spacing w:val="-2"/>
                <w:sz w:val="24"/>
              </w:rPr>
              <w:t>31.73±0.03</w:t>
            </w:r>
            <w:r>
              <w:rPr>
                <w:spacing w:val="-2"/>
                <w:sz w:val="24"/>
                <w:vertAlign w:val="superscript"/>
              </w:rPr>
              <w:t>d</w:t>
            </w:r>
          </w:p>
        </w:tc>
        <w:tc>
          <w:tcPr>
            <w:tcW w:w="635" w:type="pct"/>
          </w:tcPr>
          <w:p w14:paraId="381A866D" w14:textId="77777777" w:rsidR="00704B93" w:rsidRDefault="00704B93" w:rsidP="008A3FD2">
            <w:pPr>
              <w:pStyle w:val="TableParagraph"/>
              <w:spacing w:before="25" w:line="271" w:lineRule="exact"/>
              <w:ind w:left="123"/>
              <w:jc w:val="both"/>
              <w:rPr>
                <w:sz w:val="24"/>
              </w:rPr>
            </w:pPr>
            <w:r>
              <w:rPr>
                <w:spacing w:val="-2"/>
                <w:sz w:val="24"/>
              </w:rPr>
              <w:t>3.15±0.06</w:t>
            </w:r>
            <w:r>
              <w:rPr>
                <w:spacing w:val="-2"/>
                <w:sz w:val="24"/>
                <w:vertAlign w:val="superscript"/>
              </w:rPr>
              <w:t>a</w:t>
            </w:r>
          </w:p>
        </w:tc>
        <w:tc>
          <w:tcPr>
            <w:tcW w:w="1155" w:type="pct"/>
          </w:tcPr>
          <w:p w14:paraId="6CA3D26B" w14:textId="77777777" w:rsidR="00704B93" w:rsidRDefault="00704B93" w:rsidP="008A3FD2">
            <w:pPr>
              <w:pStyle w:val="TableParagraph"/>
              <w:spacing w:before="25" w:line="271" w:lineRule="exact"/>
              <w:ind w:left="672"/>
              <w:jc w:val="both"/>
              <w:rPr>
                <w:sz w:val="24"/>
              </w:rPr>
            </w:pPr>
            <w:r>
              <w:rPr>
                <w:spacing w:val="-2"/>
                <w:sz w:val="24"/>
              </w:rPr>
              <w:t>21.02±0.39</w:t>
            </w:r>
            <w:r>
              <w:rPr>
                <w:spacing w:val="-2"/>
                <w:sz w:val="24"/>
                <w:vertAlign w:val="superscript"/>
              </w:rPr>
              <w:t>d</w:t>
            </w:r>
          </w:p>
        </w:tc>
      </w:tr>
      <w:tr w:rsidR="00704B93" w14:paraId="41453767" w14:textId="77777777" w:rsidTr="00D661EB">
        <w:trPr>
          <w:trHeight w:val="316"/>
        </w:trPr>
        <w:tc>
          <w:tcPr>
            <w:tcW w:w="424" w:type="pct"/>
            <w:tcBorders>
              <w:bottom w:val="single" w:sz="4" w:space="0" w:color="000000"/>
            </w:tcBorders>
          </w:tcPr>
          <w:p w14:paraId="311A4BF6" w14:textId="77777777" w:rsidR="00704B93" w:rsidRDefault="00704B93" w:rsidP="008A3FD2">
            <w:pPr>
              <w:pStyle w:val="TableParagraph"/>
              <w:jc w:val="both"/>
            </w:pPr>
          </w:p>
        </w:tc>
        <w:tc>
          <w:tcPr>
            <w:tcW w:w="620" w:type="pct"/>
            <w:tcBorders>
              <w:bottom w:val="single" w:sz="4" w:space="0" w:color="000000"/>
            </w:tcBorders>
          </w:tcPr>
          <w:p w14:paraId="58E0E0DA" w14:textId="77777777" w:rsidR="00704B93" w:rsidRDefault="00704B93" w:rsidP="008A3FD2">
            <w:pPr>
              <w:pStyle w:val="TableParagraph"/>
              <w:spacing w:before="25" w:line="271" w:lineRule="exact"/>
              <w:ind w:left="149"/>
              <w:jc w:val="both"/>
              <w:rPr>
                <w:sz w:val="24"/>
              </w:rPr>
            </w:pPr>
            <w:r>
              <w:rPr>
                <w:spacing w:val="-2"/>
                <w:sz w:val="24"/>
              </w:rPr>
              <w:t>Clomid</w:t>
            </w:r>
          </w:p>
        </w:tc>
        <w:tc>
          <w:tcPr>
            <w:tcW w:w="855" w:type="pct"/>
            <w:tcBorders>
              <w:bottom w:val="single" w:sz="4" w:space="0" w:color="000000"/>
            </w:tcBorders>
          </w:tcPr>
          <w:p w14:paraId="461EE5C9" w14:textId="77777777" w:rsidR="00704B93" w:rsidRDefault="00704B93" w:rsidP="008A3FD2">
            <w:pPr>
              <w:pStyle w:val="TableParagraph"/>
              <w:spacing w:before="25" w:line="271" w:lineRule="exact"/>
              <w:ind w:left="496"/>
              <w:jc w:val="both"/>
              <w:rPr>
                <w:sz w:val="24"/>
              </w:rPr>
            </w:pPr>
            <w:r>
              <w:rPr>
                <w:spacing w:val="-2"/>
                <w:sz w:val="24"/>
              </w:rPr>
              <w:t>8.34±0.28</w:t>
            </w:r>
            <w:r>
              <w:rPr>
                <w:spacing w:val="-2"/>
                <w:sz w:val="24"/>
                <w:vertAlign w:val="superscript"/>
              </w:rPr>
              <w:t>d</w:t>
            </w:r>
          </w:p>
        </w:tc>
        <w:tc>
          <w:tcPr>
            <w:tcW w:w="672" w:type="pct"/>
            <w:tcBorders>
              <w:bottom w:val="single" w:sz="4" w:space="0" w:color="000000"/>
            </w:tcBorders>
          </w:tcPr>
          <w:p w14:paraId="2A621AA6" w14:textId="77777777" w:rsidR="00704B93" w:rsidRDefault="00704B93" w:rsidP="008A3FD2">
            <w:pPr>
              <w:pStyle w:val="TableParagraph"/>
              <w:spacing w:before="25" w:line="271" w:lineRule="exact"/>
              <w:ind w:left="194"/>
              <w:jc w:val="both"/>
              <w:rPr>
                <w:sz w:val="24"/>
              </w:rPr>
            </w:pPr>
            <w:r>
              <w:rPr>
                <w:spacing w:val="-2"/>
                <w:sz w:val="24"/>
              </w:rPr>
              <w:t>8.48±0.27</w:t>
            </w:r>
            <w:r>
              <w:rPr>
                <w:spacing w:val="-2"/>
                <w:sz w:val="24"/>
                <w:vertAlign w:val="superscript"/>
              </w:rPr>
              <w:t>d</w:t>
            </w:r>
          </w:p>
        </w:tc>
        <w:tc>
          <w:tcPr>
            <w:tcW w:w="639" w:type="pct"/>
            <w:tcBorders>
              <w:bottom w:val="single" w:sz="4" w:space="0" w:color="000000"/>
            </w:tcBorders>
          </w:tcPr>
          <w:p w14:paraId="10A528DA" w14:textId="77777777" w:rsidR="00704B93" w:rsidRDefault="00704B93" w:rsidP="008A3FD2">
            <w:pPr>
              <w:pStyle w:val="TableParagraph"/>
              <w:spacing w:before="25" w:line="271" w:lineRule="exact"/>
              <w:ind w:left="122"/>
              <w:jc w:val="both"/>
              <w:rPr>
                <w:sz w:val="24"/>
              </w:rPr>
            </w:pPr>
            <w:r>
              <w:rPr>
                <w:spacing w:val="-2"/>
                <w:sz w:val="24"/>
              </w:rPr>
              <w:t>33.9±0.90</w:t>
            </w:r>
            <w:r>
              <w:rPr>
                <w:spacing w:val="-2"/>
                <w:sz w:val="24"/>
                <w:vertAlign w:val="superscript"/>
              </w:rPr>
              <w:t>d</w:t>
            </w:r>
          </w:p>
        </w:tc>
        <w:tc>
          <w:tcPr>
            <w:tcW w:w="635" w:type="pct"/>
            <w:tcBorders>
              <w:bottom w:val="single" w:sz="4" w:space="0" w:color="000000"/>
            </w:tcBorders>
          </w:tcPr>
          <w:p w14:paraId="2B1CDECE" w14:textId="77777777" w:rsidR="00704B93" w:rsidRDefault="00704B93" w:rsidP="008A3FD2">
            <w:pPr>
              <w:pStyle w:val="TableParagraph"/>
              <w:spacing w:before="25" w:line="271" w:lineRule="exact"/>
              <w:ind w:left="123"/>
              <w:jc w:val="both"/>
              <w:rPr>
                <w:sz w:val="24"/>
              </w:rPr>
            </w:pPr>
            <w:r>
              <w:rPr>
                <w:spacing w:val="-2"/>
                <w:sz w:val="24"/>
              </w:rPr>
              <w:t>4.23±0.09</w:t>
            </w:r>
            <w:r>
              <w:rPr>
                <w:spacing w:val="-2"/>
                <w:sz w:val="24"/>
                <w:vertAlign w:val="superscript"/>
              </w:rPr>
              <w:t>c</w:t>
            </w:r>
          </w:p>
        </w:tc>
        <w:tc>
          <w:tcPr>
            <w:tcW w:w="1155" w:type="pct"/>
            <w:tcBorders>
              <w:bottom w:val="single" w:sz="4" w:space="0" w:color="000000"/>
            </w:tcBorders>
          </w:tcPr>
          <w:p w14:paraId="0D9C53BD" w14:textId="77777777" w:rsidR="00704B93" w:rsidRDefault="00704B93" w:rsidP="008A3FD2">
            <w:pPr>
              <w:pStyle w:val="TableParagraph"/>
              <w:spacing w:before="25" w:line="271" w:lineRule="exact"/>
              <w:ind w:left="672"/>
              <w:jc w:val="both"/>
              <w:rPr>
                <w:sz w:val="24"/>
              </w:rPr>
            </w:pPr>
            <w:r>
              <w:rPr>
                <w:spacing w:val="-2"/>
                <w:sz w:val="24"/>
              </w:rPr>
              <w:t>19.37±4.28</w:t>
            </w:r>
            <w:r>
              <w:rPr>
                <w:spacing w:val="-2"/>
                <w:sz w:val="24"/>
                <w:vertAlign w:val="superscript"/>
              </w:rPr>
              <w:t>d</w:t>
            </w:r>
          </w:p>
        </w:tc>
      </w:tr>
      <w:tr w:rsidR="00704B93" w14:paraId="48EA7ED3" w14:textId="77777777" w:rsidTr="00D661EB">
        <w:trPr>
          <w:trHeight w:val="514"/>
        </w:trPr>
        <w:tc>
          <w:tcPr>
            <w:tcW w:w="1044" w:type="pct"/>
            <w:gridSpan w:val="2"/>
            <w:tcBorders>
              <w:top w:val="single" w:sz="4" w:space="0" w:color="000000"/>
            </w:tcBorders>
          </w:tcPr>
          <w:p w14:paraId="176B37AC" w14:textId="77777777" w:rsidR="00704B93" w:rsidRDefault="00704B93" w:rsidP="008A3FD2">
            <w:pPr>
              <w:pStyle w:val="TableParagraph"/>
              <w:spacing w:before="239" w:line="256" w:lineRule="exact"/>
              <w:ind w:left="851"/>
              <w:jc w:val="both"/>
              <w:rPr>
                <w:sz w:val="24"/>
              </w:rPr>
            </w:pPr>
            <w:r>
              <w:rPr>
                <w:sz w:val="24"/>
              </w:rPr>
              <w:t>FSH:</w:t>
            </w:r>
            <w:r>
              <w:rPr>
                <w:spacing w:val="45"/>
                <w:sz w:val="24"/>
              </w:rPr>
              <w:t xml:space="preserve"> </w:t>
            </w:r>
            <w:r>
              <w:rPr>
                <w:spacing w:val="-2"/>
                <w:sz w:val="24"/>
              </w:rPr>
              <w:t>Follicle</w:t>
            </w:r>
          </w:p>
        </w:tc>
        <w:tc>
          <w:tcPr>
            <w:tcW w:w="2801" w:type="pct"/>
            <w:gridSpan w:val="4"/>
            <w:tcBorders>
              <w:top w:val="single" w:sz="4" w:space="0" w:color="000000"/>
            </w:tcBorders>
          </w:tcPr>
          <w:p w14:paraId="07437F61" w14:textId="77777777" w:rsidR="00704B93" w:rsidRDefault="00704B93" w:rsidP="008A3FD2">
            <w:pPr>
              <w:pStyle w:val="TableParagraph"/>
              <w:spacing w:before="239" w:line="256" w:lineRule="exact"/>
              <w:ind w:left="7"/>
              <w:jc w:val="both"/>
              <w:rPr>
                <w:sz w:val="24"/>
              </w:rPr>
            </w:pPr>
            <w:r>
              <w:rPr>
                <w:sz w:val="24"/>
              </w:rPr>
              <w:t>Stimulating</w:t>
            </w:r>
            <w:r>
              <w:rPr>
                <w:spacing w:val="44"/>
                <w:sz w:val="24"/>
              </w:rPr>
              <w:t xml:space="preserve"> </w:t>
            </w:r>
            <w:r>
              <w:rPr>
                <w:sz w:val="24"/>
              </w:rPr>
              <w:t>Hormone;</w:t>
            </w:r>
            <w:r>
              <w:rPr>
                <w:spacing w:val="43"/>
                <w:sz w:val="24"/>
              </w:rPr>
              <w:t xml:space="preserve"> </w:t>
            </w:r>
            <w:r>
              <w:rPr>
                <w:sz w:val="24"/>
              </w:rPr>
              <w:t>LH:</w:t>
            </w:r>
            <w:r>
              <w:rPr>
                <w:spacing w:val="42"/>
                <w:sz w:val="24"/>
              </w:rPr>
              <w:t xml:space="preserve"> </w:t>
            </w:r>
            <w:r>
              <w:rPr>
                <w:sz w:val="24"/>
              </w:rPr>
              <w:t>Luteinising</w:t>
            </w:r>
            <w:r>
              <w:rPr>
                <w:spacing w:val="45"/>
                <w:sz w:val="24"/>
              </w:rPr>
              <w:t xml:space="preserve"> </w:t>
            </w:r>
            <w:r>
              <w:rPr>
                <w:sz w:val="24"/>
              </w:rPr>
              <w:t>Hormone;</w:t>
            </w:r>
            <w:r>
              <w:rPr>
                <w:spacing w:val="44"/>
                <w:sz w:val="24"/>
              </w:rPr>
              <w:t xml:space="preserve"> </w:t>
            </w:r>
            <w:r>
              <w:rPr>
                <w:sz w:val="24"/>
              </w:rPr>
              <w:t>PE:</w:t>
            </w:r>
            <w:r>
              <w:rPr>
                <w:spacing w:val="43"/>
                <w:sz w:val="24"/>
              </w:rPr>
              <w:t xml:space="preserve"> </w:t>
            </w:r>
            <w:r>
              <w:rPr>
                <w:spacing w:val="-2"/>
                <w:sz w:val="24"/>
              </w:rPr>
              <w:t>Plant</w:t>
            </w:r>
          </w:p>
        </w:tc>
        <w:tc>
          <w:tcPr>
            <w:tcW w:w="1155" w:type="pct"/>
            <w:tcBorders>
              <w:top w:val="single" w:sz="4" w:space="0" w:color="000000"/>
            </w:tcBorders>
          </w:tcPr>
          <w:p w14:paraId="437A6110" w14:textId="77777777" w:rsidR="00704B93" w:rsidRDefault="00704B93" w:rsidP="008A3FD2">
            <w:pPr>
              <w:pStyle w:val="TableParagraph"/>
              <w:spacing w:before="239" w:line="256" w:lineRule="exact"/>
              <w:ind w:left="-27"/>
              <w:jc w:val="both"/>
              <w:rPr>
                <w:sz w:val="24"/>
              </w:rPr>
            </w:pPr>
            <w:r>
              <w:rPr>
                <w:sz w:val="24"/>
              </w:rPr>
              <w:t>Extract.</w:t>
            </w:r>
            <w:r>
              <w:rPr>
                <w:spacing w:val="44"/>
                <w:sz w:val="24"/>
              </w:rPr>
              <w:t xml:space="preserve"> </w:t>
            </w:r>
            <w:r>
              <w:rPr>
                <w:sz w:val="24"/>
              </w:rPr>
              <w:t>Data</w:t>
            </w:r>
            <w:r>
              <w:rPr>
                <w:spacing w:val="43"/>
                <w:sz w:val="24"/>
              </w:rPr>
              <w:t xml:space="preserve"> </w:t>
            </w:r>
            <w:r>
              <w:rPr>
                <w:spacing w:val="-5"/>
                <w:sz w:val="24"/>
              </w:rPr>
              <w:t>are</w:t>
            </w:r>
          </w:p>
        </w:tc>
      </w:tr>
    </w:tbl>
    <w:p w14:paraId="67104096" w14:textId="77777777" w:rsidR="00704B93" w:rsidRDefault="00704B93" w:rsidP="008A3FD2">
      <w:pPr>
        <w:pStyle w:val="BodyText"/>
        <w:spacing w:before="6"/>
        <w:jc w:val="both"/>
      </w:pPr>
    </w:p>
    <w:p w14:paraId="758AB5D2" w14:textId="77777777" w:rsidR="00704B93" w:rsidRDefault="00704B93" w:rsidP="008A3FD2">
      <w:pPr>
        <w:pStyle w:val="BodyText"/>
        <w:spacing w:line="480" w:lineRule="auto"/>
        <w:ind w:left="1080"/>
        <w:jc w:val="both"/>
      </w:pPr>
      <w:r>
        <w:t>expressed</w:t>
      </w:r>
      <w:r>
        <w:rPr>
          <w:spacing w:val="40"/>
        </w:rPr>
        <w:t xml:space="preserve"> </w:t>
      </w:r>
      <w:r>
        <w:t>as</w:t>
      </w:r>
      <w:r>
        <w:rPr>
          <w:spacing w:val="40"/>
        </w:rPr>
        <w:t xml:space="preserve"> </w:t>
      </w:r>
      <w:r>
        <w:t>mean±SEM.</w:t>
      </w:r>
      <w:r>
        <w:rPr>
          <w:spacing w:val="40"/>
        </w:rPr>
        <w:t xml:space="preserve"> </w:t>
      </w:r>
      <w:r>
        <w:t>n=3,</w:t>
      </w:r>
      <w:r>
        <w:rPr>
          <w:spacing w:val="40"/>
        </w:rPr>
        <w:t xml:space="preserve"> </w:t>
      </w:r>
      <w:r>
        <w:rPr>
          <w:vertAlign w:val="superscript"/>
        </w:rPr>
        <w:t>a</w:t>
      </w:r>
      <w:r>
        <w:t>P</w:t>
      </w:r>
      <w:r>
        <w:rPr>
          <w:spacing w:val="40"/>
        </w:rPr>
        <w:t xml:space="preserve"> </w:t>
      </w:r>
      <w:r>
        <w:t>&lt;0.05,</w:t>
      </w:r>
      <w:r>
        <w:rPr>
          <w:spacing w:val="40"/>
        </w:rPr>
        <w:t xml:space="preserve"> </w:t>
      </w:r>
      <w:r>
        <w:rPr>
          <w:vertAlign w:val="superscript"/>
        </w:rPr>
        <w:t>b</w:t>
      </w:r>
      <w:r>
        <w:t>P</w:t>
      </w:r>
      <w:r>
        <w:rPr>
          <w:spacing w:val="40"/>
        </w:rPr>
        <w:t xml:space="preserve"> </w:t>
      </w:r>
      <w:r>
        <w:t>&lt;0.01,</w:t>
      </w:r>
      <w:r>
        <w:rPr>
          <w:spacing w:val="40"/>
        </w:rPr>
        <w:t xml:space="preserve"> </w:t>
      </w:r>
      <w:r>
        <w:rPr>
          <w:vertAlign w:val="superscript"/>
        </w:rPr>
        <w:t>c</w:t>
      </w:r>
      <w:r>
        <w:t>P</w:t>
      </w:r>
      <w:r>
        <w:rPr>
          <w:spacing w:val="40"/>
        </w:rPr>
        <w:t xml:space="preserve"> </w:t>
      </w:r>
      <w:r>
        <w:t>&lt;0.001,</w:t>
      </w:r>
      <w:r>
        <w:rPr>
          <w:spacing w:val="40"/>
        </w:rPr>
        <w:t xml:space="preserve"> </w:t>
      </w:r>
      <w:r>
        <w:rPr>
          <w:vertAlign w:val="superscript"/>
        </w:rPr>
        <w:t>d</w:t>
      </w:r>
      <w:r>
        <w:t>P</w:t>
      </w:r>
      <w:r>
        <w:rPr>
          <w:spacing w:val="40"/>
        </w:rPr>
        <w:t xml:space="preserve"> </w:t>
      </w:r>
      <w:r>
        <w:t>&lt;0.0001</w:t>
      </w:r>
      <w:r>
        <w:rPr>
          <w:spacing w:val="40"/>
        </w:rPr>
        <w:t xml:space="preserve"> </w:t>
      </w:r>
      <w:r>
        <w:t>Compared</w:t>
      </w:r>
      <w:r>
        <w:rPr>
          <w:spacing w:val="40"/>
        </w:rPr>
        <w:t xml:space="preserve"> </w:t>
      </w:r>
      <w:r>
        <w:t>with</w:t>
      </w:r>
      <w:r>
        <w:rPr>
          <w:spacing w:val="40"/>
        </w:rPr>
        <w:t xml:space="preserve"> </w:t>
      </w:r>
      <w:r>
        <w:t>corresponding Negative Control.</w:t>
      </w:r>
    </w:p>
    <w:p w14:paraId="656E38BD" w14:textId="77777777" w:rsidR="00704B93" w:rsidRDefault="00704B93" w:rsidP="008A3FD2">
      <w:pPr>
        <w:pStyle w:val="BodyText"/>
        <w:spacing w:line="480" w:lineRule="auto"/>
        <w:jc w:val="both"/>
        <w:sectPr w:rsidR="00704B93" w:rsidSect="00704B93">
          <w:headerReference w:type="even" r:id="rId27"/>
          <w:headerReference w:type="default" r:id="rId28"/>
          <w:headerReference w:type="first" r:id="rId29"/>
          <w:pgSz w:w="12240" w:h="15840"/>
          <w:pgMar w:top="1340" w:right="360" w:bottom="280" w:left="360" w:header="752" w:footer="0" w:gutter="0"/>
          <w:cols w:space="720"/>
        </w:sectPr>
      </w:pPr>
    </w:p>
    <w:p w14:paraId="5083A9D0" w14:textId="77777777" w:rsidR="00704B93" w:rsidRDefault="00704B93" w:rsidP="008A3FD2">
      <w:pPr>
        <w:pStyle w:val="Heading2"/>
        <w:numPr>
          <w:ilvl w:val="2"/>
          <w:numId w:val="13"/>
        </w:numPr>
        <w:tabs>
          <w:tab w:val="left" w:pos="1618"/>
        </w:tabs>
        <w:spacing w:before="79"/>
        <w:ind w:hanging="538"/>
        <w:jc w:val="both"/>
      </w:pPr>
      <w:r>
        <w:lastRenderedPageBreak/>
        <w:t>Hormonal</w:t>
      </w:r>
      <w:r>
        <w:rPr>
          <w:spacing w:val="-7"/>
        </w:rPr>
        <w:t xml:space="preserve"> </w:t>
      </w:r>
      <w:r>
        <w:rPr>
          <w:highlight w:val="yellow"/>
        </w:rPr>
        <w:t>A</w:t>
      </w:r>
      <w:r>
        <w:t>ssays</w:t>
      </w:r>
      <w:r>
        <w:rPr>
          <w:spacing w:val="-8"/>
        </w:rPr>
        <w:t xml:space="preserve"> </w:t>
      </w:r>
      <w:r>
        <w:t>from</w:t>
      </w:r>
      <w:r>
        <w:rPr>
          <w:spacing w:val="-8"/>
        </w:rPr>
        <w:t xml:space="preserve"> </w:t>
      </w:r>
      <w:r>
        <w:rPr>
          <w:highlight w:val="yellow"/>
        </w:rPr>
        <w:t>F</w:t>
      </w:r>
      <w:r>
        <w:t>emale</w:t>
      </w:r>
      <w:r>
        <w:rPr>
          <w:spacing w:val="-8"/>
        </w:rPr>
        <w:t xml:space="preserve"> </w:t>
      </w:r>
      <w:r>
        <w:rPr>
          <w:spacing w:val="-4"/>
          <w:highlight w:val="yellow"/>
        </w:rPr>
        <w:t>R</w:t>
      </w:r>
      <w:r>
        <w:rPr>
          <w:spacing w:val="-4"/>
        </w:rPr>
        <w:t>ats</w:t>
      </w:r>
    </w:p>
    <w:p w14:paraId="661673C4" w14:textId="77777777" w:rsidR="00704B93" w:rsidRDefault="00704B93" w:rsidP="008A3FD2">
      <w:pPr>
        <w:pStyle w:val="BodyText"/>
        <w:jc w:val="both"/>
        <w:rPr>
          <w:b/>
        </w:rPr>
      </w:pPr>
    </w:p>
    <w:p w14:paraId="066412EE" w14:textId="77777777" w:rsidR="00704B93" w:rsidRDefault="00704B93" w:rsidP="008A3FD2">
      <w:pPr>
        <w:pStyle w:val="BodyText"/>
        <w:spacing w:line="480" w:lineRule="auto"/>
        <w:ind w:left="1080" w:right="1087"/>
        <w:jc w:val="both"/>
      </w:pPr>
      <w:r>
        <w:t xml:space="preserve">Overall, </w:t>
      </w:r>
      <w:r>
        <w:rPr>
          <w:highlight w:val="yellow"/>
        </w:rPr>
        <w:t>T</w:t>
      </w:r>
      <w:r>
        <w:t xml:space="preserve">able </w:t>
      </w:r>
      <w:r>
        <w:rPr>
          <w:highlight w:val="yellow"/>
        </w:rPr>
        <w:t>5</w:t>
      </w:r>
      <w:r>
        <w:t xml:space="preserve"> showed that hormone</w:t>
      </w:r>
      <w:r>
        <w:rPr>
          <w:highlight w:val="yellow"/>
        </w:rPr>
        <w:t xml:space="preserve"> level</w:t>
      </w:r>
      <w:r>
        <w:t>s increased in</w:t>
      </w:r>
      <w:r>
        <w:rPr>
          <w:highlight w:val="yellow"/>
        </w:rPr>
        <w:t xml:space="preserve"> the</w:t>
      </w:r>
      <w:r>
        <w:t xml:space="preserve"> normal control and treated groups compared with </w:t>
      </w:r>
      <w:r>
        <w:rPr>
          <w:highlight w:val="yellow"/>
        </w:rPr>
        <w:t xml:space="preserve">the </w:t>
      </w:r>
      <w:r>
        <w:t xml:space="preserve">corresponding Negative Control. The increase </w:t>
      </w:r>
      <w:r>
        <w:rPr>
          <w:highlight w:val="yellow"/>
        </w:rPr>
        <w:t>in</w:t>
      </w:r>
      <w:r>
        <w:t xml:space="preserve"> LH level was dose</w:t>
      </w:r>
      <w:r>
        <w:rPr>
          <w:highlight w:val="yellow"/>
        </w:rPr>
        <w:t>-</w:t>
      </w:r>
      <w:r>
        <w:t xml:space="preserve"> and time</w:t>
      </w:r>
      <w:r>
        <w:rPr>
          <w:highlight w:val="yellow"/>
        </w:rPr>
        <w:t>-</w:t>
      </w:r>
      <w:r>
        <w:t>dependent</w:t>
      </w:r>
      <w:r>
        <w:rPr>
          <w:highlight w:val="yellow"/>
        </w:rPr>
        <w:t>,</w:t>
      </w:r>
      <w:r>
        <w:t xml:space="preserve"> especially </w:t>
      </w:r>
      <w:r>
        <w:rPr>
          <w:highlight w:val="yellow"/>
        </w:rPr>
        <w:t>in</w:t>
      </w:r>
      <w:r>
        <w:t xml:space="preserve"> the group treated with PE1. </w:t>
      </w:r>
      <w:r>
        <w:rPr>
          <w:highlight w:val="yellow"/>
        </w:rPr>
        <w:t xml:space="preserve">The </w:t>
      </w:r>
      <w:r>
        <w:t xml:space="preserve">Normal Control and </w:t>
      </w:r>
      <w:r>
        <w:rPr>
          <w:highlight w:val="yellow"/>
        </w:rPr>
        <w:t>g</w:t>
      </w:r>
      <w:r>
        <w:t>roups treated with PE2, Metformin and Clomid s</w:t>
      </w:r>
      <w:r>
        <w:rPr>
          <w:highlight w:val="yellow"/>
        </w:rPr>
        <w:t>how</w:t>
      </w:r>
      <w:r>
        <w:t xml:space="preserve">ed a significant increase </w:t>
      </w:r>
      <w:r>
        <w:rPr>
          <w:highlight w:val="yellow"/>
        </w:rPr>
        <w:t>in</w:t>
      </w:r>
      <w:r>
        <w:t xml:space="preserve"> LH level at 14, 21 and 28 days. </w:t>
      </w:r>
      <w:r>
        <w:rPr>
          <w:highlight w:val="yellow"/>
        </w:rPr>
        <w:t>F</w:t>
      </w:r>
      <w:r>
        <w:t>o</w:t>
      </w:r>
      <w:r>
        <w:rPr>
          <w:highlight w:val="yellow"/>
        </w:rPr>
        <w:t>r</w:t>
      </w:r>
      <w:r>
        <w:t xml:space="preserve"> FSH,</w:t>
      </w:r>
      <w:r>
        <w:rPr>
          <w:highlight w:val="yellow"/>
        </w:rPr>
        <w:t xml:space="preserve"> the</w:t>
      </w:r>
      <w:r>
        <w:t xml:space="preserve"> Normal Control and all treated groups s</w:t>
      </w:r>
      <w:r>
        <w:rPr>
          <w:highlight w:val="yellow"/>
        </w:rPr>
        <w:t>how</w:t>
      </w:r>
      <w:r>
        <w:t xml:space="preserve">ed a significant increase </w:t>
      </w:r>
      <w:r>
        <w:rPr>
          <w:highlight w:val="yellow"/>
        </w:rPr>
        <w:t>in</w:t>
      </w:r>
      <w:r>
        <w:t xml:space="preserve"> level</w:t>
      </w:r>
      <w:r>
        <w:rPr>
          <w:highlight w:val="yellow"/>
        </w:rPr>
        <w:t>,</w:t>
      </w:r>
      <w:r>
        <w:t xml:space="preserve"> but the group treated with PE1 showed a significant increase </w:t>
      </w:r>
      <w:r>
        <w:rPr>
          <w:highlight w:val="yellow"/>
        </w:rPr>
        <w:t xml:space="preserve">only </w:t>
      </w:r>
      <w:r>
        <w:t xml:space="preserve">at 14 days. </w:t>
      </w:r>
      <w:r>
        <w:rPr>
          <w:highlight w:val="yellow"/>
        </w:rPr>
        <w:t>A</w:t>
      </w:r>
      <w:r>
        <w:t xml:space="preserve">ll treated groups (PE1, PE2, Metformin and Clomid) and </w:t>
      </w:r>
      <w:r>
        <w:rPr>
          <w:highlight w:val="yellow"/>
        </w:rPr>
        <w:t xml:space="preserve">the </w:t>
      </w:r>
      <w:r>
        <w:t xml:space="preserve">Normal Control showed a significant increase </w:t>
      </w:r>
      <w:r>
        <w:rPr>
          <w:highlight w:val="yellow"/>
        </w:rPr>
        <w:t>in</w:t>
      </w:r>
      <w:r>
        <w:t xml:space="preserve"> estradiol and progesterone levels at 14, 21 and 28 days. </w:t>
      </w:r>
      <w:r>
        <w:rPr>
          <w:highlight w:val="yellow"/>
        </w:rPr>
        <w:t>For</w:t>
      </w:r>
      <w:r>
        <w:t xml:space="preserve"> TSH and GnRH, levels </w:t>
      </w:r>
      <w:r>
        <w:rPr>
          <w:highlight w:val="yellow"/>
        </w:rPr>
        <w:t>did</w:t>
      </w:r>
      <w:r>
        <w:t xml:space="preserve"> not increase significantly in </w:t>
      </w:r>
      <w:r>
        <w:rPr>
          <w:highlight w:val="yellow"/>
        </w:rPr>
        <w:t>g</w:t>
      </w:r>
      <w:r>
        <w:t>roups treated with plant extracts (PE1 and PE2)</w:t>
      </w:r>
      <w:r>
        <w:rPr>
          <w:highlight w:val="yellow"/>
        </w:rPr>
        <w:t>,</w:t>
      </w:r>
      <w:r>
        <w:t xml:space="preserve"> while the significan</w:t>
      </w:r>
      <w:r>
        <w:rPr>
          <w:highlight w:val="yellow"/>
        </w:rPr>
        <w:t>t</w:t>
      </w:r>
      <w:r>
        <w:t xml:space="preserve"> increase was time</w:t>
      </w:r>
      <w:r>
        <w:rPr>
          <w:highlight w:val="yellow"/>
        </w:rPr>
        <w:t>-</w:t>
      </w:r>
      <w:r>
        <w:t>dependent in</w:t>
      </w:r>
      <w:r>
        <w:rPr>
          <w:highlight w:val="yellow"/>
        </w:rPr>
        <w:t xml:space="preserve"> the</w:t>
      </w:r>
      <w:r>
        <w:t xml:space="preserve"> Normal Control, Metformin and Clomid</w:t>
      </w:r>
      <w:r>
        <w:rPr>
          <w:spacing w:val="80"/>
        </w:rPr>
        <w:t xml:space="preserve"> </w:t>
      </w:r>
      <w:r>
        <w:rPr>
          <w:spacing w:val="-2"/>
        </w:rPr>
        <w:t>groups.</w:t>
      </w:r>
    </w:p>
    <w:p w14:paraId="4836D714" w14:textId="77777777" w:rsidR="00704B93" w:rsidRDefault="00704B93" w:rsidP="008A3FD2">
      <w:pPr>
        <w:pStyle w:val="BodyText"/>
        <w:spacing w:line="480" w:lineRule="auto"/>
        <w:jc w:val="both"/>
        <w:sectPr w:rsidR="00704B93" w:rsidSect="00704B93">
          <w:headerReference w:type="even" r:id="rId30"/>
          <w:headerReference w:type="default" r:id="rId31"/>
          <w:headerReference w:type="first" r:id="rId32"/>
          <w:pgSz w:w="12240" w:h="15840"/>
          <w:pgMar w:top="1340" w:right="360" w:bottom="280" w:left="360" w:header="752" w:footer="0" w:gutter="0"/>
          <w:pgNumType w:start="1"/>
          <w:cols w:space="720"/>
        </w:sectPr>
      </w:pPr>
    </w:p>
    <w:p w14:paraId="7AE5F0F4" w14:textId="77777777" w:rsidR="00704B93" w:rsidRDefault="00704B93" w:rsidP="008A3FD2">
      <w:pPr>
        <w:pStyle w:val="BodyText"/>
        <w:spacing w:before="79"/>
        <w:ind w:left="1080"/>
        <w:jc w:val="both"/>
      </w:pPr>
      <w:r>
        <w:rPr>
          <w:b/>
        </w:rPr>
        <w:lastRenderedPageBreak/>
        <w:t>Table</w:t>
      </w:r>
      <w:r>
        <w:rPr>
          <w:b/>
          <w:spacing w:val="-8"/>
        </w:rPr>
        <w:t xml:space="preserve"> </w:t>
      </w:r>
      <w:r w:rsidR="00D223FC">
        <w:rPr>
          <w:b/>
        </w:rPr>
        <w:t>5</w:t>
      </w:r>
      <w:r>
        <w:rPr>
          <w:b/>
        </w:rPr>
        <w:t>:</w:t>
      </w:r>
      <w:r>
        <w:rPr>
          <w:b/>
          <w:spacing w:val="-4"/>
        </w:rPr>
        <w:t xml:space="preserve"> </w:t>
      </w:r>
      <w:r>
        <w:t>Level</w:t>
      </w:r>
      <w:r>
        <w:rPr>
          <w:spacing w:val="-7"/>
        </w:rPr>
        <w:t xml:space="preserve"> </w:t>
      </w:r>
      <w:r>
        <w:t>of</w:t>
      </w:r>
      <w:r>
        <w:rPr>
          <w:spacing w:val="-5"/>
        </w:rPr>
        <w:t xml:space="preserve"> </w:t>
      </w:r>
      <w:r>
        <w:t>Hormones</w:t>
      </w:r>
      <w:r>
        <w:rPr>
          <w:spacing w:val="-8"/>
        </w:rPr>
        <w:t xml:space="preserve"> </w:t>
      </w:r>
      <w:r>
        <w:t>in</w:t>
      </w:r>
      <w:r>
        <w:rPr>
          <w:spacing w:val="-3"/>
        </w:rPr>
        <w:t xml:space="preserve"> </w:t>
      </w:r>
      <w:r>
        <w:t>Females</w:t>
      </w:r>
      <w:r>
        <w:rPr>
          <w:spacing w:val="-3"/>
        </w:rPr>
        <w:t xml:space="preserve"> </w:t>
      </w:r>
      <w:r>
        <w:t>According</w:t>
      </w:r>
      <w:r>
        <w:rPr>
          <w:spacing w:val="-6"/>
        </w:rPr>
        <w:t xml:space="preserve"> </w:t>
      </w:r>
      <w:r>
        <w:t>to</w:t>
      </w:r>
      <w:r>
        <w:rPr>
          <w:spacing w:val="-5"/>
        </w:rPr>
        <w:t xml:space="preserve"> </w:t>
      </w:r>
      <w:r>
        <w:t>the</w:t>
      </w:r>
      <w:r>
        <w:rPr>
          <w:spacing w:val="-8"/>
        </w:rPr>
        <w:t xml:space="preserve"> </w:t>
      </w:r>
      <w:r>
        <w:t>Period</w:t>
      </w:r>
      <w:r>
        <w:rPr>
          <w:spacing w:val="-6"/>
        </w:rPr>
        <w:t xml:space="preserve"> </w:t>
      </w:r>
      <w:r>
        <w:t>and</w:t>
      </w:r>
      <w:r>
        <w:rPr>
          <w:spacing w:val="-6"/>
        </w:rPr>
        <w:t xml:space="preserve"> </w:t>
      </w:r>
      <w:r>
        <w:t>the</w:t>
      </w:r>
      <w:r>
        <w:rPr>
          <w:spacing w:val="-5"/>
        </w:rPr>
        <w:t xml:space="preserve"> </w:t>
      </w:r>
      <w:r>
        <w:rPr>
          <w:spacing w:val="-2"/>
        </w:rPr>
        <w:t>Treatment</w:t>
      </w:r>
    </w:p>
    <w:p w14:paraId="6259C6E9" w14:textId="77777777" w:rsidR="00704B93" w:rsidRDefault="00704B93" w:rsidP="008A3FD2">
      <w:pPr>
        <w:pStyle w:val="BodyText"/>
        <w:spacing w:before="212" w:after="1"/>
        <w:jc w:val="both"/>
        <w:rPr>
          <w:sz w:val="20"/>
        </w:rPr>
      </w:pPr>
    </w:p>
    <w:tbl>
      <w:tblPr>
        <w:tblW w:w="5000" w:type="pct"/>
        <w:tblCellMar>
          <w:left w:w="0" w:type="dxa"/>
          <w:right w:w="0" w:type="dxa"/>
        </w:tblCellMar>
        <w:tblLook w:val="04A0" w:firstRow="1" w:lastRow="0" w:firstColumn="1" w:lastColumn="0" w:noHBand="0" w:noVBand="1"/>
      </w:tblPr>
      <w:tblGrid>
        <w:gridCol w:w="725"/>
        <w:gridCol w:w="1321"/>
        <w:gridCol w:w="1177"/>
        <w:gridCol w:w="1176"/>
        <w:gridCol w:w="1393"/>
        <w:gridCol w:w="1114"/>
        <w:gridCol w:w="1107"/>
        <w:gridCol w:w="1347"/>
      </w:tblGrid>
      <w:tr w:rsidR="00704B93" w14:paraId="46335D02" w14:textId="77777777" w:rsidTr="00F61606">
        <w:trPr>
          <w:trHeight w:val="832"/>
        </w:trPr>
        <w:tc>
          <w:tcPr>
            <w:tcW w:w="417" w:type="pct"/>
            <w:tcBorders>
              <w:top w:val="single" w:sz="4" w:space="0" w:color="000000"/>
              <w:bottom w:val="single" w:sz="4" w:space="0" w:color="000000"/>
            </w:tcBorders>
          </w:tcPr>
          <w:p w14:paraId="2930C5AB" w14:textId="77777777" w:rsidR="00704B93" w:rsidRDefault="00704B93" w:rsidP="008A3FD2">
            <w:pPr>
              <w:pStyle w:val="TableParagraph"/>
              <w:spacing w:line="275" w:lineRule="exact"/>
              <w:ind w:left="107"/>
              <w:jc w:val="both"/>
              <w:rPr>
                <w:b/>
                <w:sz w:val="24"/>
              </w:rPr>
            </w:pPr>
            <w:r>
              <w:rPr>
                <w:b/>
                <w:spacing w:val="-2"/>
                <w:sz w:val="24"/>
              </w:rPr>
              <w:t>Period</w:t>
            </w:r>
          </w:p>
        </w:tc>
        <w:tc>
          <w:tcPr>
            <w:tcW w:w="668" w:type="pct"/>
            <w:tcBorders>
              <w:top w:val="single" w:sz="4" w:space="0" w:color="000000"/>
              <w:bottom w:val="single" w:sz="4" w:space="0" w:color="000000"/>
            </w:tcBorders>
          </w:tcPr>
          <w:p w14:paraId="4F1BEF9C" w14:textId="77777777" w:rsidR="00704B93" w:rsidRDefault="00704B93" w:rsidP="008A3FD2">
            <w:pPr>
              <w:pStyle w:val="TableParagraph"/>
              <w:ind w:left="109"/>
              <w:jc w:val="both"/>
              <w:rPr>
                <w:b/>
                <w:sz w:val="24"/>
              </w:rPr>
            </w:pPr>
            <w:r>
              <w:rPr>
                <w:b/>
                <w:spacing w:val="-2"/>
                <w:sz w:val="24"/>
              </w:rPr>
              <w:t>Experiment Groups</w:t>
            </w:r>
          </w:p>
        </w:tc>
        <w:tc>
          <w:tcPr>
            <w:tcW w:w="648" w:type="pct"/>
            <w:tcBorders>
              <w:top w:val="single" w:sz="4" w:space="0" w:color="000000"/>
              <w:bottom w:val="single" w:sz="4" w:space="0" w:color="000000"/>
            </w:tcBorders>
          </w:tcPr>
          <w:p w14:paraId="7DC4203D" w14:textId="77777777" w:rsidR="00704B93" w:rsidRDefault="00704B93" w:rsidP="008A3FD2">
            <w:pPr>
              <w:pStyle w:val="TableParagraph"/>
              <w:spacing w:line="275" w:lineRule="exact"/>
              <w:ind w:left="108"/>
              <w:jc w:val="both"/>
              <w:rPr>
                <w:b/>
                <w:sz w:val="24"/>
              </w:rPr>
            </w:pPr>
            <w:r>
              <w:rPr>
                <w:b/>
                <w:spacing w:val="-5"/>
                <w:sz w:val="24"/>
              </w:rPr>
              <w:t>LH</w:t>
            </w:r>
          </w:p>
          <w:p w14:paraId="6815CBEE" w14:textId="77777777" w:rsidR="00704B93" w:rsidRDefault="00704B93" w:rsidP="008A3FD2">
            <w:pPr>
              <w:pStyle w:val="TableParagraph"/>
              <w:ind w:left="108"/>
              <w:jc w:val="both"/>
              <w:rPr>
                <w:b/>
                <w:sz w:val="24"/>
              </w:rPr>
            </w:pPr>
            <w:r>
              <w:rPr>
                <w:b/>
                <w:spacing w:val="-2"/>
                <w:sz w:val="24"/>
              </w:rPr>
              <w:t>(mIU/ml)</w:t>
            </w:r>
          </w:p>
        </w:tc>
        <w:tc>
          <w:tcPr>
            <w:tcW w:w="648" w:type="pct"/>
            <w:tcBorders>
              <w:top w:val="single" w:sz="4" w:space="0" w:color="000000"/>
              <w:bottom w:val="single" w:sz="4" w:space="0" w:color="000000"/>
            </w:tcBorders>
          </w:tcPr>
          <w:p w14:paraId="273D4866" w14:textId="77777777" w:rsidR="00704B93" w:rsidRDefault="00704B93" w:rsidP="008A3FD2">
            <w:pPr>
              <w:pStyle w:val="TableParagraph"/>
              <w:spacing w:line="275" w:lineRule="exact"/>
              <w:ind w:left="107"/>
              <w:jc w:val="both"/>
              <w:rPr>
                <w:b/>
                <w:sz w:val="24"/>
              </w:rPr>
            </w:pPr>
            <w:r>
              <w:rPr>
                <w:b/>
                <w:spacing w:val="-5"/>
                <w:sz w:val="24"/>
              </w:rPr>
              <w:t>FSH</w:t>
            </w:r>
          </w:p>
          <w:p w14:paraId="750F29D9" w14:textId="77777777" w:rsidR="00704B93" w:rsidRDefault="00704B93" w:rsidP="008A3FD2">
            <w:pPr>
              <w:pStyle w:val="TableParagraph"/>
              <w:ind w:left="107"/>
              <w:jc w:val="both"/>
              <w:rPr>
                <w:b/>
                <w:sz w:val="24"/>
              </w:rPr>
            </w:pPr>
            <w:r>
              <w:rPr>
                <w:b/>
                <w:spacing w:val="-2"/>
                <w:sz w:val="24"/>
              </w:rPr>
              <w:t>(mIU/ml)</w:t>
            </w:r>
          </w:p>
        </w:tc>
        <w:tc>
          <w:tcPr>
            <w:tcW w:w="704" w:type="pct"/>
            <w:tcBorders>
              <w:top w:val="single" w:sz="4" w:space="0" w:color="000000"/>
              <w:bottom w:val="single" w:sz="4" w:space="0" w:color="000000"/>
            </w:tcBorders>
          </w:tcPr>
          <w:p w14:paraId="61C55DE5" w14:textId="77777777" w:rsidR="00704B93" w:rsidRDefault="00704B93" w:rsidP="008A3FD2">
            <w:pPr>
              <w:pStyle w:val="TableParagraph"/>
              <w:ind w:left="108" w:right="451"/>
              <w:jc w:val="both"/>
              <w:rPr>
                <w:b/>
                <w:sz w:val="24"/>
              </w:rPr>
            </w:pPr>
            <w:r>
              <w:rPr>
                <w:b/>
                <w:spacing w:val="-2"/>
                <w:sz w:val="24"/>
              </w:rPr>
              <w:t>Estradiol (pg/ml)</w:t>
            </w:r>
          </w:p>
        </w:tc>
        <w:tc>
          <w:tcPr>
            <w:tcW w:w="592" w:type="pct"/>
            <w:tcBorders>
              <w:top w:val="single" w:sz="4" w:space="0" w:color="000000"/>
              <w:bottom w:val="single" w:sz="4" w:space="0" w:color="000000"/>
            </w:tcBorders>
          </w:tcPr>
          <w:p w14:paraId="6BB001F7" w14:textId="77777777" w:rsidR="00704B93" w:rsidRDefault="00704B93" w:rsidP="008A3FD2">
            <w:pPr>
              <w:pStyle w:val="TableParagraph"/>
              <w:spacing w:line="275" w:lineRule="exact"/>
              <w:ind w:left="107"/>
              <w:jc w:val="both"/>
              <w:rPr>
                <w:b/>
                <w:sz w:val="24"/>
              </w:rPr>
            </w:pPr>
            <w:r>
              <w:rPr>
                <w:b/>
                <w:spacing w:val="-5"/>
                <w:sz w:val="24"/>
              </w:rPr>
              <w:t>TSH</w:t>
            </w:r>
          </w:p>
          <w:p w14:paraId="5A485086" w14:textId="77777777" w:rsidR="00704B93" w:rsidRDefault="00704B93" w:rsidP="008A3FD2">
            <w:pPr>
              <w:pStyle w:val="TableParagraph"/>
              <w:ind w:left="107"/>
              <w:jc w:val="both"/>
              <w:rPr>
                <w:b/>
                <w:sz w:val="24"/>
              </w:rPr>
            </w:pPr>
            <w:r>
              <w:rPr>
                <w:b/>
                <w:spacing w:val="-2"/>
                <w:sz w:val="24"/>
              </w:rPr>
              <w:t>(mUI/ml)</w:t>
            </w:r>
          </w:p>
        </w:tc>
        <w:tc>
          <w:tcPr>
            <w:tcW w:w="588" w:type="pct"/>
            <w:tcBorders>
              <w:top w:val="single" w:sz="4" w:space="0" w:color="000000"/>
              <w:bottom w:val="single" w:sz="4" w:space="0" w:color="000000"/>
            </w:tcBorders>
          </w:tcPr>
          <w:p w14:paraId="2345FED2" w14:textId="77777777" w:rsidR="00704B93" w:rsidRDefault="00704B93" w:rsidP="008A3FD2">
            <w:pPr>
              <w:pStyle w:val="TableParagraph"/>
              <w:spacing w:line="275" w:lineRule="exact"/>
              <w:ind w:left="107"/>
              <w:jc w:val="both"/>
              <w:rPr>
                <w:b/>
                <w:sz w:val="24"/>
              </w:rPr>
            </w:pPr>
            <w:r>
              <w:rPr>
                <w:b/>
                <w:spacing w:val="-4"/>
                <w:sz w:val="24"/>
              </w:rPr>
              <w:t>GnRH</w:t>
            </w:r>
          </w:p>
          <w:p w14:paraId="4F4D8578" w14:textId="77777777" w:rsidR="00704B93" w:rsidRDefault="00704B93" w:rsidP="008A3FD2">
            <w:pPr>
              <w:pStyle w:val="TableParagraph"/>
              <w:ind w:left="107"/>
              <w:jc w:val="both"/>
              <w:rPr>
                <w:b/>
                <w:sz w:val="24"/>
              </w:rPr>
            </w:pPr>
            <w:r>
              <w:rPr>
                <w:b/>
                <w:spacing w:val="-2"/>
                <w:sz w:val="24"/>
              </w:rPr>
              <w:t>(ng/ml)</w:t>
            </w:r>
          </w:p>
        </w:tc>
        <w:tc>
          <w:tcPr>
            <w:tcW w:w="734" w:type="pct"/>
            <w:tcBorders>
              <w:top w:val="single" w:sz="4" w:space="0" w:color="000000"/>
              <w:bottom w:val="single" w:sz="4" w:space="0" w:color="000000"/>
            </w:tcBorders>
          </w:tcPr>
          <w:p w14:paraId="6C063BDC" w14:textId="77777777" w:rsidR="00704B93" w:rsidRDefault="00704B93" w:rsidP="008A3FD2">
            <w:pPr>
              <w:pStyle w:val="TableParagraph"/>
              <w:ind w:left="117"/>
              <w:jc w:val="both"/>
              <w:rPr>
                <w:b/>
                <w:sz w:val="24"/>
              </w:rPr>
            </w:pPr>
            <w:r>
              <w:rPr>
                <w:b/>
                <w:spacing w:val="-2"/>
                <w:sz w:val="24"/>
              </w:rPr>
              <w:t>Progesterone (ng/ml)</w:t>
            </w:r>
          </w:p>
        </w:tc>
      </w:tr>
      <w:tr w:rsidR="00704B93" w14:paraId="4FCE7106" w14:textId="77777777" w:rsidTr="00F61606">
        <w:trPr>
          <w:trHeight w:val="568"/>
        </w:trPr>
        <w:tc>
          <w:tcPr>
            <w:tcW w:w="417" w:type="pct"/>
            <w:tcBorders>
              <w:top w:val="single" w:sz="4" w:space="0" w:color="000000"/>
            </w:tcBorders>
          </w:tcPr>
          <w:p w14:paraId="3B83F9C2" w14:textId="77777777" w:rsidR="00704B93" w:rsidRDefault="00704B93" w:rsidP="008A3FD2">
            <w:pPr>
              <w:pStyle w:val="TableParagraph"/>
              <w:jc w:val="both"/>
            </w:pPr>
          </w:p>
        </w:tc>
        <w:tc>
          <w:tcPr>
            <w:tcW w:w="668" w:type="pct"/>
            <w:tcBorders>
              <w:top w:val="single" w:sz="4" w:space="0" w:color="000000"/>
            </w:tcBorders>
          </w:tcPr>
          <w:p w14:paraId="51114DC2" w14:textId="77777777" w:rsidR="00704B93" w:rsidRDefault="00704B93" w:rsidP="008A3FD2">
            <w:pPr>
              <w:pStyle w:val="TableParagraph"/>
              <w:spacing w:line="276" w:lineRule="exact"/>
              <w:ind w:left="109" w:right="580"/>
              <w:jc w:val="both"/>
              <w:rPr>
                <w:sz w:val="24"/>
              </w:rPr>
            </w:pPr>
            <w:r>
              <w:rPr>
                <w:spacing w:val="-2"/>
                <w:sz w:val="24"/>
              </w:rPr>
              <w:t>Normal Control</w:t>
            </w:r>
          </w:p>
        </w:tc>
        <w:tc>
          <w:tcPr>
            <w:tcW w:w="648" w:type="pct"/>
            <w:tcBorders>
              <w:top w:val="single" w:sz="4" w:space="0" w:color="000000"/>
            </w:tcBorders>
          </w:tcPr>
          <w:p w14:paraId="1FE0F3DB" w14:textId="77777777" w:rsidR="00704B93" w:rsidRDefault="00704B93" w:rsidP="008A3FD2">
            <w:pPr>
              <w:pStyle w:val="TableParagraph"/>
              <w:spacing w:line="275" w:lineRule="exact"/>
              <w:ind w:left="108"/>
              <w:jc w:val="both"/>
              <w:rPr>
                <w:sz w:val="24"/>
              </w:rPr>
            </w:pPr>
            <w:r>
              <w:rPr>
                <w:spacing w:val="-2"/>
                <w:sz w:val="24"/>
              </w:rPr>
              <w:t>17.08</w:t>
            </w:r>
          </w:p>
          <w:p w14:paraId="13F7CD03" w14:textId="77777777" w:rsidR="00704B93" w:rsidRDefault="00704B93" w:rsidP="008A3FD2">
            <w:pPr>
              <w:pStyle w:val="TableParagraph"/>
              <w:spacing w:line="273" w:lineRule="exact"/>
              <w:ind w:left="108"/>
              <w:jc w:val="both"/>
              <w:rPr>
                <w:sz w:val="24"/>
              </w:rPr>
            </w:pPr>
            <w:r>
              <w:rPr>
                <w:spacing w:val="-2"/>
                <w:sz w:val="24"/>
              </w:rPr>
              <w:t>±0.50</w:t>
            </w:r>
            <w:r>
              <w:rPr>
                <w:spacing w:val="-2"/>
                <w:sz w:val="24"/>
                <w:vertAlign w:val="superscript"/>
              </w:rPr>
              <w:t>d</w:t>
            </w:r>
          </w:p>
        </w:tc>
        <w:tc>
          <w:tcPr>
            <w:tcW w:w="648" w:type="pct"/>
            <w:tcBorders>
              <w:top w:val="single" w:sz="4" w:space="0" w:color="000000"/>
            </w:tcBorders>
          </w:tcPr>
          <w:p w14:paraId="2480A543" w14:textId="77777777" w:rsidR="00704B93" w:rsidRDefault="00704B93" w:rsidP="008A3FD2">
            <w:pPr>
              <w:pStyle w:val="TableParagraph"/>
              <w:spacing w:line="275" w:lineRule="exact"/>
              <w:ind w:left="107"/>
              <w:jc w:val="both"/>
              <w:rPr>
                <w:sz w:val="24"/>
              </w:rPr>
            </w:pPr>
            <w:r>
              <w:rPr>
                <w:spacing w:val="-2"/>
                <w:sz w:val="24"/>
              </w:rPr>
              <w:t>17.60±1.23</w:t>
            </w:r>
            <w:r>
              <w:rPr>
                <w:spacing w:val="-2"/>
                <w:sz w:val="24"/>
                <w:vertAlign w:val="superscript"/>
              </w:rPr>
              <w:t>d</w:t>
            </w:r>
          </w:p>
        </w:tc>
        <w:tc>
          <w:tcPr>
            <w:tcW w:w="704" w:type="pct"/>
            <w:tcBorders>
              <w:top w:val="single" w:sz="4" w:space="0" w:color="000000"/>
            </w:tcBorders>
          </w:tcPr>
          <w:p w14:paraId="7650C584" w14:textId="77777777" w:rsidR="00704B93" w:rsidRDefault="00704B93" w:rsidP="008A3FD2">
            <w:pPr>
              <w:pStyle w:val="TableParagraph"/>
              <w:spacing w:line="275" w:lineRule="exact"/>
              <w:ind w:left="83" w:right="199"/>
              <w:jc w:val="both"/>
              <w:rPr>
                <w:sz w:val="24"/>
              </w:rPr>
            </w:pPr>
            <w:r>
              <w:rPr>
                <w:spacing w:val="-2"/>
                <w:sz w:val="24"/>
              </w:rPr>
              <w:t>41.46±0.84</w:t>
            </w:r>
            <w:r>
              <w:rPr>
                <w:spacing w:val="-2"/>
                <w:sz w:val="24"/>
                <w:vertAlign w:val="superscript"/>
              </w:rPr>
              <w:t>d</w:t>
            </w:r>
          </w:p>
        </w:tc>
        <w:tc>
          <w:tcPr>
            <w:tcW w:w="592" w:type="pct"/>
            <w:tcBorders>
              <w:top w:val="single" w:sz="4" w:space="0" w:color="000000"/>
            </w:tcBorders>
          </w:tcPr>
          <w:p w14:paraId="13B6526A" w14:textId="77777777" w:rsidR="00704B93" w:rsidRDefault="00704B93" w:rsidP="008A3FD2">
            <w:pPr>
              <w:pStyle w:val="TableParagraph"/>
              <w:spacing w:line="275" w:lineRule="exact"/>
              <w:ind w:right="79"/>
              <w:jc w:val="both"/>
              <w:rPr>
                <w:sz w:val="24"/>
              </w:rPr>
            </w:pPr>
            <w:r>
              <w:rPr>
                <w:spacing w:val="-2"/>
                <w:sz w:val="24"/>
              </w:rPr>
              <w:t>5.74</w:t>
            </w:r>
            <w:r>
              <w:rPr>
                <w:b/>
                <w:spacing w:val="-2"/>
                <w:sz w:val="24"/>
              </w:rPr>
              <w:t>±</w:t>
            </w:r>
            <w:r>
              <w:rPr>
                <w:spacing w:val="-2"/>
                <w:sz w:val="24"/>
              </w:rPr>
              <w:t>0.42</w:t>
            </w:r>
          </w:p>
        </w:tc>
        <w:tc>
          <w:tcPr>
            <w:tcW w:w="588" w:type="pct"/>
            <w:tcBorders>
              <w:top w:val="single" w:sz="4" w:space="0" w:color="000000"/>
            </w:tcBorders>
          </w:tcPr>
          <w:p w14:paraId="548470EB" w14:textId="77777777" w:rsidR="00704B93" w:rsidRDefault="00704B93" w:rsidP="008A3FD2">
            <w:pPr>
              <w:pStyle w:val="TableParagraph"/>
              <w:spacing w:line="275" w:lineRule="exact"/>
              <w:ind w:left="72" w:right="72"/>
              <w:jc w:val="both"/>
              <w:rPr>
                <w:sz w:val="24"/>
              </w:rPr>
            </w:pPr>
            <w:r>
              <w:rPr>
                <w:spacing w:val="-2"/>
                <w:sz w:val="24"/>
              </w:rPr>
              <w:t>8.57</w:t>
            </w:r>
            <w:r>
              <w:rPr>
                <w:b/>
                <w:spacing w:val="-2"/>
                <w:sz w:val="24"/>
              </w:rPr>
              <w:t>±</w:t>
            </w:r>
            <w:r>
              <w:rPr>
                <w:spacing w:val="-2"/>
                <w:sz w:val="24"/>
              </w:rPr>
              <w:t>0.26</w:t>
            </w:r>
            <w:r>
              <w:rPr>
                <w:spacing w:val="-2"/>
                <w:sz w:val="24"/>
                <w:vertAlign w:val="superscript"/>
              </w:rPr>
              <w:t>c</w:t>
            </w:r>
          </w:p>
        </w:tc>
        <w:tc>
          <w:tcPr>
            <w:tcW w:w="734" w:type="pct"/>
            <w:tcBorders>
              <w:top w:val="single" w:sz="4" w:space="0" w:color="000000"/>
            </w:tcBorders>
          </w:tcPr>
          <w:p w14:paraId="77ECBAFD" w14:textId="77777777" w:rsidR="00704B93" w:rsidRDefault="00704B93" w:rsidP="008A3FD2">
            <w:pPr>
              <w:pStyle w:val="TableParagraph"/>
              <w:spacing w:line="275" w:lineRule="exact"/>
              <w:ind w:left="117"/>
              <w:jc w:val="both"/>
              <w:rPr>
                <w:sz w:val="24"/>
              </w:rPr>
            </w:pPr>
            <w:r>
              <w:rPr>
                <w:spacing w:val="-2"/>
                <w:sz w:val="24"/>
              </w:rPr>
              <w:t>85.87</w:t>
            </w:r>
            <w:r>
              <w:rPr>
                <w:b/>
                <w:spacing w:val="-2"/>
                <w:sz w:val="24"/>
              </w:rPr>
              <w:t>±</w:t>
            </w:r>
            <w:r>
              <w:rPr>
                <w:spacing w:val="-2"/>
                <w:sz w:val="24"/>
              </w:rPr>
              <w:t>3.31</w:t>
            </w:r>
            <w:r>
              <w:rPr>
                <w:spacing w:val="-2"/>
                <w:sz w:val="24"/>
                <w:vertAlign w:val="superscript"/>
              </w:rPr>
              <w:t>d</w:t>
            </w:r>
          </w:p>
        </w:tc>
      </w:tr>
      <w:tr w:rsidR="00704B93" w14:paraId="6CCE7B30" w14:textId="77777777" w:rsidTr="00F61606">
        <w:trPr>
          <w:trHeight w:val="608"/>
        </w:trPr>
        <w:tc>
          <w:tcPr>
            <w:tcW w:w="417" w:type="pct"/>
          </w:tcPr>
          <w:p w14:paraId="3DD2C96C" w14:textId="77777777" w:rsidR="00704B93" w:rsidRDefault="00704B93" w:rsidP="008A3FD2">
            <w:pPr>
              <w:pStyle w:val="TableParagraph"/>
              <w:spacing w:before="76"/>
              <w:jc w:val="both"/>
              <w:rPr>
                <w:sz w:val="24"/>
              </w:rPr>
            </w:pPr>
          </w:p>
          <w:p w14:paraId="5A8610B2" w14:textId="77777777" w:rsidR="00704B93" w:rsidRDefault="00704B93" w:rsidP="008A3FD2">
            <w:pPr>
              <w:pStyle w:val="TableParagraph"/>
              <w:spacing w:line="236" w:lineRule="exact"/>
              <w:ind w:left="107"/>
              <w:jc w:val="both"/>
              <w:rPr>
                <w:b/>
                <w:sz w:val="24"/>
              </w:rPr>
            </w:pPr>
            <w:r>
              <w:rPr>
                <w:b/>
                <w:spacing w:val="-5"/>
                <w:sz w:val="24"/>
              </w:rPr>
              <w:t>14</w:t>
            </w:r>
          </w:p>
        </w:tc>
        <w:tc>
          <w:tcPr>
            <w:tcW w:w="668" w:type="pct"/>
          </w:tcPr>
          <w:p w14:paraId="643B5C0C" w14:textId="77777777" w:rsidR="00704B93" w:rsidRDefault="00704B93" w:rsidP="008A3FD2">
            <w:pPr>
              <w:pStyle w:val="TableParagraph"/>
              <w:spacing w:before="6"/>
              <w:ind w:left="109" w:right="451"/>
              <w:jc w:val="both"/>
              <w:rPr>
                <w:sz w:val="24"/>
              </w:rPr>
            </w:pPr>
            <w:r>
              <w:rPr>
                <w:spacing w:val="-2"/>
                <w:sz w:val="24"/>
              </w:rPr>
              <w:t>Negative control</w:t>
            </w:r>
          </w:p>
        </w:tc>
        <w:tc>
          <w:tcPr>
            <w:tcW w:w="648" w:type="pct"/>
          </w:tcPr>
          <w:p w14:paraId="54471AF7" w14:textId="77777777" w:rsidR="00704B93" w:rsidRDefault="00704B93" w:rsidP="008A3FD2">
            <w:pPr>
              <w:pStyle w:val="TableParagraph"/>
              <w:spacing w:before="6"/>
              <w:ind w:left="108"/>
              <w:jc w:val="both"/>
              <w:rPr>
                <w:b/>
                <w:sz w:val="24"/>
              </w:rPr>
            </w:pPr>
            <w:r>
              <w:rPr>
                <w:b/>
                <w:spacing w:val="-2"/>
                <w:sz w:val="24"/>
              </w:rPr>
              <w:t>3.60±0.29</w:t>
            </w:r>
          </w:p>
        </w:tc>
        <w:tc>
          <w:tcPr>
            <w:tcW w:w="648" w:type="pct"/>
          </w:tcPr>
          <w:p w14:paraId="46E25111" w14:textId="77777777" w:rsidR="00704B93" w:rsidRDefault="00704B93" w:rsidP="008A3FD2">
            <w:pPr>
              <w:pStyle w:val="TableParagraph"/>
              <w:spacing w:before="6"/>
              <w:ind w:left="107"/>
              <w:jc w:val="both"/>
              <w:rPr>
                <w:b/>
                <w:sz w:val="24"/>
              </w:rPr>
            </w:pPr>
            <w:r>
              <w:rPr>
                <w:b/>
                <w:spacing w:val="-2"/>
                <w:sz w:val="24"/>
              </w:rPr>
              <w:t>3.24±0.13</w:t>
            </w:r>
          </w:p>
        </w:tc>
        <w:tc>
          <w:tcPr>
            <w:tcW w:w="704" w:type="pct"/>
          </w:tcPr>
          <w:p w14:paraId="734CE31F" w14:textId="77777777" w:rsidR="00704B93" w:rsidRDefault="00704B93" w:rsidP="008A3FD2">
            <w:pPr>
              <w:pStyle w:val="TableParagraph"/>
              <w:spacing w:before="6"/>
              <w:ind w:left="1" w:right="200"/>
              <w:jc w:val="both"/>
              <w:rPr>
                <w:b/>
                <w:sz w:val="24"/>
              </w:rPr>
            </w:pPr>
            <w:r>
              <w:rPr>
                <w:b/>
                <w:spacing w:val="-2"/>
                <w:sz w:val="24"/>
              </w:rPr>
              <w:t>41.45±0.83</w:t>
            </w:r>
          </w:p>
        </w:tc>
        <w:tc>
          <w:tcPr>
            <w:tcW w:w="592" w:type="pct"/>
          </w:tcPr>
          <w:p w14:paraId="67B21651" w14:textId="77777777" w:rsidR="00704B93" w:rsidRDefault="00704B93" w:rsidP="008A3FD2">
            <w:pPr>
              <w:pStyle w:val="TableParagraph"/>
              <w:spacing w:before="6"/>
              <w:ind w:right="79"/>
              <w:jc w:val="both"/>
              <w:rPr>
                <w:b/>
                <w:sz w:val="24"/>
              </w:rPr>
            </w:pPr>
            <w:r>
              <w:rPr>
                <w:b/>
                <w:spacing w:val="-2"/>
                <w:sz w:val="24"/>
              </w:rPr>
              <w:t>0.77±0.39</w:t>
            </w:r>
          </w:p>
        </w:tc>
        <w:tc>
          <w:tcPr>
            <w:tcW w:w="588" w:type="pct"/>
          </w:tcPr>
          <w:p w14:paraId="360F1D95" w14:textId="77777777" w:rsidR="00704B93" w:rsidRDefault="00704B93" w:rsidP="008A3FD2">
            <w:pPr>
              <w:pStyle w:val="TableParagraph"/>
              <w:spacing w:before="6"/>
              <w:ind w:left="7" w:right="79"/>
              <w:jc w:val="both"/>
              <w:rPr>
                <w:b/>
                <w:sz w:val="24"/>
              </w:rPr>
            </w:pPr>
            <w:r>
              <w:rPr>
                <w:b/>
                <w:spacing w:val="-2"/>
                <w:sz w:val="24"/>
              </w:rPr>
              <w:t>0.20±0.02</w:t>
            </w:r>
          </w:p>
        </w:tc>
        <w:tc>
          <w:tcPr>
            <w:tcW w:w="734" w:type="pct"/>
          </w:tcPr>
          <w:p w14:paraId="7CEEB624" w14:textId="77777777" w:rsidR="00704B93" w:rsidRDefault="00704B93" w:rsidP="008A3FD2">
            <w:pPr>
              <w:pStyle w:val="TableParagraph"/>
              <w:spacing w:before="6"/>
              <w:ind w:left="117"/>
              <w:jc w:val="both"/>
              <w:rPr>
                <w:b/>
                <w:sz w:val="24"/>
              </w:rPr>
            </w:pPr>
            <w:r>
              <w:rPr>
                <w:b/>
                <w:spacing w:val="-2"/>
                <w:sz w:val="24"/>
              </w:rPr>
              <w:t>22.85±1.16</w:t>
            </w:r>
          </w:p>
        </w:tc>
      </w:tr>
      <w:tr w:rsidR="00704B93" w14:paraId="5B9EA5C7" w14:textId="77777777" w:rsidTr="00F61606">
        <w:trPr>
          <w:trHeight w:val="295"/>
        </w:trPr>
        <w:tc>
          <w:tcPr>
            <w:tcW w:w="417" w:type="pct"/>
          </w:tcPr>
          <w:p w14:paraId="4858C0DF" w14:textId="77777777" w:rsidR="00704B93" w:rsidRDefault="00704B93" w:rsidP="008A3FD2">
            <w:pPr>
              <w:pStyle w:val="TableParagraph"/>
              <w:spacing w:before="19" w:line="256" w:lineRule="exact"/>
              <w:ind w:left="107"/>
              <w:jc w:val="both"/>
              <w:rPr>
                <w:b/>
                <w:sz w:val="24"/>
              </w:rPr>
            </w:pPr>
            <w:r>
              <w:rPr>
                <w:b/>
                <w:spacing w:val="-4"/>
                <w:sz w:val="24"/>
              </w:rPr>
              <w:t>days</w:t>
            </w:r>
          </w:p>
        </w:tc>
        <w:tc>
          <w:tcPr>
            <w:tcW w:w="668" w:type="pct"/>
          </w:tcPr>
          <w:p w14:paraId="0FEBFC2A" w14:textId="77777777" w:rsidR="00704B93" w:rsidRDefault="00704B93" w:rsidP="008A3FD2">
            <w:pPr>
              <w:pStyle w:val="TableParagraph"/>
              <w:spacing w:line="267" w:lineRule="exact"/>
              <w:ind w:left="109"/>
              <w:jc w:val="both"/>
              <w:rPr>
                <w:sz w:val="24"/>
              </w:rPr>
            </w:pPr>
            <w:r>
              <w:rPr>
                <w:spacing w:val="-5"/>
                <w:sz w:val="24"/>
              </w:rPr>
              <w:t>PE1</w:t>
            </w:r>
          </w:p>
        </w:tc>
        <w:tc>
          <w:tcPr>
            <w:tcW w:w="648" w:type="pct"/>
          </w:tcPr>
          <w:p w14:paraId="6B357FDE" w14:textId="77777777" w:rsidR="00704B93" w:rsidRDefault="00704B93" w:rsidP="008A3FD2">
            <w:pPr>
              <w:pStyle w:val="TableParagraph"/>
              <w:spacing w:line="267" w:lineRule="exact"/>
              <w:ind w:left="108"/>
              <w:jc w:val="both"/>
              <w:rPr>
                <w:sz w:val="24"/>
              </w:rPr>
            </w:pPr>
            <w:r>
              <w:rPr>
                <w:spacing w:val="-2"/>
                <w:sz w:val="24"/>
              </w:rPr>
              <w:t>8.07±0.34</w:t>
            </w:r>
          </w:p>
        </w:tc>
        <w:tc>
          <w:tcPr>
            <w:tcW w:w="648" w:type="pct"/>
          </w:tcPr>
          <w:p w14:paraId="7E7752B8" w14:textId="77777777" w:rsidR="00704B93" w:rsidRDefault="00704B93" w:rsidP="008A3FD2">
            <w:pPr>
              <w:pStyle w:val="TableParagraph"/>
              <w:spacing w:line="267" w:lineRule="exact"/>
              <w:ind w:left="107"/>
              <w:jc w:val="both"/>
              <w:rPr>
                <w:sz w:val="24"/>
              </w:rPr>
            </w:pPr>
            <w:r>
              <w:rPr>
                <w:spacing w:val="-2"/>
                <w:sz w:val="24"/>
              </w:rPr>
              <w:t>8.87±0.27</w:t>
            </w:r>
            <w:r>
              <w:rPr>
                <w:spacing w:val="-2"/>
                <w:sz w:val="24"/>
                <w:vertAlign w:val="superscript"/>
              </w:rPr>
              <w:t>a</w:t>
            </w:r>
          </w:p>
        </w:tc>
        <w:tc>
          <w:tcPr>
            <w:tcW w:w="704" w:type="pct"/>
          </w:tcPr>
          <w:p w14:paraId="42AD4C6A" w14:textId="77777777" w:rsidR="00704B93" w:rsidRDefault="00704B93" w:rsidP="008A3FD2">
            <w:pPr>
              <w:pStyle w:val="TableParagraph"/>
              <w:spacing w:line="267" w:lineRule="exact"/>
              <w:ind w:left="83" w:right="199"/>
              <w:jc w:val="both"/>
              <w:rPr>
                <w:sz w:val="24"/>
              </w:rPr>
            </w:pPr>
            <w:r>
              <w:rPr>
                <w:spacing w:val="-2"/>
                <w:sz w:val="24"/>
              </w:rPr>
              <w:t>67.50±1.71</w:t>
            </w:r>
            <w:r>
              <w:rPr>
                <w:spacing w:val="-2"/>
                <w:sz w:val="24"/>
                <w:vertAlign w:val="superscript"/>
              </w:rPr>
              <w:t>d</w:t>
            </w:r>
          </w:p>
        </w:tc>
        <w:tc>
          <w:tcPr>
            <w:tcW w:w="592" w:type="pct"/>
          </w:tcPr>
          <w:p w14:paraId="0D5943D2" w14:textId="77777777" w:rsidR="00704B93" w:rsidRDefault="00704B93" w:rsidP="008A3FD2">
            <w:pPr>
              <w:pStyle w:val="TableParagraph"/>
              <w:spacing w:line="267" w:lineRule="exact"/>
              <w:ind w:left="1" w:right="79"/>
              <w:jc w:val="both"/>
              <w:rPr>
                <w:sz w:val="24"/>
              </w:rPr>
            </w:pPr>
            <w:r>
              <w:rPr>
                <w:spacing w:val="-2"/>
                <w:sz w:val="24"/>
              </w:rPr>
              <w:t>1.85</w:t>
            </w:r>
            <w:r>
              <w:rPr>
                <w:b/>
                <w:spacing w:val="-2"/>
                <w:sz w:val="24"/>
              </w:rPr>
              <w:t>±</w:t>
            </w:r>
            <w:r>
              <w:rPr>
                <w:spacing w:val="-2"/>
                <w:sz w:val="24"/>
              </w:rPr>
              <w:t>0.10</w:t>
            </w:r>
          </w:p>
        </w:tc>
        <w:tc>
          <w:tcPr>
            <w:tcW w:w="588" w:type="pct"/>
          </w:tcPr>
          <w:p w14:paraId="348B8371" w14:textId="77777777" w:rsidR="00704B93" w:rsidRDefault="00704B93" w:rsidP="008A3FD2">
            <w:pPr>
              <w:pStyle w:val="TableParagraph"/>
              <w:spacing w:line="267" w:lineRule="exact"/>
              <w:ind w:left="7" w:right="78"/>
              <w:jc w:val="both"/>
              <w:rPr>
                <w:sz w:val="24"/>
              </w:rPr>
            </w:pPr>
            <w:r>
              <w:rPr>
                <w:spacing w:val="-2"/>
                <w:sz w:val="24"/>
              </w:rPr>
              <w:t>1.56</w:t>
            </w:r>
            <w:r>
              <w:rPr>
                <w:b/>
                <w:spacing w:val="-2"/>
                <w:sz w:val="24"/>
              </w:rPr>
              <w:t>±</w:t>
            </w:r>
            <w:r>
              <w:rPr>
                <w:spacing w:val="-2"/>
                <w:sz w:val="24"/>
              </w:rPr>
              <w:t>0.20</w:t>
            </w:r>
          </w:p>
        </w:tc>
        <w:tc>
          <w:tcPr>
            <w:tcW w:w="734" w:type="pct"/>
          </w:tcPr>
          <w:p w14:paraId="673E49B5" w14:textId="77777777" w:rsidR="00704B93" w:rsidRDefault="00704B93" w:rsidP="008A3FD2">
            <w:pPr>
              <w:pStyle w:val="TableParagraph"/>
              <w:spacing w:line="267" w:lineRule="exact"/>
              <w:ind w:left="117"/>
              <w:jc w:val="both"/>
              <w:rPr>
                <w:sz w:val="24"/>
              </w:rPr>
            </w:pPr>
            <w:r>
              <w:rPr>
                <w:spacing w:val="-2"/>
                <w:sz w:val="24"/>
              </w:rPr>
              <w:t>45.97</w:t>
            </w:r>
            <w:r>
              <w:rPr>
                <w:b/>
                <w:spacing w:val="-2"/>
                <w:sz w:val="24"/>
              </w:rPr>
              <w:t>±</w:t>
            </w:r>
            <w:r>
              <w:rPr>
                <w:spacing w:val="-2"/>
                <w:sz w:val="24"/>
              </w:rPr>
              <w:t>0.94</w:t>
            </w:r>
            <w:r>
              <w:rPr>
                <w:spacing w:val="-2"/>
                <w:sz w:val="24"/>
                <w:vertAlign w:val="superscript"/>
              </w:rPr>
              <w:t>d</w:t>
            </w:r>
          </w:p>
        </w:tc>
      </w:tr>
      <w:tr w:rsidR="00704B93" w14:paraId="4AA56471" w14:textId="77777777" w:rsidTr="00F61606">
        <w:trPr>
          <w:trHeight w:val="302"/>
        </w:trPr>
        <w:tc>
          <w:tcPr>
            <w:tcW w:w="417" w:type="pct"/>
          </w:tcPr>
          <w:p w14:paraId="704ABB40" w14:textId="77777777" w:rsidR="00704B93" w:rsidRDefault="00704B93" w:rsidP="008A3FD2">
            <w:pPr>
              <w:pStyle w:val="TableParagraph"/>
              <w:jc w:val="both"/>
            </w:pPr>
          </w:p>
        </w:tc>
        <w:tc>
          <w:tcPr>
            <w:tcW w:w="668" w:type="pct"/>
          </w:tcPr>
          <w:p w14:paraId="7DFE7F08" w14:textId="77777777" w:rsidR="00704B93" w:rsidRDefault="00704B93" w:rsidP="008A3FD2">
            <w:pPr>
              <w:pStyle w:val="TableParagraph"/>
              <w:spacing w:before="12" w:line="270" w:lineRule="exact"/>
              <w:ind w:left="109"/>
              <w:jc w:val="both"/>
              <w:rPr>
                <w:sz w:val="24"/>
              </w:rPr>
            </w:pPr>
            <w:r>
              <w:rPr>
                <w:spacing w:val="-5"/>
                <w:sz w:val="24"/>
              </w:rPr>
              <w:t>PE2</w:t>
            </w:r>
          </w:p>
        </w:tc>
        <w:tc>
          <w:tcPr>
            <w:tcW w:w="648" w:type="pct"/>
          </w:tcPr>
          <w:p w14:paraId="275C4E9E" w14:textId="77777777" w:rsidR="00704B93" w:rsidRDefault="00704B93" w:rsidP="008A3FD2">
            <w:pPr>
              <w:pStyle w:val="TableParagraph"/>
              <w:spacing w:before="12" w:line="270" w:lineRule="exact"/>
              <w:ind w:left="108"/>
              <w:jc w:val="both"/>
              <w:rPr>
                <w:sz w:val="24"/>
              </w:rPr>
            </w:pPr>
            <w:r>
              <w:rPr>
                <w:spacing w:val="-2"/>
                <w:sz w:val="24"/>
              </w:rPr>
              <w:t>11.75±0.03</w:t>
            </w:r>
            <w:r>
              <w:rPr>
                <w:spacing w:val="-2"/>
                <w:sz w:val="24"/>
                <w:vertAlign w:val="superscript"/>
              </w:rPr>
              <w:t>c</w:t>
            </w:r>
          </w:p>
        </w:tc>
        <w:tc>
          <w:tcPr>
            <w:tcW w:w="648" w:type="pct"/>
          </w:tcPr>
          <w:p w14:paraId="1B40CEDB" w14:textId="77777777" w:rsidR="00704B93" w:rsidRDefault="00704B93" w:rsidP="008A3FD2">
            <w:pPr>
              <w:pStyle w:val="TableParagraph"/>
              <w:spacing w:before="12" w:line="270" w:lineRule="exact"/>
              <w:ind w:left="107"/>
              <w:jc w:val="both"/>
              <w:rPr>
                <w:sz w:val="24"/>
              </w:rPr>
            </w:pPr>
            <w:r>
              <w:rPr>
                <w:spacing w:val="-2"/>
                <w:sz w:val="24"/>
              </w:rPr>
              <w:t>10.80±0.65</w:t>
            </w:r>
            <w:r>
              <w:rPr>
                <w:spacing w:val="-2"/>
                <w:sz w:val="24"/>
                <w:vertAlign w:val="superscript"/>
              </w:rPr>
              <w:t>c</w:t>
            </w:r>
          </w:p>
        </w:tc>
        <w:tc>
          <w:tcPr>
            <w:tcW w:w="704" w:type="pct"/>
          </w:tcPr>
          <w:p w14:paraId="204C57AA" w14:textId="77777777" w:rsidR="00704B93" w:rsidRDefault="00704B93" w:rsidP="008A3FD2">
            <w:pPr>
              <w:pStyle w:val="TableParagraph"/>
              <w:spacing w:before="12" w:line="270" w:lineRule="exact"/>
              <w:ind w:left="1"/>
              <w:jc w:val="both"/>
              <w:rPr>
                <w:sz w:val="24"/>
              </w:rPr>
            </w:pPr>
            <w:r>
              <w:rPr>
                <w:spacing w:val="-2"/>
                <w:sz w:val="24"/>
              </w:rPr>
              <w:t>100.03±6.29</w:t>
            </w:r>
            <w:r>
              <w:rPr>
                <w:spacing w:val="-2"/>
                <w:sz w:val="24"/>
                <w:vertAlign w:val="superscript"/>
              </w:rPr>
              <w:t>d</w:t>
            </w:r>
          </w:p>
        </w:tc>
        <w:tc>
          <w:tcPr>
            <w:tcW w:w="592" w:type="pct"/>
          </w:tcPr>
          <w:p w14:paraId="2BCBDFC3" w14:textId="77777777" w:rsidR="00704B93" w:rsidRDefault="00704B93" w:rsidP="008A3FD2">
            <w:pPr>
              <w:pStyle w:val="TableParagraph"/>
              <w:spacing w:before="12" w:line="270" w:lineRule="exact"/>
              <w:ind w:left="1" w:right="79"/>
              <w:jc w:val="both"/>
              <w:rPr>
                <w:sz w:val="24"/>
              </w:rPr>
            </w:pPr>
            <w:r>
              <w:rPr>
                <w:spacing w:val="-2"/>
                <w:sz w:val="24"/>
              </w:rPr>
              <w:t>3.14</w:t>
            </w:r>
            <w:r>
              <w:rPr>
                <w:b/>
                <w:spacing w:val="-2"/>
                <w:sz w:val="24"/>
              </w:rPr>
              <w:t>±</w:t>
            </w:r>
            <w:r>
              <w:rPr>
                <w:spacing w:val="-2"/>
                <w:sz w:val="24"/>
              </w:rPr>
              <w:t>0.72</w:t>
            </w:r>
          </w:p>
        </w:tc>
        <w:tc>
          <w:tcPr>
            <w:tcW w:w="588" w:type="pct"/>
          </w:tcPr>
          <w:p w14:paraId="47540EDC" w14:textId="77777777" w:rsidR="00704B93" w:rsidRDefault="00704B93" w:rsidP="008A3FD2">
            <w:pPr>
              <w:pStyle w:val="TableParagraph"/>
              <w:spacing w:before="12" w:line="270" w:lineRule="exact"/>
              <w:ind w:left="7" w:right="78"/>
              <w:jc w:val="both"/>
              <w:rPr>
                <w:sz w:val="24"/>
              </w:rPr>
            </w:pPr>
            <w:r>
              <w:rPr>
                <w:spacing w:val="-2"/>
                <w:sz w:val="24"/>
              </w:rPr>
              <w:t>2.84</w:t>
            </w:r>
            <w:r>
              <w:rPr>
                <w:b/>
                <w:spacing w:val="-2"/>
                <w:sz w:val="24"/>
              </w:rPr>
              <w:t>±</w:t>
            </w:r>
            <w:r>
              <w:rPr>
                <w:spacing w:val="-2"/>
                <w:sz w:val="24"/>
              </w:rPr>
              <w:t>0.07</w:t>
            </w:r>
          </w:p>
        </w:tc>
        <w:tc>
          <w:tcPr>
            <w:tcW w:w="734" w:type="pct"/>
          </w:tcPr>
          <w:p w14:paraId="7ECAF1A6" w14:textId="77777777" w:rsidR="00704B93" w:rsidRDefault="00704B93" w:rsidP="008A3FD2">
            <w:pPr>
              <w:pStyle w:val="TableParagraph"/>
              <w:spacing w:before="12" w:line="270" w:lineRule="exact"/>
              <w:ind w:left="117"/>
              <w:jc w:val="both"/>
              <w:rPr>
                <w:sz w:val="24"/>
              </w:rPr>
            </w:pPr>
            <w:r>
              <w:rPr>
                <w:spacing w:val="-2"/>
                <w:sz w:val="24"/>
              </w:rPr>
              <w:t>55.75</w:t>
            </w:r>
            <w:r>
              <w:rPr>
                <w:b/>
                <w:spacing w:val="-2"/>
                <w:sz w:val="24"/>
              </w:rPr>
              <w:t>±</w:t>
            </w:r>
            <w:r>
              <w:rPr>
                <w:spacing w:val="-2"/>
                <w:sz w:val="24"/>
              </w:rPr>
              <w:t>1.55</w:t>
            </w:r>
            <w:r>
              <w:rPr>
                <w:spacing w:val="-2"/>
                <w:sz w:val="24"/>
                <w:vertAlign w:val="superscript"/>
              </w:rPr>
              <w:t>d</w:t>
            </w:r>
          </w:p>
        </w:tc>
      </w:tr>
      <w:tr w:rsidR="00704B93" w14:paraId="5FD62339" w14:textId="77777777" w:rsidTr="00F61606">
        <w:trPr>
          <w:trHeight w:val="315"/>
        </w:trPr>
        <w:tc>
          <w:tcPr>
            <w:tcW w:w="417" w:type="pct"/>
          </w:tcPr>
          <w:p w14:paraId="460B15B2" w14:textId="77777777" w:rsidR="00704B93" w:rsidRDefault="00704B93" w:rsidP="008A3FD2">
            <w:pPr>
              <w:pStyle w:val="TableParagraph"/>
              <w:jc w:val="both"/>
            </w:pPr>
          </w:p>
        </w:tc>
        <w:tc>
          <w:tcPr>
            <w:tcW w:w="668" w:type="pct"/>
          </w:tcPr>
          <w:p w14:paraId="324C34EB" w14:textId="77777777" w:rsidR="00704B93" w:rsidRDefault="00704B93" w:rsidP="008A3FD2">
            <w:pPr>
              <w:pStyle w:val="TableParagraph"/>
              <w:spacing w:before="24" w:line="271" w:lineRule="exact"/>
              <w:ind w:left="109"/>
              <w:jc w:val="both"/>
              <w:rPr>
                <w:sz w:val="24"/>
              </w:rPr>
            </w:pPr>
            <w:r>
              <w:rPr>
                <w:spacing w:val="-2"/>
                <w:sz w:val="24"/>
              </w:rPr>
              <w:t>Metformin</w:t>
            </w:r>
          </w:p>
        </w:tc>
        <w:tc>
          <w:tcPr>
            <w:tcW w:w="648" w:type="pct"/>
          </w:tcPr>
          <w:p w14:paraId="3096DA63" w14:textId="77777777" w:rsidR="00704B93" w:rsidRDefault="00704B93" w:rsidP="008A3FD2">
            <w:pPr>
              <w:pStyle w:val="TableParagraph"/>
              <w:spacing w:before="24" w:line="271" w:lineRule="exact"/>
              <w:ind w:left="108"/>
              <w:jc w:val="both"/>
              <w:rPr>
                <w:sz w:val="24"/>
              </w:rPr>
            </w:pPr>
            <w:r>
              <w:rPr>
                <w:spacing w:val="-2"/>
                <w:sz w:val="24"/>
              </w:rPr>
              <w:t>13.04±0.41</w:t>
            </w:r>
            <w:r>
              <w:rPr>
                <w:spacing w:val="-2"/>
                <w:sz w:val="24"/>
                <w:vertAlign w:val="superscript"/>
              </w:rPr>
              <w:t>d</w:t>
            </w:r>
          </w:p>
        </w:tc>
        <w:tc>
          <w:tcPr>
            <w:tcW w:w="648" w:type="pct"/>
          </w:tcPr>
          <w:p w14:paraId="2644D897" w14:textId="77777777" w:rsidR="00704B93" w:rsidRDefault="00704B93" w:rsidP="008A3FD2">
            <w:pPr>
              <w:pStyle w:val="TableParagraph"/>
              <w:spacing w:before="24" w:line="271" w:lineRule="exact"/>
              <w:ind w:left="107"/>
              <w:jc w:val="both"/>
              <w:rPr>
                <w:sz w:val="24"/>
              </w:rPr>
            </w:pPr>
            <w:r>
              <w:rPr>
                <w:spacing w:val="-2"/>
                <w:sz w:val="24"/>
              </w:rPr>
              <w:t>13.23±0.20</w:t>
            </w:r>
            <w:r>
              <w:rPr>
                <w:spacing w:val="-2"/>
                <w:sz w:val="24"/>
                <w:vertAlign w:val="superscript"/>
              </w:rPr>
              <w:t>d</w:t>
            </w:r>
          </w:p>
        </w:tc>
        <w:tc>
          <w:tcPr>
            <w:tcW w:w="704" w:type="pct"/>
          </w:tcPr>
          <w:p w14:paraId="3A35DD6A" w14:textId="77777777" w:rsidR="00704B93" w:rsidRDefault="00704B93" w:rsidP="008A3FD2">
            <w:pPr>
              <w:pStyle w:val="TableParagraph"/>
              <w:spacing w:before="24" w:line="271" w:lineRule="exact"/>
              <w:ind w:left="1"/>
              <w:jc w:val="both"/>
              <w:rPr>
                <w:sz w:val="24"/>
              </w:rPr>
            </w:pPr>
            <w:r>
              <w:rPr>
                <w:spacing w:val="-2"/>
                <w:sz w:val="24"/>
              </w:rPr>
              <w:t>101.53±1.59</w:t>
            </w:r>
            <w:r>
              <w:rPr>
                <w:spacing w:val="-2"/>
                <w:sz w:val="24"/>
                <w:vertAlign w:val="superscript"/>
              </w:rPr>
              <w:t>d</w:t>
            </w:r>
          </w:p>
        </w:tc>
        <w:tc>
          <w:tcPr>
            <w:tcW w:w="592" w:type="pct"/>
          </w:tcPr>
          <w:p w14:paraId="3F7C0D11" w14:textId="77777777" w:rsidR="00704B93" w:rsidRDefault="00704B93" w:rsidP="008A3FD2">
            <w:pPr>
              <w:pStyle w:val="TableParagraph"/>
              <w:spacing w:before="24" w:line="271" w:lineRule="exact"/>
              <w:ind w:left="1" w:right="79"/>
              <w:jc w:val="both"/>
              <w:rPr>
                <w:sz w:val="24"/>
              </w:rPr>
            </w:pPr>
            <w:r>
              <w:rPr>
                <w:spacing w:val="-2"/>
                <w:sz w:val="24"/>
              </w:rPr>
              <w:t>4.30</w:t>
            </w:r>
            <w:r>
              <w:rPr>
                <w:b/>
                <w:spacing w:val="-2"/>
                <w:sz w:val="24"/>
              </w:rPr>
              <w:t>±</w:t>
            </w:r>
            <w:r>
              <w:rPr>
                <w:spacing w:val="-2"/>
                <w:sz w:val="24"/>
              </w:rPr>
              <w:t>0.09</w:t>
            </w:r>
          </w:p>
        </w:tc>
        <w:tc>
          <w:tcPr>
            <w:tcW w:w="588" w:type="pct"/>
          </w:tcPr>
          <w:p w14:paraId="150E0BB0" w14:textId="77777777" w:rsidR="00704B93" w:rsidRDefault="00704B93" w:rsidP="008A3FD2">
            <w:pPr>
              <w:pStyle w:val="TableParagraph"/>
              <w:spacing w:before="24" w:line="271" w:lineRule="exact"/>
              <w:ind w:left="7" w:right="78"/>
              <w:jc w:val="both"/>
              <w:rPr>
                <w:sz w:val="24"/>
              </w:rPr>
            </w:pPr>
            <w:r>
              <w:rPr>
                <w:spacing w:val="-2"/>
                <w:sz w:val="24"/>
              </w:rPr>
              <w:t>3.12</w:t>
            </w:r>
            <w:r>
              <w:rPr>
                <w:b/>
                <w:spacing w:val="-2"/>
                <w:sz w:val="24"/>
              </w:rPr>
              <w:t>±</w:t>
            </w:r>
            <w:r>
              <w:rPr>
                <w:spacing w:val="-2"/>
                <w:sz w:val="24"/>
              </w:rPr>
              <w:t>0.09</w:t>
            </w:r>
          </w:p>
        </w:tc>
        <w:tc>
          <w:tcPr>
            <w:tcW w:w="734" w:type="pct"/>
          </w:tcPr>
          <w:p w14:paraId="56E30F7D" w14:textId="77777777" w:rsidR="00704B93" w:rsidRDefault="00704B93" w:rsidP="008A3FD2">
            <w:pPr>
              <w:pStyle w:val="TableParagraph"/>
              <w:spacing w:before="24" w:line="271" w:lineRule="exact"/>
              <w:ind w:left="117"/>
              <w:jc w:val="both"/>
              <w:rPr>
                <w:sz w:val="24"/>
              </w:rPr>
            </w:pPr>
            <w:r>
              <w:rPr>
                <w:spacing w:val="-2"/>
                <w:sz w:val="24"/>
              </w:rPr>
              <w:t>65.11</w:t>
            </w:r>
            <w:r>
              <w:rPr>
                <w:b/>
                <w:spacing w:val="-2"/>
                <w:sz w:val="24"/>
              </w:rPr>
              <w:t>±</w:t>
            </w:r>
            <w:r>
              <w:rPr>
                <w:spacing w:val="-2"/>
                <w:sz w:val="24"/>
              </w:rPr>
              <w:t>3.77</w:t>
            </w:r>
            <w:r>
              <w:rPr>
                <w:spacing w:val="-2"/>
                <w:sz w:val="24"/>
                <w:vertAlign w:val="superscript"/>
              </w:rPr>
              <w:t>d</w:t>
            </w:r>
          </w:p>
        </w:tc>
      </w:tr>
      <w:tr w:rsidR="00704B93" w14:paraId="3B3CF15F" w14:textId="77777777" w:rsidTr="00F61606">
        <w:trPr>
          <w:trHeight w:val="316"/>
        </w:trPr>
        <w:tc>
          <w:tcPr>
            <w:tcW w:w="417" w:type="pct"/>
            <w:tcBorders>
              <w:bottom w:val="single" w:sz="4" w:space="0" w:color="000000"/>
            </w:tcBorders>
          </w:tcPr>
          <w:p w14:paraId="3512225E" w14:textId="77777777" w:rsidR="00704B93" w:rsidRDefault="00704B93" w:rsidP="008A3FD2">
            <w:pPr>
              <w:pStyle w:val="TableParagraph"/>
              <w:jc w:val="both"/>
            </w:pPr>
          </w:p>
        </w:tc>
        <w:tc>
          <w:tcPr>
            <w:tcW w:w="668" w:type="pct"/>
            <w:tcBorders>
              <w:bottom w:val="single" w:sz="4" w:space="0" w:color="000000"/>
            </w:tcBorders>
          </w:tcPr>
          <w:p w14:paraId="13BD2FC4" w14:textId="77777777" w:rsidR="00704B93" w:rsidRDefault="00704B93" w:rsidP="008A3FD2">
            <w:pPr>
              <w:pStyle w:val="TableParagraph"/>
              <w:spacing w:before="25" w:line="271" w:lineRule="exact"/>
              <w:ind w:left="109"/>
              <w:jc w:val="both"/>
              <w:rPr>
                <w:sz w:val="24"/>
              </w:rPr>
            </w:pPr>
            <w:r>
              <w:rPr>
                <w:spacing w:val="-2"/>
                <w:sz w:val="24"/>
              </w:rPr>
              <w:t>Clomid</w:t>
            </w:r>
          </w:p>
        </w:tc>
        <w:tc>
          <w:tcPr>
            <w:tcW w:w="648" w:type="pct"/>
            <w:tcBorders>
              <w:bottom w:val="single" w:sz="4" w:space="0" w:color="000000"/>
            </w:tcBorders>
          </w:tcPr>
          <w:p w14:paraId="5BDE2DD8" w14:textId="77777777" w:rsidR="00704B93" w:rsidRDefault="00704B93" w:rsidP="008A3FD2">
            <w:pPr>
              <w:pStyle w:val="TableParagraph"/>
              <w:spacing w:before="25" w:line="271" w:lineRule="exact"/>
              <w:ind w:left="108"/>
              <w:jc w:val="both"/>
              <w:rPr>
                <w:sz w:val="24"/>
              </w:rPr>
            </w:pPr>
            <w:r>
              <w:rPr>
                <w:spacing w:val="-2"/>
                <w:sz w:val="24"/>
              </w:rPr>
              <w:t>14.70±0.21</w:t>
            </w:r>
            <w:r>
              <w:rPr>
                <w:spacing w:val="-2"/>
                <w:sz w:val="24"/>
                <w:vertAlign w:val="superscript"/>
              </w:rPr>
              <w:t>d</w:t>
            </w:r>
          </w:p>
        </w:tc>
        <w:tc>
          <w:tcPr>
            <w:tcW w:w="648" w:type="pct"/>
            <w:tcBorders>
              <w:bottom w:val="single" w:sz="4" w:space="0" w:color="000000"/>
            </w:tcBorders>
          </w:tcPr>
          <w:p w14:paraId="7591A7C9" w14:textId="77777777" w:rsidR="00704B93" w:rsidRDefault="00704B93" w:rsidP="008A3FD2">
            <w:pPr>
              <w:pStyle w:val="TableParagraph"/>
              <w:spacing w:before="25" w:line="271" w:lineRule="exact"/>
              <w:ind w:left="107"/>
              <w:jc w:val="both"/>
              <w:rPr>
                <w:sz w:val="24"/>
              </w:rPr>
            </w:pPr>
            <w:r>
              <w:rPr>
                <w:spacing w:val="-2"/>
                <w:sz w:val="24"/>
              </w:rPr>
              <w:t>14.41±0.22</w:t>
            </w:r>
            <w:r>
              <w:rPr>
                <w:spacing w:val="-2"/>
                <w:sz w:val="24"/>
                <w:vertAlign w:val="superscript"/>
              </w:rPr>
              <w:t>d</w:t>
            </w:r>
          </w:p>
        </w:tc>
        <w:tc>
          <w:tcPr>
            <w:tcW w:w="704" w:type="pct"/>
            <w:tcBorders>
              <w:bottom w:val="single" w:sz="4" w:space="0" w:color="000000"/>
            </w:tcBorders>
          </w:tcPr>
          <w:p w14:paraId="6FDEAE92" w14:textId="77777777" w:rsidR="00704B93" w:rsidRDefault="00704B93" w:rsidP="008A3FD2">
            <w:pPr>
              <w:pStyle w:val="TableParagraph"/>
              <w:spacing w:before="25" w:line="271" w:lineRule="exact"/>
              <w:ind w:left="1"/>
              <w:jc w:val="both"/>
              <w:rPr>
                <w:sz w:val="24"/>
              </w:rPr>
            </w:pPr>
            <w:r>
              <w:rPr>
                <w:spacing w:val="-2"/>
                <w:sz w:val="24"/>
              </w:rPr>
              <w:t>121.00±1.35</w:t>
            </w:r>
            <w:r>
              <w:rPr>
                <w:spacing w:val="-2"/>
                <w:sz w:val="24"/>
                <w:vertAlign w:val="superscript"/>
              </w:rPr>
              <w:t>d</w:t>
            </w:r>
          </w:p>
        </w:tc>
        <w:tc>
          <w:tcPr>
            <w:tcW w:w="592" w:type="pct"/>
            <w:tcBorders>
              <w:bottom w:val="single" w:sz="4" w:space="0" w:color="000000"/>
            </w:tcBorders>
          </w:tcPr>
          <w:p w14:paraId="4CDC0E40" w14:textId="77777777" w:rsidR="00704B93" w:rsidRDefault="00704B93" w:rsidP="008A3FD2">
            <w:pPr>
              <w:pStyle w:val="TableParagraph"/>
              <w:spacing w:before="25" w:line="271" w:lineRule="exact"/>
              <w:ind w:left="1" w:right="79"/>
              <w:jc w:val="both"/>
              <w:rPr>
                <w:sz w:val="24"/>
              </w:rPr>
            </w:pPr>
            <w:r>
              <w:rPr>
                <w:spacing w:val="-2"/>
                <w:sz w:val="24"/>
              </w:rPr>
              <w:t>5.12</w:t>
            </w:r>
            <w:r>
              <w:rPr>
                <w:b/>
                <w:spacing w:val="-2"/>
                <w:sz w:val="24"/>
              </w:rPr>
              <w:t>±</w:t>
            </w:r>
            <w:r>
              <w:rPr>
                <w:spacing w:val="-2"/>
                <w:sz w:val="24"/>
              </w:rPr>
              <w:t>0.06</w:t>
            </w:r>
          </w:p>
        </w:tc>
        <w:tc>
          <w:tcPr>
            <w:tcW w:w="588" w:type="pct"/>
            <w:tcBorders>
              <w:bottom w:val="single" w:sz="4" w:space="0" w:color="000000"/>
            </w:tcBorders>
          </w:tcPr>
          <w:p w14:paraId="311B86CA" w14:textId="77777777" w:rsidR="00704B93" w:rsidRDefault="00704B93" w:rsidP="008A3FD2">
            <w:pPr>
              <w:pStyle w:val="TableParagraph"/>
              <w:spacing w:before="25" w:line="271" w:lineRule="exact"/>
              <w:ind w:left="7" w:right="78"/>
              <w:jc w:val="both"/>
              <w:rPr>
                <w:sz w:val="24"/>
              </w:rPr>
            </w:pPr>
            <w:r>
              <w:rPr>
                <w:spacing w:val="-2"/>
                <w:sz w:val="24"/>
              </w:rPr>
              <w:t>4.50</w:t>
            </w:r>
            <w:r>
              <w:rPr>
                <w:b/>
                <w:spacing w:val="-2"/>
                <w:sz w:val="24"/>
              </w:rPr>
              <w:t>±</w:t>
            </w:r>
            <w:r>
              <w:rPr>
                <w:spacing w:val="-2"/>
                <w:sz w:val="24"/>
              </w:rPr>
              <w:t>0.08</w:t>
            </w:r>
          </w:p>
        </w:tc>
        <w:tc>
          <w:tcPr>
            <w:tcW w:w="734" w:type="pct"/>
            <w:tcBorders>
              <w:bottom w:val="single" w:sz="4" w:space="0" w:color="000000"/>
            </w:tcBorders>
          </w:tcPr>
          <w:p w14:paraId="080ECF8C" w14:textId="77777777" w:rsidR="00704B93" w:rsidRDefault="00704B93" w:rsidP="008A3FD2">
            <w:pPr>
              <w:pStyle w:val="TableParagraph"/>
              <w:spacing w:before="25" w:line="271" w:lineRule="exact"/>
              <w:ind w:left="117"/>
              <w:jc w:val="both"/>
              <w:rPr>
                <w:sz w:val="24"/>
              </w:rPr>
            </w:pPr>
            <w:r>
              <w:rPr>
                <w:spacing w:val="-2"/>
                <w:sz w:val="24"/>
              </w:rPr>
              <w:t>73.90</w:t>
            </w:r>
            <w:r>
              <w:rPr>
                <w:b/>
                <w:spacing w:val="-2"/>
                <w:sz w:val="24"/>
              </w:rPr>
              <w:t>±</w:t>
            </w:r>
            <w:r>
              <w:rPr>
                <w:spacing w:val="-2"/>
                <w:sz w:val="24"/>
              </w:rPr>
              <w:t>1.37</w:t>
            </w:r>
            <w:r>
              <w:rPr>
                <w:spacing w:val="-2"/>
                <w:sz w:val="24"/>
                <w:vertAlign w:val="superscript"/>
              </w:rPr>
              <w:t>d</w:t>
            </w:r>
          </w:p>
        </w:tc>
      </w:tr>
      <w:tr w:rsidR="00704B93" w14:paraId="7DD8C34B" w14:textId="77777777" w:rsidTr="00F61606">
        <w:trPr>
          <w:trHeight w:val="569"/>
        </w:trPr>
        <w:tc>
          <w:tcPr>
            <w:tcW w:w="417" w:type="pct"/>
            <w:tcBorders>
              <w:top w:val="single" w:sz="4" w:space="0" w:color="000000"/>
            </w:tcBorders>
          </w:tcPr>
          <w:p w14:paraId="2C04963D" w14:textId="77777777" w:rsidR="00704B93" w:rsidRDefault="00704B93" w:rsidP="008A3FD2">
            <w:pPr>
              <w:pStyle w:val="TableParagraph"/>
              <w:jc w:val="both"/>
            </w:pPr>
          </w:p>
        </w:tc>
        <w:tc>
          <w:tcPr>
            <w:tcW w:w="668" w:type="pct"/>
            <w:tcBorders>
              <w:top w:val="single" w:sz="4" w:space="0" w:color="000000"/>
            </w:tcBorders>
          </w:tcPr>
          <w:p w14:paraId="47047C00" w14:textId="77777777" w:rsidR="00704B93" w:rsidRDefault="00704B93" w:rsidP="008A3FD2">
            <w:pPr>
              <w:pStyle w:val="TableParagraph"/>
              <w:spacing w:line="276" w:lineRule="exact"/>
              <w:ind w:left="109" w:right="580"/>
              <w:jc w:val="both"/>
              <w:rPr>
                <w:sz w:val="24"/>
              </w:rPr>
            </w:pPr>
            <w:r>
              <w:rPr>
                <w:spacing w:val="-2"/>
                <w:sz w:val="24"/>
              </w:rPr>
              <w:t>Normal Control</w:t>
            </w:r>
          </w:p>
        </w:tc>
        <w:tc>
          <w:tcPr>
            <w:tcW w:w="648" w:type="pct"/>
            <w:tcBorders>
              <w:top w:val="single" w:sz="4" w:space="0" w:color="000000"/>
            </w:tcBorders>
          </w:tcPr>
          <w:p w14:paraId="1215DDAD" w14:textId="77777777" w:rsidR="00704B93" w:rsidRDefault="00704B93" w:rsidP="008A3FD2">
            <w:pPr>
              <w:pStyle w:val="TableParagraph"/>
              <w:spacing w:line="275" w:lineRule="exact"/>
              <w:ind w:left="108"/>
              <w:jc w:val="both"/>
              <w:rPr>
                <w:sz w:val="24"/>
              </w:rPr>
            </w:pPr>
            <w:r>
              <w:rPr>
                <w:spacing w:val="-2"/>
                <w:sz w:val="24"/>
              </w:rPr>
              <w:t>20.02±0.1</w:t>
            </w:r>
            <w:r>
              <w:rPr>
                <w:spacing w:val="-2"/>
                <w:sz w:val="24"/>
                <w:vertAlign w:val="superscript"/>
              </w:rPr>
              <w:t>d</w:t>
            </w:r>
          </w:p>
        </w:tc>
        <w:tc>
          <w:tcPr>
            <w:tcW w:w="648" w:type="pct"/>
            <w:tcBorders>
              <w:top w:val="single" w:sz="4" w:space="0" w:color="000000"/>
            </w:tcBorders>
          </w:tcPr>
          <w:p w14:paraId="6BE5E8DF" w14:textId="77777777" w:rsidR="00704B93" w:rsidRDefault="00704B93" w:rsidP="008A3FD2">
            <w:pPr>
              <w:pStyle w:val="TableParagraph"/>
              <w:spacing w:line="275" w:lineRule="exact"/>
              <w:ind w:left="107"/>
              <w:jc w:val="both"/>
              <w:rPr>
                <w:sz w:val="24"/>
              </w:rPr>
            </w:pPr>
            <w:r>
              <w:rPr>
                <w:spacing w:val="-2"/>
                <w:sz w:val="24"/>
              </w:rPr>
              <w:t>18.37±0.10</w:t>
            </w:r>
            <w:r>
              <w:rPr>
                <w:spacing w:val="-2"/>
                <w:sz w:val="24"/>
                <w:vertAlign w:val="superscript"/>
              </w:rPr>
              <w:t>d</w:t>
            </w:r>
          </w:p>
        </w:tc>
        <w:tc>
          <w:tcPr>
            <w:tcW w:w="704" w:type="pct"/>
            <w:tcBorders>
              <w:top w:val="single" w:sz="4" w:space="0" w:color="000000"/>
            </w:tcBorders>
          </w:tcPr>
          <w:p w14:paraId="6E23A799" w14:textId="77777777" w:rsidR="00704B93" w:rsidRDefault="00704B93" w:rsidP="008A3FD2">
            <w:pPr>
              <w:pStyle w:val="TableParagraph"/>
              <w:spacing w:line="275" w:lineRule="exact"/>
              <w:ind w:left="1"/>
              <w:jc w:val="both"/>
              <w:rPr>
                <w:sz w:val="24"/>
              </w:rPr>
            </w:pPr>
            <w:r>
              <w:rPr>
                <w:spacing w:val="-2"/>
                <w:sz w:val="24"/>
              </w:rPr>
              <w:t>112.57±2.74</w:t>
            </w:r>
            <w:r>
              <w:rPr>
                <w:spacing w:val="-2"/>
                <w:sz w:val="24"/>
                <w:vertAlign w:val="superscript"/>
              </w:rPr>
              <w:t>d</w:t>
            </w:r>
          </w:p>
        </w:tc>
        <w:tc>
          <w:tcPr>
            <w:tcW w:w="592" w:type="pct"/>
            <w:tcBorders>
              <w:top w:val="single" w:sz="4" w:space="0" w:color="000000"/>
            </w:tcBorders>
          </w:tcPr>
          <w:p w14:paraId="68E18AB2" w14:textId="77777777" w:rsidR="00704B93" w:rsidRDefault="00704B93" w:rsidP="008A3FD2">
            <w:pPr>
              <w:pStyle w:val="TableParagraph"/>
              <w:spacing w:line="275" w:lineRule="exact"/>
              <w:ind w:left="73" w:right="79"/>
              <w:jc w:val="both"/>
              <w:rPr>
                <w:sz w:val="24"/>
              </w:rPr>
            </w:pPr>
            <w:r>
              <w:rPr>
                <w:spacing w:val="-2"/>
                <w:sz w:val="24"/>
              </w:rPr>
              <w:t>9.11±0.39</w:t>
            </w:r>
            <w:r>
              <w:rPr>
                <w:spacing w:val="-2"/>
                <w:sz w:val="24"/>
                <w:vertAlign w:val="superscript"/>
              </w:rPr>
              <w:t>c</w:t>
            </w:r>
          </w:p>
        </w:tc>
        <w:tc>
          <w:tcPr>
            <w:tcW w:w="588" w:type="pct"/>
            <w:tcBorders>
              <w:top w:val="single" w:sz="4" w:space="0" w:color="000000"/>
            </w:tcBorders>
          </w:tcPr>
          <w:p w14:paraId="2F92C115" w14:textId="77777777" w:rsidR="00704B93" w:rsidRDefault="00704B93" w:rsidP="008A3FD2">
            <w:pPr>
              <w:pStyle w:val="TableParagraph"/>
              <w:spacing w:line="275" w:lineRule="exact"/>
              <w:ind w:left="71" w:right="72"/>
              <w:jc w:val="both"/>
              <w:rPr>
                <w:sz w:val="24"/>
              </w:rPr>
            </w:pPr>
            <w:r>
              <w:rPr>
                <w:spacing w:val="-2"/>
                <w:sz w:val="24"/>
              </w:rPr>
              <w:t>9.20</w:t>
            </w:r>
            <w:r>
              <w:rPr>
                <w:b/>
                <w:spacing w:val="-2"/>
                <w:sz w:val="24"/>
              </w:rPr>
              <w:t>±</w:t>
            </w:r>
            <w:r>
              <w:rPr>
                <w:spacing w:val="-2"/>
                <w:sz w:val="24"/>
              </w:rPr>
              <w:t>0.48</w:t>
            </w:r>
            <w:r>
              <w:rPr>
                <w:spacing w:val="-2"/>
                <w:sz w:val="24"/>
                <w:vertAlign w:val="superscript"/>
              </w:rPr>
              <w:t>c</w:t>
            </w:r>
          </w:p>
        </w:tc>
        <w:tc>
          <w:tcPr>
            <w:tcW w:w="734" w:type="pct"/>
            <w:tcBorders>
              <w:top w:val="single" w:sz="4" w:space="0" w:color="000000"/>
            </w:tcBorders>
          </w:tcPr>
          <w:p w14:paraId="2C06041E" w14:textId="77777777" w:rsidR="00704B93" w:rsidRDefault="00704B93" w:rsidP="008A3FD2">
            <w:pPr>
              <w:pStyle w:val="TableParagraph"/>
              <w:spacing w:line="275" w:lineRule="exact"/>
              <w:ind w:left="117"/>
              <w:jc w:val="both"/>
              <w:rPr>
                <w:sz w:val="24"/>
              </w:rPr>
            </w:pPr>
            <w:r>
              <w:rPr>
                <w:spacing w:val="-2"/>
                <w:sz w:val="24"/>
              </w:rPr>
              <w:t>84.40±1.47</w:t>
            </w:r>
            <w:r>
              <w:rPr>
                <w:spacing w:val="-2"/>
                <w:sz w:val="24"/>
                <w:vertAlign w:val="superscript"/>
              </w:rPr>
              <w:t>d</w:t>
            </w:r>
          </w:p>
        </w:tc>
      </w:tr>
      <w:tr w:rsidR="00704B93" w14:paraId="6FE88981" w14:textId="77777777" w:rsidTr="00F61606">
        <w:trPr>
          <w:trHeight w:val="608"/>
        </w:trPr>
        <w:tc>
          <w:tcPr>
            <w:tcW w:w="417" w:type="pct"/>
          </w:tcPr>
          <w:p w14:paraId="7FC910A0" w14:textId="77777777" w:rsidR="00704B93" w:rsidRDefault="00704B93" w:rsidP="008A3FD2">
            <w:pPr>
              <w:pStyle w:val="TableParagraph"/>
              <w:spacing w:before="75"/>
              <w:jc w:val="both"/>
              <w:rPr>
                <w:sz w:val="24"/>
              </w:rPr>
            </w:pPr>
          </w:p>
          <w:p w14:paraId="5F8FB80B" w14:textId="77777777" w:rsidR="00704B93" w:rsidRDefault="00704B93" w:rsidP="008A3FD2">
            <w:pPr>
              <w:pStyle w:val="TableParagraph"/>
              <w:spacing w:line="238" w:lineRule="exact"/>
              <w:ind w:left="107"/>
              <w:jc w:val="both"/>
              <w:rPr>
                <w:b/>
                <w:sz w:val="24"/>
              </w:rPr>
            </w:pPr>
            <w:r>
              <w:rPr>
                <w:b/>
                <w:spacing w:val="-5"/>
                <w:sz w:val="24"/>
              </w:rPr>
              <w:t>21</w:t>
            </w:r>
          </w:p>
        </w:tc>
        <w:tc>
          <w:tcPr>
            <w:tcW w:w="668" w:type="pct"/>
          </w:tcPr>
          <w:p w14:paraId="279469D2" w14:textId="77777777" w:rsidR="00704B93" w:rsidRDefault="00704B93" w:rsidP="008A3FD2">
            <w:pPr>
              <w:pStyle w:val="TableParagraph"/>
              <w:spacing w:before="8"/>
              <w:ind w:left="109" w:right="451"/>
              <w:jc w:val="both"/>
              <w:rPr>
                <w:sz w:val="24"/>
              </w:rPr>
            </w:pPr>
            <w:r>
              <w:rPr>
                <w:spacing w:val="-2"/>
                <w:sz w:val="24"/>
              </w:rPr>
              <w:t>Negative control</w:t>
            </w:r>
          </w:p>
        </w:tc>
        <w:tc>
          <w:tcPr>
            <w:tcW w:w="648" w:type="pct"/>
          </w:tcPr>
          <w:p w14:paraId="03AC5F61" w14:textId="77777777" w:rsidR="00704B93" w:rsidRDefault="00704B93" w:rsidP="008A3FD2">
            <w:pPr>
              <w:pStyle w:val="TableParagraph"/>
              <w:spacing w:before="8"/>
              <w:ind w:left="108"/>
              <w:jc w:val="both"/>
              <w:rPr>
                <w:b/>
                <w:sz w:val="24"/>
              </w:rPr>
            </w:pPr>
            <w:r>
              <w:rPr>
                <w:b/>
                <w:spacing w:val="-2"/>
                <w:sz w:val="24"/>
              </w:rPr>
              <w:t>3.88±0.13</w:t>
            </w:r>
          </w:p>
        </w:tc>
        <w:tc>
          <w:tcPr>
            <w:tcW w:w="648" w:type="pct"/>
          </w:tcPr>
          <w:p w14:paraId="06D3C7A9" w14:textId="77777777" w:rsidR="00704B93" w:rsidRDefault="00704B93" w:rsidP="008A3FD2">
            <w:pPr>
              <w:pStyle w:val="TableParagraph"/>
              <w:spacing w:before="8"/>
              <w:ind w:left="107"/>
              <w:jc w:val="both"/>
              <w:rPr>
                <w:b/>
                <w:sz w:val="24"/>
              </w:rPr>
            </w:pPr>
            <w:r>
              <w:rPr>
                <w:b/>
                <w:spacing w:val="-2"/>
                <w:sz w:val="24"/>
              </w:rPr>
              <w:t>5.02±0.04</w:t>
            </w:r>
          </w:p>
        </w:tc>
        <w:tc>
          <w:tcPr>
            <w:tcW w:w="704" w:type="pct"/>
          </w:tcPr>
          <w:p w14:paraId="059F5373" w14:textId="77777777" w:rsidR="00704B93" w:rsidRDefault="00704B93" w:rsidP="008A3FD2">
            <w:pPr>
              <w:pStyle w:val="TableParagraph"/>
              <w:spacing w:before="8"/>
              <w:ind w:left="1" w:right="200"/>
              <w:jc w:val="both"/>
              <w:rPr>
                <w:b/>
                <w:sz w:val="24"/>
              </w:rPr>
            </w:pPr>
            <w:r>
              <w:rPr>
                <w:b/>
                <w:spacing w:val="-2"/>
                <w:sz w:val="24"/>
              </w:rPr>
              <w:t>56.33±0.06</w:t>
            </w:r>
          </w:p>
        </w:tc>
        <w:tc>
          <w:tcPr>
            <w:tcW w:w="592" w:type="pct"/>
          </w:tcPr>
          <w:p w14:paraId="4C5106F8" w14:textId="77777777" w:rsidR="00704B93" w:rsidRDefault="00704B93" w:rsidP="008A3FD2">
            <w:pPr>
              <w:pStyle w:val="TableParagraph"/>
              <w:spacing w:before="8"/>
              <w:ind w:right="79"/>
              <w:jc w:val="both"/>
              <w:rPr>
                <w:b/>
                <w:sz w:val="24"/>
              </w:rPr>
            </w:pPr>
            <w:r>
              <w:rPr>
                <w:b/>
                <w:spacing w:val="-2"/>
                <w:sz w:val="24"/>
              </w:rPr>
              <w:t>1.20±0.17</w:t>
            </w:r>
          </w:p>
        </w:tc>
        <w:tc>
          <w:tcPr>
            <w:tcW w:w="588" w:type="pct"/>
          </w:tcPr>
          <w:p w14:paraId="5B8527AB" w14:textId="77777777" w:rsidR="00704B93" w:rsidRDefault="00704B93" w:rsidP="008A3FD2">
            <w:pPr>
              <w:pStyle w:val="TableParagraph"/>
              <w:spacing w:before="8"/>
              <w:ind w:left="7" w:right="79"/>
              <w:jc w:val="both"/>
              <w:rPr>
                <w:b/>
                <w:sz w:val="24"/>
              </w:rPr>
            </w:pPr>
            <w:r>
              <w:rPr>
                <w:b/>
                <w:spacing w:val="-2"/>
                <w:sz w:val="24"/>
              </w:rPr>
              <w:t>1.02±0.33</w:t>
            </w:r>
          </w:p>
        </w:tc>
        <w:tc>
          <w:tcPr>
            <w:tcW w:w="734" w:type="pct"/>
          </w:tcPr>
          <w:p w14:paraId="1E4FA137" w14:textId="77777777" w:rsidR="00704B93" w:rsidRDefault="00704B93" w:rsidP="008A3FD2">
            <w:pPr>
              <w:pStyle w:val="TableParagraph"/>
              <w:spacing w:before="8"/>
              <w:ind w:left="117"/>
              <w:jc w:val="both"/>
              <w:rPr>
                <w:b/>
                <w:sz w:val="24"/>
              </w:rPr>
            </w:pPr>
            <w:r>
              <w:rPr>
                <w:b/>
                <w:spacing w:val="-2"/>
                <w:sz w:val="24"/>
              </w:rPr>
              <w:t>19.57±0.46</w:t>
            </w:r>
          </w:p>
        </w:tc>
      </w:tr>
      <w:tr w:rsidR="00704B93" w14:paraId="4A1C77CF" w14:textId="77777777" w:rsidTr="00F61606">
        <w:trPr>
          <w:trHeight w:val="294"/>
        </w:trPr>
        <w:tc>
          <w:tcPr>
            <w:tcW w:w="417" w:type="pct"/>
          </w:tcPr>
          <w:p w14:paraId="46F0017D" w14:textId="77777777" w:rsidR="00704B93" w:rsidRDefault="00704B93" w:rsidP="008A3FD2">
            <w:pPr>
              <w:pStyle w:val="TableParagraph"/>
              <w:spacing w:before="18" w:line="256" w:lineRule="exact"/>
              <w:ind w:left="107"/>
              <w:jc w:val="both"/>
              <w:rPr>
                <w:b/>
                <w:sz w:val="24"/>
              </w:rPr>
            </w:pPr>
            <w:r>
              <w:rPr>
                <w:b/>
                <w:spacing w:val="-4"/>
                <w:sz w:val="24"/>
              </w:rPr>
              <w:t>days</w:t>
            </w:r>
          </w:p>
        </w:tc>
        <w:tc>
          <w:tcPr>
            <w:tcW w:w="668" w:type="pct"/>
          </w:tcPr>
          <w:p w14:paraId="0075FA58" w14:textId="77777777" w:rsidR="00704B93" w:rsidRDefault="00704B93" w:rsidP="008A3FD2">
            <w:pPr>
              <w:pStyle w:val="TableParagraph"/>
              <w:spacing w:line="268" w:lineRule="exact"/>
              <w:ind w:left="109"/>
              <w:jc w:val="both"/>
              <w:rPr>
                <w:sz w:val="24"/>
              </w:rPr>
            </w:pPr>
            <w:r>
              <w:rPr>
                <w:spacing w:val="-5"/>
                <w:sz w:val="24"/>
              </w:rPr>
              <w:t>PE1</w:t>
            </w:r>
          </w:p>
        </w:tc>
        <w:tc>
          <w:tcPr>
            <w:tcW w:w="648" w:type="pct"/>
          </w:tcPr>
          <w:p w14:paraId="4911C4F4" w14:textId="77777777" w:rsidR="00704B93" w:rsidRDefault="00704B93" w:rsidP="008A3FD2">
            <w:pPr>
              <w:pStyle w:val="TableParagraph"/>
              <w:spacing w:line="268" w:lineRule="exact"/>
              <w:ind w:left="108"/>
              <w:jc w:val="both"/>
              <w:rPr>
                <w:sz w:val="24"/>
              </w:rPr>
            </w:pPr>
            <w:r>
              <w:rPr>
                <w:spacing w:val="-2"/>
                <w:sz w:val="24"/>
              </w:rPr>
              <w:t>10.22±0.37</w:t>
            </w:r>
            <w:r>
              <w:rPr>
                <w:spacing w:val="-2"/>
                <w:sz w:val="24"/>
                <w:vertAlign w:val="superscript"/>
              </w:rPr>
              <w:t>b</w:t>
            </w:r>
          </w:p>
        </w:tc>
        <w:tc>
          <w:tcPr>
            <w:tcW w:w="648" w:type="pct"/>
          </w:tcPr>
          <w:p w14:paraId="49BDAD51" w14:textId="77777777" w:rsidR="00704B93" w:rsidRDefault="00704B93" w:rsidP="008A3FD2">
            <w:pPr>
              <w:pStyle w:val="TableParagraph"/>
              <w:spacing w:line="268" w:lineRule="exact"/>
              <w:ind w:left="107"/>
              <w:jc w:val="both"/>
              <w:rPr>
                <w:sz w:val="24"/>
              </w:rPr>
            </w:pPr>
            <w:r>
              <w:rPr>
                <w:spacing w:val="-2"/>
                <w:sz w:val="24"/>
              </w:rPr>
              <w:t>9.31±0.36</w:t>
            </w:r>
          </w:p>
        </w:tc>
        <w:tc>
          <w:tcPr>
            <w:tcW w:w="704" w:type="pct"/>
          </w:tcPr>
          <w:p w14:paraId="0CAED837" w14:textId="77777777" w:rsidR="00704B93" w:rsidRDefault="00704B93" w:rsidP="008A3FD2">
            <w:pPr>
              <w:pStyle w:val="TableParagraph"/>
              <w:spacing w:line="268" w:lineRule="exact"/>
              <w:ind w:left="83" w:right="199"/>
              <w:jc w:val="both"/>
              <w:rPr>
                <w:sz w:val="24"/>
              </w:rPr>
            </w:pPr>
            <w:r>
              <w:rPr>
                <w:spacing w:val="-2"/>
                <w:sz w:val="24"/>
              </w:rPr>
              <w:t>75.23±1.84</w:t>
            </w:r>
            <w:r>
              <w:rPr>
                <w:spacing w:val="-2"/>
                <w:sz w:val="24"/>
                <w:vertAlign w:val="superscript"/>
              </w:rPr>
              <w:t>d</w:t>
            </w:r>
          </w:p>
        </w:tc>
        <w:tc>
          <w:tcPr>
            <w:tcW w:w="592" w:type="pct"/>
          </w:tcPr>
          <w:p w14:paraId="2AA97D04" w14:textId="77777777" w:rsidR="00704B93" w:rsidRDefault="00704B93" w:rsidP="008A3FD2">
            <w:pPr>
              <w:pStyle w:val="TableParagraph"/>
              <w:spacing w:line="268" w:lineRule="exact"/>
              <w:ind w:right="79"/>
              <w:jc w:val="both"/>
              <w:rPr>
                <w:sz w:val="24"/>
              </w:rPr>
            </w:pPr>
            <w:r>
              <w:rPr>
                <w:spacing w:val="-2"/>
                <w:sz w:val="24"/>
              </w:rPr>
              <w:t>3.37±0.27</w:t>
            </w:r>
          </w:p>
        </w:tc>
        <w:tc>
          <w:tcPr>
            <w:tcW w:w="588" w:type="pct"/>
          </w:tcPr>
          <w:p w14:paraId="432DBD6C" w14:textId="77777777" w:rsidR="00704B93" w:rsidRDefault="00704B93" w:rsidP="008A3FD2">
            <w:pPr>
              <w:pStyle w:val="TableParagraph"/>
              <w:spacing w:line="268" w:lineRule="exact"/>
              <w:ind w:left="7" w:right="78"/>
              <w:jc w:val="both"/>
              <w:rPr>
                <w:sz w:val="24"/>
              </w:rPr>
            </w:pPr>
            <w:r>
              <w:rPr>
                <w:spacing w:val="-2"/>
                <w:sz w:val="24"/>
              </w:rPr>
              <w:t>3.31</w:t>
            </w:r>
            <w:r>
              <w:rPr>
                <w:b/>
                <w:spacing w:val="-2"/>
                <w:sz w:val="24"/>
              </w:rPr>
              <w:t>±</w:t>
            </w:r>
            <w:r>
              <w:rPr>
                <w:spacing w:val="-2"/>
                <w:sz w:val="24"/>
              </w:rPr>
              <w:t>0.07</w:t>
            </w:r>
          </w:p>
        </w:tc>
        <w:tc>
          <w:tcPr>
            <w:tcW w:w="734" w:type="pct"/>
          </w:tcPr>
          <w:p w14:paraId="4CC8B033" w14:textId="77777777" w:rsidR="00704B93" w:rsidRDefault="00704B93" w:rsidP="008A3FD2">
            <w:pPr>
              <w:pStyle w:val="TableParagraph"/>
              <w:spacing w:line="268" w:lineRule="exact"/>
              <w:ind w:left="117"/>
              <w:jc w:val="both"/>
              <w:rPr>
                <w:sz w:val="24"/>
              </w:rPr>
            </w:pPr>
            <w:r>
              <w:rPr>
                <w:spacing w:val="-2"/>
                <w:sz w:val="24"/>
              </w:rPr>
              <w:t>48.03±0.17</w:t>
            </w:r>
            <w:r>
              <w:rPr>
                <w:spacing w:val="-2"/>
                <w:sz w:val="24"/>
                <w:vertAlign w:val="superscript"/>
              </w:rPr>
              <w:t>d</w:t>
            </w:r>
          </w:p>
        </w:tc>
      </w:tr>
      <w:tr w:rsidR="00704B93" w14:paraId="6FAE09A8" w14:textId="77777777" w:rsidTr="00F61606">
        <w:trPr>
          <w:trHeight w:val="303"/>
        </w:trPr>
        <w:tc>
          <w:tcPr>
            <w:tcW w:w="417" w:type="pct"/>
          </w:tcPr>
          <w:p w14:paraId="412D0D87" w14:textId="77777777" w:rsidR="00704B93" w:rsidRDefault="00704B93" w:rsidP="008A3FD2">
            <w:pPr>
              <w:pStyle w:val="TableParagraph"/>
              <w:jc w:val="both"/>
            </w:pPr>
          </w:p>
        </w:tc>
        <w:tc>
          <w:tcPr>
            <w:tcW w:w="668" w:type="pct"/>
          </w:tcPr>
          <w:p w14:paraId="786CB8E6" w14:textId="77777777" w:rsidR="00704B93" w:rsidRDefault="00704B93" w:rsidP="008A3FD2">
            <w:pPr>
              <w:pStyle w:val="TableParagraph"/>
              <w:spacing w:before="12" w:line="271" w:lineRule="exact"/>
              <w:ind w:left="109"/>
              <w:jc w:val="both"/>
              <w:rPr>
                <w:sz w:val="24"/>
              </w:rPr>
            </w:pPr>
            <w:r>
              <w:rPr>
                <w:spacing w:val="-5"/>
                <w:sz w:val="24"/>
              </w:rPr>
              <w:t>PE2</w:t>
            </w:r>
          </w:p>
        </w:tc>
        <w:tc>
          <w:tcPr>
            <w:tcW w:w="648" w:type="pct"/>
          </w:tcPr>
          <w:p w14:paraId="7DFE4CFB" w14:textId="77777777" w:rsidR="00704B93" w:rsidRDefault="00704B93" w:rsidP="008A3FD2">
            <w:pPr>
              <w:pStyle w:val="TableParagraph"/>
              <w:spacing w:before="12" w:line="271" w:lineRule="exact"/>
              <w:ind w:left="108"/>
              <w:jc w:val="both"/>
              <w:rPr>
                <w:sz w:val="24"/>
              </w:rPr>
            </w:pPr>
            <w:r>
              <w:rPr>
                <w:spacing w:val="-2"/>
                <w:sz w:val="24"/>
              </w:rPr>
              <w:t>13.30±0.22</w:t>
            </w:r>
            <w:r>
              <w:rPr>
                <w:spacing w:val="-2"/>
                <w:sz w:val="24"/>
                <w:vertAlign w:val="superscript"/>
              </w:rPr>
              <w:t>d</w:t>
            </w:r>
          </w:p>
        </w:tc>
        <w:tc>
          <w:tcPr>
            <w:tcW w:w="648" w:type="pct"/>
          </w:tcPr>
          <w:p w14:paraId="1FDC3C16" w14:textId="77777777" w:rsidR="00704B93" w:rsidRDefault="00704B93" w:rsidP="008A3FD2">
            <w:pPr>
              <w:pStyle w:val="TableParagraph"/>
              <w:spacing w:before="12" w:line="271" w:lineRule="exact"/>
              <w:ind w:left="107"/>
              <w:jc w:val="both"/>
              <w:rPr>
                <w:sz w:val="24"/>
              </w:rPr>
            </w:pPr>
            <w:r>
              <w:rPr>
                <w:spacing w:val="-2"/>
                <w:sz w:val="24"/>
              </w:rPr>
              <w:t>12.74±0.24</w:t>
            </w:r>
            <w:r>
              <w:rPr>
                <w:spacing w:val="-2"/>
                <w:sz w:val="24"/>
                <w:vertAlign w:val="superscript"/>
              </w:rPr>
              <w:t>c</w:t>
            </w:r>
          </w:p>
        </w:tc>
        <w:tc>
          <w:tcPr>
            <w:tcW w:w="704" w:type="pct"/>
          </w:tcPr>
          <w:p w14:paraId="5EF9D80E" w14:textId="77777777" w:rsidR="00704B93" w:rsidRDefault="00704B93" w:rsidP="008A3FD2">
            <w:pPr>
              <w:pStyle w:val="TableParagraph"/>
              <w:spacing w:before="12" w:line="271" w:lineRule="exact"/>
              <w:ind w:left="83" w:right="199"/>
              <w:jc w:val="both"/>
              <w:rPr>
                <w:sz w:val="24"/>
              </w:rPr>
            </w:pPr>
            <w:r>
              <w:rPr>
                <w:spacing w:val="-2"/>
                <w:sz w:val="24"/>
              </w:rPr>
              <w:t>82.67±0.48</w:t>
            </w:r>
            <w:r>
              <w:rPr>
                <w:spacing w:val="-2"/>
                <w:sz w:val="24"/>
                <w:vertAlign w:val="superscript"/>
              </w:rPr>
              <w:t>d</w:t>
            </w:r>
          </w:p>
        </w:tc>
        <w:tc>
          <w:tcPr>
            <w:tcW w:w="592" w:type="pct"/>
          </w:tcPr>
          <w:p w14:paraId="31E2768A" w14:textId="77777777" w:rsidR="00704B93" w:rsidRDefault="00704B93" w:rsidP="008A3FD2">
            <w:pPr>
              <w:pStyle w:val="TableParagraph"/>
              <w:spacing w:before="12" w:line="271" w:lineRule="exact"/>
              <w:ind w:right="79"/>
              <w:jc w:val="both"/>
              <w:rPr>
                <w:sz w:val="24"/>
              </w:rPr>
            </w:pPr>
            <w:r>
              <w:rPr>
                <w:spacing w:val="-2"/>
                <w:sz w:val="24"/>
              </w:rPr>
              <w:t>5.23±0.09</w:t>
            </w:r>
          </w:p>
        </w:tc>
        <w:tc>
          <w:tcPr>
            <w:tcW w:w="588" w:type="pct"/>
          </w:tcPr>
          <w:p w14:paraId="57EA63B9" w14:textId="77777777" w:rsidR="00704B93" w:rsidRDefault="00704B93" w:rsidP="008A3FD2">
            <w:pPr>
              <w:pStyle w:val="TableParagraph"/>
              <w:spacing w:before="12" w:line="271" w:lineRule="exact"/>
              <w:ind w:left="7" w:right="78"/>
              <w:jc w:val="both"/>
              <w:rPr>
                <w:sz w:val="24"/>
              </w:rPr>
            </w:pPr>
            <w:r>
              <w:rPr>
                <w:spacing w:val="-2"/>
                <w:sz w:val="24"/>
              </w:rPr>
              <w:t>4.85</w:t>
            </w:r>
            <w:r>
              <w:rPr>
                <w:b/>
                <w:spacing w:val="-2"/>
                <w:sz w:val="24"/>
              </w:rPr>
              <w:t>±</w:t>
            </w:r>
            <w:r>
              <w:rPr>
                <w:spacing w:val="-2"/>
                <w:sz w:val="24"/>
              </w:rPr>
              <w:t>0.40</w:t>
            </w:r>
          </w:p>
        </w:tc>
        <w:tc>
          <w:tcPr>
            <w:tcW w:w="734" w:type="pct"/>
          </w:tcPr>
          <w:p w14:paraId="56009702" w14:textId="77777777" w:rsidR="00704B93" w:rsidRDefault="00704B93" w:rsidP="008A3FD2">
            <w:pPr>
              <w:pStyle w:val="TableParagraph"/>
              <w:spacing w:before="12" w:line="271" w:lineRule="exact"/>
              <w:ind w:left="117"/>
              <w:jc w:val="both"/>
              <w:rPr>
                <w:sz w:val="24"/>
              </w:rPr>
            </w:pPr>
            <w:r>
              <w:rPr>
                <w:spacing w:val="-2"/>
                <w:sz w:val="24"/>
              </w:rPr>
              <w:t>68.30±0.65</w:t>
            </w:r>
            <w:r>
              <w:rPr>
                <w:spacing w:val="-2"/>
                <w:sz w:val="24"/>
                <w:vertAlign w:val="superscript"/>
              </w:rPr>
              <w:t>d</w:t>
            </w:r>
          </w:p>
        </w:tc>
      </w:tr>
      <w:tr w:rsidR="00704B93" w14:paraId="40B0514D" w14:textId="77777777" w:rsidTr="00F61606">
        <w:trPr>
          <w:trHeight w:val="315"/>
        </w:trPr>
        <w:tc>
          <w:tcPr>
            <w:tcW w:w="417" w:type="pct"/>
          </w:tcPr>
          <w:p w14:paraId="02B55B62" w14:textId="77777777" w:rsidR="00704B93" w:rsidRDefault="00704B93" w:rsidP="008A3FD2">
            <w:pPr>
              <w:pStyle w:val="TableParagraph"/>
              <w:jc w:val="both"/>
            </w:pPr>
          </w:p>
        </w:tc>
        <w:tc>
          <w:tcPr>
            <w:tcW w:w="668" w:type="pct"/>
          </w:tcPr>
          <w:p w14:paraId="027F8111" w14:textId="77777777" w:rsidR="00704B93" w:rsidRDefault="00704B93" w:rsidP="008A3FD2">
            <w:pPr>
              <w:pStyle w:val="TableParagraph"/>
              <w:spacing w:before="25" w:line="270" w:lineRule="exact"/>
              <w:ind w:left="109"/>
              <w:jc w:val="both"/>
              <w:rPr>
                <w:sz w:val="24"/>
              </w:rPr>
            </w:pPr>
            <w:r>
              <w:rPr>
                <w:spacing w:val="-2"/>
                <w:sz w:val="24"/>
              </w:rPr>
              <w:t>Metformin</w:t>
            </w:r>
          </w:p>
        </w:tc>
        <w:tc>
          <w:tcPr>
            <w:tcW w:w="648" w:type="pct"/>
          </w:tcPr>
          <w:p w14:paraId="70872112" w14:textId="77777777" w:rsidR="00704B93" w:rsidRDefault="00704B93" w:rsidP="008A3FD2">
            <w:pPr>
              <w:pStyle w:val="TableParagraph"/>
              <w:spacing w:before="25" w:line="270" w:lineRule="exact"/>
              <w:ind w:left="108"/>
              <w:jc w:val="both"/>
              <w:rPr>
                <w:sz w:val="24"/>
              </w:rPr>
            </w:pPr>
            <w:r>
              <w:rPr>
                <w:spacing w:val="-2"/>
                <w:sz w:val="24"/>
              </w:rPr>
              <w:t>15.87±0.09</w:t>
            </w:r>
            <w:r>
              <w:rPr>
                <w:spacing w:val="-2"/>
                <w:sz w:val="24"/>
                <w:vertAlign w:val="superscript"/>
              </w:rPr>
              <w:t>d</w:t>
            </w:r>
          </w:p>
        </w:tc>
        <w:tc>
          <w:tcPr>
            <w:tcW w:w="648" w:type="pct"/>
          </w:tcPr>
          <w:p w14:paraId="0B0CB3B6" w14:textId="77777777" w:rsidR="00704B93" w:rsidRDefault="00704B93" w:rsidP="008A3FD2">
            <w:pPr>
              <w:pStyle w:val="TableParagraph"/>
              <w:spacing w:before="25" w:line="270" w:lineRule="exact"/>
              <w:ind w:left="107"/>
              <w:jc w:val="both"/>
              <w:rPr>
                <w:sz w:val="24"/>
              </w:rPr>
            </w:pPr>
            <w:r>
              <w:rPr>
                <w:spacing w:val="-2"/>
                <w:sz w:val="24"/>
              </w:rPr>
              <w:t>15.01±0.76</w:t>
            </w:r>
            <w:r>
              <w:rPr>
                <w:spacing w:val="-2"/>
                <w:sz w:val="24"/>
                <w:vertAlign w:val="superscript"/>
              </w:rPr>
              <w:t>d</w:t>
            </w:r>
          </w:p>
        </w:tc>
        <w:tc>
          <w:tcPr>
            <w:tcW w:w="704" w:type="pct"/>
          </w:tcPr>
          <w:p w14:paraId="015708FD" w14:textId="77777777" w:rsidR="00704B93" w:rsidRDefault="00704B93" w:rsidP="008A3FD2">
            <w:pPr>
              <w:pStyle w:val="TableParagraph"/>
              <w:spacing w:before="25" w:line="270" w:lineRule="exact"/>
              <w:ind w:left="83" w:right="199"/>
              <w:jc w:val="both"/>
              <w:rPr>
                <w:sz w:val="24"/>
              </w:rPr>
            </w:pPr>
            <w:r>
              <w:rPr>
                <w:spacing w:val="-2"/>
                <w:sz w:val="24"/>
              </w:rPr>
              <w:t>92.80±6.64</w:t>
            </w:r>
            <w:r>
              <w:rPr>
                <w:spacing w:val="-2"/>
                <w:sz w:val="24"/>
                <w:vertAlign w:val="superscript"/>
              </w:rPr>
              <w:t>d</w:t>
            </w:r>
          </w:p>
        </w:tc>
        <w:tc>
          <w:tcPr>
            <w:tcW w:w="592" w:type="pct"/>
          </w:tcPr>
          <w:p w14:paraId="03008A69" w14:textId="77777777" w:rsidR="00704B93" w:rsidRDefault="00704B93" w:rsidP="008A3FD2">
            <w:pPr>
              <w:pStyle w:val="TableParagraph"/>
              <w:spacing w:before="25" w:line="270" w:lineRule="exact"/>
              <w:ind w:left="73" w:right="79"/>
              <w:jc w:val="both"/>
              <w:rPr>
                <w:sz w:val="24"/>
              </w:rPr>
            </w:pPr>
            <w:r>
              <w:rPr>
                <w:spacing w:val="-2"/>
                <w:sz w:val="24"/>
              </w:rPr>
              <w:t>6.45±0.60</w:t>
            </w:r>
            <w:r>
              <w:rPr>
                <w:spacing w:val="-2"/>
                <w:sz w:val="24"/>
                <w:vertAlign w:val="superscript"/>
              </w:rPr>
              <w:t>a</w:t>
            </w:r>
          </w:p>
        </w:tc>
        <w:tc>
          <w:tcPr>
            <w:tcW w:w="588" w:type="pct"/>
          </w:tcPr>
          <w:p w14:paraId="46CA8FF9" w14:textId="77777777" w:rsidR="00704B93" w:rsidRDefault="00704B93" w:rsidP="008A3FD2">
            <w:pPr>
              <w:pStyle w:val="TableParagraph"/>
              <w:spacing w:before="25" w:line="270" w:lineRule="exact"/>
              <w:ind w:left="71" w:right="72"/>
              <w:jc w:val="both"/>
              <w:rPr>
                <w:sz w:val="24"/>
              </w:rPr>
            </w:pPr>
            <w:r>
              <w:rPr>
                <w:spacing w:val="-2"/>
                <w:sz w:val="24"/>
              </w:rPr>
              <w:t>6.55</w:t>
            </w:r>
            <w:r>
              <w:rPr>
                <w:b/>
                <w:spacing w:val="-2"/>
                <w:sz w:val="24"/>
              </w:rPr>
              <w:t>±</w:t>
            </w:r>
            <w:r>
              <w:rPr>
                <w:spacing w:val="-2"/>
                <w:sz w:val="24"/>
              </w:rPr>
              <w:t>0.29</w:t>
            </w:r>
            <w:r>
              <w:rPr>
                <w:spacing w:val="-2"/>
                <w:sz w:val="24"/>
                <w:vertAlign w:val="superscript"/>
              </w:rPr>
              <w:t>a</w:t>
            </w:r>
          </w:p>
        </w:tc>
        <w:tc>
          <w:tcPr>
            <w:tcW w:w="734" w:type="pct"/>
          </w:tcPr>
          <w:p w14:paraId="640220C7" w14:textId="77777777" w:rsidR="00704B93" w:rsidRDefault="00704B93" w:rsidP="008A3FD2">
            <w:pPr>
              <w:pStyle w:val="TableParagraph"/>
              <w:spacing w:before="25" w:line="270" w:lineRule="exact"/>
              <w:ind w:left="117"/>
              <w:jc w:val="both"/>
              <w:rPr>
                <w:sz w:val="24"/>
              </w:rPr>
            </w:pPr>
            <w:r>
              <w:rPr>
                <w:spacing w:val="-2"/>
                <w:sz w:val="24"/>
              </w:rPr>
              <w:t>75.98±1.52</w:t>
            </w:r>
            <w:r>
              <w:rPr>
                <w:spacing w:val="-2"/>
                <w:sz w:val="24"/>
                <w:vertAlign w:val="superscript"/>
              </w:rPr>
              <w:t>d</w:t>
            </w:r>
          </w:p>
        </w:tc>
      </w:tr>
      <w:tr w:rsidR="00704B93" w14:paraId="5507D0BA" w14:textId="77777777" w:rsidTr="00F61606">
        <w:trPr>
          <w:trHeight w:val="317"/>
        </w:trPr>
        <w:tc>
          <w:tcPr>
            <w:tcW w:w="417" w:type="pct"/>
            <w:tcBorders>
              <w:bottom w:val="single" w:sz="4" w:space="0" w:color="000000"/>
            </w:tcBorders>
          </w:tcPr>
          <w:p w14:paraId="472BDD1A" w14:textId="77777777" w:rsidR="00704B93" w:rsidRDefault="00704B93" w:rsidP="008A3FD2">
            <w:pPr>
              <w:pStyle w:val="TableParagraph"/>
              <w:jc w:val="both"/>
            </w:pPr>
          </w:p>
        </w:tc>
        <w:tc>
          <w:tcPr>
            <w:tcW w:w="668" w:type="pct"/>
            <w:tcBorders>
              <w:bottom w:val="single" w:sz="4" w:space="0" w:color="000000"/>
            </w:tcBorders>
          </w:tcPr>
          <w:p w14:paraId="78CDF806" w14:textId="77777777" w:rsidR="00704B93" w:rsidRDefault="00704B93" w:rsidP="008A3FD2">
            <w:pPr>
              <w:pStyle w:val="TableParagraph"/>
              <w:spacing w:before="24" w:line="273" w:lineRule="exact"/>
              <w:ind w:left="109"/>
              <w:jc w:val="both"/>
              <w:rPr>
                <w:sz w:val="24"/>
              </w:rPr>
            </w:pPr>
            <w:r>
              <w:rPr>
                <w:spacing w:val="-2"/>
                <w:sz w:val="24"/>
              </w:rPr>
              <w:t>Clomid</w:t>
            </w:r>
          </w:p>
        </w:tc>
        <w:tc>
          <w:tcPr>
            <w:tcW w:w="648" w:type="pct"/>
            <w:tcBorders>
              <w:bottom w:val="single" w:sz="4" w:space="0" w:color="000000"/>
            </w:tcBorders>
          </w:tcPr>
          <w:p w14:paraId="10B0E642" w14:textId="77777777" w:rsidR="00704B93" w:rsidRDefault="00704B93" w:rsidP="008A3FD2">
            <w:pPr>
              <w:pStyle w:val="TableParagraph"/>
              <w:spacing w:before="24" w:line="273" w:lineRule="exact"/>
              <w:ind w:left="108"/>
              <w:jc w:val="both"/>
              <w:rPr>
                <w:sz w:val="24"/>
              </w:rPr>
            </w:pPr>
            <w:r>
              <w:rPr>
                <w:spacing w:val="-2"/>
                <w:sz w:val="24"/>
              </w:rPr>
              <w:t>19.12±0.36</w:t>
            </w:r>
            <w:r>
              <w:rPr>
                <w:spacing w:val="-2"/>
                <w:sz w:val="24"/>
                <w:vertAlign w:val="superscript"/>
              </w:rPr>
              <w:t>d</w:t>
            </w:r>
          </w:p>
        </w:tc>
        <w:tc>
          <w:tcPr>
            <w:tcW w:w="648" w:type="pct"/>
            <w:tcBorders>
              <w:bottom w:val="single" w:sz="4" w:space="0" w:color="000000"/>
            </w:tcBorders>
          </w:tcPr>
          <w:p w14:paraId="6D7E30FD" w14:textId="77777777" w:rsidR="00704B93" w:rsidRDefault="00704B93" w:rsidP="008A3FD2">
            <w:pPr>
              <w:pStyle w:val="TableParagraph"/>
              <w:spacing w:before="24" w:line="273" w:lineRule="exact"/>
              <w:ind w:left="107"/>
              <w:jc w:val="both"/>
              <w:rPr>
                <w:sz w:val="24"/>
              </w:rPr>
            </w:pPr>
            <w:r>
              <w:rPr>
                <w:spacing w:val="-2"/>
                <w:sz w:val="24"/>
              </w:rPr>
              <w:t>16.19±0.26</w:t>
            </w:r>
            <w:r>
              <w:rPr>
                <w:spacing w:val="-2"/>
                <w:sz w:val="24"/>
                <w:vertAlign w:val="superscript"/>
              </w:rPr>
              <w:t>d</w:t>
            </w:r>
          </w:p>
        </w:tc>
        <w:tc>
          <w:tcPr>
            <w:tcW w:w="704" w:type="pct"/>
            <w:tcBorders>
              <w:bottom w:val="single" w:sz="4" w:space="0" w:color="000000"/>
            </w:tcBorders>
          </w:tcPr>
          <w:p w14:paraId="1D2A50E6" w14:textId="77777777" w:rsidR="00704B93" w:rsidRDefault="00704B93" w:rsidP="008A3FD2">
            <w:pPr>
              <w:pStyle w:val="TableParagraph"/>
              <w:spacing w:before="24" w:line="273" w:lineRule="exact"/>
              <w:ind w:left="1"/>
              <w:jc w:val="both"/>
              <w:rPr>
                <w:sz w:val="24"/>
              </w:rPr>
            </w:pPr>
            <w:r>
              <w:rPr>
                <w:spacing w:val="-2"/>
                <w:sz w:val="24"/>
              </w:rPr>
              <w:t>102.40±1.61</w:t>
            </w:r>
            <w:r>
              <w:rPr>
                <w:spacing w:val="-2"/>
                <w:sz w:val="24"/>
                <w:vertAlign w:val="superscript"/>
              </w:rPr>
              <w:t>d</w:t>
            </w:r>
          </w:p>
        </w:tc>
        <w:tc>
          <w:tcPr>
            <w:tcW w:w="592" w:type="pct"/>
            <w:tcBorders>
              <w:bottom w:val="single" w:sz="4" w:space="0" w:color="000000"/>
            </w:tcBorders>
          </w:tcPr>
          <w:p w14:paraId="7B6E4C1C" w14:textId="77777777" w:rsidR="00704B93" w:rsidRDefault="00704B93" w:rsidP="008A3FD2">
            <w:pPr>
              <w:pStyle w:val="TableParagraph"/>
              <w:spacing w:before="24" w:line="273" w:lineRule="exact"/>
              <w:ind w:left="79" w:right="79"/>
              <w:jc w:val="both"/>
              <w:rPr>
                <w:sz w:val="24"/>
              </w:rPr>
            </w:pPr>
            <w:r>
              <w:rPr>
                <w:spacing w:val="-2"/>
                <w:sz w:val="24"/>
              </w:rPr>
              <w:t>7.96±0.43</w:t>
            </w:r>
            <w:r>
              <w:rPr>
                <w:spacing w:val="-2"/>
                <w:sz w:val="24"/>
                <w:vertAlign w:val="superscript"/>
              </w:rPr>
              <w:t>b</w:t>
            </w:r>
          </w:p>
        </w:tc>
        <w:tc>
          <w:tcPr>
            <w:tcW w:w="588" w:type="pct"/>
            <w:tcBorders>
              <w:bottom w:val="single" w:sz="4" w:space="0" w:color="000000"/>
            </w:tcBorders>
          </w:tcPr>
          <w:p w14:paraId="516AD617" w14:textId="77777777" w:rsidR="00704B93" w:rsidRDefault="00704B93" w:rsidP="008A3FD2">
            <w:pPr>
              <w:pStyle w:val="TableParagraph"/>
              <w:spacing w:before="24" w:line="273" w:lineRule="exact"/>
              <w:ind w:left="79" w:right="72"/>
              <w:jc w:val="both"/>
              <w:rPr>
                <w:sz w:val="24"/>
              </w:rPr>
            </w:pPr>
            <w:r>
              <w:rPr>
                <w:spacing w:val="-2"/>
                <w:sz w:val="24"/>
              </w:rPr>
              <w:t>7.44</w:t>
            </w:r>
            <w:r>
              <w:rPr>
                <w:b/>
                <w:spacing w:val="-2"/>
                <w:sz w:val="24"/>
              </w:rPr>
              <w:t>±</w:t>
            </w:r>
            <w:r>
              <w:rPr>
                <w:spacing w:val="-2"/>
                <w:sz w:val="24"/>
              </w:rPr>
              <w:t>0.07</w:t>
            </w:r>
            <w:r>
              <w:rPr>
                <w:spacing w:val="-2"/>
                <w:sz w:val="24"/>
                <w:vertAlign w:val="superscript"/>
              </w:rPr>
              <w:t>b</w:t>
            </w:r>
          </w:p>
        </w:tc>
        <w:tc>
          <w:tcPr>
            <w:tcW w:w="734" w:type="pct"/>
            <w:tcBorders>
              <w:bottom w:val="single" w:sz="4" w:space="0" w:color="000000"/>
            </w:tcBorders>
          </w:tcPr>
          <w:p w14:paraId="0AA41D61" w14:textId="77777777" w:rsidR="00704B93" w:rsidRDefault="00704B93" w:rsidP="008A3FD2">
            <w:pPr>
              <w:pStyle w:val="TableParagraph"/>
              <w:spacing w:before="24" w:line="273" w:lineRule="exact"/>
              <w:ind w:left="117"/>
              <w:jc w:val="both"/>
              <w:rPr>
                <w:sz w:val="24"/>
              </w:rPr>
            </w:pPr>
            <w:r>
              <w:rPr>
                <w:spacing w:val="-2"/>
                <w:sz w:val="24"/>
              </w:rPr>
              <w:t>78.47±0.61</w:t>
            </w:r>
            <w:r>
              <w:rPr>
                <w:spacing w:val="-2"/>
                <w:sz w:val="24"/>
                <w:vertAlign w:val="superscript"/>
              </w:rPr>
              <w:t>d</w:t>
            </w:r>
          </w:p>
        </w:tc>
      </w:tr>
      <w:tr w:rsidR="00704B93" w14:paraId="71C0EA19" w14:textId="77777777" w:rsidTr="00F61606">
        <w:trPr>
          <w:trHeight w:val="568"/>
        </w:trPr>
        <w:tc>
          <w:tcPr>
            <w:tcW w:w="417" w:type="pct"/>
            <w:tcBorders>
              <w:top w:val="single" w:sz="4" w:space="0" w:color="000000"/>
            </w:tcBorders>
          </w:tcPr>
          <w:p w14:paraId="27DF5C25" w14:textId="77777777" w:rsidR="00704B93" w:rsidRDefault="00704B93" w:rsidP="008A3FD2">
            <w:pPr>
              <w:pStyle w:val="TableParagraph"/>
              <w:jc w:val="both"/>
            </w:pPr>
          </w:p>
        </w:tc>
        <w:tc>
          <w:tcPr>
            <w:tcW w:w="668" w:type="pct"/>
            <w:tcBorders>
              <w:top w:val="single" w:sz="4" w:space="0" w:color="000000"/>
            </w:tcBorders>
          </w:tcPr>
          <w:p w14:paraId="3EDEB27C" w14:textId="77777777" w:rsidR="00704B93" w:rsidRDefault="00704B93" w:rsidP="008A3FD2">
            <w:pPr>
              <w:pStyle w:val="TableParagraph"/>
              <w:spacing w:line="276" w:lineRule="exact"/>
              <w:ind w:left="109" w:right="580"/>
              <w:jc w:val="both"/>
              <w:rPr>
                <w:sz w:val="24"/>
              </w:rPr>
            </w:pPr>
            <w:r>
              <w:rPr>
                <w:spacing w:val="-2"/>
                <w:sz w:val="24"/>
              </w:rPr>
              <w:t>Normal Control</w:t>
            </w:r>
          </w:p>
        </w:tc>
        <w:tc>
          <w:tcPr>
            <w:tcW w:w="648" w:type="pct"/>
            <w:tcBorders>
              <w:top w:val="single" w:sz="4" w:space="0" w:color="000000"/>
            </w:tcBorders>
          </w:tcPr>
          <w:p w14:paraId="00721DFC" w14:textId="77777777" w:rsidR="00704B93" w:rsidRDefault="00704B93" w:rsidP="008A3FD2">
            <w:pPr>
              <w:pStyle w:val="TableParagraph"/>
              <w:spacing w:line="275" w:lineRule="exact"/>
              <w:ind w:left="108"/>
              <w:jc w:val="both"/>
              <w:rPr>
                <w:sz w:val="24"/>
              </w:rPr>
            </w:pPr>
            <w:r>
              <w:rPr>
                <w:spacing w:val="-2"/>
                <w:sz w:val="24"/>
              </w:rPr>
              <w:t>17.65±0.27</w:t>
            </w:r>
            <w:r>
              <w:rPr>
                <w:spacing w:val="-2"/>
                <w:sz w:val="24"/>
                <w:vertAlign w:val="superscript"/>
              </w:rPr>
              <w:t>d</w:t>
            </w:r>
          </w:p>
        </w:tc>
        <w:tc>
          <w:tcPr>
            <w:tcW w:w="648" w:type="pct"/>
            <w:tcBorders>
              <w:top w:val="single" w:sz="4" w:space="0" w:color="000000"/>
            </w:tcBorders>
          </w:tcPr>
          <w:p w14:paraId="34F50558" w14:textId="77777777" w:rsidR="00704B93" w:rsidRDefault="00704B93" w:rsidP="008A3FD2">
            <w:pPr>
              <w:pStyle w:val="TableParagraph"/>
              <w:spacing w:line="275" w:lineRule="exact"/>
              <w:ind w:left="107"/>
              <w:jc w:val="both"/>
              <w:rPr>
                <w:sz w:val="24"/>
              </w:rPr>
            </w:pPr>
            <w:r>
              <w:rPr>
                <w:spacing w:val="-2"/>
                <w:sz w:val="24"/>
              </w:rPr>
              <w:t>21.32±1.60</w:t>
            </w:r>
            <w:r>
              <w:rPr>
                <w:spacing w:val="-2"/>
                <w:sz w:val="24"/>
                <w:vertAlign w:val="superscript"/>
              </w:rPr>
              <w:t>d</w:t>
            </w:r>
          </w:p>
        </w:tc>
        <w:tc>
          <w:tcPr>
            <w:tcW w:w="704" w:type="pct"/>
            <w:tcBorders>
              <w:top w:val="single" w:sz="4" w:space="0" w:color="000000"/>
            </w:tcBorders>
          </w:tcPr>
          <w:p w14:paraId="36DACEAC" w14:textId="77777777" w:rsidR="00704B93" w:rsidRDefault="00704B93" w:rsidP="008A3FD2">
            <w:pPr>
              <w:pStyle w:val="TableParagraph"/>
              <w:spacing w:line="275" w:lineRule="exact"/>
              <w:ind w:left="1"/>
              <w:jc w:val="both"/>
              <w:rPr>
                <w:sz w:val="24"/>
              </w:rPr>
            </w:pPr>
            <w:r>
              <w:rPr>
                <w:spacing w:val="-2"/>
                <w:sz w:val="24"/>
              </w:rPr>
              <w:t>155.13±0.48</w:t>
            </w:r>
            <w:r>
              <w:rPr>
                <w:spacing w:val="-2"/>
                <w:sz w:val="24"/>
                <w:vertAlign w:val="superscript"/>
              </w:rPr>
              <w:t>d</w:t>
            </w:r>
          </w:p>
        </w:tc>
        <w:tc>
          <w:tcPr>
            <w:tcW w:w="592" w:type="pct"/>
            <w:tcBorders>
              <w:top w:val="single" w:sz="4" w:space="0" w:color="000000"/>
            </w:tcBorders>
          </w:tcPr>
          <w:p w14:paraId="03376954" w14:textId="77777777" w:rsidR="00704B93" w:rsidRDefault="00704B93" w:rsidP="008A3FD2">
            <w:pPr>
              <w:pStyle w:val="TableParagraph"/>
              <w:spacing w:line="275" w:lineRule="exact"/>
              <w:ind w:left="79" w:right="79"/>
              <w:jc w:val="both"/>
              <w:rPr>
                <w:sz w:val="24"/>
              </w:rPr>
            </w:pPr>
            <w:r>
              <w:rPr>
                <w:spacing w:val="-2"/>
                <w:sz w:val="24"/>
              </w:rPr>
              <w:t>8.20±0.09</w:t>
            </w:r>
            <w:r>
              <w:rPr>
                <w:spacing w:val="-2"/>
                <w:sz w:val="24"/>
                <w:vertAlign w:val="superscript"/>
              </w:rPr>
              <w:t>b</w:t>
            </w:r>
          </w:p>
        </w:tc>
        <w:tc>
          <w:tcPr>
            <w:tcW w:w="588" w:type="pct"/>
            <w:tcBorders>
              <w:top w:val="single" w:sz="4" w:space="0" w:color="000000"/>
            </w:tcBorders>
          </w:tcPr>
          <w:p w14:paraId="7FD06639" w14:textId="77777777" w:rsidR="00704B93" w:rsidRDefault="00704B93" w:rsidP="008A3FD2">
            <w:pPr>
              <w:pStyle w:val="TableParagraph"/>
              <w:spacing w:line="275" w:lineRule="exact"/>
              <w:ind w:left="79" w:right="72"/>
              <w:jc w:val="both"/>
              <w:rPr>
                <w:sz w:val="24"/>
              </w:rPr>
            </w:pPr>
            <w:r>
              <w:rPr>
                <w:spacing w:val="-2"/>
                <w:sz w:val="24"/>
              </w:rPr>
              <w:t>8.46</w:t>
            </w:r>
            <w:r>
              <w:rPr>
                <w:b/>
                <w:spacing w:val="-2"/>
                <w:sz w:val="24"/>
              </w:rPr>
              <w:t>±</w:t>
            </w:r>
            <w:r>
              <w:rPr>
                <w:spacing w:val="-2"/>
                <w:sz w:val="24"/>
              </w:rPr>
              <w:t>0.37</w:t>
            </w:r>
            <w:r>
              <w:rPr>
                <w:spacing w:val="-2"/>
                <w:sz w:val="24"/>
                <w:vertAlign w:val="superscript"/>
              </w:rPr>
              <w:t>b</w:t>
            </w:r>
          </w:p>
        </w:tc>
        <w:tc>
          <w:tcPr>
            <w:tcW w:w="734" w:type="pct"/>
            <w:tcBorders>
              <w:top w:val="single" w:sz="4" w:space="0" w:color="000000"/>
            </w:tcBorders>
          </w:tcPr>
          <w:p w14:paraId="78EE8713" w14:textId="77777777" w:rsidR="00704B93" w:rsidRDefault="00704B93" w:rsidP="008A3FD2">
            <w:pPr>
              <w:pStyle w:val="TableParagraph"/>
              <w:spacing w:line="275" w:lineRule="exact"/>
              <w:ind w:left="117"/>
              <w:jc w:val="both"/>
              <w:rPr>
                <w:sz w:val="24"/>
              </w:rPr>
            </w:pPr>
            <w:r>
              <w:rPr>
                <w:spacing w:val="-2"/>
                <w:sz w:val="24"/>
              </w:rPr>
              <w:t>57.20±0.53</w:t>
            </w:r>
            <w:r>
              <w:rPr>
                <w:spacing w:val="-2"/>
                <w:sz w:val="24"/>
                <w:vertAlign w:val="superscript"/>
              </w:rPr>
              <w:t>d</w:t>
            </w:r>
          </w:p>
        </w:tc>
      </w:tr>
      <w:tr w:rsidR="00704B93" w14:paraId="1EF94096" w14:textId="77777777" w:rsidTr="00F61606">
        <w:trPr>
          <w:trHeight w:val="607"/>
        </w:trPr>
        <w:tc>
          <w:tcPr>
            <w:tcW w:w="417" w:type="pct"/>
          </w:tcPr>
          <w:p w14:paraId="10E1A736" w14:textId="77777777" w:rsidR="00704B93" w:rsidRDefault="00704B93" w:rsidP="008A3FD2">
            <w:pPr>
              <w:pStyle w:val="TableParagraph"/>
              <w:spacing w:before="73"/>
              <w:jc w:val="both"/>
              <w:rPr>
                <w:sz w:val="24"/>
              </w:rPr>
            </w:pPr>
          </w:p>
          <w:p w14:paraId="3BD88C46" w14:textId="77777777" w:rsidR="00704B93" w:rsidRDefault="00704B93" w:rsidP="008A3FD2">
            <w:pPr>
              <w:pStyle w:val="TableParagraph"/>
              <w:spacing w:before="1" w:line="238" w:lineRule="exact"/>
              <w:ind w:left="107"/>
              <w:jc w:val="both"/>
              <w:rPr>
                <w:b/>
                <w:sz w:val="24"/>
              </w:rPr>
            </w:pPr>
            <w:r>
              <w:rPr>
                <w:b/>
                <w:spacing w:val="-5"/>
                <w:sz w:val="24"/>
              </w:rPr>
              <w:t>28</w:t>
            </w:r>
          </w:p>
        </w:tc>
        <w:tc>
          <w:tcPr>
            <w:tcW w:w="668" w:type="pct"/>
          </w:tcPr>
          <w:p w14:paraId="7D8A221B" w14:textId="77777777" w:rsidR="00704B93" w:rsidRDefault="00704B93" w:rsidP="008A3FD2">
            <w:pPr>
              <w:pStyle w:val="TableParagraph"/>
              <w:spacing w:before="6"/>
              <w:ind w:left="109" w:right="425"/>
              <w:jc w:val="both"/>
              <w:rPr>
                <w:b/>
                <w:sz w:val="24"/>
              </w:rPr>
            </w:pPr>
            <w:r>
              <w:rPr>
                <w:b/>
                <w:spacing w:val="-2"/>
                <w:sz w:val="24"/>
              </w:rPr>
              <w:t>Negative control</w:t>
            </w:r>
          </w:p>
        </w:tc>
        <w:tc>
          <w:tcPr>
            <w:tcW w:w="648" w:type="pct"/>
          </w:tcPr>
          <w:p w14:paraId="374B6D5B" w14:textId="77777777" w:rsidR="00704B93" w:rsidRDefault="00704B93" w:rsidP="008A3FD2">
            <w:pPr>
              <w:pStyle w:val="TableParagraph"/>
              <w:spacing w:before="6"/>
              <w:ind w:left="108"/>
              <w:jc w:val="both"/>
              <w:rPr>
                <w:b/>
                <w:sz w:val="24"/>
              </w:rPr>
            </w:pPr>
            <w:r>
              <w:rPr>
                <w:b/>
                <w:spacing w:val="-2"/>
                <w:sz w:val="24"/>
              </w:rPr>
              <w:t>4.88±0.15</w:t>
            </w:r>
          </w:p>
        </w:tc>
        <w:tc>
          <w:tcPr>
            <w:tcW w:w="648" w:type="pct"/>
          </w:tcPr>
          <w:p w14:paraId="63AF0629" w14:textId="77777777" w:rsidR="00704B93" w:rsidRDefault="00704B93" w:rsidP="008A3FD2">
            <w:pPr>
              <w:pStyle w:val="TableParagraph"/>
              <w:spacing w:before="6"/>
              <w:ind w:left="107"/>
              <w:jc w:val="both"/>
              <w:rPr>
                <w:b/>
                <w:sz w:val="24"/>
              </w:rPr>
            </w:pPr>
            <w:r>
              <w:rPr>
                <w:b/>
                <w:spacing w:val="-2"/>
                <w:sz w:val="24"/>
              </w:rPr>
              <w:t>4.99±0.07</w:t>
            </w:r>
          </w:p>
        </w:tc>
        <w:tc>
          <w:tcPr>
            <w:tcW w:w="704" w:type="pct"/>
          </w:tcPr>
          <w:p w14:paraId="4C8C4562" w14:textId="77777777" w:rsidR="00704B93" w:rsidRDefault="00704B93" w:rsidP="008A3FD2">
            <w:pPr>
              <w:pStyle w:val="TableParagraph"/>
              <w:spacing w:before="6"/>
              <w:ind w:left="1" w:right="200"/>
              <w:jc w:val="both"/>
              <w:rPr>
                <w:b/>
                <w:sz w:val="24"/>
              </w:rPr>
            </w:pPr>
            <w:r>
              <w:rPr>
                <w:b/>
                <w:spacing w:val="-2"/>
                <w:sz w:val="24"/>
              </w:rPr>
              <w:t>60.63±0.52</w:t>
            </w:r>
          </w:p>
        </w:tc>
        <w:tc>
          <w:tcPr>
            <w:tcW w:w="592" w:type="pct"/>
          </w:tcPr>
          <w:p w14:paraId="3C4EAF6C" w14:textId="77777777" w:rsidR="00704B93" w:rsidRDefault="00704B93" w:rsidP="008A3FD2">
            <w:pPr>
              <w:pStyle w:val="TableParagraph"/>
              <w:spacing w:before="6"/>
              <w:ind w:right="79"/>
              <w:jc w:val="both"/>
              <w:rPr>
                <w:b/>
                <w:sz w:val="24"/>
              </w:rPr>
            </w:pPr>
            <w:r>
              <w:rPr>
                <w:b/>
                <w:spacing w:val="-2"/>
                <w:sz w:val="24"/>
              </w:rPr>
              <w:t>1.99±0.06</w:t>
            </w:r>
          </w:p>
        </w:tc>
        <w:tc>
          <w:tcPr>
            <w:tcW w:w="588" w:type="pct"/>
          </w:tcPr>
          <w:p w14:paraId="31AC8E83" w14:textId="77777777" w:rsidR="00704B93" w:rsidRDefault="00704B93" w:rsidP="008A3FD2">
            <w:pPr>
              <w:pStyle w:val="TableParagraph"/>
              <w:spacing w:before="6"/>
              <w:ind w:left="7" w:right="79"/>
              <w:jc w:val="both"/>
              <w:rPr>
                <w:b/>
                <w:sz w:val="24"/>
              </w:rPr>
            </w:pPr>
            <w:r>
              <w:rPr>
                <w:b/>
                <w:spacing w:val="-2"/>
                <w:sz w:val="24"/>
              </w:rPr>
              <w:t>2.16±0.13</w:t>
            </w:r>
          </w:p>
        </w:tc>
        <w:tc>
          <w:tcPr>
            <w:tcW w:w="734" w:type="pct"/>
          </w:tcPr>
          <w:p w14:paraId="43E40DFB" w14:textId="77777777" w:rsidR="00704B93" w:rsidRDefault="00704B93" w:rsidP="008A3FD2">
            <w:pPr>
              <w:pStyle w:val="TableParagraph"/>
              <w:spacing w:before="6"/>
              <w:ind w:left="117"/>
              <w:jc w:val="both"/>
              <w:rPr>
                <w:b/>
                <w:sz w:val="24"/>
              </w:rPr>
            </w:pPr>
            <w:r>
              <w:rPr>
                <w:b/>
                <w:spacing w:val="-2"/>
                <w:sz w:val="24"/>
              </w:rPr>
              <w:t>18.17±0.28</w:t>
            </w:r>
          </w:p>
        </w:tc>
      </w:tr>
      <w:tr w:rsidR="00704B93" w14:paraId="251C2CE0" w14:textId="77777777" w:rsidTr="00F61606">
        <w:trPr>
          <w:trHeight w:val="294"/>
        </w:trPr>
        <w:tc>
          <w:tcPr>
            <w:tcW w:w="417" w:type="pct"/>
          </w:tcPr>
          <w:p w14:paraId="5B2F6B45" w14:textId="77777777" w:rsidR="00704B93" w:rsidRDefault="00704B93" w:rsidP="008A3FD2">
            <w:pPr>
              <w:pStyle w:val="TableParagraph"/>
              <w:spacing w:before="18" w:line="256" w:lineRule="exact"/>
              <w:ind w:left="107"/>
              <w:jc w:val="both"/>
              <w:rPr>
                <w:b/>
                <w:sz w:val="24"/>
              </w:rPr>
            </w:pPr>
            <w:r>
              <w:rPr>
                <w:b/>
                <w:spacing w:val="-4"/>
                <w:sz w:val="24"/>
              </w:rPr>
              <w:t>days</w:t>
            </w:r>
          </w:p>
        </w:tc>
        <w:tc>
          <w:tcPr>
            <w:tcW w:w="668" w:type="pct"/>
          </w:tcPr>
          <w:p w14:paraId="4533196C" w14:textId="77777777" w:rsidR="00704B93" w:rsidRDefault="00704B93" w:rsidP="008A3FD2">
            <w:pPr>
              <w:pStyle w:val="TableParagraph"/>
              <w:spacing w:line="268" w:lineRule="exact"/>
              <w:ind w:left="109"/>
              <w:jc w:val="both"/>
              <w:rPr>
                <w:sz w:val="24"/>
              </w:rPr>
            </w:pPr>
            <w:r>
              <w:rPr>
                <w:spacing w:val="-5"/>
                <w:sz w:val="24"/>
              </w:rPr>
              <w:t>PE1</w:t>
            </w:r>
          </w:p>
        </w:tc>
        <w:tc>
          <w:tcPr>
            <w:tcW w:w="648" w:type="pct"/>
          </w:tcPr>
          <w:p w14:paraId="54631887" w14:textId="77777777" w:rsidR="00704B93" w:rsidRDefault="00704B93" w:rsidP="008A3FD2">
            <w:pPr>
              <w:pStyle w:val="TableParagraph"/>
              <w:spacing w:line="268" w:lineRule="exact"/>
              <w:ind w:left="108"/>
              <w:jc w:val="both"/>
              <w:rPr>
                <w:sz w:val="24"/>
              </w:rPr>
            </w:pPr>
            <w:r>
              <w:rPr>
                <w:spacing w:val="-2"/>
                <w:sz w:val="24"/>
              </w:rPr>
              <w:t>9.41±0.27</w:t>
            </w:r>
          </w:p>
        </w:tc>
        <w:tc>
          <w:tcPr>
            <w:tcW w:w="648" w:type="pct"/>
          </w:tcPr>
          <w:p w14:paraId="78B0DA24" w14:textId="77777777" w:rsidR="00704B93" w:rsidRDefault="00704B93" w:rsidP="008A3FD2">
            <w:pPr>
              <w:pStyle w:val="TableParagraph"/>
              <w:spacing w:line="268" w:lineRule="exact"/>
              <w:ind w:left="107"/>
              <w:jc w:val="both"/>
              <w:rPr>
                <w:sz w:val="24"/>
              </w:rPr>
            </w:pPr>
            <w:r>
              <w:rPr>
                <w:spacing w:val="-2"/>
                <w:sz w:val="24"/>
              </w:rPr>
              <w:t>9.92±0.09</w:t>
            </w:r>
          </w:p>
        </w:tc>
        <w:tc>
          <w:tcPr>
            <w:tcW w:w="704" w:type="pct"/>
          </w:tcPr>
          <w:p w14:paraId="33AD94E2" w14:textId="77777777" w:rsidR="00704B93" w:rsidRDefault="00704B93" w:rsidP="008A3FD2">
            <w:pPr>
              <w:pStyle w:val="TableParagraph"/>
              <w:spacing w:line="268" w:lineRule="exact"/>
              <w:ind w:left="83" w:right="199"/>
              <w:jc w:val="both"/>
              <w:rPr>
                <w:sz w:val="24"/>
              </w:rPr>
            </w:pPr>
            <w:r>
              <w:rPr>
                <w:spacing w:val="-2"/>
                <w:sz w:val="24"/>
              </w:rPr>
              <w:t>98.13±0.93</w:t>
            </w:r>
            <w:r>
              <w:rPr>
                <w:spacing w:val="-2"/>
                <w:sz w:val="24"/>
                <w:vertAlign w:val="superscript"/>
              </w:rPr>
              <w:t>d</w:t>
            </w:r>
          </w:p>
        </w:tc>
        <w:tc>
          <w:tcPr>
            <w:tcW w:w="592" w:type="pct"/>
          </w:tcPr>
          <w:p w14:paraId="25357B0B" w14:textId="77777777" w:rsidR="00704B93" w:rsidRDefault="00704B93" w:rsidP="008A3FD2">
            <w:pPr>
              <w:pStyle w:val="TableParagraph"/>
              <w:spacing w:line="268" w:lineRule="exact"/>
              <w:ind w:right="79"/>
              <w:jc w:val="both"/>
              <w:rPr>
                <w:sz w:val="24"/>
              </w:rPr>
            </w:pPr>
            <w:r>
              <w:rPr>
                <w:spacing w:val="-2"/>
                <w:sz w:val="24"/>
              </w:rPr>
              <w:t>3.21±0.11</w:t>
            </w:r>
          </w:p>
        </w:tc>
        <w:tc>
          <w:tcPr>
            <w:tcW w:w="588" w:type="pct"/>
          </w:tcPr>
          <w:p w14:paraId="0FBE1FC7" w14:textId="77777777" w:rsidR="00704B93" w:rsidRDefault="00704B93" w:rsidP="008A3FD2">
            <w:pPr>
              <w:pStyle w:val="TableParagraph"/>
              <w:spacing w:line="268" w:lineRule="exact"/>
              <w:ind w:left="7" w:right="78"/>
              <w:jc w:val="both"/>
              <w:rPr>
                <w:sz w:val="24"/>
              </w:rPr>
            </w:pPr>
            <w:r>
              <w:rPr>
                <w:spacing w:val="-2"/>
                <w:sz w:val="24"/>
              </w:rPr>
              <w:t>3.09</w:t>
            </w:r>
            <w:r>
              <w:rPr>
                <w:b/>
                <w:spacing w:val="-2"/>
                <w:sz w:val="24"/>
              </w:rPr>
              <w:t>±</w:t>
            </w:r>
            <w:r>
              <w:rPr>
                <w:spacing w:val="-2"/>
                <w:sz w:val="24"/>
              </w:rPr>
              <w:t>0.06</w:t>
            </w:r>
          </w:p>
        </w:tc>
        <w:tc>
          <w:tcPr>
            <w:tcW w:w="734" w:type="pct"/>
          </w:tcPr>
          <w:p w14:paraId="0BD5D369" w14:textId="77777777" w:rsidR="00704B93" w:rsidRDefault="00704B93" w:rsidP="008A3FD2">
            <w:pPr>
              <w:pStyle w:val="TableParagraph"/>
              <w:spacing w:line="268" w:lineRule="exact"/>
              <w:ind w:left="117"/>
              <w:jc w:val="both"/>
              <w:rPr>
                <w:sz w:val="24"/>
              </w:rPr>
            </w:pPr>
            <w:r>
              <w:rPr>
                <w:spacing w:val="-2"/>
                <w:sz w:val="24"/>
              </w:rPr>
              <w:t>35.90±1.64</w:t>
            </w:r>
            <w:r>
              <w:rPr>
                <w:spacing w:val="-2"/>
                <w:sz w:val="24"/>
                <w:vertAlign w:val="superscript"/>
              </w:rPr>
              <w:t>d</w:t>
            </w:r>
          </w:p>
        </w:tc>
      </w:tr>
      <w:tr w:rsidR="00704B93" w14:paraId="6EA551C9" w14:textId="77777777" w:rsidTr="00F61606">
        <w:trPr>
          <w:trHeight w:val="304"/>
        </w:trPr>
        <w:tc>
          <w:tcPr>
            <w:tcW w:w="417" w:type="pct"/>
          </w:tcPr>
          <w:p w14:paraId="44F25D06" w14:textId="77777777" w:rsidR="00704B93" w:rsidRDefault="00704B93" w:rsidP="008A3FD2">
            <w:pPr>
              <w:pStyle w:val="TableParagraph"/>
              <w:jc w:val="both"/>
            </w:pPr>
          </w:p>
        </w:tc>
        <w:tc>
          <w:tcPr>
            <w:tcW w:w="668" w:type="pct"/>
          </w:tcPr>
          <w:p w14:paraId="20E78C3E" w14:textId="77777777" w:rsidR="00704B93" w:rsidRDefault="00704B93" w:rsidP="008A3FD2">
            <w:pPr>
              <w:pStyle w:val="TableParagraph"/>
              <w:spacing w:before="14" w:line="270" w:lineRule="exact"/>
              <w:ind w:left="109"/>
              <w:jc w:val="both"/>
              <w:rPr>
                <w:sz w:val="24"/>
              </w:rPr>
            </w:pPr>
            <w:r>
              <w:rPr>
                <w:spacing w:val="-5"/>
                <w:sz w:val="24"/>
              </w:rPr>
              <w:t>PE2</w:t>
            </w:r>
          </w:p>
        </w:tc>
        <w:tc>
          <w:tcPr>
            <w:tcW w:w="648" w:type="pct"/>
          </w:tcPr>
          <w:p w14:paraId="6DFBF0ED" w14:textId="77777777" w:rsidR="00704B93" w:rsidRDefault="00704B93" w:rsidP="008A3FD2">
            <w:pPr>
              <w:pStyle w:val="TableParagraph"/>
              <w:spacing w:before="14" w:line="270" w:lineRule="exact"/>
              <w:ind w:left="108"/>
              <w:jc w:val="both"/>
              <w:rPr>
                <w:sz w:val="24"/>
              </w:rPr>
            </w:pPr>
            <w:r>
              <w:rPr>
                <w:spacing w:val="-2"/>
                <w:sz w:val="24"/>
              </w:rPr>
              <w:t>10.76±1.0</w:t>
            </w:r>
            <w:r>
              <w:rPr>
                <w:spacing w:val="-2"/>
                <w:sz w:val="24"/>
              </w:rPr>
              <w:lastRenderedPageBreak/>
              <w:t>1</w:t>
            </w:r>
            <w:r>
              <w:rPr>
                <w:spacing w:val="-2"/>
                <w:sz w:val="24"/>
                <w:vertAlign w:val="superscript"/>
              </w:rPr>
              <w:t>a</w:t>
            </w:r>
          </w:p>
        </w:tc>
        <w:tc>
          <w:tcPr>
            <w:tcW w:w="648" w:type="pct"/>
          </w:tcPr>
          <w:p w14:paraId="75569C18" w14:textId="77777777" w:rsidR="00704B93" w:rsidRDefault="00704B93" w:rsidP="008A3FD2">
            <w:pPr>
              <w:pStyle w:val="TableParagraph"/>
              <w:spacing w:before="14" w:line="270" w:lineRule="exact"/>
              <w:ind w:left="107"/>
              <w:jc w:val="both"/>
              <w:rPr>
                <w:sz w:val="24"/>
              </w:rPr>
            </w:pPr>
            <w:r>
              <w:rPr>
                <w:spacing w:val="-2"/>
                <w:sz w:val="24"/>
              </w:rPr>
              <w:lastRenderedPageBreak/>
              <w:t>11.87±1.3</w:t>
            </w:r>
            <w:r>
              <w:rPr>
                <w:spacing w:val="-2"/>
                <w:sz w:val="24"/>
              </w:rPr>
              <w:lastRenderedPageBreak/>
              <w:t>8</w:t>
            </w:r>
            <w:r>
              <w:rPr>
                <w:spacing w:val="-2"/>
                <w:sz w:val="24"/>
                <w:vertAlign w:val="superscript"/>
              </w:rPr>
              <w:t>b</w:t>
            </w:r>
          </w:p>
        </w:tc>
        <w:tc>
          <w:tcPr>
            <w:tcW w:w="704" w:type="pct"/>
          </w:tcPr>
          <w:p w14:paraId="16AF496B" w14:textId="77777777" w:rsidR="00704B93" w:rsidRDefault="00704B93" w:rsidP="008A3FD2">
            <w:pPr>
              <w:pStyle w:val="TableParagraph"/>
              <w:spacing w:before="14" w:line="270" w:lineRule="exact"/>
              <w:ind w:left="1"/>
              <w:jc w:val="both"/>
              <w:rPr>
                <w:sz w:val="24"/>
              </w:rPr>
            </w:pPr>
            <w:r>
              <w:rPr>
                <w:spacing w:val="-2"/>
                <w:sz w:val="24"/>
              </w:rPr>
              <w:lastRenderedPageBreak/>
              <w:t>116.37±3.59</w:t>
            </w:r>
            <w:r>
              <w:rPr>
                <w:spacing w:val="-2"/>
                <w:sz w:val="24"/>
                <w:vertAlign w:val="superscript"/>
              </w:rPr>
              <w:t>d</w:t>
            </w:r>
          </w:p>
        </w:tc>
        <w:tc>
          <w:tcPr>
            <w:tcW w:w="592" w:type="pct"/>
          </w:tcPr>
          <w:p w14:paraId="5DA05BB8" w14:textId="77777777" w:rsidR="00704B93" w:rsidRDefault="00704B93" w:rsidP="008A3FD2">
            <w:pPr>
              <w:pStyle w:val="TableParagraph"/>
              <w:spacing w:before="14" w:line="270" w:lineRule="exact"/>
              <w:ind w:right="79"/>
              <w:jc w:val="both"/>
              <w:rPr>
                <w:sz w:val="24"/>
              </w:rPr>
            </w:pPr>
            <w:r>
              <w:rPr>
                <w:spacing w:val="-2"/>
                <w:sz w:val="24"/>
              </w:rPr>
              <w:t>4.48±0.24</w:t>
            </w:r>
          </w:p>
        </w:tc>
        <w:tc>
          <w:tcPr>
            <w:tcW w:w="588" w:type="pct"/>
          </w:tcPr>
          <w:p w14:paraId="6BEB977B" w14:textId="77777777" w:rsidR="00704B93" w:rsidRDefault="00704B93" w:rsidP="008A3FD2">
            <w:pPr>
              <w:pStyle w:val="TableParagraph"/>
              <w:spacing w:before="14" w:line="270" w:lineRule="exact"/>
              <w:ind w:left="7" w:right="78"/>
              <w:jc w:val="both"/>
              <w:rPr>
                <w:sz w:val="24"/>
              </w:rPr>
            </w:pPr>
            <w:r>
              <w:rPr>
                <w:spacing w:val="-2"/>
                <w:sz w:val="24"/>
              </w:rPr>
              <w:t>4.30</w:t>
            </w:r>
            <w:r>
              <w:rPr>
                <w:b/>
                <w:spacing w:val="-2"/>
                <w:sz w:val="24"/>
              </w:rPr>
              <w:t>±</w:t>
            </w:r>
            <w:r>
              <w:rPr>
                <w:spacing w:val="-2"/>
                <w:sz w:val="24"/>
              </w:rPr>
              <w:t>0.44</w:t>
            </w:r>
          </w:p>
        </w:tc>
        <w:tc>
          <w:tcPr>
            <w:tcW w:w="734" w:type="pct"/>
          </w:tcPr>
          <w:p w14:paraId="481F2A44" w14:textId="77777777" w:rsidR="00704B93" w:rsidRDefault="00704B93" w:rsidP="008A3FD2">
            <w:pPr>
              <w:pStyle w:val="TableParagraph"/>
              <w:spacing w:before="14" w:line="270" w:lineRule="exact"/>
              <w:ind w:left="117"/>
              <w:jc w:val="both"/>
              <w:rPr>
                <w:sz w:val="24"/>
              </w:rPr>
            </w:pPr>
            <w:r>
              <w:rPr>
                <w:spacing w:val="-2"/>
                <w:sz w:val="24"/>
              </w:rPr>
              <w:t>41.73±0.98</w:t>
            </w:r>
            <w:r>
              <w:rPr>
                <w:spacing w:val="-2"/>
                <w:sz w:val="24"/>
                <w:vertAlign w:val="superscript"/>
              </w:rPr>
              <w:t>d</w:t>
            </w:r>
          </w:p>
        </w:tc>
      </w:tr>
      <w:tr w:rsidR="00704B93" w14:paraId="4D9FE5A4" w14:textId="77777777" w:rsidTr="00F61606">
        <w:trPr>
          <w:trHeight w:val="315"/>
        </w:trPr>
        <w:tc>
          <w:tcPr>
            <w:tcW w:w="417" w:type="pct"/>
          </w:tcPr>
          <w:p w14:paraId="573F791D" w14:textId="77777777" w:rsidR="00704B93" w:rsidRDefault="00704B93" w:rsidP="008A3FD2">
            <w:pPr>
              <w:pStyle w:val="TableParagraph"/>
              <w:jc w:val="both"/>
            </w:pPr>
          </w:p>
        </w:tc>
        <w:tc>
          <w:tcPr>
            <w:tcW w:w="668" w:type="pct"/>
          </w:tcPr>
          <w:p w14:paraId="3916395C" w14:textId="77777777" w:rsidR="00704B93" w:rsidRDefault="00704B93" w:rsidP="008A3FD2">
            <w:pPr>
              <w:pStyle w:val="TableParagraph"/>
              <w:spacing w:before="24" w:line="271" w:lineRule="exact"/>
              <w:ind w:left="109"/>
              <w:jc w:val="both"/>
              <w:rPr>
                <w:sz w:val="24"/>
              </w:rPr>
            </w:pPr>
            <w:r>
              <w:rPr>
                <w:spacing w:val="-2"/>
                <w:sz w:val="24"/>
              </w:rPr>
              <w:t>Metformin</w:t>
            </w:r>
          </w:p>
        </w:tc>
        <w:tc>
          <w:tcPr>
            <w:tcW w:w="648" w:type="pct"/>
          </w:tcPr>
          <w:p w14:paraId="24A34083" w14:textId="77777777" w:rsidR="00704B93" w:rsidRDefault="00704B93" w:rsidP="008A3FD2">
            <w:pPr>
              <w:pStyle w:val="TableParagraph"/>
              <w:spacing w:before="24" w:line="271" w:lineRule="exact"/>
              <w:ind w:left="108"/>
              <w:jc w:val="both"/>
              <w:rPr>
                <w:sz w:val="24"/>
              </w:rPr>
            </w:pPr>
            <w:r>
              <w:rPr>
                <w:spacing w:val="-2"/>
                <w:sz w:val="24"/>
              </w:rPr>
              <w:t>12.63±0.94</w:t>
            </w:r>
            <w:r>
              <w:rPr>
                <w:spacing w:val="-2"/>
                <w:sz w:val="24"/>
                <w:vertAlign w:val="superscript"/>
              </w:rPr>
              <w:t>c</w:t>
            </w:r>
          </w:p>
        </w:tc>
        <w:tc>
          <w:tcPr>
            <w:tcW w:w="648" w:type="pct"/>
          </w:tcPr>
          <w:p w14:paraId="25EE9D03" w14:textId="77777777" w:rsidR="00704B93" w:rsidRDefault="00704B93" w:rsidP="008A3FD2">
            <w:pPr>
              <w:pStyle w:val="TableParagraph"/>
              <w:spacing w:before="24" w:line="271" w:lineRule="exact"/>
              <w:ind w:left="107"/>
              <w:jc w:val="both"/>
              <w:rPr>
                <w:sz w:val="24"/>
              </w:rPr>
            </w:pPr>
            <w:r>
              <w:rPr>
                <w:spacing w:val="-2"/>
                <w:sz w:val="24"/>
              </w:rPr>
              <w:t>15.26±0.34</w:t>
            </w:r>
            <w:r>
              <w:rPr>
                <w:spacing w:val="-2"/>
                <w:sz w:val="24"/>
                <w:vertAlign w:val="superscript"/>
              </w:rPr>
              <w:t>d</w:t>
            </w:r>
          </w:p>
        </w:tc>
        <w:tc>
          <w:tcPr>
            <w:tcW w:w="704" w:type="pct"/>
          </w:tcPr>
          <w:p w14:paraId="4E0A3123" w14:textId="77777777" w:rsidR="00704B93" w:rsidRDefault="00704B93" w:rsidP="008A3FD2">
            <w:pPr>
              <w:pStyle w:val="TableParagraph"/>
              <w:spacing w:before="24" w:line="271" w:lineRule="exact"/>
              <w:ind w:left="1"/>
              <w:jc w:val="both"/>
              <w:rPr>
                <w:sz w:val="24"/>
              </w:rPr>
            </w:pPr>
            <w:r>
              <w:rPr>
                <w:spacing w:val="-2"/>
                <w:sz w:val="24"/>
              </w:rPr>
              <w:t>126.37±1.35</w:t>
            </w:r>
            <w:r>
              <w:rPr>
                <w:spacing w:val="-2"/>
                <w:sz w:val="24"/>
                <w:vertAlign w:val="superscript"/>
              </w:rPr>
              <w:t>d</w:t>
            </w:r>
          </w:p>
        </w:tc>
        <w:tc>
          <w:tcPr>
            <w:tcW w:w="592" w:type="pct"/>
          </w:tcPr>
          <w:p w14:paraId="780BFCA1" w14:textId="77777777" w:rsidR="00704B93" w:rsidRDefault="00704B93" w:rsidP="008A3FD2">
            <w:pPr>
              <w:pStyle w:val="TableParagraph"/>
              <w:spacing w:before="24" w:line="271" w:lineRule="exact"/>
              <w:ind w:right="79"/>
              <w:jc w:val="both"/>
              <w:rPr>
                <w:sz w:val="24"/>
              </w:rPr>
            </w:pPr>
            <w:r>
              <w:rPr>
                <w:spacing w:val="-2"/>
                <w:sz w:val="24"/>
              </w:rPr>
              <w:t>5.70±0.15</w:t>
            </w:r>
          </w:p>
        </w:tc>
        <w:tc>
          <w:tcPr>
            <w:tcW w:w="588" w:type="pct"/>
          </w:tcPr>
          <w:p w14:paraId="7EE7A26C" w14:textId="77777777" w:rsidR="00704B93" w:rsidRDefault="00704B93" w:rsidP="008A3FD2">
            <w:pPr>
              <w:pStyle w:val="TableParagraph"/>
              <w:spacing w:before="24" w:line="271" w:lineRule="exact"/>
              <w:ind w:left="7" w:right="78"/>
              <w:jc w:val="both"/>
              <w:rPr>
                <w:sz w:val="24"/>
              </w:rPr>
            </w:pPr>
            <w:r>
              <w:rPr>
                <w:spacing w:val="-2"/>
                <w:sz w:val="24"/>
              </w:rPr>
              <w:t>5.56</w:t>
            </w:r>
            <w:r>
              <w:rPr>
                <w:b/>
                <w:spacing w:val="-2"/>
                <w:sz w:val="24"/>
              </w:rPr>
              <w:t>±</w:t>
            </w:r>
            <w:r>
              <w:rPr>
                <w:spacing w:val="-2"/>
                <w:sz w:val="24"/>
              </w:rPr>
              <w:t>0.14</w:t>
            </w:r>
          </w:p>
        </w:tc>
        <w:tc>
          <w:tcPr>
            <w:tcW w:w="734" w:type="pct"/>
          </w:tcPr>
          <w:p w14:paraId="174F05D8" w14:textId="77777777" w:rsidR="00704B93" w:rsidRDefault="00704B93" w:rsidP="008A3FD2">
            <w:pPr>
              <w:pStyle w:val="TableParagraph"/>
              <w:spacing w:before="24" w:line="271" w:lineRule="exact"/>
              <w:ind w:left="117"/>
              <w:jc w:val="both"/>
              <w:rPr>
                <w:sz w:val="24"/>
              </w:rPr>
            </w:pPr>
            <w:r>
              <w:rPr>
                <w:spacing w:val="-2"/>
                <w:sz w:val="24"/>
              </w:rPr>
              <w:t>47.36±0.63</w:t>
            </w:r>
            <w:r>
              <w:rPr>
                <w:spacing w:val="-2"/>
                <w:sz w:val="24"/>
                <w:vertAlign w:val="superscript"/>
              </w:rPr>
              <w:t>d</w:t>
            </w:r>
          </w:p>
        </w:tc>
      </w:tr>
      <w:tr w:rsidR="00704B93" w14:paraId="66BE95F4" w14:textId="77777777" w:rsidTr="00F61606">
        <w:trPr>
          <w:trHeight w:val="316"/>
        </w:trPr>
        <w:tc>
          <w:tcPr>
            <w:tcW w:w="417" w:type="pct"/>
            <w:tcBorders>
              <w:bottom w:val="single" w:sz="4" w:space="0" w:color="000000"/>
            </w:tcBorders>
          </w:tcPr>
          <w:p w14:paraId="0A39AAEF" w14:textId="77777777" w:rsidR="00704B93" w:rsidRDefault="00704B93" w:rsidP="008A3FD2">
            <w:pPr>
              <w:pStyle w:val="TableParagraph"/>
              <w:jc w:val="both"/>
            </w:pPr>
          </w:p>
        </w:tc>
        <w:tc>
          <w:tcPr>
            <w:tcW w:w="668" w:type="pct"/>
            <w:tcBorders>
              <w:bottom w:val="single" w:sz="4" w:space="0" w:color="000000"/>
            </w:tcBorders>
          </w:tcPr>
          <w:p w14:paraId="615F4AF2" w14:textId="77777777" w:rsidR="00704B93" w:rsidRDefault="00704B93" w:rsidP="008A3FD2">
            <w:pPr>
              <w:pStyle w:val="TableParagraph"/>
              <w:spacing w:before="25" w:line="271" w:lineRule="exact"/>
              <w:ind w:left="109"/>
              <w:jc w:val="both"/>
              <w:rPr>
                <w:sz w:val="24"/>
              </w:rPr>
            </w:pPr>
            <w:r>
              <w:rPr>
                <w:spacing w:val="-2"/>
                <w:sz w:val="24"/>
              </w:rPr>
              <w:t>Clomid</w:t>
            </w:r>
          </w:p>
        </w:tc>
        <w:tc>
          <w:tcPr>
            <w:tcW w:w="648" w:type="pct"/>
            <w:tcBorders>
              <w:bottom w:val="single" w:sz="4" w:space="0" w:color="000000"/>
            </w:tcBorders>
          </w:tcPr>
          <w:p w14:paraId="1FCB01A1" w14:textId="77777777" w:rsidR="00704B93" w:rsidRDefault="00704B93" w:rsidP="008A3FD2">
            <w:pPr>
              <w:pStyle w:val="TableParagraph"/>
              <w:spacing w:before="25" w:line="271" w:lineRule="exact"/>
              <w:ind w:left="108"/>
              <w:jc w:val="both"/>
              <w:rPr>
                <w:sz w:val="24"/>
              </w:rPr>
            </w:pPr>
            <w:r>
              <w:rPr>
                <w:spacing w:val="-2"/>
                <w:sz w:val="24"/>
              </w:rPr>
              <w:t>15.41±0.27</w:t>
            </w:r>
            <w:r>
              <w:rPr>
                <w:spacing w:val="-2"/>
                <w:sz w:val="24"/>
                <w:vertAlign w:val="superscript"/>
              </w:rPr>
              <w:t>d</w:t>
            </w:r>
          </w:p>
        </w:tc>
        <w:tc>
          <w:tcPr>
            <w:tcW w:w="648" w:type="pct"/>
            <w:tcBorders>
              <w:bottom w:val="single" w:sz="4" w:space="0" w:color="000000"/>
            </w:tcBorders>
          </w:tcPr>
          <w:p w14:paraId="4A0A3D8D" w14:textId="77777777" w:rsidR="00704B93" w:rsidRDefault="00704B93" w:rsidP="008A3FD2">
            <w:pPr>
              <w:pStyle w:val="TableParagraph"/>
              <w:spacing w:before="25" w:line="271" w:lineRule="exact"/>
              <w:ind w:left="107"/>
              <w:jc w:val="both"/>
              <w:rPr>
                <w:sz w:val="24"/>
              </w:rPr>
            </w:pPr>
            <w:r>
              <w:rPr>
                <w:spacing w:val="-2"/>
                <w:sz w:val="24"/>
              </w:rPr>
              <w:t>18.33±0.12</w:t>
            </w:r>
            <w:r>
              <w:rPr>
                <w:spacing w:val="-2"/>
                <w:sz w:val="24"/>
                <w:vertAlign w:val="superscript"/>
              </w:rPr>
              <w:t>d</w:t>
            </w:r>
          </w:p>
        </w:tc>
        <w:tc>
          <w:tcPr>
            <w:tcW w:w="704" w:type="pct"/>
            <w:tcBorders>
              <w:bottom w:val="single" w:sz="4" w:space="0" w:color="000000"/>
            </w:tcBorders>
          </w:tcPr>
          <w:p w14:paraId="05E82FAE" w14:textId="77777777" w:rsidR="00704B93" w:rsidRDefault="00704B93" w:rsidP="008A3FD2">
            <w:pPr>
              <w:pStyle w:val="TableParagraph"/>
              <w:spacing w:before="25" w:line="271" w:lineRule="exact"/>
              <w:ind w:left="1"/>
              <w:jc w:val="both"/>
              <w:rPr>
                <w:sz w:val="24"/>
              </w:rPr>
            </w:pPr>
            <w:r>
              <w:rPr>
                <w:spacing w:val="-2"/>
                <w:sz w:val="24"/>
              </w:rPr>
              <w:t>133.17±0.97</w:t>
            </w:r>
            <w:r>
              <w:rPr>
                <w:spacing w:val="-2"/>
                <w:sz w:val="24"/>
                <w:vertAlign w:val="superscript"/>
              </w:rPr>
              <w:t>d</w:t>
            </w:r>
          </w:p>
        </w:tc>
        <w:tc>
          <w:tcPr>
            <w:tcW w:w="592" w:type="pct"/>
            <w:tcBorders>
              <w:bottom w:val="single" w:sz="4" w:space="0" w:color="000000"/>
            </w:tcBorders>
          </w:tcPr>
          <w:p w14:paraId="3779D771" w14:textId="77777777" w:rsidR="00704B93" w:rsidRDefault="00704B93" w:rsidP="008A3FD2">
            <w:pPr>
              <w:pStyle w:val="TableParagraph"/>
              <w:spacing w:before="25" w:line="271" w:lineRule="exact"/>
              <w:ind w:left="73" w:right="79"/>
              <w:jc w:val="both"/>
              <w:rPr>
                <w:sz w:val="24"/>
              </w:rPr>
            </w:pPr>
            <w:r>
              <w:rPr>
                <w:spacing w:val="-2"/>
                <w:sz w:val="24"/>
              </w:rPr>
              <w:t>7.44±0.21</w:t>
            </w:r>
            <w:r>
              <w:rPr>
                <w:spacing w:val="-2"/>
                <w:sz w:val="24"/>
                <w:vertAlign w:val="superscript"/>
              </w:rPr>
              <w:t>a</w:t>
            </w:r>
          </w:p>
        </w:tc>
        <w:tc>
          <w:tcPr>
            <w:tcW w:w="588" w:type="pct"/>
            <w:tcBorders>
              <w:bottom w:val="single" w:sz="4" w:space="0" w:color="000000"/>
            </w:tcBorders>
          </w:tcPr>
          <w:p w14:paraId="584ACA7D" w14:textId="77777777" w:rsidR="00704B93" w:rsidRDefault="00704B93" w:rsidP="008A3FD2">
            <w:pPr>
              <w:pStyle w:val="TableParagraph"/>
              <w:spacing w:before="25" w:line="271" w:lineRule="exact"/>
              <w:ind w:left="7" w:right="78"/>
              <w:jc w:val="both"/>
              <w:rPr>
                <w:sz w:val="24"/>
              </w:rPr>
            </w:pPr>
            <w:r>
              <w:rPr>
                <w:spacing w:val="-2"/>
                <w:sz w:val="24"/>
              </w:rPr>
              <w:t>6.35</w:t>
            </w:r>
            <w:r>
              <w:rPr>
                <w:b/>
                <w:spacing w:val="-2"/>
                <w:sz w:val="24"/>
              </w:rPr>
              <w:t>±</w:t>
            </w:r>
            <w:r>
              <w:rPr>
                <w:spacing w:val="-2"/>
                <w:sz w:val="24"/>
              </w:rPr>
              <w:t>0.38</w:t>
            </w:r>
          </w:p>
        </w:tc>
        <w:tc>
          <w:tcPr>
            <w:tcW w:w="734" w:type="pct"/>
            <w:tcBorders>
              <w:bottom w:val="single" w:sz="4" w:space="0" w:color="000000"/>
            </w:tcBorders>
          </w:tcPr>
          <w:p w14:paraId="4846FF57" w14:textId="77777777" w:rsidR="00704B93" w:rsidRDefault="00704B93" w:rsidP="008A3FD2">
            <w:pPr>
              <w:pStyle w:val="TableParagraph"/>
              <w:spacing w:before="25" w:line="271" w:lineRule="exact"/>
              <w:ind w:left="117"/>
              <w:jc w:val="both"/>
              <w:rPr>
                <w:sz w:val="24"/>
              </w:rPr>
            </w:pPr>
            <w:r>
              <w:rPr>
                <w:spacing w:val="-2"/>
                <w:sz w:val="24"/>
              </w:rPr>
              <w:t>51.47±0.80</w:t>
            </w:r>
            <w:r>
              <w:rPr>
                <w:spacing w:val="-2"/>
                <w:sz w:val="24"/>
                <w:vertAlign w:val="superscript"/>
              </w:rPr>
              <w:t>d</w:t>
            </w:r>
          </w:p>
        </w:tc>
      </w:tr>
      <w:tr w:rsidR="00704B93" w14:paraId="5EABE5BF" w14:textId="77777777" w:rsidTr="00F61606">
        <w:trPr>
          <w:trHeight w:val="658"/>
        </w:trPr>
        <w:tc>
          <w:tcPr>
            <w:tcW w:w="5000" w:type="pct"/>
            <w:gridSpan w:val="8"/>
            <w:tcBorders>
              <w:top w:val="single" w:sz="4" w:space="0" w:color="000000"/>
            </w:tcBorders>
          </w:tcPr>
          <w:p w14:paraId="388B9A51" w14:textId="77777777" w:rsidR="00704B93" w:rsidRDefault="00704B93" w:rsidP="008A3FD2">
            <w:pPr>
              <w:pStyle w:val="TableParagraph"/>
              <w:spacing w:before="239"/>
              <w:ind w:left="674"/>
              <w:jc w:val="both"/>
              <w:rPr>
                <w:sz w:val="24"/>
              </w:rPr>
            </w:pPr>
            <w:r>
              <w:rPr>
                <w:sz w:val="24"/>
              </w:rPr>
              <w:t>FSH:</w:t>
            </w:r>
            <w:r>
              <w:rPr>
                <w:spacing w:val="9"/>
                <w:sz w:val="24"/>
              </w:rPr>
              <w:t xml:space="preserve"> </w:t>
            </w:r>
            <w:r>
              <w:rPr>
                <w:sz w:val="24"/>
              </w:rPr>
              <w:t>Follicle</w:t>
            </w:r>
            <w:r>
              <w:rPr>
                <w:spacing w:val="10"/>
                <w:sz w:val="24"/>
              </w:rPr>
              <w:t xml:space="preserve"> </w:t>
            </w:r>
            <w:r>
              <w:rPr>
                <w:sz w:val="24"/>
              </w:rPr>
              <w:t>Stimulating</w:t>
            </w:r>
            <w:r>
              <w:rPr>
                <w:spacing w:val="9"/>
                <w:sz w:val="24"/>
              </w:rPr>
              <w:t xml:space="preserve"> </w:t>
            </w:r>
            <w:r>
              <w:rPr>
                <w:sz w:val="24"/>
              </w:rPr>
              <w:t>Hormone;</w:t>
            </w:r>
            <w:r>
              <w:rPr>
                <w:spacing w:val="9"/>
                <w:sz w:val="24"/>
              </w:rPr>
              <w:t xml:space="preserve"> </w:t>
            </w:r>
            <w:proofErr w:type="gramStart"/>
            <w:r>
              <w:rPr>
                <w:sz w:val="24"/>
              </w:rPr>
              <w:t>GnRH:Gonadotropin</w:t>
            </w:r>
            <w:proofErr w:type="gramEnd"/>
            <w:r>
              <w:rPr>
                <w:spacing w:val="10"/>
                <w:sz w:val="24"/>
              </w:rPr>
              <w:t xml:space="preserve"> </w:t>
            </w:r>
            <w:r>
              <w:rPr>
                <w:sz w:val="24"/>
              </w:rPr>
              <w:t>Realising</w:t>
            </w:r>
            <w:r>
              <w:rPr>
                <w:spacing w:val="9"/>
                <w:sz w:val="24"/>
              </w:rPr>
              <w:t xml:space="preserve"> </w:t>
            </w:r>
            <w:r>
              <w:rPr>
                <w:sz w:val="24"/>
              </w:rPr>
              <w:t>Hormone;</w:t>
            </w:r>
            <w:r>
              <w:rPr>
                <w:spacing w:val="9"/>
                <w:sz w:val="24"/>
              </w:rPr>
              <w:t xml:space="preserve"> </w:t>
            </w:r>
            <w:r>
              <w:rPr>
                <w:sz w:val="24"/>
              </w:rPr>
              <w:t>LH:</w:t>
            </w:r>
            <w:r>
              <w:rPr>
                <w:spacing w:val="9"/>
                <w:sz w:val="24"/>
              </w:rPr>
              <w:t xml:space="preserve"> </w:t>
            </w:r>
            <w:r>
              <w:rPr>
                <w:spacing w:val="-2"/>
                <w:sz w:val="24"/>
              </w:rPr>
              <w:t>Luteinising</w:t>
            </w:r>
          </w:p>
        </w:tc>
      </w:tr>
      <w:tr w:rsidR="00704B93" w14:paraId="38AC295A" w14:textId="77777777" w:rsidTr="00F61606">
        <w:trPr>
          <w:trHeight w:val="552"/>
        </w:trPr>
        <w:tc>
          <w:tcPr>
            <w:tcW w:w="3677" w:type="pct"/>
            <w:gridSpan w:val="6"/>
          </w:tcPr>
          <w:p w14:paraId="0399C5CE" w14:textId="77777777" w:rsidR="00704B93" w:rsidRDefault="00704B93" w:rsidP="008A3FD2">
            <w:pPr>
              <w:pStyle w:val="TableParagraph"/>
              <w:spacing w:before="132"/>
              <w:ind w:left="674"/>
              <w:jc w:val="both"/>
              <w:rPr>
                <w:sz w:val="24"/>
              </w:rPr>
            </w:pPr>
            <w:r>
              <w:rPr>
                <w:sz w:val="24"/>
              </w:rPr>
              <w:t>Hormone;</w:t>
            </w:r>
            <w:r>
              <w:rPr>
                <w:spacing w:val="-10"/>
                <w:sz w:val="24"/>
              </w:rPr>
              <w:t xml:space="preserve"> </w:t>
            </w:r>
            <w:r>
              <w:rPr>
                <w:sz w:val="24"/>
              </w:rPr>
              <w:t>PE:</w:t>
            </w:r>
            <w:r>
              <w:rPr>
                <w:spacing w:val="-8"/>
                <w:sz w:val="24"/>
              </w:rPr>
              <w:t xml:space="preserve"> </w:t>
            </w:r>
            <w:r>
              <w:rPr>
                <w:sz w:val="24"/>
              </w:rPr>
              <w:t>Plant</w:t>
            </w:r>
            <w:r>
              <w:rPr>
                <w:spacing w:val="-9"/>
                <w:sz w:val="24"/>
              </w:rPr>
              <w:t xml:space="preserve"> </w:t>
            </w:r>
            <w:r>
              <w:rPr>
                <w:sz w:val="24"/>
              </w:rPr>
              <w:t>Extract;</w:t>
            </w:r>
            <w:r>
              <w:rPr>
                <w:spacing w:val="-6"/>
                <w:sz w:val="24"/>
              </w:rPr>
              <w:t xml:space="preserve"> </w:t>
            </w:r>
            <w:r>
              <w:rPr>
                <w:sz w:val="24"/>
              </w:rPr>
              <w:t>TSH:</w:t>
            </w:r>
            <w:r>
              <w:rPr>
                <w:spacing w:val="-8"/>
                <w:sz w:val="24"/>
              </w:rPr>
              <w:t xml:space="preserve"> </w:t>
            </w:r>
            <w:r>
              <w:rPr>
                <w:sz w:val="24"/>
              </w:rPr>
              <w:t>Thyrotropin</w:t>
            </w:r>
            <w:r>
              <w:rPr>
                <w:spacing w:val="-9"/>
                <w:sz w:val="24"/>
              </w:rPr>
              <w:t xml:space="preserve"> </w:t>
            </w:r>
            <w:r>
              <w:rPr>
                <w:sz w:val="24"/>
              </w:rPr>
              <w:t>Stimulating</w:t>
            </w:r>
            <w:r>
              <w:rPr>
                <w:spacing w:val="-8"/>
                <w:sz w:val="24"/>
              </w:rPr>
              <w:t xml:space="preserve"> </w:t>
            </w:r>
            <w:r>
              <w:rPr>
                <w:spacing w:val="-2"/>
                <w:sz w:val="24"/>
              </w:rPr>
              <w:t>Hormone.</w:t>
            </w:r>
          </w:p>
        </w:tc>
        <w:tc>
          <w:tcPr>
            <w:tcW w:w="588" w:type="pct"/>
          </w:tcPr>
          <w:p w14:paraId="3D461527" w14:textId="77777777" w:rsidR="00704B93" w:rsidRDefault="00704B93" w:rsidP="008A3FD2">
            <w:pPr>
              <w:pStyle w:val="TableParagraph"/>
              <w:jc w:val="both"/>
            </w:pPr>
          </w:p>
        </w:tc>
        <w:tc>
          <w:tcPr>
            <w:tcW w:w="734" w:type="pct"/>
          </w:tcPr>
          <w:p w14:paraId="44A63E2D" w14:textId="77777777" w:rsidR="00704B93" w:rsidRDefault="00704B93" w:rsidP="008A3FD2">
            <w:pPr>
              <w:pStyle w:val="TableParagraph"/>
              <w:jc w:val="both"/>
            </w:pPr>
          </w:p>
        </w:tc>
      </w:tr>
      <w:tr w:rsidR="00704B93" w14:paraId="0C0D5246" w14:textId="77777777" w:rsidTr="00F61606">
        <w:trPr>
          <w:trHeight w:val="552"/>
        </w:trPr>
        <w:tc>
          <w:tcPr>
            <w:tcW w:w="5000" w:type="pct"/>
            <w:gridSpan w:val="8"/>
          </w:tcPr>
          <w:p w14:paraId="3FBB35D7" w14:textId="77777777" w:rsidR="00704B93" w:rsidRDefault="00704B93" w:rsidP="008A3FD2">
            <w:pPr>
              <w:pStyle w:val="TableParagraph"/>
              <w:spacing w:before="132"/>
              <w:ind w:left="674"/>
              <w:jc w:val="both"/>
              <w:rPr>
                <w:sz w:val="24"/>
              </w:rPr>
            </w:pPr>
            <w:r>
              <w:rPr>
                <w:sz w:val="24"/>
              </w:rPr>
              <w:t>Data</w:t>
            </w:r>
            <w:r>
              <w:rPr>
                <w:spacing w:val="24"/>
                <w:sz w:val="24"/>
              </w:rPr>
              <w:t xml:space="preserve"> </w:t>
            </w:r>
            <w:r>
              <w:rPr>
                <w:sz w:val="24"/>
              </w:rPr>
              <w:t>are</w:t>
            </w:r>
            <w:r>
              <w:rPr>
                <w:spacing w:val="25"/>
                <w:sz w:val="24"/>
              </w:rPr>
              <w:t xml:space="preserve"> </w:t>
            </w:r>
            <w:r>
              <w:rPr>
                <w:sz w:val="24"/>
              </w:rPr>
              <w:t>expressed</w:t>
            </w:r>
            <w:r>
              <w:rPr>
                <w:spacing w:val="20"/>
                <w:sz w:val="24"/>
              </w:rPr>
              <w:t xml:space="preserve"> </w:t>
            </w:r>
            <w:r>
              <w:rPr>
                <w:sz w:val="24"/>
              </w:rPr>
              <w:t>as</w:t>
            </w:r>
            <w:r>
              <w:rPr>
                <w:spacing w:val="23"/>
                <w:sz w:val="24"/>
              </w:rPr>
              <w:t xml:space="preserve"> </w:t>
            </w:r>
            <w:r>
              <w:rPr>
                <w:sz w:val="24"/>
              </w:rPr>
              <w:t>mean±SEM.</w:t>
            </w:r>
            <w:r>
              <w:rPr>
                <w:spacing w:val="22"/>
                <w:sz w:val="24"/>
              </w:rPr>
              <w:t xml:space="preserve"> </w:t>
            </w:r>
            <w:r>
              <w:rPr>
                <w:sz w:val="24"/>
              </w:rPr>
              <w:t>n=3,</w:t>
            </w:r>
            <w:r>
              <w:rPr>
                <w:spacing w:val="28"/>
                <w:sz w:val="24"/>
              </w:rPr>
              <w:t xml:space="preserve"> </w:t>
            </w:r>
            <w:r>
              <w:rPr>
                <w:sz w:val="24"/>
                <w:vertAlign w:val="superscript"/>
              </w:rPr>
              <w:t>a</w:t>
            </w:r>
            <w:r>
              <w:rPr>
                <w:sz w:val="24"/>
              </w:rPr>
              <w:t>P</w:t>
            </w:r>
            <w:r>
              <w:rPr>
                <w:spacing w:val="23"/>
                <w:sz w:val="24"/>
              </w:rPr>
              <w:t xml:space="preserve"> </w:t>
            </w:r>
            <w:r>
              <w:rPr>
                <w:sz w:val="24"/>
              </w:rPr>
              <w:t>&lt;0.05,</w:t>
            </w:r>
            <w:r>
              <w:rPr>
                <w:spacing w:val="24"/>
                <w:sz w:val="24"/>
              </w:rPr>
              <w:t xml:space="preserve"> </w:t>
            </w:r>
            <w:r>
              <w:rPr>
                <w:sz w:val="24"/>
                <w:vertAlign w:val="superscript"/>
              </w:rPr>
              <w:t>b</w:t>
            </w:r>
            <w:r>
              <w:rPr>
                <w:sz w:val="24"/>
              </w:rPr>
              <w:t>P</w:t>
            </w:r>
            <w:r>
              <w:rPr>
                <w:spacing w:val="21"/>
                <w:sz w:val="24"/>
              </w:rPr>
              <w:t xml:space="preserve"> </w:t>
            </w:r>
            <w:r>
              <w:rPr>
                <w:sz w:val="24"/>
              </w:rPr>
              <w:t>&lt;0.01,</w:t>
            </w:r>
            <w:r>
              <w:rPr>
                <w:spacing w:val="25"/>
                <w:sz w:val="24"/>
              </w:rPr>
              <w:t xml:space="preserve"> </w:t>
            </w:r>
            <w:r>
              <w:rPr>
                <w:sz w:val="24"/>
                <w:vertAlign w:val="superscript"/>
              </w:rPr>
              <w:t>c</w:t>
            </w:r>
            <w:r>
              <w:rPr>
                <w:sz w:val="24"/>
              </w:rPr>
              <w:t>P</w:t>
            </w:r>
            <w:r>
              <w:rPr>
                <w:spacing w:val="22"/>
                <w:sz w:val="24"/>
              </w:rPr>
              <w:t xml:space="preserve"> </w:t>
            </w:r>
            <w:r>
              <w:rPr>
                <w:sz w:val="24"/>
              </w:rPr>
              <w:t>&lt;0.001,</w:t>
            </w:r>
            <w:r>
              <w:rPr>
                <w:spacing w:val="22"/>
                <w:sz w:val="24"/>
              </w:rPr>
              <w:t xml:space="preserve"> </w:t>
            </w:r>
            <w:r>
              <w:rPr>
                <w:sz w:val="24"/>
                <w:vertAlign w:val="superscript"/>
              </w:rPr>
              <w:t>d</w:t>
            </w:r>
            <w:r>
              <w:rPr>
                <w:sz w:val="24"/>
              </w:rPr>
              <w:t>P</w:t>
            </w:r>
            <w:r>
              <w:rPr>
                <w:spacing w:val="23"/>
                <w:sz w:val="24"/>
              </w:rPr>
              <w:t xml:space="preserve"> </w:t>
            </w:r>
            <w:r>
              <w:rPr>
                <w:sz w:val="24"/>
              </w:rPr>
              <w:t>&lt;0.0001</w:t>
            </w:r>
            <w:r>
              <w:rPr>
                <w:spacing w:val="20"/>
                <w:sz w:val="24"/>
              </w:rPr>
              <w:t xml:space="preserve"> </w:t>
            </w:r>
            <w:r>
              <w:rPr>
                <w:spacing w:val="-2"/>
                <w:sz w:val="24"/>
              </w:rPr>
              <w:t>Compared</w:t>
            </w:r>
          </w:p>
        </w:tc>
      </w:tr>
      <w:tr w:rsidR="00704B93" w14:paraId="4884007D" w14:textId="77777777" w:rsidTr="00F61606">
        <w:trPr>
          <w:trHeight w:val="408"/>
        </w:trPr>
        <w:tc>
          <w:tcPr>
            <w:tcW w:w="1085" w:type="pct"/>
            <w:gridSpan w:val="2"/>
          </w:tcPr>
          <w:p w14:paraId="761A00BF" w14:textId="77777777" w:rsidR="00704B93" w:rsidRDefault="00D223FC" w:rsidP="008A3FD2">
            <w:pPr>
              <w:pStyle w:val="TableParagraph"/>
              <w:spacing w:before="132" w:line="256" w:lineRule="exact"/>
              <w:ind w:left="674"/>
              <w:jc w:val="both"/>
              <w:rPr>
                <w:sz w:val="24"/>
              </w:rPr>
            </w:pPr>
            <w:r>
              <w:rPr>
                <w:spacing w:val="-4"/>
                <w:sz w:val="24"/>
              </w:rPr>
              <w:t>W</w:t>
            </w:r>
            <w:r w:rsidR="00704B93">
              <w:rPr>
                <w:spacing w:val="-4"/>
                <w:sz w:val="24"/>
              </w:rPr>
              <w:t>ith</w:t>
            </w:r>
          </w:p>
        </w:tc>
        <w:tc>
          <w:tcPr>
            <w:tcW w:w="1296" w:type="pct"/>
            <w:gridSpan w:val="2"/>
          </w:tcPr>
          <w:p w14:paraId="5E9B9DDD" w14:textId="77777777" w:rsidR="00704B93" w:rsidRDefault="00704B93" w:rsidP="008A3FD2">
            <w:pPr>
              <w:pStyle w:val="TableParagraph"/>
              <w:spacing w:before="132" w:line="256" w:lineRule="exact"/>
              <w:ind w:left="741"/>
              <w:jc w:val="both"/>
              <w:rPr>
                <w:sz w:val="24"/>
              </w:rPr>
            </w:pPr>
            <w:r>
              <w:rPr>
                <w:spacing w:val="-2"/>
                <w:sz w:val="24"/>
              </w:rPr>
              <w:t>corresponding</w:t>
            </w:r>
          </w:p>
        </w:tc>
        <w:tc>
          <w:tcPr>
            <w:tcW w:w="1296" w:type="pct"/>
            <w:gridSpan w:val="2"/>
          </w:tcPr>
          <w:p w14:paraId="13041881" w14:textId="77777777" w:rsidR="00704B93" w:rsidRDefault="00704B93" w:rsidP="008A3FD2">
            <w:pPr>
              <w:pStyle w:val="TableParagraph"/>
              <w:spacing w:before="132" w:line="256" w:lineRule="exact"/>
              <w:ind w:left="1302"/>
              <w:jc w:val="both"/>
              <w:rPr>
                <w:sz w:val="24"/>
              </w:rPr>
            </w:pPr>
            <w:r>
              <w:rPr>
                <w:spacing w:val="-2"/>
                <w:sz w:val="24"/>
              </w:rPr>
              <w:t>Negative</w:t>
            </w:r>
          </w:p>
        </w:tc>
        <w:tc>
          <w:tcPr>
            <w:tcW w:w="588" w:type="pct"/>
          </w:tcPr>
          <w:p w14:paraId="1F2CD1F3" w14:textId="77777777" w:rsidR="00704B93" w:rsidRDefault="00704B93" w:rsidP="008A3FD2">
            <w:pPr>
              <w:pStyle w:val="TableParagraph"/>
              <w:jc w:val="both"/>
            </w:pPr>
          </w:p>
        </w:tc>
        <w:tc>
          <w:tcPr>
            <w:tcW w:w="734" w:type="pct"/>
          </w:tcPr>
          <w:p w14:paraId="157F1CE3" w14:textId="77777777" w:rsidR="00704B93" w:rsidRDefault="00704B93" w:rsidP="008A3FD2">
            <w:pPr>
              <w:pStyle w:val="TableParagraph"/>
              <w:spacing w:before="132" w:line="256" w:lineRule="exact"/>
              <w:ind w:left="98"/>
              <w:jc w:val="both"/>
              <w:rPr>
                <w:sz w:val="24"/>
              </w:rPr>
            </w:pPr>
            <w:r>
              <w:rPr>
                <w:spacing w:val="-2"/>
                <w:sz w:val="24"/>
              </w:rPr>
              <w:t>Control.</w:t>
            </w:r>
          </w:p>
        </w:tc>
      </w:tr>
    </w:tbl>
    <w:p w14:paraId="0B1394F4" w14:textId="77777777" w:rsidR="00704B93" w:rsidRPr="00704B93" w:rsidRDefault="00704B93" w:rsidP="008A3FD2">
      <w:pPr>
        <w:spacing w:line="480" w:lineRule="auto"/>
        <w:jc w:val="both"/>
        <w:rPr>
          <w:rFonts w:ascii="Times New Roman" w:hAnsi="Times New Roman" w:cs="Times New Roman"/>
          <w:sz w:val="24"/>
          <w:szCs w:val="24"/>
        </w:rPr>
      </w:pPr>
    </w:p>
    <w:p w14:paraId="09460A71" w14:textId="77777777" w:rsidR="00704B93" w:rsidRDefault="00704B93" w:rsidP="008A3FD2">
      <w:pPr>
        <w:spacing w:line="480" w:lineRule="auto"/>
        <w:jc w:val="both"/>
        <w:rPr>
          <w:rFonts w:ascii="Times New Roman" w:eastAsia="CIDFont" w:hAnsi="Times New Roman" w:cs="Times New Roman"/>
          <w:b/>
          <w:bCs/>
          <w:color w:val="000000"/>
          <w:kern w:val="0"/>
          <w:sz w:val="24"/>
          <w:szCs w:val="24"/>
          <w:lang w:eastAsia="zh-CN" w:bidi="ar"/>
        </w:rPr>
      </w:pPr>
    </w:p>
    <w:p w14:paraId="5F0B548F" w14:textId="77777777" w:rsidR="00704B93" w:rsidRDefault="00704B93" w:rsidP="008A3FD2">
      <w:pPr>
        <w:spacing w:line="480" w:lineRule="auto"/>
        <w:jc w:val="both"/>
        <w:rPr>
          <w:rFonts w:ascii="Times New Roman" w:eastAsia="CIDFont" w:hAnsi="Times New Roman" w:cs="Times New Roman"/>
          <w:b/>
          <w:bCs/>
          <w:color w:val="000000"/>
          <w:kern w:val="0"/>
          <w:sz w:val="24"/>
          <w:szCs w:val="24"/>
          <w:lang w:eastAsia="zh-CN" w:bidi="ar"/>
        </w:rPr>
      </w:pPr>
    </w:p>
    <w:p w14:paraId="50B7E50A" w14:textId="77777777" w:rsidR="0035258B" w:rsidRDefault="00704B93" w:rsidP="008A3FD2">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4.0 DISCUSSION </w:t>
      </w:r>
    </w:p>
    <w:p w14:paraId="39DA8A79" w14:textId="23D53C16"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This research work sought to evaluate the effect of the aqueous extract of </w:t>
      </w:r>
      <w:r>
        <w:rPr>
          <w:rFonts w:ascii="Times New Roman" w:eastAsia="CIDFont" w:hAnsi="Times New Roman" w:cs="Times New Roman"/>
          <w:i/>
          <w:iCs/>
          <w:color w:val="000000"/>
          <w:kern w:val="0"/>
          <w:sz w:val="24"/>
          <w:szCs w:val="24"/>
          <w:lang w:eastAsia="zh-CN" w:bidi="ar"/>
        </w:rPr>
        <w:t>Azanza garckeana</w:t>
      </w:r>
      <w:r>
        <w:rPr>
          <w:rFonts w:ascii="Times New Roman" w:eastAsia="CIDFont" w:hAnsi="Times New Roman" w:cs="Times New Roman"/>
          <w:color w:val="000000"/>
          <w:kern w:val="0"/>
          <w:sz w:val="24"/>
          <w:szCs w:val="24"/>
          <w:lang w:eastAsia="zh-CN" w:bidi="ar"/>
        </w:rPr>
        <w:t xml:space="preserve"> fruit on fertility hormones in </w:t>
      </w:r>
      <w:r>
        <w:rPr>
          <w:rFonts w:ascii="Times New Roman" w:eastAsia="CIDFont" w:hAnsi="Times New Roman" w:cs="Times New Roman"/>
          <w:color w:val="000000"/>
          <w:kern w:val="0"/>
          <w:sz w:val="24"/>
          <w:szCs w:val="24"/>
          <w:highlight w:val="yellow"/>
          <w:lang w:eastAsia="zh-CN" w:bidi="ar"/>
        </w:rPr>
        <w:t>a</w:t>
      </w:r>
      <w:r>
        <w:rPr>
          <w:rFonts w:ascii="Times New Roman" w:eastAsia="CIDFont" w:hAnsi="Times New Roman" w:cs="Times New Roman"/>
          <w:color w:val="000000"/>
          <w:kern w:val="0"/>
          <w:sz w:val="24"/>
          <w:szCs w:val="24"/>
          <w:lang w:eastAsia="zh-CN" w:bidi="ar"/>
        </w:rPr>
        <w:t>lloxan</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induced diabetic </w:t>
      </w:r>
      <w:r>
        <w:rPr>
          <w:rFonts w:ascii="Times New Roman" w:eastAsia="CIDFont" w:hAnsi="Times New Roman" w:cs="Times New Roman"/>
          <w:color w:val="000000"/>
          <w:kern w:val="0"/>
          <w:sz w:val="24"/>
          <w:szCs w:val="24"/>
          <w:highlight w:val="yellow"/>
          <w:lang w:eastAsia="zh-CN" w:bidi="ar"/>
        </w:rPr>
        <w:t>a</w:t>
      </w:r>
      <w:r>
        <w:rPr>
          <w:rFonts w:ascii="Times New Roman" w:eastAsia="CIDFont" w:hAnsi="Times New Roman" w:cs="Times New Roman"/>
          <w:color w:val="000000"/>
          <w:kern w:val="0"/>
          <w:sz w:val="24"/>
          <w:szCs w:val="24"/>
          <w:lang w:eastAsia="zh-CN" w:bidi="ar"/>
        </w:rPr>
        <w:t xml:space="preserve">lbino Wistar rats. The phytochemical analysis of the </w:t>
      </w:r>
      <w:r>
        <w:rPr>
          <w:rFonts w:ascii="Times New Roman" w:eastAsia="CIDFont" w:hAnsi="Times New Roman" w:cs="Times New Roman"/>
          <w:i/>
          <w:iCs/>
          <w:color w:val="000000"/>
          <w:kern w:val="0"/>
          <w:sz w:val="24"/>
          <w:szCs w:val="24"/>
          <w:lang w:eastAsia="zh-CN" w:bidi="ar"/>
        </w:rPr>
        <w:t>A. garckeana</w:t>
      </w:r>
      <w:r>
        <w:rPr>
          <w:rFonts w:ascii="Times New Roman" w:eastAsia="CIDFont" w:hAnsi="Times New Roman" w:cs="Times New Roman"/>
          <w:color w:val="000000"/>
          <w:kern w:val="0"/>
          <w:sz w:val="24"/>
          <w:szCs w:val="24"/>
          <w:lang w:eastAsia="zh-CN" w:bidi="ar"/>
        </w:rPr>
        <w:t xml:space="preserve"> fruit extract revealed the presence of saponins, tannins, carbohydrates, flavonoids and alkaloids. Similar results w</w:t>
      </w:r>
      <w:r>
        <w:rPr>
          <w:rFonts w:ascii="Times New Roman" w:eastAsia="CIDFont" w:hAnsi="Times New Roman" w:cs="Times New Roman"/>
          <w:color w:val="000000"/>
          <w:kern w:val="0"/>
          <w:sz w:val="24"/>
          <w:szCs w:val="24"/>
          <w:highlight w:val="yellow"/>
          <w:lang w:eastAsia="zh-CN" w:bidi="ar"/>
        </w:rPr>
        <w:t>ere</w:t>
      </w:r>
      <w:r>
        <w:rPr>
          <w:rFonts w:ascii="Times New Roman" w:eastAsia="CIDFont" w:hAnsi="Times New Roman" w:cs="Times New Roman"/>
          <w:color w:val="000000"/>
          <w:kern w:val="0"/>
          <w:sz w:val="24"/>
          <w:szCs w:val="24"/>
          <w:lang w:eastAsia="zh-CN" w:bidi="ar"/>
        </w:rPr>
        <w:t xml:space="preserve"> reported by </w:t>
      </w:r>
      <w:r>
        <w:rPr>
          <w:rFonts w:ascii="Times New Roman" w:eastAsia="CIDFont" w:hAnsi="Times New Roman" w:cs="Times New Roman"/>
          <w:color w:val="000000"/>
          <w:kern w:val="0"/>
          <w:sz w:val="24"/>
          <w:szCs w:val="24"/>
          <w:highlight w:val="yellow"/>
          <w:lang w:eastAsia="zh-CN" w:bidi="ar"/>
        </w:rPr>
        <w:t>Sali</w:t>
      </w:r>
      <w:r>
        <w:rPr>
          <w:rFonts w:ascii="Times New Roman" w:eastAsia="CIDFont" w:hAnsi="Times New Roman" w:cs="Times New Roman"/>
          <w:color w:val="000000"/>
          <w:kern w:val="0"/>
          <w:sz w:val="24"/>
          <w:szCs w:val="24"/>
          <w:lang w:eastAsia="zh-CN" w:bidi="ar"/>
        </w:rPr>
        <w:t>h et al. (2022)</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w:t>
      </w:r>
      <w:r>
        <w:rPr>
          <w:rFonts w:ascii="Times New Roman" w:eastAsia="CIDFont" w:hAnsi="Times New Roman" w:cs="Times New Roman"/>
          <w:color w:val="000000"/>
          <w:kern w:val="0"/>
          <w:sz w:val="24"/>
          <w:szCs w:val="24"/>
          <w:highlight w:val="yellow"/>
          <w:lang w:eastAsia="zh-CN" w:bidi="ar"/>
        </w:rPr>
        <w:t>altho</w:t>
      </w:r>
      <w:r>
        <w:rPr>
          <w:rFonts w:ascii="Times New Roman" w:eastAsia="CIDFont" w:hAnsi="Times New Roman" w:cs="Times New Roman"/>
          <w:color w:val="000000"/>
          <w:kern w:val="0"/>
          <w:sz w:val="24"/>
          <w:szCs w:val="24"/>
          <w:lang w:eastAsia="zh-CN" w:bidi="ar"/>
        </w:rPr>
        <w:t>u</w:t>
      </w:r>
      <w:r>
        <w:rPr>
          <w:rFonts w:ascii="Times New Roman" w:eastAsia="CIDFont" w:hAnsi="Times New Roman" w:cs="Times New Roman"/>
          <w:color w:val="000000"/>
          <w:kern w:val="0"/>
          <w:sz w:val="24"/>
          <w:szCs w:val="24"/>
          <w:highlight w:val="yellow"/>
          <w:lang w:eastAsia="zh-CN" w:bidi="ar"/>
        </w:rPr>
        <w:t>gh</w:t>
      </w:r>
      <w:r>
        <w:rPr>
          <w:rFonts w:ascii="Times New Roman" w:eastAsia="CIDFont" w:hAnsi="Times New Roman" w:cs="Times New Roman"/>
          <w:color w:val="000000"/>
          <w:kern w:val="0"/>
          <w:sz w:val="24"/>
          <w:szCs w:val="24"/>
          <w:lang w:eastAsia="zh-CN" w:bidi="ar"/>
        </w:rPr>
        <w:t xml:space="preserve"> cardiac glycosides, phenolic compounds, steroids and terpenoids were not found in this study</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in contrast t</w:t>
      </w:r>
      <w:r>
        <w:rPr>
          <w:rFonts w:ascii="Times New Roman" w:eastAsia="CIDFont" w:hAnsi="Times New Roman" w:cs="Times New Roman"/>
          <w:color w:val="000000"/>
          <w:kern w:val="0"/>
          <w:sz w:val="24"/>
          <w:szCs w:val="24"/>
          <w:highlight w:val="yellow"/>
          <w:lang w:eastAsia="zh-CN" w:bidi="ar"/>
        </w:rPr>
        <w:t>o</w:t>
      </w:r>
      <w:r>
        <w:rPr>
          <w:rFonts w:ascii="Times New Roman" w:eastAsia="CIDFont" w:hAnsi="Times New Roman" w:cs="Times New Roman"/>
          <w:color w:val="000000"/>
          <w:kern w:val="0"/>
          <w:sz w:val="24"/>
          <w:szCs w:val="24"/>
          <w:lang w:eastAsia="zh-CN" w:bidi="ar"/>
        </w:rPr>
        <w:t xml:space="preserve"> the stated research. </w:t>
      </w:r>
      <w:r w:rsidR="006B05A0" w:rsidRPr="006B05A0">
        <w:t xml:space="preserve"> </w:t>
      </w:r>
      <w:r w:rsidR="006B05A0" w:rsidRPr="006B05A0">
        <w:rPr>
          <w:rFonts w:ascii="Times New Roman" w:eastAsia="CIDFont" w:hAnsi="Times New Roman" w:cs="Times New Roman"/>
          <w:color w:val="000000"/>
          <w:kern w:val="0"/>
          <w:sz w:val="24"/>
          <w:szCs w:val="24"/>
          <w:lang w:eastAsia="zh-CN" w:bidi="ar"/>
        </w:rPr>
        <w:t xml:space="preserve">These findings are also consistent with those of several previous studies that documented the presence of these phytochemical constituents in different parts of the plant (Nkafamiya et al., 2015; Michael et al., 2015; Jacob et al., 2017; Ochokwu et al., 2019; Bioltif et al., 2020). Many of these compounds have been widely reported to possess biologically active and medicinally relevant properties (Adamu et al., 2013; Nkafamiya et al., 2015; Koche et al., </w:t>
      </w:r>
      <w:r w:rsidR="006B05A0" w:rsidRPr="006B05A0">
        <w:rPr>
          <w:rFonts w:ascii="Times New Roman" w:eastAsia="CIDFont" w:hAnsi="Times New Roman" w:cs="Times New Roman"/>
          <w:color w:val="000000"/>
          <w:kern w:val="0"/>
          <w:sz w:val="24"/>
          <w:szCs w:val="24"/>
          <w:lang w:eastAsia="zh-CN" w:bidi="ar"/>
        </w:rPr>
        <w:lastRenderedPageBreak/>
        <w:t>2016</w:t>
      </w:r>
      <w:proofErr w:type="gramStart"/>
      <w:r w:rsidR="006B05A0" w:rsidRPr="006B05A0">
        <w:rPr>
          <w:rFonts w:ascii="Times New Roman" w:eastAsia="CIDFont" w:hAnsi="Times New Roman" w:cs="Times New Roman"/>
          <w:color w:val="000000"/>
          <w:kern w:val="0"/>
          <w:sz w:val="24"/>
          <w:szCs w:val="24"/>
          <w:lang w:eastAsia="zh-CN" w:bidi="ar"/>
        </w:rPr>
        <w:t>).</w:t>
      </w:r>
      <w:r>
        <w:rPr>
          <w:rFonts w:ascii="Times New Roman" w:eastAsia="CIDFont" w:hAnsi="Times New Roman" w:cs="Times New Roman"/>
          <w:color w:val="000000"/>
          <w:kern w:val="0"/>
          <w:sz w:val="24"/>
          <w:szCs w:val="24"/>
          <w:lang w:eastAsia="zh-CN" w:bidi="ar"/>
        </w:rPr>
        <w:t>The</w:t>
      </w:r>
      <w:proofErr w:type="gramEnd"/>
      <w:r>
        <w:rPr>
          <w:rFonts w:ascii="Times New Roman" w:eastAsia="CIDFont" w:hAnsi="Times New Roman" w:cs="Times New Roman"/>
          <w:color w:val="000000"/>
          <w:kern w:val="0"/>
          <w:sz w:val="24"/>
          <w:szCs w:val="24"/>
          <w:lang w:eastAsia="zh-CN" w:bidi="ar"/>
        </w:rPr>
        <w:t xml:space="preserve"> disparity among the secondary metabolites found by each researcher confirms that the presence of phytochemicals depends on geographic location and the nature of the soil. </w:t>
      </w:r>
    </w:p>
    <w:p w14:paraId="0FFF15A2" w14:textId="0F616305" w:rsidR="0035258B" w:rsidRDefault="006D1A0F" w:rsidP="008A3FD2">
      <w:pPr>
        <w:spacing w:line="480" w:lineRule="auto"/>
        <w:jc w:val="both"/>
        <w:rPr>
          <w:rFonts w:ascii="Times New Roman" w:eastAsia="CIDFont" w:hAnsi="Times New Roman" w:cs="Times New Roman"/>
          <w:color w:val="000000"/>
          <w:kern w:val="0"/>
          <w:sz w:val="24"/>
          <w:szCs w:val="24"/>
          <w:lang w:eastAsia="zh-CN" w:bidi="ar"/>
        </w:rPr>
      </w:pPr>
      <w:r>
        <w:rPr>
          <w:rFonts w:ascii="Times New Roman" w:eastAsia="CIDFont" w:hAnsi="Times New Roman" w:cs="Times New Roman"/>
          <w:color w:val="000000"/>
          <w:kern w:val="0"/>
          <w:sz w:val="24"/>
          <w:szCs w:val="24"/>
          <w:lang w:eastAsia="zh-CN" w:bidi="ar"/>
        </w:rPr>
        <w:t>The use of herbal products for the treatment of diseases has</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over time</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gained greater acceptance than conventional therapy. However, screening of plant products has been considered an initial step </w:t>
      </w:r>
      <w:r>
        <w:rPr>
          <w:rFonts w:ascii="Times New Roman" w:eastAsia="CIDFont" w:hAnsi="Times New Roman" w:cs="Times New Roman"/>
          <w:color w:val="000000"/>
          <w:kern w:val="0"/>
          <w:sz w:val="24"/>
          <w:szCs w:val="24"/>
          <w:highlight w:val="yellow"/>
          <w:lang w:eastAsia="zh-CN" w:bidi="ar"/>
        </w:rPr>
        <w:t>in</w:t>
      </w:r>
      <w:r>
        <w:rPr>
          <w:rFonts w:ascii="Times New Roman" w:eastAsia="CIDFont" w:hAnsi="Times New Roman" w:cs="Times New Roman"/>
          <w:color w:val="000000"/>
          <w:kern w:val="0"/>
          <w:sz w:val="24"/>
          <w:szCs w:val="24"/>
          <w:lang w:eastAsia="zh-CN" w:bidi="ar"/>
        </w:rPr>
        <w:t xml:space="preserve"> evaluat</w:t>
      </w:r>
      <w:r>
        <w:rPr>
          <w:rFonts w:ascii="Times New Roman" w:eastAsia="CIDFont" w:hAnsi="Times New Roman" w:cs="Times New Roman"/>
          <w:color w:val="000000"/>
          <w:kern w:val="0"/>
          <w:sz w:val="24"/>
          <w:szCs w:val="24"/>
          <w:highlight w:val="yellow"/>
          <w:lang w:eastAsia="zh-CN" w:bidi="ar"/>
        </w:rPr>
        <w:t>ing</w:t>
      </w:r>
      <w:r>
        <w:rPr>
          <w:rFonts w:ascii="Times New Roman" w:eastAsia="CIDFont" w:hAnsi="Times New Roman" w:cs="Times New Roman"/>
          <w:color w:val="000000"/>
          <w:kern w:val="0"/>
          <w:sz w:val="24"/>
          <w:szCs w:val="24"/>
          <w:lang w:eastAsia="zh-CN" w:bidi="ar"/>
        </w:rPr>
        <w:t xml:space="preserve"> their toxicities before wider use (Olson et al., 2000; Parasuraman, 2011; </w:t>
      </w:r>
      <w:r w:rsidR="009A1C5D" w:rsidRPr="009A1C5D">
        <w:rPr>
          <w:rFonts w:ascii="Times New Roman" w:eastAsia="CIDFont" w:hAnsi="Times New Roman" w:cs="Times New Roman"/>
          <w:color w:val="000000"/>
          <w:kern w:val="0"/>
          <w:sz w:val="24"/>
          <w:szCs w:val="24"/>
          <w:lang w:eastAsia="zh-CN" w:bidi="ar"/>
        </w:rPr>
        <w:t>Obidike &amp; Salawu</w:t>
      </w:r>
      <w:r>
        <w:rPr>
          <w:rFonts w:ascii="Times New Roman" w:eastAsia="CIDFont" w:hAnsi="Times New Roman" w:cs="Times New Roman"/>
          <w:color w:val="000000"/>
          <w:kern w:val="0"/>
          <w:sz w:val="24"/>
          <w:szCs w:val="24"/>
          <w:lang w:eastAsia="zh-CN" w:bidi="ar"/>
        </w:rPr>
        <w:t>, 2013). The toxicity of herbal extracts</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expressed as LD50 values</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is commonly a</w:t>
      </w:r>
      <w:r>
        <w:rPr>
          <w:rFonts w:ascii="Times New Roman" w:eastAsia="CIDFont" w:hAnsi="Times New Roman" w:cs="Times New Roman"/>
          <w:color w:val="000000"/>
          <w:kern w:val="0"/>
          <w:sz w:val="24"/>
          <w:szCs w:val="24"/>
          <w:highlight w:val="yellow"/>
          <w:lang w:eastAsia="zh-CN" w:bidi="ar"/>
        </w:rPr>
        <w:t>ssess</w:t>
      </w:r>
      <w:r>
        <w:rPr>
          <w:rFonts w:ascii="Times New Roman" w:eastAsia="CIDFont" w:hAnsi="Times New Roman" w:cs="Times New Roman"/>
          <w:color w:val="000000"/>
          <w:kern w:val="0"/>
          <w:sz w:val="24"/>
          <w:szCs w:val="24"/>
          <w:lang w:eastAsia="zh-CN" w:bidi="ar"/>
        </w:rPr>
        <w:t xml:space="preserve">ed by comparison </w:t>
      </w:r>
      <w:r>
        <w:rPr>
          <w:rFonts w:ascii="Times New Roman" w:eastAsia="CIDFont" w:hAnsi="Times New Roman" w:cs="Times New Roman"/>
          <w:color w:val="000000"/>
          <w:kern w:val="0"/>
          <w:sz w:val="24"/>
          <w:szCs w:val="24"/>
          <w:highlight w:val="yellow"/>
          <w:lang w:eastAsia="zh-CN" w:bidi="ar"/>
        </w:rPr>
        <w:t>wi</w:t>
      </w:r>
      <w:r>
        <w:rPr>
          <w:rFonts w:ascii="Times New Roman" w:eastAsia="CIDFont" w:hAnsi="Times New Roman" w:cs="Times New Roman"/>
          <w:color w:val="000000"/>
          <w:kern w:val="0"/>
          <w:sz w:val="24"/>
          <w:szCs w:val="24"/>
          <w:lang w:eastAsia="zh-CN" w:bidi="ar"/>
        </w:rPr>
        <w:t>t</w:t>
      </w:r>
      <w:r>
        <w:rPr>
          <w:rFonts w:ascii="Times New Roman" w:eastAsia="CIDFont" w:hAnsi="Times New Roman" w:cs="Times New Roman"/>
          <w:color w:val="000000"/>
          <w:kern w:val="0"/>
          <w:sz w:val="24"/>
          <w:szCs w:val="24"/>
          <w:highlight w:val="yellow"/>
          <w:lang w:eastAsia="zh-CN" w:bidi="ar"/>
        </w:rPr>
        <w:t>h either</w:t>
      </w:r>
      <w:r>
        <w:rPr>
          <w:rFonts w:ascii="Times New Roman" w:eastAsia="CIDFont" w:hAnsi="Times New Roman" w:cs="Times New Roman"/>
          <w:color w:val="000000"/>
          <w:kern w:val="0"/>
          <w:sz w:val="24"/>
          <w:szCs w:val="24"/>
          <w:lang w:eastAsia="zh-CN" w:bidi="ar"/>
        </w:rPr>
        <w:t xml:space="preserve"> Meyer’s or Clarkson’s toxicity index. An initial assessment of toxic manifestations in laboratory animals is one of the screening experiments performed during the evaluation of the toxic characteristics of medicinal plants (Ukwuani et al., 2012). </w:t>
      </w:r>
    </w:p>
    <w:p w14:paraId="47ED9AE1" w14:textId="69CF5C0E" w:rsidR="0035258B" w:rsidRDefault="006B05A0" w:rsidP="008A3FD2">
      <w:pPr>
        <w:spacing w:line="480" w:lineRule="auto"/>
        <w:jc w:val="both"/>
        <w:rPr>
          <w:rFonts w:ascii="Times New Roman" w:hAnsi="Times New Roman" w:cs="Times New Roman"/>
          <w:sz w:val="24"/>
          <w:szCs w:val="24"/>
        </w:rPr>
      </w:pPr>
      <w:r w:rsidRPr="006B05A0">
        <w:rPr>
          <w:rFonts w:ascii="Times New Roman" w:eastAsia="CIDFont" w:hAnsi="Times New Roman" w:cs="Times New Roman"/>
          <w:color w:val="000000"/>
          <w:kern w:val="0"/>
          <w:sz w:val="24"/>
          <w:szCs w:val="24"/>
          <w:lang w:eastAsia="zh-CN" w:bidi="ar"/>
        </w:rPr>
        <w:t>Accordingly, these assessments were undertaken in the present study. All 108 administrations of the extract were delivered orally, as this route is widely used in toxicity studies because it is comparatively less invasive, more economical, and generally associated with slower absorption. The rats were fasted prior to administration to minimise potential interactions between the extract and food components, since substances present within the gastrointestinal tract may interact with orally administered compounds and thereby influence their absorption or effects (Kumar &amp; Lalitha, 2013</w:t>
      </w:r>
      <w:proofErr w:type="gramStart"/>
      <w:r w:rsidRPr="006B05A0">
        <w:rPr>
          <w:rFonts w:ascii="Times New Roman" w:eastAsia="CIDFont" w:hAnsi="Times New Roman" w:cs="Times New Roman"/>
          <w:color w:val="000000"/>
          <w:kern w:val="0"/>
          <w:sz w:val="24"/>
          <w:szCs w:val="24"/>
          <w:lang w:eastAsia="zh-CN" w:bidi="ar"/>
        </w:rPr>
        <w:t>).</w:t>
      </w:r>
      <w:r w:rsidR="006D1A0F">
        <w:rPr>
          <w:rFonts w:ascii="Times New Roman" w:eastAsia="CIDFont" w:hAnsi="Times New Roman" w:cs="Times New Roman"/>
          <w:color w:val="000000"/>
          <w:kern w:val="0"/>
          <w:sz w:val="24"/>
          <w:szCs w:val="24"/>
          <w:lang w:eastAsia="zh-CN" w:bidi="ar"/>
        </w:rPr>
        <w:t>The</w:t>
      </w:r>
      <w:proofErr w:type="gramEnd"/>
      <w:r w:rsidR="006D1A0F">
        <w:rPr>
          <w:rFonts w:ascii="Times New Roman" w:eastAsia="CIDFont" w:hAnsi="Times New Roman" w:cs="Times New Roman"/>
          <w:color w:val="000000"/>
          <w:kern w:val="0"/>
          <w:sz w:val="24"/>
          <w:szCs w:val="24"/>
          <w:lang w:eastAsia="zh-CN" w:bidi="ar"/>
        </w:rPr>
        <w:t xml:space="preserve"> </w:t>
      </w:r>
      <w:r w:rsidR="006D1A0F">
        <w:rPr>
          <w:rFonts w:ascii="Times New Roman" w:eastAsia="CIDFont" w:hAnsi="Times New Roman" w:cs="Times New Roman"/>
          <w:color w:val="000000"/>
          <w:kern w:val="0"/>
          <w:sz w:val="24"/>
          <w:szCs w:val="24"/>
          <w:highlight w:val="yellow"/>
          <w:lang w:eastAsia="zh-CN" w:bidi="ar"/>
        </w:rPr>
        <w:t>abs</w:t>
      </w:r>
      <w:r w:rsidR="006D1A0F">
        <w:rPr>
          <w:rFonts w:ascii="Times New Roman" w:eastAsia="CIDFont" w:hAnsi="Times New Roman" w:cs="Times New Roman"/>
          <w:color w:val="000000"/>
          <w:kern w:val="0"/>
          <w:sz w:val="24"/>
          <w:szCs w:val="24"/>
          <w:lang w:eastAsia="zh-CN" w:bidi="ar"/>
        </w:rPr>
        <w:t>en</w:t>
      </w:r>
      <w:r w:rsidR="006D1A0F">
        <w:rPr>
          <w:rFonts w:ascii="Times New Roman" w:eastAsia="CIDFont" w:hAnsi="Times New Roman" w:cs="Times New Roman"/>
          <w:color w:val="000000"/>
          <w:kern w:val="0"/>
          <w:sz w:val="24"/>
          <w:szCs w:val="24"/>
          <w:highlight w:val="yellow"/>
          <w:lang w:eastAsia="zh-CN" w:bidi="ar"/>
        </w:rPr>
        <w:t>ce</w:t>
      </w:r>
      <w:r w:rsidR="006D1A0F">
        <w:rPr>
          <w:rFonts w:ascii="Times New Roman" w:eastAsia="CIDFont" w:hAnsi="Times New Roman" w:cs="Times New Roman"/>
          <w:color w:val="000000"/>
          <w:kern w:val="0"/>
          <w:sz w:val="24"/>
          <w:szCs w:val="24"/>
          <w:lang w:eastAsia="zh-CN" w:bidi="ar"/>
        </w:rPr>
        <w:t xml:space="preserve"> of treatment-related deaths or toxic signs after the acute study </w:t>
      </w:r>
      <w:r w:rsidR="006D1A0F">
        <w:rPr>
          <w:rFonts w:ascii="Times New Roman" w:eastAsia="CIDFont" w:hAnsi="Times New Roman" w:cs="Times New Roman"/>
          <w:color w:val="000000"/>
          <w:kern w:val="0"/>
          <w:sz w:val="24"/>
          <w:szCs w:val="24"/>
          <w:highlight w:val="yellow"/>
          <w:lang w:eastAsia="zh-CN" w:bidi="ar"/>
        </w:rPr>
        <w:t>indicat</w:t>
      </w:r>
      <w:r w:rsidR="006D1A0F">
        <w:rPr>
          <w:rFonts w:ascii="Times New Roman" w:eastAsia="CIDFont" w:hAnsi="Times New Roman" w:cs="Times New Roman"/>
          <w:color w:val="000000"/>
          <w:kern w:val="0"/>
          <w:sz w:val="24"/>
          <w:szCs w:val="24"/>
          <w:lang w:eastAsia="zh-CN" w:bidi="ar"/>
        </w:rPr>
        <w:t xml:space="preserve">es that the extract could be well tolerated up to </w:t>
      </w:r>
      <w:r w:rsidR="006D1A0F">
        <w:rPr>
          <w:rFonts w:ascii="Times New Roman" w:eastAsia="CIDFont" w:hAnsi="Times New Roman" w:cs="Times New Roman"/>
          <w:color w:val="000000"/>
          <w:kern w:val="0"/>
          <w:sz w:val="24"/>
          <w:szCs w:val="24"/>
          <w:highlight w:val="yellow"/>
          <w:lang w:eastAsia="zh-CN" w:bidi="ar"/>
        </w:rPr>
        <w:t>a</w:t>
      </w:r>
      <w:r w:rsidR="006D1A0F">
        <w:rPr>
          <w:rFonts w:ascii="Times New Roman" w:eastAsia="CIDFont" w:hAnsi="Times New Roman" w:cs="Times New Roman"/>
          <w:color w:val="000000"/>
          <w:kern w:val="0"/>
          <w:sz w:val="24"/>
          <w:szCs w:val="24"/>
          <w:lang w:eastAsia="zh-CN" w:bidi="ar"/>
        </w:rPr>
        <w:t xml:space="preserve"> dose of 5,000 mg/kg body weight (Jothy, 2011). </w:t>
      </w:r>
    </w:p>
    <w:p w14:paraId="015B77F8"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According to the Globally Harmonized Classification System</w:t>
      </w:r>
      <w:r>
        <w:rPr>
          <w:rFonts w:ascii="Times New Roman" w:eastAsia="CIDFont" w:hAnsi="Times New Roman" w:cs="Times New Roman"/>
          <w:color w:val="000000"/>
          <w:kern w:val="0"/>
          <w:sz w:val="24"/>
          <w:szCs w:val="24"/>
          <w:highlight w:val="yellow"/>
          <w:lang w:eastAsia="zh-CN" w:bidi="ar"/>
        </w:rPr>
        <w:t xml:space="preserve"> and</w:t>
      </w:r>
      <w:r>
        <w:rPr>
          <w:rFonts w:ascii="Times New Roman" w:eastAsia="CIDFont" w:hAnsi="Times New Roman" w:cs="Times New Roman"/>
          <w:color w:val="000000"/>
          <w:kern w:val="0"/>
          <w:sz w:val="24"/>
          <w:szCs w:val="24"/>
          <w:lang w:eastAsia="zh-CN" w:bidi="ar"/>
        </w:rPr>
        <w:t xml:space="preserve"> the O.E.C.D. test guideline 423 </w:t>
      </w:r>
    </w:p>
    <w:p w14:paraId="2D160A7C"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for oral toxicity tests, AFEAG can be classified as Category 5, which is the lowest toxicity class </w:t>
      </w:r>
    </w:p>
    <w:p w14:paraId="419D0307"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highlight w:val="yellow"/>
          <w:lang w:eastAsia="zh-CN" w:bidi="ar"/>
        </w:rPr>
        <w:t>f</w:t>
      </w:r>
      <w:r>
        <w:rPr>
          <w:rFonts w:ascii="Times New Roman" w:eastAsia="CIDFont" w:hAnsi="Times New Roman" w:cs="Times New Roman"/>
          <w:color w:val="000000"/>
          <w:kern w:val="0"/>
          <w:sz w:val="24"/>
          <w:szCs w:val="24"/>
          <w:lang w:eastAsia="zh-CN" w:bidi="ar"/>
        </w:rPr>
        <w:t>o</w:t>
      </w:r>
      <w:r>
        <w:rPr>
          <w:rFonts w:ascii="Times New Roman" w:eastAsia="CIDFont" w:hAnsi="Times New Roman" w:cs="Times New Roman"/>
          <w:color w:val="000000"/>
          <w:kern w:val="0"/>
          <w:sz w:val="24"/>
          <w:szCs w:val="24"/>
          <w:highlight w:val="yellow"/>
          <w:lang w:eastAsia="zh-CN" w:bidi="ar"/>
        </w:rPr>
        <w:t>r</w:t>
      </w:r>
      <w:r>
        <w:rPr>
          <w:rFonts w:ascii="Times New Roman" w:eastAsia="CIDFont" w:hAnsi="Times New Roman" w:cs="Times New Roman"/>
          <w:color w:val="000000"/>
          <w:kern w:val="0"/>
          <w:sz w:val="24"/>
          <w:szCs w:val="24"/>
          <w:lang w:eastAsia="zh-CN" w:bidi="ar"/>
        </w:rPr>
        <w:t xml:space="preserve"> drugs/chemicals that are found to be safe at doses ranging between 2,000-5,000 mg/kg. This </w:t>
      </w:r>
    </w:p>
    <w:p w14:paraId="3F89E990"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means that AFEAG can be used at doses of up to 5,000 mg/kg </w:t>
      </w:r>
      <w:r>
        <w:rPr>
          <w:rFonts w:ascii="Times New Roman" w:eastAsia="CIDFont" w:hAnsi="Times New Roman" w:cs="Times New Roman"/>
          <w:color w:val="000000"/>
          <w:kern w:val="0"/>
          <w:sz w:val="24"/>
          <w:szCs w:val="24"/>
          <w:highlight w:val="yellow"/>
          <w:lang w:eastAsia="zh-CN" w:bidi="ar"/>
        </w:rPr>
        <w:t>i</w:t>
      </w:r>
      <w:r>
        <w:rPr>
          <w:rFonts w:ascii="Times New Roman" w:eastAsia="CIDFont" w:hAnsi="Times New Roman" w:cs="Times New Roman"/>
          <w:color w:val="000000"/>
          <w:kern w:val="0"/>
          <w:sz w:val="24"/>
          <w:szCs w:val="24"/>
          <w:lang w:eastAsia="zh-CN" w:bidi="ar"/>
        </w:rPr>
        <w:t xml:space="preserve">n rats when scientific investigations having direct relevance to protecting animal and human health or the environment </w:t>
      </w:r>
    </w:p>
    <w:p w14:paraId="28D21C85"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lastRenderedPageBreak/>
        <w:t xml:space="preserve">using the extract are desired (O.E.C.D., 2021). </w:t>
      </w:r>
    </w:p>
    <w:p w14:paraId="1F9CE0AD"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Acute toxicity testing has limited clinical applications because cumulative toxic effects can occur even at a very low dose of a chemical (Chitra et al., 2015). Hence, the subacute test with multiple administrations was also carried out to </w:t>
      </w:r>
      <w:r>
        <w:rPr>
          <w:rFonts w:ascii="Times New Roman" w:eastAsia="CIDFont" w:hAnsi="Times New Roman" w:cs="Times New Roman"/>
          <w:color w:val="000000"/>
          <w:kern w:val="0"/>
          <w:sz w:val="24"/>
          <w:szCs w:val="24"/>
          <w:highlight w:val="yellow"/>
          <w:lang w:eastAsia="zh-CN" w:bidi="ar"/>
        </w:rPr>
        <w:t>ob</w:t>
      </w:r>
      <w:r>
        <w:rPr>
          <w:rFonts w:ascii="Times New Roman" w:eastAsia="CIDFont" w:hAnsi="Times New Roman" w:cs="Times New Roman"/>
          <w:color w:val="000000"/>
          <w:kern w:val="0"/>
          <w:sz w:val="24"/>
          <w:szCs w:val="24"/>
          <w:lang w:eastAsia="zh-CN" w:bidi="ar"/>
        </w:rPr>
        <w:t>t</w:t>
      </w:r>
      <w:r>
        <w:rPr>
          <w:rFonts w:ascii="Times New Roman" w:eastAsia="CIDFont" w:hAnsi="Times New Roman" w:cs="Times New Roman"/>
          <w:color w:val="000000"/>
          <w:kern w:val="0"/>
          <w:sz w:val="24"/>
          <w:szCs w:val="24"/>
          <w:highlight w:val="yellow"/>
          <w:lang w:eastAsia="zh-CN" w:bidi="ar"/>
        </w:rPr>
        <w:t>ain</w:t>
      </w:r>
      <w:r>
        <w:rPr>
          <w:rFonts w:ascii="Times New Roman" w:eastAsia="CIDFont" w:hAnsi="Times New Roman" w:cs="Times New Roman"/>
          <w:color w:val="000000"/>
          <w:kern w:val="0"/>
          <w:sz w:val="24"/>
          <w:szCs w:val="24"/>
          <w:lang w:eastAsia="zh-CN" w:bidi="ar"/>
        </w:rPr>
        <w:t xml:space="preserve"> information on possible health threats and cumulative effects on various body systems that could arise </w:t>
      </w:r>
      <w:r>
        <w:rPr>
          <w:rFonts w:ascii="Times New Roman" w:eastAsia="CIDFont" w:hAnsi="Times New Roman" w:cs="Times New Roman"/>
          <w:color w:val="000000"/>
          <w:kern w:val="0"/>
          <w:sz w:val="24"/>
          <w:szCs w:val="24"/>
          <w:highlight w:val="yellow"/>
          <w:lang w:eastAsia="zh-CN" w:bidi="ar"/>
        </w:rPr>
        <w:t>from l</w:t>
      </w:r>
      <w:r>
        <w:rPr>
          <w:rFonts w:ascii="Times New Roman" w:eastAsia="CIDFont" w:hAnsi="Times New Roman" w:cs="Times New Roman"/>
          <w:color w:val="000000"/>
          <w:kern w:val="0"/>
          <w:sz w:val="24"/>
          <w:szCs w:val="24"/>
          <w:lang w:eastAsia="zh-CN" w:bidi="ar"/>
        </w:rPr>
        <w:t>on</w:t>
      </w:r>
      <w:r>
        <w:rPr>
          <w:rFonts w:ascii="Times New Roman" w:eastAsia="CIDFont" w:hAnsi="Times New Roman" w:cs="Times New Roman"/>
          <w:color w:val="000000"/>
          <w:kern w:val="0"/>
          <w:sz w:val="24"/>
          <w:szCs w:val="24"/>
          <w:highlight w:val="yellow"/>
          <w:lang w:eastAsia="zh-CN" w:bidi="ar"/>
        </w:rPr>
        <w:t>g-term</w:t>
      </w:r>
      <w:r>
        <w:rPr>
          <w:rFonts w:ascii="Times New Roman" w:eastAsia="CIDFont" w:hAnsi="Times New Roman" w:cs="Times New Roman"/>
          <w:color w:val="000000"/>
          <w:kern w:val="0"/>
          <w:sz w:val="24"/>
          <w:szCs w:val="24"/>
          <w:lang w:eastAsia="zh-CN" w:bidi="ar"/>
        </w:rPr>
        <w:t xml:space="preserve"> exposure. </w:t>
      </w:r>
    </w:p>
    <w:p w14:paraId="606415D3"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There were no deaths or adverse toxic</w:t>
      </w:r>
      <w:r>
        <w:rPr>
          <w:rFonts w:ascii="Times New Roman" w:eastAsia="CIDFont" w:hAnsi="Times New Roman" w:cs="Times New Roman"/>
          <w:color w:val="000000"/>
          <w:kern w:val="0"/>
          <w:sz w:val="24"/>
          <w:szCs w:val="24"/>
          <w:highlight w:val="yellow"/>
          <w:lang w:eastAsia="zh-CN" w:bidi="ar"/>
        </w:rPr>
        <w:t xml:space="preserve"> effec</w:t>
      </w:r>
      <w:r>
        <w:rPr>
          <w:rFonts w:ascii="Times New Roman" w:eastAsia="CIDFont" w:hAnsi="Times New Roman" w:cs="Times New Roman"/>
          <w:color w:val="000000"/>
          <w:kern w:val="0"/>
          <w:sz w:val="24"/>
          <w:szCs w:val="24"/>
          <w:lang w:eastAsia="zh-CN" w:bidi="ar"/>
        </w:rPr>
        <w:t>t</w:t>
      </w:r>
      <w:r>
        <w:rPr>
          <w:rFonts w:ascii="Times New Roman" w:eastAsia="CIDFont" w:hAnsi="Times New Roman" w:cs="Times New Roman"/>
          <w:color w:val="000000"/>
          <w:kern w:val="0"/>
          <w:sz w:val="24"/>
          <w:szCs w:val="24"/>
          <w:highlight w:val="yellow"/>
          <w:lang w:eastAsia="zh-CN" w:bidi="ar"/>
        </w:rPr>
        <w:t>s</w:t>
      </w:r>
      <w:r>
        <w:rPr>
          <w:rFonts w:ascii="Times New Roman" w:eastAsia="CIDFont" w:hAnsi="Times New Roman" w:cs="Times New Roman"/>
          <w:color w:val="000000"/>
          <w:kern w:val="0"/>
          <w:sz w:val="24"/>
          <w:szCs w:val="24"/>
          <w:lang w:eastAsia="zh-CN" w:bidi="ar"/>
        </w:rPr>
        <w:t xml:space="preserve"> recorded throughout the subacute study, further </w:t>
      </w:r>
    </w:p>
    <w:p w14:paraId="7AA63CB4"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indicating the tolerability of AFEAG. After both the acute and subacute toxicity studies, no significant body weight changes were observed in the rats treated with all doses of the extract when compared </w:t>
      </w:r>
      <w:r>
        <w:rPr>
          <w:rFonts w:ascii="Times New Roman" w:eastAsia="CIDFont" w:hAnsi="Times New Roman" w:cs="Times New Roman"/>
          <w:color w:val="000000"/>
          <w:kern w:val="0"/>
          <w:sz w:val="24"/>
          <w:szCs w:val="24"/>
          <w:highlight w:val="yellow"/>
          <w:lang w:eastAsia="zh-CN" w:bidi="ar"/>
        </w:rPr>
        <w:t>wi</w:t>
      </w:r>
      <w:r>
        <w:rPr>
          <w:rFonts w:ascii="Times New Roman" w:eastAsia="CIDFont" w:hAnsi="Times New Roman" w:cs="Times New Roman"/>
          <w:color w:val="000000"/>
          <w:kern w:val="0"/>
          <w:sz w:val="24"/>
          <w:szCs w:val="24"/>
          <w:lang w:eastAsia="zh-CN" w:bidi="ar"/>
        </w:rPr>
        <w:t>t</w:t>
      </w:r>
      <w:r>
        <w:rPr>
          <w:rFonts w:ascii="Times New Roman" w:eastAsia="CIDFont" w:hAnsi="Times New Roman" w:cs="Times New Roman"/>
          <w:color w:val="000000"/>
          <w:kern w:val="0"/>
          <w:sz w:val="24"/>
          <w:szCs w:val="24"/>
          <w:highlight w:val="yellow"/>
          <w:lang w:eastAsia="zh-CN" w:bidi="ar"/>
        </w:rPr>
        <w:t>h</w:t>
      </w:r>
      <w:r>
        <w:rPr>
          <w:rFonts w:ascii="Times New Roman" w:eastAsia="CIDFont" w:hAnsi="Times New Roman" w:cs="Times New Roman"/>
          <w:color w:val="000000"/>
          <w:kern w:val="0"/>
          <w:sz w:val="24"/>
          <w:szCs w:val="24"/>
          <w:lang w:eastAsia="zh-CN" w:bidi="ar"/>
        </w:rPr>
        <w:t xml:space="preserve"> the control at p-value &gt; .05. Significant body weight changes are indicative of </w:t>
      </w:r>
    </w:p>
    <w:p w14:paraId="5673CBA9"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adverse side effects, and </w:t>
      </w:r>
      <w:r>
        <w:rPr>
          <w:rFonts w:ascii="Times New Roman" w:eastAsia="CIDFont" w:hAnsi="Times New Roman" w:cs="Times New Roman"/>
          <w:color w:val="000000"/>
          <w:kern w:val="0"/>
          <w:sz w:val="24"/>
          <w:szCs w:val="24"/>
          <w:highlight w:val="yellow"/>
          <w:lang w:eastAsia="zh-CN" w:bidi="ar"/>
        </w:rPr>
        <w:t xml:space="preserve">a loss of </w:t>
      </w:r>
      <w:r>
        <w:rPr>
          <w:rFonts w:ascii="Times New Roman" w:eastAsia="CIDFont" w:hAnsi="Times New Roman" w:cs="Times New Roman"/>
          <w:color w:val="000000"/>
          <w:kern w:val="0"/>
          <w:sz w:val="24"/>
          <w:szCs w:val="24"/>
          <w:lang w:eastAsia="zh-CN" w:bidi="ar"/>
        </w:rPr>
        <w:t xml:space="preserve">more than 20% of </w:t>
      </w:r>
      <w:r>
        <w:rPr>
          <w:rFonts w:ascii="Times New Roman" w:eastAsia="CIDFont" w:hAnsi="Times New Roman" w:cs="Times New Roman"/>
          <w:color w:val="000000"/>
          <w:kern w:val="0"/>
          <w:sz w:val="24"/>
          <w:szCs w:val="24"/>
          <w:highlight w:val="yellow"/>
          <w:lang w:eastAsia="zh-CN" w:bidi="ar"/>
        </w:rPr>
        <w:t>an</w:t>
      </w:r>
      <w:r>
        <w:rPr>
          <w:rFonts w:ascii="Times New Roman" w:eastAsia="CIDFont" w:hAnsi="Times New Roman" w:cs="Times New Roman"/>
          <w:color w:val="000000"/>
          <w:kern w:val="0"/>
          <w:sz w:val="24"/>
          <w:szCs w:val="24"/>
          <w:lang w:eastAsia="zh-CN" w:bidi="ar"/>
        </w:rPr>
        <w:t xml:space="preserve"> animal</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s body weight is regarded as critical </w:t>
      </w:r>
    </w:p>
    <w:p w14:paraId="3358FF6B" w14:textId="0C0A066A"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and has been defined as one of the human</w:t>
      </w:r>
      <w:r>
        <w:rPr>
          <w:rFonts w:ascii="Times New Roman" w:eastAsia="CIDFont" w:hAnsi="Times New Roman" w:cs="Times New Roman"/>
          <w:color w:val="000000"/>
          <w:kern w:val="0"/>
          <w:sz w:val="24"/>
          <w:szCs w:val="24"/>
          <w:highlight w:val="yellow"/>
          <w:lang w:eastAsia="zh-CN" w:bidi="ar"/>
        </w:rPr>
        <w:t>e</w:t>
      </w:r>
      <w:r>
        <w:rPr>
          <w:rFonts w:ascii="Times New Roman" w:eastAsia="CIDFont" w:hAnsi="Times New Roman" w:cs="Times New Roman"/>
          <w:color w:val="000000"/>
          <w:kern w:val="0"/>
          <w:sz w:val="24"/>
          <w:szCs w:val="24"/>
          <w:lang w:eastAsia="zh-CN" w:bidi="ar"/>
        </w:rPr>
        <w:t xml:space="preserve"> endpoints in several international guidelines (O.E.C.D, 200</w:t>
      </w:r>
      <w:r w:rsidR="009A1C5D">
        <w:rPr>
          <w:rFonts w:ascii="Times New Roman" w:eastAsia="CIDFont" w:hAnsi="Times New Roman" w:cs="Times New Roman"/>
          <w:color w:val="000000"/>
          <w:kern w:val="0"/>
          <w:sz w:val="24"/>
          <w:szCs w:val="24"/>
          <w:lang w:eastAsia="zh-CN" w:bidi="ar"/>
        </w:rPr>
        <w:t>2</w:t>
      </w:r>
      <w:r>
        <w:rPr>
          <w:rFonts w:ascii="Times New Roman" w:eastAsia="CIDFont" w:hAnsi="Times New Roman" w:cs="Times New Roman"/>
          <w:color w:val="000000"/>
          <w:kern w:val="0"/>
          <w:sz w:val="24"/>
          <w:szCs w:val="24"/>
          <w:lang w:eastAsia="zh-CN" w:bidi="ar"/>
        </w:rPr>
        <w:t xml:space="preserve">). This implies that AFEAG may not have </w:t>
      </w:r>
      <w:r>
        <w:rPr>
          <w:rFonts w:ascii="Times New Roman" w:eastAsia="CIDFont" w:hAnsi="Times New Roman" w:cs="Times New Roman"/>
          <w:color w:val="000000"/>
          <w:kern w:val="0"/>
          <w:sz w:val="24"/>
          <w:szCs w:val="24"/>
          <w:highlight w:val="yellow"/>
          <w:lang w:eastAsia="zh-CN" w:bidi="ar"/>
        </w:rPr>
        <w:t>the</w:t>
      </w:r>
      <w:r>
        <w:rPr>
          <w:rFonts w:ascii="Times New Roman" w:eastAsia="CIDFont" w:hAnsi="Times New Roman" w:cs="Times New Roman"/>
          <w:color w:val="000000"/>
          <w:kern w:val="0"/>
          <w:sz w:val="24"/>
          <w:szCs w:val="24"/>
          <w:lang w:eastAsia="zh-CN" w:bidi="ar"/>
        </w:rPr>
        <w:t xml:space="preserve"> potential to cause changes in body weight or obesity and</w:t>
      </w:r>
      <w:r>
        <w:rPr>
          <w:rFonts w:ascii="Times New Roman" w:eastAsia="CIDFont" w:hAnsi="Times New Roman" w:cs="Times New Roman"/>
          <w:color w:val="000000"/>
          <w:kern w:val="0"/>
          <w:sz w:val="24"/>
          <w:szCs w:val="24"/>
          <w:highlight w:val="yellow"/>
          <w:lang w:eastAsia="zh-CN" w:bidi="ar"/>
        </w:rPr>
        <w:t xml:space="preserve"> is</w:t>
      </w:r>
      <w:r>
        <w:rPr>
          <w:rFonts w:ascii="Times New Roman" w:eastAsia="CIDFont" w:hAnsi="Times New Roman" w:cs="Times New Roman"/>
          <w:color w:val="000000"/>
          <w:kern w:val="0"/>
          <w:sz w:val="24"/>
          <w:szCs w:val="24"/>
          <w:lang w:eastAsia="zh-CN" w:bidi="ar"/>
        </w:rPr>
        <w:t xml:space="preserve"> therefore safe in that regard. Tannins (commonly referred to as tannic acids) are water-soluble polyphenols that are present in many plant foods and </w:t>
      </w:r>
      <w:r>
        <w:rPr>
          <w:rFonts w:ascii="Times New Roman" w:eastAsia="CIDFont" w:hAnsi="Times New Roman" w:cs="Times New Roman"/>
          <w:color w:val="000000"/>
          <w:kern w:val="0"/>
          <w:sz w:val="24"/>
          <w:szCs w:val="24"/>
          <w:highlight w:val="yellow"/>
          <w:lang w:eastAsia="zh-CN" w:bidi="ar"/>
        </w:rPr>
        <w:t xml:space="preserve">are </w:t>
      </w:r>
      <w:r>
        <w:rPr>
          <w:rFonts w:ascii="Times New Roman" w:eastAsia="CIDFont" w:hAnsi="Times New Roman" w:cs="Times New Roman"/>
          <w:color w:val="000000"/>
          <w:kern w:val="0"/>
          <w:sz w:val="24"/>
          <w:szCs w:val="24"/>
          <w:lang w:eastAsia="zh-CN" w:bidi="ar"/>
        </w:rPr>
        <w:t>reported to cause a decrease in net metaboli</w:t>
      </w:r>
      <w:r>
        <w:rPr>
          <w:rFonts w:ascii="Times New Roman" w:eastAsia="CIDFont" w:hAnsi="Times New Roman" w:cs="Times New Roman"/>
          <w:color w:val="000000"/>
          <w:kern w:val="0"/>
          <w:sz w:val="24"/>
          <w:szCs w:val="24"/>
          <w:highlight w:val="yellow"/>
          <w:lang w:eastAsia="zh-CN" w:bidi="ar"/>
        </w:rPr>
        <w:t>s</w:t>
      </w:r>
      <w:r>
        <w:rPr>
          <w:rFonts w:ascii="Times New Roman" w:eastAsia="CIDFont" w:hAnsi="Times New Roman" w:cs="Times New Roman"/>
          <w:color w:val="000000"/>
          <w:kern w:val="0"/>
          <w:sz w:val="24"/>
          <w:szCs w:val="24"/>
          <w:lang w:eastAsia="zh-CN" w:bidi="ar"/>
        </w:rPr>
        <w:t xml:space="preserve">able energy and protein digestibility in experimental animals. </w:t>
      </w:r>
    </w:p>
    <w:p w14:paraId="784B6A5C"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In large amounts, tannic acid can cause side effects such as stomach irritation, nausea, vomiting, </w:t>
      </w:r>
    </w:p>
    <w:p w14:paraId="003C37FF"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and liver damage (Chung et al., 1998). It may be expected that the tannins present in AFEAG </w:t>
      </w:r>
    </w:p>
    <w:p w14:paraId="213CECC2"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exhibit a similar effect in this study; </w:t>
      </w:r>
      <w:r>
        <w:rPr>
          <w:rFonts w:ascii="Times New Roman" w:eastAsia="CIDFont" w:hAnsi="Times New Roman" w:cs="Times New Roman"/>
          <w:color w:val="000000"/>
          <w:kern w:val="0"/>
          <w:sz w:val="24"/>
          <w:szCs w:val="24"/>
          <w:highlight w:val="yellow"/>
          <w:lang w:eastAsia="zh-CN" w:bidi="ar"/>
        </w:rPr>
        <w:t>h</w:t>
      </w:r>
      <w:r>
        <w:rPr>
          <w:rFonts w:ascii="Times New Roman" w:eastAsia="CIDFont" w:hAnsi="Times New Roman" w:cs="Times New Roman"/>
          <w:color w:val="000000"/>
          <w:kern w:val="0"/>
          <w:sz w:val="24"/>
          <w:szCs w:val="24"/>
          <w:lang w:eastAsia="zh-CN" w:bidi="ar"/>
        </w:rPr>
        <w:t>o</w:t>
      </w:r>
      <w:r>
        <w:rPr>
          <w:rFonts w:ascii="Times New Roman" w:eastAsia="CIDFont" w:hAnsi="Times New Roman" w:cs="Times New Roman"/>
          <w:color w:val="000000"/>
          <w:kern w:val="0"/>
          <w:sz w:val="24"/>
          <w:szCs w:val="24"/>
          <w:highlight w:val="yellow"/>
          <w:lang w:eastAsia="zh-CN" w:bidi="ar"/>
        </w:rPr>
        <w:t>wever,</w:t>
      </w:r>
      <w:r>
        <w:rPr>
          <w:rFonts w:ascii="Times New Roman" w:eastAsia="CIDFont" w:hAnsi="Times New Roman" w:cs="Times New Roman"/>
          <w:color w:val="000000"/>
          <w:kern w:val="0"/>
          <w:sz w:val="24"/>
          <w:szCs w:val="24"/>
          <w:lang w:eastAsia="zh-CN" w:bidi="ar"/>
        </w:rPr>
        <w:t xml:space="preserve"> the contrary</w:t>
      </w:r>
      <w:r>
        <w:rPr>
          <w:rFonts w:ascii="Times New Roman" w:eastAsia="CIDFont" w:hAnsi="Times New Roman" w:cs="Times New Roman"/>
          <w:color w:val="000000"/>
          <w:kern w:val="0"/>
          <w:sz w:val="24"/>
          <w:szCs w:val="24"/>
          <w:highlight w:val="yellow"/>
          <w:lang w:eastAsia="zh-CN" w:bidi="ar"/>
        </w:rPr>
        <w:t xml:space="preserve"> was observed</w:t>
      </w:r>
      <w:r>
        <w:rPr>
          <w:rFonts w:ascii="Times New Roman" w:eastAsia="CIDFont" w:hAnsi="Times New Roman" w:cs="Times New Roman"/>
          <w:color w:val="000000"/>
          <w:kern w:val="0"/>
          <w:sz w:val="24"/>
          <w:szCs w:val="24"/>
          <w:lang w:eastAsia="zh-CN" w:bidi="ar"/>
        </w:rPr>
        <w:t xml:space="preserve">. It is possible that the level of tannins in </w:t>
      </w:r>
    </w:p>
    <w:p w14:paraId="39538E05"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AFEAG is not high enough to elicit that effect. Hence, even with the presence of tannins in </w:t>
      </w:r>
    </w:p>
    <w:p w14:paraId="557C18E0"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AFEAG intake may neither cause malnourishment nor lead to obesity, as evidenced </w:t>
      </w:r>
      <w:r>
        <w:rPr>
          <w:rFonts w:ascii="Times New Roman" w:eastAsia="CIDFont" w:hAnsi="Times New Roman" w:cs="Times New Roman"/>
          <w:color w:val="000000"/>
          <w:kern w:val="0"/>
          <w:sz w:val="24"/>
          <w:szCs w:val="24"/>
          <w:highlight w:val="yellow"/>
          <w:lang w:eastAsia="zh-CN" w:bidi="ar"/>
        </w:rPr>
        <w:t>by</w:t>
      </w:r>
      <w:r>
        <w:rPr>
          <w:rFonts w:ascii="Times New Roman" w:eastAsia="CIDFont" w:hAnsi="Times New Roman" w:cs="Times New Roman"/>
          <w:color w:val="000000"/>
          <w:kern w:val="0"/>
          <w:sz w:val="24"/>
          <w:szCs w:val="24"/>
          <w:lang w:eastAsia="zh-CN" w:bidi="ar"/>
        </w:rPr>
        <w:t xml:space="preserve"> the </w:t>
      </w:r>
    </w:p>
    <w:p w14:paraId="14D33905"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lastRenderedPageBreak/>
        <w:t>finding</w:t>
      </w:r>
      <w:r>
        <w:rPr>
          <w:rFonts w:ascii="Times New Roman" w:eastAsia="CIDFont" w:hAnsi="Times New Roman" w:cs="Times New Roman"/>
          <w:color w:val="000000"/>
          <w:kern w:val="0"/>
          <w:sz w:val="24"/>
          <w:szCs w:val="24"/>
          <w:highlight w:val="yellow"/>
          <w:lang w:eastAsia="zh-CN" w:bidi="ar"/>
        </w:rPr>
        <w:t>s</w:t>
      </w:r>
      <w:r>
        <w:rPr>
          <w:rFonts w:ascii="Times New Roman" w:eastAsia="CIDFont" w:hAnsi="Times New Roman" w:cs="Times New Roman"/>
          <w:color w:val="000000"/>
          <w:kern w:val="0"/>
          <w:sz w:val="24"/>
          <w:szCs w:val="24"/>
          <w:lang w:eastAsia="zh-CN" w:bidi="ar"/>
        </w:rPr>
        <w:t xml:space="preserve"> of this study. </w:t>
      </w:r>
    </w:p>
    <w:p w14:paraId="063F4106"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The liver is a target organ and</w:t>
      </w:r>
      <w:r>
        <w:rPr>
          <w:rFonts w:ascii="Times New Roman" w:eastAsia="CIDFont" w:hAnsi="Times New Roman" w:cs="Times New Roman"/>
          <w:color w:val="000000"/>
          <w:kern w:val="0"/>
          <w:sz w:val="24"/>
          <w:szCs w:val="24"/>
          <w:highlight w:val="yellow"/>
          <w:lang w:eastAsia="zh-CN" w:bidi="ar"/>
        </w:rPr>
        <w:t xml:space="preserve"> the</w:t>
      </w:r>
      <w:r>
        <w:rPr>
          <w:rFonts w:ascii="Times New Roman" w:eastAsia="CIDFont" w:hAnsi="Times New Roman" w:cs="Times New Roman"/>
          <w:color w:val="000000"/>
          <w:kern w:val="0"/>
          <w:sz w:val="24"/>
          <w:szCs w:val="24"/>
          <w:lang w:eastAsia="zh-CN" w:bidi="ar"/>
        </w:rPr>
        <w:t xml:space="preserve"> primary site of detoxification and is generally the major </w:t>
      </w:r>
    </w:p>
    <w:p w14:paraId="43AE2C3E"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site of intense metabolism</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w:t>
      </w:r>
      <w:r>
        <w:rPr>
          <w:rFonts w:ascii="Times New Roman" w:eastAsia="CIDFont" w:hAnsi="Times New Roman" w:cs="Times New Roman"/>
          <w:color w:val="000000"/>
          <w:kern w:val="0"/>
          <w:sz w:val="24"/>
          <w:szCs w:val="24"/>
          <w:highlight w:val="yellow"/>
          <w:lang w:eastAsia="zh-CN" w:bidi="ar"/>
        </w:rPr>
        <w:t>it is</w:t>
      </w:r>
      <w:r>
        <w:rPr>
          <w:rFonts w:ascii="Times New Roman" w:eastAsia="CIDFont" w:hAnsi="Times New Roman" w:cs="Times New Roman"/>
          <w:color w:val="000000"/>
          <w:kern w:val="0"/>
          <w:sz w:val="24"/>
          <w:szCs w:val="24"/>
          <w:lang w:eastAsia="zh-CN" w:bidi="ar"/>
        </w:rPr>
        <w:t xml:space="preserve"> therefore prone to various disorders as a consequence of exposure </w:t>
      </w:r>
    </w:p>
    <w:p w14:paraId="0BE40EAF"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to toxins of extrinsic and intrinsic origins (Hodgson, 2004). Plasma proteins are produced in the </w:t>
      </w:r>
    </w:p>
    <w:p w14:paraId="4713FFFA"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liver. In</w:t>
      </w:r>
      <w:r>
        <w:rPr>
          <w:rFonts w:ascii="Times New Roman" w:eastAsia="CIDFont" w:hAnsi="Times New Roman" w:cs="Times New Roman"/>
          <w:color w:val="000000"/>
          <w:kern w:val="0"/>
          <w:sz w:val="24"/>
          <w:szCs w:val="24"/>
          <w:highlight w:val="yellow"/>
          <w:lang w:eastAsia="zh-CN" w:bidi="ar"/>
        </w:rPr>
        <w:t xml:space="preserve"> the</w:t>
      </w:r>
      <w:r>
        <w:rPr>
          <w:rFonts w:ascii="Times New Roman" w:eastAsia="CIDFont" w:hAnsi="Times New Roman" w:cs="Times New Roman"/>
          <w:color w:val="000000"/>
          <w:kern w:val="0"/>
          <w:sz w:val="24"/>
          <w:szCs w:val="24"/>
          <w:lang w:eastAsia="zh-CN" w:bidi="ar"/>
        </w:rPr>
        <w:t xml:space="preserve"> case of liver damage, production of these proteins is reduced or completely cease</w:t>
      </w:r>
      <w:r>
        <w:rPr>
          <w:rFonts w:ascii="Times New Roman" w:eastAsia="CIDFont" w:hAnsi="Times New Roman" w:cs="Times New Roman"/>
          <w:color w:val="000000"/>
          <w:kern w:val="0"/>
          <w:sz w:val="24"/>
          <w:szCs w:val="24"/>
          <w:highlight w:val="yellow"/>
          <w:lang w:eastAsia="zh-CN" w:bidi="ar"/>
        </w:rPr>
        <w:t>s</w:t>
      </w:r>
      <w:r>
        <w:rPr>
          <w:rFonts w:ascii="Times New Roman" w:eastAsia="CIDFont" w:hAnsi="Times New Roman" w:cs="Times New Roman"/>
          <w:color w:val="000000"/>
          <w:kern w:val="0"/>
          <w:sz w:val="24"/>
          <w:szCs w:val="24"/>
          <w:lang w:eastAsia="zh-CN" w:bidi="ar"/>
        </w:rPr>
        <w:t xml:space="preserve"> </w:t>
      </w:r>
    </w:p>
    <w:p w14:paraId="655000B2" w14:textId="3281E10A"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(Chukwudoruo et al., 202</w:t>
      </w:r>
      <w:r w:rsidR="009A1C5D">
        <w:rPr>
          <w:rFonts w:ascii="Times New Roman" w:eastAsia="CIDFont" w:hAnsi="Times New Roman" w:cs="Times New Roman"/>
          <w:color w:val="000000"/>
          <w:kern w:val="0"/>
          <w:sz w:val="24"/>
          <w:szCs w:val="24"/>
          <w:lang w:eastAsia="zh-CN" w:bidi="ar"/>
        </w:rPr>
        <w:t>1</w:t>
      </w:r>
      <w:r>
        <w:rPr>
          <w:rFonts w:ascii="Times New Roman" w:eastAsia="CIDFont" w:hAnsi="Times New Roman" w:cs="Times New Roman"/>
          <w:color w:val="000000"/>
          <w:kern w:val="0"/>
          <w:sz w:val="24"/>
          <w:szCs w:val="24"/>
          <w:lang w:eastAsia="zh-CN" w:bidi="ar"/>
        </w:rPr>
        <w:t xml:space="preserve">). Plasma proteins interact with virtually all body tissues or cells and </w:t>
      </w:r>
    </w:p>
    <w:p w14:paraId="49379590"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are ultimately related to protein metabolism in the liver. Albumin constitutes approximately 60% </w:t>
      </w:r>
    </w:p>
    <w:p w14:paraId="74719A8A" w14:textId="1FBDEB49"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of normal plasma proteins (</w:t>
      </w:r>
      <w:r w:rsidR="009A1C5D" w:rsidRPr="009A1C5D">
        <w:rPr>
          <w:rFonts w:ascii="Times New Roman" w:eastAsia="CIDFont" w:hAnsi="Times New Roman" w:cs="Times New Roman"/>
          <w:color w:val="000000"/>
          <w:kern w:val="0"/>
          <w:sz w:val="24"/>
          <w:szCs w:val="24"/>
          <w:lang w:eastAsia="zh-CN" w:bidi="ar"/>
        </w:rPr>
        <w:t>Al-Shafi</w:t>
      </w:r>
      <w:r>
        <w:rPr>
          <w:rFonts w:ascii="Times New Roman" w:eastAsia="CIDFont" w:hAnsi="Times New Roman" w:cs="Times New Roman"/>
          <w:color w:val="000000"/>
          <w:kern w:val="0"/>
          <w:sz w:val="24"/>
          <w:szCs w:val="24"/>
          <w:lang w:eastAsia="zh-CN" w:bidi="ar"/>
        </w:rPr>
        <w:t xml:space="preserve">, 2002). From the results of this study, AFEAG did not </w:t>
      </w:r>
      <w:r>
        <w:rPr>
          <w:rFonts w:ascii="Times New Roman" w:eastAsia="CIDFont" w:hAnsi="Times New Roman" w:cs="Times New Roman"/>
          <w:color w:val="000000"/>
          <w:kern w:val="0"/>
          <w:sz w:val="24"/>
          <w:szCs w:val="24"/>
          <w:highlight w:val="yellow"/>
          <w:lang w:eastAsia="zh-CN" w:bidi="ar"/>
        </w:rPr>
        <w:t xml:space="preserve">significantly </w:t>
      </w:r>
      <w:r>
        <w:rPr>
          <w:rFonts w:ascii="Times New Roman" w:eastAsia="CIDFont" w:hAnsi="Times New Roman" w:cs="Times New Roman"/>
          <w:color w:val="000000"/>
          <w:kern w:val="0"/>
          <w:sz w:val="24"/>
          <w:szCs w:val="24"/>
          <w:lang w:eastAsia="zh-CN" w:bidi="ar"/>
        </w:rPr>
        <w:t xml:space="preserve">affect </w:t>
      </w:r>
    </w:p>
    <w:p w14:paraId="4542892F"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highlight w:val="yellow"/>
          <w:lang w:eastAsia="zh-CN" w:bidi="ar"/>
        </w:rPr>
        <w:t>e</w:t>
      </w:r>
      <w:r>
        <w:rPr>
          <w:rFonts w:ascii="Times New Roman" w:eastAsia="CIDFont" w:hAnsi="Times New Roman" w:cs="Times New Roman"/>
          <w:color w:val="000000"/>
          <w:kern w:val="0"/>
          <w:sz w:val="24"/>
          <w:szCs w:val="24"/>
          <w:lang w:eastAsia="zh-CN" w:bidi="ar"/>
        </w:rPr>
        <w:t>ithe</w:t>
      </w:r>
      <w:r>
        <w:rPr>
          <w:rFonts w:ascii="Times New Roman" w:eastAsia="CIDFont" w:hAnsi="Times New Roman" w:cs="Times New Roman"/>
          <w:color w:val="000000"/>
          <w:kern w:val="0"/>
          <w:sz w:val="24"/>
          <w:szCs w:val="24"/>
          <w:highlight w:val="yellow"/>
          <w:lang w:eastAsia="zh-CN" w:bidi="ar"/>
        </w:rPr>
        <w:t>r</w:t>
      </w:r>
      <w:r>
        <w:rPr>
          <w:rFonts w:ascii="Times New Roman" w:eastAsia="CIDFont" w:hAnsi="Times New Roman" w:cs="Times New Roman"/>
          <w:color w:val="000000"/>
          <w:kern w:val="0"/>
          <w:sz w:val="24"/>
          <w:szCs w:val="24"/>
          <w:lang w:eastAsia="zh-CN" w:bidi="ar"/>
        </w:rPr>
        <w:t xml:space="preserve"> total protein </w:t>
      </w:r>
      <w:r>
        <w:rPr>
          <w:rFonts w:ascii="Times New Roman" w:eastAsia="CIDFont" w:hAnsi="Times New Roman" w:cs="Times New Roman"/>
          <w:color w:val="000000"/>
          <w:kern w:val="0"/>
          <w:sz w:val="24"/>
          <w:szCs w:val="24"/>
          <w:highlight w:val="yellow"/>
          <w:lang w:eastAsia="zh-CN" w:bidi="ar"/>
        </w:rPr>
        <w:t>or</w:t>
      </w:r>
      <w:r>
        <w:rPr>
          <w:rFonts w:ascii="Times New Roman" w:eastAsia="CIDFont" w:hAnsi="Times New Roman" w:cs="Times New Roman"/>
          <w:color w:val="000000"/>
          <w:kern w:val="0"/>
          <w:sz w:val="24"/>
          <w:szCs w:val="24"/>
          <w:lang w:eastAsia="zh-CN" w:bidi="ar"/>
        </w:rPr>
        <w:t xml:space="preserve"> albumin levels. However, in a previous study, AFEAG </w:t>
      </w:r>
    </w:p>
    <w:p w14:paraId="24959D07"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caused an increase in the albumin and alanine aminotransferase levels at the dose of 600 mg/kg </w:t>
      </w:r>
    </w:p>
    <w:p w14:paraId="1AB5DDED" w14:textId="00AA49DC"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after the subacute study (Dawud et al., 202</w:t>
      </w:r>
      <w:r w:rsidR="009A1C5D">
        <w:rPr>
          <w:rFonts w:ascii="Times New Roman" w:eastAsia="CIDFont" w:hAnsi="Times New Roman" w:cs="Times New Roman"/>
          <w:color w:val="000000"/>
          <w:kern w:val="0"/>
          <w:sz w:val="24"/>
          <w:szCs w:val="24"/>
          <w:lang w:eastAsia="zh-CN" w:bidi="ar"/>
        </w:rPr>
        <w:t>3</w:t>
      </w:r>
      <w:r>
        <w:rPr>
          <w:rFonts w:ascii="Times New Roman" w:eastAsia="CIDFont" w:hAnsi="Times New Roman" w:cs="Times New Roman"/>
          <w:color w:val="000000"/>
          <w:kern w:val="0"/>
          <w:sz w:val="24"/>
          <w:szCs w:val="24"/>
          <w:lang w:eastAsia="zh-CN" w:bidi="ar"/>
        </w:rPr>
        <w:t xml:space="preserve">). Albumins can bind with tannic acid-related </w:t>
      </w:r>
    </w:p>
    <w:p w14:paraId="4E0F9268"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compounds, which have been reported to markedly increase their normal levels. Hence, the </w:t>
      </w:r>
    </w:p>
    <w:p w14:paraId="46707A4B"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increase in the normal level of albumin after the subacute study could be due to the presence of </w:t>
      </w:r>
    </w:p>
    <w:p w14:paraId="64107945"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tannins in the extract. Although liver histology indicates no gross treatment</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related toxicity </w:t>
      </w:r>
    </w:p>
    <w:p w14:paraId="670926BA"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signs, the increase in serum albumin level after subacute treatment by AFEAG indicates that the </w:t>
      </w:r>
    </w:p>
    <w:p w14:paraId="651FA587"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extract may have some level of toxicity to the liver. This is in concordance with the adverse</w:t>
      </w:r>
    </w:p>
    <w:p w14:paraId="0A1E24D5"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related effects of the extract </w:t>
      </w:r>
      <w:r>
        <w:rPr>
          <w:rFonts w:ascii="Times New Roman" w:eastAsia="CIDFont" w:hAnsi="Times New Roman" w:cs="Times New Roman"/>
          <w:color w:val="000000"/>
          <w:kern w:val="0"/>
          <w:sz w:val="24"/>
          <w:szCs w:val="24"/>
          <w:highlight w:val="yellow"/>
          <w:lang w:eastAsia="zh-CN" w:bidi="ar"/>
        </w:rPr>
        <w:t>ob</w:t>
      </w:r>
      <w:r>
        <w:rPr>
          <w:rFonts w:ascii="Times New Roman" w:eastAsia="CIDFont" w:hAnsi="Times New Roman" w:cs="Times New Roman"/>
          <w:color w:val="000000"/>
          <w:kern w:val="0"/>
          <w:sz w:val="24"/>
          <w:szCs w:val="24"/>
          <w:lang w:eastAsia="zh-CN" w:bidi="ar"/>
        </w:rPr>
        <w:t>se</w:t>
      </w:r>
      <w:r>
        <w:rPr>
          <w:rFonts w:ascii="Times New Roman" w:eastAsia="CIDFont" w:hAnsi="Times New Roman" w:cs="Times New Roman"/>
          <w:color w:val="000000"/>
          <w:kern w:val="0"/>
          <w:sz w:val="24"/>
          <w:szCs w:val="24"/>
          <w:highlight w:val="yellow"/>
          <w:lang w:eastAsia="zh-CN" w:bidi="ar"/>
        </w:rPr>
        <w:t>rv</w:t>
      </w:r>
      <w:r>
        <w:rPr>
          <w:rFonts w:ascii="Times New Roman" w:eastAsia="CIDFont" w:hAnsi="Times New Roman" w:cs="Times New Roman"/>
          <w:color w:val="000000"/>
          <w:kern w:val="0"/>
          <w:sz w:val="24"/>
          <w:szCs w:val="24"/>
          <w:lang w:eastAsia="zh-CN" w:bidi="ar"/>
        </w:rPr>
        <w:t>e</w:t>
      </w:r>
      <w:r>
        <w:rPr>
          <w:rFonts w:ascii="Times New Roman" w:eastAsia="CIDFont" w:hAnsi="Times New Roman" w:cs="Times New Roman"/>
          <w:color w:val="000000"/>
          <w:kern w:val="0"/>
          <w:sz w:val="24"/>
          <w:szCs w:val="24"/>
          <w:highlight w:val="yellow"/>
          <w:lang w:eastAsia="zh-CN" w:bidi="ar"/>
        </w:rPr>
        <w:t>d</w:t>
      </w:r>
      <w:r>
        <w:rPr>
          <w:rFonts w:ascii="Times New Roman" w:eastAsia="CIDFont" w:hAnsi="Times New Roman" w:cs="Times New Roman"/>
          <w:color w:val="000000"/>
          <w:kern w:val="0"/>
          <w:sz w:val="24"/>
          <w:szCs w:val="24"/>
          <w:lang w:eastAsia="zh-CN" w:bidi="ar"/>
        </w:rPr>
        <w:t xml:space="preserve"> </w:t>
      </w:r>
      <w:r>
        <w:rPr>
          <w:rFonts w:ascii="Times New Roman" w:eastAsia="CIDFont" w:hAnsi="Times New Roman" w:cs="Times New Roman"/>
          <w:color w:val="000000"/>
          <w:kern w:val="0"/>
          <w:sz w:val="24"/>
          <w:szCs w:val="24"/>
          <w:highlight w:val="yellow"/>
          <w:lang w:eastAsia="zh-CN" w:bidi="ar"/>
        </w:rPr>
        <w:t>i</w:t>
      </w:r>
      <w:r>
        <w:rPr>
          <w:rFonts w:ascii="Times New Roman" w:eastAsia="CIDFont" w:hAnsi="Times New Roman" w:cs="Times New Roman"/>
          <w:color w:val="000000"/>
          <w:kern w:val="0"/>
          <w:sz w:val="24"/>
          <w:szCs w:val="24"/>
          <w:lang w:eastAsia="zh-CN" w:bidi="ar"/>
        </w:rPr>
        <w:t xml:space="preserve">n the hearts and lungs of treated rats in </w:t>
      </w:r>
      <w:r>
        <w:rPr>
          <w:rFonts w:ascii="Times New Roman" w:eastAsia="CIDFont" w:hAnsi="Times New Roman" w:cs="Times New Roman"/>
          <w:color w:val="000000"/>
          <w:kern w:val="0"/>
          <w:sz w:val="24"/>
          <w:szCs w:val="24"/>
          <w:highlight w:val="yellow"/>
          <w:lang w:eastAsia="zh-CN" w:bidi="ar"/>
        </w:rPr>
        <w:t xml:space="preserve">a </w:t>
      </w:r>
      <w:r>
        <w:rPr>
          <w:rFonts w:ascii="Times New Roman" w:eastAsia="CIDFont" w:hAnsi="Times New Roman" w:cs="Times New Roman"/>
          <w:color w:val="000000"/>
          <w:kern w:val="0"/>
          <w:sz w:val="24"/>
          <w:szCs w:val="24"/>
          <w:lang w:eastAsia="zh-CN" w:bidi="ar"/>
        </w:rPr>
        <w:t xml:space="preserve">previous study </w:t>
      </w:r>
    </w:p>
    <w:p w14:paraId="4177AB5D" w14:textId="74158899"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(Dawud et al., 202</w:t>
      </w:r>
      <w:r w:rsidR="009A1C5D">
        <w:rPr>
          <w:rFonts w:ascii="Times New Roman" w:eastAsia="CIDFont" w:hAnsi="Times New Roman" w:cs="Times New Roman"/>
          <w:color w:val="000000"/>
          <w:kern w:val="0"/>
          <w:sz w:val="24"/>
          <w:szCs w:val="24"/>
          <w:lang w:eastAsia="zh-CN" w:bidi="ar"/>
        </w:rPr>
        <w:t>3</w:t>
      </w:r>
      <w:r>
        <w:rPr>
          <w:rFonts w:ascii="Times New Roman" w:eastAsia="CIDFont" w:hAnsi="Times New Roman" w:cs="Times New Roman"/>
          <w:color w:val="000000"/>
          <w:kern w:val="0"/>
          <w:sz w:val="24"/>
          <w:szCs w:val="24"/>
          <w:lang w:eastAsia="zh-CN" w:bidi="ar"/>
        </w:rPr>
        <w:t xml:space="preserve">). </w:t>
      </w:r>
    </w:p>
    <w:p w14:paraId="26F5DA2A"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lastRenderedPageBreak/>
        <w:t xml:space="preserve">Alanine transaminase (ALT) is an enzyme that helps </w:t>
      </w:r>
      <w:r>
        <w:rPr>
          <w:rFonts w:ascii="Times New Roman" w:eastAsia="CIDFont" w:hAnsi="Times New Roman" w:cs="Times New Roman"/>
          <w:color w:val="000000"/>
          <w:kern w:val="0"/>
          <w:sz w:val="24"/>
          <w:szCs w:val="24"/>
          <w:highlight w:val="yellow"/>
          <w:lang w:eastAsia="zh-CN" w:bidi="ar"/>
        </w:rPr>
        <w:t xml:space="preserve">to </w:t>
      </w:r>
      <w:r>
        <w:rPr>
          <w:rFonts w:ascii="Times New Roman" w:eastAsia="CIDFont" w:hAnsi="Times New Roman" w:cs="Times New Roman"/>
          <w:color w:val="000000"/>
          <w:kern w:val="0"/>
          <w:sz w:val="24"/>
          <w:szCs w:val="24"/>
          <w:lang w:eastAsia="zh-CN" w:bidi="ar"/>
        </w:rPr>
        <w:t>metaboli</w:t>
      </w:r>
      <w:r>
        <w:rPr>
          <w:rFonts w:ascii="Times New Roman" w:eastAsia="CIDFont" w:hAnsi="Times New Roman" w:cs="Times New Roman"/>
          <w:color w:val="000000"/>
          <w:kern w:val="0"/>
          <w:sz w:val="24"/>
          <w:szCs w:val="24"/>
          <w:highlight w:val="yellow"/>
          <w:lang w:eastAsia="zh-CN" w:bidi="ar"/>
        </w:rPr>
        <w:t>s</w:t>
      </w:r>
      <w:r>
        <w:rPr>
          <w:rFonts w:ascii="Times New Roman" w:eastAsia="CIDFont" w:hAnsi="Times New Roman" w:cs="Times New Roman"/>
          <w:color w:val="000000"/>
          <w:kern w:val="0"/>
          <w:sz w:val="24"/>
          <w:szCs w:val="24"/>
          <w:lang w:eastAsia="zh-CN" w:bidi="ar"/>
        </w:rPr>
        <w:t xml:space="preserve">e proteins. When the liver </w:t>
      </w:r>
    </w:p>
    <w:p w14:paraId="40BF4CC2"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is damaged, </w:t>
      </w:r>
      <w:r>
        <w:rPr>
          <w:rFonts w:ascii="Times New Roman" w:eastAsia="CIDFont" w:hAnsi="Times New Roman" w:cs="Times New Roman"/>
          <w:color w:val="000000"/>
          <w:kern w:val="0"/>
          <w:sz w:val="24"/>
          <w:szCs w:val="24"/>
          <w:highlight w:val="yellow"/>
          <w:lang w:eastAsia="zh-CN" w:bidi="ar"/>
        </w:rPr>
        <w:t>ALT</w:t>
      </w:r>
      <w:r>
        <w:rPr>
          <w:rFonts w:ascii="Times New Roman" w:eastAsia="CIDFont" w:hAnsi="Times New Roman" w:cs="Times New Roman"/>
          <w:color w:val="000000"/>
          <w:kern w:val="0"/>
          <w:sz w:val="24"/>
          <w:szCs w:val="24"/>
          <w:lang w:eastAsia="zh-CN" w:bidi="ar"/>
        </w:rPr>
        <w:t xml:space="preserve"> production increase</w:t>
      </w:r>
      <w:r>
        <w:rPr>
          <w:rFonts w:ascii="Times New Roman" w:eastAsia="CIDFont" w:hAnsi="Times New Roman" w:cs="Times New Roman"/>
          <w:color w:val="000000"/>
          <w:kern w:val="0"/>
          <w:sz w:val="24"/>
          <w:szCs w:val="24"/>
          <w:highlight w:val="yellow"/>
          <w:lang w:eastAsia="zh-CN" w:bidi="ar"/>
        </w:rPr>
        <w:t>s</w:t>
      </w:r>
      <w:r>
        <w:rPr>
          <w:rFonts w:ascii="Times New Roman" w:eastAsia="CIDFont" w:hAnsi="Times New Roman" w:cs="Times New Roman"/>
          <w:color w:val="000000"/>
          <w:kern w:val="0"/>
          <w:sz w:val="24"/>
          <w:szCs w:val="24"/>
          <w:lang w:eastAsia="zh-CN" w:bidi="ar"/>
        </w:rPr>
        <w:t xml:space="preserve"> in the liver</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and</w:t>
      </w:r>
      <w:r>
        <w:rPr>
          <w:rFonts w:ascii="Times New Roman" w:eastAsia="CIDFont" w:hAnsi="Times New Roman" w:cs="Times New Roman"/>
          <w:color w:val="000000"/>
          <w:kern w:val="0"/>
          <w:sz w:val="24"/>
          <w:szCs w:val="24"/>
          <w:highlight w:val="yellow"/>
          <w:lang w:eastAsia="zh-CN" w:bidi="ar"/>
        </w:rPr>
        <w:t xml:space="preserve"> the enzyme is</w:t>
      </w:r>
      <w:r>
        <w:rPr>
          <w:rFonts w:ascii="Times New Roman" w:eastAsia="CIDFont" w:hAnsi="Times New Roman" w:cs="Times New Roman"/>
          <w:color w:val="000000"/>
          <w:kern w:val="0"/>
          <w:sz w:val="24"/>
          <w:szCs w:val="24"/>
          <w:lang w:eastAsia="zh-CN" w:bidi="ar"/>
        </w:rPr>
        <w:t xml:space="preserve"> released into the bloodstream. </w:t>
      </w:r>
    </w:p>
    <w:p w14:paraId="05F07D9B"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Both AST and ALT increase in liver damage. However,</w:t>
      </w:r>
      <w:r>
        <w:rPr>
          <w:rFonts w:ascii="Times New Roman" w:eastAsia="CIDFont" w:hAnsi="Times New Roman" w:cs="Times New Roman"/>
          <w:color w:val="000000"/>
          <w:kern w:val="0"/>
          <w:sz w:val="24"/>
          <w:szCs w:val="24"/>
          <w:highlight w:val="yellow"/>
          <w:lang w:eastAsia="zh-CN" w:bidi="ar"/>
        </w:rPr>
        <w:t xml:space="preserve"> an</w:t>
      </w:r>
      <w:r>
        <w:rPr>
          <w:rFonts w:ascii="Times New Roman" w:eastAsia="CIDFont" w:hAnsi="Times New Roman" w:cs="Times New Roman"/>
          <w:color w:val="000000"/>
          <w:kern w:val="0"/>
          <w:sz w:val="24"/>
          <w:szCs w:val="24"/>
          <w:lang w:eastAsia="zh-CN" w:bidi="ar"/>
        </w:rPr>
        <w:t xml:space="preserve"> increase in ALT is more specific to </w:t>
      </w:r>
    </w:p>
    <w:p w14:paraId="760F4F97"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liver damage because AST can also be released due to damage </w:t>
      </w:r>
      <w:r>
        <w:rPr>
          <w:rFonts w:ascii="Times New Roman" w:eastAsia="CIDFont" w:hAnsi="Times New Roman" w:cs="Times New Roman"/>
          <w:color w:val="000000"/>
          <w:kern w:val="0"/>
          <w:sz w:val="24"/>
          <w:szCs w:val="24"/>
          <w:highlight w:val="yellow"/>
          <w:lang w:eastAsia="zh-CN" w:bidi="ar"/>
        </w:rPr>
        <w:t>t</w:t>
      </w:r>
      <w:r>
        <w:rPr>
          <w:rFonts w:ascii="Times New Roman" w:eastAsia="CIDFont" w:hAnsi="Times New Roman" w:cs="Times New Roman"/>
          <w:color w:val="000000"/>
          <w:kern w:val="0"/>
          <w:sz w:val="24"/>
          <w:szCs w:val="24"/>
          <w:lang w:eastAsia="zh-CN" w:bidi="ar"/>
        </w:rPr>
        <w:t xml:space="preserve">o other organs such as the </w:t>
      </w:r>
    </w:p>
    <w:p w14:paraId="446D3B1B"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heart and kidneys, and in the liver only 20% of AST is cytosolic (the remaining 80% is </w:t>
      </w:r>
    </w:p>
    <w:p w14:paraId="2D816056"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mitochondrial)</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while ALT is solely in the liver cytosol. Hence, a rise in ALT level is more </w:t>
      </w:r>
    </w:p>
    <w:p w14:paraId="5759A1CD"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specific to hepatocellular damage (Giannini et al., 2005; W. R. Kim et al., 2008; Lala et al., </w:t>
      </w:r>
    </w:p>
    <w:p w14:paraId="24A11828"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2022). From the results of this study, ALP (alkaline phosphatase), ALT (alanine transaminase), </w:t>
      </w:r>
    </w:p>
    <w:p w14:paraId="53287279"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and AST (aspartate aminotransferase) increased significantly for each of the concentrations </w:t>
      </w:r>
    </w:p>
    <w:p w14:paraId="51BC71C9"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used at p-value</w:t>
      </w:r>
      <w:r>
        <w:rPr>
          <w:rFonts w:ascii="Times New Roman" w:eastAsia="CIDFont" w:hAnsi="Times New Roman" w:cs="Times New Roman"/>
          <w:color w:val="000000"/>
          <w:kern w:val="0"/>
          <w:sz w:val="24"/>
          <w:szCs w:val="24"/>
          <w:highlight w:val="yellow"/>
          <w:lang w:eastAsia="zh-CN" w:bidi="ar"/>
        </w:rPr>
        <w:t>s of</w:t>
      </w:r>
      <w:r>
        <w:rPr>
          <w:rFonts w:ascii="Times New Roman" w:eastAsia="CIDFont" w:hAnsi="Times New Roman" w:cs="Times New Roman"/>
          <w:color w:val="000000"/>
          <w:kern w:val="0"/>
          <w:sz w:val="24"/>
          <w:szCs w:val="24"/>
          <w:lang w:eastAsia="zh-CN" w:bidi="ar"/>
        </w:rPr>
        <w:t xml:space="preserve"> less than 0.05, 0.01, 0.001</w:t>
      </w:r>
      <w:r>
        <w:rPr>
          <w:rFonts w:ascii="Times New Roman" w:eastAsia="CIDFont" w:hAnsi="Times New Roman" w:cs="Times New Roman"/>
          <w:color w:val="000000"/>
          <w:kern w:val="0"/>
          <w:sz w:val="24"/>
          <w:szCs w:val="24"/>
          <w:highlight w:val="yellow"/>
          <w:lang w:eastAsia="zh-CN" w:bidi="ar"/>
        </w:rPr>
        <w:t xml:space="preserve"> and</w:t>
      </w:r>
      <w:r>
        <w:rPr>
          <w:rFonts w:ascii="Times New Roman" w:eastAsia="CIDFont" w:hAnsi="Times New Roman" w:cs="Times New Roman"/>
          <w:color w:val="000000"/>
          <w:kern w:val="0"/>
          <w:sz w:val="24"/>
          <w:szCs w:val="24"/>
          <w:lang w:eastAsia="zh-CN" w:bidi="ar"/>
        </w:rPr>
        <w:t xml:space="preserve"> 0.0001</w:t>
      </w:r>
      <w:r>
        <w:rPr>
          <w:rFonts w:ascii="Times New Roman" w:eastAsia="CIDFont" w:hAnsi="Times New Roman" w:cs="Times New Roman"/>
          <w:color w:val="000000"/>
          <w:kern w:val="0"/>
          <w:sz w:val="24"/>
          <w:szCs w:val="24"/>
          <w:highlight w:val="yellow"/>
          <w:lang w:eastAsia="zh-CN" w:bidi="ar"/>
        </w:rPr>
        <w:t>, respectively,</w:t>
      </w:r>
      <w:r>
        <w:rPr>
          <w:rFonts w:ascii="Times New Roman" w:eastAsia="CIDFont" w:hAnsi="Times New Roman" w:cs="Times New Roman"/>
          <w:color w:val="000000"/>
          <w:kern w:val="0"/>
          <w:sz w:val="24"/>
          <w:szCs w:val="24"/>
          <w:lang w:eastAsia="zh-CN" w:bidi="ar"/>
        </w:rPr>
        <w:t xml:space="preserve"> when </w:t>
      </w:r>
    </w:p>
    <w:p w14:paraId="45660017"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compared to the normal control after the subacute treatment. If the liver is damaged, AST and </w:t>
      </w:r>
    </w:p>
    <w:p w14:paraId="751E448D"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ALT pass into the bloodstream. This further indicates that AFEAG may be toxic to the liver, </w:t>
      </w:r>
    </w:p>
    <w:p w14:paraId="2538B907"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especially after treatment for a long period. The elevated levels of these </w:t>
      </w:r>
      <w:r>
        <w:rPr>
          <w:rFonts w:ascii="Times New Roman" w:eastAsia="CIDFont" w:hAnsi="Times New Roman" w:cs="Times New Roman"/>
          <w:color w:val="000000"/>
          <w:kern w:val="0"/>
          <w:sz w:val="24"/>
          <w:szCs w:val="24"/>
          <w:highlight w:val="yellow"/>
          <w:lang w:eastAsia="zh-CN" w:bidi="ar"/>
        </w:rPr>
        <w:t xml:space="preserve">liver </w:t>
      </w:r>
      <w:r>
        <w:rPr>
          <w:rFonts w:ascii="Times New Roman" w:eastAsia="CIDFont" w:hAnsi="Times New Roman" w:cs="Times New Roman"/>
          <w:color w:val="000000"/>
          <w:kern w:val="0"/>
          <w:sz w:val="24"/>
          <w:szCs w:val="24"/>
          <w:lang w:eastAsia="zh-CN" w:bidi="ar"/>
        </w:rPr>
        <w:t xml:space="preserve">enzymes </w:t>
      </w:r>
    </w:p>
    <w:p w14:paraId="0C1F194A"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caused by the different doses of AFEAG after subacute treatment </w:t>
      </w:r>
      <w:r>
        <w:rPr>
          <w:rFonts w:ascii="Times New Roman" w:eastAsia="CIDFont" w:hAnsi="Times New Roman" w:cs="Times New Roman"/>
          <w:color w:val="000000"/>
          <w:kern w:val="0"/>
          <w:sz w:val="24"/>
          <w:szCs w:val="24"/>
          <w:highlight w:val="yellow"/>
          <w:lang w:eastAsia="zh-CN" w:bidi="ar"/>
        </w:rPr>
        <w:t>ob</w:t>
      </w:r>
      <w:r>
        <w:rPr>
          <w:rFonts w:ascii="Times New Roman" w:eastAsia="CIDFont" w:hAnsi="Times New Roman" w:cs="Times New Roman"/>
          <w:color w:val="000000"/>
          <w:kern w:val="0"/>
          <w:sz w:val="24"/>
          <w:szCs w:val="24"/>
          <w:lang w:eastAsia="zh-CN" w:bidi="ar"/>
        </w:rPr>
        <w:t>se</w:t>
      </w:r>
      <w:r>
        <w:rPr>
          <w:rFonts w:ascii="Times New Roman" w:eastAsia="CIDFont" w:hAnsi="Times New Roman" w:cs="Times New Roman"/>
          <w:color w:val="000000"/>
          <w:kern w:val="0"/>
          <w:sz w:val="24"/>
          <w:szCs w:val="24"/>
          <w:highlight w:val="yellow"/>
          <w:lang w:eastAsia="zh-CN" w:bidi="ar"/>
        </w:rPr>
        <w:t>rv</w:t>
      </w:r>
      <w:r>
        <w:rPr>
          <w:rFonts w:ascii="Times New Roman" w:eastAsia="CIDFont" w:hAnsi="Times New Roman" w:cs="Times New Roman"/>
          <w:color w:val="000000"/>
          <w:kern w:val="0"/>
          <w:sz w:val="24"/>
          <w:szCs w:val="24"/>
          <w:lang w:eastAsia="zh-CN" w:bidi="ar"/>
        </w:rPr>
        <w:t>e</w:t>
      </w:r>
      <w:r>
        <w:rPr>
          <w:rFonts w:ascii="Times New Roman" w:eastAsia="CIDFont" w:hAnsi="Times New Roman" w:cs="Times New Roman"/>
          <w:color w:val="000000"/>
          <w:kern w:val="0"/>
          <w:sz w:val="24"/>
          <w:szCs w:val="24"/>
          <w:highlight w:val="yellow"/>
          <w:lang w:eastAsia="zh-CN" w:bidi="ar"/>
        </w:rPr>
        <w:t>d</w:t>
      </w:r>
      <w:r>
        <w:rPr>
          <w:rFonts w:ascii="Times New Roman" w:eastAsia="CIDFont" w:hAnsi="Times New Roman" w:cs="Times New Roman"/>
          <w:color w:val="000000"/>
          <w:kern w:val="0"/>
          <w:sz w:val="24"/>
          <w:szCs w:val="24"/>
          <w:lang w:eastAsia="zh-CN" w:bidi="ar"/>
        </w:rPr>
        <w:t xml:space="preserve"> in this study </w:t>
      </w:r>
      <w:r>
        <w:rPr>
          <w:rFonts w:ascii="Times New Roman" w:eastAsia="CIDFont" w:hAnsi="Times New Roman" w:cs="Times New Roman"/>
          <w:color w:val="000000"/>
          <w:kern w:val="0"/>
          <w:sz w:val="24"/>
          <w:szCs w:val="24"/>
          <w:highlight w:val="yellow"/>
          <w:lang w:eastAsia="zh-CN" w:bidi="ar"/>
        </w:rPr>
        <w:t>m</w:t>
      </w:r>
      <w:r>
        <w:rPr>
          <w:rFonts w:ascii="Times New Roman" w:eastAsia="CIDFont" w:hAnsi="Times New Roman" w:cs="Times New Roman"/>
          <w:color w:val="000000"/>
          <w:kern w:val="0"/>
          <w:sz w:val="24"/>
          <w:szCs w:val="24"/>
          <w:lang w:eastAsia="zh-CN" w:bidi="ar"/>
        </w:rPr>
        <w:t>a</w:t>
      </w:r>
      <w:r>
        <w:rPr>
          <w:rFonts w:ascii="Times New Roman" w:eastAsia="CIDFont" w:hAnsi="Times New Roman" w:cs="Times New Roman"/>
          <w:color w:val="000000"/>
          <w:kern w:val="0"/>
          <w:sz w:val="24"/>
          <w:szCs w:val="24"/>
          <w:highlight w:val="yellow"/>
          <w:lang w:eastAsia="zh-CN" w:bidi="ar"/>
        </w:rPr>
        <w:t>y</w:t>
      </w:r>
      <w:r>
        <w:rPr>
          <w:rFonts w:ascii="Times New Roman" w:eastAsia="CIDFont" w:hAnsi="Times New Roman" w:cs="Times New Roman"/>
          <w:color w:val="000000"/>
          <w:kern w:val="0"/>
          <w:sz w:val="24"/>
          <w:szCs w:val="24"/>
          <w:lang w:eastAsia="zh-CN" w:bidi="ar"/>
        </w:rPr>
        <w:t xml:space="preserve"> </w:t>
      </w:r>
    </w:p>
    <w:p w14:paraId="2019D3E6"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indicate that liver damage or inflammation could be the result of the synerg</w:t>
      </w:r>
      <w:r>
        <w:rPr>
          <w:rFonts w:ascii="Times New Roman" w:eastAsia="CIDFont" w:hAnsi="Times New Roman" w:cs="Times New Roman"/>
          <w:color w:val="000000"/>
          <w:kern w:val="0"/>
          <w:sz w:val="24"/>
          <w:szCs w:val="24"/>
          <w:highlight w:val="yellow"/>
          <w:lang w:eastAsia="zh-CN" w:bidi="ar"/>
        </w:rPr>
        <w:t>is</w:t>
      </w:r>
      <w:r>
        <w:rPr>
          <w:rFonts w:ascii="Times New Roman" w:eastAsia="CIDFont" w:hAnsi="Times New Roman" w:cs="Times New Roman"/>
          <w:color w:val="000000"/>
          <w:kern w:val="0"/>
          <w:sz w:val="24"/>
          <w:szCs w:val="24"/>
          <w:lang w:eastAsia="zh-CN" w:bidi="ar"/>
        </w:rPr>
        <w:t xml:space="preserve">tic effects of </w:t>
      </w:r>
    </w:p>
    <w:p w14:paraId="19E2D1E2"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alkaloids and saponins present in the extract. These secondary metabolites have been </w:t>
      </w:r>
    </w:p>
    <w:p w14:paraId="2D9A8ED7"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linked by previous studies to liver toxicity</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saponins (Sung et al.</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2017) and alkaloids (Ebmeyer </w:t>
      </w:r>
    </w:p>
    <w:p w14:paraId="1D668960"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et al.</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2020). </w:t>
      </w:r>
    </w:p>
    <w:p w14:paraId="01B0F55B"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lastRenderedPageBreak/>
        <w:t xml:space="preserve">Assessment of histological alterations </w:t>
      </w:r>
      <w:r>
        <w:rPr>
          <w:rFonts w:ascii="Times New Roman" w:eastAsia="CIDFont" w:hAnsi="Times New Roman" w:cs="Times New Roman"/>
          <w:color w:val="000000"/>
          <w:kern w:val="0"/>
          <w:sz w:val="24"/>
          <w:szCs w:val="24"/>
          <w:highlight w:val="yellow"/>
          <w:lang w:eastAsia="zh-CN" w:bidi="ar"/>
        </w:rPr>
        <w:t>in</w:t>
      </w:r>
      <w:r>
        <w:rPr>
          <w:rFonts w:ascii="Times New Roman" w:eastAsia="CIDFont" w:hAnsi="Times New Roman" w:cs="Times New Roman"/>
          <w:color w:val="000000"/>
          <w:kern w:val="0"/>
          <w:sz w:val="24"/>
          <w:szCs w:val="24"/>
          <w:lang w:eastAsia="zh-CN" w:bidi="ar"/>
        </w:rPr>
        <w:t xml:space="preserve"> two vital organs </w:t>
      </w:r>
      <w:r>
        <w:rPr>
          <w:rFonts w:ascii="Times New Roman" w:eastAsia="CIDFont" w:hAnsi="Times New Roman" w:cs="Times New Roman"/>
          <w:color w:val="000000"/>
          <w:kern w:val="0"/>
          <w:sz w:val="24"/>
          <w:szCs w:val="24"/>
          <w:highlight w:val="yellow"/>
          <w:lang w:eastAsia="zh-CN" w:bidi="ar"/>
        </w:rPr>
        <w:t>respons</w:t>
      </w:r>
      <w:r>
        <w:rPr>
          <w:rFonts w:ascii="Times New Roman" w:eastAsia="CIDFont" w:hAnsi="Times New Roman" w:cs="Times New Roman"/>
          <w:color w:val="000000"/>
          <w:kern w:val="0"/>
          <w:sz w:val="24"/>
          <w:szCs w:val="24"/>
          <w:lang w:eastAsia="zh-CN" w:bidi="ar"/>
        </w:rPr>
        <w:t>i</w:t>
      </w:r>
      <w:r>
        <w:rPr>
          <w:rFonts w:ascii="Times New Roman" w:eastAsia="CIDFont" w:hAnsi="Times New Roman" w:cs="Times New Roman"/>
          <w:color w:val="000000"/>
          <w:kern w:val="0"/>
          <w:sz w:val="24"/>
          <w:szCs w:val="24"/>
          <w:highlight w:val="yellow"/>
          <w:lang w:eastAsia="zh-CN" w:bidi="ar"/>
        </w:rPr>
        <w:t>bl</w:t>
      </w:r>
      <w:r>
        <w:rPr>
          <w:rFonts w:ascii="Times New Roman" w:eastAsia="CIDFont" w:hAnsi="Times New Roman" w:cs="Times New Roman"/>
          <w:color w:val="000000"/>
          <w:kern w:val="0"/>
          <w:sz w:val="24"/>
          <w:szCs w:val="24"/>
          <w:lang w:eastAsia="zh-CN" w:bidi="ar"/>
        </w:rPr>
        <w:t xml:space="preserve">e </w:t>
      </w:r>
      <w:r>
        <w:rPr>
          <w:rFonts w:ascii="Times New Roman" w:eastAsia="CIDFont" w:hAnsi="Times New Roman" w:cs="Times New Roman"/>
          <w:color w:val="000000"/>
          <w:kern w:val="0"/>
          <w:sz w:val="24"/>
          <w:szCs w:val="24"/>
          <w:highlight w:val="yellow"/>
          <w:lang w:eastAsia="zh-CN" w:bidi="ar"/>
        </w:rPr>
        <w:t>f</w:t>
      </w:r>
      <w:r>
        <w:rPr>
          <w:rFonts w:ascii="Times New Roman" w:eastAsia="CIDFont" w:hAnsi="Times New Roman" w:cs="Times New Roman"/>
          <w:color w:val="000000"/>
          <w:kern w:val="0"/>
          <w:sz w:val="24"/>
          <w:szCs w:val="24"/>
          <w:lang w:eastAsia="zh-CN" w:bidi="ar"/>
        </w:rPr>
        <w:t>o</w:t>
      </w:r>
      <w:r>
        <w:rPr>
          <w:rFonts w:ascii="Times New Roman" w:eastAsia="CIDFont" w:hAnsi="Times New Roman" w:cs="Times New Roman"/>
          <w:color w:val="000000"/>
          <w:kern w:val="0"/>
          <w:sz w:val="24"/>
          <w:szCs w:val="24"/>
          <w:highlight w:val="yellow"/>
          <w:lang w:eastAsia="zh-CN" w:bidi="ar"/>
        </w:rPr>
        <w:t>r</w:t>
      </w:r>
      <w:r>
        <w:rPr>
          <w:rFonts w:ascii="Times New Roman" w:eastAsia="CIDFont" w:hAnsi="Times New Roman" w:cs="Times New Roman"/>
          <w:color w:val="000000"/>
          <w:kern w:val="0"/>
          <w:sz w:val="24"/>
          <w:szCs w:val="24"/>
          <w:lang w:eastAsia="zh-CN" w:bidi="ar"/>
        </w:rPr>
        <w:t xml:space="preserve"> body </w:t>
      </w:r>
    </w:p>
    <w:p w14:paraId="7CC1507D"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detoxification </w:t>
      </w:r>
      <w:proofErr w:type="gramStart"/>
      <w:r>
        <w:rPr>
          <w:rFonts w:ascii="Times New Roman" w:eastAsia="CIDFont" w:hAnsi="Times New Roman" w:cs="Times New Roman"/>
          <w:color w:val="000000"/>
          <w:kern w:val="0"/>
          <w:sz w:val="24"/>
          <w:szCs w:val="24"/>
          <w:lang w:eastAsia="zh-CN" w:bidi="ar"/>
        </w:rPr>
        <w:t>are</w:t>
      </w:r>
      <w:proofErr w:type="gramEnd"/>
      <w:r>
        <w:rPr>
          <w:rFonts w:ascii="Times New Roman" w:eastAsia="CIDFont" w:hAnsi="Times New Roman" w:cs="Times New Roman"/>
          <w:color w:val="000000"/>
          <w:kern w:val="0"/>
          <w:sz w:val="24"/>
          <w:szCs w:val="24"/>
          <w:lang w:eastAsia="zh-CN" w:bidi="ar"/>
        </w:rPr>
        <w:t xml:space="preserve"> considered essential in evaluating the toxicity of chemicals (Greaves, 2012). </w:t>
      </w:r>
    </w:p>
    <w:p w14:paraId="1F39C09A"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Hence, histological examinations of the liver and kidney of the rats were also carried out. The </w:t>
      </w:r>
    </w:p>
    <w:p w14:paraId="059EA1CD"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observation of nephritis and congestion</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respectively</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at 10mg/Kg and 5000mg/Kg in the renal </w:t>
      </w:r>
    </w:p>
    <w:p w14:paraId="31B1DE62"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tissue</w:t>
      </w:r>
      <w:r>
        <w:rPr>
          <w:rFonts w:ascii="Times New Roman" w:eastAsia="CIDFont" w:hAnsi="Times New Roman" w:cs="Times New Roman"/>
          <w:color w:val="000000"/>
          <w:kern w:val="0"/>
          <w:sz w:val="24"/>
          <w:szCs w:val="24"/>
          <w:highlight w:val="yellow"/>
          <w:lang w:eastAsia="zh-CN" w:bidi="ar"/>
        </w:rPr>
        <w:t>s</w:t>
      </w:r>
      <w:r>
        <w:rPr>
          <w:rFonts w:ascii="Times New Roman" w:eastAsia="CIDFont" w:hAnsi="Times New Roman" w:cs="Times New Roman"/>
          <w:color w:val="000000"/>
          <w:kern w:val="0"/>
          <w:sz w:val="24"/>
          <w:szCs w:val="24"/>
          <w:lang w:eastAsia="zh-CN" w:bidi="ar"/>
        </w:rPr>
        <w:t xml:space="preserve"> of rats used for the subacute toxicity test showed that the histological damage may not </w:t>
      </w:r>
    </w:p>
    <w:p w14:paraId="0FAD3630"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be treatment-related, as supported by the normal features seen in the renal tissues of the majority </w:t>
      </w:r>
    </w:p>
    <w:p w14:paraId="03048816"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of dosed rats compared </w:t>
      </w:r>
      <w:r>
        <w:rPr>
          <w:rFonts w:ascii="Times New Roman" w:eastAsia="CIDFont" w:hAnsi="Times New Roman" w:cs="Times New Roman"/>
          <w:color w:val="000000"/>
          <w:kern w:val="0"/>
          <w:sz w:val="24"/>
          <w:szCs w:val="24"/>
          <w:highlight w:val="yellow"/>
          <w:lang w:eastAsia="zh-CN" w:bidi="ar"/>
        </w:rPr>
        <w:t>wi</w:t>
      </w:r>
      <w:r>
        <w:rPr>
          <w:rFonts w:ascii="Times New Roman" w:eastAsia="CIDFont" w:hAnsi="Times New Roman" w:cs="Times New Roman"/>
          <w:color w:val="000000"/>
          <w:kern w:val="0"/>
          <w:sz w:val="24"/>
          <w:szCs w:val="24"/>
          <w:lang w:eastAsia="zh-CN" w:bidi="ar"/>
        </w:rPr>
        <w:t>t</w:t>
      </w:r>
      <w:r>
        <w:rPr>
          <w:rFonts w:ascii="Times New Roman" w:eastAsia="CIDFont" w:hAnsi="Times New Roman" w:cs="Times New Roman"/>
          <w:color w:val="000000"/>
          <w:kern w:val="0"/>
          <w:sz w:val="24"/>
          <w:szCs w:val="24"/>
          <w:highlight w:val="yellow"/>
          <w:lang w:eastAsia="zh-CN" w:bidi="ar"/>
        </w:rPr>
        <w:t>h</w:t>
      </w:r>
      <w:r>
        <w:rPr>
          <w:rFonts w:ascii="Times New Roman" w:eastAsia="CIDFont" w:hAnsi="Times New Roman" w:cs="Times New Roman"/>
          <w:color w:val="000000"/>
          <w:kern w:val="0"/>
          <w:sz w:val="24"/>
          <w:szCs w:val="24"/>
          <w:lang w:eastAsia="zh-CN" w:bidi="ar"/>
        </w:rPr>
        <w:t xml:space="preserve"> th</w:t>
      </w:r>
      <w:r>
        <w:rPr>
          <w:rFonts w:ascii="Times New Roman" w:eastAsia="CIDFont" w:hAnsi="Times New Roman" w:cs="Times New Roman"/>
          <w:color w:val="000000"/>
          <w:kern w:val="0"/>
          <w:sz w:val="24"/>
          <w:szCs w:val="24"/>
          <w:highlight w:val="yellow"/>
          <w:lang w:eastAsia="zh-CN" w:bidi="ar"/>
        </w:rPr>
        <w:t>ose</w:t>
      </w:r>
      <w:r>
        <w:rPr>
          <w:rFonts w:ascii="Times New Roman" w:eastAsia="CIDFont" w:hAnsi="Times New Roman" w:cs="Times New Roman"/>
          <w:color w:val="000000"/>
          <w:kern w:val="0"/>
          <w:sz w:val="24"/>
          <w:szCs w:val="24"/>
          <w:lang w:eastAsia="zh-CN" w:bidi="ar"/>
        </w:rPr>
        <w:t xml:space="preserve"> of the control after the subacute study. Similar observations </w:t>
      </w:r>
    </w:p>
    <w:p w14:paraId="5FE573C1"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were also made on the liver tissues of the rats, as all the changes seen were moderate in nature. </w:t>
      </w:r>
    </w:p>
    <w:p w14:paraId="0096A310"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According to previous findings, </w:t>
      </w:r>
      <w:r>
        <w:rPr>
          <w:rFonts w:ascii="Times New Roman" w:eastAsia="CIDFont" w:hAnsi="Times New Roman" w:cs="Times New Roman"/>
          <w:i/>
          <w:iCs/>
          <w:color w:val="000000"/>
          <w:kern w:val="0"/>
          <w:sz w:val="24"/>
          <w:szCs w:val="24"/>
          <w:lang w:eastAsia="zh-CN" w:bidi="ar"/>
        </w:rPr>
        <w:t>A. garckeana</w:t>
      </w:r>
      <w:r>
        <w:rPr>
          <w:rFonts w:ascii="Times New Roman" w:eastAsia="CIDFont" w:hAnsi="Times New Roman" w:cs="Times New Roman"/>
          <w:color w:val="000000"/>
          <w:kern w:val="0"/>
          <w:sz w:val="24"/>
          <w:szCs w:val="24"/>
          <w:lang w:eastAsia="zh-CN" w:bidi="ar"/>
        </w:rPr>
        <w:t xml:space="preserve"> fruit extract must be used with caution due to its </w:t>
      </w:r>
    </w:p>
    <w:p w14:paraId="2DFA4F2A"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possible systemic adverse effects on cardiopulmonary and hepatic systems when used at high </w:t>
      </w:r>
    </w:p>
    <w:p w14:paraId="76BBDA7E" w14:textId="4F4CBAF0"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doses and for long durations (Dawud et al., 202</w:t>
      </w:r>
      <w:r w:rsidR="009A1C5D">
        <w:rPr>
          <w:rFonts w:ascii="Times New Roman" w:eastAsia="CIDFont" w:hAnsi="Times New Roman" w:cs="Times New Roman"/>
          <w:color w:val="000000"/>
          <w:kern w:val="0"/>
          <w:sz w:val="24"/>
          <w:szCs w:val="24"/>
          <w:lang w:eastAsia="zh-CN" w:bidi="ar"/>
        </w:rPr>
        <w:t>3</w:t>
      </w:r>
      <w:r>
        <w:rPr>
          <w:rFonts w:ascii="Times New Roman" w:eastAsia="CIDFont" w:hAnsi="Times New Roman" w:cs="Times New Roman"/>
          <w:color w:val="000000"/>
          <w:kern w:val="0"/>
          <w:sz w:val="24"/>
          <w:szCs w:val="24"/>
          <w:lang w:eastAsia="zh-CN" w:bidi="ar"/>
        </w:rPr>
        <w:t xml:space="preserve">); however, </w:t>
      </w:r>
      <w:r>
        <w:rPr>
          <w:rFonts w:ascii="Times New Roman" w:eastAsia="CIDFont" w:hAnsi="Times New Roman" w:cs="Times New Roman"/>
          <w:i/>
          <w:iCs/>
          <w:color w:val="000000"/>
          <w:kern w:val="0"/>
          <w:sz w:val="24"/>
          <w:szCs w:val="24"/>
          <w:lang w:eastAsia="zh-CN" w:bidi="ar"/>
        </w:rPr>
        <w:t>A. garckeana</w:t>
      </w:r>
      <w:r>
        <w:rPr>
          <w:rFonts w:ascii="Times New Roman" w:eastAsia="CIDFont" w:hAnsi="Times New Roman" w:cs="Times New Roman"/>
          <w:color w:val="000000"/>
          <w:kern w:val="0"/>
          <w:sz w:val="24"/>
          <w:szCs w:val="24"/>
          <w:lang w:eastAsia="zh-CN" w:bidi="ar"/>
        </w:rPr>
        <w:t xml:space="preserve"> fruit extract is </w:t>
      </w:r>
    </w:p>
    <w:p w14:paraId="1FBA101F"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effective in treating diabetic nephropathy with </w:t>
      </w:r>
      <w:r>
        <w:rPr>
          <w:rFonts w:ascii="Times New Roman" w:eastAsia="CIDFont" w:hAnsi="Times New Roman" w:cs="Times New Roman"/>
          <w:color w:val="000000"/>
          <w:kern w:val="0"/>
          <w:sz w:val="24"/>
          <w:szCs w:val="24"/>
          <w:highlight w:val="yellow"/>
          <w:lang w:eastAsia="zh-CN" w:bidi="ar"/>
        </w:rPr>
        <w:t xml:space="preserve">the </w:t>
      </w:r>
      <w:r>
        <w:rPr>
          <w:rFonts w:ascii="Times New Roman" w:eastAsia="CIDFont" w:hAnsi="Times New Roman" w:cs="Times New Roman"/>
          <w:color w:val="000000"/>
          <w:kern w:val="0"/>
          <w:sz w:val="24"/>
          <w:szCs w:val="24"/>
          <w:lang w:eastAsia="zh-CN" w:bidi="ar"/>
        </w:rPr>
        <w:t>ethyl acetate fraction (Yusuf et al.</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2023). </w:t>
      </w:r>
    </w:p>
    <w:p w14:paraId="40092631"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Therefore, the observation of no treatment-related gross abnormalities in the tissue histology of </w:t>
      </w:r>
    </w:p>
    <w:p w14:paraId="3A0AF0BB"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these vital organs </w:t>
      </w:r>
      <w:proofErr w:type="gramStart"/>
      <w:r>
        <w:rPr>
          <w:rFonts w:ascii="Times New Roman" w:eastAsia="CIDFont" w:hAnsi="Times New Roman" w:cs="Times New Roman"/>
          <w:color w:val="000000"/>
          <w:kern w:val="0"/>
          <w:sz w:val="24"/>
          <w:szCs w:val="24"/>
          <w:lang w:eastAsia="zh-CN" w:bidi="ar"/>
        </w:rPr>
        <w:t>suggest</w:t>
      </w:r>
      <w:r>
        <w:rPr>
          <w:rFonts w:ascii="Times New Roman" w:eastAsia="CIDFont" w:hAnsi="Times New Roman" w:cs="Times New Roman"/>
          <w:color w:val="000000"/>
          <w:kern w:val="0"/>
          <w:sz w:val="24"/>
          <w:szCs w:val="24"/>
          <w:highlight w:val="yellow"/>
          <w:lang w:eastAsia="zh-CN" w:bidi="ar"/>
        </w:rPr>
        <w:t>s</w:t>
      </w:r>
      <w:proofErr w:type="gramEnd"/>
      <w:r>
        <w:rPr>
          <w:rFonts w:ascii="Times New Roman" w:eastAsia="CIDFont" w:hAnsi="Times New Roman" w:cs="Times New Roman"/>
          <w:color w:val="000000"/>
          <w:kern w:val="0"/>
          <w:sz w:val="24"/>
          <w:szCs w:val="24"/>
          <w:lang w:eastAsia="zh-CN" w:bidi="ar"/>
        </w:rPr>
        <w:t xml:space="preserve"> the safety of AFEAG in that regard. Nevertheless, it is pertinent to </w:t>
      </w:r>
    </w:p>
    <w:p w14:paraId="50C201FC"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s</w:t>
      </w:r>
      <w:r>
        <w:rPr>
          <w:rFonts w:ascii="Times New Roman" w:eastAsia="CIDFont" w:hAnsi="Times New Roman" w:cs="Times New Roman"/>
          <w:color w:val="000000"/>
          <w:kern w:val="0"/>
          <w:sz w:val="24"/>
          <w:szCs w:val="24"/>
          <w:highlight w:val="yellow"/>
          <w:lang w:eastAsia="zh-CN" w:bidi="ar"/>
        </w:rPr>
        <w:t>t</w:t>
      </w:r>
      <w:r>
        <w:rPr>
          <w:rFonts w:ascii="Times New Roman" w:eastAsia="CIDFont" w:hAnsi="Times New Roman" w:cs="Times New Roman"/>
          <w:color w:val="000000"/>
          <w:kern w:val="0"/>
          <w:sz w:val="24"/>
          <w:szCs w:val="24"/>
          <w:lang w:eastAsia="zh-CN" w:bidi="ar"/>
        </w:rPr>
        <w:t>a</w:t>
      </w:r>
      <w:r>
        <w:rPr>
          <w:rFonts w:ascii="Times New Roman" w:eastAsia="CIDFont" w:hAnsi="Times New Roman" w:cs="Times New Roman"/>
          <w:color w:val="000000"/>
          <w:kern w:val="0"/>
          <w:sz w:val="24"/>
          <w:szCs w:val="24"/>
          <w:highlight w:val="yellow"/>
          <w:lang w:eastAsia="zh-CN" w:bidi="ar"/>
        </w:rPr>
        <w:t>te</w:t>
      </w:r>
      <w:r>
        <w:rPr>
          <w:rFonts w:ascii="Times New Roman" w:eastAsia="CIDFont" w:hAnsi="Times New Roman" w:cs="Times New Roman"/>
          <w:color w:val="000000"/>
          <w:kern w:val="0"/>
          <w:sz w:val="24"/>
          <w:szCs w:val="24"/>
          <w:lang w:eastAsia="zh-CN" w:bidi="ar"/>
        </w:rPr>
        <w:t xml:space="preserve"> that subchronic toxicity and genotoxicity studies on AFEAG are required based on the oral </w:t>
      </w:r>
    </w:p>
    <w:p w14:paraId="3DD30866"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doses used in the acute and subacute studies to ascertain the safety of the extract. </w:t>
      </w:r>
    </w:p>
    <w:p w14:paraId="63F60173"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The results obtained from this study revealed a significant increase in the level of each hormone (LH, FSH, estradiol, TSH, GnRH and </w:t>
      </w:r>
      <w:r>
        <w:rPr>
          <w:rFonts w:ascii="Times New Roman" w:eastAsia="CIDFont" w:hAnsi="Times New Roman" w:cs="Times New Roman"/>
          <w:color w:val="000000"/>
          <w:kern w:val="0"/>
          <w:sz w:val="24"/>
          <w:szCs w:val="24"/>
          <w:highlight w:val="yellow"/>
          <w:lang w:eastAsia="zh-CN" w:bidi="ar"/>
        </w:rPr>
        <w:t>p</w:t>
      </w:r>
      <w:r>
        <w:rPr>
          <w:rFonts w:ascii="Times New Roman" w:eastAsia="CIDFont" w:hAnsi="Times New Roman" w:cs="Times New Roman"/>
          <w:color w:val="000000"/>
          <w:kern w:val="0"/>
          <w:sz w:val="24"/>
          <w:szCs w:val="24"/>
          <w:lang w:eastAsia="zh-CN" w:bidi="ar"/>
        </w:rPr>
        <w:t xml:space="preserve">rogesterone) </w:t>
      </w:r>
      <w:r>
        <w:rPr>
          <w:rFonts w:ascii="Times New Roman" w:eastAsia="CIDFont" w:hAnsi="Times New Roman" w:cs="Times New Roman"/>
          <w:color w:val="000000"/>
          <w:kern w:val="0"/>
          <w:sz w:val="24"/>
          <w:szCs w:val="24"/>
          <w:highlight w:val="yellow"/>
          <w:lang w:eastAsia="zh-CN" w:bidi="ar"/>
        </w:rPr>
        <w:t>in</w:t>
      </w:r>
      <w:r>
        <w:rPr>
          <w:rFonts w:ascii="Times New Roman" w:eastAsia="CIDFont" w:hAnsi="Times New Roman" w:cs="Times New Roman"/>
          <w:color w:val="000000"/>
          <w:kern w:val="0"/>
          <w:sz w:val="24"/>
          <w:szCs w:val="24"/>
          <w:lang w:eastAsia="zh-CN" w:bidi="ar"/>
        </w:rPr>
        <w:t xml:space="preserve"> the treated groups (Plant </w:t>
      </w:r>
      <w:r>
        <w:rPr>
          <w:rFonts w:ascii="Times New Roman" w:eastAsia="CIDFont" w:hAnsi="Times New Roman" w:cs="Times New Roman"/>
          <w:color w:val="000000"/>
          <w:kern w:val="0"/>
          <w:sz w:val="24"/>
          <w:szCs w:val="24"/>
          <w:highlight w:val="yellow"/>
          <w:lang w:eastAsia="zh-CN" w:bidi="ar"/>
        </w:rPr>
        <w:t>E</w:t>
      </w:r>
      <w:r>
        <w:rPr>
          <w:rFonts w:ascii="Times New Roman" w:eastAsia="CIDFont" w:hAnsi="Times New Roman" w:cs="Times New Roman"/>
          <w:color w:val="000000"/>
          <w:kern w:val="0"/>
          <w:sz w:val="24"/>
          <w:szCs w:val="24"/>
          <w:lang w:eastAsia="zh-CN" w:bidi="ar"/>
        </w:rPr>
        <w:t>xtract 1</w:t>
      </w:r>
      <w:r>
        <w:rPr>
          <w:rFonts w:ascii="Times New Roman" w:eastAsia="CIDFont" w:hAnsi="Times New Roman" w:cs="Times New Roman"/>
          <w:color w:val="000000"/>
          <w:kern w:val="0"/>
          <w:sz w:val="24"/>
          <w:szCs w:val="24"/>
          <w:highlight w:val="yellow"/>
          <w:lang w:eastAsia="zh-CN" w:bidi="ar"/>
        </w:rPr>
        <w:t xml:space="preserve"> </w:t>
      </w:r>
      <w:r>
        <w:rPr>
          <w:rFonts w:ascii="Times New Roman" w:eastAsia="CIDFont" w:hAnsi="Times New Roman" w:cs="Times New Roman"/>
          <w:color w:val="000000"/>
          <w:kern w:val="0"/>
          <w:sz w:val="24"/>
          <w:szCs w:val="24"/>
          <w:lang w:eastAsia="zh-CN" w:bidi="ar"/>
        </w:rPr>
        <w:t xml:space="preserve">(PE1), Plant </w:t>
      </w:r>
      <w:r>
        <w:rPr>
          <w:rFonts w:ascii="Times New Roman" w:eastAsia="CIDFont" w:hAnsi="Times New Roman" w:cs="Times New Roman"/>
          <w:color w:val="000000"/>
          <w:kern w:val="0"/>
          <w:sz w:val="24"/>
          <w:szCs w:val="24"/>
          <w:highlight w:val="yellow"/>
          <w:lang w:eastAsia="zh-CN" w:bidi="ar"/>
        </w:rPr>
        <w:t>E</w:t>
      </w:r>
      <w:r>
        <w:rPr>
          <w:rFonts w:ascii="Times New Roman" w:eastAsia="CIDFont" w:hAnsi="Times New Roman" w:cs="Times New Roman"/>
          <w:color w:val="000000"/>
          <w:kern w:val="0"/>
          <w:sz w:val="24"/>
          <w:szCs w:val="24"/>
          <w:lang w:eastAsia="zh-CN" w:bidi="ar"/>
        </w:rPr>
        <w:t xml:space="preserve">xtract 2 (PE2), Metformin and Clomid) when compared </w:t>
      </w:r>
      <w:r>
        <w:rPr>
          <w:rFonts w:ascii="Times New Roman" w:eastAsia="CIDFont" w:hAnsi="Times New Roman" w:cs="Times New Roman"/>
          <w:color w:val="000000"/>
          <w:kern w:val="0"/>
          <w:sz w:val="24"/>
          <w:szCs w:val="24"/>
          <w:highlight w:val="yellow"/>
          <w:lang w:eastAsia="zh-CN" w:bidi="ar"/>
        </w:rPr>
        <w:t>wi</w:t>
      </w:r>
      <w:r>
        <w:rPr>
          <w:rFonts w:ascii="Times New Roman" w:eastAsia="CIDFont" w:hAnsi="Times New Roman" w:cs="Times New Roman"/>
          <w:color w:val="000000"/>
          <w:kern w:val="0"/>
          <w:sz w:val="24"/>
          <w:szCs w:val="24"/>
          <w:lang w:eastAsia="zh-CN" w:bidi="ar"/>
        </w:rPr>
        <w:t>t</w:t>
      </w:r>
      <w:r>
        <w:rPr>
          <w:rFonts w:ascii="Times New Roman" w:eastAsia="CIDFont" w:hAnsi="Times New Roman" w:cs="Times New Roman"/>
          <w:color w:val="000000"/>
          <w:kern w:val="0"/>
          <w:sz w:val="24"/>
          <w:szCs w:val="24"/>
          <w:highlight w:val="yellow"/>
          <w:lang w:eastAsia="zh-CN" w:bidi="ar"/>
        </w:rPr>
        <w:t>h</w:t>
      </w:r>
      <w:r>
        <w:rPr>
          <w:rFonts w:ascii="Times New Roman" w:eastAsia="CIDFont" w:hAnsi="Times New Roman" w:cs="Times New Roman"/>
          <w:color w:val="000000"/>
          <w:kern w:val="0"/>
          <w:sz w:val="24"/>
          <w:szCs w:val="24"/>
          <w:lang w:eastAsia="zh-CN" w:bidi="ar"/>
        </w:rPr>
        <w:t xml:space="preserve"> the negative control</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which </w:t>
      </w:r>
      <w:r>
        <w:rPr>
          <w:rFonts w:ascii="Times New Roman" w:eastAsia="CIDFont" w:hAnsi="Times New Roman" w:cs="Times New Roman"/>
          <w:color w:val="000000"/>
          <w:kern w:val="0"/>
          <w:sz w:val="24"/>
          <w:szCs w:val="24"/>
          <w:lang w:eastAsia="zh-CN" w:bidi="ar"/>
        </w:rPr>
        <w:lastRenderedPageBreak/>
        <w:t xml:space="preserve">can be explained by the fact that the extracts </w:t>
      </w:r>
      <w:r>
        <w:rPr>
          <w:rFonts w:ascii="Times New Roman" w:eastAsia="CIDFont" w:hAnsi="Times New Roman" w:cs="Times New Roman"/>
          <w:color w:val="000000"/>
          <w:kern w:val="0"/>
          <w:sz w:val="24"/>
          <w:szCs w:val="24"/>
          <w:highlight w:val="yellow"/>
          <w:lang w:eastAsia="zh-CN" w:bidi="ar"/>
        </w:rPr>
        <w:t>p</w:t>
      </w:r>
      <w:r>
        <w:rPr>
          <w:rFonts w:ascii="Times New Roman" w:eastAsia="CIDFont" w:hAnsi="Times New Roman" w:cs="Times New Roman"/>
          <w:color w:val="000000"/>
          <w:kern w:val="0"/>
          <w:sz w:val="24"/>
          <w:szCs w:val="24"/>
          <w:lang w:eastAsia="zh-CN" w:bidi="ar"/>
        </w:rPr>
        <w:t>a</w:t>
      </w:r>
      <w:r>
        <w:rPr>
          <w:rFonts w:ascii="Times New Roman" w:eastAsia="CIDFont" w:hAnsi="Times New Roman" w:cs="Times New Roman"/>
          <w:color w:val="000000"/>
          <w:kern w:val="0"/>
          <w:sz w:val="24"/>
          <w:szCs w:val="24"/>
          <w:highlight w:val="yellow"/>
          <w:lang w:eastAsia="zh-CN" w:bidi="ar"/>
        </w:rPr>
        <w:t>rtially</w:t>
      </w:r>
      <w:r>
        <w:rPr>
          <w:rFonts w:ascii="Times New Roman" w:eastAsia="CIDFont" w:hAnsi="Times New Roman" w:cs="Times New Roman"/>
          <w:color w:val="000000"/>
          <w:kern w:val="0"/>
          <w:sz w:val="24"/>
          <w:szCs w:val="24"/>
          <w:lang w:eastAsia="zh-CN" w:bidi="ar"/>
        </w:rPr>
        <w:t xml:space="preserve"> corrected the hormone imbalance induced by diabetes. The results also showed that the increase in h</w:t>
      </w:r>
      <w:r>
        <w:rPr>
          <w:rFonts w:ascii="Times New Roman" w:eastAsia="CIDFont" w:hAnsi="Times New Roman" w:cs="Times New Roman"/>
          <w:color w:val="000000"/>
          <w:kern w:val="0"/>
          <w:sz w:val="24"/>
          <w:szCs w:val="24"/>
          <w:highlight w:val="yellow"/>
          <w:lang w:eastAsia="zh-CN" w:bidi="ar"/>
        </w:rPr>
        <w:t>ormon</w:t>
      </w:r>
      <w:r>
        <w:rPr>
          <w:rFonts w:ascii="Times New Roman" w:eastAsia="CIDFont" w:hAnsi="Times New Roman" w:cs="Times New Roman"/>
          <w:color w:val="000000"/>
          <w:kern w:val="0"/>
          <w:sz w:val="24"/>
          <w:szCs w:val="24"/>
          <w:lang w:eastAsia="zh-CN" w:bidi="ar"/>
        </w:rPr>
        <w:t xml:space="preserve">e levels </w:t>
      </w:r>
      <w:r>
        <w:rPr>
          <w:rFonts w:ascii="Times New Roman" w:eastAsia="CIDFont" w:hAnsi="Times New Roman" w:cs="Times New Roman"/>
          <w:color w:val="000000"/>
          <w:kern w:val="0"/>
          <w:sz w:val="24"/>
          <w:szCs w:val="24"/>
          <w:highlight w:val="yellow"/>
          <w:lang w:eastAsia="zh-CN" w:bidi="ar"/>
        </w:rPr>
        <w:t>wa</w:t>
      </w:r>
      <w:r>
        <w:rPr>
          <w:rFonts w:ascii="Times New Roman" w:eastAsia="CIDFont" w:hAnsi="Times New Roman" w:cs="Times New Roman"/>
          <w:color w:val="000000"/>
          <w:kern w:val="0"/>
          <w:sz w:val="24"/>
          <w:szCs w:val="24"/>
          <w:lang w:eastAsia="zh-CN" w:bidi="ar"/>
        </w:rPr>
        <w:t xml:space="preserve">s not significant when compared </w:t>
      </w:r>
      <w:r>
        <w:rPr>
          <w:rFonts w:ascii="Times New Roman" w:eastAsia="CIDFont" w:hAnsi="Times New Roman" w:cs="Times New Roman"/>
          <w:color w:val="000000"/>
          <w:kern w:val="0"/>
          <w:sz w:val="24"/>
          <w:szCs w:val="24"/>
          <w:highlight w:val="yellow"/>
          <w:lang w:eastAsia="zh-CN" w:bidi="ar"/>
        </w:rPr>
        <w:t>wi</w:t>
      </w:r>
      <w:r>
        <w:rPr>
          <w:rFonts w:ascii="Times New Roman" w:eastAsia="CIDFont" w:hAnsi="Times New Roman" w:cs="Times New Roman"/>
          <w:color w:val="000000"/>
          <w:kern w:val="0"/>
          <w:sz w:val="24"/>
          <w:szCs w:val="24"/>
          <w:lang w:eastAsia="zh-CN" w:bidi="ar"/>
        </w:rPr>
        <w:t>t</w:t>
      </w:r>
      <w:r>
        <w:rPr>
          <w:rFonts w:ascii="Times New Roman" w:eastAsia="CIDFont" w:hAnsi="Times New Roman" w:cs="Times New Roman"/>
          <w:color w:val="000000"/>
          <w:kern w:val="0"/>
          <w:sz w:val="24"/>
          <w:szCs w:val="24"/>
          <w:highlight w:val="yellow"/>
          <w:lang w:eastAsia="zh-CN" w:bidi="ar"/>
        </w:rPr>
        <w:t>h</w:t>
      </w:r>
      <w:r>
        <w:rPr>
          <w:rFonts w:ascii="Times New Roman" w:eastAsia="CIDFont" w:hAnsi="Times New Roman" w:cs="Times New Roman"/>
          <w:color w:val="000000"/>
          <w:kern w:val="0"/>
          <w:sz w:val="24"/>
          <w:szCs w:val="24"/>
          <w:lang w:eastAsia="zh-CN" w:bidi="ar"/>
        </w:rPr>
        <w:t xml:space="preserve"> the normal control; however, the group treated with 2000 mg/kg (PE2) </w:t>
      </w:r>
      <w:r>
        <w:rPr>
          <w:rFonts w:ascii="Times New Roman" w:eastAsia="CIDFont" w:hAnsi="Times New Roman" w:cs="Times New Roman"/>
          <w:color w:val="000000"/>
          <w:kern w:val="0"/>
          <w:sz w:val="24"/>
          <w:szCs w:val="24"/>
          <w:highlight w:val="yellow"/>
          <w:lang w:eastAsia="zh-CN" w:bidi="ar"/>
        </w:rPr>
        <w:t>h</w:t>
      </w:r>
      <w:r>
        <w:rPr>
          <w:rFonts w:ascii="Times New Roman" w:eastAsia="CIDFont" w:hAnsi="Times New Roman" w:cs="Times New Roman"/>
          <w:color w:val="000000"/>
          <w:kern w:val="0"/>
          <w:sz w:val="24"/>
          <w:szCs w:val="24"/>
          <w:lang w:eastAsia="zh-CN" w:bidi="ar"/>
        </w:rPr>
        <w:t>a</w:t>
      </w:r>
      <w:r>
        <w:rPr>
          <w:rFonts w:ascii="Times New Roman" w:eastAsia="CIDFont" w:hAnsi="Times New Roman" w:cs="Times New Roman"/>
          <w:color w:val="000000"/>
          <w:kern w:val="0"/>
          <w:sz w:val="24"/>
          <w:szCs w:val="24"/>
          <w:highlight w:val="yellow"/>
          <w:lang w:eastAsia="zh-CN" w:bidi="ar"/>
        </w:rPr>
        <w:t>d</w:t>
      </w:r>
      <w:r>
        <w:rPr>
          <w:rFonts w:ascii="Times New Roman" w:eastAsia="CIDFont" w:hAnsi="Times New Roman" w:cs="Times New Roman"/>
          <w:color w:val="000000"/>
          <w:kern w:val="0"/>
          <w:sz w:val="24"/>
          <w:szCs w:val="24"/>
          <w:lang w:eastAsia="zh-CN" w:bidi="ar"/>
        </w:rPr>
        <w:t xml:space="preserve"> significantly higher </w:t>
      </w:r>
      <w:r>
        <w:rPr>
          <w:rFonts w:ascii="Times New Roman" w:eastAsia="CIDFont" w:hAnsi="Times New Roman" w:cs="Times New Roman"/>
          <w:color w:val="000000"/>
          <w:kern w:val="0"/>
          <w:sz w:val="24"/>
          <w:szCs w:val="24"/>
          <w:highlight w:val="yellow"/>
          <w:lang w:eastAsia="zh-CN" w:bidi="ar"/>
        </w:rPr>
        <w:t xml:space="preserve">levels </w:t>
      </w:r>
      <w:r>
        <w:rPr>
          <w:rFonts w:ascii="Times New Roman" w:eastAsia="CIDFont" w:hAnsi="Times New Roman" w:cs="Times New Roman"/>
          <w:color w:val="000000"/>
          <w:kern w:val="0"/>
          <w:sz w:val="24"/>
          <w:szCs w:val="24"/>
          <w:lang w:eastAsia="zh-CN" w:bidi="ar"/>
        </w:rPr>
        <w:t>than the group treated with 1000 mg/kg (PE1)</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which means th</w:t>
      </w:r>
      <w:r>
        <w:rPr>
          <w:rFonts w:ascii="Times New Roman" w:eastAsia="CIDFont" w:hAnsi="Times New Roman" w:cs="Times New Roman"/>
          <w:color w:val="000000"/>
          <w:kern w:val="0"/>
          <w:sz w:val="24"/>
          <w:szCs w:val="24"/>
          <w:highlight w:val="yellow"/>
          <w:lang w:eastAsia="zh-CN" w:bidi="ar"/>
        </w:rPr>
        <w:t>at th</w:t>
      </w:r>
      <w:r>
        <w:rPr>
          <w:rFonts w:ascii="Times New Roman" w:eastAsia="CIDFont" w:hAnsi="Times New Roman" w:cs="Times New Roman"/>
          <w:color w:val="000000"/>
          <w:kern w:val="0"/>
          <w:sz w:val="24"/>
          <w:szCs w:val="24"/>
          <w:lang w:eastAsia="zh-CN" w:bidi="ar"/>
        </w:rPr>
        <w:t xml:space="preserve">e effect </w:t>
      </w:r>
      <w:r>
        <w:rPr>
          <w:rFonts w:ascii="Times New Roman" w:eastAsia="CIDFont" w:hAnsi="Times New Roman" w:cs="Times New Roman"/>
          <w:color w:val="000000"/>
          <w:kern w:val="0"/>
          <w:sz w:val="24"/>
          <w:szCs w:val="24"/>
          <w:highlight w:val="yellow"/>
          <w:lang w:eastAsia="zh-CN" w:bidi="ar"/>
        </w:rPr>
        <w:t>wa</w:t>
      </w:r>
      <w:r>
        <w:rPr>
          <w:rFonts w:ascii="Times New Roman" w:eastAsia="CIDFont" w:hAnsi="Times New Roman" w:cs="Times New Roman"/>
          <w:color w:val="000000"/>
          <w:kern w:val="0"/>
          <w:sz w:val="24"/>
          <w:szCs w:val="24"/>
          <w:lang w:eastAsia="zh-CN" w:bidi="ar"/>
        </w:rPr>
        <w:t>s dose</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dependent. </w:t>
      </w:r>
    </w:p>
    <w:p w14:paraId="6FA29528"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Several studies have linked the </w:t>
      </w:r>
      <w:r>
        <w:rPr>
          <w:rFonts w:ascii="Times New Roman" w:eastAsia="CIDFont" w:hAnsi="Times New Roman" w:cs="Times New Roman"/>
          <w:color w:val="000000"/>
          <w:kern w:val="0"/>
          <w:sz w:val="24"/>
          <w:szCs w:val="24"/>
          <w:highlight w:val="yellow"/>
          <w:lang w:eastAsia="zh-CN" w:bidi="ar"/>
        </w:rPr>
        <w:t xml:space="preserve">reported </w:t>
      </w:r>
      <w:r>
        <w:rPr>
          <w:rFonts w:ascii="Times New Roman" w:eastAsia="CIDFont" w:hAnsi="Times New Roman" w:cs="Times New Roman"/>
          <w:color w:val="000000"/>
          <w:kern w:val="0"/>
          <w:sz w:val="24"/>
          <w:szCs w:val="24"/>
          <w:lang w:eastAsia="zh-CN" w:bidi="ar"/>
        </w:rPr>
        <w:t>b</w:t>
      </w:r>
      <w:r>
        <w:rPr>
          <w:rFonts w:ascii="Times New Roman" w:eastAsia="CIDFont" w:hAnsi="Times New Roman" w:cs="Times New Roman"/>
          <w:color w:val="000000"/>
          <w:kern w:val="0"/>
          <w:sz w:val="24"/>
          <w:szCs w:val="24"/>
          <w:highlight w:val="yellow"/>
          <w:lang w:eastAsia="zh-CN" w:bidi="ar"/>
        </w:rPr>
        <w:t>iological prop</w:t>
      </w:r>
      <w:r>
        <w:rPr>
          <w:rFonts w:ascii="Times New Roman" w:eastAsia="CIDFont" w:hAnsi="Times New Roman" w:cs="Times New Roman"/>
          <w:color w:val="000000"/>
          <w:kern w:val="0"/>
          <w:sz w:val="24"/>
          <w:szCs w:val="24"/>
          <w:lang w:eastAsia="zh-CN" w:bidi="ar"/>
        </w:rPr>
        <w:t>e</w:t>
      </w:r>
      <w:r>
        <w:rPr>
          <w:rFonts w:ascii="Times New Roman" w:eastAsia="CIDFont" w:hAnsi="Times New Roman" w:cs="Times New Roman"/>
          <w:color w:val="000000"/>
          <w:kern w:val="0"/>
          <w:sz w:val="24"/>
          <w:szCs w:val="24"/>
          <w:highlight w:val="yellow"/>
          <w:lang w:eastAsia="zh-CN" w:bidi="ar"/>
        </w:rPr>
        <w:t>rti</w:t>
      </w:r>
      <w:r>
        <w:rPr>
          <w:rFonts w:ascii="Times New Roman" w:eastAsia="CIDFont" w:hAnsi="Times New Roman" w:cs="Times New Roman"/>
          <w:color w:val="000000"/>
          <w:kern w:val="0"/>
          <w:sz w:val="24"/>
          <w:szCs w:val="24"/>
          <w:lang w:eastAsia="zh-CN" w:bidi="ar"/>
        </w:rPr>
        <w:t>e</w:t>
      </w:r>
      <w:r>
        <w:rPr>
          <w:rFonts w:ascii="Times New Roman" w:eastAsia="CIDFont" w:hAnsi="Times New Roman" w:cs="Times New Roman"/>
          <w:color w:val="000000"/>
          <w:kern w:val="0"/>
          <w:sz w:val="24"/>
          <w:szCs w:val="24"/>
          <w:highlight w:val="yellow"/>
          <w:lang w:eastAsia="zh-CN" w:bidi="ar"/>
        </w:rPr>
        <w:t>s</w:t>
      </w:r>
      <w:r>
        <w:rPr>
          <w:rFonts w:ascii="Times New Roman" w:eastAsia="CIDFont" w:hAnsi="Times New Roman" w:cs="Times New Roman"/>
          <w:color w:val="000000"/>
          <w:kern w:val="0"/>
          <w:sz w:val="24"/>
          <w:szCs w:val="24"/>
          <w:lang w:eastAsia="zh-CN" w:bidi="ar"/>
        </w:rPr>
        <w:t xml:space="preserve"> of </w:t>
      </w:r>
      <w:r>
        <w:rPr>
          <w:rFonts w:ascii="Times New Roman" w:eastAsia="CIDFont" w:hAnsi="Times New Roman" w:cs="Times New Roman"/>
          <w:i/>
          <w:iCs/>
          <w:color w:val="000000"/>
          <w:kern w:val="0"/>
          <w:sz w:val="24"/>
          <w:szCs w:val="24"/>
          <w:lang w:eastAsia="zh-CN" w:bidi="ar"/>
        </w:rPr>
        <w:t>A. garckeana</w:t>
      </w:r>
      <w:r>
        <w:rPr>
          <w:rFonts w:ascii="Times New Roman" w:eastAsia="CIDFont" w:hAnsi="Times New Roman" w:cs="Times New Roman"/>
          <w:color w:val="000000"/>
          <w:kern w:val="0"/>
          <w:sz w:val="24"/>
          <w:szCs w:val="24"/>
          <w:lang w:eastAsia="zh-CN" w:bidi="ar"/>
        </w:rPr>
        <w:t xml:space="preserve"> to its different </w:t>
      </w:r>
    </w:p>
    <w:p w14:paraId="4B410D73"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metabolites (</w:t>
      </w:r>
      <w:r>
        <w:rPr>
          <w:rFonts w:ascii="Times New Roman" w:eastAsia="CIDFont" w:hAnsi="Times New Roman" w:cs="Times New Roman"/>
          <w:color w:val="000000"/>
          <w:kern w:val="0"/>
          <w:sz w:val="24"/>
          <w:szCs w:val="24"/>
          <w:highlight w:val="yellow"/>
          <w:lang w:eastAsia="zh-CN" w:bidi="ar"/>
        </w:rPr>
        <w:t>Sali</w:t>
      </w:r>
      <w:r>
        <w:rPr>
          <w:rFonts w:ascii="Times New Roman" w:eastAsia="CIDFont" w:hAnsi="Times New Roman" w:cs="Times New Roman"/>
          <w:color w:val="000000"/>
          <w:kern w:val="0"/>
          <w:sz w:val="24"/>
          <w:szCs w:val="24"/>
          <w:lang w:eastAsia="zh-CN" w:bidi="ar"/>
        </w:rPr>
        <w:t>h et al., 2022)</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w:t>
      </w:r>
      <w:r>
        <w:rPr>
          <w:rFonts w:ascii="Times New Roman" w:eastAsia="CIDFont" w:hAnsi="Times New Roman" w:cs="Times New Roman"/>
          <w:i/>
          <w:color w:val="000000"/>
          <w:kern w:val="0"/>
          <w:sz w:val="24"/>
          <w:szCs w:val="24"/>
          <w:highlight w:val="yellow"/>
          <w:lang w:eastAsia="zh-CN" w:bidi="ar"/>
        </w:rPr>
        <w:t>A. garckeana</w:t>
      </w:r>
      <w:r>
        <w:rPr>
          <w:rFonts w:ascii="Times New Roman" w:eastAsia="CIDFont" w:hAnsi="Times New Roman" w:cs="Times New Roman"/>
          <w:color w:val="000000"/>
          <w:kern w:val="0"/>
          <w:sz w:val="24"/>
          <w:szCs w:val="24"/>
          <w:lang w:eastAsia="zh-CN" w:bidi="ar"/>
        </w:rPr>
        <w:t xml:space="preserve"> extract at 125 and 500 mg/kg induced </w:t>
      </w:r>
      <w:r>
        <w:rPr>
          <w:rFonts w:ascii="Times New Roman" w:eastAsia="CIDFont" w:hAnsi="Times New Roman" w:cs="Times New Roman"/>
          <w:color w:val="000000"/>
          <w:kern w:val="0"/>
          <w:sz w:val="24"/>
          <w:szCs w:val="24"/>
          <w:highlight w:val="yellow"/>
          <w:lang w:eastAsia="zh-CN" w:bidi="ar"/>
        </w:rPr>
        <w:t xml:space="preserve">a </w:t>
      </w:r>
      <w:r>
        <w:rPr>
          <w:rFonts w:ascii="Times New Roman" w:eastAsia="CIDFont" w:hAnsi="Times New Roman" w:cs="Times New Roman"/>
          <w:color w:val="000000"/>
          <w:kern w:val="0"/>
          <w:sz w:val="24"/>
          <w:szCs w:val="24"/>
          <w:lang w:eastAsia="zh-CN" w:bidi="ar"/>
        </w:rPr>
        <w:t xml:space="preserve">significant </w:t>
      </w:r>
    </w:p>
    <w:p w14:paraId="19ADE09A" w14:textId="32694773"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increase in LH, FSH and testosterone compared </w:t>
      </w:r>
      <w:r>
        <w:rPr>
          <w:rFonts w:ascii="Times New Roman" w:eastAsia="CIDFont" w:hAnsi="Times New Roman" w:cs="Times New Roman"/>
          <w:color w:val="000000"/>
          <w:kern w:val="0"/>
          <w:sz w:val="24"/>
          <w:szCs w:val="24"/>
          <w:highlight w:val="yellow"/>
          <w:lang w:eastAsia="zh-CN" w:bidi="ar"/>
        </w:rPr>
        <w:t>wi</w:t>
      </w:r>
      <w:r>
        <w:rPr>
          <w:rFonts w:ascii="Times New Roman" w:eastAsia="CIDFont" w:hAnsi="Times New Roman" w:cs="Times New Roman"/>
          <w:color w:val="000000"/>
          <w:kern w:val="0"/>
          <w:sz w:val="24"/>
          <w:szCs w:val="24"/>
          <w:lang w:eastAsia="zh-CN" w:bidi="ar"/>
        </w:rPr>
        <w:t>t</w:t>
      </w:r>
      <w:r>
        <w:rPr>
          <w:rFonts w:ascii="Times New Roman" w:eastAsia="CIDFont" w:hAnsi="Times New Roman" w:cs="Times New Roman"/>
          <w:color w:val="000000"/>
          <w:kern w:val="0"/>
          <w:sz w:val="24"/>
          <w:szCs w:val="24"/>
          <w:highlight w:val="yellow"/>
          <w:lang w:eastAsia="zh-CN" w:bidi="ar"/>
        </w:rPr>
        <w:t>h the</w:t>
      </w:r>
      <w:r>
        <w:rPr>
          <w:rFonts w:ascii="Times New Roman" w:eastAsia="CIDFont" w:hAnsi="Times New Roman" w:cs="Times New Roman"/>
          <w:color w:val="000000"/>
          <w:kern w:val="0"/>
          <w:sz w:val="24"/>
          <w:szCs w:val="24"/>
          <w:lang w:eastAsia="zh-CN" w:bidi="ar"/>
        </w:rPr>
        <w:t xml:space="preserve"> control (p&lt;0.05) and</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at 250 mg/kg</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demonstrated</w:t>
      </w:r>
      <w:r>
        <w:rPr>
          <w:rFonts w:ascii="Times New Roman" w:eastAsia="CIDFont" w:hAnsi="Times New Roman" w:cs="Times New Roman"/>
          <w:color w:val="000000"/>
          <w:kern w:val="0"/>
          <w:sz w:val="24"/>
          <w:szCs w:val="24"/>
          <w:highlight w:val="yellow"/>
          <w:lang w:eastAsia="zh-CN" w:bidi="ar"/>
        </w:rPr>
        <w:t xml:space="preserve"> the</w:t>
      </w:r>
      <w:r>
        <w:rPr>
          <w:rFonts w:ascii="Times New Roman" w:eastAsia="CIDFont" w:hAnsi="Times New Roman" w:cs="Times New Roman"/>
          <w:color w:val="000000"/>
          <w:kern w:val="0"/>
          <w:sz w:val="24"/>
          <w:szCs w:val="24"/>
          <w:lang w:eastAsia="zh-CN" w:bidi="ar"/>
        </w:rPr>
        <w:t xml:space="preserve"> highest fecundity potential of 8.49 (Bukar, 202</w:t>
      </w:r>
      <w:r w:rsidR="009A1C5D">
        <w:rPr>
          <w:rFonts w:ascii="Times New Roman" w:eastAsia="CIDFont" w:hAnsi="Times New Roman" w:cs="Times New Roman"/>
          <w:color w:val="000000"/>
          <w:kern w:val="0"/>
          <w:sz w:val="24"/>
          <w:szCs w:val="24"/>
          <w:lang w:eastAsia="zh-CN" w:bidi="ar"/>
        </w:rPr>
        <w:t>1</w:t>
      </w:r>
      <w:r>
        <w:rPr>
          <w:rFonts w:ascii="Times New Roman" w:eastAsia="CIDFont" w:hAnsi="Times New Roman" w:cs="Times New Roman"/>
          <w:color w:val="000000"/>
          <w:kern w:val="0"/>
          <w:sz w:val="24"/>
          <w:szCs w:val="24"/>
          <w:lang w:eastAsia="zh-CN" w:bidi="ar"/>
        </w:rPr>
        <w:t xml:space="preserve">). </w:t>
      </w:r>
    </w:p>
    <w:p w14:paraId="3E8E3608" w14:textId="2FD125C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The results on the effect of </w:t>
      </w:r>
      <w:r>
        <w:rPr>
          <w:rFonts w:ascii="Times New Roman" w:eastAsia="CIDFont" w:hAnsi="Times New Roman" w:cs="Times New Roman"/>
          <w:i/>
          <w:iCs/>
          <w:color w:val="000000"/>
          <w:kern w:val="0"/>
          <w:sz w:val="24"/>
          <w:szCs w:val="24"/>
          <w:lang w:eastAsia="zh-CN" w:bidi="ar"/>
        </w:rPr>
        <w:t xml:space="preserve">A. garckeana </w:t>
      </w:r>
      <w:r>
        <w:rPr>
          <w:rFonts w:ascii="Times New Roman" w:eastAsia="CIDFont" w:hAnsi="Times New Roman" w:cs="Times New Roman"/>
          <w:color w:val="000000"/>
          <w:kern w:val="0"/>
          <w:sz w:val="24"/>
          <w:szCs w:val="24"/>
          <w:lang w:eastAsia="zh-CN" w:bidi="ar"/>
        </w:rPr>
        <w:t>fruit extract on h</w:t>
      </w:r>
      <w:r>
        <w:rPr>
          <w:rFonts w:ascii="Times New Roman" w:eastAsia="CIDFont" w:hAnsi="Times New Roman" w:cs="Times New Roman"/>
          <w:color w:val="000000"/>
          <w:kern w:val="0"/>
          <w:sz w:val="24"/>
          <w:szCs w:val="24"/>
          <w:highlight w:val="yellow"/>
          <w:lang w:eastAsia="zh-CN" w:bidi="ar"/>
        </w:rPr>
        <w:t>ormon</w:t>
      </w:r>
      <w:r>
        <w:rPr>
          <w:rFonts w:ascii="Times New Roman" w:eastAsia="CIDFont" w:hAnsi="Times New Roman" w:cs="Times New Roman"/>
          <w:color w:val="000000"/>
          <w:kern w:val="0"/>
          <w:sz w:val="24"/>
          <w:szCs w:val="24"/>
          <w:lang w:eastAsia="zh-CN" w:bidi="ar"/>
        </w:rPr>
        <w:t>e level</w:t>
      </w:r>
      <w:r>
        <w:rPr>
          <w:rFonts w:ascii="Times New Roman" w:eastAsia="CIDFont" w:hAnsi="Times New Roman" w:cs="Times New Roman"/>
          <w:color w:val="000000"/>
          <w:kern w:val="0"/>
          <w:sz w:val="24"/>
          <w:szCs w:val="24"/>
          <w:highlight w:val="yellow"/>
          <w:lang w:eastAsia="zh-CN" w:bidi="ar"/>
        </w:rPr>
        <w:t>s</w:t>
      </w:r>
      <w:r>
        <w:rPr>
          <w:rFonts w:ascii="Times New Roman" w:eastAsia="CIDFont" w:hAnsi="Times New Roman" w:cs="Times New Roman"/>
          <w:color w:val="000000"/>
          <w:kern w:val="0"/>
          <w:sz w:val="24"/>
          <w:szCs w:val="24"/>
          <w:lang w:eastAsia="zh-CN" w:bidi="ar"/>
        </w:rPr>
        <w:t xml:space="preserve"> </w:t>
      </w:r>
      <w:r>
        <w:rPr>
          <w:rFonts w:ascii="Times New Roman" w:eastAsia="CIDFont" w:hAnsi="Times New Roman" w:cs="Times New Roman"/>
          <w:color w:val="000000"/>
          <w:kern w:val="0"/>
          <w:sz w:val="24"/>
          <w:szCs w:val="24"/>
          <w:highlight w:val="yellow"/>
          <w:lang w:eastAsia="zh-CN" w:bidi="ar"/>
        </w:rPr>
        <w:t>in</w:t>
      </w:r>
      <w:r>
        <w:rPr>
          <w:rFonts w:ascii="Times New Roman" w:eastAsia="CIDFont" w:hAnsi="Times New Roman" w:cs="Times New Roman"/>
          <w:color w:val="000000"/>
          <w:kern w:val="0"/>
          <w:sz w:val="24"/>
          <w:szCs w:val="24"/>
          <w:lang w:eastAsia="zh-CN" w:bidi="ar"/>
        </w:rPr>
        <w:t xml:space="preserve"> male rats are shown in </w:t>
      </w:r>
      <w:r>
        <w:rPr>
          <w:rFonts w:ascii="Times New Roman" w:eastAsia="CIDFont" w:hAnsi="Times New Roman" w:cs="Times New Roman"/>
          <w:color w:val="000000"/>
          <w:kern w:val="0"/>
          <w:sz w:val="24"/>
          <w:szCs w:val="24"/>
          <w:highlight w:val="yellow"/>
          <w:lang w:eastAsia="zh-CN" w:bidi="ar"/>
        </w:rPr>
        <w:t>T</w:t>
      </w:r>
      <w:r>
        <w:rPr>
          <w:rFonts w:ascii="Times New Roman" w:eastAsia="CIDFont" w:hAnsi="Times New Roman" w:cs="Times New Roman"/>
          <w:color w:val="000000"/>
          <w:kern w:val="0"/>
          <w:sz w:val="24"/>
          <w:szCs w:val="24"/>
          <w:lang w:eastAsia="zh-CN" w:bidi="ar"/>
        </w:rPr>
        <w:t xml:space="preserve">able </w:t>
      </w:r>
      <w:r>
        <w:rPr>
          <w:rFonts w:ascii="Times New Roman" w:eastAsia="CIDFont" w:hAnsi="Times New Roman" w:cs="Times New Roman"/>
          <w:color w:val="000000"/>
          <w:kern w:val="0"/>
          <w:sz w:val="24"/>
          <w:szCs w:val="24"/>
          <w:highlight w:val="yellow"/>
          <w:lang w:eastAsia="zh-CN" w:bidi="ar"/>
        </w:rPr>
        <w:t>4</w:t>
      </w:r>
      <w:r>
        <w:rPr>
          <w:rFonts w:ascii="Times New Roman" w:eastAsia="CIDFont" w:hAnsi="Times New Roman" w:cs="Times New Roman"/>
          <w:color w:val="000000"/>
          <w:kern w:val="0"/>
          <w:sz w:val="24"/>
          <w:szCs w:val="24"/>
          <w:lang w:eastAsia="zh-CN" w:bidi="ar"/>
        </w:rPr>
        <w:t>. The serum concentrations of testosterone, LH and FSH fluctuated over the weeks in male rats. However, rats administered 1000 mg/kg and 2000 mg/kg extracts had increased serum hormon</w:t>
      </w:r>
      <w:r>
        <w:rPr>
          <w:rFonts w:ascii="Times New Roman" w:eastAsia="CIDFont" w:hAnsi="Times New Roman" w:cs="Times New Roman"/>
          <w:color w:val="000000"/>
          <w:kern w:val="0"/>
          <w:sz w:val="24"/>
          <w:szCs w:val="24"/>
          <w:highlight w:val="yellow"/>
          <w:lang w:eastAsia="zh-CN" w:bidi="ar"/>
        </w:rPr>
        <w:t>e</w:t>
      </w:r>
      <w:r>
        <w:rPr>
          <w:rFonts w:ascii="Times New Roman" w:eastAsia="CIDFont" w:hAnsi="Times New Roman" w:cs="Times New Roman"/>
          <w:color w:val="000000"/>
          <w:kern w:val="0"/>
          <w:sz w:val="24"/>
          <w:szCs w:val="24"/>
          <w:lang w:eastAsia="zh-CN" w:bidi="ar"/>
        </w:rPr>
        <w:t xml:space="preserve"> concentration</w:t>
      </w:r>
      <w:r>
        <w:rPr>
          <w:rFonts w:ascii="Times New Roman" w:eastAsia="CIDFont" w:hAnsi="Times New Roman" w:cs="Times New Roman"/>
          <w:color w:val="000000"/>
          <w:kern w:val="0"/>
          <w:sz w:val="24"/>
          <w:szCs w:val="24"/>
          <w:highlight w:val="yellow"/>
          <w:lang w:eastAsia="zh-CN" w:bidi="ar"/>
        </w:rPr>
        <w:t>s</w:t>
      </w:r>
      <w:r>
        <w:rPr>
          <w:rFonts w:ascii="Times New Roman" w:eastAsia="CIDFont" w:hAnsi="Times New Roman" w:cs="Times New Roman"/>
          <w:color w:val="000000"/>
          <w:kern w:val="0"/>
          <w:sz w:val="24"/>
          <w:szCs w:val="24"/>
          <w:lang w:eastAsia="zh-CN" w:bidi="ar"/>
        </w:rPr>
        <w:t xml:space="preserve"> when compared </w:t>
      </w:r>
      <w:r>
        <w:rPr>
          <w:rFonts w:ascii="Times New Roman" w:eastAsia="CIDFont" w:hAnsi="Times New Roman" w:cs="Times New Roman"/>
          <w:color w:val="000000"/>
          <w:kern w:val="0"/>
          <w:sz w:val="24"/>
          <w:szCs w:val="24"/>
          <w:highlight w:val="yellow"/>
          <w:lang w:eastAsia="zh-CN" w:bidi="ar"/>
        </w:rPr>
        <w:t>wi</w:t>
      </w:r>
      <w:r>
        <w:rPr>
          <w:rFonts w:ascii="Times New Roman" w:eastAsia="CIDFont" w:hAnsi="Times New Roman" w:cs="Times New Roman"/>
          <w:color w:val="000000"/>
          <w:kern w:val="0"/>
          <w:sz w:val="24"/>
          <w:szCs w:val="24"/>
          <w:lang w:eastAsia="zh-CN" w:bidi="ar"/>
        </w:rPr>
        <w:t>t</w:t>
      </w:r>
      <w:r>
        <w:rPr>
          <w:rFonts w:ascii="Times New Roman" w:eastAsia="CIDFont" w:hAnsi="Times New Roman" w:cs="Times New Roman"/>
          <w:color w:val="000000"/>
          <w:kern w:val="0"/>
          <w:sz w:val="24"/>
          <w:szCs w:val="24"/>
          <w:highlight w:val="yellow"/>
          <w:lang w:eastAsia="zh-CN" w:bidi="ar"/>
        </w:rPr>
        <w:t>h</w:t>
      </w:r>
      <w:r>
        <w:rPr>
          <w:rFonts w:ascii="Times New Roman" w:eastAsia="CIDFont" w:hAnsi="Times New Roman" w:cs="Times New Roman"/>
          <w:color w:val="000000"/>
          <w:kern w:val="0"/>
          <w:sz w:val="24"/>
          <w:szCs w:val="24"/>
          <w:lang w:eastAsia="zh-CN" w:bidi="ar"/>
        </w:rPr>
        <w:t xml:space="preserve"> the negative control</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 xml:space="preserve"> and th</w:t>
      </w:r>
      <w:r>
        <w:rPr>
          <w:rFonts w:ascii="Times New Roman" w:eastAsia="CIDFont" w:hAnsi="Times New Roman" w:cs="Times New Roman"/>
          <w:color w:val="000000"/>
          <w:kern w:val="0"/>
          <w:sz w:val="24"/>
          <w:szCs w:val="24"/>
          <w:highlight w:val="yellow"/>
          <w:lang w:eastAsia="zh-CN" w:bidi="ar"/>
        </w:rPr>
        <w:t>is</w:t>
      </w:r>
      <w:r>
        <w:rPr>
          <w:rFonts w:ascii="Times New Roman" w:eastAsia="CIDFont" w:hAnsi="Times New Roman" w:cs="Times New Roman"/>
          <w:color w:val="000000"/>
          <w:kern w:val="0"/>
          <w:sz w:val="24"/>
          <w:szCs w:val="24"/>
          <w:lang w:eastAsia="zh-CN" w:bidi="ar"/>
        </w:rPr>
        <w:t xml:space="preserve"> increase </w:t>
      </w:r>
      <w:r>
        <w:rPr>
          <w:rFonts w:ascii="Times New Roman" w:eastAsia="CIDFont" w:hAnsi="Times New Roman" w:cs="Times New Roman"/>
          <w:color w:val="000000"/>
          <w:kern w:val="0"/>
          <w:sz w:val="24"/>
          <w:szCs w:val="24"/>
          <w:highlight w:val="yellow"/>
          <w:lang w:eastAsia="zh-CN" w:bidi="ar"/>
        </w:rPr>
        <w:t>wa</w:t>
      </w:r>
      <w:r>
        <w:rPr>
          <w:rFonts w:ascii="Times New Roman" w:eastAsia="CIDFont" w:hAnsi="Times New Roman" w:cs="Times New Roman"/>
          <w:color w:val="000000"/>
          <w:kern w:val="0"/>
          <w:sz w:val="24"/>
          <w:szCs w:val="24"/>
          <w:lang w:eastAsia="zh-CN" w:bidi="ar"/>
        </w:rPr>
        <w:t>s dose</w:t>
      </w:r>
      <w:r>
        <w:rPr>
          <w:rFonts w:ascii="Times New Roman" w:eastAsia="CIDFont" w:hAnsi="Times New Roman" w:cs="Times New Roman"/>
          <w:color w:val="000000"/>
          <w:kern w:val="0"/>
          <w:sz w:val="24"/>
          <w:szCs w:val="24"/>
          <w:highlight w:val="yellow"/>
          <w:lang w:eastAsia="zh-CN" w:bidi="ar"/>
        </w:rPr>
        <w:t>-</w:t>
      </w:r>
      <w:r>
        <w:rPr>
          <w:rFonts w:ascii="Times New Roman" w:eastAsia="CIDFont" w:hAnsi="Times New Roman" w:cs="Times New Roman"/>
          <w:color w:val="000000"/>
          <w:kern w:val="0"/>
          <w:sz w:val="24"/>
          <w:szCs w:val="24"/>
          <w:lang w:eastAsia="zh-CN" w:bidi="ar"/>
        </w:rPr>
        <w:t>dependent. The hormones have been reported to play a significant role in improv</w:t>
      </w:r>
      <w:r>
        <w:rPr>
          <w:rFonts w:ascii="Times New Roman" w:eastAsia="CIDFont" w:hAnsi="Times New Roman" w:cs="Times New Roman"/>
          <w:color w:val="000000"/>
          <w:kern w:val="0"/>
          <w:sz w:val="24"/>
          <w:szCs w:val="24"/>
          <w:highlight w:val="yellow"/>
          <w:lang w:eastAsia="zh-CN" w:bidi="ar"/>
        </w:rPr>
        <w:t>i</w:t>
      </w:r>
      <w:r>
        <w:rPr>
          <w:rFonts w:ascii="Times New Roman" w:eastAsia="CIDFont" w:hAnsi="Times New Roman" w:cs="Times New Roman"/>
          <w:color w:val="000000"/>
          <w:kern w:val="0"/>
          <w:sz w:val="24"/>
          <w:szCs w:val="24"/>
          <w:lang w:eastAsia="zh-CN" w:bidi="ar"/>
        </w:rPr>
        <w:t>n</w:t>
      </w:r>
      <w:r>
        <w:rPr>
          <w:rFonts w:ascii="Times New Roman" w:eastAsia="CIDFont" w:hAnsi="Times New Roman" w:cs="Times New Roman"/>
          <w:color w:val="000000"/>
          <w:kern w:val="0"/>
          <w:sz w:val="24"/>
          <w:szCs w:val="24"/>
          <w:highlight w:val="yellow"/>
          <w:lang w:eastAsia="zh-CN" w:bidi="ar"/>
        </w:rPr>
        <w:t>g</w:t>
      </w:r>
      <w:r>
        <w:rPr>
          <w:rFonts w:ascii="Times New Roman" w:eastAsia="CIDFont" w:hAnsi="Times New Roman" w:cs="Times New Roman"/>
          <w:color w:val="000000"/>
          <w:kern w:val="0"/>
          <w:sz w:val="24"/>
          <w:szCs w:val="24"/>
          <w:lang w:eastAsia="zh-CN" w:bidi="ar"/>
        </w:rPr>
        <w:t xml:space="preserve"> male reproductive functions (</w:t>
      </w:r>
      <w:r w:rsidR="009A1C5D" w:rsidRPr="009A1C5D">
        <w:rPr>
          <w:rFonts w:ascii="Times New Roman" w:eastAsia="CIDFont" w:hAnsi="Times New Roman" w:cs="Times New Roman"/>
          <w:color w:val="000000"/>
          <w:kern w:val="0"/>
          <w:sz w:val="24"/>
          <w:szCs w:val="24"/>
          <w:lang w:eastAsia="zh-CN" w:bidi="ar"/>
        </w:rPr>
        <w:t>Abo-Elsoud</w:t>
      </w:r>
      <w:r>
        <w:rPr>
          <w:rFonts w:ascii="Times New Roman" w:eastAsia="CIDFont" w:hAnsi="Times New Roman" w:cs="Times New Roman"/>
          <w:color w:val="000000"/>
          <w:kern w:val="0"/>
          <w:sz w:val="24"/>
          <w:szCs w:val="24"/>
          <w:lang w:eastAsia="zh-CN" w:bidi="ar"/>
        </w:rPr>
        <w:t xml:space="preserve"> et al., 2019). </w:t>
      </w:r>
    </w:p>
    <w:p w14:paraId="70BBB2AF"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The result</w:t>
      </w:r>
      <w:r>
        <w:rPr>
          <w:rFonts w:ascii="Times New Roman" w:eastAsia="CIDFont" w:hAnsi="Times New Roman" w:cs="Times New Roman"/>
          <w:color w:val="000000"/>
          <w:kern w:val="0"/>
          <w:sz w:val="24"/>
          <w:szCs w:val="24"/>
          <w:highlight w:val="yellow"/>
          <w:lang w:eastAsia="zh-CN" w:bidi="ar"/>
        </w:rPr>
        <w:t>s</w:t>
      </w:r>
      <w:r>
        <w:rPr>
          <w:rFonts w:ascii="Times New Roman" w:eastAsia="CIDFont" w:hAnsi="Times New Roman" w:cs="Times New Roman"/>
          <w:color w:val="000000"/>
          <w:kern w:val="0"/>
          <w:sz w:val="24"/>
          <w:szCs w:val="24"/>
          <w:lang w:eastAsia="zh-CN" w:bidi="ar"/>
        </w:rPr>
        <w:t xml:space="preserve"> show that </w:t>
      </w:r>
      <w:r>
        <w:rPr>
          <w:rFonts w:ascii="Times New Roman" w:eastAsia="CIDFont" w:hAnsi="Times New Roman" w:cs="Times New Roman"/>
          <w:i/>
          <w:iCs/>
          <w:color w:val="000000"/>
          <w:kern w:val="0"/>
          <w:sz w:val="24"/>
          <w:szCs w:val="24"/>
          <w:lang w:eastAsia="zh-CN" w:bidi="ar"/>
        </w:rPr>
        <w:t>Azanza gar</w:t>
      </w:r>
      <w:r>
        <w:rPr>
          <w:rFonts w:ascii="Times New Roman" w:eastAsia="CIDFont" w:hAnsi="Times New Roman" w:cs="Times New Roman"/>
          <w:i/>
          <w:iCs/>
          <w:color w:val="000000"/>
          <w:kern w:val="0"/>
          <w:sz w:val="24"/>
          <w:szCs w:val="24"/>
          <w:highlight w:val="yellow"/>
          <w:lang w:eastAsia="zh-CN" w:bidi="ar"/>
        </w:rPr>
        <w:t>c</w:t>
      </w:r>
      <w:r>
        <w:rPr>
          <w:rFonts w:ascii="Times New Roman" w:eastAsia="CIDFont" w:hAnsi="Times New Roman" w:cs="Times New Roman"/>
          <w:i/>
          <w:iCs/>
          <w:color w:val="000000"/>
          <w:kern w:val="0"/>
          <w:sz w:val="24"/>
          <w:szCs w:val="24"/>
          <w:lang w:eastAsia="zh-CN" w:bidi="ar"/>
        </w:rPr>
        <w:t xml:space="preserve">keana </w:t>
      </w:r>
      <w:r>
        <w:rPr>
          <w:rFonts w:ascii="Times New Roman" w:eastAsia="CIDFont" w:hAnsi="Times New Roman" w:cs="Times New Roman"/>
          <w:color w:val="000000"/>
          <w:kern w:val="0"/>
          <w:sz w:val="24"/>
          <w:szCs w:val="24"/>
          <w:lang w:eastAsia="zh-CN" w:bidi="ar"/>
        </w:rPr>
        <w:t xml:space="preserve">contained an appreciable quantity of bioactive components, including polyphenols such as flavonoids, which may reduce oxidative stress and </w:t>
      </w:r>
    </w:p>
    <w:p w14:paraId="6BC2E559" w14:textId="47E6EF66"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harmful biological activities (Maroyi </w:t>
      </w:r>
      <w:r>
        <w:rPr>
          <w:rFonts w:ascii="Times New Roman" w:eastAsia="CIDFont" w:hAnsi="Times New Roman" w:cs="Times New Roman"/>
          <w:color w:val="000000"/>
          <w:kern w:val="0"/>
          <w:sz w:val="24"/>
          <w:szCs w:val="24"/>
          <w:highlight w:val="yellow"/>
          <w:lang w:eastAsia="zh-CN" w:bidi="ar"/>
        </w:rPr>
        <w:t>&amp;</w:t>
      </w:r>
      <w:r>
        <w:rPr>
          <w:rFonts w:ascii="Times New Roman" w:eastAsia="CIDFont" w:hAnsi="Times New Roman" w:cs="Times New Roman"/>
          <w:color w:val="000000"/>
          <w:kern w:val="0"/>
          <w:sz w:val="24"/>
          <w:szCs w:val="24"/>
          <w:lang w:eastAsia="zh-CN" w:bidi="ar"/>
        </w:rPr>
        <w:t xml:space="preserve"> Cheikh-Youssef, 2017; </w:t>
      </w:r>
      <w:r w:rsidR="009A1C5D" w:rsidRPr="009A1C5D">
        <w:rPr>
          <w:rFonts w:ascii="Times New Roman" w:eastAsia="CIDFont" w:hAnsi="Times New Roman" w:cs="Times New Roman"/>
          <w:color w:val="000000"/>
          <w:kern w:val="0"/>
          <w:sz w:val="24"/>
          <w:szCs w:val="24"/>
          <w:lang w:eastAsia="zh-CN" w:bidi="ar"/>
        </w:rPr>
        <w:t>Bioltif</w:t>
      </w:r>
      <w:r>
        <w:rPr>
          <w:rFonts w:ascii="Times New Roman" w:eastAsia="CIDFont" w:hAnsi="Times New Roman" w:cs="Times New Roman"/>
          <w:color w:val="000000"/>
          <w:kern w:val="0"/>
          <w:sz w:val="24"/>
          <w:szCs w:val="24"/>
          <w:lang w:eastAsia="zh-CN" w:bidi="ar"/>
        </w:rPr>
        <w:t xml:space="preserve"> et al., 202</w:t>
      </w:r>
      <w:r w:rsidR="009A1C5D">
        <w:rPr>
          <w:rFonts w:ascii="Times New Roman" w:eastAsia="CIDFont" w:hAnsi="Times New Roman" w:cs="Times New Roman"/>
          <w:color w:val="000000"/>
          <w:kern w:val="0"/>
          <w:sz w:val="24"/>
          <w:szCs w:val="24"/>
          <w:lang w:eastAsia="zh-CN" w:bidi="ar"/>
        </w:rPr>
        <w:t>0</w:t>
      </w:r>
      <w:r>
        <w:rPr>
          <w:rFonts w:ascii="Times New Roman" w:eastAsia="CIDFont" w:hAnsi="Times New Roman" w:cs="Times New Roman"/>
          <w:color w:val="000000"/>
          <w:kern w:val="0"/>
          <w:sz w:val="24"/>
          <w:szCs w:val="24"/>
          <w:lang w:eastAsia="zh-CN" w:bidi="ar"/>
        </w:rPr>
        <w:t xml:space="preserve">). </w:t>
      </w:r>
    </w:p>
    <w:p w14:paraId="2EE57840" w14:textId="77777777" w:rsidR="0035258B" w:rsidRDefault="006D1A0F" w:rsidP="008A3FD2">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4.0 CONCLUSION </w:t>
      </w:r>
    </w:p>
    <w:p w14:paraId="1F467040" w14:textId="77777777" w:rsidR="008A3892" w:rsidRDefault="008A3892" w:rsidP="008A3FD2">
      <w:pPr>
        <w:pStyle w:val="pdq2pgselectionanchorcontainer"/>
        <w:jc w:val="both"/>
      </w:pPr>
      <w:r>
        <w:t xml:space="preserve">The findings indicate that the aqueous fruit extract of </w:t>
      </w:r>
      <w:r>
        <w:rPr>
          <w:rStyle w:val="Emphasis"/>
        </w:rPr>
        <w:t>Azanza garckeana</w:t>
      </w:r>
      <w:r>
        <w:t xml:space="preserve"> produced measurable effects on diabetes-associated reproductive hormone disturbances in alloxan-induced albino Wistar rats. Phytochemical screening demonstrated the presence of alkaloids, tannins, saponins, </w:t>
      </w:r>
      <w:r>
        <w:lastRenderedPageBreak/>
        <w:t>carbohydrate, and flavonoids. No mortality was reported during acute exposure to the tested doses up to 5000 mg/kg body weight. In the subacute assessment, however, changes in creatinine and liver-enzyme activities, together with histological observations in the liver and kidney, indicate that the safety findings should be interpreted cautiously. In both male and female rats, treatment with the extract was associated with improvement in the hormonal imbalance observed after diabetes induction, and the 2000 mg/kg dose generally produced a greater effect than the 1000 mg/kg dose. Metformin and Clomid also showed effects in the comparative treatment groups. Taken together, the study supports a dose-related effect of the aqueous fruit extract on fertility-related hormonal indices in this experimental model, while also indicating the need for further safety evaluation before broader conclusions can be drawn.</w:t>
      </w:r>
    </w:p>
    <w:p w14:paraId="267B3F35" w14:textId="12A1DD34" w:rsidR="001C6AD3" w:rsidRPr="001C6AD3" w:rsidRDefault="001C6AD3" w:rsidP="008A3FD2">
      <w:pPr>
        <w:pStyle w:val="pdq2pgselectionanchorcontainer"/>
        <w:jc w:val="both"/>
        <w:rPr>
          <w:b/>
          <w:bCs/>
        </w:rPr>
      </w:pPr>
      <w:r w:rsidRPr="001C6AD3">
        <w:rPr>
          <w:b/>
          <w:bCs/>
        </w:rPr>
        <w:t>Limitations</w:t>
      </w:r>
    </w:p>
    <w:p w14:paraId="1F84C2AA" w14:textId="77777777" w:rsidR="001C6AD3" w:rsidRDefault="001C6AD3" w:rsidP="008A3FD2">
      <w:pPr>
        <w:pStyle w:val="pdq2pgselectionanchorcontainer"/>
        <w:jc w:val="both"/>
      </w:pPr>
      <w:r>
        <w:t>The findings are limited to the alloxan-induced albino Wistar rat model, the tested extract doses, and the observation periods used in this study. The reported group summaries were based on small numbers of animals, and the safety assessment was restricted to the biochemical and histological indices examined. Accordingly, the hormonal and toxicity findings should be interpreted within the experimental conditions of the study and should not be extrapolated beyond this model without additional investigation.</w:t>
      </w:r>
    </w:p>
    <w:p w14:paraId="1E27AA67" w14:textId="77777777" w:rsidR="0003724F" w:rsidRDefault="0003724F" w:rsidP="0003724F">
      <w:pPr>
        <w:pStyle w:val="pdq2pgselectionanchorcontainer"/>
        <w:jc w:val="both"/>
      </w:pPr>
      <w:r>
        <w:t>Ethical Approval</w:t>
      </w:r>
    </w:p>
    <w:p w14:paraId="17F91EA3" w14:textId="72C0FFF1" w:rsidR="0003724F" w:rsidRDefault="0003724F" w:rsidP="0003724F">
      <w:pPr>
        <w:pStyle w:val="pdq2pgselectionanchorcontainer"/>
        <w:jc w:val="both"/>
      </w:pPr>
      <w:r>
        <w:t>Animal Ethic committee approval has been collected and preserved by the author(s)</w:t>
      </w:r>
    </w:p>
    <w:p w14:paraId="030E1149" w14:textId="77777777" w:rsidR="001C6AD3" w:rsidRDefault="001C6AD3" w:rsidP="008A3FD2">
      <w:pPr>
        <w:pStyle w:val="pdq2pgselectionanchorcontainer"/>
        <w:jc w:val="both"/>
      </w:pPr>
    </w:p>
    <w:p w14:paraId="5E12B2EE" w14:textId="77777777" w:rsidR="0035258B" w:rsidRDefault="006D1A0F" w:rsidP="008A3FD2">
      <w:pPr>
        <w:spacing w:before="100" w:beforeAutospacing="1" w:after="100" w:afterAutospacing="1" w:line="360" w:lineRule="auto"/>
        <w:jc w:val="both"/>
        <w:rPr>
          <w:rFonts w:ascii="Times New Roman" w:eastAsia="Times New Roman" w:hAnsi="Times New Roman" w:cs="Times New Roman"/>
          <w:b/>
          <w:bCs/>
          <w:color w:val="0D0D0D"/>
          <w:sz w:val="24"/>
          <w:szCs w:val="24"/>
        </w:rPr>
      </w:pPr>
      <w:r>
        <w:rPr>
          <w:rFonts w:ascii="Times New Roman" w:eastAsia="Times New Roman" w:hAnsi="Times New Roman" w:cs="Times New Roman"/>
          <w:b/>
          <w:bCs/>
          <w:color w:val="0D0D0D"/>
          <w:sz w:val="24"/>
          <w:szCs w:val="24"/>
        </w:rPr>
        <w:t xml:space="preserve">CONFLICT OF INTEREST </w:t>
      </w:r>
    </w:p>
    <w:p w14:paraId="0E6740E3" w14:textId="77777777" w:rsidR="0035258B" w:rsidRDefault="006D1A0F" w:rsidP="008A3FD2">
      <w:pPr>
        <w:spacing w:before="100" w:beforeAutospacing="1" w:after="100" w:afterAutospacing="1" w:line="36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There is no conflict of interest between and among authors in any aspect of this work either financially or otherwise.</w:t>
      </w:r>
    </w:p>
    <w:p w14:paraId="2A30F193" w14:textId="77777777" w:rsidR="00F61606" w:rsidRDefault="00F61606" w:rsidP="008A3FD2">
      <w:pPr>
        <w:spacing w:after="0" w:line="240" w:lineRule="auto"/>
        <w:jc w:val="both"/>
        <w:rPr>
          <w:rFonts w:ascii="Times New Roman" w:hAnsi="Times New Roman" w:cs="Times New Roman"/>
          <w:b/>
        </w:rPr>
      </w:pPr>
      <w:r w:rsidRPr="000839CE">
        <w:rPr>
          <w:rFonts w:ascii="Times New Roman" w:hAnsi="Times New Roman" w:cs="Times New Roman"/>
          <w:b/>
        </w:rPr>
        <w:t>Declaration of AI Use</w:t>
      </w:r>
    </w:p>
    <w:p w14:paraId="32B05537" w14:textId="77777777" w:rsidR="00F61606" w:rsidRDefault="00F61606" w:rsidP="008A3FD2">
      <w:pPr>
        <w:spacing w:after="0" w:line="240" w:lineRule="auto"/>
        <w:jc w:val="both"/>
        <w:rPr>
          <w:rFonts w:ascii="Times New Roman" w:hAnsi="Times New Roman" w:cs="Times New Roman"/>
          <w:b/>
        </w:rPr>
      </w:pPr>
    </w:p>
    <w:p w14:paraId="31C1FD64" w14:textId="77777777" w:rsidR="00F61606" w:rsidRPr="002D08AC" w:rsidRDefault="00F61606" w:rsidP="008A3FD2">
      <w:pPr>
        <w:spacing w:after="0" w:line="240" w:lineRule="auto"/>
        <w:jc w:val="both"/>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A22BA12" w14:textId="77777777" w:rsidR="00F61606" w:rsidRDefault="00F61606" w:rsidP="008A3FD2">
      <w:pPr>
        <w:spacing w:before="100" w:beforeAutospacing="1" w:after="100" w:afterAutospacing="1" w:line="360" w:lineRule="auto"/>
        <w:jc w:val="both"/>
        <w:rPr>
          <w:rFonts w:ascii="Times New Roman" w:eastAsia="Times New Roman" w:hAnsi="Times New Roman" w:cs="Times New Roman"/>
          <w:color w:val="0D0D0D"/>
          <w:sz w:val="24"/>
          <w:szCs w:val="24"/>
        </w:rPr>
      </w:pPr>
    </w:p>
    <w:p w14:paraId="21492F17" w14:textId="5413F6B0" w:rsidR="004E701E" w:rsidRPr="003A29C6" w:rsidRDefault="004E701E" w:rsidP="008A3FD2">
      <w:pPr>
        <w:jc w:val="both"/>
        <w:outlineLvl w:val="0"/>
        <w:rPr>
          <w:rFonts w:ascii="Arial" w:hAnsi="Arial" w:cs="Arial"/>
        </w:rPr>
      </w:pPr>
      <w:r w:rsidRPr="003A29C6">
        <w:rPr>
          <w:rFonts w:ascii="Arial" w:hAnsi="Arial" w:cs="Arial"/>
          <w:b/>
          <w:bCs/>
        </w:rPr>
        <w:t>COMPETING INTERESTS:</w:t>
      </w:r>
    </w:p>
    <w:p w14:paraId="0FA04439" w14:textId="77777777" w:rsidR="004E701E" w:rsidRDefault="004E701E" w:rsidP="008A3FD2">
      <w:pPr>
        <w:jc w:val="both"/>
      </w:pPr>
      <w:r w:rsidRPr="00A10EDE">
        <w:t>Authors have declared that they have no known competing financial interests OR non-financial interests OR personal relationships that could have appeared to influence the work reported in this paper.</w:t>
      </w:r>
    </w:p>
    <w:p w14:paraId="12660165" w14:textId="77777777" w:rsidR="004E701E" w:rsidRDefault="004E701E" w:rsidP="008A3FD2">
      <w:pPr>
        <w:spacing w:before="100" w:beforeAutospacing="1" w:after="100" w:afterAutospacing="1" w:line="360" w:lineRule="auto"/>
        <w:jc w:val="both"/>
        <w:rPr>
          <w:rFonts w:ascii="Times New Roman" w:eastAsia="Times New Roman" w:hAnsi="Times New Roman" w:cs="Times New Roman"/>
          <w:color w:val="0D0D0D"/>
          <w:sz w:val="24"/>
          <w:szCs w:val="24"/>
        </w:rPr>
      </w:pPr>
    </w:p>
    <w:p w14:paraId="6E504C7E" w14:textId="77777777" w:rsidR="0035258B" w:rsidRDefault="006D1A0F" w:rsidP="008A3FD2">
      <w:pPr>
        <w:spacing w:line="240" w:lineRule="auto"/>
        <w:jc w:val="both"/>
        <w:rPr>
          <w:rFonts w:ascii="Times New Roman" w:eastAsia="CIDFont" w:hAnsi="Times New Roman" w:cs="Times New Roman"/>
          <w:b/>
          <w:bCs/>
          <w:color w:val="000000"/>
          <w:kern w:val="0"/>
          <w:sz w:val="24"/>
          <w:szCs w:val="24"/>
          <w:lang w:eastAsia="zh-CN" w:bidi="ar"/>
        </w:rPr>
      </w:pPr>
      <w:r>
        <w:rPr>
          <w:rFonts w:ascii="Times New Roman" w:eastAsia="CIDFont" w:hAnsi="Times New Roman" w:cs="Times New Roman"/>
          <w:b/>
          <w:bCs/>
          <w:color w:val="000000"/>
          <w:kern w:val="0"/>
          <w:sz w:val="24"/>
          <w:szCs w:val="24"/>
          <w:lang w:eastAsia="zh-CN" w:bidi="ar"/>
        </w:rPr>
        <w:t>REFERENCES</w:t>
      </w:r>
    </w:p>
    <w:p w14:paraId="06D0F171" w14:textId="5CF38AD9" w:rsidR="009A1C5D" w:rsidRPr="009A1C5D" w:rsidRDefault="009A1C5D" w:rsidP="009A1C5D">
      <w:pPr>
        <w:ind w:left="540" w:hanging="540"/>
        <w:jc w:val="both"/>
        <w:rPr>
          <w:sz w:val="24"/>
          <w:szCs w:val="24"/>
        </w:rPr>
      </w:pPr>
      <w:r w:rsidRPr="009A1C5D">
        <w:rPr>
          <w:sz w:val="24"/>
          <w:szCs w:val="24"/>
          <w:lang w:val="nl-BE"/>
        </w:rPr>
        <w:t xml:space="preserve">Abo-Elsoud, M. A., Hashem, N. M., Nour El-Din, A. N. M., Kamel, K. I., &amp; Hassan, G. A. (2019). </w:t>
      </w:r>
      <w:r w:rsidRPr="009A1C5D">
        <w:rPr>
          <w:sz w:val="24"/>
          <w:szCs w:val="24"/>
        </w:rPr>
        <w:t xml:space="preserve">Soybean isoflavone affects in rabbits: Effects on metabolism, antioxidant capacity, hormonal balance and reproductive performance. </w:t>
      </w:r>
      <w:r w:rsidRPr="009A1C5D">
        <w:rPr>
          <w:i/>
          <w:iCs/>
          <w:sz w:val="24"/>
          <w:szCs w:val="24"/>
        </w:rPr>
        <w:t>Animal Reproduction Science, 203</w:t>
      </w:r>
      <w:r w:rsidRPr="009A1C5D">
        <w:rPr>
          <w:sz w:val="24"/>
          <w:szCs w:val="24"/>
        </w:rPr>
        <w:t xml:space="preserve">, 52–60. </w:t>
      </w:r>
      <w:hyperlink r:id="rId33" w:history="1">
        <w:r w:rsidRPr="009A1C5D">
          <w:rPr>
            <w:color w:val="0000FF"/>
            <w:sz w:val="24"/>
            <w:szCs w:val="24"/>
            <w:u w:val="single"/>
          </w:rPr>
          <w:t>https://doi.org/10.1016/j.anireprosci.2019.02.007</w:t>
        </w:r>
      </w:hyperlink>
    </w:p>
    <w:p w14:paraId="18CB36F2" w14:textId="2693D307" w:rsidR="009A1C5D" w:rsidRPr="009A1C5D" w:rsidRDefault="009A1C5D" w:rsidP="009A1C5D">
      <w:pPr>
        <w:ind w:left="540" w:hanging="540"/>
        <w:jc w:val="both"/>
        <w:rPr>
          <w:sz w:val="24"/>
          <w:szCs w:val="24"/>
        </w:rPr>
      </w:pPr>
      <w:r w:rsidRPr="009A1C5D">
        <w:rPr>
          <w:sz w:val="24"/>
          <w:szCs w:val="24"/>
        </w:rPr>
        <w:t xml:space="preserve">Adamu, H., Luter, L., Lawan, M. M., &amp; Umar, B. A. (2013). Chemical speciation: A strategic pathway for insightful risk assessment and decision making for remediation of toxic metal contamination. </w:t>
      </w:r>
      <w:r w:rsidRPr="009A1C5D">
        <w:rPr>
          <w:i/>
          <w:iCs/>
          <w:sz w:val="24"/>
          <w:szCs w:val="24"/>
        </w:rPr>
        <w:t>Environment and Pollution, 2</w:t>
      </w:r>
      <w:r w:rsidRPr="009A1C5D">
        <w:rPr>
          <w:sz w:val="24"/>
          <w:szCs w:val="24"/>
        </w:rPr>
        <w:t xml:space="preserve">(3), 92–99. </w:t>
      </w:r>
      <w:hyperlink r:id="rId34" w:history="1">
        <w:r w:rsidRPr="009A1C5D">
          <w:rPr>
            <w:color w:val="0000FF"/>
            <w:sz w:val="24"/>
            <w:szCs w:val="24"/>
            <w:u w:val="single"/>
          </w:rPr>
          <w:t>https://doi.org/10.5539/ep.v2n3p92</w:t>
        </w:r>
      </w:hyperlink>
    </w:p>
    <w:p w14:paraId="4707B2E9" w14:textId="2A5460F7" w:rsidR="009A1C5D" w:rsidRPr="009A1C5D" w:rsidRDefault="009A1C5D" w:rsidP="009A1C5D">
      <w:pPr>
        <w:ind w:left="540" w:hanging="540"/>
        <w:jc w:val="both"/>
        <w:rPr>
          <w:sz w:val="24"/>
          <w:szCs w:val="24"/>
        </w:rPr>
      </w:pPr>
      <w:r w:rsidRPr="009A1C5D">
        <w:rPr>
          <w:sz w:val="24"/>
          <w:szCs w:val="24"/>
        </w:rPr>
        <w:t xml:space="preserve">Agbaje, I. M., Rogers, D. A., McVicar, C. M., McClure, N., Atkinson, A. B., Mallidis, C., &amp; Lewis, S. E. M. (2007). Insulin dependant diabetes mellitus: Implications for male reproductive function. </w:t>
      </w:r>
      <w:r w:rsidRPr="009A1C5D">
        <w:rPr>
          <w:i/>
          <w:iCs/>
          <w:sz w:val="24"/>
          <w:szCs w:val="24"/>
        </w:rPr>
        <w:t>Human Reproduction, 22</w:t>
      </w:r>
      <w:r w:rsidRPr="009A1C5D">
        <w:rPr>
          <w:sz w:val="24"/>
          <w:szCs w:val="24"/>
        </w:rPr>
        <w:t xml:space="preserve">(7), 1871–1877. </w:t>
      </w:r>
      <w:hyperlink r:id="rId35" w:history="1">
        <w:r w:rsidRPr="009A1C5D">
          <w:rPr>
            <w:color w:val="0000FF"/>
            <w:sz w:val="24"/>
            <w:szCs w:val="24"/>
            <w:u w:val="single"/>
          </w:rPr>
          <w:t>https://doi.org/10.1093/humrep/dem077</w:t>
        </w:r>
      </w:hyperlink>
    </w:p>
    <w:p w14:paraId="0D677C0D" w14:textId="62121E39" w:rsidR="009A1C5D" w:rsidRPr="009A1C5D" w:rsidRDefault="009A1C5D" w:rsidP="009A1C5D">
      <w:pPr>
        <w:ind w:left="540" w:hanging="540"/>
        <w:jc w:val="both"/>
        <w:rPr>
          <w:sz w:val="24"/>
          <w:szCs w:val="24"/>
        </w:rPr>
      </w:pPr>
      <w:r w:rsidRPr="009A1C5D">
        <w:rPr>
          <w:sz w:val="24"/>
          <w:szCs w:val="24"/>
        </w:rPr>
        <w:t xml:space="preserve">Salih, A. M., Al-Qurainy, F., Tarroum, M., Shaikhaldein, H. O., &amp; Hashimi, A. (2022). Screening and estimation of bioactive compounds of </w:t>
      </w:r>
      <w:r w:rsidRPr="009A1C5D">
        <w:rPr>
          <w:i/>
          <w:iCs/>
          <w:sz w:val="24"/>
          <w:szCs w:val="24"/>
        </w:rPr>
        <w:t>Azanza garckeana</w:t>
      </w:r>
      <w:r w:rsidRPr="009A1C5D">
        <w:rPr>
          <w:sz w:val="24"/>
          <w:szCs w:val="24"/>
        </w:rPr>
        <w:t xml:space="preserve"> (Jakjak) fruit using GC-MS, UV-visible spectroscopy, and HPLC analysis. </w:t>
      </w:r>
      <w:r w:rsidRPr="009A1C5D">
        <w:rPr>
          <w:i/>
          <w:iCs/>
          <w:sz w:val="24"/>
          <w:szCs w:val="24"/>
        </w:rPr>
        <w:t>Separations, 9</w:t>
      </w:r>
      <w:r w:rsidRPr="009A1C5D">
        <w:rPr>
          <w:sz w:val="24"/>
          <w:szCs w:val="24"/>
        </w:rPr>
        <w:t xml:space="preserve">(7), 172. </w:t>
      </w:r>
      <w:hyperlink r:id="rId36" w:history="1">
        <w:r w:rsidRPr="009A1C5D">
          <w:rPr>
            <w:color w:val="0000FF"/>
            <w:sz w:val="24"/>
            <w:szCs w:val="24"/>
            <w:u w:val="single"/>
          </w:rPr>
          <w:t>https://doi.org/10.3390/separations9070172</w:t>
        </w:r>
      </w:hyperlink>
    </w:p>
    <w:p w14:paraId="560EA54F" w14:textId="6E1BD0D9" w:rsidR="009A1C5D" w:rsidRPr="009A1C5D" w:rsidRDefault="009A1C5D" w:rsidP="009A1C5D">
      <w:pPr>
        <w:ind w:left="540" w:hanging="540"/>
        <w:jc w:val="both"/>
        <w:rPr>
          <w:sz w:val="24"/>
          <w:szCs w:val="24"/>
        </w:rPr>
      </w:pPr>
      <w:r w:rsidRPr="009A1C5D">
        <w:rPr>
          <w:sz w:val="24"/>
          <w:szCs w:val="24"/>
        </w:rPr>
        <w:t xml:space="preserve">Al-Shafi, S. M. (2002). Toxic effect of tannic and related compounds on human plasma proteins. </w:t>
      </w:r>
      <w:r w:rsidRPr="009A1C5D">
        <w:rPr>
          <w:i/>
          <w:iCs/>
          <w:sz w:val="24"/>
          <w:szCs w:val="24"/>
        </w:rPr>
        <w:t>Saudi Medical Journal, 23</w:t>
      </w:r>
      <w:r w:rsidRPr="009A1C5D">
        <w:rPr>
          <w:sz w:val="24"/>
          <w:szCs w:val="24"/>
        </w:rPr>
        <w:t xml:space="preserve">(2), 221–225. </w:t>
      </w:r>
      <w:hyperlink r:id="rId37" w:history="1">
        <w:r w:rsidRPr="009A1C5D">
          <w:rPr>
            <w:color w:val="0000FF"/>
            <w:sz w:val="24"/>
            <w:szCs w:val="24"/>
            <w:u w:val="single"/>
          </w:rPr>
          <w:t>https://doi.org/10.15537/1658-3175.1627</w:t>
        </w:r>
      </w:hyperlink>
    </w:p>
    <w:p w14:paraId="0AE8B672" w14:textId="31D222AB" w:rsidR="009A1C5D" w:rsidRPr="009A1C5D" w:rsidRDefault="009A1C5D" w:rsidP="009A1C5D">
      <w:pPr>
        <w:ind w:left="540" w:hanging="540"/>
        <w:jc w:val="both"/>
        <w:rPr>
          <w:sz w:val="24"/>
          <w:szCs w:val="24"/>
        </w:rPr>
      </w:pPr>
      <w:r w:rsidRPr="009A1C5D">
        <w:rPr>
          <w:sz w:val="24"/>
          <w:szCs w:val="24"/>
        </w:rPr>
        <w:t xml:space="preserve">Amaral, A., Lourenço, B., Marques, M., &amp; Ramalho-Santos, J. (2013). Mitochondria functionality and sperm quality. </w:t>
      </w:r>
      <w:r w:rsidRPr="009A1C5D">
        <w:rPr>
          <w:i/>
          <w:iCs/>
          <w:sz w:val="24"/>
          <w:szCs w:val="24"/>
        </w:rPr>
        <w:t>Reproduction, 146</w:t>
      </w:r>
      <w:r w:rsidRPr="009A1C5D">
        <w:rPr>
          <w:sz w:val="24"/>
          <w:szCs w:val="24"/>
        </w:rPr>
        <w:t xml:space="preserve">(5), R163–R174. </w:t>
      </w:r>
      <w:hyperlink r:id="rId38" w:history="1">
        <w:r w:rsidRPr="009A1C5D">
          <w:rPr>
            <w:color w:val="0000FF"/>
            <w:sz w:val="24"/>
            <w:szCs w:val="24"/>
            <w:u w:val="single"/>
          </w:rPr>
          <w:t>https://doi.org/10.1530/REP-13-0178</w:t>
        </w:r>
      </w:hyperlink>
    </w:p>
    <w:p w14:paraId="1CABF8BA" w14:textId="2CE6871C" w:rsidR="009A1C5D" w:rsidRPr="009A1C5D" w:rsidRDefault="009A1C5D" w:rsidP="009A1C5D">
      <w:pPr>
        <w:ind w:left="540" w:hanging="540"/>
        <w:jc w:val="both"/>
        <w:rPr>
          <w:sz w:val="24"/>
          <w:szCs w:val="24"/>
        </w:rPr>
      </w:pPr>
      <w:r w:rsidRPr="009A1C5D">
        <w:rPr>
          <w:sz w:val="24"/>
          <w:szCs w:val="24"/>
        </w:rPr>
        <w:t xml:space="preserve">Amuri, B., Maseho, M., Simbi, L., Okusa, P., Duez, P., &amp; Byanga, K. (2017). Hypoglycemic and antihyperglycemic activities of nine medicinal herbs used as antidiabetic in the region of Lubumbashi (DR Congo). </w:t>
      </w:r>
      <w:r w:rsidRPr="009A1C5D">
        <w:rPr>
          <w:i/>
          <w:iCs/>
          <w:sz w:val="24"/>
          <w:szCs w:val="24"/>
        </w:rPr>
        <w:t>Phytotherapy Research, 31</w:t>
      </w:r>
      <w:r w:rsidRPr="009A1C5D">
        <w:rPr>
          <w:sz w:val="24"/>
          <w:szCs w:val="24"/>
        </w:rPr>
        <w:t xml:space="preserve">(7), 1029–1033. </w:t>
      </w:r>
      <w:hyperlink r:id="rId39" w:history="1">
        <w:r w:rsidRPr="009A1C5D">
          <w:rPr>
            <w:color w:val="0000FF"/>
            <w:sz w:val="24"/>
            <w:szCs w:val="24"/>
            <w:u w:val="single"/>
          </w:rPr>
          <w:t>https://doi.org/10.1002/ptr.5814</w:t>
        </w:r>
      </w:hyperlink>
    </w:p>
    <w:p w14:paraId="0C71ABB9" w14:textId="240B87F5" w:rsidR="009A1C5D" w:rsidRPr="009A1C5D" w:rsidRDefault="009A1C5D" w:rsidP="009A1C5D">
      <w:pPr>
        <w:ind w:left="540" w:hanging="540"/>
        <w:jc w:val="both"/>
        <w:rPr>
          <w:sz w:val="24"/>
          <w:szCs w:val="24"/>
        </w:rPr>
      </w:pPr>
      <w:r w:rsidRPr="009A1C5D">
        <w:rPr>
          <w:sz w:val="24"/>
          <w:szCs w:val="24"/>
        </w:rPr>
        <w:t xml:space="preserve">Avidor-Reiss, T., Khire, A., Fishman, E. L., &amp; Jo, K. H. (2015). Atypical centrioles during sexual reproduction. </w:t>
      </w:r>
      <w:r w:rsidRPr="009A1C5D">
        <w:rPr>
          <w:i/>
          <w:iCs/>
          <w:sz w:val="24"/>
          <w:szCs w:val="24"/>
        </w:rPr>
        <w:t>Frontiers in Cell and Developmental Biology, 3</w:t>
      </w:r>
      <w:r w:rsidRPr="009A1C5D">
        <w:rPr>
          <w:sz w:val="24"/>
          <w:szCs w:val="24"/>
        </w:rPr>
        <w:t xml:space="preserve">, 21. </w:t>
      </w:r>
      <w:hyperlink r:id="rId40" w:history="1">
        <w:r w:rsidRPr="009A1C5D">
          <w:rPr>
            <w:color w:val="0000FF"/>
            <w:sz w:val="24"/>
            <w:szCs w:val="24"/>
            <w:u w:val="single"/>
          </w:rPr>
          <w:t>https://doi.org/10.3389/fcell.2015.00021</w:t>
        </w:r>
      </w:hyperlink>
    </w:p>
    <w:p w14:paraId="7FD59BDD" w14:textId="6487F227" w:rsidR="009A1C5D" w:rsidRPr="009A1C5D" w:rsidRDefault="009A1C5D" w:rsidP="009A1C5D">
      <w:pPr>
        <w:ind w:left="540" w:hanging="540"/>
        <w:jc w:val="both"/>
        <w:rPr>
          <w:sz w:val="24"/>
          <w:szCs w:val="24"/>
        </w:rPr>
      </w:pPr>
      <w:r w:rsidRPr="009A1C5D">
        <w:rPr>
          <w:sz w:val="24"/>
          <w:szCs w:val="24"/>
        </w:rPr>
        <w:t xml:space="preserve">Badejogbin, O. C., Chijioke-Agu, O. E., Olubiyi, M. V., &amp; Agunloye, M. O. (2025). Pathogenesis of testicular dysfunction in diabetes: Exploring the mechanism and therapeutic interventions. </w:t>
      </w:r>
      <w:r w:rsidRPr="009A1C5D">
        <w:rPr>
          <w:i/>
          <w:iCs/>
          <w:sz w:val="24"/>
          <w:szCs w:val="24"/>
        </w:rPr>
        <w:t>Journal of Assisted Reproduction and Genetics, 42</w:t>
      </w:r>
      <w:r w:rsidRPr="009A1C5D">
        <w:rPr>
          <w:sz w:val="24"/>
          <w:szCs w:val="24"/>
        </w:rPr>
        <w:t xml:space="preserve">(2), 367–379. </w:t>
      </w:r>
      <w:hyperlink r:id="rId41" w:history="1">
        <w:r w:rsidRPr="009A1C5D">
          <w:rPr>
            <w:color w:val="0000FF"/>
            <w:sz w:val="24"/>
            <w:szCs w:val="24"/>
            <w:u w:val="single"/>
          </w:rPr>
          <w:t>https://doi.org/10.1007/s10815-024-03314-3</w:t>
        </w:r>
      </w:hyperlink>
    </w:p>
    <w:p w14:paraId="40C96E50" w14:textId="43E307AF" w:rsidR="009A1C5D" w:rsidRPr="009A1C5D" w:rsidRDefault="009A1C5D" w:rsidP="009A1C5D">
      <w:pPr>
        <w:ind w:left="540" w:hanging="540"/>
        <w:jc w:val="both"/>
        <w:rPr>
          <w:sz w:val="24"/>
          <w:szCs w:val="24"/>
        </w:rPr>
      </w:pPr>
      <w:r w:rsidRPr="009A1C5D">
        <w:rPr>
          <w:sz w:val="24"/>
          <w:szCs w:val="24"/>
        </w:rPr>
        <w:lastRenderedPageBreak/>
        <w:t xml:space="preserve">Bioltif, Y. E., Edward, N. B., &amp; Tyeng, T. D. (2020). A chemical overview of </w:t>
      </w:r>
      <w:r w:rsidRPr="009A1C5D">
        <w:rPr>
          <w:i/>
          <w:iCs/>
          <w:sz w:val="24"/>
          <w:szCs w:val="24"/>
        </w:rPr>
        <w:t>Azanza garckeana</w:t>
      </w:r>
      <w:r w:rsidRPr="009A1C5D">
        <w:rPr>
          <w:sz w:val="24"/>
          <w:szCs w:val="24"/>
        </w:rPr>
        <w:t xml:space="preserve">. </w:t>
      </w:r>
      <w:r w:rsidRPr="009A1C5D">
        <w:rPr>
          <w:i/>
          <w:iCs/>
          <w:sz w:val="24"/>
          <w:szCs w:val="24"/>
        </w:rPr>
        <w:t>Biology, Medicine, &amp; Natural Product Chemistry, 9</w:t>
      </w:r>
      <w:r w:rsidRPr="009A1C5D">
        <w:rPr>
          <w:sz w:val="24"/>
          <w:szCs w:val="24"/>
        </w:rPr>
        <w:t xml:space="preserve">(2), 91–95. </w:t>
      </w:r>
      <w:hyperlink r:id="rId42" w:history="1">
        <w:r w:rsidRPr="009A1C5D">
          <w:rPr>
            <w:color w:val="0000FF"/>
            <w:sz w:val="24"/>
            <w:szCs w:val="24"/>
            <w:u w:val="single"/>
          </w:rPr>
          <w:t>https://doi.org/10.14421/biomedich.2020.92.91-95</w:t>
        </w:r>
      </w:hyperlink>
    </w:p>
    <w:p w14:paraId="0A99C4D0" w14:textId="31F94DF2" w:rsidR="009A1C5D" w:rsidRPr="009A1C5D" w:rsidRDefault="009A1C5D" w:rsidP="009A1C5D">
      <w:pPr>
        <w:ind w:left="540" w:hanging="540"/>
        <w:jc w:val="both"/>
        <w:rPr>
          <w:sz w:val="24"/>
          <w:szCs w:val="24"/>
        </w:rPr>
      </w:pPr>
      <w:r w:rsidRPr="009A1C5D">
        <w:rPr>
          <w:sz w:val="24"/>
          <w:szCs w:val="24"/>
        </w:rPr>
        <w:t xml:space="preserve">Bukar, B. B., Tsokwa, N. E., &amp; Orshi, O. D. (2021). Ameliorative and fecundity potentials of aqueous extract of </w:t>
      </w:r>
      <w:r w:rsidRPr="009A1C5D">
        <w:rPr>
          <w:i/>
          <w:iCs/>
          <w:sz w:val="24"/>
          <w:szCs w:val="24"/>
        </w:rPr>
        <w:t>Azanza garckeana</w:t>
      </w:r>
      <w:r w:rsidRPr="009A1C5D">
        <w:rPr>
          <w:sz w:val="24"/>
          <w:szCs w:val="24"/>
        </w:rPr>
        <w:t xml:space="preserve"> (T. Hoffm.) fruit pulp in formalin-induced toxicity on male albino mice. </w:t>
      </w:r>
      <w:r w:rsidRPr="009A1C5D">
        <w:rPr>
          <w:i/>
          <w:iCs/>
          <w:sz w:val="24"/>
          <w:szCs w:val="24"/>
        </w:rPr>
        <w:t>Journal of Pharmacy &amp; Bioresources, 17</w:t>
      </w:r>
      <w:r w:rsidRPr="009A1C5D">
        <w:rPr>
          <w:sz w:val="24"/>
          <w:szCs w:val="24"/>
        </w:rPr>
        <w:t xml:space="preserve">(2), 164–173. </w:t>
      </w:r>
      <w:hyperlink r:id="rId43" w:history="1">
        <w:r w:rsidRPr="009A1C5D">
          <w:rPr>
            <w:color w:val="0000FF"/>
            <w:sz w:val="24"/>
            <w:szCs w:val="24"/>
            <w:u w:val="single"/>
          </w:rPr>
          <w:t>https://doi.org/10.4314/jpb.v17i2.10</w:t>
        </w:r>
      </w:hyperlink>
    </w:p>
    <w:p w14:paraId="4820198F" w14:textId="7A2F2800" w:rsidR="009A1C5D" w:rsidRPr="009A1C5D" w:rsidRDefault="009A1C5D" w:rsidP="009A1C5D">
      <w:pPr>
        <w:ind w:left="540" w:hanging="540"/>
        <w:jc w:val="both"/>
        <w:rPr>
          <w:sz w:val="24"/>
          <w:szCs w:val="24"/>
        </w:rPr>
      </w:pPr>
      <w:r w:rsidRPr="009A1C5D">
        <w:rPr>
          <w:sz w:val="24"/>
          <w:szCs w:val="24"/>
        </w:rPr>
        <w:t xml:space="preserve">Bukar, B. B., Ezeh, F., &amp; Sabo, S. Y. (2021). Methanol extract of </w:t>
      </w:r>
      <w:r w:rsidRPr="009A1C5D">
        <w:rPr>
          <w:i/>
          <w:iCs/>
          <w:sz w:val="24"/>
          <w:szCs w:val="24"/>
        </w:rPr>
        <w:t>Azanza garckeana</w:t>
      </w:r>
      <w:r w:rsidRPr="009A1C5D">
        <w:rPr>
          <w:sz w:val="24"/>
          <w:szCs w:val="24"/>
        </w:rPr>
        <w:t xml:space="preserve"> fruit pulps protects against formalin-induced reproductive toxicity in adult albino male mice. </w:t>
      </w:r>
      <w:r w:rsidRPr="009A1C5D">
        <w:rPr>
          <w:i/>
          <w:iCs/>
          <w:sz w:val="24"/>
          <w:szCs w:val="24"/>
        </w:rPr>
        <w:t>Journal of Advances in Medical and Pharmaceutical Sciences, 23</w:t>
      </w:r>
      <w:r w:rsidRPr="009A1C5D">
        <w:rPr>
          <w:sz w:val="24"/>
          <w:szCs w:val="24"/>
        </w:rPr>
        <w:t xml:space="preserve">(8), 38–49. </w:t>
      </w:r>
      <w:hyperlink r:id="rId44" w:history="1">
        <w:r w:rsidRPr="009A1C5D">
          <w:rPr>
            <w:color w:val="0000FF"/>
            <w:sz w:val="24"/>
            <w:szCs w:val="24"/>
            <w:u w:val="single"/>
          </w:rPr>
          <w:t>https://doi.org/10.9734/jamps/2021/v23i830253</w:t>
        </w:r>
      </w:hyperlink>
    </w:p>
    <w:p w14:paraId="12814D0E" w14:textId="5826995F" w:rsidR="009A1C5D" w:rsidRPr="009A1C5D" w:rsidRDefault="009A1C5D" w:rsidP="009A1C5D">
      <w:pPr>
        <w:ind w:left="540" w:hanging="540"/>
        <w:jc w:val="both"/>
        <w:rPr>
          <w:sz w:val="24"/>
          <w:szCs w:val="24"/>
        </w:rPr>
      </w:pPr>
      <w:r w:rsidRPr="009A1C5D">
        <w:rPr>
          <w:sz w:val="24"/>
          <w:szCs w:val="24"/>
        </w:rPr>
        <w:t xml:space="preserve">Chitra, B., Ramaswamy, R. S., &amp; Suba, V. (2015). Toxicity evaluation of Pũrṇa Cantirotaya Centũram, a Siddha medicine in Wistar rats. </w:t>
      </w:r>
      <w:r w:rsidRPr="009A1C5D">
        <w:rPr>
          <w:i/>
          <w:iCs/>
          <w:sz w:val="24"/>
          <w:szCs w:val="24"/>
        </w:rPr>
        <w:t>International Scholarly Research Notices, 2015</w:t>
      </w:r>
      <w:r w:rsidRPr="009A1C5D">
        <w:rPr>
          <w:sz w:val="24"/>
          <w:szCs w:val="24"/>
        </w:rPr>
        <w:t xml:space="preserve">, Article 473296. </w:t>
      </w:r>
      <w:hyperlink r:id="rId45" w:history="1">
        <w:r w:rsidRPr="009A1C5D">
          <w:rPr>
            <w:color w:val="0000FF"/>
            <w:sz w:val="24"/>
            <w:szCs w:val="24"/>
            <w:u w:val="single"/>
          </w:rPr>
          <w:t>https://doi.org/10.1155/2015/473296</w:t>
        </w:r>
      </w:hyperlink>
    </w:p>
    <w:p w14:paraId="0575DE38" w14:textId="7A51753F" w:rsidR="009A1C5D" w:rsidRPr="009A1C5D" w:rsidRDefault="009A1C5D" w:rsidP="009A1C5D">
      <w:pPr>
        <w:ind w:left="540" w:hanging="540"/>
        <w:jc w:val="both"/>
        <w:rPr>
          <w:sz w:val="24"/>
          <w:szCs w:val="24"/>
        </w:rPr>
      </w:pPr>
      <w:r w:rsidRPr="009A1C5D">
        <w:rPr>
          <w:sz w:val="24"/>
          <w:szCs w:val="24"/>
        </w:rPr>
        <w:t xml:space="preserve">Chukwudoruo, C. S., Osuji-Kalu-Ibe, N. C., Igwe, K. O., Iheme, C. I., Ujowundu, F. N., &amp; Mba, B. A. (2021). Serum total protein concentration and liver enzyme activities in albino rats model administered with ethanolic leaf extract of </w:t>
      </w:r>
      <w:r w:rsidRPr="009A1C5D">
        <w:rPr>
          <w:i/>
          <w:iCs/>
          <w:sz w:val="24"/>
          <w:szCs w:val="24"/>
        </w:rPr>
        <w:t>Ficus capensis</w:t>
      </w:r>
      <w:r w:rsidRPr="009A1C5D">
        <w:rPr>
          <w:sz w:val="24"/>
          <w:szCs w:val="24"/>
        </w:rPr>
        <w:t xml:space="preserve">. </w:t>
      </w:r>
      <w:r w:rsidRPr="009A1C5D">
        <w:rPr>
          <w:i/>
          <w:iCs/>
          <w:sz w:val="24"/>
          <w:szCs w:val="24"/>
        </w:rPr>
        <w:t>African Journal of Biotechnology, 20</w:t>
      </w:r>
      <w:r w:rsidRPr="009A1C5D">
        <w:rPr>
          <w:sz w:val="24"/>
          <w:szCs w:val="24"/>
        </w:rPr>
        <w:t xml:space="preserve">(4), 164–168. </w:t>
      </w:r>
      <w:hyperlink r:id="rId46" w:history="1">
        <w:r w:rsidRPr="009A1C5D">
          <w:rPr>
            <w:color w:val="0000FF"/>
            <w:sz w:val="24"/>
            <w:szCs w:val="24"/>
            <w:u w:val="single"/>
          </w:rPr>
          <w:t>https://doi.org/10.5897/AJB2020.17107</w:t>
        </w:r>
      </w:hyperlink>
    </w:p>
    <w:p w14:paraId="15DAAC70" w14:textId="0B50D6E8" w:rsidR="009A1C5D" w:rsidRPr="009A1C5D" w:rsidRDefault="009A1C5D" w:rsidP="009A1C5D">
      <w:pPr>
        <w:ind w:left="540" w:hanging="540"/>
        <w:jc w:val="both"/>
        <w:rPr>
          <w:sz w:val="24"/>
          <w:szCs w:val="24"/>
        </w:rPr>
      </w:pPr>
      <w:r w:rsidRPr="009A1C5D">
        <w:rPr>
          <w:sz w:val="24"/>
          <w:szCs w:val="24"/>
        </w:rPr>
        <w:t xml:space="preserve">Chung, K. T., Wong, T. Y., Wei, C. I., Huang, Y. W., &amp; Lin, Y. (1998). Tannins and human health: A review. </w:t>
      </w:r>
      <w:r w:rsidRPr="009A1C5D">
        <w:rPr>
          <w:i/>
          <w:iCs/>
          <w:sz w:val="24"/>
          <w:szCs w:val="24"/>
        </w:rPr>
        <w:t>Critical Reviews in Food Science and Nutrition, 38</w:t>
      </w:r>
      <w:r w:rsidRPr="009A1C5D">
        <w:rPr>
          <w:sz w:val="24"/>
          <w:szCs w:val="24"/>
        </w:rPr>
        <w:t xml:space="preserve">(6), 421–464. </w:t>
      </w:r>
      <w:hyperlink r:id="rId47" w:history="1">
        <w:r w:rsidRPr="009A1C5D">
          <w:rPr>
            <w:color w:val="0000FF"/>
            <w:sz w:val="24"/>
            <w:szCs w:val="24"/>
            <w:u w:val="single"/>
          </w:rPr>
          <w:t>https://doi.org/10.1080/10408699891274273</w:t>
        </w:r>
      </w:hyperlink>
    </w:p>
    <w:p w14:paraId="011610F8" w14:textId="3A58B409" w:rsidR="009A1C5D" w:rsidRPr="009A1C5D" w:rsidRDefault="009A1C5D" w:rsidP="009A1C5D">
      <w:pPr>
        <w:ind w:left="540" w:hanging="540"/>
        <w:jc w:val="both"/>
        <w:rPr>
          <w:sz w:val="24"/>
          <w:szCs w:val="24"/>
        </w:rPr>
      </w:pPr>
      <w:r w:rsidRPr="009A1C5D">
        <w:rPr>
          <w:sz w:val="24"/>
          <w:szCs w:val="24"/>
        </w:rPr>
        <w:t xml:space="preserve">Codner, E., &amp; Escobar-Morreale, H. F. (2007). Clinical review: Hyperandrogenism and polycystic ovary syndrome in women with type 1 diabetes mellitus. </w:t>
      </w:r>
      <w:r w:rsidRPr="009A1C5D">
        <w:rPr>
          <w:i/>
          <w:iCs/>
          <w:sz w:val="24"/>
          <w:szCs w:val="24"/>
        </w:rPr>
        <w:t>The Journal of Clinical Endocrinology &amp; Metabolism, 92</w:t>
      </w:r>
      <w:r w:rsidRPr="009A1C5D">
        <w:rPr>
          <w:sz w:val="24"/>
          <w:szCs w:val="24"/>
        </w:rPr>
        <w:t xml:space="preserve">(4), 1209–1216. </w:t>
      </w:r>
      <w:hyperlink r:id="rId48" w:history="1">
        <w:r w:rsidRPr="009A1C5D">
          <w:rPr>
            <w:color w:val="0000FF"/>
            <w:sz w:val="24"/>
            <w:szCs w:val="24"/>
            <w:u w:val="single"/>
          </w:rPr>
          <w:t>https://doi.org/10.1210/jc.2006-2641</w:t>
        </w:r>
      </w:hyperlink>
    </w:p>
    <w:p w14:paraId="4695AA1F" w14:textId="0C415986" w:rsidR="009A1C5D" w:rsidRPr="009A1C5D" w:rsidRDefault="009A1C5D" w:rsidP="009A1C5D">
      <w:pPr>
        <w:ind w:left="540" w:hanging="540"/>
        <w:jc w:val="both"/>
        <w:rPr>
          <w:sz w:val="24"/>
          <w:szCs w:val="24"/>
        </w:rPr>
      </w:pPr>
      <w:r w:rsidRPr="009A1C5D">
        <w:rPr>
          <w:sz w:val="24"/>
          <w:szCs w:val="24"/>
        </w:rPr>
        <w:t xml:space="preserve">Codner, E., Merino, P. M., &amp; Tena-Sempere, M. (2012). Female reproduction and type 1 diabetes: From mechanisms to clinical findings. </w:t>
      </w:r>
      <w:r w:rsidRPr="009A1C5D">
        <w:rPr>
          <w:i/>
          <w:iCs/>
          <w:sz w:val="24"/>
          <w:szCs w:val="24"/>
        </w:rPr>
        <w:t>Human Reproduction Update, 18</w:t>
      </w:r>
      <w:r w:rsidRPr="009A1C5D">
        <w:rPr>
          <w:sz w:val="24"/>
          <w:szCs w:val="24"/>
        </w:rPr>
        <w:t xml:space="preserve">(5), 568–585. </w:t>
      </w:r>
      <w:hyperlink r:id="rId49" w:history="1">
        <w:r w:rsidRPr="009A1C5D">
          <w:rPr>
            <w:color w:val="0000FF"/>
            <w:sz w:val="24"/>
            <w:szCs w:val="24"/>
            <w:u w:val="single"/>
          </w:rPr>
          <w:t>https://doi.org/10.1093/humupd/dms024</w:t>
        </w:r>
      </w:hyperlink>
    </w:p>
    <w:p w14:paraId="76AC51A8" w14:textId="3F4D6E5C" w:rsidR="009A1C5D" w:rsidRPr="009A1C5D" w:rsidRDefault="009A1C5D" w:rsidP="009A1C5D">
      <w:pPr>
        <w:ind w:left="540" w:hanging="540"/>
        <w:jc w:val="both"/>
        <w:rPr>
          <w:sz w:val="24"/>
          <w:szCs w:val="24"/>
        </w:rPr>
      </w:pPr>
      <w:r w:rsidRPr="009A1C5D">
        <w:rPr>
          <w:sz w:val="24"/>
          <w:szCs w:val="24"/>
        </w:rPr>
        <w:t xml:space="preserve">Connelly, M. P., Fabiano, I. H., Patel, S. M., Kinyanjui, E. K., Mberu, E. K., &amp; Watkins, W. M. (1996). Antimalarial activity in crude extracts of Malawian medicinal plants. </w:t>
      </w:r>
      <w:r w:rsidRPr="009A1C5D">
        <w:rPr>
          <w:i/>
          <w:iCs/>
          <w:sz w:val="24"/>
          <w:szCs w:val="24"/>
        </w:rPr>
        <w:t>Annals of Tropical Medicine &amp; Parasitology, 90</w:t>
      </w:r>
      <w:r w:rsidRPr="009A1C5D">
        <w:rPr>
          <w:sz w:val="24"/>
          <w:szCs w:val="24"/>
        </w:rPr>
        <w:t xml:space="preserve">(6), 597–602. </w:t>
      </w:r>
      <w:hyperlink r:id="rId50" w:history="1">
        <w:r w:rsidRPr="009A1C5D">
          <w:rPr>
            <w:color w:val="0000FF"/>
            <w:sz w:val="24"/>
            <w:szCs w:val="24"/>
            <w:u w:val="single"/>
          </w:rPr>
          <w:t>https://doi.org/10.1080/00034983.1996.11813089</w:t>
        </w:r>
      </w:hyperlink>
    </w:p>
    <w:p w14:paraId="4BC5A300" w14:textId="4FD5BCEA" w:rsidR="009A1C5D" w:rsidRPr="009A1C5D" w:rsidRDefault="009A1C5D" w:rsidP="009A1C5D">
      <w:pPr>
        <w:ind w:left="540" w:hanging="540"/>
        <w:jc w:val="both"/>
        <w:rPr>
          <w:sz w:val="24"/>
          <w:szCs w:val="24"/>
        </w:rPr>
      </w:pPr>
      <w:r w:rsidRPr="009A1C5D">
        <w:rPr>
          <w:sz w:val="24"/>
          <w:szCs w:val="24"/>
        </w:rPr>
        <w:t xml:space="preserve">Dandona, P., &amp; Dhindsa, S. (2011). Update: Hypogonadotropic hypogonadism in type 2 diabetes and obesity. </w:t>
      </w:r>
      <w:r w:rsidRPr="009A1C5D">
        <w:rPr>
          <w:i/>
          <w:iCs/>
          <w:sz w:val="24"/>
          <w:szCs w:val="24"/>
        </w:rPr>
        <w:t>The Journal of Clinical Endocrinology &amp; Metabolism, 96</w:t>
      </w:r>
      <w:r w:rsidRPr="009A1C5D">
        <w:rPr>
          <w:sz w:val="24"/>
          <w:szCs w:val="24"/>
        </w:rPr>
        <w:t xml:space="preserve">(9), 2643–2651. </w:t>
      </w:r>
      <w:hyperlink r:id="rId51" w:history="1">
        <w:r w:rsidRPr="009A1C5D">
          <w:rPr>
            <w:color w:val="0000FF"/>
            <w:sz w:val="24"/>
            <w:szCs w:val="24"/>
            <w:u w:val="single"/>
          </w:rPr>
          <w:t>https://doi.org/10.1210/jc.2010-2724</w:t>
        </w:r>
      </w:hyperlink>
    </w:p>
    <w:p w14:paraId="780B1256" w14:textId="6BE977FC" w:rsidR="009A1C5D" w:rsidRPr="009A1C5D" w:rsidRDefault="009A1C5D" w:rsidP="009A1C5D">
      <w:pPr>
        <w:ind w:left="540" w:hanging="540"/>
        <w:jc w:val="both"/>
        <w:rPr>
          <w:sz w:val="24"/>
          <w:szCs w:val="24"/>
        </w:rPr>
      </w:pPr>
      <w:r w:rsidRPr="009A1C5D">
        <w:rPr>
          <w:sz w:val="24"/>
          <w:szCs w:val="24"/>
        </w:rPr>
        <w:t xml:space="preserve">Dawud, F. A., Farrau, U., Abdulakdir, T. S., Augustine, B. D., Jaafar, A., Itodo, O. D., Sani, R. M., Haliru, A., &amp; Mudassir, M. S. (2023). Acute and subacute oral toxicity of methanol fruit pulp </w:t>
      </w:r>
      <w:r w:rsidRPr="009A1C5D">
        <w:rPr>
          <w:sz w:val="24"/>
          <w:szCs w:val="24"/>
        </w:rPr>
        <w:lastRenderedPageBreak/>
        <w:t xml:space="preserve">extract of </w:t>
      </w:r>
      <w:r w:rsidRPr="009A1C5D">
        <w:rPr>
          <w:i/>
          <w:iCs/>
          <w:sz w:val="24"/>
          <w:szCs w:val="24"/>
        </w:rPr>
        <w:t>Azanza garckeana</w:t>
      </w:r>
      <w:r w:rsidRPr="009A1C5D">
        <w:rPr>
          <w:sz w:val="24"/>
          <w:szCs w:val="24"/>
        </w:rPr>
        <w:t xml:space="preserve"> (Tula Kola nut) in adult male Wistar rats. </w:t>
      </w:r>
      <w:r w:rsidRPr="009A1C5D">
        <w:rPr>
          <w:i/>
          <w:iCs/>
          <w:sz w:val="24"/>
          <w:szCs w:val="24"/>
        </w:rPr>
        <w:t>Nigerian Journal of Biochemistry and Molecular Biology, 38</w:t>
      </w:r>
      <w:r w:rsidRPr="009A1C5D">
        <w:rPr>
          <w:sz w:val="24"/>
          <w:szCs w:val="24"/>
        </w:rPr>
        <w:t xml:space="preserve">(1), 20–32. </w:t>
      </w:r>
      <w:hyperlink r:id="rId52" w:history="1">
        <w:r w:rsidRPr="009A1C5D">
          <w:rPr>
            <w:color w:val="0000FF"/>
            <w:sz w:val="24"/>
            <w:szCs w:val="24"/>
            <w:u w:val="single"/>
          </w:rPr>
          <w:t>https://doi.org/10.2659/njbmb.2023.224</w:t>
        </w:r>
      </w:hyperlink>
    </w:p>
    <w:p w14:paraId="5BCB5730" w14:textId="2B76446B" w:rsidR="009A1C5D" w:rsidRPr="009A1C5D" w:rsidRDefault="009A1C5D" w:rsidP="009A1C5D">
      <w:pPr>
        <w:ind w:left="540" w:hanging="540"/>
        <w:jc w:val="both"/>
        <w:rPr>
          <w:sz w:val="24"/>
          <w:szCs w:val="24"/>
        </w:rPr>
      </w:pPr>
      <w:r w:rsidRPr="009A1C5D">
        <w:rPr>
          <w:sz w:val="24"/>
          <w:szCs w:val="24"/>
          <w:lang w:val="nl-BE"/>
        </w:rPr>
        <w:t xml:space="preserve">Ebmeyer, J., Rasinger, J. D., Hengstler, J. G., Schaudien, D., Creutzenberg, O., Lampen, A., Braeuning, A., &amp; Hessel-Pras, S. (2020). </w:t>
      </w:r>
      <w:r w:rsidRPr="009A1C5D">
        <w:rPr>
          <w:sz w:val="24"/>
          <w:szCs w:val="24"/>
        </w:rPr>
        <w:t xml:space="preserve">Hepatotoxic pyrrolizidine alkaloids induce DNA damage response in rat liver in a 28-day feeding study. </w:t>
      </w:r>
      <w:r w:rsidRPr="009A1C5D">
        <w:rPr>
          <w:i/>
          <w:iCs/>
          <w:sz w:val="24"/>
          <w:szCs w:val="24"/>
        </w:rPr>
        <w:t>Archives of Toxicology, 94</w:t>
      </w:r>
      <w:r w:rsidRPr="009A1C5D">
        <w:rPr>
          <w:sz w:val="24"/>
          <w:szCs w:val="24"/>
        </w:rPr>
        <w:t xml:space="preserve">(5), 1739–1751. </w:t>
      </w:r>
      <w:hyperlink r:id="rId53" w:history="1">
        <w:r w:rsidRPr="009A1C5D">
          <w:rPr>
            <w:color w:val="0000FF"/>
            <w:sz w:val="24"/>
            <w:szCs w:val="24"/>
            <w:u w:val="single"/>
          </w:rPr>
          <w:t>https://doi.org/10.1007/s00204-020-02779-2</w:t>
        </w:r>
      </w:hyperlink>
    </w:p>
    <w:p w14:paraId="22DCC6A6" w14:textId="42E48B23" w:rsidR="009A1C5D" w:rsidRPr="009A1C5D" w:rsidRDefault="009A1C5D" w:rsidP="009A1C5D">
      <w:pPr>
        <w:ind w:left="540" w:hanging="540"/>
        <w:jc w:val="both"/>
        <w:rPr>
          <w:sz w:val="24"/>
          <w:szCs w:val="24"/>
        </w:rPr>
      </w:pPr>
      <w:r w:rsidRPr="009A1C5D">
        <w:rPr>
          <w:sz w:val="24"/>
          <w:szCs w:val="24"/>
        </w:rPr>
        <w:t xml:space="preserve">Bioltif, Y. E., Edward, N. B., &amp; Tyeng, T. D. (2020). A chemical overview of Azanza garckeana. </w:t>
      </w:r>
      <w:r w:rsidRPr="009A1C5D">
        <w:rPr>
          <w:i/>
          <w:iCs/>
          <w:sz w:val="24"/>
          <w:szCs w:val="24"/>
        </w:rPr>
        <w:t>Biology, Medicine, &amp; Natural Product Chemistry, 9</w:t>
      </w:r>
      <w:r w:rsidRPr="009A1C5D">
        <w:rPr>
          <w:sz w:val="24"/>
          <w:szCs w:val="24"/>
        </w:rPr>
        <w:t xml:space="preserve">(2), 91–95. </w:t>
      </w:r>
      <w:hyperlink r:id="rId54" w:history="1">
        <w:r w:rsidRPr="009A1C5D">
          <w:rPr>
            <w:color w:val="0000FF"/>
            <w:sz w:val="24"/>
            <w:szCs w:val="24"/>
            <w:u w:val="single"/>
          </w:rPr>
          <w:t>https://doi.org/10.14421/biomedich.2020.92.91-95</w:t>
        </w:r>
      </w:hyperlink>
    </w:p>
    <w:p w14:paraId="0ABD8B9A" w14:textId="4A823DFF" w:rsidR="009A1C5D" w:rsidRPr="009A1C5D" w:rsidRDefault="009A1C5D" w:rsidP="009A1C5D">
      <w:pPr>
        <w:ind w:left="540" w:hanging="540"/>
        <w:jc w:val="both"/>
        <w:rPr>
          <w:sz w:val="24"/>
          <w:szCs w:val="24"/>
        </w:rPr>
      </w:pPr>
      <w:r w:rsidRPr="009A1C5D">
        <w:rPr>
          <w:sz w:val="24"/>
          <w:szCs w:val="24"/>
        </w:rPr>
        <w:t xml:space="preserve">Eisenberg, M. L., Sundaram, R., Maisog, J., &amp; Buck Louis, G. M. (2016). Diabetes, medical comorbidities and couple fecundity. </w:t>
      </w:r>
      <w:r w:rsidRPr="009A1C5D">
        <w:rPr>
          <w:i/>
          <w:iCs/>
          <w:sz w:val="24"/>
          <w:szCs w:val="24"/>
        </w:rPr>
        <w:t>Human Reproduction, 31</w:t>
      </w:r>
      <w:r w:rsidRPr="009A1C5D">
        <w:rPr>
          <w:sz w:val="24"/>
          <w:szCs w:val="24"/>
        </w:rPr>
        <w:t xml:space="preserve">(10), 2369–2376. </w:t>
      </w:r>
      <w:hyperlink r:id="rId55" w:history="1">
        <w:r w:rsidRPr="009A1C5D">
          <w:rPr>
            <w:color w:val="0000FF"/>
            <w:sz w:val="24"/>
            <w:szCs w:val="24"/>
            <w:u w:val="single"/>
          </w:rPr>
          <w:t>https://doi.org/10.1093/humrep/dew200</w:t>
        </w:r>
      </w:hyperlink>
    </w:p>
    <w:p w14:paraId="24A13663" w14:textId="101F28C9" w:rsidR="009A1C5D" w:rsidRPr="009A1C5D" w:rsidRDefault="009A1C5D" w:rsidP="009A1C5D">
      <w:pPr>
        <w:ind w:left="540" w:hanging="540"/>
        <w:jc w:val="both"/>
        <w:rPr>
          <w:sz w:val="24"/>
          <w:szCs w:val="24"/>
        </w:rPr>
      </w:pPr>
      <w:r w:rsidRPr="009A1C5D">
        <w:rPr>
          <w:sz w:val="24"/>
          <w:szCs w:val="24"/>
          <w:lang w:val="nl-BE"/>
        </w:rPr>
        <w:t xml:space="preserve">Fan, C., Zhang, J., &amp; Qiu, D. (2024). </w:t>
      </w:r>
      <w:r w:rsidRPr="009A1C5D">
        <w:rPr>
          <w:sz w:val="24"/>
          <w:szCs w:val="24"/>
        </w:rPr>
        <w:t xml:space="preserve">Causal relationship between genetically predicted type 2 diabetes mellitus and male infertility. </w:t>
      </w:r>
      <w:r w:rsidRPr="009A1C5D">
        <w:rPr>
          <w:i/>
          <w:iCs/>
          <w:sz w:val="24"/>
          <w:szCs w:val="24"/>
        </w:rPr>
        <w:t>Frontiers in Endocrinology, 15</w:t>
      </w:r>
      <w:r w:rsidRPr="009A1C5D">
        <w:rPr>
          <w:sz w:val="24"/>
          <w:szCs w:val="24"/>
        </w:rPr>
        <w:t xml:space="preserve">, 1357279. </w:t>
      </w:r>
      <w:hyperlink r:id="rId56" w:history="1">
        <w:r w:rsidRPr="009A1C5D">
          <w:rPr>
            <w:color w:val="0000FF"/>
            <w:sz w:val="24"/>
            <w:szCs w:val="24"/>
            <w:u w:val="single"/>
          </w:rPr>
          <w:t>https://doi.org/10.3389/fendo.2024.1357279</w:t>
        </w:r>
      </w:hyperlink>
    </w:p>
    <w:p w14:paraId="57B04A95" w14:textId="7E1AD791" w:rsidR="009A1C5D" w:rsidRPr="009A1C5D" w:rsidRDefault="009A1C5D" w:rsidP="009A1C5D">
      <w:pPr>
        <w:ind w:left="540" w:hanging="540"/>
        <w:jc w:val="both"/>
        <w:rPr>
          <w:sz w:val="24"/>
          <w:szCs w:val="24"/>
        </w:rPr>
      </w:pPr>
      <w:r w:rsidRPr="009A1C5D">
        <w:rPr>
          <w:sz w:val="24"/>
          <w:szCs w:val="24"/>
        </w:rPr>
        <w:t xml:space="preserve">Giannini, E. G., Testa, R., &amp; Savarino, V. (2005). Liver enzyme alteration: A guide for clinicians. </w:t>
      </w:r>
      <w:r w:rsidRPr="009A1C5D">
        <w:rPr>
          <w:i/>
          <w:iCs/>
          <w:sz w:val="24"/>
          <w:szCs w:val="24"/>
        </w:rPr>
        <w:t>Canadian Medical Association Journal, 172</w:t>
      </w:r>
      <w:r w:rsidRPr="009A1C5D">
        <w:rPr>
          <w:sz w:val="24"/>
          <w:szCs w:val="24"/>
        </w:rPr>
        <w:t xml:space="preserve">(3), 367–379. </w:t>
      </w:r>
      <w:hyperlink r:id="rId57" w:history="1">
        <w:r w:rsidRPr="009A1C5D">
          <w:rPr>
            <w:color w:val="0000FF"/>
            <w:sz w:val="24"/>
            <w:szCs w:val="24"/>
            <w:u w:val="single"/>
          </w:rPr>
          <w:t>https://doi.org/10.1503/cmaj.1040752</w:t>
        </w:r>
      </w:hyperlink>
    </w:p>
    <w:p w14:paraId="212A0F12" w14:textId="1C6106AC" w:rsidR="009A1C5D" w:rsidRPr="009A1C5D" w:rsidRDefault="009A1C5D" w:rsidP="009A1C5D">
      <w:pPr>
        <w:ind w:left="540" w:hanging="540"/>
        <w:jc w:val="both"/>
        <w:rPr>
          <w:sz w:val="24"/>
          <w:szCs w:val="24"/>
        </w:rPr>
      </w:pPr>
      <w:r w:rsidRPr="009A1C5D">
        <w:rPr>
          <w:sz w:val="24"/>
          <w:szCs w:val="24"/>
        </w:rPr>
        <w:t xml:space="preserve">Greaves, P. (2012). </w:t>
      </w:r>
      <w:r w:rsidRPr="009A1C5D">
        <w:rPr>
          <w:i/>
          <w:iCs/>
          <w:sz w:val="24"/>
          <w:szCs w:val="24"/>
        </w:rPr>
        <w:t>Histopathology of preclinical toxicity studies: Interpretation and relevance in drug safety studies</w:t>
      </w:r>
      <w:r w:rsidRPr="009A1C5D">
        <w:rPr>
          <w:sz w:val="24"/>
          <w:szCs w:val="24"/>
        </w:rPr>
        <w:t xml:space="preserve"> (4th ed.). Academic Press. </w:t>
      </w:r>
      <w:hyperlink r:id="rId58" w:history="1">
        <w:r w:rsidRPr="009A1C5D">
          <w:rPr>
            <w:color w:val="0000FF"/>
            <w:sz w:val="24"/>
            <w:szCs w:val="24"/>
            <w:u w:val="single"/>
          </w:rPr>
          <w:t>https://doi.org/10.1016/C2010-0-67226-9</w:t>
        </w:r>
      </w:hyperlink>
    </w:p>
    <w:p w14:paraId="6590F051" w14:textId="59EBCB26" w:rsidR="009A1C5D" w:rsidRPr="009A1C5D" w:rsidRDefault="009A1C5D" w:rsidP="009A1C5D">
      <w:pPr>
        <w:ind w:left="540" w:hanging="540"/>
        <w:jc w:val="both"/>
        <w:rPr>
          <w:sz w:val="24"/>
          <w:szCs w:val="24"/>
        </w:rPr>
      </w:pPr>
      <w:r w:rsidRPr="009A1C5D">
        <w:rPr>
          <w:sz w:val="24"/>
          <w:szCs w:val="24"/>
        </w:rPr>
        <w:t xml:space="preserve">Hodgson, E. (2004). </w:t>
      </w:r>
      <w:r w:rsidRPr="009A1C5D">
        <w:rPr>
          <w:i/>
          <w:iCs/>
          <w:sz w:val="24"/>
          <w:szCs w:val="24"/>
        </w:rPr>
        <w:t>A textbook of modern toxicology</w:t>
      </w:r>
      <w:r w:rsidRPr="009A1C5D">
        <w:rPr>
          <w:sz w:val="24"/>
          <w:szCs w:val="24"/>
        </w:rPr>
        <w:t xml:space="preserve"> (3rd ed.). Wiley. </w:t>
      </w:r>
      <w:hyperlink r:id="rId59" w:history="1">
        <w:r w:rsidRPr="009A1C5D">
          <w:rPr>
            <w:color w:val="0000FF"/>
            <w:sz w:val="24"/>
            <w:szCs w:val="24"/>
            <w:u w:val="single"/>
          </w:rPr>
          <w:t>https://doi.org/10.1002/0471646776</w:t>
        </w:r>
      </w:hyperlink>
    </w:p>
    <w:p w14:paraId="046037E9" w14:textId="3729DD25" w:rsidR="009A1C5D" w:rsidRPr="009A1C5D" w:rsidRDefault="009A1C5D" w:rsidP="009A1C5D">
      <w:pPr>
        <w:ind w:left="540" w:hanging="540"/>
        <w:jc w:val="both"/>
        <w:rPr>
          <w:sz w:val="24"/>
          <w:szCs w:val="24"/>
        </w:rPr>
      </w:pPr>
      <w:r w:rsidRPr="009A1C5D">
        <w:rPr>
          <w:sz w:val="24"/>
          <w:szCs w:val="24"/>
        </w:rPr>
        <w:t xml:space="preserve">Huang, R., Chen, J., Guo, B., Jiang, C., &amp; Sun, W. (2024). Diabetes-induced male infertility: Potential mechanisms and treatment options. </w:t>
      </w:r>
      <w:r w:rsidRPr="009A1C5D">
        <w:rPr>
          <w:i/>
          <w:iCs/>
          <w:sz w:val="24"/>
          <w:szCs w:val="24"/>
        </w:rPr>
        <w:t>Molecular Medicine, 30</w:t>
      </w:r>
      <w:r w:rsidRPr="009A1C5D">
        <w:rPr>
          <w:sz w:val="24"/>
          <w:szCs w:val="24"/>
        </w:rPr>
        <w:t xml:space="preserve">, 11. </w:t>
      </w:r>
      <w:hyperlink r:id="rId60" w:history="1">
        <w:r w:rsidRPr="009A1C5D">
          <w:rPr>
            <w:color w:val="0000FF"/>
            <w:sz w:val="24"/>
            <w:szCs w:val="24"/>
            <w:u w:val="single"/>
          </w:rPr>
          <w:t>https://doi.org/10.1186/s10020-023-00771-x</w:t>
        </w:r>
      </w:hyperlink>
    </w:p>
    <w:p w14:paraId="7A4D8902" w14:textId="42B29EDF" w:rsidR="009A1C5D" w:rsidRPr="009A1C5D" w:rsidRDefault="009A1C5D" w:rsidP="009A1C5D">
      <w:pPr>
        <w:ind w:left="540" w:hanging="540"/>
        <w:jc w:val="both"/>
        <w:rPr>
          <w:sz w:val="24"/>
          <w:szCs w:val="24"/>
        </w:rPr>
      </w:pPr>
      <w:r w:rsidRPr="009A1C5D">
        <w:rPr>
          <w:sz w:val="24"/>
          <w:szCs w:val="24"/>
        </w:rPr>
        <w:t xml:space="preserve">Obidike, I., &amp; Salawu, O. (2013). Screening of herbal medicines for potential toxicities. In S. J. T. Gowder (Ed.), </w:t>
      </w:r>
      <w:r w:rsidRPr="009A1C5D">
        <w:rPr>
          <w:i/>
          <w:iCs/>
          <w:sz w:val="24"/>
          <w:szCs w:val="24"/>
        </w:rPr>
        <w:t>New insights into toxicity and drug testing</w:t>
      </w:r>
      <w:r w:rsidRPr="009A1C5D">
        <w:rPr>
          <w:sz w:val="24"/>
          <w:szCs w:val="24"/>
        </w:rPr>
        <w:t xml:space="preserve"> (pp. 63–88). IntechOpen. </w:t>
      </w:r>
      <w:hyperlink r:id="rId61" w:history="1">
        <w:r w:rsidRPr="009A1C5D">
          <w:rPr>
            <w:color w:val="0000FF"/>
            <w:sz w:val="24"/>
            <w:szCs w:val="24"/>
            <w:u w:val="single"/>
          </w:rPr>
          <w:t>https://doi.org/10.5772/54493</w:t>
        </w:r>
      </w:hyperlink>
    </w:p>
    <w:p w14:paraId="0B8E07BE" w14:textId="58D7A30E" w:rsidR="009A1C5D" w:rsidRPr="009A1C5D" w:rsidRDefault="009A1C5D" w:rsidP="009A1C5D">
      <w:pPr>
        <w:ind w:left="540" w:hanging="540"/>
        <w:jc w:val="both"/>
        <w:rPr>
          <w:sz w:val="24"/>
          <w:szCs w:val="24"/>
        </w:rPr>
      </w:pPr>
      <w:r w:rsidRPr="009A1C5D">
        <w:rPr>
          <w:sz w:val="24"/>
          <w:szCs w:val="24"/>
          <w:lang w:val="nl-BE"/>
        </w:rPr>
        <w:t xml:space="preserve">Jacob, C., Shehu, Z., Danbature, W. L., &amp; Karu, E. (2017). </w:t>
      </w:r>
      <w:r w:rsidRPr="009A1C5D">
        <w:rPr>
          <w:sz w:val="24"/>
          <w:szCs w:val="24"/>
        </w:rPr>
        <w:t xml:space="preserve">Proximate analysis of the fruit </w:t>
      </w:r>
      <w:r w:rsidRPr="009A1C5D">
        <w:rPr>
          <w:i/>
          <w:iCs/>
          <w:sz w:val="24"/>
          <w:szCs w:val="24"/>
        </w:rPr>
        <w:t>Azanza garckeana</w:t>
      </w:r>
      <w:r w:rsidRPr="009A1C5D">
        <w:rPr>
          <w:sz w:val="24"/>
          <w:szCs w:val="24"/>
        </w:rPr>
        <w:t xml:space="preserve"> (“Goron Tula”). </w:t>
      </w:r>
      <w:r w:rsidRPr="009A1C5D">
        <w:rPr>
          <w:i/>
          <w:iCs/>
          <w:sz w:val="24"/>
          <w:szCs w:val="24"/>
        </w:rPr>
        <w:t>Bayero Journal of Pure and Applied Sciences, 9</w:t>
      </w:r>
      <w:r w:rsidRPr="009A1C5D">
        <w:rPr>
          <w:sz w:val="24"/>
          <w:szCs w:val="24"/>
        </w:rPr>
        <w:t xml:space="preserve">(2), 221–224. </w:t>
      </w:r>
      <w:hyperlink r:id="rId62" w:history="1">
        <w:r w:rsidRPr="009A1C5D">
          <w:rPr>
            <w:color w:val="0000FF"/>
            <w:sz w:val="24"/>
            <w:szCs w:val="24"/>
            <w:u w:val="single"/>
          </w:rPr>
          <w:t>https://doi.org/10.4314/bajopas.v9i2.38</w:t>
        </w:r>
      </w:hyperlink>
    </w:p>
    <w:p w14:paraId="62CBBACB" w14:textId="3EA408FA" w:rsidR="009A1C5D" w:rsidRPr="009A1C5D" w:rsidRDefault="009A1C5D" w:rsidP="009A1C5D">
      <w:pPr>
        <w:ind w:left="540" w:hanging="540"/>
        <w:jc w:val="both"/>
        <w:rPr>
          <w:sz w:val="24"/>
          <w:szCs w:val="24"/>
        </w:rPr>
      </w:pPr>
      <w:r w:rsidRPr="009A1C5D">
        <w:rPr>
          <w:sz w:val="24"/>
          <w:szCs w:val="24"/>
        </w:rPr>
        <w:t>Joel, J. M., Barminas, J. T., Riki, E. Y., Yelwa, J. M., &amp; Edeh, F. (2018). Extraction and characterization of hydrocolloid pectin from Goron Tula (</w:t>
      </w:r>
      <w:r w:rsidRPr="009A1C5D">
        <w:rPr>
          <w:i/>
          <w:iCs/>
          <w:sz w:val="24"/>
          <w:szCs w:val="24"/>
        </w:rPr>
        <w:t>Azanza garckeana</w:t>
      </w:r>
      <w:r w:rsidRPr="009A1C5D">
        <w:rPr>
          <w:sz w:val="24"/>
          <w:szCs w:val="24"/>
        </w:rPr>
        <w:t xml:space="preserve">) fruits. </w:t>
      </w:r>
      <w:r w:rsidRPr="009A1C5D">
        <w:rPr>
          <w:i/>
          <w:iCs/>
          <w:sz w:val="24"/>
          <w:szCs w:val="24"/>
        </w:rPr>
        <w:t>World Scientific News, 101</w:t>
      </w:r>
      <w:r w:rsidRPr="009A1C5D">
        <w:rPr>
          <w:sz w:val="24"/>
          <w:szCs w:val="24"/>
        </w:rPr>
        <w:t xml:space="preserve">, 157–171. </w:t>
      </w:r>
    </w:p>
    <w:p w14:paraId="3CC9F57B" w14:textId="5EC57F18" w:rsidR="009A1C5D" w:rsidRPr="009A1C5D" w:rsidRDefault="009A1C5D" w:rsidP="009A1C5D">
      <w:pPr>
        <w:ind w:left="540" w:hanging="540"/>
        <w:jc w:val="both"/>
        <w:rPr>
          <w:sz w:val="24"/>
          <w:szCs w:val="24"/>
        </w:rPr>
      </w:pPr>
      <w:r w:rsidRPr="009A1C5D">
        <w:rPr>
          <w:sz w:val="24"/>
          <w:szCs w:val="24"/>
        </w:rPr>
        <w:lastRenderedPageBreak/>
        <w:t xml:space="preserve">Jothy, S. L., Zakaria, Z., Chen, Y., Lau, Y. L., Latha, L. Y., &amp; Sasidharan, S. (2011). Acute oral toxicity of methanolic seed extract of </w:t>
      </w:r>
      <w:r w:rsidRPr="009A1C5D">
        <w:rPr>
          <w:i/>
          <w:iCs/>
          <w:sz w:val="24"/>
          <w:szCs w:val="24"/>
        </w:rPr>
        <w:t>Cassia fistula</w:t>
      </w:r>
      <w:r w:rsidRPr="009A1C5D">
        <w:rPr>
          <w:sz w:val="24"/>
          <w:szCs w:val="24"/>
        </w:rPr>
        <w:t xml:space="preserve"> in mice. </w:t>
      </w:r>
      <w:r w:rsidRPr="009A1C5D">
        <w:rPr>
          <w:i/>
          <w:iCs/>
          <w:sz w:val="24"/>
          <w:szCs w:val="24"/>
        </w:rPr>
        <w:t>Molecules, 16</w:t>
      </w:r>
      <w:r w:rsidRPr="009A1C5D">
        <w:rPr>
          <w:sz w:val="24"/>
          <w:szCs w:val="24"/>
        </w:rPr>
        <w:t xml:space="preserve">(6), 5268–5282. </w:t>
      </w:r>
      <w:hyperlink r:id="rId63" w:history="1">
        <w:r w:rsidRPr="009A1C5D">
          <w:rPr>
            <w:color w:val="0000FF"/>
            <w:sz w:val="24"/>
            <w:szCs w:val="24"/>
            <w:u w:val="single"/>
          </w:rPr>
          <w:t>https://doi.org/10.3390/molecules16065268</w:t>
        </w:r>
      </w:hyperlink>
    </w:p>
    <w:p w14:paraId="2ADB5391" w14:textId="37B5B3A2" w:rsidR="009A1C5D" w:rsidRPr="009A1C5D" w:rsidRDefault="009A1C5D" w:rsidP="009A1C5D">
      <w:pPr>
        <w:ind w:left="540" w:hanging="540"/>
        <w:jc w:val="both"/>
        <w:rPr>
          <w:sz w:val="24"/>
          <w:szCs w:val="24"/>
        </w:rPr>
      </w:pPr>
      <w:r w:rsidRPr="009A1C5D">
        <w:rPr>
          <w:sz w:val="24"/>
          <w:szCs w:val="24"/>
        </w:rPr>
        <w:t xml:space="preserve">Kelsey, M. M., Braffett, B. H., Geffner, M. E., Levitsky, L. L., Caprio, S., McKay, S. V., Shah, R., Sprague, J. E., Arslanian, S. A., &amp; TODAY Study Group. (2018). Menstrual dysfunction in girls from the Treatment Options for Type 2 Diabetes in Adolescents and Youth (TODAY) Study. </w:t>
      </w:r>
      <w:r w:rsidRPr="009A1C5D">
        <w:rPr>
          <w:i/>
          <w:iCs/>
          <w:sz w:val="24"/>
          <w:szCs w:val="24"/>
        </w:rPr>
        <w:t>The Journal of Clinical Endocrinology &amp; Metabolism, 103</w:t>
      </w:r>
      <w:r w:rsidRPr="009A1C5D">
        <w:rPr>
          <w:sz w:val="24"/>
          <w:szCs w:val="24"/>
        </w:rPr>
        <w:t xml:space="preserve">(6), 2309–2318. </w:t>
      </w:r>
      <w:hyperlink r:id="rId64" w:history="1">
        <w:r w:rsidRPr="009A1C5D">
          <w:rPr>
            <w:color w:val="0000FF"/>
            <w:sz w:val="24"/>
            <w:szCs w:val="24"/>
            <w:u w:val="single"/>
          </w:rPr>
          <w:t>https://doi.org/10.1210/jc.2018-00132</w:t>
        </w:r>
      </w:hyperlink>
    </w:p>
    <w:p w14:paraId="3B219A06" w14:textId="67A7FD79" w:rsidR="009A1C5D" w:rsidRPr="009A1C5D" w:rsidRDefault="009A1C5D" w:rsidP="009A1C5D">
      <w:pPr>
        <w:ind w:left="540" w:hanging="540"/>
        <w:jc w:val="both"/>
        <w:rPr>
          <w:sz w:val="24"/>
          <w:szCs w:val="24"/>
        </w:rPr>
      </w:pPr>
      <w:r w:rsidRPr="009A1C5D">
        <w:rPr>
          <w:sz w:val="24"/>
          <w:szCs w:val="24"/>
        </w:rPr>
        <w:t xml:space="preserve">Kim, C., &amp; Halter, J. B. (2014). Endogenous sex hormones, metabolic syndrome, and diabetes in men and women. </w:t>
      </w:r>
      <w:r w:rsidRPr="009A1C5D">
        <w:rPr>
          <w:i/>
          <w:iCs/>
          <w:sz w:val="24"/>
          <w:szCs w:val="24"/>
        </w:rPr>
        <w:t>Current Cardiology Reports, 16</w:t>
      </w:r>
      <w:r w:rsidRPr="009A1C5D">
        <w:rPr>
          <w:sz w:val="24"/>
          <w:szCs w:val="24"/>
        </w:rPr>
        <w:t xml:space="preserve">(4), 467. </w:t>
      </w:r>
      <w:hyperlink r:id="rId65" w:history="1">
        <w:r w:rsidRPr="009A1C5D">
          <w:rPr>
            <w:color w:val="0000FF"/>
            <w:sz w:val="24"/>
            <w:szCs w:val="24"/>
            <w:u w:val="single"/>
          </w:rPr>
          <w:t>https://doi.org/10.1007/s11886-014-0467-6</w:t>
        </w:r>
      </w:hyperlink>
    </w:p>
    <w:p w14:paraId="131EA270" w14:textId="35C9AD0A" w:rsidR="009A1C5D" w:rsidRPr="009A1C5D" w:rsidRDefault="009A1C5D" w:rsidP="009A1C5D">
      <w:pPr>
        <w:ind w:left="540" w:hanging="540"/>
        <w:jc w:val="both"/>
        <w:rPr>
          <w:sz w:val="24"/>
          <w:szCs w:val="24"/>
        </w:rPr>
      </w:pPr>
      <w:r w:rsidRPr="009A1C5D">
        <w:rPr>
          <w:sz w:val="24"/>
          <w:szCs w:val="24"/>
        </w:rPr>
        <w:t xml:space="preserve">Kim, W. R., Flamm, S. L., Di Bisceglie, A. M., &amp; Bodenheimer, H. C. (2008). Serum activity of alanine aminotransferase (ALT) as an indicator of health and disease. </w:t>
      </w:r>
      <w:r w:rsidRPr="009A1C5D">
        <w:rPr>
          <w:i/>
          <w:iCs/>
          <w:sz w:val="24"/>
          <w:szCs w:val="24"/>
        </w:rPr>
        <w:t>Hepatology, 47</w:t>
      </w:r>
      <w:r w:rsidRPr="009A1C5D">
        <w:rPr>
          <w:sz w:val="24"/>
          <w:szCs w:val="24"/>
        </w:rPr>
        <w:t xml:space="preserve">(4), 1363–1370. </w:t>
      </w:r>
      <w:hyperlink r:id="rId66" w:history="1">
        <w:r w:rsidRPr="009A1C5D">
          <w:rPr>
            <w:color w:val="0000FF"/>
            <w:sz w:val="24"/>
            <w:szCs w:val="24"/>
            <w:u w:val="single"/>
          </w:rPr>
          <w:t>https://doi.org/10.1002/hep.22109</w:t>
        </w:r>
      </w:hyperlink>
    </w:p>
    <w:p w14:paraId="194A5664" w14:textId="3C576AED" w:rsidR="009A1C5D" w:rsidRPr="009A1C5D" w:rsidRDefault="009A1C5D" w:rsidP="009A1C5D">
      <w:pPr>
        <w:ind w:left="540" w:hanging="540"/>
        <w:jc w:val="both"/>
        <w:rPr>
          <w:sz w:val="24"/>
          <w:szCs w:val="24"/>
        </w:rPr>
      </w:pPr>
      <w:r w:rsidRPr="009A1C5D">
        <w:rPr>
          <w:sz w:val="24"/>
          <w:szCs w:val="24"/>
        </w:rPr>
        <w:t xml:space="preserve">Kjaer, K., Hagen, C., Sandø, S. H., &amp; Eshøj, O. (1992). Epidemiology of menarche and menstrual disturbances in an unselected group of women with insulin-dependent diabetes mellitus compared to controls. </w:t>
      </w:r>
      <w:r w:rsidRPr="009A1C5D">
        <w:rPr>
          <w:i/>
          <w:iCs/>
          <w:sz w:val="24"/>
          <w:szCs w:val="24"/>
        </w:rPr>
        <w:t>The Journal of Clinical Endocrinology &amp; Metabolism, 75</w:t>
      </w:r>
      <w:r w:rsidRPr="009A1C5D">
        <w:rPr>
          <w:sz w:val="24"/>
          <w:szCs w:val="24"/>
        </w:rPr>
        <w:t xml:space="preserve">(2), 524–529. </w:t>
      </w:r>
      <w:hyperlink r:id="rId67" w:history="1">
        <w:r w:rsidRPr="009A1C5D">
          <w:rPr>
            <w:color w:val="0000FF"/>
            <w:sz w:val="24"/>
            <w:szCs w:val="24"/>
            <w:u w:val="single"/>
          </w:rPr>
          <w:t>https://doi.org/10.1210/jcem.75.2.1639955</w:t>
        </w:r>
      </w:hyperlink>
    </w:p>
    <w:p w14:paraId="53E0FA8A" w14:textId="36E30783" w:rsidR="009A1C5D" w:rsidRPr="009A1C5D" w:rsidRDefault="009A1C5D" w:rsidP="009A1C5D">
      <w:pPr>
        <w:ind w:left="540" w:hanging="540"/>
        <w:jc w:val="both"/>
        <w:rPr>
          <w:sz w:val="24"/>
          <w:szCs w:val="24"/>
        </w:rPr>
      </w:pPr>
      <w:r w:rsidRPr="009A1C5D">
        <w:rPr>
          <w:sz w:val="24"/>
          <w:szCs w:val="24"/>
        </w:rPr>
        <w:t xml:space="preserve">Koche, D., Shirsat, R., &amp; Kawale, M. (2016). An overview of major classes of phytochemicals: Their types and role in disease prevention. </w:t>
      </w:r>
      <w:r w:rsidRPr="009A1C5D">
        <w:rPr>
          <w:i/>
          <w:iCs/>
          <w:sz w:val="24"/>
          <w:szCs w:val="24"/>
        </w:rPr>
        <w:t>Hislopia Journal, 9</w:t>
      </w:r>
      <w:r w:rsidRPr="009A1C5D">
        <w:rPr>
          <w:sz w:val="24"/>
          <w:szCs w:val="24"/>
        </w:rPr>
        <w:t xml:space="preserve">(1–2), 1–11. </w:t>
      </w:r>
    </w:p>
    <w:p w14:paraId="78F87385" w14:textId="4B901DDF" w:rsidR="009A1C5D" w:rsidRPr="009A1C5D" w:rsidRDefault="009A1C5D" w:rsidP="009A1C5D">
      <w:pPr>
        <w:ind w:left="540" w:hanging="540"/>
        <w:jc w:val="both"/>
        <w:rPr>
          <w:sz w:val="24"/>
          <w:szCs w:val="24"/>
        </w:rPr>
      </w:pPr>
      <w:r w:rsidRPr="009A1C5D">
        <w:rPr>
          <w:sz w:val="24"/>
          <w:szCs w:val="24"/>
        </w:rPr>
        <w:t xml:space="preserve">Kumar, V. K., &amp; Lalitha, K. G. (2013). Acute oral toxicity studies of </w:t>
      </w:r>
      <w:r w:rsidRPr="009A1C5D">
        <w:rPr>
          <w:i/>
          <w:iCs/>
          <w:sz w:val="24"/>
          <w:szCs w:val="24"/>
        </w:rPr>
        <w:t>Anacyclus pyrethrum</w:t>
      </w:r>
      <w:r w:rsidRPr="009A1C5D">
        <w:rPr>
          <w:sz w:val="24"/>
          <w:szCs w:val="24"/>
        </w:rPr>
        <w:t xml:space="preserve"> DC root in albino rats. </w:t>
      </w:r>
      <w:r w:rsidRPr="009A1C5D">
        <w:rPr>
          <w:i/>
          <w:iCs/>
          <w:sz w:val="24"/>
          <w:szCs w:val="24"/>
        </w:rPr>
        <w:t>International Journal of Pharmacy and Pharmaceutical Sciences, 5</w:t>
      </w:r>
      <w:r w:rsidRPr="009A1C5D">
        <w:rPr>
          <w:sz w:val="24"/>
          <w:szCs w:val="24"/>
        </w:rPr>
        <w:t xml:space="preserve">(4), 675–678. </w:t>
      </w:r>
    </w:p>
    <w:p w14:paraId="6E74AB07" w14:textId="72D6D62A" w:rsidR="009A1C5D" w:rsidRPr="009A1C5D" w:rsidRDefault="009A1C5D" w:rsidP="009A1C5D">
      <w:pPr>
        <w:ind w:left="540" w:hanging="540"/>
        <w:jc w:val="both"/>
        <w:rPr>
          <w:sz w:val="24"/>
          <w:szCs w:val="24"/>
        </w:rPr>
      </w:pPr>
      <w:r w:rsidRPr="009A1C5D">
        <w:rPr>
          <w:sz w:val="24"/>
          <w:szCs w:val="24"/>
        </w:rPr>
        <w:t xml:space="preserve">Lala, V., Goyal, A., Bansal, P., &amp; Minter, D. A. (2022). Liver function tests. In </w:t>
      </w:r>
      <w:r w:rsidRPr="009A1C5D">
        <w:rPr>
          <w:i/>
          <w:iCs/>
          <w:sz w:val="24"/>
          <w:szCs w:val="24"/>
        </w:rPr>
        <w:t>StatPearls</w:t>
      </w:r>
      <w:r w:rsidRPr="009A1C5D">
        <w:rPr>
          <w:sz w:val="24"/>
          <w:szCs w:val="24"/>
        </w:rPr>
        <w:t xml:space="preserve">. StatPearls Publishing. </w:t>
      </w:r>
    </w:p>
    <w:p w14:paraId="0CD2132C" w14:textId="37774554" w:rsidR="009A1C5D" w:rsidRPr="009A1C5D" w:rsidRDefault="009A1C5D" w:rsidP="009A1C5D">
      <w:pPr>
        <w:ind w:left="540" w:hanging="540"/>
        <w:jc w:val="both"/>
        <w:rPr>
          <w:sz w:val="24"/>
          <w:szCs w:val="24"/>
        </w:rPr>
      </w:pPr>
      <w:r w:rsidRPr="009A1C5D">
        <w:rPr>
          <w:sz w:val="24"/>
          <w:szCs w:val="24"/>
        </w:rPr>
        <w:t xml:space="preserve">Lascar, N., Brown, J., Pattison, H., Barnett, A. H., Bailey, C. J., &amp; Bellary, S. (2018). Type 2 diabetes in adolescents and young adults. </w:t>
      </w:r>
      <w:r w:rsidRPr="009A1C5D">
        <w:rPr>
          <w:i/>
          <w:iCs/>
          <w:sz w:val="24"/>
          <w:szCs w:val="24"/>
        </w:rPr>
        <w:t>The Lancet Diabetes &amp; Endocrinology, 6</w:t>
      </w:r>
      <w:r w:rsidRPr="009A1C5D">
        <w:rPr>
          <w:sz w:val="24"/>
          <w:szCs w:val="24"/>
        </w:rPr>
        <w:t xml:space="preserve">(1), 69–80. </w:t>
      </w:r>
      <w:hyperlink r:id="rId68" w:history="1">
        <w:r w:rsidRPr="009A1C5D">
          <w:rPr>
            <w:color w:val="0000FF"/>
            <w:sz w:val="24"/>
            <w:szCs w:val="24"/>
            <w:u w:val="single"/>
          </w:rPr>
          <w:t>https://doi.org/10.1016/S2213-8587(17)30186-9</w:t>
        </w:r>
      </w:hyperlink>
    </w:p>
    <w:p w14:paraId="72363A8D" w14:textId="4CC81D2A" w:rsidR="009A1C5D" w:rsidRPr="009A1C5D" w:rsidRDefault="009A1C5D" w:rsidP="009A1C5D">
      <w:pPr>
        <w:ind w:left="540" w:hanging="540"/>
        <w:jc w:val="both"/>
        <w:rPr>
          <w:sz w:val="24"/>
          <w:szCs w:val="24"/>
        </w:rPr>
      </w:pPr>
      <w:r w:rsidRPr="009A1C5D">
        <w:rPr>
          <w:sz w:val="24"/>
          <w:szCs w:val="24"/>
        </w:rPr>
        <w:t xml:space="preserve">Laz-Okenwa, J. O. A., Batubo, N. P., Reuben, E., Opusunju, B. H., Owhorji, B. I., Somiari, A.-T. F., Obia, O., &amp; Ogbu, O. S. (2026). Effects of </w:t>
      </w:r>
      <w:r w:rsidRPr="009A1C5D">
        <w:rPr>
          <w:i/>
          <w:iCs/>
          <w:sz w:val="24"/>
          <w:szCs w:val="24"/>
        </w:rPr>
        <w:t>Azanza garckeana</w:t>
      </w:r>
      <w:r w:rsidRPr="009A1C5D">
        <w:rPr>
          <w:sz w:val="24"/>
          <w:szCs w:val="24"/>
        </w:rPr>
        <w:t xml:space="preserve"> fruit extract on reproductive hormone and ovarian morphology in alloxan-induced diabetic female Wistar rats. </w:t>
      </w:r>
      <w:r w:rsidRPr="009A1C5D">
        <w:rPr>
          <w:i/>
          <w:iCs/>
          <w:sz w:val="24"/>
          <w:szCs w:val="24"/>
        </w:rPr>
        <w:t>Journal of Disease and Global Health, 19</w:t>
      </w:r>
      <w:r w:rsidRPr="009A1C5D">
        <w:rPr>
          <w:sz w:val="24"/>
          <w:szCs w:val="24"/>
        </w:rPr>
        <w:t xml:space="preserve">(1), 151–161. </w:t>
      </w:r>
      <w:hyperlink r:id="rId69" w:history="1">
        <w:r w:rsidRPr="009A1C5D">
          <w:rPr>
            <w:color w:val="0000FF"/>
            <w:sz w:val="24"/>
            <w:szCs w:val="24"/>
            <w:u w:val="single"/>
          </w:rPr>
          <w:t>https://doi.org/10.56557/jodagh/2026/v19i110332</w:t>
        </w:r>
      </w:hyperlink>
    </w:p>
    <w:p w14:paraId="25711C93" w14:textId="2A782648" w:rsidR="009A1C5D" w:rsidRPr="009A1C5D" w:rsidRDefault="009A1C5D" w:rsidP="009A1C5D">
      <w:pPr>
        <w:ind w:left="540" w:hanging="540"/>
        <w:jc w:val="both"/>
        <w:rPr>
          <w:sz w:val="24"/>
          <w:szCs w:val="24"/>
        </w:rPr>
      </w:pPr>
      <w:r w:rsidRPr="009A1C5D">
        <w:rPr>
          <w:sz w:val="24"/>
          <w:szCs w:val="24"/>
        </w:rPr>
        <w:t xml:space="preserve">Lorke, D. (1983). A new approach to practical acute toxicity testing. </w:t>
      </w:r>
      <w:r w:rsidRPr="009A1C5D">
        <w:rPr>
          <w:i/>
          <w:iCs/>
          <w:sz w:val="24"/>
          <w:szCs w:val="24"/>
        </w:rPr>
        <w:t>Archives of Toxicology, 54</w:t>
      </w:r>
      <w:r w:rsidRPr="009A1C5D">
        <w:rPr>
          <w:sz w:val="24"/>
          <w:szCs w:val="24"/>
        </w:rPr>
        <w:t xml:space="preserve">(4), 275–287. </w:t>
      </w:r>
      <w:hyperlink r:id="rId70" w:history="1">
        <w:r w:rsidRPr="009A1C5D">
          <w:rPr>
            <w:color w:val="0000FF"/>
            <w:sz w:val="24"/>
            <w:szCs w:val="24"/>
            <w:u w:val="single"/>
          </w:rPr>
          <w:t>https://doi.org/10.1007/BF01234480</w:t>
        </w:r>
      </w:hyperlink>
    </w:p>
    <w:p w14:paraId="7F61F5DC" w14:textId="2E9B3BCC" w:rsidR="009A1C5D" w:rsidRPr="009A1C5D" w:rsidRDefault="009A1C5D" w:rsidP="009A1C5D">
      <w:pPr>
        <w:ind w:left="540" w:hanging="540"/>
        <w:jc w:val="both"/>
        <w:rPr>
          <w:sz w:val="24"/>
          <w:szCs w:val="24"/>
        </w:rPr>
      </w:pPr>
      <w:r w:rsidRPr="009A1C5D">
        <w:rPr>
          <w:sz w:val="24"/>
          <w:szCs w:val="24"/>
        </w:rPr>
        <w:lastRenderedPageBreak/>
        <w:t xml:space="preserve">Mallidis, C., Agbaje, I. M., Rogers, D. A., Glenn, J. V., Pringle, R., Atkinson, A. B., Steger, K., Stitt, A. W., &amp; McClure, N. (2009). Advanced glycation end products accumulate in the reproductive tract of men with diabetes. </w:t>
      </w:r>
      <w:r w:rsidRPr="009A1C5D">
        <w:rPr>
          <w:i/>
          <w:iCs/>
          <w:sz w:val="24"/>
          <w:szCs w:val="24"/>
        </w:rPr>
        <w:t>International Journal of Andrology, 32</w:t>
      </w:r>
      <w:r w:rsidRPr="009A1C5D">
        <w:rPr>
          <w:sz w:val="24"/>
          <w:szCs w:val="24"/>
        </w:rPr>
        <w:t xml:space="preserve">(4), 295–305. </w:t>
      </w:r>
      <w:hyperlink r:id="rId71" w:history="1">
        <w:r w:rsidRPr="009A1C5D">
          <w:rPr>
            <w:color w:val="0000FF"/>
            <w:sz w:val="24"/>
            <w:szCs w:val="24"/>
            <w:u w:val="single"/>
          </w:rPr>
          <w:t>https://doi.org/10.1111/j.1365-2605.2007.00849.x</w:t>
        </w:r>
      </w:hyperlink>
    </w:p>
    <w:p w14:paraId="6C21FD8B" w14:textId="338D5FEC" w:rsidR="009A1C5D" w:rsidRPr="009A1C5D" w:rsidRDefault="009A1C5D" w:rsidP="009A1C5D">
      <w:pPr>
        <w:ind w:left="540" w:hanging="540"/>
        <w:jc w:val="both"/>
        <w:rPr>
          <w:sz w:val="24"/>
          <w:szCs w:val="24"/>
        </w:rPr>
      </w:pPr>
      <w:r w:rsidRPr="009A1C5D">
        <w:rPr>
          <w:sz w:val="24"/>
          <w:szCs w:val="24"/>
        </w:rPr>
        <w:t xml:space="preserve">Maroyi, A. (2017). </w:t>
      </w:r>
      <w:r w:rsidRPr="009A1C5D">
        <w:rPr>
          <w:i/>
          <w:iCs/>
          <w:sz w:val="24"/>
          <w:szCs w:val="24"/>
        </w:rPr>
        <w:t>Azanza garckeana</w:t>
      </w:r>
      <w:r w:rsidRPr="009A1C5D">
        <w:rPr>
          <w:sz w:val="24"/>
          <w:szCs w:val="24"/>
        </w:rPr>
        <w:t xml:space="preserve"> fruit tree: Phytochemistry, pharmacology, nutritional and primary healthcare applications as herbal medicine: A review. </w:t>
      </w:r>
      <w:r w:rsidRPr="009A1C5D">
        <w:rPr>
          <w:i/>
          <w:iCs/>
          <w:sz w:val="24"/>
          <w:szCs w:val="24"/>
        </w:rPr>
        <w:t>Research Journal of Medicinal Plants, 11</w:t>
      </w:r>
      <w:r w:rsidRPr="009A1C5D">
        <w:rPr>
          <w:sz w:val="24"/>
          <w:szCs w:val="24"/>
        </w:rPr>
        <w:t xml:space="preserve">(4), 115–123. </w:t>
      </w:r>
      <w:hyperlink r:id="rId72" w:history="1">
        <w:r w:rsidRPr="009A1C5D">
          <w:rPr>
            <w:color w:val="0000FF"/>
            <w:sz w:val="24"/>
            <w:szCs w:val="24"/>
            <w:u w:val="single"/>
          </w:rPr>
          <w:t>https://doi.org/10.3923/rjmp.2017.115.123</w:t>
        </w:r>
      </w:hyperlink>
    </w:p>
    <w:p w14:paraId="6F08AAD0" w14:textId="29D5A0DD" w:rsidR="009A1C5D" w:rsidRPr="009A1C5D" w:rsidRDefault="009A1C5D" w:rsidP="009A1C5D">
      <w:pPr>
        <w:ind w:left="540" w:hanging="540"/>
        <w:jc w:val="both"/>
        <w:rPr>
          <w:sz w:val="24"/>
          <w:szCs w:val="24"/>
        </w:rPr>
      </w:pPr>
      <w:r w:rsidRPr="009A1C5D">
        <w:rPr>
          <w:sz w:val="24"/>
          <w:szCs w:val="24"/>
        </w:rPr>
        <w:t xml:space="preserve">Maroyi, A., &amp; Cheikhyoussef, A. (2017). Traditional knowledge of wild edible fruits in southern Africa: A comparative use patterns in Namibia and Zimbabwe. </w:t>
      </w:r>
      <w:r w:rsidRPr="009A1C5D">
        <w:rPr>
          <w:i/>
          <w:iCs/>
          <w:sz w:val="24"/>
          <w:szCs w:val="24"/>
        </w:rPr>
        <w:t>Indian Journal of Traditional Knowledge, 16</w:t>
      </w:r>
      <w:r w:rsidRPr="009A1C5D">
        <w:rPr>
          <w:sz w:val="24"/>
          <w:szCs w:val="24"/>
        </w:rPr>
        <w:t xml:space="preserve">(3), 385–392. </w:t>
      </w:r>
      <w:hyperlink r:id="rId73" w:history="1">
        <w:r w:rsidRPr="009A1C5D">
          <w:rPr>
            <w:color w:val="0000FF"/>
            <w:sz w:val="24"/>
            <w:szCs w:val="24"/>
            <w:u w:val="single"/>
          </w:rPr>
          <w:t>University of Namibia repository</w:t>
        </w:r>
      </w:hyperlink>
    </w:p>
    <w:p w14:paraId="3A8DEE5D" w14:textId="096E6EAB" w:rsidR="009A1C5D" w:rsidRPr="009A1C5D" w:rsidRDefault="009A1C5D" w:rsidP="009A1C5D">
      <w:pPr>
        <w:ind w:left="540" w:hanging="540"/>
        <w:jc w:val="both"/>
        <w:rPr>
          <w:sz w:val="24"/>
          <w:szCs w:val="24"/>
          <w:lang w:val="nl-BE"/>
        </w:rPr>
      </w:pPr>
      <w:r w:rsidRPr="009A1C5D">
        <w:rPr>
          <w:sz w:val="24"/>
          <w:szCs w:val="24"/>
        </w:rPr>
        <w:t xml:space="preserve">Mayer-Davis, E. J., Lawrence, J. M., Dabelea, D., Divers, J., Isom, S., Dolan, L., Imperatore, G., Linder, B., Marcovina, S., Pettitt, D. J., Pihoker, C., Saydah, S., &amp; Wagenknecht, L., for the SEARCH for Diabetes in Youth Study. (2017). Incidence trends of type 1 and type 2 diabetes among youths, 2002–2012. </w:t>
      </w:r>
      <w:r w:rsidRPr="009A1C5D">
        <w:rPr>
          <w:i/>
          <w:iCs/>
          <w:sz w:val="24"/>
          <w:szCs w:val="24"/>
        </w:rPr>
        <w:t>The New England Journal of Medicine, 376</w:t>
      </w:r>
      <w:r w:rsidRPr="009A1C5D">
        <w:rPr>
          <w:sz w:val="24"/>
          <w:szCs w:val="24"/>
        </w:rPr>
        <w:t xml:space="preserve">(15), 1419–1429. </w:t>
      </w:r>
      <w:hyperlink r:id="rId74" w:history="1">
        <w:r w:rsidRPr="009A1C5D">
          <w:rPr>
            <w:color w:val="0000FF"/>
            <w:sz w:val="24"/>
            <w:szCs w:val="24"/>
            <w:u w:val="single"/>
            <w:lang w:val="nl-BE"/>
          </w:rPr>
          <w:t>https://doi.org/10.1056/NEJMoa1610187</w:t>
        </w:r>
      </w:hyperlink>
    </w:p>
    <w:p w14:paraId="71FE48EA" w14:textId="1367189E" w:rsidR="009A1C5D" w:rsidRPr="009A1C5D" w:rsidRDefault="009A1C5D" w:rsidP="009A1C5D">
      <w:pPr>
        <w:ind w:left="540" w:hanging="540"/>
        <w:jc w:val="both"/>
        <w:rPr>
          <w:sz w:val="24"/>
          <w:szCs w:val="24"/>
        </w:rPr>
      </w:pPr>
      <w:r w:rsidRPr="009A1C5D">
        <w:rPr>
          <w:sz w:val="24"/>
          <w:szCs w:val="24"/>
          <w:lang w:val="nl-BE"/>
        </w:rPr>
        <w:t xml:space="preserve">McGrogan, A., Snowball, J., &amp; de Vries, C. S. (2014). </w:t>
      </w:r>
      <w:r w:rsidRPr="009A1C5D">
        <w:rPr>
          <w:sz w:val="24"/>
          <w:szCs w:val="24"/>
        </w:rPr>
        <w:t xml:space="preserve">Pregnancy losses in women with type 1 or type 2 diabetes in the UK: An investigation using primary care records. </w:t>
      </w:r>
      <w:r w:rsidRPr="009A1C5D">
        <w:rPr>
          <w:i/>
          <w:iCs/>
          <w:sz w:val="24"/>
          <w:szCs w:val="24"/>
        </w:rPr>
        <w:t>Diabetic Medicine, 31</w:t>
      </w:r>
      <w:r w:rsidRPr="009A1C5D">
        <w:rPr>
          <w:sz w:val="24"/>
          <w:szCs w:val="24"/>
        </w:rPr>
        <w:t xml:space="preserve">(3), 357–365. </w:t>
      </w:r>
      <w:hyperlink r:id="rId75" w:history="1">
        <w:r w:rsidRPr="009A1C5D">
          <w:rPr>
            <w:color w:val="0000FF"/>
            <w:sz w:val="24"/>
            <w:szCs w:val="24"/>
            <w:u w:val="single"/>
          </w:rPr>
          <w:t>https://doi.org/10.1111/dme.12332</w:t>
        </w:r>
      </w:hyperlink>
    </w:p>
    <w:p w14:paraId="43401EC3" w14:textId="3A4793A9" w:rsidR="009A1C5D" w:rsidRPr="009A1C5D" w:rsidRDefault="009A1C5D" w:rsidP="009A1C5D">
      <w:pPr>
        <w:ind w:left="540" w:hanging="540"/>
        <w:jc w:val="both"/>
        <w:rPr>
          <w:sz w:val="24"/>
          <w:szCs w:val="24"/>
        </w:rPr>
      </w:pPr>
      <w:r w:rsidRPr="009A1C5D">
        <w:rPr>
          <w:sz w:val="24"/>
          <w:szCs w:val="24"/>
        </w:rPr>
        <w:t xml:space="preserve">Michael, K. G., Onyia, L. U., &amp; Jidauna, S. B. (2015). Evaluation of phytochemicals in </w:t>
      </w:r>
      <w:r w:rsidRPr="009A1C5D">
        <w:rPr>
          <w:i/>
          <w:iCs/>
          <w:sz w:val="24"/>
          <w:szCs w:val="24"/>
        </w:rPr>
        <w:t>Azanza garckeana</w:t>
      </w:r>
      <w:r w:rsidRPr="009A1C5D">
        <w:rPr>
          <w:sz w:val="24"/>
          <w:szCs w:val="24"/>
        </w:rPr>
        <w:t xml:space="preserve"> (Gorontula) seed. </w:t>
      </w:r>
      <w:r w:rsidRPr="009A1C5D">
        <w:rPr>
          <w:i/>
          <w:iCs/>
          <w:sz w:val="24"/>
          <w:szCs w:val="24"/>
        </w:rPr>
        <w:t>IOSR Journal of Agriculture and Veterinary Science, 8</w:t>
      </w:r>
      <w:r w:rsidRPr="009A1C5D">
        <w:rPr>
          <w:sz w:val="24"/>
          <w:szCs w:val="24"/>
        </w:rPr>
        <w:t xml:space="preserve">(5), 71–74. </w:t>
      </w:r>
      <w:hyperlink r:id="rId76" w:history="1">
        <w:r w:rsidRPr="009A1C5D">
          <w:rPr>
            <w:color w:val="0000FF"/>
            <w:sz w:val="24"/>
            <w:szCs w:val="24"/>
            <w:u w:val="single"/>
          </w:rPr>
          <w:t>https://doi.org/10.9790/2380-08517174</w:t>
        </w:r>
      </w:hyperlink>
    </w:p>
    <w:p w14:paraId="0DE8EC18" w14:textId="1B2C6F0A" w:rsidR="009A1C5D" w:rsidRPr="009A1C5D" w:rsidRDefault="009A1C5D" w:rsidP="009A1C5D">
      <w:pPr>
        <w:ind w:left="540" w:hanging="540"/>
        <w:jc w:val="both"/>
        <w:rPr>
          <w:sz w:val="24"/>
          <w:szCs w:val="24"/>
        </w:rPr>
      </w:pPr>
      <w:r w:rsidRPr="009A1C5D">
        <w:rPr>
          <w:sz w:val="24"/>
          <w:szCs w:val="24"/>
        </w:rPr>
        <w:t xml:space="preserve">Momodu, I., Agoreyo, B., Okungbowa, S., Igiebor, S., &amp; Igbo, I. (2022). Phytochemical screening and proximate composition of aqueous-methanol pulp extract of </w:t>
      </w:r>
      <w:r w:rsidRPr="009A1C5D">
        <w:rPr>
          <w:i/>
          <w:iCs/>
          <w:sz w:val="24"/>
          <w:szCs w:val="24"/>
        </w:rPr>
        <w:t>Azanza garckeana</w:t>
      </w:r>
      <w:r w:rsidRPr="009A1C5D">
        <w:rPr>
          <w:sz w:val="24"/>
          <w:szCs w:val="24"/>
        </w:rPr>
        <w:t xml:space="preserve"> (Goron Tula). </w:t>
      </w:r>
      <w:r w:rsidRPr="009A1C5D">
        <w:rPr>
          <w:i/>
          <w:iCs/>
          <w:sz w:val="24"/>
          <w:szCs w:val="24"/>
        </w:rPr>
        <w:t>Dutse Journal of Pure and Applied Sciences, 7</w:t>
      </w:r>
      <w:r w:rsidRPr="009A1C5D">
        <w:rPr>
          <w:sz w:val="24"/>
          <w:szCs w:val="24"/>
        </w:rPr>
        <w:t xml:space="preserve">(4a), 194–200. </w:t>
      </w:r>
      <w:hyperlink r:id="rId77" w:history="1">
        <w:r w:rsidRPr="009A1C5D">
          <w:rPr>
            <w:color w:val="0000FF"/>
            <w:sz w:val="24"/>
            <w:szCs w:val="24"/>
            <w:u w:val="single"/>
          </w:rPr>
          <w:t>https://doi.org/10.4314/dujopas.v7i4a.20</w:t>
        </w:r>
      </w:hyperlink>
    </w:p>
    <w:p w14:paraId="3BB6129C" w14:textId="1332D26C" w:rsidR="009A1C5D" w:rsidRPr="009A1C5D" w:rsidRDefault="009A1C5D" w:rsidP="009A1C5D">
      <w:pPr>
        <w:ind w:left="540" w:hanging="540"/>
        <w:jc w:val="both"/>
        <w:rPr>
          <w:sz w:val="24"/>
          <w:szCs w:val="24"/>
        </w:rPr>
      </w:pPr>
      <w:r w:rsidRPr="009A1C5D">
        <w:rPr>
          <w:sz w:val="24"/>
          <w:szCs w:val="24"/>
        </w:rPr>
        <w:t xml:space="preserve">Nkafamiya, I. I., Ardo, B. P., Osemeahon, S. A., &amp; Akinterinwa, A. (2015). Evaluation of nutritional, non-nutritional, elemental content and amino acid profile of </w:t>
      </w:r>
      <w:r w:rsidRPr="009A1C5D">
        <w:rPr>
          <w:i/>
          <w:iCs/>
          <w:sz w:val="24"/>
          <w:szCs w:val="24"/>
        </w:rPr>
        <w:t>Azanza garckeana</w:t>
      </w:r>
      <w:r w:rsidRPr="009A1C5D">
        <w:rPr>
          <w:sz w:val="24"/>
          <w:szCs w:val="24"/>
        </w:rPr>
        <w:t xml:space="preserve"> (Goron Tula). </w:t>
      </w:r>
      <w:r w:rsidRPr="009A1C5D">
        <w:rPr>
          <w:i/>
          <w:iCs/>
          <w:sz w:val="24"/>
          <w:szCs w:val="24"/>
        </w:rPr>
        <w:t>British Journal of Applied Science &amp; Technology, 12</w:t>
      </w:r>
      <w:r w:rsidRPr="009A1C5D">
        <w:rPr>
          <w:sz w:val="24"/>
          <w:szCs w:val="24"/>
        </w:rPr>
        <w:t xml:space="preserve">(6), 1–10. </w:t>
      </w:r>
      <w:hyperlink r:id="rId78" w:history="1">
        <w:r w:rsidRPr="009A1C5D">
          <w:rPr>
            <w:color w:val="0000FF"/>
            <w:sz w:val="24"/>
            <w:szCs w:val="24"/>
            <w:u w:val="single"/>
          </w:rPr>
          <w:t>https://doi.org/10.9734/BJAST/2016/19811</w:t>
        </w:r>
      </w:hyperlink>
    </w:p>
    <w:p w14:paraId="52F4C5DC" w14:textId="12AC800B" w:rsidR="009A1C5D" w:rsidRPr="009A1C5D" w:rsidRDefault="009A1C5D" w:rsidP="009A1C5D">
      <w:pPr>
        <w:ind w:left="540" w:hanging="540"/>
        <w:jc w:val="both"/>
        <w:rPr>
          <w:sz w:val="24"/>
          <w:szCs w:val="24"/>
        </w:rPr>
      </w:pPr>
      <w:r w:rsidRPr="009A1C5D">
        <w:rPr>
          <w:sz w:val="24"/>
          <w:szCs w:val="24"/>
        </w:rPr>
        <w:t xml:space="preserve">Ochokwu, I. J., Onyia, L. U., &amp; Ajijola, K. O. (2014). Effect of </w:t>
      </w:r>
      <w:r w:rsidRPr="009A1C5D">
        <w:rPr>
          <w:i/>
          <w:iCs/>
          <w:sz w:val="24"/>
          <w:szCs w:val="24"/>
        </w:rPr>
        <w:t>Azanza garckeana</w:t>
      </w:r>
      <w:r w:rsidRPr="009A1C5D">
        <w:rPr>
          <w:sz w:val="24"/>
          <w:szCs w:val="24"/>
        </w:rPr>
        <w:t xml:space="preserve"> (Goron Tula) pulp meal inclusion on growth performance of </w:t>
      </w:r>
      <w:r w:rsidRPr="009A1C5D">
        <w:rPr>
          <w:i/>
          <w:iCs/>
          <w:sz w:val="24"/>
          <w:szCs w:val="24"/>
        </w:rPr>
        <w:t>Clarias gariepinus</w:t>
      </w:r>
      <w:r w:rsidRPr="009A1C5D">
        <w:rPr>
          <w:sz w:val="24"/>
          <w:szCs w:val="24"/>
        </w:rPr>
        <w:t xml:space="preserve"> broodstock (Burchell, 1822). </w:t>
      </w:r>
      <w:r w:rsidRPr="009A1C5D">
        <w:rPr>
          <w:i/>
          <w:iCs/>
          <w:sz w:val="24"/>
          <w:szCs w:val="24"/>
        </w:rPr>
        <w:t>Journal of Tropical Agriculture, 14</w:t>
      </w:r>
      <w:r w:rsidRPr="009A1C5D">
        <w:rPr>
          <w:sz w:val="24"/>
          <w:szCs w:val="24"/>
        </w:rPr>
        <w:t xml:space="preserve">, 134–146. </w:t>
      </w:r>
    </w:p>
    <w:p w14:paraId="135764F0" w14:textId="636489E5" w:rsidR="009A1C5D" w:rsidRPr="009A1C5D" w:rsidRDefault="009A1C5D" w:rsidP="009A1C5D">
      <w:pPr>
        <w:ind w:left="540" w:hanging="540"/>
        <w:jc w:val="both"/>
        <w:rPr>
          <w:sz w:val="24"/>
          <w:szCs w:val="24"/>
        </w:rPr>
      </w:pPr>
      <w:r w:rsidRPr="009A1C5D">
        <w:rPr>
          <w:sz w:val="24"/>
          <w:szCs w:val="24"/>
          <w:lang w:val="nl-BE"/>
        </w:rPr>
        <w:t xml:space="preserve">Ochokwu, I. J., Nwabunike, M. O., &amp; Udeh, G. N. (2019). </w:t>
      </w:r>
      <w:r w:rsidRPr="009A1C5D">
        <w:rPr>
          <w:sz w:val="24"/>
          <w:szCs w:val="24"/>
        </w:rPr>
        <w:t xml:space="preserve">Evaluation of milt quality of </w:t>
      </w:r>
      <w:r w:rsidRPr="009A1C5D">
        <w:rPr>
          <w:i/>
          <w:iCs/>
          <w:sz w:val="24"/>
          <w:szCs w:val="24"/>
        </w:rPr>
        <w:t>Clarias anguillaris</w:t>
      </w:r>
      <w:r w:rsidRPr="009A1C5D">
        <w:rPr>
          <w:sz w:val="24"/>
          <w:szCs w:val="24"/>
        </w:rPr>
        <w:t xml:space="preserve"> (Linnaeus, 1758) broodstock fed varying inclusion levels of wild hibiscus </w:t>
      </w:r>
      <w:r w:rsidRPr="009A1C5D">
        <w:rPr>
          <w:i/>
          <w:iCs/>
          <w:sz w:val="24"/>
          <w:szCs w:val="24"/>
        </w:rPr>
        <w:t>Azanza garckeana</w:t>
      </w:r>
      <w:r w:rsidRPr="009A1C5D">
        <w:rPr>
          <w:sz w:val="24"/>
          <w:szCs w:val="24"/>
        </w:rPr>
        <w:t xml:space="preserve"> pulp meal. </w:t>
      </w:r>
      <w:r w:rsidRPr="009A1C5D">
        <w:rPr>
          <w:i/>
          <w:iCs/>
          <w:sz w:val="24"/>
          <w:szCs w:val="24"/>
        </w:rPr>
        <w:t>Journal of Aquatic Sciences, 34</w:t>
      </w:r>
      <w:r w:rsidRPr="009A1C5D">
        <w:rPr>
          <w:sz w:val="24"/>
          <w:szCs w:val="24"/>
        </w:rPr>
        <w:t xml:space="preserve">(1), 23–31. </w:t>
      </w:r>
      <w:hyperlink r:id="rId79" w:history="1">
        <w:r w:rsidRPr="009A1C5D">
          <w:rPr>
            <w:color w:val="0000FF"/>
            <w:sz w:val="24"/>
            <w:szCs w:val="24"/>
            <w:u w:val="single"/>
          </w:rPr>
          <w:t>https://doi.org/10.4314/jas.v34i1.4</w:t>
        </w:r>
      </w:hyperlink>
    </w:p>
    <w:p w14:paraId="1AC800C4" w14:textId="14E903B8" w:rsidR="009A1C5D" w:rsidRPr="009A1C5D" w:rsidRDefault="009A1C5D" w:rsidP="009A1C5D">
      <w:pPr>
        <w:ind w:left="540" w:hanging="540"/>
        <w:jc w:val="both"/>
        <w:rPr>
          <w:sz w:val="24"/>
          <w:szCs w:val="24"/>
        </w:rPr>
      </w:pPr>
      <w:r w:rsidRPr="009A1C5D">
        <w:rPr>
          <w:sz w:val="24"/>
          <w:szCs w:val="24"/>
        </w:rPr>
        <w:lastRenderedPageBreak/>
        <w:t xml:space="preserve">OECD. (2021). </w:t>
      </w:r>
      <w:r w:rsidRPr="009A1C5D">
        <w:rPr>
          <w:i/>
          <w:iCs/>
          <w:sz w:val="24"/>
          <w:szCs w:val="24"/>
        </w:rPr>
        <w:t>Test No. 455: Performance-based test guideline for stably transfected transactivation in vitro assays to detect estrogen receptor agonists and antagonists</w:t>
      </w:r>
      <w:r w:rsidRPr="009A1C5D">
        <w:rPr>
          <w:sz w:val="24"/>
          <w:szCs w:val="24"/>
        </w:rPr>
        <w:t xml:space="preserve">. OECD Publishing. </w:t>
      </w:r>
      <w:hyperlink r:id="rId80" w:history="1">
        <w:r w:rsidRPr="009A1C5D">
          <w:rPr>
            <w:color w:val="0000FF"/>
            <w:sz w:val="24"/>
            <w:szCs w:val="24"/>
            <w:u w:val="single"/>
          </w:rPr>
          <w:t>https://doi.org/10.1787/9789264265295-en</w:t>
        </w:r>
      </w:hyperlink>
    </w:p>
    <w:p w14:paraId="05D20DD0" w14:textId="0613B6D4" w:rsidR="009A1C5D" w:rsidRPr="009A1C5D" w:rsidRDefault="009A1C5D" w:rsidP="009A1C5D">
      <w:pPr>
        <w:ind w:left="540" w:hanging="540"/>
        <w:jc w:val="both"/>
        <w:rPr>
          <w:sz w:val="24"/>
          <w:szCs w:val="24"/>
        </w:rPr>
      </w:pPr>
      <w:r w:rsidRPr="009A1C5D">
        <w:rPr>
          <w:sz w:val="24"/>
          <w:szCs w:val="24"/>
        </w:rPr>
        <w:t xml:space="preserve">OECD. (2002). </w:t>
      </w:r>
      <w:r w:rsidRPr="009A1C5D">
        <w:rPr>
          <w:i/>
          <w:iCs/>
          <w:sz w:val="24"/>
          <w:szCs w:val="24"/>
        </w:rPr>
        <w:t>Test No. 423: Acute oral toxicity—Acute toxic class method</w:t>
      </w:r>
      <w:r w:rsidRPr="009A1C5D">
        <w:rPr>
          <w:sz w:val="24"/>
          <w:szCs w:val="24"/>
        </w:rPr>
        <w:t xml:space="preserve">. OECD Publishing. </w:t>
      </w:r>
      <w:hyperlink r:id="rId81" w:history="1">
        <w:r w:rsidRPr="009A1C5D">
          <w:rPr>
            <w:color w:val="0000FF"/>
            <w:sz w:val="24"/>
            <w:szCs w:val="24"/>
            <w:u w:val="single"/>
          </w:rPr>
          <w:t>https://doi.org/10.1787/9789264071001-en</w:t>
        </w:r>
      </w:hyperlink>
    </w:p>
    <w:p w14:paraId="66689749" w14:textId="18FE39A6" w:rsidR="009A1C5D" w:rsidRPr="009A1C5D" w:rsidRDefault="009A1C5D" w:rsidP="009A1C5D">
      <w:pPr>
        <w:ind w:left="540" w:hanging="540"/>
        <w:jc w:val="both"/>
        <w:rPr>
          <w:sz w:val="24"/>
          <w:szCs w:val="24"/>
        </w:rPr>
      </w:pPr>
      <w:r w:rsidRPr="009A1C5D">
        <w:rPr>
          <w:sz w:val="24"/>
          <w:szCs w:val="24"/>
        </w:rPr>
        <w:t xml:space="preserve">Olson, H., Betton, G., Robinson, D., Thomas, K., Monro, A., Kolaja, G., Lilly, P., Sanders, J., Sipes, G., Bracken, W., Dorato, M., Van Deun, K., Smith, P., Berger, B., &amp; Heller, A. (2000). Concordance of the toxicity of pharmaceuticals in humans and in animals. </w:t>
      </w:r>
      <w:r w:rsidRPr="009A1C5D">
        <w:rPr>
          <w:i/>
          <w:iCs/>
          <w:sz w:val="24"/>
          <w:szCs w:val="24"/>
        </w:rPr>
        <w:t>Regulatory Toxicology and Pharmacology, 32</w:t>
      </w:r>
      <w:r w:rsidRPr="009A1C5D">
        <w:rPr>
          <w:sz w:val="24"/>
          <w:szCs w:val="24"/>
        </w:rPr>
        <w:t xml:space="preserve">(1), 56–67. </w:t>
      </w:r>
      <w:hyperlink r:id="rId82" w:history="1">
        <w:r w:rsidRPr="009A1C5D">
          <w:rPr>
            <w:color w:val="0000FF"/>
            <w:sz w:val="24"/>
            <w:szCs w:val="24"/>
            <w:u w:val="single"/>
          </w:rPr>
          <w:t>https://doi.org/10.1006/rtph.2000.1399</w:t>
        </w:r>
      </w:hyperlink>
    </w:p>
    <w:p w14:paraId="5580CA99" w14:textId="7AD83201" w:rsidR="009A1C5D" w:rsidRPr="009A1C5D" w:rsidRDefault="009A1C5D" w:rsidP="009A1C5D">
      <w:pPr>
        <w:ind w:left="540" w:hanging="540"/>
        <w:jc w:val="both"/>
        <w:rPr>
          <w:sz w:val="24"/>
          <w:szCs w:val="24"/>
        </w:rPr>
      </w:pPr>
      <w:r w:rsidRPr="009A1C5D">
        <w:rPr>
          <w:sz w:val="24"/>
          <w:szCs w:val="24"/>
        </w:rPr>
        <w:t xml:space="preserve">Ombelet, W., Cooke, I., Dyer, S., Serour, G., &amp; Devroey, P. (2008). Infertility and the provision of infertility medical services in developing countries. </w:t>
      </w:r>
      <w:r w:rsidRPr="009A1C5D">
        <w:rPr>
          <w:i/>
          <w:iCs/>
          <w:sz w:val="24"/>
          <w:szCs w:val="24"/>
        </w:rPr>
        <w:t>Human Reproduction Update, 14</w:t>
      </w:r>
      <w:r w:rsidRPr="009A1C5D">
        <w:rPr>
          <w:sz w:val="24"/>
          <w:szCs w:val="24"/>
        </w:rPr>
        <w:t xml:space="preserve">(6), 605–621. </w:t>
      </w:r>
      <w:hyperlink r:id="rId83" w:history="1">
        <w:r w:rsidRPr="009A1C5D">
          <w:rPr>
            <w:color w:val="0000FF"/>
            <w:sz w:val="24"/>
            <w:szCs w:val="24"/>
            <w:u w:val="single"/>
          </w:rPr>
          <w:t>https://doi.org/10.1093/humupd/dmn042</w:t>
        </w:r>
      </w:hyperlink>
    </w:p>
    <w:p w14:paraId="48E92BD2" w14:textId="3E956C53" w:rsidR="009A1C5D" w:rsidRPr="009A1C5D" w:rsidRDefault="009A1C5D" w:rsidP="009A1C5D">
      <w:pPr>
        <w:ind w:left="540" w:hanging="540"/>
        <w:jc w:val="both"/>
        <w:rPr>
          <w:sz w:val="24"/>
          <w:szCs w:val="24"/>
        </w:rPr>
      </w:pPr>
      <w:r w:rsidRPr="009A1C5D">
        <w:rPr>
          <w:sz w:val="24"/>
          <w:szCs w:val="24"/>
        </w:rPr>
        <w:t xml:space="preserve">Onyia, L. U., Ochokwu, I. J., Diyaware, M. Y., &amp; Michael, K. G. (2015). Effects of </w:t>
      </w:r>
      <w:r w:rsidRPr="009A1C5D">
        <w:rPr>
          <w:i/>
          <w:iCs/>
          <w:sz w:val="24"/>
          <w:szCs w:val="24"/>
        </w:rPr>
        <w:t>Azanza garckeana</w:t>
      </w:r>
      <w:r w:rsidRPr="009A1C5D">
        <w:rPr>
          <w:sz w:val="24"/>
          <w:szCs w:val="24"/>
        </w:rPr>
        <w:t xml:space="preserve"> on egg quality of African catfish (</w:t>
      </w:r>
      <w:r w:rsidRPr="009A1C5D">
        <w:rPr>
          <w:i/>
          <w:iCs/>
          <w:sz w:val="24"/>
          <w:szCs w:val="24"/>
        </w:rPr>
        <w:t>Clarias gariepinus</w:t>
      </w:r>
      <w:r w:rsidRPr="009A1C5D">
        <w:rPr>
          <w:sz w:val="24"/>
          <w:szCs w:val="24"/>
        </w:rPr>
        <w:t xml:space="preserve">, Burchell 1822) broodstock. </w:t>
      </w:r>
      <w:r w:rsidRPr="009A1C5D">
        <w:rPr>
          <w:i/>
          <w:iCs/>
          <w:sz w:val="24"/>
          <w:szCs w:val="24"/>
        </w:rPr>
        <w:t>International Journal of Fisheries and Aquatic Sciences, 4</w:t>
      </w:r>
      <w:r w:rsidRPr="009A1C5D">
        <w:rPr>
          <w:sz w:val="24"/>
          <w:szCs w:val="24"/>
        </w:rPr>
        <w:t xml:space="preserve">(2), 35–39. </w:t>
      </w:r>
      <w:hyperlink r:id="rId84" w:history="1">
        <w:r w:rsidRPr="009A1C5D">
          <w:rPr>
            <w:color w:val="0000FF"/>
            <w:sz w:val="24"/>
            <w:szCs w:val="24"/>
            <w:u w:val="single"/>
          </w:rPr>
          <w:t>https://doi.org/10.19026/ijfas.4.2204</w:t>
        </w:r>
      </w:hyperlink>
    </w:p>
    <w:p w14:paraId="3442E1C5" w14:textId="208D9F8C" w:rsidR="009A1C5D" w:rsidRPr="009A1C5D" w:rsidRDefault="009A1C5D" w:rsidP="009A1C5D">
      <w:pPr>
        <w:ind w:left="540" w:hanging="540"/>
        <w:jc w:val="both"/>
        <w:rPr>
          <w:sz w:val="24"/>
          <w:szCs w:val="24"/>
        </w:rPr>
      </w:pPr>
      <w:r w:rsidRPr="009A1C5D">
        <w:rPr>
          <w:sz w:val="24"/>
          <w:szCs w:val="24"/>
        </w:rPr>
        <w:t xml:space="preserve">Orwa, C., Mutua, A., Kindt, R., Jamnadass, R., &amp; Simons, A. (2009). </w:t>
      </w:r>
      <w:r w:rsidRPr="009A1C5D">
        <w:rPr>
          <w:i/>
          <w:iCs/>
          <w:sz w:val="24"/>
          <w:szCs w:val="24"/>
        </w:rPr>
        <w:t>Agroforestree database: A tree reference and selection guide</w:t>
      </w:r>
      <w:r w:rsidRPr="009A1C5D">
        <w:rPr>
          <w:sz w:val="24"/>
          <w:szCs w:val="24"/>
        </w:rPr>
        <w:t xml:space="preserve"> (Version 4.0). World Agroforestry Centre. </w:t>
      </w:r>
      <w:hyperlink r:id="rId85" w:history="1">
        <w:r w:rsidRPr="009A1C5D">
          <w:rPr>
            <w:color w:val="0000FF"/>
            <w:sz w:val="24"/>
            <w:szCs w:val="24"/>
            <w:u w:val="single"/>
          </w:rPr>
          <w:t>CIFOR-ICRAF publication page</w:t>
        </w:r>
      </w:hyperlink>
    </w:p>
    <w:p w14:paraId="04DC0B2D" w14:textId="027F035C" w:rsidR="009A1C5D" w:rsidRPr="009A1C5D" w:rsidRDefault="009A1C5D" w:rsidP="009A1C5D">
      <w:pPr>
        <w:ind w:left="540" w:hanging="540"/>
        <w:jc w:val="both"/>
        <w:rPr>
          <w:sz w:val="24"/>
          <w:szCs w:val="24"/>
        </w:rPr>
      </w:pPr>
      <w:r w:rsidRPr="009A1C5D">
        <w:rPr>
          <w:sz w:val="24"/>
          <w:szCs w:val="24"/>
        </w:rPr>
        <w:t xml:space="preserve">Livshits, A., &amp; Seidman, D. S. (2009). Fertility issues in women with diabetes. </w:t>
      </w:r>
      <w:r w:rsidRPr="009A1C5D">
        <w:rPr>
          <w:i/>
          <w:iCs/>
          <w:sz w:val="24"/>
          <w:szCs w:val="24"/>
        </w:rPr>
        <w:t>Women’s Health, 5</w:t>
      </w:r>
      <w:r w:rsidRPr="009A1C5D">
        <w:rPr>
          <w:sz w:val="24"/>
          <w:szCs w:val="24"/>
        </w:rPr>
        <w:t xml:space="preserve">(6), 701–707. </w:t>
      </w:r>
      <w:hyperlink r:id="rId86" w:history="1">
        <w:r w:rsidRPr="009A1C5D">
          <w:rPr>
            <w:color w:val="0000FF"/>
            <w:sz w:val="24"/>
            <w:szCs w:val="24"/>
            <w:u w:val="single"/>
          </w:rPr>
          <w:t>https://doi.org/10.2217/whe.09.47</w:t>
        </w:r>
      </w:hyperlink>
    </w:p>
    <w:p w14:paraId="08A57134" w14:textId="7F31B5A1" w:rsidR="009A1C5D" w:rsidRPr="009A1C5D" w:rsidRDefault="009A1C5D" w:rsidP="009A1C5D">
      <w:pPr>
        <w:ind w:left="540" w:hanging="540"/>
        <w:jc w:val="both"/>
        <w:rPr>
          <w:sz w:val="24"/>
          <w:szCs w:val="24"/>
        </w:rPr>
      </w:pPr>
      <w:r w:rsidRPr="009A1C5D">
        <w:rPr>
          <w:sz w:val="24"/>
          <w:szCs w:val="24"/>
        </w:rPr>
        <w:t xml:space="preserve">Parasuraman, S. (2011). Toxicological screening. </w:t>
      </w:r>
      <w:r w:rsidRPr="009A1C5D">
        <w:rPr>
          <w:i/>
          <w:iCs/>
          <w:sz w:val="24"/>
          <w:szCs w:val="24"/>
        </w:rPr>
        <w:t>Journal of Pharmacology &amp; Pharmacotherapeutics, 2</w:t>
      </w:r>
      <w:r w:rsidRPr="009A1C5D">
        <w:rPr>
          <w:sz w:val="24"/>
          <w:szCs w:val="24"/>
        </w:rPr>
        <w:t xml:space="preserve">(2), 74–79. </w:t>
      </w:r>
      <w:hyperlink r:id="rId87" w:history="1">
        <w:r w:rsidRPr="009A1C5D">
          <w:rPr>
            <w:color w:val="0000FF"/>
            <w:sz w:val="24"/>
            <w:szCs w:val="24"/>
            <w:u w:val="single"/>
          </w:rPr>
          <w:t>https://doi.org/10.4103/0976-500X.81895</w:t>
        </w:r>
      </w:hyperlink>
    </w:p>
    <w:p w14:paraId="4DF47FAD" w14:textId="2480CF54" w:rsidR="009A1C5D" w:rsidRPr="009A1C5D" w:rsidRDefault="009A1C5D" w:rsidP="009A1C5D">
      <w:pPr>
        <w:ind w:left="540" w:hanging="540"/>
        <w:jc w:val="both"/>
        <w:rPr>
          <w:sz w:val="24"/>
          <w:szCs w:val="24"/>
        </w:rPr>
      </w:pPr>
      <w:r w:rsidRPr="009A1C5D">
        <w:rPr>
          <w:sz w:val="24"/>
          <w:szCs w:val="24"/>
        </w:rPr>
        <w:t xml:space="preserve">Pelliccione, F., Micillo, A., Cordeschi, G., D’Angeli, A., Necozione, S., Gandini, L., Lenzi, A., Francavilla, F., &amp; Francavilla, S. (2011). Altered ultrastructure of mitochondrial membranes is strongly associated with unexplained asthenozoospermia. </w:t>
      </w:r>
      <w:r w:rsidRPr="009A1C5D">
        <w:rPr>
          <w:i/>
          <w:iCs/>
          <w:sz w:val="24"/>
          <w:szCs w:val="24"/>
        </w:rPr>
        <w:t>Fertility and Sterility, 95</w:t>
      </w:r>
      <w:r w:rsidRPr="009A1C5D">
        <w:rPr>
          <w:sz w:val="24"/>
          <w:szCs w:val="24"/>
        </w:rPr>
        <w:t xml:space="preserve">(2), 641–646. </w:t>
      </w:r>
      <w:hyperlink r:id="rId88" w:history="1">
        <w:r w:rsidRPr="009A1C5D">
          <w:rPr>
            <w:color w:val="0000FF"/>
            <w:sz w:val="24"/>
            <w:szCs w:val="24"/>
            <w:u w:val="single"/>
          </w:rPr>
          <w:t>https://doi.org/10.1016/j.fertnstert.2010.07.1086</w:t>
        </w:r>
      </w:hyperlink>
    </w:p>
    <w:p w14:paraId="37D2FAFF" w14:textId="26CCC2AB" w:rsidR="009A1C5D" w:rsidRPr="009A1C5D" w:rsidRDefault="009A1C5D" w:rsidP="009A1C5D">
      <w:pPr>
        <w:ind w:left="540" w:hanging="540"/>
        <w:jc w:val="both"/>
        <w:rPr>
          <w:sz w:val="24"/>
          <w:szCs w:val="24"/>
        </w:rPr>
      </w:pPr>
      <w:r w:rsidRPr="009A1C5D">
        <w:rPr>
          <w:sz w:val="24"/>
          <w:szCs w:val="24"/>
        </w:rPr>
        <w:t xml:space="preserve">Barnes, S. B., &amp; Ramanarayanan, D. (2022). </w:t>
      </w:r>
      <w:r w:rsidRPr="009A1C5D">
        <w:rPr>
          <w:i/>
          <w:iCs/>
          <w:sz w:val="24"/>
          <w:szCs w:val="24"/>
        </w:rPr>
        <w:t>The global care economy</w:t>
      </w:r>
      <w:r w:rsidRPr="009A1C5D">
        <w:rPr>
          <w:sz w:val="24"/>
          <w:szCs w:val="24"/>
        </w:rPr>
        <w:t>. Global Health &amp; Gender Policy Brief, Wilson Center.</w:t>
      </w:r>
    </w:p>
    <w:p w14:paraId="33F3D8BC" w14:textId="251A348F" w:rsidR="009A1C5D" w:rsidRPr="009A1C5D" w:rsidRDefault="009A1C5D" w:rsidP="009A1C5D">
      <w:pPr>
        <w:ind w:left="540" w:hanging="540"/>
        <w:jc w:val="both"/>
        <w:rPr>
          <w:sz w:val="24"/>
          <w:szCs w:val="24"/>
        </w:rPr>
      </w:pPr>
      <w:r w:rsidRPr="009A1C5D">
        <w:rPr>
          <w:sz w:val="24"/>
          <w:szCs w:val="24"/>
          <w:lang w:val="nl-BE"/>
        </w:rPr>
        <w:t xml:space="preserve">Schweiger, B., Klingensmith, G. J., &amp; Snell-Bergeon, J. K. (2010). </w:t>
      </w:r>
      <w:r w:rsidRPr="009A1C5D">
        <w:rPr>
          <w:sz w:val="24"/>
          <w:szCs w:val="24"/>
        </w:rPr>
        <w:t xml:space="preserve">Menarchal timing in type 1 diabetes through the last 4 decades. </w:t>
      </w:r>
      <w:r w:rsidRPr="009A1C5D">
        <w:rPr>
          <w:i/>
          <w:iCs/>
          <w:sz w:val="24"/>
          <w:szCs w:val="24"/>
        </w:rPr>
        <w:t>Diabetes Care, 33</w:t>
      </w:r>
      <w:r w:rsidRPr="009A1C5D">
        <w:rPr>
          <w:sz w:val="24"/>
          <w:szCs w:val="24"/>
        </w:rPr>
        <w:t xml:space="preserve">(12), 2521–2523. </w:t>
      </w:r>
      <w:hyperlink r:id="rId89" w:history="1">
        <w:r w:rsidRPr="009A1C5D">
          <w:rPr>
            <w:color w:val="0000FF"/>
            <w:sz w:val="24"/>
            <w:szCs w:val="24"/>
            <w:u w:val="single"/>
          </w:rPr>
          <w:t>https://doi.org/10.2337/dc10-0872</w:t>
        </w:r>
      </w:hyperlink>
    </w:p>
    <w:p w14:paraId="2CCE84CE" w14:textId="3E6D092C" w:rsidR="009A1C5D" w:rsidRPr="009A1C5D" w:rsidRDefault="009A1C5D" w:rsidP="009A1C5D">
      <w:pPr>
        <w:ind w:left="540" w:hanging="540"/>
        <w:jc w:val="both"/>
        <w:rPr>
          <w:sz w:val="24"/>
          <w:szCs w:val="24"/>
        </w:rPr>
      </w:pPr>
      <w:r w:rsidRPr="009A1C5D">
        <w:rPr>
          <w:sz w:val="24"/>
          <w:szCs w:val="24"/>
        </w:rPr>
        <w:t xml:space="preserve">Sung, J. E., Choi, J. Y., Kim, J. E., Lee, H. A., Yun, W. B., Park, J. J., Kim, H. R., Song, B. R., Kim, D. S., Lee, C. Y., Lee, H. S., Lim, Y., &amp; Hwang, D. Y. (2017). Hepatotoxicity and nephrotoxicity of </w:t>
      </w:r>
      <w:r w:rsidRPr="009A1C5D">
        <w:rPr>
          <w:sz w:val="24"/>
          <w:szCs w:val="24"/>
        </w:rPr>
        <w:lastRenderedPageBreak/>
        <w:t xml:space="preserve">saponin-enriched extract of </w:t>
      </w:r>
      <w:r w:rsidRPr="009A1C5D">
        <w:rPr>
          <w:i/>
          <w:iCs/>
          <w:sz w:val="24"/>
          <w:szCs w:val="24"/>
        </w:rPr>
        <w:t>Asparagus cochinchinensis</w:t>
      </w:r>
      <w:r w:rsidRPr="009A1C5D">
        <w:rPr>
          <w:sz w:val="24"/>
          <w:szCs w:val="24"/>
        </w:rPr>
        <w:t xml:space="preserve"> in ICR mice. </w:t>
      </w:r>
      <w:r w:rsidRPr="009A1C5D">
        <w:rPr>
          <w:i/>
          <w:iCs/>
          <w:sz w:val="24"/>
          <w:szCs w:val="24"/>
        </w:rPr>
        <w:t>Laboratory Animal Research, 33</w:t>
      </w:r>
      <w:r w:rsidRPr="009A1C5D">
        <w:rPr>
          <w:sz w:val="24"/>
          <w:szCs w:val="24"/>
        </w:rPr>
        <w:t xml:space="preserve">(2), 57–67. </w:t>
      </w:r>
      <w:hyperlink r:id="rId90" w:history="1">
        <w:r w:rsidRPr="009A1C5D">
          <w:rPr>
            <w:color w:val="0000FF"/>
            <w:sz w:val="24"/>
            <w:szCs w:val="24"/>
            <w:u w:val="single"/>
          </w:rPr>
          <w:t>https://doi.org/10.5625/lar.2017.33.2.57</w:t>
        </w:r>
      </w:hyperlink>
    </w:p>
    <w:p w14:paraId="09C9AAE1" w14:textId="70655EF9" w:rsidR="009A1C5D" w:rsidRPr="009A1C5D" w:rsidRDefault="009A1C5D" w:rsidP="009A1C5D">
      <w:pPr>
        <w:ind w:left="540" w:hanging="540"/>
        <w:jc w:val="both"/>
        <w:rPr>
          <w:sz w:val="24"/>
          <w:szCs w:val="24"/>
        </w:rPr>
      </w:pPr>
      <w:r w:rsidRPr="009A1C5D">
        <w:rPr>
          <w:sz w:val="24"/>
          <w:szCs w:val="24"/>
        </w:rPr>
        <w:t xml:space="preserve">Thoma, M., Fledderjohann, J., Cox, C., &amp; Kantum Adageba, R. (2021). Biological and social aspects of human infertility: A global perspective. In </w:t>
      </w:r>
      <w:r w:rsidRPr="009A1C5D">
        <w:rPr>
          <w:i/>
          <w:iCs/>
          <w:sz w:val="24"/>
          <w:szCs w:val="24"/>
        </w:rPr>
        <w:t>Oxford Research Encyclopedia of Global Public Health</w:t>
      </w:r>
      <w:r w:rsidRPr="009A1C5D">
        <w:rPr>
          <w:sz w:val="24"/>
          <w:szCs w:val="24"/>
        </w:rPr>
        <w:t xml:space="preserve">. Oxford University Press. </w:t>
      </w:r>
      <w:hyperlink r:id="rId91" w:history="1">
        <w:r w:rsidRPr="009A1C5D">
          <w:rPr>
            <w:color w:val="0000FF"/>
            <w:sz w:val="24"/>
            <w:szCs w:val="24"/>
            <w:u w:val="single"/>
          </w:rPr>
          <w:t>https://doi.org/10.1093/acrefore/9780190632366.013.184</w:t>
        </w:r>
      </w:hyperlink>
    </w:p>
    <w:p w14:paraId="18AD3DA0" w14:textId="65791A0F" w:rsidR="009A1C5D" w:rsidRPr="009A1C5D" w:rsidRDefault="009A1C5D" w:rsidP="009A1C5D">
      <w:pPr>
        <w:ind w:left="540" w:hanging="540"/>
        <w:jc w:val="both"/>
        <w:rPr>
          <w:sz w:val="24"/>
          <w:szCs w:val="24"/>
        </w:rPr>
      </w:pPr>
      <w:r w:rsidRPr="009A1C5D">
        <w:rPr>
          <w:sz w:val="24"/>
          <w:szCs w:val="24"/>
        </w:rPr>
        <w:t xml:space="preserve">Thong, E. P., Codner, E., Laven, J. S. E., &amp; Teede, H. (2020). Diabetes: A metabolic and reproductive disorder in women. </w:t>
      </w:r>
      <w:r w:rsidRPr="009A1C5D">
        <w:rPr>
          <w:i/>
          <w:iCs/>
          <w:sz w:val="24"/>
          <w:szCs w:val="24"/>
        </w:rPr>
        <w:t>The Lancet Diabetes &amp; Endocrinology, 8</w:t>
      </w:r>
      <w:r w:rsidRPr="009A1C5D">
        <w:rPr>
          <w:sz w:val="24"/>
          <w:szCs w:val="24"/>
        </w:rPr>
        <w:t xml:space="preserve">(2), 134–149. </w:t>
      </w:r>
      <w:hyperlink r:id="rId92" w:history="1">
        <w:r w:rsidRPr="009A1C5D">
          <w:rPr>
            <w:color w:val="0000FF"/>
            <w:sz w:val="24"/>
            <w:szCs w:val="24"/>
            <w:u w:val="single"/>
          </w:rPr>
          <w:t>https://doi.org/10.1016/S2213-8587(19)30345-6</w:t>
        </w:r>
      </w:hyperlink>
    </w:p>
    <w:p w14:paraId="4921EC54" w14:textId="13F15A0B" w:rsidR="009A1C5D" w:rsidRPr="009A1C5D" w:rsidRDefault="009A1C5D" w:rsidP="009A1C5D">
      <w:pPr>
        <w:ind w:left="540" w:hanging="540"/>
        <w:jc w:val="both"/>
        <w:rPr>
          <w:sz w:val="24"/>
          <w:szCs w:val="24"/>
        </w:rPr>
      </w:pPr>
      <w:r w:rsidRPr="009A1C5D">
        <w:rPr>
          <w:sz w:val="24"/>
          <w:szCs w:val="24"/>
        </w:rPr>
        <w:t xml:space="preserve">Ukwuani, A. N., Abubakar, M. G., Hassan, S. W., &amp; Agaie, B. M. (2012). Toxicological studies of hydromethanol leaves extract of </w:t>
      </w:r>
      <w:r w:rsidRPr="009A1C5D">
        <w:rPr>
          <w:i/>
          <w:iCs/>
          <w:sz w:val="24"/>
          <w:szCs w:val="24"/>
        </w:rPr>
        <w:t>Grewia crenata</w:t>
      </w:r>
      <w:r w:rsidRPr="009A1C5D">
        <w:rPr>
          <w:sz w:val="24"/>
          <w:szCs w:val="24"/>
        </w:rPr>
        <w:t xml:space="preserve">. </w:t>
      </w:r>
      <w:r w:rsidRPr="009A1C5D">
        <w:rPr>
          <w:i/>
          <w:iCs/>
          <w:sz w:val="24"/>
          <w:szCs w:val="24"/>
        </w:rPr>
        <w:t>International Journal of Pharmaceutical Sciences and Drug Research, 4</w:t>
      </w:r>
      <w:r w:rsidRPr="009A1C5D">
        <w:rPr>
          <w:sz w:val="24"/>
          <w:szCs w:val="24"/>
        </w:rPr>
        <w:t xml:space="preserve">(4), 245–249. </w:t>
      </w:r>
      <w:hyperlink r:id="rId93" w:history="1">
        <w:r w:rsidRPr="009A1C5D">
          <w:rPr>
            <w:color w:val="0000FF"/>
            <w:sz w:val="24"/>
            <w:szCs w:val="24"/>
            <w:u w:val="single"/>
          </w:rPr>
          <w:t>https://doi.org/10.25004/IJPSDR.2012.040405</w:t>
        </w:r>
      </w:hyperlink>
    </w:p>
    <w:p w14:paraId="35743E1D" w14:textId="374271B3" w:rsidR="009A1C5D" w:rsidRPr="009A1C5D" w:rsidRDefault="009A1C5D" w:rsidP="009A1C5D">
      <w:pPr>
        <w:ind w:left="540" w:hanging="540"/>
        <w:jc w:val="both"/>
        <w:rPr>
          <w:sz w:val="24"/>
          <w:szCs w:val="24"/>
        </w:rPr>
      </w:pPr>
      <w:r w:rsidRPr="009A1C5D">
        <w:rPr>
          <w:sz w:val="24"/>
          <w:szCs w:val="24"/>
        </w:rPr>
        <w:t xml:space="preserve">Wasilewski, T., Łukaszewicz-Zając, M., Wasilewska, J., &amp; Mroczko, B. (2020). Biochemistry of infertility. </w:t>
      </w:r>
      <w:r w:rsidRPr="009A1C5D">
        <w:rPr>
          <w:i/>
          <w:iCs/>
          <w:sz w:val="24"/>
          <w:szCs w:val="24"/>
        </w:rPr>
        <w:t>Clinica Chimica Acta, 508</w:t>
      </w:r>
      <w:r w:rsidRPr="009A1C5D">
        <w:rPr>
          <w:sz w:val="24"/>
          <w:szCs w:val="24"/>
        </w:rPr>
        <w:t xml:space="preserve">, 185–190. </w:t>
      </w:r>
      <w:hyperlink r:id="rId94" w:history="1">
        <w:r w:rsidRPr="009A1C5D">
          <w:rPr>
            <w:color w:val="0000FF"/>
            <w:sz w:val="24"/>
            <w:szCs w:val="24"/>
            <w:u w:val="single"/>
          </w:rPr>
          <w:t>https://doi.org/10.1016/j.cca.2020.05.039</w:t>
        </w:r>
      </w:hyperlink>
    </w:p>
    <w:p w14:paraId="477FB214" w14:textId="25312B60" w:rsidR="009A1C5D" w:rsidRPr="009A1C5D" w:rsidRDefault="009A1C5D" w:rsidP="009A1C5D">
      <w:pPr>
        <w:ind w:left="540" w:hanging="540"/>
        <w:jc w:val="both"/>
        <w:rPr>
          <w:sz w:val="24"/>
          <w:szCs w:val="24"/>
        </w:rPr>
      </w:pPr>
      <w:r w:rsidRPr="009A1C5D">
        <w:rPr>
          <w:sz w:val="24"/>
          <w:szCs w:val="24"/>
          <w:lang w:val="nl-BE"/>
        </w:rPr>
        <w:t xml:space="preserve">Wei, Y., Xu, Q., Yang, H., Yang, Y., Wang, L., Chen, H., Anderson, C., Liu, X., Song, G., Li, Q., Wang, Q., Shen, H., Zhang, Y., Yan, D., Peng, Z., He, Y., Wang, Y., Zhang, Y., Zhang, H., &amp; Ma, X. (2019). </w:t>
      </w:r>
      <w:r w:rsidRPr="009A1C5D">
        <w:rPr>
          <w:sz w:val="24"/>
          <w:szCs w:val="24"/>
        </w:rPr>
        <w:t xml:space="preserve">Preconception diabetes mellitus and adverse pregnancy outcomes in over 6.4 million women: A population-based cohort study in China. </w:t>
      </w:r>
      <w:r w:rsidRPr="009A1C5D">
        <w:rPr>
          <w:i/>
          <w:iCs/>
          <w:sz w:val="24"/>
          <w:szCs w:val="24"/>
        </w:rPr>
        <w:t>PLOS Medicine, 16</w:t>
      </w:r>
      <w:r w:rsidRPr="009A1C5D">
        <w:rPr>
          <w:sz w:val="24"/>
          <w:szCs w:val="24"/>
        </w:rPr>
        <w:t xml:space="preserve">(10), e1002926. </w:t>
      </w:r>
      <w:hyperlink r:id="rId95" w:history="1">
        <w:r w:rsidRPr="009A1C5D">
          <w:rPr>
            <w:color w:val="0000FF"/>
            <w:sz w:val="24"/>
            <w:szCs w:val="24"/>
            <w:u w:val="single"/>
          </w:rPr>
          <w:t>https://doi.org/10.1371/journal.pmed.1002926</w:t>
        </w:r>
      </w:hyperlink>
    </w:p>
    <w:p w14:paraId="08DF976A" w14:textId="03DD6E09" w:rsidR="009A1C5D" w:rsidRPr="009A1C5D" w:rsidRDefault="009A1C5D" w:rsidP="009A1C5D">
      <w:pPr>
        <w:ind w:left="540" w:hanging="540"/>
        <w:jc w:val="both"/>
        <w:rPr>
          <w:sz w:val="24"/>
          <w:szCs w:val="24"/>
        </w:rPr>
      </w:pPr>
      <w:r w:rsidRPr="009A1C5D">
        <w:rPr>
          <w:sz w:val="24"/>
          <w:szCs w:val="24"/>
        </w:rPr>
        <w:t xml:space="preserve">Whitworth, K. W., Baird, D. D., Stene, L. C., Skjaerven, R., &amp; Longnecker, M. P. (2011). Fecundability among women with type 1 and type 2 diabetes in the Norwegian Mother and Child Cohort Study. </w:t>
      </w:r>
      <w:r w:rsidRPr="009A1C5D">
        <w:rPr>
          <w:i/>
          <w:iCs/>
          <w:sz w:val="24"/>
          <w:szCs w:val="24"/>
        </w:rPr>
        <w:t>Diabetologia, 54</w:t>
      </w:r>
      <w:r w:rsidRPr="009A1C5D">
        <w:rPr>
          <w:sz w:val="24"/>
          <w:szCs w:val="24"/>
        </w:rPr>
        <w:t xml:space="preserve">(3), 516–522. </w:t>
      </w:r>
      <w:hyperlink r:id="rId96" w:history="1">
        <w:r w:rsidRPr="009A1C5D">
          <w:rPr>
            <w:color w:val="0000FF"/>
            <w:sz w:val="24"/>
            <w:szCs w:val="24"/>
            <w:u w:val="single"/>
          </w:rPr>
          <w:t>https://doi.org/10.1007/s00125-010-2003-6</w:t>
        </w:r>
      </w:hyperlink>
    </w:p>
    <w:p w14:paraId="04C07170" w14:textId="239E4C38" w:rsidR="009A1C5D" w:rsidRPr="009A1C5D" w:rsidRDefault="009A1C5D" w:rsidP="009A1C5D">
      <w:pPr>
        <w:ind w:left="540" w:hanging="540"/>
        <w:jc w:val="both"/>
        <w:rPr>
          <w:sz w:val="24"/>
          <w:szCs w:val="24"/>
        </w:rPr>
      </w:pPr>
      <w:r w:rsidRPr="009A1C5D">
        <w:rPr>
          <w:sz w:val="24"/>
          <w:szCs w:val="24"/>
        </w:rPr>
        <w:t xml:space="preserve">World Bank. (2022). </w:t>
      </w:r>
      <w:r w:rsidRPr="009A1C5D">
        <w:rPr>
          <w:i/>
          <w:iCs/>
          <w:sz w:val="24"/>
          <w:szCs w:val="24"/>
        </w:rPr>
        <w:t>World Development Indicators</w:t>
      </w:r>
      <w:r w:rsidRPr="009A1C5D">
        <w:rPr>
          <w:sz w:val="24"/>
          <w:szCs w:val="24"/>
        </w:rPr>
        <w:t xml:space="preserve"> [Data set]. World Bank.</w:t>
      </w:r>
    </w:p>
    <w:p w14:paraId="65CC8471" w14:textId="72E88141" w:rsidR="009A1C5D" w:rsidRPr="009A1C5D" w:rsidRDefault="009A1C5D" w:rsidP="009A1C5D">
      <w:pPr>
        <w:ind w:left="540" w:hanging="540"/>
        <w:jc w:val="both"/>
        <w:rPr>
          <w:sz w:val="24"/>
          <w:szCs w:val="24"/>
        </w:rPr>
      </w:pPr>
      <w:r w:rsidRPr="009A1C5D">
        <w:rPr>
          <w:sz w:val="24"/>
          <w:szCs w:val="24"/>
        </w:rPr>
        <w:t xml:space="preserve">World Health Organization. (2021). WHO fact sheet on infertility. </w:t>
      </w:r>
      <w:r w:rsidRPr="009A1C5D">
        <w:rPr>
          <w:i/>
          <w:iCs/>
          <w:sz w:val="24"/>
          <w:szCs w:val="24"/>
        </w:rPr>
        <w:t>Global Reproductive Health, 6</w:t>
      </w:r>
      <w:r w:rsidRPr="009A1C5D">
        <w:rPr>
          <w:sz w:val="24"/>
          <w:szCs w:val="24"/>
        </w:rPr>
        <w:t xml:space="preserve">(1), e52. </w:t>
      </w:r>
      <w:hyperlink r:id="rId97" w:history="1">
        <w:r w:rsidRPr="009A1C5D">
          <w:rPr>
            <w:color w:val="0000FF"/>
            <w:sz w:val="24"/>
            <w:szCs w:val="24"/>
            <w:u w:val="single"/>
          </w:rPr>
          <w:t>https://doi.org/10.1097/GRH.0000000000000052</w:t>
        </w:r>
      </w:hyperlink>
    </w:p>
    <w:p w14:paraId="7201CA13" w14:textId="11A3789D" w:rsidR="009A1C5D" w:rsidRPr="009A1C5D" w:rsidRDefault="009A1C5D" w:rsidP="009A1C5D">
      <w:pPr>
        <w:ind w:left="540" w:hanging="540"/>
        <w:jc w:val="both"/>
        <w:rPr>
          <w:sz w:val="24"/>
          <w:szCs w:val="24"/>
        </w:rPr>
      </w:pPr>
      <w:r w:rsidRPr="009A1C5D">
        <w:rPr>
          <w:sz w:val="24"/>
          <w:szCs w:val="24"/>
        </w:rPr>
        <w:t xml:space="preserve">Yeshaya, A., Orvieto, R., Dicker, D., Karp, M., &amp; Ben-Rafael, Z. (1995). Menstrual characteristics of women suffering from insulin-dependent diabetes mellitus. </w:t>
      </w:r>
      <w:r w:rsidRPr="009A1C5D">
        <w:rPr>
          <w:i/>
          <w:iCs/>
          <w:sz w:val="24"/>
          <w:szCs w:val="24"/>
        </w:rPr>
        <w:t>International Journal of Fertility and Menopausal Studies, 40</w:t>
      </w:r>
      <w:r w:rsidRPr="009A1C5D">
        <w:rPr>
          <w:sz w:val="24"/>
          <w:szCs w:val="24"/>
        </w:rPr>
        <w:t>(5), 269–273.</w:t>
      </w:r>
    </w:p>
    <w:p w14:paraId="49B231BD" w14:textId="7C44C45C" w:rsidR="009A1C5D" w:rsidRPr="009A1C5D" w:rsidRDefault="009A1C5D" w:rsidP="009A1C5D">
      <w:pPr>
        <w:ind w:left="540" w:hanging="540"/>
        <w:jc w:val="both"/>
        <w:rPr>
          <w:sz w:val="24"/>
          <w:szCs w:val="24"/>
        </w:rPr>
      </w:pPr>
      <w:r w:rsidRPr="009A1C5D">
        <w:rPr>
          <w:sz w:val="24"/>
          <w:szCs w:val="24"/>
        </w:rPr>
        <w:t xml:space="preserve">Yusuf, A. A., Lawal, B., Alozieuwa, U. B., Onikanni, A. S., Lukman, H. Y., Fadaka, A. O., Olawale, F., Osuji, O., Sani, S., Owolabi, M. S., Adewuyi, A. H., Yusuf, D. H., Batiha, G. E., Ataya, F. S., &amp; Fouad, D. (2023). Attenuating effects of </w:t>
      </w:r>
      <w:r w:rsidRPr="009A1C5D">
        <w:rPr>
          <w:i/>
          <w:iCs/>
          <w:sz w:val="24"/>
          <w:szCs w:val="24"/>
        </w:rPr>
        <w:t>Azanza garckeana</w:t>
      </w:r>
      <w:r w:rsidRPr="009A1C5D">
        <w:rPr>
          <w:sz w:val="24"/>
          <w:szCs w:val="24"/>
        </w:rPr>
        <w:t xml:space="preserve"> fractions on glycemoimpaired-associated dyslipidemia, hepatopathy, and nephropathy. </w:t>
      </w:r>
      <w:r w:rsidRPr="009A1C5D">
        <w:rPr>
          <w:i/>
          <w:iCs/>
          <w:sz w:val="24"/>
          <w:szCs w:val="24"/>
        </w:rPr>
        <w:t>American Journal of Translational Research, 15</w:t>
      </w:r>
      <w:r w:rsidRPr="009A1C5D">
        <w:rPr>
          <w:sz w:val="24"/>
          <w:szCs w:val="24"/>
        </w:rPr>
        <w:t>(10), 5997–6014.</w:t>
      </w:r>
    </w:p>
    <w:p w14:paraId="542AFCCC" w14:textId="03FFE226" w:rsidR="009A1C5D" w:rsidRPr="009A1C5D" w:rsidRDefault="009A1C5D" w:rsidP="009A1C5D">
      <w:pPr>
        <w:ind w:left="540" w:hanging="540"/>
        <w:jc w:val="both"/>
        <w:rPr>
          <w:sz w:val="24"/>
          <w:szCs w:val="24"/>
        </w:rPr>
      </w:pPr>
      <w:r w:rsidRPr="009A1C5D">
        <w:rPr>
          <w:sz w:val="24"/>
          <w:szCs w:val="24"/>
        </w:rPr>
        <w:t xml:space="preserve">Zegers-Hochschild, F., Adamson, G. D., de Mouzon, J., Ishihara, O., Mansour, R., Nygren, K., Sullivan, E., &amp; Vanderpoel, S. (2009). International Committee for Monitoring Assisted </w:t>
      </w:r>
      <w:r w:rsidRPr="009A1C5D">
        <w:rPr>
          <w:sz w:val="24"/>
          <w:szCs w:val="24"/>
        </w:rPr>
        <w:lastRenderedPageBreak/>
        <w:t xml:space="preserve">Reproductive Technology (ICMART) and the World Health Organization (WHO) revised glossary of ART terminology. </w:t>
      </w:r>
      <w:r w:rsidRPr="009A1C5D">
        <w:rPr>
          <w:i/>
          <w:iCs/>
          <w:sz w:val="24"/>
          <w:szCs w:val="24"/>
        </w:rPr>
        <w:t>Fertility and Sterility, 92</w:t>
      </w:r>
      <w:r w:rsidRPr="009A1C5D">
        <w:rPr>
          <w:sz w:val="24"/>
          <w:szCs w:val="24"/>
        </w:rPr>
        <w:t xml:space="preserve">(5), 1520–1524. </w:t>
      </w:r>
      <w:hyperlink r:id="rId98" w:history="1">
        <w:r w:rsidRPr="009A1C5D">
          <w:rPr>
            <w:color w:val="0000FF"/>
            <w:sz w:val="24"/>
            <w:szCs w:val="24"/>
            <w:u w:val="single"/>
          </w:rPr>
          <w:t>https://doi.org/10.1016/j.fertnstert.2009.09.009</w:t>
        </w:r>
      </w:hyperlink>
    </w:p>
    <w:p w14:paraId="225B6987" w14:textId="1FED340E" w:rsidR="0035258B" w:rsidRPr="009A1C5D" w:rsidRDefault="009A1C5D" w:rsidP="009A1C5D">
      <w:pPr>
        <w:spacing w:line="276" w:lineRule="auto"/>
        <w:ind w:left="540" w:hanging="540"/>
        <w:jc w:val="both"/>
        <w:rPr>
          <w:rFonts w:eastAsia="CIDFont"/>
          <w:color w:val="000000"/>
          <w:sz w:val="24"/>
          <w:szCs w:val="24"/>
          <w:lang w:eastAsia="zh-CN" w:bidi="ar"/>
        </w:rPr>
      </w:pPr>
      <w:r w:rsidRPr="009A1C5D">
        <w:rPr>
          <w:sz w:val="24"/>
          <w:szCs w:val="24"/>
        </w:rPr>
        <w:t xml:space="preserve">Zhang, Y. J., Gan, R. Y., Li, S., Zhou, Y., Li, A. N., Xu, D. P., &amp; Li, H. B. (2015). Antioxidant phytochemicals for the prevention and treatment of chronic diseases. </w:t>
      </w:r>
      <w:r w:rsidRPr="009A1C5D">
        <w:rPr>
          <w:i/>
          <w:iCs/>
          <w:sz w:val="24"/>
          <w:szCs w:val="24"/>
        </w:rPr>
        <w:t>Molecules, 20</w:t>
      </w:r>
      <w:r w:rsidRPr="009A1C5D">
        <w:rPr>
          <w:sz w:val="24"/>
          <w:szCs w:val="24"/>
        </w:rPr>
        <w:t xml:space="preserve">(12), 21138–21156. </w:t>
      </w:r>
      <w:hyperlink r:id="rId99" w:history="1">
        <w:r w:rsidRPr="009A1C5D">
          <w:rPr>
            <w:color w:val="0000FF"/>
            <w:sz w:val="24"/>
            <w:szCs w:val="24"/>
            <w:u w:val="single"/>
          </w:rPr>
          <w:t>https://doi.org/10.3390/molecules201219753</w:t>
        </w:r>
      </w:hyperlink>
    </w:p>
    <w:sectPr w:rsidR="0035258B" w:rsidRPr="009A1C5D">
      <w:headerReference w:type="even" r:id="rId100"/>
      <w:headerReference w:type="default" r:id="rId101"/>
      <w:footerReference w:type="even" r:id="rId102"/>
      <w:footerReference w:type="default" r:id="rId103"/>
      <w:headerReference w:type="first" r:id="rId104"/>
      <w:footerReference w:type="first" r:id="rId10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A2506" w14:textId="77777777" w:rsidR="006D1A0F" w:rsidRDefault="006D1A0F">
      <w:pPr>
        <w:spacing w:line="240" w:lineRule="auto"/>
      </w:pPr>
      <w:r>
        <w:separator/>
      </w:r>
    </w:p>
  </w:endnote>
  <w:endnote w:type="continuationSeparator" w:id="0">
    <w:p w14:paraId="77D6CC74" w14:textId="77777777" w:rsidR="006D1A0F" w:rsidRDefault="006D1A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IDFont">
    <w:altName w:val="Segoe Print"/>
    <w:charset w:val="00"/>
    <w:family w:val="auto"/>
    <w:pitch w:val="default"/>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D21AD" w14:textId="77777777" w:rsidR="009510D2" w:rsidRDefault="009510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C24A9" w14:textId="77777777" w:rsidR="009510D2" w:rsidRDefault="009510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006EF" w14:textId="77777777" w:rsidR="009510D2" w:rsidRDefault="009510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68897" w14:textId="77777777" w:rsidR="0035258B" w:rsidRDefault="0035258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8294C" w14:textId="77777777" w:rsidR="0035258B" w:rsidRDefault="0035258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EF05D" w14:textId="77777777" w:rsidR="0035258B" w:rsidRDefault="00352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17154" w14:textId="77777777" w:rsidR="006D1A0F" w:rsidRDefault="006D1A0F">
      <w:pPr>
        <w:spacing w:after="0"/>
      </w:pPr>
      <w:r>
        <w:separator/>
      </w:r>
    </w:p>
  </w:footnote>
  <w:footnote w:type="continuationSeparator" w:id="0">
    <w:p w14:paraId="7D3867BE" w14:textId="77777777" w:rsidR="006D1A0F" w:rsidRDefault="006D1A0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66E50" w14:textId="77777777" w:rsidR="009510D2" w:rsidRDefault="006D1A0F">
    <w:pPr>
      <w:pStyle w:val="Header"/>
    </w:pPr>
    <w:r>
      <w:rPr>
        <w:noProof/>
      </w:rPr>
      <w:pict w14:anchorId="60711B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04" o:spid="_x0000_s1026" type="#_x0000_t136" style="position:absolute;margin-left:0;margin-top:0;width:555.6pt;height:104.15pt;rotation:315;z-index:-251649024;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F95E1" w14:textId="77777777" w:rsidR="009510D2" w:rsidRDefault="006D1A0F">
    <w:pPr>
      <w:pStyle w:val="Header"/>
    </w:pPr>
    <w:r>
      <w:rPr>
        <w:noProof/>
      </w:rPr>
      <w:pict w14:anchorId="513F26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05" o:spid="_x0000_s1027" type="#_x0000_t136" style="position:absolute;margin-left:0;margin-top:0;width:555.6pt;height:104.15pt;rotation:315;z-index:-25164697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6A669" w14:textId="77777777" w:rsidR="009510D2" w:rsidRDefault="006D1A0F">
    <w:pPr>
      <w:pStyle w:val="Header"/>
    </w:pPr>
    <w:r>
      <w:rPr>
        <w:noProof/>
      </w:rPr>
      <w:pict w14:anchorId="3CC4A4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03" o:spid="_x0000_s1025" type="#_x0000_t136" style="position:absolute;margin-left:0;margin-top:0;width:555.6pt;height:104.15pt;rotation:315;z-index:-251651072;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E5378" w14:textId="77777777" w:rsidR="009510D2" w:rsidRDefault="006D1A0F">
    <w:pPr>
      <w:pStyle w:val="Header"/>
    </w:pPr>
    <w:r>
      <w:rPr>
        <w:noProof/>
      </w:rPr>
      <w:pict w14:anchorId="036454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07" o:spid="_x0000_s1031" type="#_x0000_t136" style="position:absolute;margin-left:0;margin-top:0;width:555.6pt;height:104.15pt;rotation:315;z-index:-251638784;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73EA679A">
        <v:shape id="_x0000_s1030" type="#_x0000_t136" style="position:absolute;margin-left:0;margin-top:0;width:555.6pt;height:104.15pt;rotation:315;z-index:-251640832;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B6DC7" w14:textId="77777777" w:rsidR="00704B93" w:rsidRDefault="006D1A0F">
    <w:pPr>
      <w:pStyle w:val="BodyText"/>
      <w:spacing w:line="14" w:lineRule="auto"/>
      <w:rPr>
        <w:sz w:val="20"/>
      </w:rPr>
    </w:pPr>
    <w:r>
      <w:rPr>
        <w:noProof/>
      </w:rPr>
      <w:pict w14:anchorId="2509B7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08" o:spid="_x0000_s1032" type="#_x0000_t136" style="position:absolute;margin-left:0;margin-top:0;width:555.6pt;height:104.15pt;rotation:315;z-index:-25163673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sidR="00704B93">
      <w:rPr>
        <w:noProof/>
        <w:sz w:val="20"/>
      </w:rPr>
      <mc:AlternateContent>
        <mc:Choice Requires="wps">
          <w:drawing>
            <wp:anchor distT="0" distB="0" distL="0" distR="0" simplePos="0" relativeHeight="251659264" behindDoc="1" locked="0" layoutInCell="1" allowOverlap="1" wp14:anchorId="373FF42F" wp14:editId="2B877D27">
              <wp:simplePos x="0" y="0"/>
              <wp:positionH relativeFrom="page">
                <wp:posOffset>3801745</wp:posOffset>
              </wp:positionH>
              <wp:positionV relativeFrom="page">
                <wp:posOffset>464185</wp:posOffset>
              </wp:positionV>
              <wp:extent cx="167640" cy="165735"/>
              <wp:effectExtent l="0" t="0" r="0" b="0"/>
              <wp:wrapNone/>
              <wp:docPr id="19" name="Textbox 19"/>
              <wp:cNvGraphicFramePr/>
              <a:graphic xmlns:a="http://schemas.openxmlformats.org/drawingml/2006/main">
                <a:graphicData uri="http://schemas.microsoft.com/office/word/2010/wordprocessingShape">
                  <wps:wsp>
                    <wps:cNvSpPr txBox="1"/>
                    <wps:spPr>
                      <a:xfrm>
                        <a:off x="0" y="0"/>
                        <a:ext cx="167640" cy="165735"/>
                      </a:xfrm>
                      <a:prstGeom prst="rect">
                        <a:avLst/>
                      </a:prstGeom>
                    </wps:spPr>
                    <wps:txbx>
                      <w:txbxContent>
                        <w:p w14:paraId="46119600" w14:textId="77777777" w:rsidR="00704B93" w:rsidRDefault="00704B93">
                          <w:pPr>
                            <w:spacing w:line="244" w:lineRule="exact"/>
                            <w:ind w:left="20"/>
                            <w:rPr>
                              <w:rFonts w:ascii="Calibri"/>
                            </w:rPr>
                          </w:pPr>
                          <w:r>
                            <w:rPr>
                              <w:rFonts w:ascii="Calibri"/>
                              <w:spacing w:val="-5"/>
                            </w:rPr>
                            <w:t>70</w:t>
                          </w:r>
                        </w:p>
                      </w:txbxContent>
                    </wps:txbx>
                    <wps:bodyPr wrap="square" lIns="0" tIns="0" rIns="0" bIns="0" rtlCol="0">
                      <a:noAutofit/>
                    </wps:bodyPr>
                  </wps:wsp>
                </a:graphicData>
              </a:graphic>
            </wp:anchor>
          </w:drawing>
        </mc:Choice>
        <mc:Fallback>
          <w:pict>
            <v:shapetype w14:anchorId="373FF42F" id="_x0000_t202" coordsize="21600,21600" o:spt="202" path="m,l,21600r21600,l21600,xe">
              <v:stroke joinstyle="miter"/>
              <v:path gradientshapeok="t" o:connecttype="rect"/>
            </v:shapetype>
            <v:shape id="Textbox 19" o:spid="_x0000_s1026" type="#_x0000_t202" style="position:absolute;margin-left:299.35pt;margin-top:36.55pt;width:13.2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" filled="f" stroked="f">
              <v:textbox inset="0,0,0,0">
                <w:txbxContent>
                  <w:p w14:paraId="46119600" w14:textId="77777777" w:rsidR="00704B93" w:rsidRDefault="00704B93">
                    <w:pPr>
                      <w:spacing w:line="244" w:lineRule="exact"/>
                      <w:ind w:left="20"/>
                      <w:rPr>
                        <w:rFonts w:ascii="Calibri"/>
                      </w:rPr>
                    </w:pPr>
                    <w:r>
                      <w:rPr>
                        <w:rFonts w:ascii="Calibri"/>
                        <w:spacing w:val="-5"/>
                      </w:rPr>
                      <w:t>70</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2F9FD" w14:textId="77777777" w:rsidR="009510D2" w:rsidRDefault="006D1A0F">
    <w:pPr>
      <w:pStyle w:val="Header"/>
    </w:pPr>
    <w:r>
      <w:rPr>
        <w:noProof/>
      </w:rPr>
      <w:pict w14:anchorId="0E131B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06" o:spid="_x0000_s1029" type="#_x0000_t136" style="position:absolute;margin-left:0;margin-top:0;width:555.6pt;height:104.15pt;rotation:315;z-index:-25164288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3A1D843F">
        <v:shape id="_x0000_s1028" type="#_x0000_t136" style="position:absolute;margin-left:0;margin-top:0;width:555.6pt;height:104.15pt;rotation:315;z-index:-25164492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4A6E2" w14:textId="77777777" w:rsidR="009510D2" w:rsidRDefault="006D1A0F">
    <w:pPr>
      <w:pStyle w:val="Header"/>
    </w:pPr>
    <w:r>
      <w:rPr>
        <w:noProof/>
      </w:rPr>
      <w:pict w14:anchorId="1C99B5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10" o:spid="_x0000_s1038" type="#_x0000_t136" style="position:absolute;margin-left:0;margin-top:0;width:555.6pt;height:104.15pt;rotation:315;z-index:-25162649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0F106399">
        <v:shape id="_x0000_s1037" type="#_x0000_t136" style="position:absolute;margin-left:0;margin-top:0;width:555.6pt;height:104.15pt;rotation:315;z-index:-251628544;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02C9AF84">
        <v:shape id="_x0000_s1036" type="#_x0000_t136" style="position:absolute;margin-left:0;margin-top:0;width:555.6pt;height:104.15pt;rotation:315;z-index:-2516295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204BC" w14:textId="77777777" w:rsidR="00704B93" w:rsidRDefault="006D1A0F">
    <w:pPr>
      <w:pStyle w:val="BodyText"/>
      <w:spacing w:line="14" w:lineRule="auto"/>
      <w:rPr>
        <w:sz w:val="20"/>
      </w:rPr>
    </w:pPr>
    <w:r>
      <w:rPr>
        <w:noProof/>
      </w:rPr>
      <w:pict w14:anchorId="69A1E0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11" o:spid="_x0000_s1039" type="#_x0000_t136" style="position:absolute;margin-left:0;margin-top:0;width:555.6pt;height:104.15pt;rotation:315;z-index:-25162444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sidR="00704B93">
      <w:rPr>
        <w:noProof/>
        <w:sz w:val="20"/>
      </w:rPr>
      <mc:AlternateContent>
        <mc:Choice Requires="wps">
          <w:drawing>
            <wp:anchor distT="0" distB="0" distL="0" distR="0" simplePos="0" relativeHeight="251660288" behindDoc="1" locked="0" layoutInCell="1" allowOverlap="1" wp14:anchorId="07D8FEFD" wp14:editId="2ABADDC5">
              <wp:simplePos x="0" y="0"/>
              <wp:positionH relativeFrom="page">
                <wp:posOffset>3801745</wp:posOffset>
              </wp:positionH>
              <wp:positionV relativeFrom="page">
                <wp:posOffset>464185</wp:posOffset>
              </wp:positionV>
              <wp:extent cx="205740" cy="165735"/>
              <wp:effectExtent l="0" t="0" r="0" b="0"/>
              <wp:wrapNone/>
              <wp:docPr id="21" name="Textbox 21"/>
              <wp:cNvGraphicFramePr/>
              <a:graphic xmlns:a="http://schemas.openxmlformats.org/drawingml/2006/main">
                <a:graphicData uri="http://schemas.microsoft.com/office/word/2010/wordprocessingShape">
                  <wps:wsp>
                    <wps:cNvSpPr txBox="1"/>
                    <wps:spPr>
                      <a:xfrm>
                        <a:off x="0" y="0"/>
                        <a:ext cx="205740" cy="165735"/>
                      </a:xfrm>
                      <a:prstGeom prst="rect">
                        <a:avLst/>
                      </a:prstGeom>
                    </wps:spPr>
                    <wps:txbx>
                      <w:txbxContent>
                        <w:p w14:paraId="40194A99" w14:textId="77777777" w:rsidR="00704B93" w:rsidRDefault="00704B93">
                          <w:pPr>
                            <w:spacing w:line="244" w:lineRule="exact"/>
                            <w:ind w:left="20"/>
                            <w:rPr>
                              <w:rFonts w:ascii="Calibri"/>
                            </w:rPr>
                          </w:pPr>
                          <w:r>
                            <w:rPr>
                              <w:rFonts w:ascii="Calibri"/>
                              <w:spacing w:val="-5"/>
                            </w:rPr>
                            <w:t>7</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w14:anchorId="07D8FEFD" id="_x0000_t202" coordsize="21600,21600" o:spt="202" path="m,l,21600r21600,l21600,xe">
              <v:stroke joinstyle="miter"/>
              <v:path gradientshapeok="t" o:connecttype="rect"/>
            </v:shapetype>
            <v:shape id="Textbox 21" o:spid="_x0000_s1027" type="#_x0000_t202" style="position:absolute;margin-left:299.35pt;margin-top:36.55pt;width:16.2pt;height:13.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" filled="f" stroked="f">
              <v:textbox inset="0,0,0,0">
                <w:txbxContent>
                  <w:p w14:paraId="40194A99" w14:textId="77777777" w:rsidR="00704B93" w:rsidRDefault="00704B93">
                    <w:pPr>
                      <w:spacing w:line="244" w:lineRule="exact"/>
                      <w:ind w:left="20"/>
                      <w:rPr>
                        <w:rFonts w:ascii="Calibri"/>
                      </w:rPr>
                    </w:pPr>
                    <w:r>
                      <w:rPr>
                        <w:rFonts w:ascii="Calibri"/>
                        <w:spacing w:val="-5"/>
                      </w:rPr>
                      <w:t>7</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7E53" w14:textId="77777777" w:rsidR="009510D2" w:rsidRDefault="006D1A0F">
    <w:pPr>
      <w:pStyle w:val="Header"/>
    </w:pPr>
    <w:r>
      <w:rPr>
        <w:noProof/>
      </w:rPr>
      <w:pict w14:anchorId="0003A7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09" o:spid="_x0000_s1035" type="#_x0000_t136" style="position:absolute;margin-left:0;margin-top:0;width:555.6pt;height:104.15pt;rotation:315;z-index:-2516316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15126988">
        <v:shape id="_x0000_s1034" type="#_x0000_t136" style="position:absolute;margin-left:0;margin-top:0;width:555.6pt;height:104.15pt;rotation:315;z-index:-251633664;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7E674B69">
        <v:shape id="_x0000_s1033" type="#_x0000_t136" style="position:absolute;margin-left:0;margin-top:0;width:555.6pt;height:104.15pt;rotation:315;z-index:-25163468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C4A7C" w14:textId="77777777" w:rsidR="009510D2" w:rsidRDefault="006D1A0F">
    <w:pPr>
      <w:pStyle w:val="Header"/>
    </w:pPr>
    <w:r>
      <w:rPr>
        <w:noProof/>
      </w:rPr>
      <w:pict w14:anchorId="4A60E2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13" o:spid="_x0000_s1047" type="#_x0000_t136" style="position:absolute;margin-left:0;margin-top:0;width:555.6pt;height:104.15pt;rotation:315;z-index:-25161216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33E645EC">
        <v:shape id="_x0000_s1046" type="#_x0000_t136" style="position:absolute;margin-left:0;margin-top:0;width:555.6pt;height:104.15pt;rotation:315;z-index:-25161420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2415444E">
        <v:shape id="_x0000_s1045" type="#_x0000_t136" style="position:absolute;margin-left:0;margin-top:0;width:555.6pt;height:104.15pt;rotation:315;z-index:-251615232;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5EEA2872">
        <v:shape id="_x0000_s1044" type="#_x0000_t136" style="position:absolute;margin-left:0;margin-top:0;width:555.6pt;height:104.15pt;rotation:315;z-index:-25161625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C47B1" w14:textId="77777777" w:rsidR="00704B93" w:rsidRDefault="006D1A0F">
    <w:pPr>
      <w:pStyle w:val="BodyText"/>
      <w:spacing w:line="14" w:lineRule="auto"/>
      <w:rPr>
        <w:sz w:val="2"/>
      </w:rPr>
    </w:pPr>
    <w:r>
      <w:rPr>
        <w:noProof/>
      </w:rPr>
      <w:pict w14:anchorId="603CD0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14" o:spid="_x0000_s1048" type="#_x0000_t136" style="position:absolute;margin-left:0;margin-top:0;width:555.6pt;height:104.15pt;rotation:315;z-index:-251610112;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381C7" w14:textId="77777777" w:rsidR="009510D2" w:rsidRDefault="006D1A0F">
    <w:pPr>
      <w:pStyle w:val="Header"/>
    </w:pPr>
    <w:r>
      <w:rPr>
        <w:noProof/>
      </w:rPr>
      <w:pict w14:anchorId="19CA4A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12" o:spid="_x0000_s1043" type="#_x0000_t136" style="position:absolute;margin-left:0;margin-top:0;width:555.6pt;height:104.15pt;rotation:315;z-index:-251618304;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553E2B7F">
        <v:shape id="_x0000_s1042" type="#_x0000_t136" style="position:absolute;margin-left:0;margin-top:0;width:555.6pt;height:104.15pt;rotation:315;z-index:-251620352;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4D179CEC">
        <v:shape id="_x0000_s1041" type="#_x0000_t136" style="position:absolute;margin-left:0;margin-top:0;width:555.6pt;height:104.15pt;rotation:315;z-index:-25162137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1DEBF842">
        <v:shape id="_x0000_s1040" type="#_x0000_t136" style="position:absolute;margin-left:0;margin-top:0;width:555.6pt;height:104.15pt;rotation:315;z-index:-25162240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AF050" w14:textId="77777777" w:rsidR="009510D2" w:rsidRDefault="006D1A0F">
    <w:pPr>
      <w:pStyle w:val="Header"/>
    </w:pPr>
    <w:r>
      <w:rPr>
        <w:noProof/>
      </w:rPr>
      <w:pict w14:anchorId="0FD54C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16" o:spid="_x0000_s1058" type="#_x0000_t136" style="position:absolute;margin-left:0;margin-top:0;width:555.6pt;height:104.15pt;rotation:315;z-index:-25159577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04ED3F81">
        <v:shape id="_x0000_s1057" type="#_x0000_t136" style="position:absolute;margin-left:0;margin-top:0;width:555.6pt;height:104.15pt;rotation:315;z-index:-251597824;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1CA9F8AE">
        <v:shape id="_x0000_s1056" type="#_x0000_t136" style="position:absolute;margin-left:0;margin-top:0;width:555.6pt;height:104.15pt;rotation:315;z-index:-25159884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3FB5E342">
        <v:shape id="_x0000_s1055" type="#_x0000_t136" style="position:absolute;margin-left:0;margin-top:0;width:555.6pt;height:104.15pt;rotation:315;z-index:-251599872;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3FDC2FB9">
        <v:shape id="_x0000_s1054" type="#_x0000_t136" style="position:absolute;margin-left:0;margin-top:0;width:555.6pt;height:104.15pt;rotation:315;z-index:-25160089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B573D" w14:textId="77777777" w:rsidR="00704B93" w:rsidRDefault="006D1A0F">
    <w:pPr>
      <w:pStyle w:val="BodyText"/>
      <w:spacing w:line="14" w:lineRule="auto"/>
      <w:rPr>
        <w:sz w:val="20"/>
      </w:rPr>
    </w:pPr>
    <w:r>
      <w:rPr>
        <w:noProof/>
      </w:rPr>
      <w:pict w14:anchorId="7D522D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17" o:spid="_x0000_s1059" type="#_x0000_t136" style="position:absolute;margin-left:0;margin-top:0;width:555.6pt;height:104.15pt;rotation:315;z-index:-25159372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sidR="00704B93">
      <w:rPr>
        <w:noProof/>
        <w:sz w:val="20"/>
      </w:rPr>
      <mc:AlternateContent>
        <mc:Choice Requires="wps">
          <w:drawing>
            <wp:anchor distT="0" distB="0" distL="0" distR="0" simplePos="0" relativeHeight="251661312" behindDoc="1" locked="0" layoutInCell="1" allowOverlap="1" wp14:anchorId="5DDA8856" wp14:editId="23AD26CE">
              <wp:simplePos x="0" y="0"/>
              <wp:positionH relativeFrom="page">
                <wp:posOffset>3801745</wp:posOffset>
              </wp:positionH>
              <wp:positionV relativeFrom="page">
                <wp:posOffset>464185</wp:posOffset>
              </wp:positionV>
              <wp:extent cx="205740" cy="165735"/>
              <wp:effectExtent l="0" t="0" r="0" b="0"/>
              <wp:wrapNone/>
              <wp:docPr id="24" name="Textbox 24"/>
              <wp:cNvGraphicFramePr/>
              <a:graphic xmlns:a="http://schemas.openxmlformats.org/drawingml/2006/main">
                <a:graphicData uri="http://schemas.microsoft.com/office/word/2010/wordprocessingShape">
                  <wps:wsp>
                    <wps:cNvSpPr txBox="1"/>
                    <wps:spPr>
                      <a:xfrm>
                        <a:off x="0" y="0"/>
                        <a:ext cx="205740" cy="165735"/>
                      </a:xfrm>
                      <a:prstGeom prst="rect">
                        <a:avLst/>
                      </a:prstGeom>
                    </wps:spPr>
                    <wps:txbx>
                      <w:txbxContent>
                        <w:p w14:paraId="7B1DD1AC" w14:textId="77777777" w:rsidR="00704B93" w:rsidRDefault="00704B93">
                          <w:pPr>
                            <w:spacing w:line="244" w:lineRule="exact"/>
                            <w:ind w:left="20"/>
                            <w:rPr>
                              <w:rFonts w:ascii="Calibri"/>
                            </w:rPr>
                          </w:pPr>
                          <w:r>
                            <w:rPr>
                              <w:rFonts w:ascii="Calibri"/>
                              <w:spacing w:val="-5"/>
                            </w:rPr>
                            <w:t>7</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5</w:t>
                          </w:r>
                          <w:r>
                            <w:rPr>
                              <w:rFonts w:ascii="Calibri"/>
                              <w:spacing w:val="-5"/>
                            </w:rPr>
                            <w:fldChar w:fldCharType="end"/>
                          </w:r>
                        </w:p>
                      </w:txbxContent>
                    </wps:txbx>
                    <wps:bodyPr wrap="square" lIns="0" tIns="0" rIns="0" bIns="0" rtlCol="0">
                      <a:noAutofit/>
                    </wps:bodyPr>
                  </wps:wsp>
                </a:graphicData>
              </a:graphic>
            </wp:anchor>
          </w:drawing>
        </mc:Choice>
        <mc:Fallback>
          <w:pict>
            <v:shapetype w14:anchorId="5DDA8856" id="_x0000_t202" coordsize="21600,21600" o:spt="202" path="m,l,21600r21600,l21600,xe">
              <v:stroke joinstyle="miter"/>
              <v:path gradientshapeok="t" o:connecttype="rect"/>
            </v:shapetype>
            <v:shape id="Textbox 24" o:spid="_x0000_s1028" type="#_x0000_t202" style="position:absolute;margin-left:299.35pt;margin-top:36.55pt;width:16.2pt;height:13.0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" filled="f" stroked="f">
              <v:textbox inset="0,0,0,0">
                <w:txbxContent>
                  <w:p w14:paraId="7B1DD1AC" w14:textId="77777777" w:rsidR="00704B93" w:rsidRDefault="00704B93">
                    <w:pPr>
                      <w:spacing w:line="244" w:lineRule="exact"/>
                      <w:ind w:left="20"/>
                      <w:rPr>
                        <w:rFonts w:ascii="Calibri"/>
                      </w:rPr>
                    </w:pPr>
                    <w:r>
                      <w:rPr>
                        <w:rFonts w:ascii="Calibri"/>
                        <w:spacing w:val="-5"/>
                      </w:rPr>
                      <w:t>7</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5</w:t>
                    </w:r>
                    <w:r>
                      <w:rPr>
                        <w:rFonts w:ascii="Calibri"/>
                        <w:spacing w:val="-5"/>
                      </w:rPr>
                      <w:fldChar w:fldCharType="end"/>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B446B" w14:textId="77777777" w:rsidR="009510D2" w:rsidRDefault="006D1A0F">
    <w:pPr>
      <w:pStyle w:val="Header"/>
    </w:pPr>
    <w:r>
      <w:rPr>
        <w:noProof/>
      </w:rPr>
      <w:pict w14:anchorId="5B2C3E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15" o:spid="_x0000_s1053" type="#_x0000_t136" style="position:absolute;margin-left:0;margin-top:0;width:555.6pt;height:104.15pt;rotation:315;z-index:-251602944;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20EF6B5C">
        <v:shape id="_x0000_s1052" type="#_x0000_t136" style="position:absolute;margin-left:0;margin-top:0;width:555.6pt;height:104.15pt;rotation:315;z-index:-251604992;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1BF65934">
        <v:shape id="_x0000_s1051" type="#_x0000_t136" style="position:absolute;margin-left:0;margin-top:0;width:555.6pt;height:104.15pt;rotation:315;z-index:-2516060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54C8DCE2">
        <v:shape id="_x0000_s1050" type="#_x0000_t136" style="position:absolute;margin-left:0;margin-top:0;width:555.6pt;height:104.15pt;rotation:315;z-index:-25160704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38CE9E66">
        <v:shape id="_x0000_s1049" type="#_x0000_t136" style="position:absolute;margin-left:0;margin-top:0;width:555.6pt;height:104.15pt;rotation:315;z-index:-251608064;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E29F7" w14:textId="77777777" w:rsidR="009510D2" w:rsidRDefault="006D1A0F">
    <w:pPr>
      <w:pStyle w:val="Header"/>
    </w:pPr>
    <w:r>
      <w:rPr>
        <w:noProof/>
      </w:rPr>
      <w:pict w14:anchorId="226A5F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19" o:spid="_x0000_s1071" type="#_x0000_t136" style="position:absolute;margin-left:0;margin-top:0;width:555.6pt;height:104.15pt;rotation:315;z-index:-251577344;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5FF83E4E">
        <v:shape id="_x0000_s1070" type="#_x0000_t136" style="position:absolute;margin-left:0;margin-top:0;width:555.6pt;height:104.15pt;rotation:315;z-index:-251579392;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517B0DDA">
        <v:shape id="_x0000_s1069" type="#_x0000_t136" style="position:absolute;margin-left:0;margin-top:0;width:555.6pt;height:104.15pt;rotation:315;z-index:-2515804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78CF4407">
        <v:shape id="_x0000_s1068" type="#_x0000_t136" style="position:absolute;margin-left:0;margin-top:0;width:555.6pt;height:104.15pt;rotation:315;z-index:-25158144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4271A698">
        <v:shape id="_x0000_s1067" type="#_x0000_t136" style="position:absolute;margin-left:0;margin-top:0;width:555.6pt;height:104.15pt;rotation:315;z-index:-251582464;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1D10FE58">
        <v:shape id="_x0000_s1066" type="#_x0000_t136" style="position:absolute;margin-left:0;margin-top:0;width:555.6pt;height:104.15pt;rotation:315;z-index:-25158348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B7D86" w14:textId="77777777" w:rsidR="00704B93" w:rsidRDefault="006D1A0F">
    <w:pPr>
      <w:pStyle w:val="BodyText"/>
      <w:spacing w:line="14" w:lineRule="auto"/>
      <w:rPr>
        <w:sz w:val="20"/>
      </w:rPr>
    </w:pPr>
    <w:r>
      <w:rPr>
        <w:noProof/>
      </w:rPr>
      <w:pict w14:anchorId="0A1019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20" o:spid="_x0000_s1072" type="#_x0000_t136" style="position:absolute;margin-left:0;margin-top:0;width:555.6pt;height:104.15pt;rotation:315;z-index:-25157529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sidR="00704B93">
      <w:rPr>
        <w:noProof/>
        <w:sz w:val="20"/>
      </w:rPr>
      <mc:AlternateContent>
        <mc:Choice Requires="wps">
          <w:drawing>
            <wp:anchor distT="0" distB="0" distL="0" distR="0" simplePos="0" relativeHeight="251662336" behindDoc="1" locked="0" layoutInCell="1" allowOverlap="1" wp14:anchorId="44B68554" wp14:editId="2925AED9">
              <wp:simplePos x="0" y="0"/>
              <wp:positionH relativeFrom="page">
                <wp:posOffset>3801745</wp:posOffset>
              </wp:positionH>
              <wp:positionV relativeFrom="page">
                <wp:posOffset>464185</wp:posOffset>
              </wp:positionV>
              <wp:extent cx="167640" cy="165735"/>
              <wp:effectExtent l="0" t="0" r="0" b="0"/>
              <wp:wrapNone/>
              <wp:docPr id="27" name="Textbox 27"/>
              <wp:cNvGraphicFramePr/>
              <a:graphic xmlns:a="http://schemas.openxmlformats.org/drawingml/2006/main">
                <a:graphicData uri="http://schemas.microsoft.com/office/word/2010/wordprocessingShape">
                  <wps:wsp>
                    <wps:cNvSpPr txBox="1"/>
                    <wps:spPr>
                      <a:xfrm>
                        <a:off x="0" y="0"/>
                        <a:ext cx="167640" cy="165735"/>
                      </a:xfrm>
                      <a:prstGeom prst="rect">
                        <a:avLst/>
                      </a:prstGeom>
                    </wps:spPr>
                    <wps:txbx>
                      <w:txbxContent>
                        <w:p w14:paraId="54FB6868" w14:textId="77777777" w:rsidR="00704B93" w:rsidRDefault="00704B93">
                          <w:pPr>
                            <w:spacing w:line="244" w:lineRule="exact"/>
                            <w:ind w:left="20"/>
                            <w:rPr>
                              <w:rFonts w:ascii="Calibri"/>
                            </w:rPr>
                          </w:pPr>
                          <w:r>
                            <w:rPr>
                              <w:rFonts w:ascii="Calibri"/>
                              <w:spacing w:val="-5"/>
                            </w:rPr>
                            <w:t>80</w:t>
                          </w:r>
                        </w:p>
                      </w:txbxContent>
                    </wps:txbx>
                    <wps:bodyPr wrap="square" lIns="0" tIns="0" rIns="0" bIns="0" rtlCol="0">
                      <a:noAutofit/>
                    </wps:bodyPr>
                  </wps:wsp>
                </a:graphicData>
              </a:graphic>
            </wp:anchor>
          </w:drawing>
        </mc:Choice>
        <mc:Fallback>
          <w:pict>
            <v:shapetype w14:anchorId="44B68554" id="_x0000_t202" coordsize="21600,21600" o:spt="202" path="m,l,21600r21600,l21600,xe">
              <v:stroke joinstyle="miter"/>
              <v:path gradientshapeok="t" o:connecttype="rect"/>
            </v:shapetype>
            <v:shape id="Textbox 27" o:spid="_x0000_s1029" type="#_x0000_t202" style="position:absolute;margin-left:299.35pt;margin-top:36.55pt;width:13.2pt;height:13.0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" filled="f" stroked="f">
              <v:textbox inset="0,0,0,0">
                <w:txbxContent>
                  <w:p w14:paraId="54FB6868" w14:textId="77777777" w:rsidR="00704B93" w:rsidRDefault="00704B93">
                    <w:pPr>
                      <w:spacing w:line="244" w:lineRule="exact"/>
                      <w:ind w:left="20"/>
                      <w:rPr>
                        <w:rFonts w:ascii="Calibri"/>
                      </w:rPr>
                    </w:pPr>
                    <w:r>
                      <w:rPr>
                        <w:rFonts w:ascii="Calibri"/>
                        <w:spacing w:val="-5"/>
                      </w:rPr>
                      <w:t>80</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45E17" w14:textId="77777777" w:rsidR="009510D2" w:rsidRDefault="006D1A0F">
    <w:pPr>
      <w:pStyle w:val="Header"/>
    </w:pPr>
    <w:r>
      <w:rPr>
        <w:noProof/>
      </w:rPr>
      <w:pict w14:anchorId="23400D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18" o:spid="_x0000_s1065" type="#_x0000_t136" style="position:absolute;margin-left:0;margin-top:0;width:555.6pt;height:104.15pt;rotation:315;z-index:-25158553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66C009D0">
        <v:shape id="_x0000_s1064" type="#_x0000_t136" style="position:absolute;margin-left:0;margin-top:0;width:555.6pt;height:104.15pt;rotation:315;z-index:-251587584;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704552A4">
        <v:shape id="_x0000_s1063" type="#_x0000_t136" style="position:absolute;margin-left:0;margin-top:0;width:555.6pt;height:104.15pt;rotation:315;z-index:-25158860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2E8054DE">
        <v:shape id="_x0000_s1062" type="#_x0000_t136" style="position:absolute;margin-left:0;margin-top:0;width:555.6pt;height:104.15pt;rotation:315;z-index:-251589632;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0C4482B9">
        <v:shape id="_x0000_s1061" type="#_x0000_t136" style="position:absolute;margin-left:0;margin-top:0;width:555.6pt;height:104.15pt;rotation:315;z-index:-25159065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3B579DEB">
        <v:shape id="_x0000_s1060" type="#_x0000_t136" style="position:absolute;margin-left:0;margin-top:0;width:555.6pt;height:104.15pt;rotation:315;z-index:-25159168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D5454" w14:textId="77777777" w:rsidR="009510D2" w:rsidRDefault="006D1A0F">
    <w:pPr>
      <w:pStyle w:val="Header"/>
    </w:pPr>
    <w:r>
      <w:rPr>
        <w:noProof/>
      </w:rPr>
      <w:pict w14:anchorId="0DAD0C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22" o:spid="_x0000_s1086" type="#_x0000_t136" style="position:absolute;margin-left:0;margin-top:0;width:555.6pt;height:104.15pt;rotation:315;z-index:-251556864;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16FBF85C">
        <v:shape id="_x0000_s1085" type="#_x0000_t136" style="position:absolute;margin-left:0;margin-top:0;width:555.6pt;height:104.15pt;rotation:315;z-index:-251558912;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5B73913A">
        <v:shape id="_x0000_s1084" type="#_x0000_t136" style="position:absolute;margin-left:0;margin-top:0;width:555.6pt;height:104.15pt;rotation:315;z-index:-25155993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7B97338F">
        <v:shape id="_x0000_s1083" type="#_x0000_t136" style="position:absolute;margin-left:0;margin-top:0;width:555.6pt;height:104.15pt;rotation:315;z-index:-25156096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72A1FED1">
        <v:shape id="_x0000_s1082" type="#_x0000_t136" style="position:absolute;margin-left:0;margin-top:0;width:555.6pt;height:104.15pt;rotation:315;z-index:-251561984;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4BB97A28">
        <v:shape id="_x0000_s1081" type="#_x0000_t136" style="position:absolute;margin-left:0;margin-top:0;width:555.6pt;height:104.15pt;rotation:315;z-index:-25156300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25902F78">
        <v:shape id="_x0000_s1080" type="#_x0000_t136" style="position:absolute;margin-left:0;margin-top:0;width:555.6pt;height:104.15pt;rotation:315;z-index:-251564032;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16161" w14:textId="77777777" w:rsidR="00704B93" w:rsidRDefault="006D1A0F">
    <w:pPr>
      <w:pStyle w:val="BodyText"/>
      <w:spacing w:line="14" w:lineRule="auto"/>
      <w:rPr>
        <w:sz w:val="20"/>
      </w:rPr>
    </w:pPr>
    <w:r>
      <w:rPr>
        <w:noProof/>
      </w:rPr>
      <w:pict w14:anchorId="681589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23" o:spid="_x0000_s1087" type="#_x0000_t136" style="position:absolute;margin-left:0;margin-top:0;width:555.6pt;height:104.15pt;rotation:315;z-index:-2515548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sidR="00704B93">
      <w:rPr>
        <w:noProof/>
        <w:sz w:val="20"/>
      </w:rPr>
      <mc:AlternateContent>
        <mc:Choice Requires="wps">
          <w:drawing>
            <wp:anchor distT="0" distB="0" distL="0" distR="0" simplePos="0" relativeHeight="251663360" behindDoc="1" locked="0" layoutInCell="1" allowOverlap="1" wp14:anchorId="25B191AD" wp14:editId="282E6155">
              <wp:simplePos x="0" y="0"/>
              <wp:positionH relativeFrom="page">
                <wp:posOffset>3801745</wp:posOffset>
              </wp:positionH>
              <wp:positionV relativeFrom="page">
                <wp:posOffset>464185</wp:posOffset>
              </wp:positionV>
              <wp:extent cx="205740" cy="165735"/>
              <wp:effectExtent l="0" t="0" r="0" b="0"/>
              <wp:wrapNone/>
              <wp:docPr id="28" name="Textbox 28"/>
              <wp:cNvGraphicFramePr/>
              <a:graphic xmlns:a="http://schemas.openxmlformats.org/drawingml/2006/main">
                <a:graphicData uri="http://schemas.microsoft.com/office/word/2010/wordprocessingShape">
                  <wps:wsp>
                    <wps:cNvSpPr txBox="1"/>
                    <wps:spPr>
                      <a:xfrm>
                        <a:off x="0" y="0"/>
                        <a:ext cx="205740" cy="165735"/>
                      </a:xfrm>
                      <a:prstGeom prst="rect">
                        <a:avLst/>
                      </a:prstGeom>
                    </wps:spPr>
                    <wps:txbx>
                      <w:txbxContent>
                        <w:p w14:paraId="1C222949" w14:textId="77777777" w:rsidR="00704B93" w:rsidRDefault="00704B93">
                          <w:pPr>
                            <w:spacing w:line="244" w:lineRule="exact"/>
                            <w:ind w:left="20"/>
                            <w:rPr>
                              <w:rFonts w:ascii="Calibri"/>
                            </w:rPr>
                          </w:pPr>
                          <w:r>
                            <w:rPr>
                              <w:rFonts w:ascii="Calibri"/>
                              <w:spacing w:val="-5"/>
                            </w:rPr>
                            <w:t>8</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w14:anchorId="25B191AD" id="_x0000_t202" coordsize="21600,21600" o:spt="202" path="m,l,21600r21600,l21600,xe">
              <v:stroke joinstyle="miter"/>
              <v:path gradientshapeok="t" o:connecttype="rect"/>
            </v:shapetype>
            <v:shape id="Textbox 28" o:spid="_x0000_s1030" type="#_x0000_t202" style="position:absolute;margin-left:299.35pt;margin-top:36.55pt;width:16.2pt;height:13.0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" filled="f" stroked="f">
              <v:textbox inset="0,0,0,0">
                <w:txbxContent>
                  <w:p w14:paraId="1C222949" w14:textId="77777777" w:rsidR="00704B93" w:rsidRDefault="00704B93">
                    <w:pPr>
                      <w:spacing w:line="244" w:lineRule="exact"/>
                      <w:ind w:left="20"/>
                      <w:rPr>
                        <w:rFonts w:ascii="Calibri"/>
                      </w:rPr>
                    </w:pPr>
                    <w:r>
                      <w:rPr>
                        <w:rFonts w:ascii="Calibri"/>
                        <w:spacing w:val="-5"/>
                      </w:rPr>
                      <w:t>8</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8302A" w14:textId="77777777" w:rsidR="009510D2" w:rsidRDefault="006D1A0F">
    <w:pPr>
      <w:pStyle w:val="Header"/>
    </w:pPr>
    <w:r>
      <w:rPr>
        <w:noProof/>
      </w:rPr>
      <w:pict w14:anchorId="5359B7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21" o:spid="_x0000_s1079" type="#_x0000_t136" style="position:absolute;margin-left:0;margin-top:0;width:555.6pt;height:104.15pt;rotation:315;z-index:-25156608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25233733">
        <v:shape id="_x0000_s1078" type="#_x0000_t136" style="position:absolute;margin-left:0;margin-top:0;width:555.6pt;height:104.15pt;rotation:315;z-index:-25156812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53096C07">
        <v:shape id="_x0000_s1077" type="#_x0000_t136" style="position:absolute;margin-left:0;margin-top:0;width:555.6pt;height:104.15pt;rotation:315;z-index:-251569152;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2B8233D8">
        <v:shape id="_x0000_s1076" type="#_x0000_t136" style="position:absolute;margin-left:0;margin-top:0;width:555.6pt;height:104.15pt;rotation:315;z-index:-25157017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3D0B9D24">
        <v:shape id="_x0000_s1075" type="#_x0000_t136" style="position:absolute;margin-left:0;margin-top:0;width:555.6pt;height:104.15pt;rotation:315;z-index:-25157120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01984659">
        <v:shape id="_x0000_s1074" type="#_x0000_t136" style="position:absolute;margin-left:0;margin-top:0;width:555.6pt;height:104.15pt;rotation:315;z-index:-251572224;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r>
      <w:rPr>
        <w:noProof/>
      </w:rPr>
      <w:pict w14:anchorId="49CF76C2">
        <v:shape id="_x0000_s1073" type="#_x0000_t136" style="position:absolute;margin-left:0;margin-top:0;width:555.6pt;height:104.15pt;rotation:315;z-index:-25157324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ADD35" w14:textId="77777777" w:rsidR="0035258B" w:rsidRDefault="006D1A0F">
    <w:pPr>
      <w:pStyle w:val="Header"/>
    </w:pPr>
    <w:r>
      <w:rPr>
        <w:noProof/>
      </w:rPr>
      <w:pict w14:anchorId="72FCD3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25" o:spid="_x0000_s1089" type="#_x0000_t136" style="position:absolute;margin-left:0;margin-top:0;width:555.6pt;height:104.15pt;rotation:315;z-index:-2515507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968F6" w14:textId="77777777" w:rsidR="0035258B" w:rsidRDefault="006D1A0F">
    <w:pPr>
      <w:pStyle w:val="Header"/>
    </w:pPr>
    <w:r>
      <w:rPr>
        <w:noProof/>
      </w:rPr>
      <w:pict w14:anchorId="590116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26" o:spid="_x0000_s1090" type="#_x0000_t136" style="position:absolute;margin-left:0;margin-top:0;width:555.6pt;height:104.15pt;rotation:315;z-index:-251548672;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9A25" w14:textId="77777777" w:rsidR="0035258B" w:rsidRDefault="006D1A0F">
    <w:pPr>
      <w:pStyle w:val="Header"/>
    </w:pPr>
    <w:r>
      <w:rPr>
        <w:noProof/>
      </w:rPr>
      <w:pict w14:anchorId="49A7A8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24" o:spid="_x0000_s1088" type="#_x0000_t136" style="position:absolute;margin-left:0;margin-top:0;width:555.6pt;height:104.15pt;rotation:315;z-index:-2515527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39341B"/>
    <w:multiLevelType w:val="multilevel"/>
    <w:tmpl w:val="9239341B"/>
    <w:lvl w:ilvl="0">
      <w:start w:val="4"/>
      <w:numFmt w:val="decimal"/>
      <w:lvlText w:val="%1"/>
      <w:lvlJc w:val="left"/>
      <w:pPr>
        <w:ind w:left="719" w:hanging="360"/>
      </w:pPr>
      <w:rPr>
        <w:rFonts w:hint="default"/>
        <w:lang w:val="en-US" w:eastAsia="en-US" w:bidi="ar-SA"/>
      </w:rPr>
    </w:lvl>
    <w:lvl w:ilvl="1">
      <w:start w:val="3"/>
      <w:numFmt w:val="decimal"/>
      <w:lvlText w:val="%1.%2"/>
      <w:lvlJc w:val="left"/>
      <w:pPr>
        <w:ind w:left="719" w:hanging="360"/>
        <w:jc w:val="right"/>
      </w:pPr>
      <w:rPr>
        <w:rFonts w:ascii="Times New Roman" w:eastAsia="Times New Roman" w:hAnsi="Times New Roman" w:cs="Times New Roman" w:hint="default"/>
        <w:b/>
        <w:bCs/>
        <w:i w:val="0"/>
        <w:iCs w:val="0"/>
        <w:spacing w:val="0"/>
        <w:w w:val="99"/>
        <w:sz w:val="24"/>
        <w:szCs w:val="24"/>
        <w:lang w:val="en-US" w:eastAsia="en-US" w:bidi="ar-SA"/>
      </w:rPr>
    </w:lvl>
    <w:lvl w:ilvl="2">
      <w:start w:val="1"/>
      <w:numFmt w:val="decimal"/>
      <w:lvlText w:val="%1.%2.%3"/>
      <w:lvlJc w:val="left"/>
      <w:pPr>
        <w:ind w:left="1618" w:hanging="539"/>
      </w:pPr>
      <w:rPr>
        <w:rFonts w:ascii="Times New Roman" w:eastAsia="Times New Roman" w:hAnsi="Times New Roman" w:cs="Times New Roman" w:hint="default"/>
        <w:b/>
        <w:bCs/>
        <w:i w:val="0"/>
        <w:iCs w:val="0"/>
        <w:spacing w:val="0"/>
        <w:w w:val="99"/>
        <w:sz w:val="24"/>
        <w:szCs w:val="24"/>
        <w:lang w:val="en-US" w:eastAsia="en-US" w:bidi="ar-SA"/>
      </w:rPr>
    </w:lvl>
    <w:lvl w:ilvl="3">
      <w:numFmt w:val="bullet"/>
      <w:lvlText w:val="•"/>
      <w:lvlJc w:val="left"/>
      <w:pPr>
        <w:ind w:left="3500" w:hanging="539"/>
      </w:pPr>
      <w:rPr>
        <w:rFonts w:hint="default"/>
        <w:lang w:val="en-US" w:eastAsia="en-US" w:bidi="ar-SA"/>
      </w:rPr>
    </w:lvl>
    <w:lvl w:ilvl="4">
      <w:numFmt w:val="bullet"/>
      <w:lvlText w:val="•"/>
      <w:lvlJc w:val="left"/>
      <w:pPr>
        <w:ind w:left="4440" w:hanging="539"/>
      </w:pPr>
      <w:rPr>
        <w:rFonts w:hint="default"/>
        <w:lang w:val="en-US" w:eastAsia="en-US" w:bidi="ar-SA"/>
      </w:rPr>
    </w:lvl>
    <w:lvl w:ilvl="5">
      <w:numFmt w:val="bullet"/>
      <w:lvlText w:val="•"/>
      <w:lvlJc w:val="left"/>
      <w:pPr>
        <w:ind w:left="5380" w:hanging="539"/>
      </w:pPr>
      <w:rPr>
        <w:rFonts w:hint="default"/>
        <w:lang w:val="en-US" w:eastAsia="en-US" w:bidi="ar-SA"/>
      </w:rPr>
    </w:lvl>
    <w:lvl w:ilvl="6">
      <w:numFmt w:val="bullet"/>
      <w:lvlText w:val="•"/>
      <w:lvlJc w:val="left"/>
      <w:pPr>
        <w:ind w:left="6320" w:hanging="539"/>
      </w:pPr>
      <w:rPr>
        <w:rFonts w:hint="default"/>
        <w:lang w:val="en-US" w:eastAsia="en-US" w:bidi="ar-SA"/>
      </w:rPr>
    </w:lvl>
    <w:lvl w:ilvl="7">
      <w:numFmt w:val="bullet"/>
      <w:lvlText w:val="•"/>
      <w:lvlJc w:val="left"/>
      <w:pPr>
        <w:ind w:left="7260" w:hanging="539"/>
      </w:pPr>
      <w:rPr>
        <w:rFonts w:hint="default"/>
        <w:lang w:val="en-US" w:eastAsia="en-US" w:bidi="ar-SA"/>
      </w:rPr>
    </w:lvl>
    <w:lvl w:ilvl="8">
      <w:numFmt w:val="bullet"/>
      <w:lvlText w:val="•"/>
      <w:lvlJc w:val="left"/>
      <w:pPr>
        <w:ind w:left="8200" w:hanging="539"/>
      </w:pPr>
      <w:rPr>
        <w:rFonts w:hint="default"/>
        <w:lang w:val="en-US" w:eastAsia="en-US" w:bidi="ar-SA"/>
      </w:rPr>
    </w:lvl>
  </w:abstractNum>
  <w:abstractNum w:abstractNumId="1" w15:restartNumberingAfterBreak="0">
    <w:nsid w:val="B5E306ED"/>
    <w:multiLevelType w:val="multilevel"/>
    <w:tmpl w:val="B5E306ED"/>
    <w:lvl w:ilvl="0">
      <w:start w:val="3"/>
      <w:numFmt w:val="decimal"/>
      <w:lvlText w:val="%1"/>
      <w:lvlJc w:val="left"/>
      <w:pPr>
        <w:ind w:left="779" w:hanging="420"/>
      </w:pPr>
      <w:rPr>
        <w:rFonts w:hint="default"/>
        <w:lang w:val="en-US" w:eastAsia="en-US" w:bidi="ar-SA"/>
      </w:rPr>
    </w:lvl>
    <w:lvl w:ilvl="1">
      <w:start w:val="2"/>
      <w:numFmt w:val="decimal"/>
      <w:lvlText w:val="%1.%2."/>
      <w:lvlJc w:val="left"/>
      <w:pPr>
        <w:ind w:left="779" w:hanging="420"/>
      </w:pPr>
      <w:rPr>
        <w:rFonts w:ascii="Times New Roman" w:eastAsia="Times New Roman" w:hAnsi="Times New Roman" w:cs="Times New Roman" w:hint="default"/>
        <w:b/>
        <w:bCs/>
        <w:i w:val="0"/>
        <w:iCs w:val="0"/>
        <w:spacing w:val="0"/>
        <w:w w:val="99"/>
        <w:sz w:val="24"/>
        <w:szCs w:val="24"/>
        <w:lang w:val="en-US" w:eastAsia="en-US" w:bidi="ar-SA"/>
      </w:rPr>
    </w:lvl>
    <w:lvl w:ilvl="2">
      <w:start w:val="1"/>
      <w:numFmt w:val="decimal"/>
      <w:lvlText w:val="%1.%2.%3"/>
      <w:lvlJc w:val="left"/>
      <w:pPr>
        <w:ind w:left="898" w:hanging="539"/>
      </w:pPr>
      <w:rPr>
        <w:rFonts w:ascii="Times New Roman" w:eastAsia="Times New Roman" w:hAnsi="Times New Roman" w:cs="Times New Roman" w:hint="default"/>
        <w:b/>
        <w:bCs/>
        <w:i w:val="0"/>
        <w:iCs w:val="0"/>
        <w:spacing w:val="0"/>
        <w:w w:val="99"/>
        <w:sz w:val="24"/>
        <w:szCs w:val="24"/>
        <w:lang w:val="en-US" w:eastAsia="en-US" w:bidi="ar-SA"/>
      </w:rPr>
    </w:lvl>
    <w:lvl w:ilvl="3">
      <w:numFmt w:val="bullet"/>
      <w:lvlText w:val="•"/>
      <w:lvlJc w:val="left"/>
      <w:pPr>
        <w:ind w:left="2940" w:hanging="539"/>
      </w:pPr>
      <w:rPr>
        <w:rFonts w:hint="default"/>
        <w:lang w:val="en-US" w:eastAsia="en-US" w:bidi="ar-SA"/>
      </w:rPr>
    </w:lvl>
    <w:lvl w:ilvl="4">
      <w:numFmt w:val="bullet"/>
      <w:lvlText w:val="•"/>
      <w:lvlJc w:val="left"/>
      <w:pPr>
        <w:ind w:left="3960" w:hanging="539"/>
      </w:pPr>
      <w:rPr>
        <w:rFonts w:hint="default"/>
        <w:lang w:val="en-US" w:eastAsia="en-US" w:bidi="ar-SA"/>
      </w:rPr>
    </w:lvl>
    <w:lvl w:ilvl="5">
      <w:numFmt w:val="bullet"/>
      <w:lvlText w:val="•"/>
      <w:lvlJc w:val="left"/>
      <w:pPr>
        <w:ind w:left="4980" w:hanging="539"/>
      </w:pPr>
      <w:rPr>
        <w:rFonts w:hint="default"/>
        <w:lang w:val="en-US" w:eastAsia="en-US" w:bidi="ar-SA"/>
      </w:rPr>
    </w:lvl>
    <w:lvl w:ilvl="6">
      <w:numFmt w:val="bullet"/>
      <w:lvlText w:val="•"/>
      <w:lvlJc w:val="left"/>
      <w:pPr>
        <w:ind w:left="6000" w:hanging="539"/>
      </w:pPr>
      <w:rPr>
        <w:rFonts w:hint="default"/>
        <w:lang w:val="en-US" w:eastAsia="en-US" w:bidi="ar-SA"/>
      </w:rPr>
    </w:lvl>
    <w:lvl w:ilvl="7">
      <w:numFmt w:val="bullet"/>
      <w:lvlText w:val="•"/>
      <w:lvlJc w:val="left"/>
      <w:pPr>
        <w:ind w:left="7020" w:hanging="539"/>
      </w:pPr>
      <w:rPr>
        <w:rFonts w:hint="default"/>
        <w:lang w:val="en-US" w:eastAsia="en-US" w:bidi="ar-SA"/>
      </w:rPr>
    </w:lvl>
    <w:lvl w:ilvl="8">
      <w:numFmt w:val="bullet"/>
      <w:lvlText w:val="•"/>
      <w:lvlJc w:val="left"/>
      <w:pPr>
        <w:ind w:left="8040" w:hanging="539"/>
      </w:pPr>
      <w:rPr>
        <w:rFonts w:hint="default"/>
        <w:lang w:val="en-US" w:eastAsia="en-US" w:bidi="ar-SA"/>
      </w:rPr>
    </w:lvl>
  </w:abstractNum>
  <w:abstractNum w:abstractNumId="2" w15:restartNumberingAfterBreak="0">
    <w:nsid w:val="BF205925"/>
    <w:multiLevelType w:val="multilevel"/>
    <w:tmpl w:val="BF205925"/>
    <w:lvl w:ilvl="0">
      <w:start w:val="3"/>
      <w:numFmt w:val="decimal"/>
      <w:lvlText w:val="%1"/>
      <w:lvlJc w:val="left"/>
      <w:pPr>
        <w:ind w:left="719" w:hanging="360"/>
      </w:pPr>
      <w:rPr>
        <w:rFonts w:hint="default"/>
        <w:lang w:val="en-US" w:eastAsia="en-US" w:bidi="ar-SA"/>
      </w:rPr>
    </w:lvl>
    <w:lvl w:ilvl="1">
      <w:start w:val="1"/>
      <w:numFmt w:val="decimal"/>
      <w:lvlText w:val="%1.%2"/>
      <w:lvlJc w:val="left"/>
      <w:pPr>
        <w:ind w:left="719" w:hanging="360"/>
      </w:pPr>
      <w:rPr>
        <w:rFonts w:ascii="Times New Roman" w:eastAsia="Times New Roman" w:hAnsi="Times New Roman" w:cs="Times New Roman" w:hint="default"/>
        <w:b/>
        <w:bCs/>
        <w:i w:val="0"/>
        <w:iCs w:val="0"/>
        <w:spacing w:val="0"/>
        <w:w w:val="99"/>
        <w:sz w:val="24"/>
        <w:szCs w:val="24"/>
        <w:lang w:val="en-US" w:eastAsia="en-US" w:bidi="ar-SA"/>
      </w:rPr>
    </w:lvl>
    <w:lvl w:ilvl="2">
      <w:start w:val="1"/>
      <w:numFmt w:val="decimal"/>
      <w:lvlText w:val="%1.%2.%3"/>
      <w:lvlJc w:val="left"/>
      <w:pPr>
        <w:ind w:left="898" w:hanging="539"/>
      </w:pPr>
      <w:rPr>
        <w:rFonts w:ascii="Times New Roman" w:eastAsia="Times New Roman" w:hAnsi="Times New Roman" w:cs="Times New Roman" w:hint="default"/>
        <w:b/>
        <w:bCs/>
        <w:i w:val="0"/>
        <w:iCs w:val="0"/>
        <w:spacing w:val="0"/>
        <w:w w:val="99"/>
        <w:sz w:val="24"/>
        <w:szCs w:val="24"/>
        <w:lang w:val="en-US" w:eastAsia="en-US" w:bidi="ar-SA"/>
      </w:rPr>
    </w:lvl>
    <w:lvl w:ilvl="3">
      <w:numFmt w:val="bullet"/>
      <w:lvlText w:val="•"/>
      <w:lvlJc w:val="left"/>
      <w:pPr>
        <w:ind w:left="1240" w:hanging="539"/>
      </w:pPr>
      <w:rPr>
        <w:rFonts w:hint="default"/>
        <w:lang w:val="en-US" w:eastAsia="en-US" w:bidi="ar-SA"/>
      </w:rPr>
    </w:lvl>
    <w:lvl w:ilvl="4">
      <w:numFmt w:val="bullet"/>
      <w:lvlText w:val="•"/>
      <w:lvlJc w:val="left"/>
      <w:pPr>
        <w:ind w:left="1411" w:hanging="539"/>
      </w:pPr>
      <w:rPr>
        <w:rFonts w:hint="default"/>
        <w:lang w:val="en-US" w:eastAsia="en-US" w:bidi="ar-SA"/>
      </w:rPr>
    </w:lvl>
    <w:lvl w:ilvl="5">
      <w:numFmt w:val="bullet"/>
      <w:lvlText w:val="•"/>
      <w:lvlJc w:val="left"/>
      <w:pPr>
        <w:ind w:left="1581" w:hanging="539"/>
      </w:pPr>
      <w:rPr>
        <w:rFonts w:hint="default"/>
        <w:lang w:val="en-US" w:eastAsia="en-US" w:bidi="ar-SA"/>
      </w:rPr>
    </w:lvl>
    <w:lvl w:ilvl="6">
      <w:numFmt w:val="bullet"/>
      <w:lvlText w:val="•"/>
      <w:lvlJc w:val="left"/>
      <w:pPr>
        <w:ind w:left="1751" w:hanging="539"/>
      </w:pPr>
      <w:rPr>
        <w:rFonts w:hint="default"/>
        <w:lang w:val="en-US" w:eastAsia="en-US" w:bidi="ar-SA"/>
      </w:rPr>
    </w:lvl>
    <w:lvl w:ilvl="7">
      <w:numFmt w:val="bullet"/>
      <w:lvlText w:val="•"/>
      <w:lvlJc w:val="left"/>
      <w:pPr>
        <w:ind w:left="1922" w:hanging="539"/>
      </w:pPr>
      <w:rPr>
        <w:rFonts w:hint="default"/>
        <w:lang w:val="en-US" w:eastAsia="en-US" w:bidi="ar-SA"/>
      </w:rPr>
    </w:lvl>
    <w:lvl w:ilvl="8">
      <w:numFmt w:val="bullet"/>
      <w:lvlText w:val="•"/>
      <w:lvlJc w:val="left"/>
      <w:pPr>
        <w:ind w:left="2092" w:hanging="539"/>
      </w:pPr>
      <w:rPr>
        <w:rFonts w:hint="default"/>
        <w:lang w:val="en-US" w:eastAsia="en-US" w:bidi="ar-SA"/>
      </w:rPr>
    </w:lvl>
  </w:abstractNum>
  <w:abstractNum w:abstractNumId="3" w15:restartNumberingAfterBreak="0">
    <w:nsid w:val="CF092B84"/>
    <w:multiLevelType w:val="multilevel"/>
    <w:tmpl w:val="CF092B84"/>
    <w:lvl w:ilvl="0">
      <w:start w:val="1"/>
      <w:numFmt w:val="decimal"/>
      <w:lvlText w:val="%1."/>
      <w:lvlJc w:val="left"/>
      <w:pPr>
        <w:ind w:left="599" w:hanging="240"/>
      </w:pPr>
      <w:rPr>
        <w:rFonts w:ascii="Times New Roman" w:eastAsia="Times New Roman" w:hAnsi="Times New Roman" w:cs="Times New Roman" w:hint="default"/>
        <w:b w:val="0"/>
        <w:bCs w:val="0"/>
        <w:i w:val="0"/>
        <w:iCs w:val="0"/>
        <w:spacing w:val="0"/>
        <w:w w:val="99"/>
        <w:sz w:val="24"/>
        <w:szCs w:val="24"/>
        <w:lang w:val="en-US" w:eastAsia="en-US" w:bidi="ar-SA"/>
      </w:rPr>
    </w:lvl>
    <w:lvl w:ilvl="1">
      <w:numFmt w:val="bullet"/>
      <w:lvlText w:val="•"/>
      <w:lvlJc w:val="left"/>
      <w:pPr>
        <w:ind w:left="1548" w:hanging="240"/>
      </w:pPr>
      <w:rPr>
        <w:rFonts w:hint="default"/>
        <w:lang w:val="en-US" w:eastAsia="en-US" w:bidi="ar-SA"/>
      </w:rPr>
    </w:lvl>
    <w:lvl w:ilvl="2">
      <w:numFmt w:val="bullet"/>
      <w:lvlText w:val="•"/>
      <w:lvlJc w:val="left"/>
      <w:pPr>
        <w:ind w:left="2496" w:hanging="240"/>
      </w:pPr>
      <w:rPr>
        <w:rFonts w:hint="default"/>
        <w:lang w:val="en-US" w:eastAsia="en-US" w:bidi="ar-SA"/>
      </w:rPr>
    </w:lvl>
    <w:lvl w:ilvl="3">
      <w:numFmt w:val="bullet"/>
      <w:lvlText w:val="•"/>
      <w:lvlJc w:val="left"/>
      <w:pPr>
        <w:ind w:left="3444" w:hanging="240"/>
      </w:pPr>
      <w:rPr>
        <w:rFonts w:hint="default"/>
        <w:lang w:val="en-US" w:eastAsia="en-US" w:bidi="ar-SA"/>
      </w:rPr>
    </w:lvl>
    <w:lvl w:ilvl="4">
      <w:numFmt w:val="bullet"/>
      <w:lvlText w:val="•"/>
      <w:lvlJc w:val="left"/>
      <w:pPr>
        <w:ind w:left="4392" w:hanging="240"/>
      </w:pPr>
      <w:rPr>
        <w:rFonts w:hint="default"/>
        <w:lang w:val="en-US" w:eastAsia="en-US" w:bidi="ar-SA"/>
      </w:rPr>
    </w:lvl>
    <w:lvl w:ilvl="5">
      <w:numFmt w:val="bullet"/>
      <w:lvlText w:val="•"/>
      <w:lvlJc w:val="left"/>
      <w:pPr>
        <w:ind w:left="5340" w:hanging="240"/>
      </w:pPr>
      <w:rPr>
        <w:rFonts w:hint="default"/>
        <w:lang w:val="en-US" w:eastAsia="en-US" w:bidi="ar-SA"/>
      </w:rPr>
    </w:lvl>
    <w:lvl w:ilvl="6">
      <w:numFmt w:val="bullet"/>
      <w:lvlText w:val="•"/>
      <w:lvlJc w:val="left"/>
      <w:pPr>
        <w:ind w:left="6288" w:hanging="240"/>
      </w:pPr>
      <w:rPr>
        <w:rFonts w:hint="default"/>
        <w:lang w:val="en-US" w:eastAsia="en-US" w:bidi="ar-SA"/>
      </w:rPr>
    </w:lvl>
    <w:lvl w:ilvl="7">
      <w:numFmt w:val="bullet"/>
      <w:lvlText w:val="•"/>
      <w:lvlJc w:val="left"/>
      <w:pPr>
        <w:ind w:left="7236" w:hanging="240"/>
      </w:pPr>
      <w:rPr>
        <w:rFonts w:hint="default"/>
        <w:lang w:val="en-US" w:eastAsia="en-US" w:bidi="ar-SA"/>
      </w:rPr>
    </w:lvl>
    <w:lvl w:ilvl="8">
      <w:numFmt w:val="bullet"/>
      <w:lvlText w:val="•"/>
      <w:lvlJc w:val="left"/>
      <w:pPr>
        <w:ind w:left="8184" w:hanging="240"/>
      </w:pPr>
      <w:rPr>
        <w:rFonts w:hint="default"/>
        <w:lang w:val="en-US" w:eastAsia="en-US" w:bidi="ar-SA"/>
      </w:rPr>
    </w:lvl>
  </w:abstractNum>
  <w:abstractNum w:abstractNumId="4" w15:restartNumberingAfterBreak="0">
    <w:nsid w:val="0053208E"/>
    <w:multiLevelType w:val="multilevel"/>
    <w:tmpl w:val="0053208E"/>
    <w:lvl w:ilvl="0">
      <w:start w:val="1"/>
      <w:numFmt w:val="decimal"/>
      <w:lvlText w:val="%1"/>
      <w:lvlJc w:val="left"/>
      <w:pPr>
        <w:ind w:left="720" w:hanging="360"/>
      </w:pPr>
      <w:rPr>
        <w:rFonts w:hint="default"/>
        <w:lang w:val="en-US" w:eastAsia="en-US" w:bidi="ar-SA"/>
      </w:rPr>
    </w:lvl>
    <w:lvl w:ilvl="1">
      <w:start w:val="1"/>
      <w:numFmt w:val="decimal"/>
      <w:lvlText w:val="%1.%2"/>
      <w:lvlJc w:val="left"/>
      <w:pPr>
        <w:ind w:left="720" w:hanging="360"/>
      </w:pPr>
      <w:rPr>
        <w:rFonts w:ascii="Times New Roman" w:eastAsia="Times New Roman" w:hAnsi="Times New Roman" w:cs="Times New Roman" w:hint="default"/>
        <w:b/>
        <w:bCs/>
        <w:i w:val="0"/>
        <w:iCs w:val="0"/>
        <w:spacing w:val="0"/>
        <w:w w:val="99"/>
        <w:sz w:val="24"/>
        <w:szCs w:val="24"/>
        <w:lang w:val="en-US" w:eastAsia="en-US" w:bidi="ar-SA"/>
      </w:rPr>
    </w:lvl>
    <w:lvl w:ilvl="2">
      <w:numFmt w:val="bullet"/>
      <w:lvlText w:val="•"/>
      <w:lvlJc w:val="left"/>
      <w:pPr>
        <w:ind w:left="1080" w:hanging="360"/>
      </w:pPr>
      <w:rPr>
        <w:rFonts w:ascii="Century" w:eastAsia="Century" w:hAnsi="Century" w:cs="Century" w:hint="default"/>
        <w:b w:val="0"/>
        <w:bCs w:val="0"/>
        <w:i w:val="0"/>
        <w:iCs w:val="0"/>
        <w:spacing w:val="0"/>
        <w:w w:val="75"/>
        <w:sz w:val="20"/>
        <w:szCs w:val="20"/>
        <w:lang w:val="en-US" w:eastAsia="en-US" w:bidi="ar-SA"/>
      </w:rPr>
    </w:lvl>
    <w:lvl w:ilvl="3">
      <w:numFmt w:val="bullet"/>
      <w:lvlText w:val="•"/>
      <w:lvlJc w:val="left"/>
      <w:pPr>
        <w:ind w:left="3080" w:hanging="360"/>
      </w:pPr>
      <w:rPr>
        <w:rFonts w:hint="default"/>
        <w:lang w:val="en-US" w:eastAsia="en-US" w:bidi="ar-SA"/>
      </w:rPr>
    </w:lvl>
    <w:lvl w:ilvl="4">
      <w:numFmt w:val="bullet"/>
      <w:lvlText w:val="•"/>
      <w:lvlJc w:val="left"/>
      <w:pPr>
        <w:ind w:left="4080" w:hanging="360"/>
      </w:pPr>
      <w:rPr>
        <w:rFonts w:hint="default"/>
        <w:lang w:val="en-US" w:eastAsia="en-US" w:bidi="ar-SA"/>
      </w:rPr>
    </w:lvl>
    <w:lvl w:ilvl="5">
      <w:numFmt w:val="bullet"/>
      <w:lvlText w:val="•"/>
      <w:lvlJc w:val="left"/>
      <w:pPr>
        <w:ind w:left="5080" w:hanging="360"/>
      </w:pPr>
      <w:rPr>
        <w:rFonts w:hint="default"/>
        <w:lang w:val="en-US" w:eastAsia="en-US" w:bidi="ar-SA"/>
      </w:rPr>
    </w:lvl>
    <w:lvl w:ilvl="6">
      <w:numFmt w:val="bullet"/>
      <w:lvlText w:val="•"/>
      <w:lvlJc w:val="left"/>
      <w:pPr>
        <w:ind w:left="6080" w:hanging="360"/>
      </w:pPr>
      <w:rPr>
        <w:rFonts w:hint="default"/>
        <w:lang w:val="en-US" w:eastAsia="en-US" w:bidi="ar-SA"/>
      </w:rPr>
    </w:lvl>
    <w:lvl w:ilvl="7">
      <w:numFmt w:val="bullet"/>
      <w:lvlText w:val="•"/>
      <w:lvlJc w:val="left"/>
      <w:pPr>
        <w:ind w:left="7080" w:hanging="360"/>
      </w:pPr>
      <w:rPr>
        <w:rFonts w:hint="default"/>
        <w:lang w:val="en-US" w:eastAsia="en-US" w:bidi="ar-SA"/>
      </w:rPr>
    </w:lvl>
    <w:lvl w:ilvl="8">
      <w:numFmt w:val="bullet"/>
      <w:lvlText w:val="•"/>
      <w:lvlJc w:val="left"/>
      <w:pPr>
        <w:ind w:left="8080" w:hanging="360"/>
      </w:pPr>
      <w:rPr>
        <w:rFonts w:hint="default"/>
        <w:lang w:val="en-US" w:eastAsia="en-US" w:bidi="ar-SA"/>
      </w:rPr>
    </w:lvl>
  </w:abstractNum>
  <w:abstractNum w:abstractNumId="5" w15:restartNumberingAfterBreak="0">
    <w:nsid w:val="01CE7905"/>
    <w:multiLevelType w:val="multilevel"/>
    <w:tmpl w:val="FB800A9E"/>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248C179"/>
    <w:multiLevelType w:val="multilevel"/>
    <w:tmpl w:val="0248C179"/>
    <w:lvl w:ilvl="0">
      <w:start w:val="1"/>
      <w:numFmt w:val="decimal"/>
      <w:lvlText w:val="%1."/>
      <w:lvlJc w:val="left"/>
      <w:pPr>
        <w:ind w:left="659" w:hanging="300"/>
      </w:pPr>
      <w:rPr>
        <w:rFonts w:ascii="Times New Roman" w:eastAsia="Times New Roman" w:hAnsi="Times New Roman" w:cs="Times New Roman" w:hint="default"/>
        <w:b w:val="0"/>
        <w:bCs w:val="0"/>
        <w:i w:val="0"/>
        <w:iCs w:val="0"/>
        <w:spacing w:val="0"/>
        <w:w w:val="99"/>
        <w:sz w:val="24"/>
        <w:szCs w:val="24"/>
        <w:lang w:val="en-US" w:eastAsia="en-US" w:bidi="ar-SA"/>
      </w:rPr>
    </w:lvl>
    <w:lvl w:ilvl="1">
      <w:start w:val="1"/>
      <w:numFmt w:val="decimal"/>
      <w:lvlText w:val="%1.%2"/>
      <w:lvlJc w:val="left"/>
      <w:pPr>
        <w:ind w:left="733" w:hanging="374"/>
      </w:pPr>
      <w:rPr>
        <w:rFonts w:ascii="Times New Roman" w:eastAsia="Times New Roman" w:hAnsi="Times New Roman" w:cs="Times New Roman" w:hint="default"/>
        <w:b/>
        <w:bCs/>
        <w:i w:val="0"/>
        <w:iCs w:val="0"/>
        <w:spacing w:val="0"/>
        <w:w w:val="99"/>
        <w:sz w:val="24"/>
        <w:szCs w:val="24"/>
        <w:lang w:val="en-US" w:eastAsia="en-US" w:bidi="ar-SA"/>
      </w:rPr>
    </w:lvl>
    <w:lvl w:ilvl="2">
      <w:numFmt w:val="bullet"/>
      <w:lvlText w:val="•"/>
      <w:lvlJc w:val="left"/>
      <w:pPr>
        <w:ind w:left="1777" w:hanging="374"/>
      </w:pPr>
      <w:rPr>
        <w:rFonts w:hint="default"/>
        <w:lang w:val="en-US" w:eastAsia="en-US" w:bidi="ar-SA"/>
      </w:rPr>
    </w:lvl>
    <w:lvl w:ilvl="3">
      <w:numFmt w:val="bullet"/>
      <w:lvlText w:val="•"/>
      <w:lvlJc w:val="left"/>
      <w:pPr>
        <w:ind w:left="2815" w:hanging="374"/>
      </w:pPr>
      <w:rPr>
        <w:rFonts w:hint="default"/>
        <w:lang w:val="en-US" w:eastAsia="en-US" w:bidi="ar-SA"/>
      </w:rPr>
    </w:lvl>
    <w:lvl w:ilvl="4">
      <w:numFmt w:val="bullet"/>
      <w:lvlText w:val="•"/>
      <w:lvlJc w:val="left"/>
      <w:pPr>
        <w:ind w:left="3853" w:hanging="374"/>
      </w:pPr>
      <w:rPr>
        <w:rFonts w:hint="default"/>
        <w:lang w:val="en-US" w:eastAsia="en-US" w:bidi="ar-SA"/>
      </w:rPr>
    </w:lvl>
    <w:lvl w:ilvl="5">
      <w:numFmt w:val="bullet"/>
      <w:lvlText w:val="•"/>
      <w:lvlJc w:val="left"/>
      <w:pPr>
        <w:ind w:left="4891" w:hanging="374"/>
      </w:pPr>
      <w:rPr>
        <w:rFonts w:hint="default"/>
        <w:lang w:val="en-US" w:eastAsia="en-US" w:bidi="ar-SA"/>
      </w:rPr>
    </w:lvl>
    <w:lvl w:ilvl="6">
      <w:numFmt w:val="bullet"/>
      <w:lvlText w:val="•"/>
      <w:lvlJc w:val="left"/>
      <w:pPr>
        <w:ind w:left="5928" w:hanging="374"/>
      </w:pPr>
      <w:rPr>
        <w:rFonts w:hint="default"/>
        <w:lang w:val="en-US" w:eastAsia="en-US" w:bidi="ar-SA"/>
      </w:rPr>
    </w:lvl>
    <w:lvl w:ilvl="7">
      <w:numFmt w:val="bullet"/>
      <w:lvlText w:val="•"/>
      <w:lvlJc w:val="left"/>
      <w:pPr>
        <w:ind w:left="6966" w:hanging="374"/>
      </w:pPr>
      <w:rPr>
        <w:rFonts w:hint="default"/>
        <w:lang w:val="en-US" w:eastAsia="en-US" w:bidi="ar-SA"/>
      </w:rPr>
    </w:lvl>
    <w:lvl w:ilvl="8">
      <w:numFmt w:val="bullet"/>
      <w:lvlText w:val="•"/>
      <w:lvlJc w:val="left"/>
      <w:pPr>
        <w:ind w:left="8004" w:hanging="374"/>
      </w:pPr>
      <w:rPr>
        <w:rFonts w:hint="default"/>
        <w:lang w:val="en-US" w:eastAsia="en-US" w:bidi="ar-SA"/>
      </w:rPr>
    </w:lvl>
  </w:abstractNum>
  <w:abstractNum w:abstractNumId="7" w15:restartNumberingAfterBreak="0">
    <w:nsid w:val="03D62ECE"/>
    <w:multiLevelType w:val="multilevel"/>
    <w:tmpl w:val="03D62ECE"/>
    <w:lvl w:ilvl="0">
      <w:start w:val="1"/>
      <w:numFmt w:val="upperLetter"/>
      <w:lvlText w:val="%1"/>
      <w:lvlJc w:val="left"/>
      <w:pPr>
        <w:ind w:left="2162" w:hanging="1803"/>
      </w:pPr>
      <w:rPr>
        <w:rFonts w:ascii="Times New Roman" w:eastAsia="Times New Roman" w:hAnsi="Times New Roman" w:cs="Times New Roman" w:hint="default"/>
        <w:b/>
        <w:bCs/>
        <w:i w:val="0"/>
        <w:iCs w:val="0"/>
        <w:spacing w:val="0"/>
        <w:w w:val="99"/>
        <w:sz w:val="24"/>
        <w:szCs w:val="24"/>
        <w:lang w:val="en-US" w:eastAsia="en-US" w:bidi="ar-SA"/>
      </w:rPr>
    </w:lvl>
    <w:lvl w:ilvl="1">
      <w:numFmt w:val="bullet"/>
      <w:lvlText w:val="•"/>
      <w:lvlJc w:val="left"/>
      <w:pPr>
        <w:ind w:left="2952" w:hanging="1803"/>
      </w:pPr>
      <w:rPr>
        <w:rFonts w:hint="default"/>
        <w:lang w:val="en-US" w:eastAsia="en-US" w:bidi="ar-SA"/>
      </w:rPr>
    </w:lvl>
    <w:lvl w:ilvl="2">
      <w:numFmt w:val="bullet"/>
      <w:lvlText w:val="•"/>
      <w:lvlJc w:val="left"/>
      <w:pPr>
        <w:ind w:left="3744" w:hanging="1803"/>
      </w:pPr>
      <w:rPr>
        <w:rFonts w:hint="default"/>
        <w:lang w:val="en-US" w:eastAsia="en-US" w:bidi="ar-SA"/>
      </w:rPr>
    </w:lvl>
    <w:lvl w:ilvl="3">
      <w:numFmt w:val="bullet"/>
      <w:lvlText w:val="•"/>
      <w:lvlJc w:val="left"/>
      <w:pPr>
        <w:ind w:left="4536" w:hanging="1803"/>
      </w:pPr>
      <w:rPr>
        <w:rFonts w:hint="default"/>
        <w:lang w:val="en-US" w:eastAsia="en-US" w:bidi="ar-SA"/>
      </w:rPr>
    </w:lvl>
    <w:lvl w:ilvl="4">
      <w:numFmt w:val="bullet"/>
      <w:lvlText w:val="•"/>
      <w:lvlJc w:val="left"/>
      <w:pPr>
        <w:ind w:left="5328" w:hanging="1803"/>
      </w:pPr>
      <w:rPr>
        <w:rFonts w:hint="default"/>
        <w:lang w:val="en-US" w:eastAsia="en-US" w:bidi="ar-SA"/>
      </w:rPr>
    </w:lvl>
    <w:lvl w:ilvl="5">
      <w:numFmt w:val="bullet"/>
      <w:lvlText w:val="•"/>
      <w:lvlJc w:val="left"/>
      <w:pPr>
        <w:ind w:left="6120" w:hanging="1803"/>
      </w:pPr>
      <w:rPr>
        <w:rFonts w:hint="default"/>
        <w:lang w:val="en-US" w:eastAsia="en-US" w:bidi="ar-SA"/>
      </w:rPr>
    </w:lvl>
    <w:lvl w:ilvl="6">
      <w:numFmt w:val="bullet"/>
      <w:lvlText w:val="•"/>
      <w:lvlJc w:val="left"/>
      <w:pPr>
        <w:ind w:left="6912" w:hanging="1803"/>
      </w:pPr>
      <w:rPr>
        <w:rFonts w:hint="default"/>
        <w:lang w:val="en-US" w:eastAsia="en-US" w:bidi="ar-SA"/>
      </w:rPr>
    </w:lvl>
    <w:lvl w:ilvl="7">
      <w:numFmt w:val="bullet"/>
      <w:lvlText w:val="•"/>
      <w:lvlJc w:val="left"/>
      <w:pPr>
        <w:ind w:left="7704" w:hanging="1803"/>
      </w:pPr>
      <w:rPr>
        <w:rFonts w:hint="default"/>
        <w:lang w:val="en-US" w:eastAsia="en-US" w:bidi="ar-SA"/>
      </w:rPr>
    </w:lvl>
    <w:lvl w:ilvl="8">
      <w:numFmt w:val="bullet"/>
      <w:lvlText w:val="•"/>
      <w:lvlJc w:val="left"/>
      <w:pPr>
        <w:ind w:left="8496" w:hanging="1803"/>
      </w:pPr>
      <w:rPr>
        <w:rFonts w:hint="default"/>
        <w:lang w:val="en-US" w:eastAsia="en-US" w:bidi="ar-SA"/>
      </w:rPr>
    </w:lvl>
  </w:abstractNum>
  <w:abstractNum w:abstractNumId="8" w15:restartNumberingAfterBreak="0">
    <w:nsid w:val="1F2D3829"/>
    <w:multiLevelType w:val="multilevel"/>
    <w:tmpl w:val="7A66FA6C"/>
    <w:lvl w:ilvl="0">
      <w:start w:val="3"/>
      <w:numFmt w:val="decimal"/>
      <w:lvlText w:val="%1"/>
      <w:lvlJc w:val="left"/>
      <w:pPr>
        <w:ind w:left="360" w:hanging="360"/>
      </w:pPr>
      <w:rPr>
        <w:rFonts w:hint="default"/>
      </w:rPr>
    </w:lvl>
    <w:lvl w:ilvl="1">
      <w:start w:val="3"/>
      <w:numFmt w:val="decimal"/>
      <w:lvlText w:val="%1.%2"/>
      <w:lvlJc w:val="left"/>
      <w:pPr>
        <w:ind w:left="719" w:hanging="360"/>
      </w:pPr>
      <w:rPr>
        <w:rFonts w:hint="default"/>
      </w:rPr>
    </w:lvl>
    <w:lvl w:ilvl="2">
      <w:start w:val="1"/>
      <w:numFmt w:val="decimal"/>
      <w:lvlText w:val="%1.%2.%3"/>
      <w:lvlJc w:val="left"/>
      <w:pPr>
        <w:ind w:left="1438" w:hanging="720"/>
      </w:pPr>
      <w:rPr>
        <w:rFonts w:hint="default"/>
      </w:rPr>
    </w:lvl>
    <w:lvl w:ilvl="3">
      <w:start w:val="1"/>
      <w:numFmt w:val="decimal"/>
      <w:lvlText w:val="%1.%2.%3.%4"/>
      <w:lvlJc w:val="left"/>
      <w:pPr>
        <w:ind w:left="1797" w:hanging="720"/>
      </w:pPr>
      <w:rPr>
        <w:rFonts w:hint="default"/>
      </w:rPr>
    </w:lvl>
    <w:lvl w:ilvl="4">
      <w:start w:val="1"/>
      <w:numFmt w:val="decimal"/>
      <w:lvlText w:val="%1.%2.%3.%4.%5"/>
      <w:lvlJc w:val="left"/>
      <w:pPr>
        <w:ind w:left="2516" w:hanging="1080"/>
      </w:pPr>
      <w:rPr>
        <w:rFonts w:hint="default"/>
      </w:rPr>
    </w:lvl>
    <w:lvl w:ilvl="5">
      <w:start w:val="1"/>
      <w:numFmt w:val="decimal"/>
      <w:lvlText w:val="%1.%2.%3.%4.%5.%6"/>
      <w:lvlJc w:val="left"/>
      <w:pPr>
        <w:ind w:left="2875" w:hanging="1080"/>
      </w:pPr>
      <w:rPr>
        <w:rFonts w:hint="default"/>
      </w:rPr>
    </w:lvl>
    <w:lvl w:ilvl="6">
      <w:start w:val="1"/>
      <w:numFmt w:val="decimal"/>
      <w:lvlText w:val="%1.%2.%3.%4.%5.%6.%7"/>
      <w:lvlJc w:val="left"/>
      <w:pPr>
        <w:ind w:left="3594" w:hanging="1440"/>
      </w:pPr>
      <w:rPr>
        <w:rFonts w:hint="default"/>
      </w:rPr>
    </w:lvl>
    <w:lvl w:ilvl="7">
      <w:start w:val="1"/>
      <w:numFmt w:val="decimal"/>
      <w:lvlText w:val="%1.%2.%3.%4.%5.%6.%7.%8"/>
      <w:lvlJc w:val="left"/>
      <w:pPr>
        <w:ind w:left="3953" w:hanging="1440"/>
      </w:pPr>
      <w:rPr>
        <w:rFonts w:hint="default"/>
      </w:rPr>
    </w:lvl>
    <w:lvl w:ilvl="8">
      <w:start w:val="1"/>
      <w:numFmt w:val="decimal"/>
      <w:lvlText w:val="%1.%2.%3.%4.%5.%6.%7.%8.%9"/>
      <w:lvlJc w:val="left"/>
      <w:pPr>
        <w:ind w:left="4672" w:hanging="1800"/>
      </w:pPr>
      <w:rPr>
        <w:rFonts w:hint="default"/>
      </w:rPr>
    </w:lvl>
  </w:abstractNum>
  <w:abstractNum w:abstractNumId="9" w15:restartNumberingAfterBreak="0">
    <w:nsid w:val="25B654F3"/>
    <w:multiLevelType w:val="multilevel"/>
    <w:tmpl w:val="25B654F3"/>
    <w:lvl w:ilvl="0">
      <w:start w:val="1"/>
      <w:numFmt w:val="decimal"/>
      <w:lvlText w:val="%1."/>
      <w:lvlJc w:val="left"/>
      <w:pPr>
        <w:ind w:left="360" w:hanging="181"/>
      </w:pPr>
      <w:rPr>
        <w:rFonts w:ascii="Times New Roman" w:eastAsia="Times New Roman" w:hAnsi="Times New Roman" w:cs="Times New Roman" w:hint="default"/>
        <w:b w:val="0"/>
        <w:bCs w:val="0"/>
        <w:i w:val="0"/>
        <w:iCs w:val="0"/>
        <w:spacing w:val="0"/>
        <w:w w:val="95"/>
        <w:sz w:val="22"/>
        <w:szCs w:val="22"/>
        <w:lang w:val="en-US" w:eastAsia="en-US" w:bidi="ar-SA"/>
      </w:rPr>
    </w:lvl>
    <w:lvl w:ilvl="1">
      <w:numFmt w:val="bullet"/>
      <w:lvlText w:val="•"/>
      <w:lvlJc w:val="left"/>
      <w:pPr>
        <w:ind w:left="1332" w:hanging="181"/>
      </w:pPr>
      <w:rPr>
        <w:rFonts w:hint="default"/>
        <w:lang w:val="en-US" w:eastAsia="en-US" w:bidi="ar-SA"/>
      </w:rPr>
    </w:lvl>
    <w:lvl w:ilvl="2">
      <w:numFmt w:val="bullet"/>
      <w:lvlText w:val="•"/>
      <w:lvlJc w:val="left"/>
      <w:pPr>
        <w:ind w:left="2304" w:hanging="181"/>
      </w:pPr>
      <w:rPr>
        <w:rFonts w:hint="default"/>
        <w:lang w:val="en-US" w:eastAsia="en-US" w:bidi="ar-SA"/>
      </w:rPr>
    </w:lvl>
    <w:lvl w:ilvl="3">
      <w:numFmt w:val="bullet"/>
      <w:lvlText w:val="•"/>
      <w:lvlJc w:val="left"/>
      <w:pPr>
        <w:ind w:left="3276" w:hanging="181"/>
      </w:pPr>
      <w:rPr>
        <w:rFonts w:hint="default"/>
        <w:lang w:val="en-US" w:eastAsia="en-US" w:bidi="ar-SA"/>
      </w:rPr>
    </w:lvl>
    <w:lvl w:ilvl="4">
      <w:numFmt w:val="bullet"/>
      <w:lvlText w:val="•"/>
      <w:lvlJc w:val="left"/>
      <w:pPr>
        <w:ind w:left="4248" w:hanging="181"/>
      </w:pPr>
      <w:rPr>
        <w:rFonts w:hint="default"/>
        <w:lang w:val="en-US" w:eastAsia="en-US" w:bidi="ar-SA"/>
      </w:rPr>
    </w:lvl>
    <w:lvl w:ilvl="5">
      <w:numFmt w:val="bullet"/>
      <w:lvlText w:val="•"/>
      <w:lvlJc w:val="left"/>
      <w:pPr>
        <w:ind w:left="5220" w:hanging="181"/>
      </w:pPr>
      <w:rPr>
        <w:rFonts w:hint="default"/>
        <w:lang w:val="en-US" w:eastAsia="en-US" w:bidi="ar-SA"/>
      </w:rPr>
    </w:lvl>
    <w:lvl w:ilvl="6">
      <w:numFmt w:val="bullet"/>
      <w:lvlText w:val="•"/>
      <w:lvlJc w:val="left"/>
      <w:pPr>
        <w:ind w:left="6192" w:hanging="181"/>
      </w:pPr>
      <w:rPr>
        <w:rFonts w:hint="default"/>
        <w:lang w:val="en-US" w:eastAsia="en-US" w:bidi="ar-SA"/>
      </w:rPr>
    </w:lvl>
    <w:lvl w:ilvl="7">
      <w:numFmt w:val="bullet"/>
      <w:lvlText w:val="•"/>
      <w:lvlJc w:val="left"/>
      <w:pPr>
        <w:ind w:left="7164" w:hanging="181"/>
      </w:pPr>
      <w:rPr>
        <w:rFonts w:hint="default"/>
        <w:lang w:val="en-US" w:eastAsia="en-US" w:bidi="ar-SA"/>
      </w:rPr>
    </w:lvl>
    <w:lvl w:ilvl="8">
      <w:numFmt w:val="bullet"/>
      <w:lvlText w:val="•"/>
      <w:lvlJc w:val="left"/>
      <w:pPr>
        <w:ind w:left="8136" w:hanging="181"/>
      </w:pPr>
      <w:rPr>
        <w:rFonts w:hint="default"/>
        <w:lang w:val="en-US" w:eastAsia="en-US" w:bidi="ar-SA"/>
      </w:rPr>
    </w:lvl>
  </w:abstractNum>
  <w:abstractNum w:abstractNumId="10" w15:restartNumberingAfterBreak="0">
    <w:nsid w:val="2A8F537B"/>
    <w:multiLevelType w:val="multilevel"/>
    <w:tmpl w:val="2A8F537B"/>
    <w:lvl w:ilvl="0">
      <w:start w:val="5"/>
      <w:numFmt w:val="decimal"/>
      <w:lvlText w:val="%1"/>
      <w:lvlJc w:val="left"/>
      <w:pPr>
        <w:ind w:left="1798" w:hanging="719"/>
      </w:pPr>
      <w:rPr>
        <w:rFonts w:hint="default"/>
        <w:lang w:val="en-US" w:eastAsia="en-US" w:bidi="ar-SA"/>
      </w:rPr>
    </w:lvl>
    <w:lvl w:ilvl="1">
      <w:start w:val="2"/>
      <w:numFmt w:val="decimal"/>
      <w:lvlText w:val="%1.%2"/>
      <w:lvlJc w:val="left"/>
      <w:pPr>
        <w:ind w:left="1798" w:hanging="719"/>
      </w:pPr>
      <w:rPr>
        <w:rFonts w:ascii="Times New Roman" w:eastAsia="Times New Roman" w:hAnsi="Times New Roman" w:cs="Times New Roman" w:hint="default"/>
        <w:b/>
        <w:bCs/>
        <w:i w:val="0"/>
        <w:iCs w:val="0"/>
        <w:spacing w:val="0"/>
        <w:w w:val="99"/>
        <w:sz w:val="24"/>
        <w:szCs w:val="24"/>
        <w:lang w:val="en-US" w:eastAsia="en-US" w:bidi="ar-SA"/>
      </w:rPr>
    </w:lvl>
    <w:lvl w:ilvl="2">
      <w:numFmt w:val="bullet"/>
      <w:lvlText w:val="•"/>
      <w:lvlJc w:val="left"/>
      <w:pPr>
        <w:ind w:left="1800" w:hanging="360"/>
      </w:pPr>
      <w:rPr>
        <w:rFonts w:ascii="Century" w:eastAsia="Century" w:hAnsi="Century" w:cs="Century" w:hint="default"/>
        <w:b w:val="0"/>
        <w:bCs w:val="0"/>
        <w:i w:val="0"/>
        <w:iCs w:val="0"/>
        <w:spacing w:val="0"/>
        <w:w w:val="75"/>
        <w:sz w:val="20"/>
        <w:szCs w:val="20"/>
        <w:lang w:val="en-US" w:eastAsia="en-US" w:bidi="ar-SA"/>
      </w:rPr>
    </w:lvl>
    <w:lvl w:ilvl="3">
      <w:numFmt w:val="bullet"/>
      <w:lvlText w:val="•"/>
      <w:lvlJc w:val="left"/>
      <w:pPr>
        <w:ind w:left="4716" w:hanging="360"/>
      </w:pPr>
      <w:rPr>
        <w:rFonts w:hint="default"/>
        <w:lang w:val="en-US" w:eastAsia="en-US" w:bidi="ar-SA"/>
      </w:rPr>
    </w:lvl>
    <w:lvl w:ilvl="4">
      <w:numFmt w:val="bullet"/>
      <w:lvlText w:val="•"/>
      <w:lvlJc w:val="left"/>
      <w:pPr>
        <w:ind w:left="5688" w:hanging="360"/>
      </w:pPr>
      <w:rPr>
        <w:rFonts w:hint="default"/>
        <w:lang w:val="en-US" w:eastAsia="en-US" w:bidi="ar-SA"/>
      </w:rPr>
    </w:lvl>
    <w:lvl w:ilvl="5">
      <w:numFmt w:val="bullet"/>
      <w:lvlText w:val="•"/>
      <w:lvlJc w:val="left"/>
      <w:pPr>
        <w:ind w:left="6660" w:hanging="360"/>
      </w:pPr>
      <w:rPr>
        <w:rFonts w:hint="default"/>
        <w:lang w:val="en-US" w:eastAsia="en-US" w:bidi="ar-SA"/>
      </w:rPr>
    </w:lvl>
    <w:lvl w:ilvl="6">
      <w:numFmt w:val="bullet"/>
      <w:lvlText w:val="•"/>
      <w:lvlJc w:val="left"/>
      <w:pPr>
        <w:ind w:left="7632" w:hanging="360"/>
      </w:pPr>
      <w:rPr>
        <w:rFonts w:hint="default"/>
        <w:lang w:val="en-US" w:eastAsia="en-US" w:bidi="ar-SA"/>
      </w:rPr>
    </w:lvl>
    <w:lvl w:ilvl="7">
      <w:numFmt w:val="bullet"/>
      <w:lvlText w:val="•"/>
      <w:lvlJc w:val="left"/>
      <w:pPr>
        <w:ind w:left="8604" w:hanging="360"/>
      </w:pPr>
      <w:rPr>
        <w:rFonts w:hint="default"/>
        <w:lang w:val="en-US" w:eastAsia="en-US" w:bidi="ar-SA"/>
      </w:rPr>
    </w:lvl>
    <w:lvl w:ilvl="8">
      <w:numFmt w:val="bullet"/>
      <w:lvlText w:val="•"/>
      <w:lvlJc w:val="left"/>
      <w:pPr>
        <w:ind w:left="9576" w:hanging="360"/>
      </w:pPr>
      <w:rPr>
        <w:rFonts w:hint="default"/>
        <w:lang w:val="en-US" w:eastAsia="en-US" w:bidi="ar-SA"/>
      </w:rPr>
    </w:lvl>
  </w:abstractNum>
  <w:abstractNum w:abstractNumId="11" w15:restartNumberingAfterBreak="0">
    <w:nsid w:val="45047619"/>
    <w:multiLevelType w:val="hybridMultilevel"/>
    <w:tmpl w:val="1E7CD66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B054CF"/>
    <w:multiLevelType w:val="hybridMultilevel"/>
    <w:tmpl w:val="80968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ADCABA"/>
    <w:multiLevelType w:val="multilevel"/>
    <w:tmpl w:val="59ADCABA"/>
    <w:lvl w:ilvl="0">
      <w:start w:val="2"/>
      <w:numFmt w:val="decimal"/>
      <w:lvlText w:val="%1"/>
      <w:lvlJc w:val="left"/>
      <w:pPr>
        <w:ind w:left="720" w:hanging="360"/>
      </w:pPr>
      <w:rPr>
        <w:rFonts w:hint="default"/>
        <w:lang w:val="en-US" w:eastAsia="en-US" w:bidi="ar-SA"/>
      </w:rPr>
    </w:lvl>
    <w:lvl w:ilvl="1">
      <w:start w:val="1"/>
      <w:numFmt w:val="decimal"/>
      <w:lvlText w:val="%1.%2"/>
      <w:lvlJc w:val="left"/>
      <w:pPr>
        <w:ind w:left="720" w:hanging="360"/>
      </w:pPr>
      <w:rPr>
        <w:rFonts w:ascii="Times New Roman" w:eastAsia="Times New Roman" w:hAnsi="Times New Roman" w:cs="Times New Roman" w:hint="default"/>
        <w:b/>
        <w:bCs/>
        <w:i w:val="0"/>
        <w:iCs w:val="0"/>
        <w:spacing w:val="0"/>
        <w:w w:val="99"/>
        <w:sz w:val="24"/>
        <w:szCs w:val="24"/>
        <w:lang w:val="en-US" w:eastAsia="en-US" w:bidi="ar-SA"/>
      </w:rPr>
    </w:lvl>
    <w:lvl w:ilvl="2">
      <w:start w:val="1"/>
      <w:numFmt w:val="decimal"/>
      <w:lvlText w:val="%1.%2.%3"/>
      <w:lvlJc w:val="left"/>
      <w:pPr>
        <w:ind w:left="1078" w:hanging="719"/>
      </w:pPr>
      <w:rPr>
        <w:rFonts w:ascii="Times New Roman" w:eastAsia="Times New Roman" w:hAnsi="Times New Roman" w:cs="Times New Roman" w:hint="default"/>
        <w:b/>
        <w:bCs/>
        <w:i w:val="0"/>
        <w:iCs w:val="0"/>
        <w:spacing w:val="0"/>
        <w:w w:val="99"/>
        <w:sz w:val="24"/>
        <w:szCs w:val="24"/>
        <w:lang w:val="en-US" w:eastAsia="en-US" w:bidi="ar-SA"/>
      </w:rPr>
    </w:lvl>
    <w:lvl w:ilvl="3">
      <w:numFmt w:val="bullet"/>
      <w:lvlText w:val="•"/>
      <w:lvlJc w:val="left"/>
      <w:pPr>
        <w:ind w:left="1361" w:hanging="719"/>
      </w:pPr>
      <w:rPr>
        <w:rFonts w:hint="default"/>
        <w:lang w:val="en-US" w:eastAsia="en-US" w:bidi="ar-SA"/>
      </w:rPr>
    </w:lvl>
    <w:lvl w:ilvl="4">
      <w:numFmt w:val="bullet"/>
      <w:lvlText w:val="•"/>
      <w:lvlJc w:val="left"/>
      <w:pPr>
        <w:ind w:left="1502" w:hanging="719"/>
      </w:pPr>
      <w:rPr>
        <w:rFonts w:hint="default"/>
        <w:lang w:val="en-US" w:eastAsia="en-US" w:bidi="ar-SA"/>
      </w:rPr>
    </w:lvl>
    <w:lvl w:ilvl="5">
      <w:numFmt w:val="bullet"/>
      <w:lvlText w:val="•"/>
      <w:lvlJc w:val="left"/>
      <w:pPr>
        <w:ind w:left="1642" w:hanging="719"/>
      </w:pPr>
      <w:rPr>
        <w:rFonts w:hint="default"/>
        <w:lang w:val="en-US" w:eastAsia="en-US" w:bidi="ar-SA"/>
      </w:rPr>
    </w:lvl>
    <w:lvl w:ilvl="6">
      <w:numFmt w:val="bullet"/>
      <w:lvlText w:val="•"/>
      <w:lvlJc w:val="left"/>
      <w:pPr>
        <w:ind w:left="1783" w:hanging="719"/>
      </w:pPr>
      <w:rPr>
        <w:rFonts w:hint="default"/>
        <w:lang w:val="en-US" w:eastAsia="en-US" w:bidi="ar-SA"/>
      </w:rPr>
    </w:lvl>
    <w:lvl w:ilvl="7">
      <w:numFmt w:val="bullet"/>
      <w:lvlText w:val="•"/>
      <w:lvlJc w:val="left"/>
      <w:pPr>
        <w:ind w:left="1924" w:hanging="719"/>
      </w:pPr>
      <w:rPr>
        <w:rFonts w:hint="default"/>
        <w:lang w:val="en-US" w:eastAsia="en-US" w:bidi="ar-SA"/>
      </w:rPr>
    </w:lvl>
    <w:lvl w:ilvl="8">
      <w:numFmt w:val="bullet"/>
      <w:lvlText w:val="•"/>
      <w:lvlJc w:val="left"/>
      <w:pPr>
        <w:ind w:left="2065" w:hanging="719"/>
      </w:pPr>
      <w:rPr>
        <w:rFonts w:hint="default"/>
        <w:lang w:val="en-US" w:eastAsia="en-US" w:bidi="ar-SA"/>
      </w:rPr>
    </w:lvl>
  </w:abstractNum>
  <w:abstractNum w:abstractNumId="14" w15:restartNumberingAfterBreak="0">
    <w:nsid w:val="72183CF9"/>
    <w:multiLevelType w:val="multilevel"/>
    <w:tmpl w:val="72183CF9"/>
    <w:lvl w:ilvl="0">
      <w:start w:val="7"/>
      <w:numFmt w:val="decimal"/>
      <w:lvlText w:val="%1."/>
      <w:lvlJc w:val="left"/>
      <w:pPr>
        <w:ind w:left="695" w:hanging="276"/>
      </w:pPr>
      <w:rPr>
        <w:rFonts w:ascii="Times New Roman" w:eastAsia="Times New Roman" w:hAnsi="Times New Roman" w:cs="Times New Roman" w:hint="default"/>
        <w:b w:val="0"/>
        <w:bCs w:val="0"/>
        <w:i w:val="0"/>
        <w:iCs w:val="0"/>
        <w:spacing w:val="0"/>
        <w:w w:val="99"/>
        <w:sz w:val="24"/>
        <w:szCs w:val="24"/>
        <w:lang w:val="en-US" w:eastAsia="en-US" w:bidi="ar-SA"/>
      </w:rPr>
    </w:lvl>
    <w:lvl w:ilvl="1">
      <w:numFmt w:val="bullet"/>
      <w:lvlText w:val="•"/>
      <w:lvlJc w:val="left"/>
      <w:pPr>
        <w:ind w:left="1638" w:hanging="276"/>
      </w:pPr>
      <w:rPr>
        <w:rFonts w:hint="default"/>
        <w:lang w:val="en-US" w:eastAsia="en-US" w:bidi="ar-SA"/>
      </w:rPr>
    </w:lvl>
    <w:lvl w:ilvl="2">
      <w:numFmt w:val="bullet"/>
      <w:lvlText w:val="•"/>
      <w:lvlJc w:val="left"/>
      <w:pPr>
        <w:ind w:left="2576" w:hanging="276"/>
      </w:pPr>
      <w:rPr>
        <w:rFonts w:hint="default"/>
        <w:lang w:val="en-US" w:eastAsia="en-US" w:bidi="ar-SA"/>
      </w:rPr>
    </w:lvl>
    <w:lvl w:ilvl="3">
      <w:numFmt w:val="bullet"/>
      <w:lvlText w:val="•"/>
      <w:lvlJc w:val="left"/>
      <w:pPr>
        <w:ind w:left="3514" w:hanging="276"/>
      </w:pPr>
      <w:rPr>
        <w:rFonts w:hint="default"/>
        <w:lang w:val="en-US" w:eastAsia="en-US" w:bidi="ar-SA"/>
      </w:rPr>
    </w:lvl>
    <w:lvl w:ilvl="4">
      <w:numFmt w:val="bullet"/>
      <w:lvlText w:val="•"/>
      <w:lvlJc w:val="left"/>
      <w:pPr>
        <w:ind w:left="4452" w:hanging="276"/>
      </w:pPr>
      <w:rPr>
        <w:rFonts w:hint="default"/>
        <w:lang w:val="en-US" w:eastAsia="en-US" w:bidi="ar-SA"/>
      </w:rPr>
    </w:lvl>
    <w:lvl w:ilvl="5">
      <w:numFmt w:val="bullet"/>
      <w:lvlText w:val="•"/>
      <w:lvlJc w:val="left"/>
      <w:pPr>
        <w:ind w:left="5390" w:hanging="276"/>
      </w:pPr>
      <w:rPr>
        <w:rFonts w:hint="default"/>
        <w:lang w:val="en-US" w:eastAsia="en-US" w:bidi="ar-SA"/>
      </w:rPr>
    </w:lvl>
    <w:lvl w:ilvl="6">
      <w:numFmt w:val="bullet"/>
      <w:lvlText w:val="•"/>
      <w:lvlJc w:val="left"/>
      <w:pPr>
        <w:ind w:left="6328" w:hanging="276"/>
      </w:pPr>
      <w:rPr>
        <w:rFonts w:hint="default"/>
        <w:lang w:val="en-US" w:eastAsia="en-US" w:bidi="ar-SA"/>
      </w:rPr>
    </w:lvl>
    <w:lvl w:ilvl="7">
      <w:numFmt w:val="bullet"/>
      <w:lvlText w:val="•"/>
      <w:lvlJc w:val="left"/>
      <w:pPr>
        <w:ind w:left="7266" w:hanging="276"/>
      </w:pPr>
      <w:rPr>
        <w:rFonts w:hint="default"/>
        <w:lang w:val="en-US" w:eastAsia="en-US" w:bidi="ar-SA"/>
      </w:rPr>
    </w:lvl>
    <w:lvl w:ilvl="8">
      <w:numFmt w:val="bullet"/>
      <w:lvlText w:val="•"/>
      <w:lvlJc w:val="left"/>
      <w:pPr>
        <w:ind w:left="8204" w:hanging="276"/>
      </w:pPr>
      <w:rPr>
        <w:rFonts w:hint="default"/>
        <w:lang w:val="en-US" w:eastAsia="en-US" w:bidi="ar-SA"/>
      </w:rPr>
    </w:lvl>
  </w:abstractNum>
  <w:num w:numId="1" w16cid:durableId="260724749">
    <w:abstractNumId w:val="4"/>
  </w:num>
  <w:num w:numId="2" w16cid:durableId="745110270">
    <w:abstractNumId w:val="3"/>
  </w:num>
  <w:num w:numId="3" w16cid:durableId="327053161">
    <w:abstractNumId w:val="13"/>
  </w:num>
  <w:num w:numId="4" w16cid:durableId="1916626932">
    <w:abstractNumId w:val="2"/>
  </w:num>
  <w:num w:numId="5" w16cid:durableId="1998000673">
    <w:abstractNumId w:val="1"/>
  </w:num>
  <w:num w:numId="6" w16cid:durableId="194125472">
    <w:abstractNumId w:val="7"/>
  </w:num>
  <w:num w:numId="7" w16cid:durableId="783574976">
    <w:abstractNumId w:val="9"/>
  </w:num>
  <w:num w:numId="8" w16cid:durableId="1938635163">
    <w:abstractNumId w:val="14"/>
  </w:num>
  <w:num w:numId="9" w16cid:durableId="1998218043">
    <w:abstractNumId w:val="6"/>
  </w:num>
  <w:num w:numId="10" w16cid:durableId="2080251613">
    <w:abstractNumId w:val="0"/>
  </w:num>
  <w:num w:numId="11" w16cid:durableId="357203028">
    <w:abstractNumId w:val="10"/>
  </w:num>
  <w:num w:numId="12" w16cid:durableId="1673100741">
    <w:abstractNumId w:val="5"/>
  </w:num>
  <w:num w:numId="13" w16cid:durableId="1585333583">
    <w:abstractNumId w:val="8"/>
  </w:num>
  <w:num w:numId="14" w16cid:durableId="512032943">
    <w:abstractNumId w:val="12"/>
  </w:num>
  <w:num w:numId="15" w16cid:durableId="7101077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trackRevisions/>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2MTUxNzU2NLc0NDdV0lEKTi0uzszPAykwrAUA2RyERywAAAA="/>
  </w:docVars>
  <w:rsids>
    <w:rsidRoot w:val="00547A1F"/>
    <w:rsid w:val="0003724F"/>
    <w:rsid w:val="0004011C"/>
    <w:rsid w:val="00046E5F"/>
    <w:rsid w:val="00080C4E"/>
    <w:rsid w:val="000D0E11"/>
    <w:rsid w:val="000F3887"/>
    <w:rsid w:val="00101883"/>
    <w:rsid w:val="00136FDC"/>
    <w:rsid w:val="0016005E"/>
    <w:rsid w:val="0018100F"/>
    <w:rsid w:val="001C6AD3"/>
    <w:rsid w:val="00215AD5"/>
    <w:rsid w:val="002C4AA7"/>
    <w:rsid w:val="0032034D"/>
    <w:rsid w:val="0034669D"/>
    <w:rsid w:val="0035258B"/>
    <w:rsid w:val="00375C20"/>
    <w:rsid w:val="0038555E"/>
    <w:rsid w:val="003A701B"/>
    <w:rsid w:val="00426CBD"/>
    <w:rsid w:val="00432291"/>
    <w:rsid w:val="004B73C7"/>
    <w:rsid w:val="004C706A"/>
    <w:rsid w:val="004E701E"/>
    <w:rsid w:val="00517554"/>
    <w:rsid w:val="00524209"/>
    <w:rsid w:val="00547A1F"/>
    <w:rsid w:val="00584E6E"/>
    <w:rsid w:val="005B4C21"/>
    <w:rsid w:val="00603A45"/>
    <w:rsid w:val="00627FAD"/>
    <w:rsid w:val="00640DF7"/>
    <w:rsid w:val="0064199A"/>
    <w:rsid w:val="0065746F"/>
    <w:rsid w:val="00682003"/>
    <w:rsid w:val="006B05A0"/>
    <w:rsid w:val="006D1A0F"/>
    <w:rsid w:val="00704B93"/>
    <w:rsid w:val="007200AE"/>
    <w:rsid w:val="007357B6"/>
    <w:rsid w:val="0073742B"/>
    <w:rsid w:val="00745B4A"/>
    <w:rsid w:val="007F3763"/>
    <w:rsid w:val="0083477F"/>
    <w:rsid w:val="0086399A"/>
    <w:rsid w:val="008713D1"/>
    <w:rsid w:val="00882F84"/>
    <w:rsid w:val="008915E6"/>
    <w:rsid w:val="008A3892"/>
    <w:rsid w:val="008A3FD2"/>
    <w:rsid w:val="008D19DF"/>
    <w:rsid w:val="008E69D5"/>
    <w:rsid w:val="00916053"/>
    <w:rsid w:val="009502AC"/>
    <w:rsid w:val="009510D2"/>
    <w:rsid w:val="00952DC2"/>
    <w:rsid w:val="00971E37"/>
    <w:rsid w:val="00984F77"/>
    <w:rsid w:val="009A1C5D"/>
    <w:rsid w:val="009D2FD0"/>
    <w:rsid w:val="009E07AE"/>
    <w:rsid w:val="00A2012D"/>
    <w:rsid w:val="00A565CB"/>
    <w:rsid w:val="00A83E66"/>
    <w:rsid w:val="00AA7110"/>
    <w:rsid w:val="00AB3FE8"/>
    <w:rsid w:val="00AC743A"/>
    <w:rsid w:val="00B22219"/>
    <w:rsid w:val="00B4209F"/>
    <w:rsid w:val="00B95945"/>
    <w:rsid w:val="00BB49F6"/>
    <w:rsid w:val="00BF0DAA"/>
    <w:rsid w:val="00BF792E"/>
    <w:rsid w:val="00C11991"/>
    <w:rsid w:val="00C15185"/>
    <w:rsid w:val="00C2555C"/>
    <w:rsid w:val="00C5363C"/>
    <w:rsid w:val="00C91677"/>
    <w:rsid w:val="00D02B8D"/>
    <w:rsid w:val="00D223FC"/>
    <w:rsid w:val="00D524A4"/>
    <w:rsid w:val="00D618D3"/>
    <w:rsid w:val="00D65368"/>
    <w:rsid w:val="00D661EB"/>
    <w:rsid w:val="00D71880"/>
    <w:rsid w:val="00D77AD5"/>
    <w:rsid w:val="00DA2511"/>
    <w:rsid w:val="00DB3861"/>
    <w:rsid w:val="00DC46BB"/>
    <w:rsid w:val="00E81B5D"/>
    <w:rsid w:val="00E910C5"/>
    <w:rsid w:val="00F32EDA"/>
    <w:rsid w:val="00F427A3"/>
    <w:rsid w:val="00F435B7"/>
    <w:rsid w:val="00F52FE1"/>
    <w:rsid w:val="00F61606"/>
    <w:rsid w:val="00F83725"/>
    <w:rsid w:val="00FE3A12"/>
    <w:rsid w:val="00FF0260"/>
    <w:rsid w:val="1FCD75CB"/>
    <w:rsid w:val="33CD6A27"/>
    <w:rsid w:val="43F72FD7"/>
    <w:rsid w:val="595B5B0A"/>
    <w:rsid w:val="5D924DFB"/>
    <w:rsid w:val="63B63E59"/>
    <w:rsid w:val="7E5521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47FF75"/>
  <w15:docId w15:val="{8EE224E2-15C8-4FA5-A430-B44F84E08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kern w:val="2"/>
      <w:sz w:val="22"/>
      <w:szCs w:val="22"/>
      <w14:ligatures w14:val="standardContextual"/>
    </w:rPr>
  </w:style>
  <w:style w:type="paragraph" w:styleId="Heading1">
    <w:name w:val="heading 1"/>
    <w:basedOn w:val="Normal"/>
    <w:link w:val="Heading1Char"/>
    <w:uiPriority w:val="1"/>
    <w:qFormat/>
    <w:rsid w:val="00704B93"/>
    <w:pPr>
      <w:widowControl w:val="0"/>
      <w:autoSpaceDE w:val="0"/>
      <w:autoSpaceDN w:val="0"/>
      <w:spacing w:after="0" w:line="240" w:lineRule="auto"/>
      <w:ind w:left="719" w:hanging="718"/>
      <w:outlineLvl w:val="0"/>
    </w:pPr>
    <w:rPr>
      <w:rFonts w:ascii="Times New Roman" w:eastAsia="Times New Roman" w:hAnsi="Times New Roman" w:cs="Times New Roman"/>
      <w:b/>
      <w:bCs/>
      <w:kern w:val="0"/>
      <w:sz w:val="24"/>
      <w:szCs w:val="24"/>
      <w14:ligatures w14:val="none"/>
    </w:rPr>
  </w:style>
  <w:style w:type="paragraph" w:styleId="Heading2">
    <w:name w:val="heading 2"/>
    <w:basedOn w:val="Normal"/>
    <w:link w:val="Heading2Char"/>
    <w:uiPriority w:val="1"/>
    <w:qFormat/>
    <w:rsid w:val="00704B93"/>
    <w:pPr>
      <w:widowControl w:val="0"/>
      <w:autoSpaceDE w:val="0"/>
      <w:autoSpaceDN w:val="0"/>
      <w:spacing w:after="0" w:line="240" w:lineRule="auto"/>
      <w:ind w:left="360"/>
      <w:outlineLvl w:val="1"/>
    </w:pPr>
    <w:rPr>
      <w:rFonts w:ascii="Times New Roman" w:eastAsia="Times New Roman" w:hAnsi="Times New Roman" w:cs="Times New Roman"/>
      <w:b/>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ing1Char">
    <w:name w:val="Heading 1 Char"/>
    <w:basedOn w:val="DefaultParagraphFont"/>
    <w:link w:val="Heading1"/>
    <w:uiPriority w:val="1"/>
    <w:rsid w:val="00704B93"/>
    <w:rPr>
      <w:rFonts w:eastAsia="Times New Roman"/>
      <w:b/>
      <w:bCs/>
      <w:sz w:val="24"/>
      <w:szCs w:val="24"/>
    </w:rPr>
  </w:style>
  <w:style w:type="character" w:customStyle="1" w:styleId="Heading2Char">
    <w:name w:val="Heading 2 Char"/>
    <w:basedOn w:val="DefaultParagraphFont"/>
    <w:link w:val="Heading2"/>
    <w:uiPriority w:val="1"/>
    <w:rsid w:val="00704B93"/>
    <w:rPr>
      <w:rFonts w:eastAsia="Times New Roman"/>
      <w:b/>
      <w:bCs/>
      <w:sz w:val="24"/>
      <w:szCs w:val="24"/>
    </w:rPr>
  </w:style>
  <w:style w:type="paragraph" w:styleId="BodyText">
    <w:name w:val="Body Text"/>
    <w:basedOn w:val="Normal"/>
    <w:link w:val="BodyTextChar"/>
    <w:uiPriority w:val="1"/>
    <w:qFormat/>
    <w:rsid w:val="00704B93"/>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sid w:val="00704B93"/>
    <w:rPr>
      <w:rFonts w:eastAsia="Times New Roman"/>
      <w:sz w:val="24"/>
      <w:szCs w:val="24"/>
    </w:rPr>
  </w:style>
  <w:style w:type="table" w:customStyle="1" w:styleId="TableNormal1">
    <w:name w:val="Table Normal1"/>
    <w:uiPriority w:val="2"/>
    <w:semiHidden/>
    <w:unhideWhenUsed/>
    <w:qFormat/>
    <w:rsid w:val="00704B93"/>
    <w:rPr>
      <w:rFonts w:asciiTheme="minorHAnsi" w:eastAsiaTheme="minorHAnsi" w:hAnsiTheme="minorHAnsi" w:cstheme="minorBidi"/>
    </w:rPr>
    <w:tblPr>
      <w:tblCellMar>
        <w:top w:w="0" w:type="dxa"/>
        <w:left w:w="0" w:type="dxa"/>
        <w:bottom w:w="0" w:type="dxa"/>
        <w:right w:w="0" w:type="dxa"/>
      </w:tblCellMar>
    </w:tblPr>
  </w:style>
  <w:style w:type="paragraph" w:styleId="ListParagraph">
    <w:name w:val="List Paragraph"/>
    <w:basedOn w:val="Normal"/>
    <w:uiPriority w:val="1"/>
    <w:qFormat/>
    <w:rsid w:val="00704B93"/>
    <w:pPr>
      <w:widowControl w:val="0"/>
      <w:autoSpaceDE w:val="0"/>
      <w:autoSpaceDN w:val="0"/>
      <w:spacing w:after="0" w:line="240" w:lineRule="auto"/>
      <w:ind w:left="898" w:hanging="538"/>
    </w:pPr>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704B93"/>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7F3763"/>
    <w:rPr>
      <w:color w:val="605E5C"/>
      <w:shd w:val="clear" w:color="auto" w:fill="E1DFDD"/>
    </w:rPr>
  </w:style>
  <w:style w:type="paragraph" w:customStyle="1" w:styleId="pdq2pgselectionanchorcontainer">
    <w:name w:val="pdq2pg_selectionanchorcontainer"/>
    <w:basedOn w:val="Normal"/>
    <w:rsid w:val="008A389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8A3892"/>
    <w:rPr>
      <w:i/>
      <w:iCs/>
    </w:rPr>
  </w:style>
  <w:style w:type="paragraph" w:styleId="Revision">
    <w:name w:val="Revision"/>
    <w:hidden/>
    <w:uiPriority w:val="99"/>
    <w:unhideWhenUsed/>
    <w:rsid w:val="006B05A0"/>
    <w:rPr>
      <w:rFonts w:asciiTheme="minorHAnsi" w:eastAsiaTheme="minorHAnsi" w:hAnsiTheme="minorHAnsi" w:cstheme="minorBidi"/>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2.jpeg"/><Relationship Id="rId21" Type="http://schemas.openxmlformats.org/officeDocument/2006/relationships/header" Target="header12.xml"/><Relationship Id="rId42" Type="http://schemas.openxmlformats.org/officeDocument/2006/relationships/hyperlink" Target="https://doi.org/10.14421/biomedich.2020.92.91-95" TargetMode="External"/><Relationship Id="rId47" Type="http://schemas.openxmlformats.org/officeDocument/2006/relationships/hyperlink" Target="https://doi.org/10.1080/10408699891274273" TargetMode="External"/><Relationship Id="rId63" Type="http://schemas.openxmlformats.org/officeDocument/2006/relationships/hyperlink" Target="https://doi.org/10.3390/molecules16065268" TargetMode="External"/><Relationship Id="rId68" Type="http://schemas.openxmlformats.org/officeDocument/2006/relationships/hyperlink" Target="https://doi.org/10.1016/S2213-8587(17)30186-9" TargetMode="External"/><Relationship Id="rId84" Type="http://schemas.openxmlformats.org/officeDocument/2006/relationships/hyperlink" Target="https://doi.org/10.19026/ijfas.4.2204" TargetMode="External"/><Relationship Id="rId89" Type="http://schemas.openxmlformats.org/officeDocument/2006/relationships/hyperlink" Target="https://doi.org/10.2337/dc10-0872" TargetMode="External"/><Relationship Id="rId16" Type="http://schemas.openxmlformats.org/officeDocument/2006/relationships/header" Target="header7.xml"/><Relationship Id="rId107" Type="http://schemas.openxmlformats.org/officeDocument/2006/relationships/theme" Target="theme/theme1.xml"/><Relationship Id="rId11" Type="http://schemas.openxmlformats.org/officeDocument/2006/relationships/header" Target="header3.xml"/><Relationship Id="rId32" Type="http://schemas.openxmlformats.org/officeDocument/2006/relationships/header" Target="header21.xml"/><Relationship Id="rId37" Type="http://schemas.openxmlformats.org/officeDocument/2006/relationships/hyperlink" Target="https://doi.org/10.15537/1658-3175.1627" TargetMode="External"/><Relationship Id="rId53" Type="http://schemas.openxmlformats.org/officeDocument/2006/relationships/hyperlink" Target="https://doi.org/10.1007/s00204-020-02779-2" TargetMode="External"/><Relationship Id="rId58" Type="http://schemas.openxmlformats.org/officeDocument/2006/relationships/hyperlink" Target="https://doi.org/10.1016/C2010-0-67226-9" TargetMode="External"/><Relationship Id="rId74" Type="http://schemas.openxmlformats.org/officeDocument/2006/relationships/hyperlink" Target="https://doi.org/10.1056/NEJMoa1610187" TargetMode="External"/><Relationship Id="rId79" Type="http://schemas.openxmlformats.org/officeDocument/2006/relationships/hyperlink" Target="https://doi.org/10.4314/jas.v34i1.4" TargetMode="External"/><Relationship Id="rId102" Type="http://schemas.openxmlformats.org/officeDocument/2006/relationships/footer" Target="footer4.xml"/><Relationship Id="rId5" Type="http://schemas.openxmlformats.org/officeDocument/2006/relationships/footnotes" Target="footnotes.xml"/><Relationship Id="rId90" Type="http://schemas.openxmlformats.org/officeDocument/2006/relationships/hyperlink" Target="https://doi.org/10.5625/lar.2017.33.2.57" TargetMode="External"/><Relationship Id="rId95" Type="http://schemas.openxmlformats.org/officeDocument/2006/relationships/hyperlink" Target="https://doi.org/10.1371/journal.pmed.1002926" TargetMode="External"/><Relationship Id="rId22" Type="http://schemas.openxmlformats.org/officeDocument/2006/relationships/header" Target="header13.xml"/><Relationship Id="rId27" Type="http://schemas.openxmlformats.org/officeDocument/2006/relationships/header" Target="header16.xml"/><Relationship Id="rId43" Type="http://schemas.openxmlformats.org/officeDocument/2006/relationships/hyperlink" Target="https://doi.org/10.4314/jpb.v17i2.10" TargetMode="External"/><Relationship Id="rId48" Type="http://schemas.openxmlformats.org/officeDocument/2006/relationships/hyperlink" Target="https://doi.org/10.1210/jc.2006-2641" TargetMode="External"/><Relationship Id="rId64" Type="http://schemas.openxmlformats.org/officeDocument/2006/relationships/hyperlink" Target="https://doi.org/10.1210/jc.2018-00132" TargetMode="External"/><Relationship Id="rId69" Type="http://schemas.openxmlformats.org/officeDocument/2006/relationships/hyperlink" Target="https://doi.org/10.56557/jodagh/2026/v19i110332" TargetMode="External"/><Relationship Id="rId80" Type="http://schemas.openxmlformats.org/officeDocument/2006/relationships/hyperlink" Target="https://doi.org/10.1787/9789264265295-en" TargetMode="External"/><Relationship Id="rId85" Type="http://schemas.openxmlformats.org/officeDocument/2006/relationships/hyperlink" Target="https://www.cifor-icraf.org/knowledge/publication/25648/" TargetMode="External"/><Relationship Id="rId12" Type="http://schemas.openxmlformats.org/officeDocument/2006/relationships/footer" Target="footer3.xml"/><Relationship Id="rId17" Type="http://schemas.openxmlformats.org/officeDocument/2006/relationships/header" Target="header8.xml"/><Relationship Id="rId33" Type="http://schemas.openxmlformats.org/officeDocument/2006/relationships/hyperlink" Target="https://doi.org/10.1016/j.anireprosci.2019.02.007" TargetMode="External"/><Relationship Id="rId38" Type="http://schemas.openxmlformats.org/officeDocument/2006/relationships/hyperlink" Target="https://doi.org/10.1530/REP-13-0178" TargetMode="External"/><Relationship Id="rId59" Type="http://schemas.openxmlformats.org/officeDocument/2006/relationships/hyperlink" Target="https://doi.org/10.1002/0471646776" TargetMode="External"/><Relationship Id="rId103" Type="http://schemas.openxmlformats.org/officeDocument/2006/relationships/footer" Target="footer5.xml"/><Relationship Id="rId20" Type="http://schemas.openxmlformats.org/officeDocument/2006/relationships/header" Target="header11.xml"/><Relationship Id="rId41" Type="http://schemas.openxmlformats.org/officeDocument/2006/relationships/hyperlink" Target="https://doi.org/10.1007/s10815-024-03314-3" TargetMode="External"/><Relationship Id="rId54" Type="http://schemas.openxmlformats.org/officeDocument/2006/relationships/hyperlink" Target="https://doi.org/10.14421/biomedich.2020.92.91-95" TargetMode="External"/><Relationship Id="rId62" Type="http://schemas.openxmlformats.org/officeDocument/2006/relationships/hyperlink" Target="https://doi.org/10.4314/bajopas.v9i2.38" TargetMode="External"/><Relationship Id="rId70" Type="http://schemas.openxmlformats.org/officeDocument/2006/relationships/hyperlink" Target="https://doi.org/10.1007/BF01234480" TargetMode="External"/><Relationship Id="rId75" Type="http://schemas.openxmlformats.org/officeDocument/2006/relationships/hyperlink" Target="https://doi.org/10.1111/dme.12332" TargetMode="External"/><Relationship Id="rId83" Type="http://schemas.openxmlformats.org/officeDocument/2006/relationships/hyperlink" Target="https://doi.org/10.1093/humupd/dmn042" TargetMode="External"/><Relationship Id="rId88" Type="http://schemas.openxmlformats.org/officeDocument/2006/relationships/hyperlink" Target="https://doi.org/10.1016/j.fertnstert.2010.07.1086" TargetMode="External"/><Relationship Id="rId91" Type="http://schemas.openxmlformats.org/officeDocument/2006/relationships/hyperlink" Target="https://doi.org/10.1093/acrefore/9780190632366.013.184" TargetMode="External"/><Relationship Id="rId96" Type="http://schemas.openxmlformats.org/officeDocument/2006/relationships/hyperlink" Target="https://doi.org/10.1007/s00125-010-2003-6"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6.xml"/><Relationship Id="rId23" Type="http://schemas.openxmlformats.org/officeDocument/2006/relationships/header" Target="header14.xml"/><Relationship Id="rId28" Type="http://schemas.openxmlformats.org/officeDocument/2006/relationships/header" Target="header17.xml"/><Relationship Id="rId36" Type="http://schemas.openxmlformats.org/officeDocument/2006/relationships/hyperlink" Target="https://doi.org/10.3390/separations9070172" TargetMode="External"/><Relationship Id="rId49" Type="http://schemas.openxmlformats.org/officeDocument/2006/relationships/hyperlink" Target="https://doi.org/10.1093/humupd/dms024" TargetMode="External"/><Relationship Id="rId57" Type="http://schemas.openxmlformats.org/officeDocument/2006/relationships/hyperlink" Target="https://doi.org/10.1503/cmaj.1040752" TargetMode="External"/><Relationship Id="rId106" Type="http://schemas.openxmlformats.org/officeDocument/2006/relationships/fontTable" Target="fontTable.xml"/><Relationship Id="rId10" Type="http://schemas.openxmlformats.org/officeDocument/2006/relationships/footer" Target="footer2.xml"/><Relationship Id="rId31" Type="http://schemas.openxmlformats.org/officeDocument/2006/relationships/header" Target="header20.xml"/><Relationship Id="rId44" Type="http://schemas.openxmlformats.org/officeDocument/2006/relationships/hyperlink" Target="https://doi.org/10.9734/jamps/2021/v23i830253" TargetMode="External"/><Relationship Id="rId52" Type="http://schemas.openxmlformats.org/officeDocument/2006/relationships/hyperlink" Target="https://doi.org/10.2659/njbmb.2023.224" TargetMode="External"/><Relationship Id="rId60" Type="http://schemas.openxmlformats.org/officeDocument/2006/relationships/hyperlink" Target="https://doi.org/10.1186/s10020-023-00771-x" TargetMode="External"/><Relationship Id="rId65" Type="http://schemas.openxmlformats.org/officeDocument/2006/relationships/hyperlink" Target="https://doi.org/10.1007/s11886-014-0467-6" TargetMode="External"/><Relationship Id="rId73" Type="http://schemas.openxmlformats.org/officeDocument/2006/relationships/hyperlink" Target="https://repository.unam.edu.na/items/bdd6ff73-d366-4ec3-9ce9-de545d561954?utm_source=chatgpt.com" TargetMode="External"/><Relationship Id="rId78" Type="http://schemas.openxmlformats.org/officeDocument/2006/relationships/hyperlink" Target="https://doi.org/10.9734/BJAST/2016/19811" TargetMode="External"/><Relationship Id="rId81" Type="http://schemas.openxmlformats.org/officeDocument/2006/relationships/hyperlink" Target="https://doi.org/10.1787/9789264071001-en" TargetMode="External"/><Relationship Id="rId86" Type="http://schemas.openxmlformats.org/officeDocument/2006/relationships/hyperlink" Target="https://doi.org/10.2217/whe.09.47" TargetMode="External"/><Relationship Id="rId94" Type="http://schemas.openxmlformats.org/officeDocument/2006/relationships/hyperlink" Target="https://doi.org/10.1016/j.cca.2020.05.039" TargetMode="External"/><Relationship Id="rId99" Type="http://schemas.openxmlformats.org/officeDocument/2006/relationships/hyperlink" Target="https://doi.org/10.3390/molecules201219753" TargetMode="External"/><Relationship Id="rId101" Type="http://schemas.openxmlformats.org/officeDocument/2006/relationships/header" Target="header23.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eader" Target="header4.xml"/><Relationship Id="rId18" Type="http://schemas.openxmlformats.org/officeDocument/2006/relationships/header" Target="header9.xml"/><Relationship Id="rId39" Type="http://schemas.openxmlformats.org/officeDocument/2006/relationships/hyperlink" Target="https://doi.org/10.1002/ptr.5814" TargetMode="External"/><Relationship Id="rId34" Type="http://schemas.openxmlformats.org/officeDocument/2006/relationships/hyperlink" Target="https://doi.org/10.5539/ep.v2n3p92" TargetMode="External"/><Relationship Id="rId50" Type="http://schemas.openxmlformats.org/officeDocument/2006/relationships/hyperlink" Target="https://doi.org/10.1080/00034983.1996.11813089" TargetMode="External"/><Relationship Id="rId55" Type="http://schemas.openxmlformats.org/officeDocument/2006/relationships/hyperlink" Target="https://doi.org/10.1093/humrep/dew200" TargetMode="External"/><Relationship Id="rId76" Type="http://schemas.openxmlformats.org/officeDocument/2006/relationships/hyperlink" Target="https://doi.org/10.9790/2380-08517174" TargetMode="External"/><Relationship Id="rId97" Type="http://schemas.openxmlformats.org/officeDocument/2006/relationships/hyperlink" Target="https://doi.org/10.1097/GRH.0000000000000052" TargetMode="External"/><Relationship Id="rId104" Type="http://schemas.openxmlformats.org/officeDocument/2006/relationships/header" Target="header24.xml"/><Relationship Id="rId7" Type="http://schemas.openxmlformats.org/officeDocument/2006/relationships/header" Target="header1.xml"/><Relationship Id="rId71" Type="http://schemas.openxmlformats.org/officeDocument/2006/relationships/hyperlink" Target="https://doi.org/10.1111/j.1365-2605.2007.00849.x" TargetMode="External"/><Relationship Id="rId92" Type="http://schemas.openxmlformats.org/officeDocument/2006/relationships/hyperlink" Target="https://doi.org/10.1016/S2213-8587(19)30345-6" TargetMode="External"/><Relationship Id="rId2" Type="http://schemas.openxmlformats.org/officeDocument/2006/relationships/styles" Target="styles.xml"/><Relationship Id="rId29" Type="http://schemas.openxmlformats.org/officeDocument/2006/relationships/header" Target="header18.xml"/><Relationship Id="rId24" Type="http://schemas.openxmlformats.org/officeDocument/2006/relationships/header" Target="header15.xml"/><Relationship Id="rId40" Type="http://schemas.openxmlformats.org/officeDocument/2006/relationships/hyperlink" Target="https://doi.org/10.3389/fcell.2015.00021" TargetMode="External"/><Relationship Id="rId45" Type="http://schemas.openxmlformats.org/officeDocument/2006/relationships/hyperlink" Target="https://doi.org/10.1155/2015/473296" TargetMode="External"/><Relationship Id="rId66" Type="http://schemas.openxmlformats.org/officeDocument/2006/relationships/hyperlink" Target="https://doi.org/10.1002/hep.22109" TargetMode="External"/><Relationship Id="rId87" Type="http://schemas.openxmlformats.org/officeDocument/2006/relationships/hyperlink" Target="https://doi.org/10.4103/0976-500X.81895" TargetMode="External"/><Relationship Id="rId61" Type="http://schemas.openxmlformats.org/officeDocument/2006/relationships/hyperlink" Target="https://doi.org/10.5772/54493" TargetMode="External"/><Relationship Id="rId82" Type="http://schemas.openxmlformats.org/officeDocument/2006/relationships/hyperlink" Target="https://doi.org/10.1006/rtph.2000.1399" TargetMode="External"/><Relationship Id="rId19" Type="http://schemas.openxmlformats.org/officeDocument/2006/relationships/header" Target="header10.xml"/><Relationship Id="rId14" Type="http://schemas.openxmlformats.org/officeDocument/2006/relationships/header" Target="header5.xml"/><Relationship Id="rId30" Type="http://schemas.openxmlformats.org/officeDocument/2006/relationships/header" Target="header19.xml"/><Relationship Id="rId35" Type="http://schemas.openxmlformats.org/officeDocument/2006/relationships/hyperlink" Target="https://doi.org/10.1093/humrep/dem077" TargetMode="External"/><Relationship Id="rId56" Type="http://schemas.openxmlformats.org/officeDocument/2006/relationships/hyperlink" Target="https://doi.org/10.3389/fendo.2024.1357279" TargetMode="External"/><Relationship Id="rId77" Type="http://schemas.openxmlformats.org/officeDocument/2006/relationships/hyperlink" Target="https://doi.org/10.4314/dujopas.v7i4a.20" TargetMode="External"/><Relationship Id="rId100" Type="http://schemas.openxmlformats.org/officeDocument/2006/relationships/header" Target="header22.xml"/><Relationship Id="rId105" Type="http://schemas.openxmlformats.org/officeDocument/2006/relationships/footer" Target="footer6.xml"/><Relationship Id="rId8" Type="http://schemas.openxmlformats.org/officeDocument/2006/relationships/header" Target="header2.xml"/><Relationship Id="rId51" Type="http://schemas.openxmlformats.org/officeDocument/2006/relationships/hyperlink" Target="https://doi.org/10.1210/jc.2010-2724" TargetMode="External"/><Relationship Id="rId72" Type="http://schemas.openxmlformats.org/officeDocument/2006/relationships/hyperlink" Target="https://doi.org/10.3923/rjmp.2017.115.123" TargetMode="External"/><Relationship Id="rId93" Type="http://schemas.openxmlformats.org/officeDocument/2006/relationships/hyperlink" Target="https://doi.org/10.25004/IJPSDR.2012.040405" TargetMode="External"/><Relationship Id="rId98" Type="http://schemas.openxmlformats.org/officeDocument/2006/relationships/hyperlink" Target="https://doi.org/10.1016/j.fertnstert.2009.09.009" TargetMode="External"/><Relationship Id="rId3" Type="http://schemas.openxmlformats.org/officeDocument/2006/relationships/settings" Target="settings.xml"/><Relationship Id="rId25" Type="http://schemas.openxmlformats.org/officeDocument/2006/relationships/image" Target="media/image1.jpeg"/><Relationship Id="rId46" Type="http://schemas.openxmlformats.org/officeDocument/2006/relationships/hyperlink" Target="https://doi.org/10.5897/AJB2020.17107" TargetMode="External"/><Relationship Id="rId67" Type="http://schemas.openxmlformats.org/officeDocument/2006/relationships/hyperlink" Target="https://doi.org/10.1210/jcem.75.2.16399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41</Pages>
  <Words>10792</Words>
  <Characters>61517</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Josephat Ejike Ozor</dc:creator>
  <cp:lastModifiedBy>SDI 1186</cp:lastModifiedBy>
  <cp:revision>20</cp:revision>
  <dcterms:created xsi:type="dcterms:W3CDTF">2026-09-05T13:26:00Z</dcterms:created>
  <dcterms:modified xsi:type="dcterms:W3CDTF">2026-09-09T12:05:00Z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eyJoZGlkIjoiZDM1ZTIzMjg4YzEwNTA3NzJmN2M3MjMwMGQwYmM5MjYifQ==</vt:lpwstr>
  </property>
  <property fmtid="{D5CDD505-2E9C-101B-9397-08002B2CF9AE}" pid="3" name="KSOProductBuildVer">
    <vt:lpwstr>1033-12.1.0.27458</vt:lpwstr>
  </property>
  <property fmtid="{D5CDD505-2E9C-101B-9397-08002B2CF9AE}" pid="4" name="ICV">
    <vt:lpwstr>2C976766CB1B457DAB5529B64F0BF3D5_12</vt:lpwstr>
  </property>
</Properties>
</file>