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AFECC" w14:textId="77777777" w:rsidR="00443DEF" w:rsidRPr="00443DEF" w:rsidRDefault="00443DEF" w:rsidP="00443DEF">
      <w:pPr>
        <w:rPr>
          <w:b/>
          <w:bCs/>
          <w:i/>
          <w:iCs/>
          <w:sz w:val="30"/>
          <w:u w:val="single"/>
        </w:rPr>
      </w:pPr>
      <w:r w:rsidRPr="00443DEF">
        <w:rPr>
          <w:b/>
          <w:bCs/>
          <w:i/>
          <w:iCs/>
          <w:sz w:val="30"/>
          <w:u w:val="single"/>
        </w:rPr>
        <w:t>Original Research Article</w:t>
      </w:r>
    </w:p>
    <w:p w14:paraId="100D9DB9" w14:textId="77777777" w:rsidR="007A70A3" w:rsidRPr="007B5458" w:rsidRDefault="00F7451F" w:rsidP="003D2FC8">
      <w:pPr>
        <w:rPr>
          <w:b/>
          <w:sz w:val="30"/>
        </w:rPr>
      </w:pPr>
      <w:r w:rsidRPr="007B5458">
        <w:rPr>
          <w:b/>
          <w:sz w:val="30"/>
        </w:rPr>
        <w:t>The Impact of Leadership Style on Employees’ Turnover Intention</w:t>
      </w:r>
    </w:p>
    <w:p w14:paraId="75686BDD" w14:textId="77777777" w:rsidR="00B856F8" w:rsidRDefault="00B856F8" w:rsidP="00BB3FB2">
      <w:pPr>
        <w:spacing w:after="80"/>
        <w:jc w:val="right"/>
        <w:rPr>
          <w:i/>
          <w:iCs/>
          <w:color w:val="000000"/>
        </w:rPr>
      </w:pPr>
    </w:p>
    <w:p w14:paraId="41FEFD30" w14:textId="77777777" w:rsidR="005210AB" w:rsidRPr="007B5458" w:rsidRDefault="005210AB" w:rsidP="00BB3FB2">
      <w:pPr>
        <w:spacing w:after="80"/>
        <w:jc w:val="right"/>
        <w:rPr>
          <w:i/>
          <w:iCs/>
          <w:color w:val="000000"/>
        </w:rPr>
      </w:pPr>
    </w:p>
    <w:p w14:paraId="6E43F6AC" w14:textId="77777777" w:rsidR="007A70A3" w:rsidRPr="007B5458" w:rsidRDefault="00F7451F">
      <w:pPr>
        <w:pStyle w:val="Heading1"/>
        <w:spacing w:before="200" w:after="80"/>
      </w:pPr>
      <w:r w:rsidRPr="007B5458">
        <w:rPr>
          <w:rFonts w:ascii="Times New Roman" w:hAnsi="Times New Roman"/>
          <w:sz w:val="24"/>
        </w:rPr>
        <w:t>Abstract</w:t>
      </w:r>
    </w:p>
    <w:p w14:paraId="405B1554" w14:textId="77777777" w:rsidR="007A70A3" w:rsidRPr="007B5458" w:rsidRDefault="00F7451F">
      <w:pPr>
        <w:spacing w:after="80"/>
        <w:jc w:val="both"/>
      </w:pPr>
      <w:r w:rsidRPr="007B5458">
        <w:rPr>
          <w:color w:val="000000"/>
        </w:rPr>
        <w:t xml:space="preserve">Employee turnover is particularly costly for micro, small, and medium enterprises (MSMEs), which often depend on a limited number of experienced employees and operate with constrained human-resource systems. This study examines the effects of transformational and transactional leadership on employees’ turnover intention in Vietnamese MSMEs. Survey data from 361 employees were </w:t>
      </w:r>
      <w:r w:rsidRPr="007B5458">
        <w:rPr>
          <w:color w:val="000000"/>
          <w:highlight w:val="yellow"/>
        </w:rPr>
        <w:t>analysed</w:t>
      </w:r>
      <w:r w:rsidRPr="007B5458">
        <w:rPr>
          <w:color w:val="000000"/>
        </w:rPr>
        <w:t xml:space="preserve"> using partial least squares structural equation </w:t>
      </w:r>
      <w:r w:rsidRPr="007B5458">
        <w:rPr>
          <w:color w:val="000000"/>
          <w:highlight w:val="yellow"/>
        </w:rPr>
        <w:t>modelling</w:t>
      </w:r>
      <w:r w:rsidRPr="007B5458">
        <w:rPr>
          <w:color w:val="000000"/>
        </w:rPr>
        <w:t xml:space="preserve">. The measurement model demonstrated satisfactory reliability and validity. Transformational leadership had a significant negative effect on turnover intention (β = −0.264, t = 7.107, p &lt; 0.001), while transactional leadership also reduced turnover intention (β = −0.232, t = 6.373, p &lt; 0.001). Transformational leadership produced the stronger effect, but both leadership styles made meaningful contributions. The findings extend leadership research in an emerging-economy MSME context by showing that relational support, vision, development, role clarity, consistent feedback, and fair performance-linked rewards can jointly strengthen employee retention. MSME managers should therefore combine inspirational and </w:t>
      </w:r>
      <w:r w:rsidRPr="007B5458">
        <w:rPr>
          <w:color w:val="000000"/>
          <w:highlight w:val="yellow"/>
        </w:rPr>
        <w:t>individualised</w:t>
      </w:r>
      <w:r w:rsidRPr="007B5458">
        <w:rPr>
          <w:color w:val="000000"/>
        </w:rPr>
        <w:t xml:space="preserve"> leadership with clear expectations, dependable feedback, and transparent reward practices.</w:t>
      </w:r>
    </w:p>
    <w:p w14:paraId="014E0046" w14:textId="40C6438E" w:rsidR="007A70A3" w:rsidRPr="007B5458" w:rsidRDefault="00F7451F">
      <w:pPr>
        <w:spacing w:after="160"/>
      </w:pPr>
      <w:r w:rsidRPr="007B5458">
        <w:rPr>
          <w:b/>
          <w:color w:val="000000"/>
        </w:rPr>
        <w:t xml:space="preserve">Keywords: </w:t>
      </w:r>
      <w:r w:rsidRPr="007B5458">
        <w:rPr>
          <w:color w:val="000000"/>
        </w:rPr>
        <w:t>transformational leadership; transactional leadership; turnover intention; employee retention; MSMEs</w:t>
      </w:r>
    </w:p>
    <w:p w14:paraId="286D3F38" w14:textId="77777777" w:rsidR="007A70A3" w:rsidRPr="007B5458" w:rsidRDefault="00F7451F">
      <w:pPr>
        <w:pStyle w:val="Heading1"/>
        <w:spacing w:before="200" w:after="80"/>
      </w:pPr>
      <w:r w:rsidRPr="007B5458">
        <w:rPr>
          <w:rFonts w:ascii="Times New Roman" w:hAnsi="Times New Roman"/>
          <w:sz w:val="24"/>
        </w:rPr>
        <w:t>1. Introduction</w:t>
      </w:r>
    </w:p>
    <w:p w14:paraId="021F0D42" w14:textId="77777777" w:rsidR="007A70A3" w:rsidRPr="007B5458" w:rsidRDefault="00F7451F">
      <w:pPr>
        <w:spacing w:after="80"/>
        <w:ind w:firstLine="397"/>
        <w:jc w:val="both"/>
      </w:pPr>
      <w:r w:rsidRPr="007B5458">
        <w:rPr>
          <w:color w:val="000000"/>
        </w:rPr>
        <w:t xml:space="preserve">Employee turnover increases recruitment and training costs, disrupts operations, weakens customer and coworker relationships, and causes the loss of </w:t>
      </w:r>
      <w:r w:rsidRPr="007B5458">
        <w:rPr>
          <w:color w:val="000000"/>
          <w:highlight w:val="yellow"/>
        </w:rPr>
        <w:t>organisational</w:t>
      </w:r>
      <w:r w:rsidRPr="007B5458">
        <w:rPr>
          <w:color w:val="000000"/>
        </w:rPr>
        <w:t xml:space="preserve"> knowledge (Hom et al., 2017). These consequences are particularly serious for MSMEs because they commonly operate with lean staffing, limited financial resources, informal human-resource systems, and substantial dependence on a small number of experienced employees. Retaining capable employees is therefore central to their continuity and competitiveness.</w:t>
      </w:r>
    </w:p>
    <w:p w14:paraId="7C4C47A5" w14:textId="77777777" w:rsidR="007A70A3" w:rsidRPr="007B5458" w:rsidRDefault="00F7451F">
      <w:pPr>
        <w:spacing w:after="80"/>
        <w:ind w:firstLine="397"/>
        <w:jc w:val="both"/>
      </w:pPr>
      <w:r w:rsidRPr="007B5458">
        <w:rPr>
          <w:color w:val="000000"/>
        </w:rPr>
        <w:t xml:space="preserve">Turnover intention is an employee’s conscious willingness to leave an </w:t>
      </w:r>
      <w:r w:rsidRPr="007B5458">
        <w:rPr>
          <w:color w:val="000000"/>
          <w:highlight w:val="yellow"/>
        </w:rPr>
        <w:t>organisation</w:t>
      </w:r>
      <w:r w:rsidRPr="007B5458">
        <w:rPr>
          <w:color w:val="000000"/>
        </w:rPr>
        <w:t xml:space="preserve"> and is widely treated as the closest cognitive precursor to voluntary turnover (Mobley, 1977; Tett &amp; Meyer, 1993). Previous research identifies job satisfaction, </w:t>
      </w:r>
      <w:r w:rsidRPr="007B5458">
        <w:rPr>
          <w:color w:val="000000"/>
          <w:highlight w:val="yellow"/>
        </w:rPr>
        <w:t>organisational</w:t>
      </w:r>
      <w:r w:rsidRPr="007B5458">
        <w:rPr>
          <w:color w:val="000000"/>
        </w:rPr>
        <w:t xml:space="preserve"> commitment, compensation, career opportunities, working conditions, and leadership as important antecedents. Among these factors, leadership is especially salient because supervisors shape daily work experiences, distribute recognition and resources, clarify expectations, resolve problems, and influence employees’ perceptions of </w:t>
      </w:r>
      <w:r w:rsidRPr="007B5458">
        <w:rPr>
          <w:color w:val="000000"/>
          <w:highlight w:val="yellow"/>
        </w:rPr>
        <w:t>organisational</w:t>
      </w:r>
      <w:r w:rsidRPr="007B5458">
        <w:rPr>
          <w:color w:val="000000"/>
        </w:rPr>
        <w:t xml:space="preserve"> support and fairness.</w:t>
      </w:r>
    </w:p>
    <w:p w14:paraId="15658303" w14:textId="77777777" w:rsidR="007A70A3" w:rsidRPr="007B5458" w:rsidRDefault="00F7451F">
      <w:pPr>
        <w:spacing w:after="80"/>
        <w:ind w:firstLine="397"/>
        <w:jc w:val="both"/>
      </w:pPr>
      <w:r w:rsidRPr="007B5458">
        <w:rPr>
          <w:color w:val="000000"/>
        </w:rPr>
        <w:t xml:space="preserve">This study examines two leadership styles derived from the full-range leadership perspective: transformational and transactional leadership. Transformational leaders articulate a compelling direction, encourage employees to think differently, provide </w:t>
      </w:r>
      <w:r w:rsidRPr="007B5458">
        <w:rPr>
          <w:color w:val="000000"/>
          <w:highlight w:val="yellow"/>
        </w:rPr>
        <w:t>individualised</w:t>
      </w:r>
      <w:r w:rsidRPr="007B5458">
        <w:rPr>
          <w:color w:val="000000"/>
        </w:rPr>
        <w:t xml:space="preserve"> support, act as role models, and promote employee development (Bass, 1985; Bass &amp; Avolio, 1995). Transactional leaders clarify performance expectations, monitor work, provide corrective feedback, and link outcomes to performance. Although these styles rely on different mechanisms, both may reduce employees’ intention to leave.</w:t>
      </w:r>
    </w:p>
    <w:p w14:paraId="725FD8D6" w14:textId="77777777" w:rsidR="007A70A3" w:rsidRPr="007B5458" w:rsidRDefault="00F7451F">
      <w:pPr>
        <w:spacing w:after="80"/>
        <w:ind w:firstLine="397"/>
        <w:jc w:val="both"/>
      </w:pPr>
      <w:r w:rsidRPr="007B5458">
        <w:rPr>
          <w:color w:val="000000"/>
        </w:rPr>
        <w:lastRenderedPageBreak/>
        <w:t>The issue is particularly relevant to Vietnamese MSMEs. In smaller enterprises, leader–employee interactions are typically direct and frequent, formal procedures may be incomplete, and employees often perform overlapping roles. Transformational leadership may compensate for limited career structures by providing recognition, meaning, and development. Transactional leadership may reduce uncertainty by making expectations, feedback, and rewards more predictable. However, empirical evidence that examines both styles simultaneously in Vietnamese MSMEs remains limited.</w:t>
      </w:r>
    </w:p>
    <w:p w14:paraId="62420112" w14:textId="074A8ED9" w:rsidR="007A7A07" w:rsidRPr="00072167" w:rsidRDefault="00F7451F" w:rsidP="00072167">
      <w:pPr>
        <w:spacing w:after="80"/>
        <w:ind w:firstLine="397"/>
        <w:jc w:val="both"/>
      </w:pPr>
      <w:r w:rsidRPr="007B5458">
        <w:t xml:space="preserve">Recent empirical evidence strengthens the rationale for examining leadership as a retention-related factor in smaller firms. Transformational leadership has been associated with lower turnover intention through relational mechanisms such as leader-member exchange and affective commitment, indicating that employees may interpret developmental and supportive leader </w:t>
      </w:r>
      <w:r w:rsidRPr="007B5458">
        <w:rPr>
          <w:highlight w:val="yellow"/>
        </w:rPr>
        <w:t>behaviour</w:t>
      </w:r>
      <w:r w:rsidRPr="007B5458">
        <w:t xml:space="preserve"> as a valued social resource (Tse et al., 2013). In an SME-specific setting, transformational leadership was also linked to lower turnover intention through psychological empowerment, trust, and </w:t>
      </w:r>
      <w:r w:rsidRPr="007B5458">
        <w:rPr>
          <w:highlight w:val="yellow"/>
        </w:rPr>
        <w:t>organisational</w:t>
      </w:r>
      <w:r w:rsidRPr="007B5458">
        <w:t xml:space="preserve"> commitment (Mittal, 2016). Evidence from Vietnamese SMEs further shows that leadership styles shape employee motivation, trust, the work environment, and retention-related </w:t>
      </w:r>
      <w:r w:rsidRPr="007B5458">
        <w:rPr>
          <w:highlight w:val="yellow"/>
        </w:rPr>
        <w:t>organisational</w:t>
      </w:r>
      <w:r w:rsidRPr="007B5458">
        <w:t xml:space="preserve"> outcomes, suggesting that national and enterprise context should be considered when interpreting leadership effects (</w:t>
      </w:r>
      <w:r w:rsidR="002F281D">
        <w:t>Le et al., 2021</w:t>
      </w:r>
      <w:r w:rsidRPr="007B5458">
        <w:t>). More recent Vietnamese evidence likewise identifies transformational leadership as relevant to turnover intention through affective commitment and adaptive resilience, although such relationships should be interpreted as context-dependent rather than universally causal (Ha et al., 2024).</w:t>
      </w:r>
      <w:r w:rsidR="00072167">
        <w:t xml:space="preserve"> </w:t>
      </w:r>
      <w:r w:rsidRPr="00072167">
        <w:rPr>
          <w:bCs/>
          <w:highlight w:val="yellow"/>
        </w:rPr>
        <w:t>Additional recent studies in other organisational settings provide further context for the leadership–turnover relationship. Transformational leadership has been associated with lower turnover intention in private-hospital employees and hospitality workers, while supervisory responsibility has also been examined in relation to short- and long-term turnover intentions (Pattali et al., 2024; Chouhan, 2026; Funk, 2025). A hospitality-sector study also examined transformational leadership and turnover intention, while recent evidence on transformational and transactional leadership has linked these styles to employee productivity and job satisfaction (Suroya et al., 2023; Uzoamaka &amp; Amujiogu, 2025).</w:t>
      </w:r>
    </w:p>
    <w:p w14:paraId="193000FC" w14:textId="77777777" w:rsidR="007A7A07" w:rsidRPr="00072167" w:rsidRDefault="00000000">
      <w:pPr>
        <w:spacing w:after="80"/>
        <w:ind w:firstLine="397"/>
        <w:jc w:val="both"/>
        <w:rPr>
          <w:bCs/>
        </w:rPr>
      </w:pPr>
      <w:r w:rsidRPr="00072167">
        <w:rPr>
          <w:bCs/>
          <w:highlight w:val="yellow"/>
        </w:rPr>
        <w:t>Taken together, the literature reviewed above leaves a context-specific gap: evidence that simultaneously evaluates transformational and transactional leadership in relation to turnover intention among employees of Vietnamese MSMEs remains limited. Examining both styles in the same resource-constrained setting is therefore needed to clarify their distinct associations with employees’ intention to leave.</w:t>
      </w:r>
    </w:p>
    <w:p w14:paraId="61A2772C" w14:textId="77777777" w:rsidR="007A70A3" w:rsidRPr="007B5458" w:rsidRDefault="00F7451F">
      <w:pPr>
        <w:spacing w:after="80"/>
        <w:ind w:firstLine="397"/>
        <w:jc w:val="both"/>
      </w:pPr>
      <w:r w:rsidRPr="007B5458">
        <w:rPr>
          <w:color w:val="000000"/>
        </w:rPr>
        <w:t>Accordingly, this study investigates the effects of employees’ perceptions of transformational and transactional leadership on turnover intention. It contributes by comparing two distinct leadership mechanisms, extending leadership–turnover research to resource-constrained MSMEs, and applying Social Exchange Theory to explain why supportive and fair leadership practices strengthen employees’ willingness to remain.</w:t>
      </w:r>
    </w:p>
    <w:p w14:paraId="30C2B298" w14:textId="77777777" w:rsidR="007A70A3" w:rsidRPr="007B5458" w:rsidRDefault="00F7451F">
      <w:pPr>
        <w:pStyle w:val="Heading1"/>
        <w:spacing w:before="200" w:after="80"/>
      </w:pPr>
      <w:r w:rsidRPr="007B5458">
        <w:rPr>
          <w:rFonts w:ascii="Times New Roman" w:hAnsi="Times New Roman"/>
          <w:sz w:val="24"/>
        </w:rPr>
        <w:t>2. Theoretical Background</w:t>
      </w:r>
    </w:p>
    <w:p w14:paraId="384A425E" w14:textId="77777777" w:rsidR="007A70A3" w:rsidRPr="007B5458" w:rsidRDefault="00F7451F">
      <w:pPr>
        <w:pStyle w:val="Heading2"/>
        <w:spacing w:before="140" w:after="80"/>
      </w:pPr>
      <w:r w:rsidRPr="007B5458">
        <w:rPr>
          <w:rFonts w:ascii="Times New Roman" w:hAnsi="Times New Roman"/>
          <w:sz w:val="22"/>
        </w:rPr>
        <w:t>2.1. Social Exchange Theory</w:t>
      </w:r>
    </w:p>
    <w:p w14:paraId="13E0DF20" w14:textId="77777777" w:rsidR="007A70A3" w:rsidRPr="007B5458" w:rsidRDefault="00F7451F">
      <w:pPr>
        <w:spacing w:after="80"/>
        <w:ind w:firstLine="397"/>
        <w:jc w:val="both"/>
      </w:pPr>
      <w:r w:rsidRPr="007B5458">
        <w:rPr>
          <w:color w:val="000000"/>
        </w:rPr>
        <w:t xml:space="preserve">Social Exchange Theory explains workplace relationships as reciprocal exchanges of valued resources (Blau, 1964). Employees evaluate whether the </w:t>
      </w:r>
      <w:r w:rsidRPr="007B5458">
        <w:rPr>
          <w:color w:val="000000"/>
          <w:highlight w:val="yellow"/>
        </w:rPr>
        <w:t>organisation</w:t>
      </w:r>
      <w:r w:rsidRPr="007B5458">
        <w:rPr>
          <w:color w:val="000000"/>
        </w:rPr>
        <w:t xml:space="preserve"> and its representatives provide support, fairness, recognition, useful information, development opportunities, and dependable treatment. </w:t>
      </w:r>
      <w:r w:rsidRPr="007B5458">
        <w:rPr>
          <w:color w:val="000000"/>
          <w:highlight w:val="yellow"/>
        </w:rPr>
        <w:t>Favourable</w:t>
      </w:r>
      <w:r w:rsidRPr="007B5458">
        <w:rPr>
          <w:color w:val="000000"/>
        </w:rPr>
        <w:t xml:space="preserve"> exchanges encourage commitment and continued participation, whereas </w:t>
      </w:r>
      <w:r w:rsidRPr="007B5458">
        <w:rPr>
          <w:color w:val="000000"/>
          <w:highlight w:val="yellow"/>
        </w:rPr>
        <w:t>unfavourable</w:t>
      </w:r>
      <w:r w:rsidRPr="007B5458">
        <w:rPr>
          <w:color w:val="000000"/>
        </w:rPr>
        <w:t xml:space="preserve"> exchanges can promote withdrawal and thoughts of leaving.</w:t>
      </w:r>
    </w:p>
    <w:p w14:paraId="34DC9356" w14:textId="77777777" w:rsidR="007A70A3" w:rsidRPr="007B5458" w:rsidRDefault="00F7451F">
      <w:pPr>
        <w:spacing w:after="80"/>
        <w:ind w:firstLine="397"/>
        <w:jc w:val="both"/>
      </w:pPr>
      <w:r w:rsidRPr="007B5458">
        <w:rPr>
          <w:color w:val="000000"/>
        </w:rPr>
        <w:t xml:space="preserve">Supervisors are central agents in this process because employees often interpret their </w:t>
      </w:r>
      <w:r w:rsidRPr="007B5458">
        <w:rPr>
          <w:color w:val="000000"/>
          <w:highlight w:val="yellow"/>
        </w:rPr>
        <w:t>behaviour</w:t>
      </w:r>
      <w:r w:rsidRPr="007B5458">
        <w:rPr>
          <w:color w:val="000000"/>
        </w:rPr>
        <w:t xml:space="preserve"> as evidence of how the </w:t>
      </w:r>
      <w:r w:rsidRPr="007B5458">
        <w:rPr>
          <w:color w:val="000000"/>
          <w:highlight w:val="yellow"/>
        </w:rPr>
        <w:t>organisation</w:t>
      </w:r>
      <w:r w:rsidRPr="007B5458">
        <w:rPr>
          <w:color w:val="000000"/>
        </w:rPr>
        <w:t xml:space="preserve"> values them. Inspirational communication, </w:t>
      </w:r>
      <w:r w:rsidRPr="007B5458">
        <w:rPr>
          <w:color w:val="000000"/>
          <w:highlight w:val="yellow"/>
        </w:rPr>
        <w:t>individualised</w:t>
      </w:r>
      <w:r w:rsidRPr="007B5458">
        <w:rPr>
          <w:color w:val="000000"/>
        </w:rPr>
        <w:t xml:space="preserve"> attention, clear expectations, fair rewards, and constructive feedback are resources that employees can reciprocate through stronger attachment and lower turnover intention.</w:t>
      </w:r>
    </w:p>
    <w:p w14:paraId="0D0D1360" w14:textId="77777777" w:rsidR="007A70A3" w:rsidRPr="007B5458" w:rsidRDefault="00F7451F">
      <w:pPr>
        <w:pStyle w:val="Heading2"/>
        <w:spacing w:before="140" w:after="80"/>
      </w:pPr>
      <w:r w:rsidRPr="007B5458">
        <w:rPr>
          <w:rFonts w:ascii="Times New Roman" w:hAnsi="Times New Roman"/>
          <w:sz w:val="22"/>
        </w:rPr>
        <w:lastRenderedPageBreak/>
        <w:t>2.2. Leadership Style and Employee Retention</w:t>
      </w:r>
    </w:p>
    <w:p w14:paraId="49AD0824" w14:textId="77777777" w:rsidR="007A70A3" w:rsidRPr="007B5458" w:rsidRDefault="00F7451F">
      <w:pPr>
        <w:spacing w:after="80"/>
        <w:ind w:firstLine="397"/>
        <w:jc w:val="both"/>
      </w:pPr>
      <w:r w:rsidRPr="007B5458">
        <w:rPr>
          <w:color w:val="000000"/>
        </w:rPr>
        <w:t>Leadership style refers to relatively consistent patterns through which leaders influence, motivate, guide, and evaluate employees. The full-range leadership framework distinguishes transformational leadership, which seeks to elevate motivation and development, from transactional leadership, which relies on clarified exchanges between performance and outcomes (Bass, 1985; Judge &amp; Piccolo, 2004). The two styles are not necessarily mutually exclusive. Effective managers may inspire and develop employees while also providing structure, feedback, and fair rewards.</w:t>
      </w:r>
    </w:p>
    <w:p w14:paraId="0E1E24BF" w14:textId="77777777" w:rsidR="007A70A3" w:rsidRPr="007B5458" w:rsidRDefault="00F7451F">
      <w:pPr>
        <w:spacing w:after="80"/>
        <w:ind w:firstLine="397"/>
        <w:jc w:val="both"/>
      </w:pPr>
      <w:r w:rsidRPr="007B5458">
        <w:rPr>
          <w:color w:val="000000"/>
        </w:rPr>
        <w:t xml:space="preserve">Leadership is likely to have pronounced employee consequences in MSMEs. Employees interact directly with owners and supervisors, managerial decisions are visible, and formal systems offer fewer buffers against inconsistent treatment. Leadership </w:t>
      </w:r>
      <w:r w:rsidRPr="007B5458">
        <w:rPr>
          <w:color w:val="000000"/>
          <w:highlight w:val="yellow"/>
        </w:rPr>
        <w:t>behaviour</w:t>
      </w:r>
      <w:r w:rsidRPr="007B5458">
        <w:rPr>
          <w:color w:val="000000"/>
        </w:rPr>
        <w:t xml:space="preserve"> therefore shapes perceived support, fairness, role clarity, psychological safety, and confidence in the </w:t>
      </w:r>
      <w:r w:rsidRPr="007B5458">
        <w:rPr>
          <w:color w:val="000000"/>
          <w:highlight w:val="yellow"/>
        </w:rPr>
        <w:t>organisation</w:t>
      </w:r>
      <w:r w:rsidRPr="007B5458">
        <w:rPr>
          <w:color w:val="000000"/>
        </w:rPr>
        <w:t>.</w:t>
      </w:r>
    </w:p>
    <w:p w14:paraId="35747ACB" w14:textId="77777777" w:rsidR="007A70A3" w:rsidRPr="007B5458" w:rsidRDefault="00F7451F">
      <w:pPr>
        <w:pStyle w:val="Heading2"/>
        <w:spacing w:before="140" w:after="80"/>
      </w:pPr>
      <w:r w:rsidRPr="007B5458">
        <w:rPr>
          <w:rFonts w:ascii="Times New Roman" w:hAnsi="Times New Roman"/>
          <w:sz w:val="22"/>
        </w:rPr>
        <w:t>2.3. Transformational Leadership and Turnover Intention</w:t>
      </w:r>
    </w:p>
    <w:p w14:paraId="50979B8E" w14:textId="77777777" w:rsidR="007A70A3" w:rsidRPr="007B5458" w:rsidRDefault="00F7451F">
      <w:pPr>
        <w:spacing w:after="80"/>
        <w:ind w:firstLine="397"/>
        <w:jc w:val="both"/>
      </w:pPr>
      <w:r w:rsidRPr="007B5458">
        <w:rPr>
          <w:color w:val="000000"/>
        </w:rPr>
        <w:t xml:space="preserve">Transformational leadership motivates employees by communicating purpose, encouraging new ways of thinking, demonstrating integrity, expressing confidence, and attending to individual needs (Bass, 1985; Bass, 1999). These </w:t>
      </w:r>
      <w:r w:rsidRPr="007B5458">
        <w:rPr>
          <w:color w:val="000000"/>
          <w:highlight w:val="yellow"/>
        </w:rPr>
        <w:t>behaviours</w:t>
      </w:r>
      <w:r w:rsidRPr="007B5458">
        <w:rPr>
          <w:color w:val="000000"/>
        </w:rPr>
        <w:t xml:space="preserve"> can increase work meaningfulness and strengthen employees’ belief that their efforts are </w:t>
      </w:r>
      <w:r w:rsidRPr="007B5458">
        <w:rPr>
          <w:color w:val="000000"/>
          <w:highlight w:val="yellow"/>
        </w:rPr>
        <w:t>recognised</w:t>
      </w:r>
      <w:r w:rsidRPr="007B5458">
        <w:rPr>
          <w:color w:val="000000"/>
        </w:rPr>
        <w:t xml:space="preserve">. </w:t>
      </w:r>
      <w:r w:rsidRPr="007B5458">
        <w:rPr>
          <w:color w:val="000000"/>
          <w:highlight w:val="yellow"/>
        </w:rPr>
        <w:t>Individualised</w:t>
      </w:r>
      <w:r w:rsidRPr="007B5458">
        <w:rPr>
          <w:color w:val="000000"/>
        </w:rPr>
        <w:t xml:space="preserve"> consideration and developmental support may also improve employees’ perceptions of future opportunities within the </w:t>
      </w:r>
      <w:r w:rsidRPr="007B5458">
        <w:rPr>
          <w:color w:val="000000"/>
          <w:highlight w:val="yellow"/>
        </w:rPr>
        <w:t>organisation</w:t>
      </w:r>
      <w:r w:rsidRPr="007B5458">
        <w:rPr>
          <w:color w:val="000000"/>
        </w:rPr>
        <w:t>.</w:t>
      </w:r>
    </w:p>
    <w:p w14:paraId="6337804F" w14:textId="77777777" w:rsidR="007A70A3" w:rsidRPr="007B5458" w:rsidRDefault="00F7451F">
      <w:pPr>
        <w:spacing w:after="80"/>
        <w:ind w:firstLine="397"/>
        <w:jc w:val="both"/>
      </w:pPr>
      <w:r w:rsidRPr="007B5458">
        <w:rPr>
          <w:color w:val="000000"/>
        </w:rPr>
        <w:t xml:space="preserve">Social Exchange Theory suggests that employees reciprocate such support with positive attitudes and a greater willingness to remain. Transformational leadership can also reduce uncertainty during </w:t>
      </w:r>
      <w:r w:rsidRPr="007B5458">
        <w:rPr>
          <w:color w:val="000000"/>
          <w:highlight w:val="yellow"/>
        </w:rPr>
        <w:t>organisational</w:t>
      </w:r>
      <w:r w:rsidRPr="007B5458">
        <w:rPr>
          <w:color w:val="000000"/>
        </w:rPr>
        <w:t xml:space="preserve"> change by providing direction and confidence. These mechanisms are especially relevant to MSMEs, where formal promotion systems may be limited and employees may depend heavily on their direct supervisor for learning and recognition.</w:t>
      </w:r>
    </w:p>
    <w:p w14:paraId="63423BDA" w14:textId="77777777" w:rsidR="007A70A3" w:rsidRPr="007B5458" w:rsidRDefault="00F7451F">
      <w:pPr>
        <w:spacing w:after="120"/>
        <w:ind w:left="397" w:right="397"/>
      </w:pPr>
      <w:r w:rsidRPr="007B5458">
        <w:rPr>
          <w:b/>
          <w:i/>
          <w:color w:val="000000"/>
        </w:rPr>
        <w:t>H1. Employees’ perceived transformational leadership has a negative effect on turnover intention.</w:t>
      </w:r>
    </w:p>
    <w:p w14:paraId="7EFEFC46" w14:textId="77777777" w:rsidR="007A70A3" w:rsidRPr="007B5458" w:rsidRDefault="00F7451F">
      <w:pPr>
        <w:pStyle w:val="Heading2"/>
        <w:spacing w:before="140" w:after="80"/>
      </w:pPr>
      <w:r w:rsidRPr="007B5458">
        <w:rPr>
          <w:rFonts w:ascii="Times New Roman" w:hAnsi="Times New Roman"/>
          <w:sz w:val="22"/>
        </w:rPr>
        <w:t>2.4. Transactional Leadership and Turnover Intention</w:t>
      </w:r>
    </w:p>
    <w:p w14:paraId="172100B8" w14:textId="77777777" w:rsidR="007A70A3" w:rsidRPr="007B5458" w:rsidRDefault="00F7451F">
      <w:pPr>
        <w:spacing w:after="80"/>
        <w:ind w:firstLine="397"/>
        <w:jc w:val="both"/>
      </w:pPr>
      <w:r w:rsidRPr="007B5458">
        <w:rPr>
          <w:color w:val="000000"/>
        </w:rPr>
        <w:t>Transactional leadership is based on structured exchanges between leaders and employees. Leaders clarify responsibilities and standards, monitor performance, provide corrective feedback, and connect rewards or consequences to results. Contingent reward, in particular, can strengthen perceptions of fairness and predictability when expectations are transparent and consistently applied (Judge &amp; Piccolo, 2004).</w:t>
      </w:r>
    </w:p>
    <w:p w14:paraId="68254CE9" w14:textId="77777777" w:rsidR="007A70A3" w:rsidRPr="007B5458" w:rsidRDefault="00F7451F">
      <w:pPr>
        <w:spacing w:after="80"/>
        <w:ind w:firstLine="397"/>
        <w:jc w:val="both"/>
      </w:pPr>
      <w:r w:rsidRPr="007B5458">
        <w:rPr>
          <w:color w:val="000000"/>
        </w:rPr>
        <w:t xml:space="preserve">In MSMEs, transactional leadership may reduce turnover intention by compensating for limited </w:t>
      </w:r>
      <w:r w:rsidRPr="007B5458">
        <w:rPr>
          <w:color w:val="000000"/>
          <w:highlight w:val="yellow"/>
        </w:rPr>
        <w:t>formalisation</w:t>
      </w:r>
      <w:r w:rsidRPr="007B5458">
        <w:rPr>
          <w:color w:val="000000"/>
        </w:rPr>
        <w:t>. Clear targets, timely feedback, and reliable performance–reward linkages reduce role ambiguity and help employees anticipate the consequences of their efforts. Under Social Exchange Theory, fair and dependable exchanges encourage employees to maintain the employment relationship. Transactional leadership is less likely to support retention when it becomes punitive, inconsistent, or limited to fault-finding; the expected effect concerns clear and fair exchange practices.</w:t>
      </w:r>
    </w:p>
    <w:p w14:paraId="7A047E14" w14:textId="77777777" w:rsidR="007A70A3" w:rsidRPr="007B5458" w:rsidRDefault="00F7451F">
      <w:pPr>
        <w:spacing w:after="120"/>
        <w:ind w:left="397" w:right="397"/>
      </w:pPr>
      <w:r w:rsidRPr="007B5458">
        <w:rPr>
          <w:b/>
          <w:i/>
          <w:color w:val="000000"/>
        </w:rPr>
        <w:t>H2. Employees’ perceived transactional leadership has a negative effect on turnover intention.</w:t>
      </w:r>
    </w:p>
    <w:p w14:paraId="1965B3A3" w14:textId="77777777" w:rsidR="007A70A3" w:rsidRPr="007B5458" w:rsidRDefault="00F7451F">
      <w:pPr>
        <w:pStyle w:val="Heading2"/>
        <w:spacing w:before="140" w:after="80"/>
      </w:pPr>
      <w:r w:rsidRPr="007B5458">
        <w:rPr>
          <w:rFonts w:ascii="Times New Roman" w:hAnsi="Times New Roman"/>
          <w:sz w:val="22"/>
        </w:rPr>
        <w:t>2.5. Research Model</w:t>
      </w:r>
    </w:p>
    <w:p w14:paraId="6DA93D1E" w14:textId="77777777" w:rsidR="007A70A3" w:rsidRPr="007B5458" w:rsidRDefault="00F7451F">
      <w:pPr>
        <w:spacing w:after="80"/>
        <w:ind w:firstLine="397"/>
        <w:jc w:val="both"/>
      </w:pPr>
      <w:r w:rsidRPr="007B5458">
        <w:rPr>
          <w:color w:val="000000"/>
        </w:rPr>
        <w:t>The research model proposes two direct effects. Transformational leadership is expected to reduce turnover intention through vision, support, recognition, intellectual stimulation, and employee development. Transactional leadership is expected to reduce turnover intention through role clarity, consistent monitoring, corrective feedback, and fair performance-linked rewards.</w:t>
      </w:r>
    </w:p>
    <w:p w14:paraId="109A9DFD" w14:textId="77777777" w:rsidR="007A70A3" w:rsidRPr="007B5458" w:rsidRDefault="00F7451F">
      <w:pPr>
        <w:keepNext/>
        <w:spacing w:before="120" w:after="60"/>
        <w:jc w:val="center"/>
      </w:pPr>
      <w:r w:rsidRPr="007B5458">
        <w:rPr>
          <w:b/>
          <w:color w:val="000000"/>
          <w:sz w:val="21"/>
        </w:rPr>
        <w:lastRenderedPageBreak/>
        <w:t>Figure 1. Proposed Research Model</w:t>
      </w:r>
    </w:p>
    <w:p w14:paraId="16ABB094" w14:textId="77777777" w:rsidR="001028FE" w:rsidRPr="007B5458" w:rsidRDefault="001028FE" w:rsidP="001028FE">
      <w:pPr>
        <w:spacing w:after="80"/>
        <w:ind w:firstLine="397"/>
        <w:jc w:val="both"/>
        <w:rPr>
          <w:color w:val="000000"/>
        </w:rPr>
      </w:pPr>
    </w:p>
    <w:p w14:paraId="53A1E40C" w14:textId="77777777" w:rsidR="001028FE" w:rsidRPr="007B5458" w:rsidRDefault="001028FE" w:rsidP="001028FE">
      <w:pPr>
        <w:spacing w:after="80"/>
        <w:ind w:firstLine="397"/>
        <w:jc w:val="both"/>
        <w:rPr>
          <w:color w:val="000000"/>
        </w:rPr>
      </w:pPr>
      <w:r w:rsidRPr="007B5458">
        <w:rPr>
          <w:rFonts w:eastAsia="Times New Roman" w:cs="Times New Roman"/>
          <w:noProof/>
          <w:sz w:val="24"/>
          <w:szCs w:val="24"/>
          <w14:ligatures w14:val="standardContextual"/>
        </w:rPr>
        <mc:AlternateContent>
          <mc:Choice Requires="wpg">
            <w:drawing>
              <wp:anchor distT="0" distB="0" distL="114300" distR="114300" simplePos="0" relativeHeight="251659264" behindDoc="0" locked="0" layoutInCell="1" allowOverlap="1" wp14:anchorId="7C4FAE89" wp14:editId="74EC48B2">
                <wp:simplePos x="0" y="0"/>
                <wp:positionH relativeFrom="column">
                  <wp:posOffset>1905</wp:posOffset>
                </wp:positionH>
                <wp:positionV relativeFrom="paragraph">
                  <wp:posOffset>233680</wp:posOffset>
                </wp:positionV>
                <wp:extent cx="4872355" cy="1193800"/>
                <wp:effectExtent l="0" t="0" r="23495" b="25400"/>
                <wp:wrapNone/>
                <wp:docPr id="1634689954" name="Group 2"/>
                <wp:cNvGraphicFramePr/>
                <a:graphic xmlns:a="http://schemas.openxmlformats.org/drawingml/2006/main">
                  <a:graphicData uri="http://schemas.microsoft.com/office/word/2010/wordprocessingGroup">
                    <wpg:wgp>
                      <wpg:cNvGrpSpPr/>
                      <wpg:grpSpPr>
                        <a:xfrm>
                          <a:off x="0" y="0"/>
                          <a:ext cx="4872355" cy="1193800"/>
                          <a:chOff x="0" y="0"/>
                          <a:chExt cx="4872355" cy="1193800"/>
                        </a:xfrm>
                      </wpg:grpSpPr>
                      <wps:wsp>
                        <wps:cNvPr id="1468657370" name="Text Box 65"/>
                        <wps:cNvSpPr txBox="1">
                          <a:spLocks noChangeArrowheads="1"/>
                        </wps:cNvSpPr>
                        <wps:spPr bwMode="auto">
                          <a:xfrm>
                            <a:off x="0" y="0"/>
                            <a:ext cx="1784350" cy="508000"/>
                          </a:xfrm>
                          <a:prstGeom prst="rect">
                            <a:avLst/>
                          </a:prstGeom>
                          <a:solidFill>
                            <a:srgbClr val="FFFFFF"/>
                          </a:solidFill>
                          <a:ln w="25400">
                            <a:solidFill>
                              <a:srgbClr val="002060"/>
                            </a:solidFill>
                            <a:miter lim="800000"/>
                            <a:headEnd/>
                            <a:tailEnd/>
                          </a:ln>
                        </wps:spPr>
                        <wps:txbx>
                          <w:txbxContent>
                            <w:p w14:paraId="611A2DBE" w14:textId="77777777" w:rsidR="001028FE" w:rsidRPr="0005068A" w:rsidRDefault="001028FE" w:rsidP="001028FE">
                              <w:pPr>
                                <w:jc w:val="center"/>
                                <w:rPr>
                                  <w:rFonts w:cs="Times New Roman"/>
                                  <w:sz w:val="26"/>
                                  <w:szCs w:val="26"/>
                                </w:rPr>
                              </w:pPr>
                              <w:r>
                                <w:rPr>
                                  <w:b/>
                                  <w:color w:val="000000"/>
                                  <w:sz w:val="21"/>
                                </w:rPr>
                                <w:t>Transformational Leadership</w:t>
                              </w:r>
                            </w:p>
                          </w:txbxContent>
                        </wps:txbx>
                        <wps:bodyPr rot="0" vert="horz" wrap="square" lIns="91440" tIns="45720" rIns="91440" bIns="45720" anchor="ctr" anchorCtr="0" upright="1">
                          <a:noAutofit/>
                        </wps:bodyPr>
                      </wps:wsp>
                      <wps:wsp>
                        <wps:cNvPr id="756840162" name="Text Box 66"/>
                        <wps:cNvSpPr txBox="1">
                          <a:spLocks noChangeArrowheads="1"/>
                        </wps:cNvSpPr>
                        <wps:spPr bwMode="auto">
                          <a:xfrm>
                            <a:off x="6350" y="679450"/>
                            <a:ext cx="1778000" cy="514350"/>
                          </a:xfrm>
                          <a:prstGeom prst="rect">
                            <a:avLst/>
                          </a:prstGeom>
                          <a:solidFill>
                            <a:srgbClr val="FFFFFF"/>
                          </a:solidFill>
                          <a:ln w="25400">
                            <a:solidFill>
                              <a:srgbClr val="002060"/>
                            </a:solidFill>
                            <a:miter lim="800000"/>
                            <a:headEnd/>
                            <a:tailEnd/>
                          </a:ln>
                        </wps:spPr>
                        <wps:txbx>
                          <w:txbxContent>
                            <w:p w14:paraId="4025C351" w14:textId="77777777" w:rsidR="001028FE" w:rsidRPr="0005068A" w:rsidRDefault="001028FE" w:rsidP="001028FE">
                              <w:pPr>
                                <w:jc w:val="center"/>
                                <w:rPr>
                                  <w:rFonts w:cs="Times New Roman"/>
                                  <w:sz w:val="26"/>
                                  <w:szCs w:val="26"/>
                                </w:rPr>
                              </w:pPr>
                              <w:r>
                                <w:rPr>
                                  <w:b/>
                                  <w:color w:val="000000"/>
                                  <w:sz w:val="21"/>
                                </w:rPr>
                                <w:t>Transactional Leadership</w:t>
                              </w:r>
                            </w:p>
                          </w:txbxContent>
                        </wps:txbx>
                        <wps:bodyPr rot="0" vert="horz" wrap="square" lIns="91440" tIns="45720" rIns="91440" bIns="45720" anchor="ctr" anchorCtr="0" upright="1">
                          <a:noAutofit/>
                        </wps:bodyPr>
                      </wps:wsp>
                      <wps:wsp>
                        <wps:cNvPr id="96286133" name="Text Box 65"/>
                        <wps:cNvSpPr txBox="1">
                          <a:spLocks noChangeArrowheads="1"/>
                        </wps:cNvSpPr>
                        <wps:spPr bwMode="auto">
                          <a:xfrm>
                            <a:off x="3086100" y="279400"/>
                            <a:ext cx="1786255" cy="501197"/>
                          </a:xfrm>
                          <a:prstGeom prst="rect">
                            <a:avLst/>
                          </a:prstGeom>
                          <a:solidFill>
                            <a:srgbClr val="FFFFFF"/>
                          </a:solidFill>
                          <a:ln w="25400">
                            <a:solidFill>
                              <a:srgbClr val="002060"/>
                            </a:solidFill>
                            <a:miter lim="800000"/>
                            <a:headEnd/>
                            <a:tailEnd/>
                          </a:ln>
                        </wps:spPr>
                        <wps:txbx>
                          <w:txbxContent>
                            <w:p w14:paraId="662D712A" w14:textId="77777777" w:rsidR="001028FE" w:rsidRPr="0005068A" w:rsidRDefault="001028FE" w:rsidP="001028FE">
                              <w:pPr>
                                <w:jc w:val="center"/>
                                <w:rPr>
                                  <w:rFonts w:cs="Times New Roman"/>
                                </w:rPr>
                              </w:pPr>
                              <w:r w:rsidRPr="0005068A">
                                <w:rPr>
                                  <w:rFonts w:cs="Times New Roman"/>
                                  <w:color w:val="000000"/>
                                  <w:shd w:val="clear" w:color="auto" w:fill="EAF2F8"/>
                                </w:rPr>
                                <w:t xml:space="preserve">Turnover </w:t>
                              </w:r>
                              <w:r>
                                <w:rPr>
                                  <w:rFonts w:cs="Times New Roman"/>
                                  <w:color w:val="000000"/>
                                  <w:shd w:val="clear" w:color="auto" w:fill="EAF2F8"/>
                                </w:rPr>
                                <w:t>I</w:t>
                              </w:r>
                              <w:r w:rsidRPr="0005068A">
                                <w:rPr>
                                  <w:rFonts w:cs="Times New Roman"/>
                                  <w:color w:val="000000"/>
                                  <w:shd w:val="clear" w:color="auto" w:fill="EAF2F8"/>
                                </w:rPr>
                                <w:t>ntention</w:t>
                              </w:r>
                            </w:p>
                          </w:txbxContent>
                        </wps:txbx>
                        <wps:bodyPr rot="0" vert="horz" wrap="square" lIns="91440" tIns="45720" rIns="91440" bIns="45720" anchor="ctr" anchorCtr="0" upright="1">
                          <a:noAutofit/>
                        </wps:bodyPr>
                      </wps:wsp>
                      <wps:wsp>
                        <wps:cNvPr id="380472038" name="Straight Connector 22"/>
                        <wps:cNvCnPr/>
                        <wps:spPr>
                          <a:xfrm flipV="1">
                            <a:off x="1790700" y="552450"/>
                            <a:ext cx="1295400" cy="336550"/>
                          </a:xfrm>
                          <a:prstGeom prst="line">
                            <a:avLst/>
                          </a:prstGeom>
                          <a:noFill/>
                          <a:ln w="9525" cap="flat" cmpd="sng" algn="ctr">
                            <a:solidFill>
                              <a:srgbClr val="4F81BD">
                                <a:shade val="95000"/>
                                <a:satMod val="105000"/>
                              </a:srgbClr>
                            </a:solidFill>
                            <a:prstDash val="solid"/>
                            <a:headEnd type="none"/>
                            <a:tailEnd type="triangle"/>
                          </a:ln>
                          <a:effectLst/>
                        </wps:spPr>
                        <wps:bodyPr/>
                      </wps:wsp>
                      <wps:wsp>
                        <wps:cNvPr id="2011876174" name="Straight Arrow Connector 1"/>
                        <wps:cNvCnPr/>
                        <wps:spPr>
                          <a:xfrm>
                            <a:off x="1784350" y="203200"/>
                            <a:ext cx="1289050" cy="311150"/>
                          </a:xfrm>
                          <a:prstGeom prst="straightConnector1">
                            <a:avLst/>
                          </a:prstGeom>
                          <a:noFill/>
                          <a:ln w="9525" cap="flat" cmpd="sng" algn="ctr">
                            <a:solidFill>
                              <a:srgbClr val="4F81BD">
                                <a:shade val="95000"/>
                                <a:satMod val="105000"/>
                              </a:srgbClr>
                            </a:solidFill>
                            <a:prstDash val="solid"/>
                            <a:headEnd type="none"/>
                            <a:tailEnd type="triangle"/>
                          </a:ln>
                          <a:effectLst/>
                        </wps:spPr>
                        <wps:bodyPr/>
                      </wps:wsp>
                    </wpg:wgp>
                  </a:graphicData>
                </a:graphic>
                <wp14:sizeRelV relativeFrom="margin">
                  <wp14:pctHeight>0</wp14:pctHeight>
                </wp14:sizeRelV>
              </wp:anchor>
            </w:drawing>
          </mc:Choice>
          <mc:Fallback>
            <w:pict>
              <v:group w14:anchorId="7C4FAE89" id="Group 2" o:spid="_x0000_s1026" style="position:absolute;left:0;text-align:left;margin-left:.15pt;margin-top:18.4pt;width:383.65pt;height:94pt;z-index:251659264;mso-height-relative:margin" coordsize="48723,119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">
                <v:shapetype id="_x0000_t202" coordsize="21600,21600" o:spt="202" path="m,l,21600r21600,l21600,xe">
                  <v:stroke joinstyle="miter"/>
                  <v:path gradientshapeok="t" o:connecttype="rect"/>
                </v:shapetype>
                <v:shape id="Text Box 65" o:spid="_x0000_s1027" type="#_x0000_t202" style="position:absolute;width:17843;height:50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" strokecolor="#002060" strokeweight="2pt">
                  <v:textbox>
                    <w:txbxContent>
                      <w:p w14:paraId="611A2DBE" w14:textId="77777777" w:rsidR="001028FE" w:rsidRPr="0005068A" w:rsidRDefault="001028FE" w:rsidP="001028FE">
                        <w:pPr>
                          <w:jc w:val="center"/>
                          <w:rPr>
                            <w:rFonts w:cs="Times New Roman"/>
                            <w:sz w:val="26"/>
                            <w:szCs w:val="26"/>
                          </w:rPr>
                        </w:pPr>
                        <w:r>
                          <w:rPr>
                            <w:b/>
                            <w:color w:val="000000"/>
                            <w:sz w:val="21"/>
                          </w:rPr>
                          <w:t>Transformational Leadership</w:t>
                        </w:r>
                      </w:p>
                    </w:txbxContent>
                  </v:textbox>
                </v:shape>
                <v:shape id="Text Box 66" o:spid="_x0000_s1028" type="#_x0000_t202" style="position:absolute;left:63;top:6794;width:17780;height:5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" strokecolor="#002060" strokeweight="2pt">
                  <v:textbox>
                    <w:txbxContent>
                      <w:p w14:paraId="4025C351" w14:textId="77777777" w:rsidR="001028FE" w:rsidRPr="0005068A" w:rsidRDefault="001028FE" w:rsidP="001028FE">
                        <w:pPr>
                          <w:jc w:val="center"/>
                          <w:rPr>
                            <w:rFonts w:cs="Times New Roman"/>
                            <w:sz w:val="26"/>
                            <w:szCs w:val="26"/>
                          </w:rPr>
                        </w:pPr>
                        <w:r>
                          <w:rPr>
                            <w:b/>
                            <w:color w:val="000000"/>
                            <w:sz w:val="21"/>
                          </w:rPr>
                          <w:t>Transactional Leadership</w:t>
                        </w:r>
                      </w:p>
                    </w:txbxContent>
                  </v:textbox>
                </v:shape>
                <v:shape id="Text Box 65" o:spid="_x0000_s1029" type="#_x0000_t202" style="position:absolute;left:30861;top:2794;width:17862;height:50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" strokecolor="#002060" strokeweight="2pt">
                  <v:textbox>
                    <w:txbxContent>
                      <w:p w14:paraId="662D712A" w14:textId="77777777" w:rsidR="001028FE" w:rsidRPr="0005068A" w:rsidRDefault="001028FE" w:rsidP="001028FE">
                        <w:pPr>
                          <w:jc w:val="center"/>
                          <w:rPr>
                            <w:rFonts w:cs="Times New Roman"/>
                          </w:rPr>
                        </w:pPr>
                        <w:r w:rsidRPr="0005068A">
                          <w:rPr>
                            <w:rFonts w:cs="Times New Roman"/>
                            <w:color w:val="000000"/>
                            <w:shd w:val="clear" w:color="auto" w:fill="EAF2F8"/>
                          </w:rPr>
                          <w:t xml:space="preserve">Turnover </w:t>
                        </w:r>
                        <w:r>
                          <w:rPr>
                            <w:rFonts w:cs="Times New Roman"/>
                            <w:color w:val="000000"/>
                            <w:shd w:val="clear" w:color="auto" w:fill="EAF2F8"/>
                          </w:rPr>
                          <w:t>I</w:t>
                        </w:r>
                        <w:r w:rsidRPr="0005068A">
                          <w:rPr>
                            <w:rFonts w:cs="Times New Roman"/>
                            <w:color w:val="000000"/>
                            <w:shd w:val="clear" w:color="auto" w:fill="EAF2F8"/>
                          </w:rPr>
                          <w:t>ntention</w:t>
                        </w:r>
                      </w:p>
                    </w:txbxContent>
                  </v:textbox>
                </v:shape>
                <v:line id="Straight Connector 22" o:spid="_x0000_s1030" style="position:absolute;flip:y;visibility:visible;mso-wrap-style:square" from="17907,5524" to="30861,8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" strokecolor="#4a7ebb">
                  <v:stroke endarrow="block"/>
                </v:line>
                <v:shapetype id="_x0000_t32" coordsize="21600,21600" o:spt="32" o:oned="t" path="m,l21600,21600e" filled="f">
                  <v:path arrowok="t" fillok="f" o:connecttype="none"/>
                  <o:lock v:ext="edit" shapetype="t"/>
                </v:shapetype>
                <v:shape id="Straight Arrow Connector 1" o:spid="_x0000_s1031" type="#_x0000_t32" style="position:absolute;left:17843;top:2032;width:12891;height:31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" strokecolor="#4a7ebb">
                  <v:stroke endarrow="block"/>
                </v:shape>
              </v:group>
            </w:pict>
          </mc:Fallback>
        </mc:AlternateContent>
      </w:r>
    </w:p>
    <w:p w14:paraId="04B688BD" w14:textId="77777777" w:rsidR="001028FE" w:rsidRPr="007B5458" w:rsidRDefault="001028FE" w:rsidP="001028FE">
      <w:pPr>
        <w:spacing w:after="80"/>
        <w:ind w:firstLine="397"/>
        <w:jc w:val="both"/>
        <w:rPr>
          <w:color w:val="000000"/>
        </w:rPr>
      </w:pPr>
    </w:p>
    <w:p w14:paraId="69A86F1C" w14:textId="77777777" w:rsidR="001028FE" w:rsidRPr="007B5458" w:rsidRDefault="001028FE" w:rsidP="001028FE">
      <w:pPr>
        <w:spacing w:after="80"/>
        <w:ind w:firstLine="397"/>
        <w:jc w:val="both"/>
        <w:rPr>
          <w:color w:val="000000"/>
        </w:rPr>
      </w:pPr>
    </w:p>
    <w:p w14:paraId="7DBB64B4" w14:textId="77777777" w:rsidR="001028FE" w:rsidRPr="007B5458" w:rsidRDefault="001028FE" w:rsidP="001028FE">
      <w:pPr>
        <w:spacing w:after="80"/>
        <w:ind w:firstLine="397"/>
        <w:jc w:val="both"/>
        <w:rPr>
          <w:color w:val="000000"/>
        </w:rPr>
      </w:pPr>
    </w:p>
    <w:p w14:paraId="19133DF0" w14:textId="77777777" w:rsidR="001028FE" w:rsidRPr="007B5458" w:rsidRDefault="001028FE" w:rsidP="001028FE">
      <w:pPr>
        <w:spacing w:after="80"/>
        <w:ind w:firstLine="397"/>
        <w:jc w:val="both"/>
        <w:rPr>
          <w:color w:val="000000"/>
        </w:rPr>
      </w:pPr>
    </w:p>
    <w:p w14:paraId="123BCD13" w14:textId="77777777" w:rsidR="001028FE" w:rsidRPr="007B5458" w:rsidRDefault="001028FE" w:rsidP="001028FE">
      <w:pPr>
        <w:spacing w:after="80"/>
        <w:ind w:firstLine="397"/>
        <w:jc w:val="both"/>
        <w:rPr>
          <w:color w:val="000000"/>
        </w:rPr>
      </w:pPr>
    </w:p>
    <w:p w14:paraId="1B36FDD0" w14:textId="77777777" w:rsidR="001028FE" w:rsidRPr="007B5458" w:rsidRDefault="001028FE" w:rsidP="001028FE">
      <w:pPr>
        <w:spacing w:after="80"/>
        <w:ind w:firstLine="397"/>
        <w:jc w:val="both"/>
        <w:rPr>
          <w:color w:val="000000"/>
        </w:rPr>
      </w:pPr>
    </w:p>
    <w:p w14:paraId="27B3D8F9" w14:textId="77777777" w:rsidR="007A70A3" w:rsidRPr="007B5458" w:rsidRDefault="00F7451F">
      <w:pPr>
        <w:pStyle w:val="Heading1"/>
        <w:spacing w:before="200" w:after="80"/>
      </w:pPr>
      <w:r w:rsidRPr="007B5458">
        <w:rPr>
          <w:rFonts w:ascii="Times New Roman" w:hAnsi="Times New Roman"/>
          <w:sz w:val="24"/>
        </w:rPr>
        <w:t>3. Methodology</w:t>
      </w:r>
    </w:p>
    <w:p w14:paraId="39979C14" w14:textId="77777777" w:rsidR="007A70A3" w:rsidRPr="007B5458" w:rsidRDefault="00F7451F">
      <w:pPr>
        <w:pStyle w:val="Heading2"/>
        <w:spacing w:before="140" w:after="80"/>
      </w:pPr>
      <w:r w:rsidRPr="007B5458">
        <w:rPr>
          <w:rFonts w:ascii="Times New Roman" w:hAnsi="Times New Roman"/>
          <w:sz w:val="22"/>
        </w:rPr>
        <w:t>3.1. Research Design and Data Collection</w:t>
      </w:r>
    </w:p>
    <w:p w14:paraId="084B7A05" w14:textId="77777777" w:rsidR="007A70A3" w:rsidRPr="007B5458" w:rsidRDefault="00F7451F">
      <w:pPr>
        <w:spacing w:after="80"/>
        <w:ind w:firstLine="397"/>
        <w:jc w:val="both"/>
      </w:pPr>
      <w:r w:rsidRPr="007B5458">
        <w:rPr>
          <w:color w:val="000000"/>
        </w:rPr>
        <w:t xml:space="preserve">The study used a quantitative, cross-sectional design. A structured questionnaire was administered to employees working in MSMEs in selected urban and peri-urban areas of northern Vietnam. Eligible respondents were at least 18 years old and had worked in their current </w:t>
      </w:r>
      <w:r w:rsidRPr="007B5458">
        <w:rPr>
          <w:color w:val="000000"/>
          <w:highlight w:val="yellow"/>
        </w:rPr>
        <w:t>organisation</w:t>
      </w:r>
      <w:r w:rsidRPr="007B5458">
        <w:rPr>
          <w:color w:val="000000"/>
        </w:rPr>
        <w:t xml:space="preserve"> for at least six months, providing sufficient experience to evaluate their supervisor’s leadership </w:t>
      </w:r>
      <w:r w:rsidRPr="007B5458">
        <w:rPr>
          <w:color w:val="000000"/>
          <w:highlight w:val="yellow"/>
        </w:rPr>
        <w:t>behaviour</w:t>
      </w:r>
      <w:r w:rsidRPr="007B5458">
        <w:rPr>
          <w:color w:val="000000"/>
        </w:rPr>
        <w:t xml:space="preserve"> and their own turnover intention.</w:t>
      </w:r>
    </w:p>
    <w:p w14:paraId="5294C19F" w14:textId="77777777" w:rsidR="007A70A3" w:rsidRPr="007B5458" w:rsidRDefault="00F7451F">
      <w:pPr>
        <w:spacing w:after="80"/>
        <w:ind w:firstLine="397"/>
        <w:jc w:val="both"/>
      </w:pPr>
      <w:r w:rsidRPr="007B5458">
        <w:rPr>
          <w:color w:val="000000"/>
        </w:rPr>
        <w:t xml:space="preserve">A stratified approach was used to include enterprises of different sizes and industries. The questionnaire was distributed in electronic and paper formats with assistance from </w:t>
      </w:r>
      <w:r w:rsidRPr="007B5458">
        <w:rPr>
          <w:color w:val="000000"/>
          <w:highlight w:val="yellow"/>
        </w:rPr>
        <w:t>organisational</w:t>
      </w:r>
      <w:r w:rsidRPr="007B5458">
        <w:rPr>
          <w:color w:val="000000"/>
        </w:rPr>
        <w:t xml:space="preserve"> contacts. Participation was voluntary, responses were anonymous, and respondents were informed that the data would be used for academic purposes. The English instrument was translated into Vietnamese and pilot-tested with 30 MSME employees. After screening, 361 valid responses were retained.</w:t>
      </w:r>
    </w:p>
    <w:p w14:paraId="2FD4C642" w14:textId="77777777" w:rsidR="007A70A3" w:rsidRPr="007B5458" w:rsidRDefault="00F7451F">
      <w:pPr>
        <w:pStyle w:val="Heading2"/>
        <w:spacing w:before="140" w:after="80"/>
      </w:pPr>
      <w:r w:rsidRPr="007B5458">
        <w:rPr>
          <w:rFonts w:ascii="Times New Roman" w:hAnsi="Times New Roman"/>
          <w:sz w:val="22"/>
        </w:rPr>
        <w:t>3.2. Sample</w:t>
      </w:r>
    </w:p>
    <w:p w14:paraId="10C68F1F" w14:textId="77777777" w:rsidR="007A70A3" w:rsidRPr="007B5458" w:rsidRDefault="00F7451F">
      <w:pPr>
        <w:spacing w:after="80"/>
        <w:ind w:firstLine="397"/>
        <w:jc w:val="both"/>
      </w:pPr>
      <w:r w:rsidRPr="007B5458">
        <w:rPr>
          <w:color w:val="000000"/>
        </w:rPr>
        <w:t>The sample comprised employees, team leaders, supervisors, managers, and owner-managers working in manufacturing, trade, service, and other MSMEs. Its diversity in position, industry, firm size, and tenure provided a broad basis for evaluating perceived leadership and turnover intention.</w:t>
      </w:r>
    </w:p>
    <w:p w14:paraId="2C6D5422" w14:textId="77777777" w:rsidR="007A70A3" w:rsidRPr="007B5458" w:rsidRDefault="00F7451F">
      <w:pPr>
        <w:keepNext/>
        <w:spacing w:before="120" w:after="60"/>
        <w:jc w:val="center"/>
      </w:pPr>
      <w:r w:rsidRPr="007B5458">
        <w:rPr>
          <w:b/>
          <w:color w:val="000000"/>
          <w:sz w:val="21"/>
        </w:rPr>
        <w:t>Table 1. Respondent and Enterprise Profile (n = 361)</w:t>
      </w:r>
    </w:p>
    <w:tbl>
      <w:tblPr>
        <w:tblW w:w="0" w:type="auto"/>
        <w:jc w:val="center"/>
        <w:tblLayout w:type="fixed"/>
        <w:tblLook w:val="04A0" w:firstRow="1" w:lastRow="0" w:firstColumn="1" w:lastColumn="0" w:noHBand="0" w:noVBand="1"/>
      </w:tblPr>
      <w:tblGrid>
        <w:gridCol w:w="1757"/>
        <w:gridCol w:w="4195"/>
        <w:gridCol w:w="1417"/>
        <w:gridCol w:w="1134"/>
      </w:tblGrid>
      <w:tr w:rsidR="007A70A3" w:rsidRPr="007B5458" w14:paraId="54A38E63" w14:textId="77777777">
        <w:trPr>
          <w:tblHeader/>
          <w:jc w:val="center"/>
        </w:trPr>
        <w:tc>
          <w:tcPr>
            <w:tcW w:w="1757" w:type="dxa"/>
            <w:tcBorders>
              <w:top w:val="single" w:sz="6" w:space="0" w:color="D9D9D9"/>
              <w:left w:val="single" w:sz="6" w:space="0" w:color="D9D9D9"/>
              <w:bottom w:val="single" w:sz="6" w:space="0" w:color="D9D9D9"/>
              <w:right w:val="single" w:sz="6" w:space="0" w:color="D9D9D9"/>
            </w:tcBorders>
            <w:shd w:val="clear" w:color="auto" w:fill="1F4E78"/>
            <w:tcMar>
              <w:top w:w="90" w:type="dxa"/>
              <w:left w:w="100" w:type="dxa"/>
              <w:bottom w:w="90" w:type="dxa"/>
              <w:right w:w="100" w:type="dxa"/>
            </w:tcMar>
            <w:vAlign w:val="center"/>
          </w:tcPr>
          <w:p w14:paraId="794154D8" w14:textId="77777777" w:rsidR="007A70A3" w:rsidRPr="007B5458" w:rsidRDefault="00F7451F">
            <w:pPr>
              <w:jc w:val="center"/>
            </w:pPr>
            <w:r w:rsidRPr="007B5458">
              <w:rPr>
                <w:b/>
                <w:color w:val="FFFFFF"/>
                <w:sz w:val="17"/>
              </w:rPr>
              <w:t>Characteristic</w:t>
            </w:r>
          </w:p>
        </w:tc>
        <w:tc>
          <w:tcPr>
            <w:tcW w:w="4195" w:type="dxa"/>
            <w:tcBorders>
              <w:top w:val="single" w:sz="6" w:space="0" w:color="D9D9D9"/>
              <w:left w:val="single" w:sz="6" w:space="0" w:color="D9D9D9"/>
              <w:bottom w:val="single" w:sz="6" w:space="0" w:color="D9D9D9"/>
              <w:right w:val="single" w:sz="6" w:space="0" w:color="D9D9D9"/>
            </w:tcBorders>
            <w:shd w:val="clear" w:color="auto" w:fill="1F4E78"/>
            <w:tcMar>
              <w:top w:w="90" w:type="dxa"/>
              <w:left w:w="100" w:type="dxa"/>
              <w:bottom w:w="90" w:type="dxa"/>
              <w:right w:w="100" w:type="dxa"/>
            </w:tcMar>
            <w:vAlign w:val="center"/>
          </w:tcPr>
          <w:p w14:paraId="5A60E105" w14:textId="77777777" w:rsidR="007A70A3" w:rsidRPr="007B5458" w:rsidRDefault="00F7451F">
            <w:pPr>
              <w:jc w:val="center"/>
            </w:pPr>
            <w:r w:rsidRPr="007B5458">
              <w:rPr>
                <w:b/>
                <w:color w:val="FFFFFF"/>
                <w:sz w:val="17"/>
              </w:rPr>
              <w:t>Category</w:t>
            </w:r>
          </w:p>
        </w:tc>
        <w:tc>
          <w:tcPr>
            <w:tcW w:w="1417" w:type="dxa"/>
            <w:tcBorders>
              <w:top w:val="single" w:sz="6" w:space="0" w:color="D9D9D9"/>
              <w:left w:val="single" w:sz="6" w:space="0" w:color="D9D9D9"/>
              <w:bottom w:val="single" w:sz="6" w:space="0" w:color="D9D9D9"/>
              <w:right w:val="single" w:sz="6" w:space="0" w:color="D9D9D9"/>
            </w:tcBorders>
            <w:shd w:val="clear" w:color="auto" w:fill="1F4E78"/>
            <w:tcMar>
              <w:top w:w="90" w:type="dxa"/>
              <w:left w:w="100" w:type="dxa"/>
              <w:bottom w:w="90" w:type="dxa"/>
              <w:right w:w="100" w:type="dxa"/>
            </w:tcMar>
            <w:vAlign w:val="center"/>
          </w:tcPr>
          <w:p w14:paraId="51A57513" w14:textId="77777777" w:rsidR="007A70A3" w:rsidRPr="007B5458" w:rsidRDefault="00F7451F">
            <w:pPr>
              <w:jc w:val="center"/>
            </w:pPr>
            <w:r w:rsidRPr="007B5458">
              <w:rPr>
                <w:b/>
                <w:color w:val="FFFFFF"/>
                <w:sz w:val="17"/>
              </w:rPr>
              <w:t>Frequency</w:t>
            </w:r>
          </w:p>
        </w:tc>
        <w:tc>
          <w:tcPr>
            <w:tcW w:w="1134" w:type="dxa"/>
            <w:tcBorders>
              <w:top w:val="single" w:sz="6" w:space="0" w:color="D9D9D9"/>
              <w:left w:val="single" w:sz="6" w:space="0" w:color="D9D9D9"/>
              <w:bottom w:val="single" w:sz="6" w:space="0" w:color="D9D9D9"/>
              <w:right w:val="single" w:sz="6" w:space="0" w:color="D9D9D9"/>
            </w:tcBorders>
            <w:shd w:val="clear" w:color="auto" w:fill="1F4E78"/>
            <w:tcMar>
              <w:top w:w="90" w:type="dxa"/>
              <w:left w:w="100" w:type="dxa"/>
              <w:bottom w:w="90" w:type="dxa"/>
              <w:right w:w="100" w:type="dxa"/>
            </w:tcMar>
            <w:vAlign w:val="center"/>
          </w:tcPr>
          <w:p w14:paraId="53894832" w14:textId="77777777" w:rsidR="007A70A3" w:rsidRPr="007B5458" w:rsidRDefault="00F7451F">
            <w:pPr>
              <w:jc w:val="center"/>
            </w:pPr>
            <w:r w:rsidRPr="007B5458">
              <w:rPr>
                <w:b/>
                <w:color w:val="FFFFFF"/>
                <w:sz w:val="17"/>
              </w:rPr>
              <w:t>%</w:t>
            </w:r>
          </w:p>
        </w:tc>
      </w:tr>
      <w:tr w:rsidR="007A70A3" w:rsidRPr="007B5458" w14:paraId="591A5FF7" w14:textId="77777777">
        <w:trPr>
          <w:jc w:val="center"/>
        </w:trPr>
        <w:tc>
          <w:tcPr>
            <w:tcW w:w="175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19A5F35" w14:textId="77777777" w:rsidR="007A70A3" w:rsidRPr="007B5458" w:rsidRDefault="00F7451F">
            <w:pPr>
              <w:spacing w:after="0" w:line="240" w:lineRule="auto"/>
            </w:pPr>
            <w:r w:rsidRPr="007B5458">
              <w:rPr>
                <w:color w:val="000000"/>
                <w:sz w:val="17"/>
              </w:rPr>
              <w:t>Gender</w:t>
            </w:r>
          </w:p>
        </w:tc>
        <w:tc>
          <w:tcPr>
            <w:tcW w:w="4195"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A4335AB" w14:textId="77777777" w:rsidR="007A70A3" w:rsidRPr="007B5458" w:rsidRDefault="00F7451F">
            <w:pPr>
              <w:spacing w:after="0" w:line="240" w:lineRule="auto"/>
            </w:pPr>
            <w:r w:rsidRPr="007B5458">
              <w:rPr>
                <w:color w:val="000000"/>
                <w:sz w:val="17"/>
              </w:rPr>
              <w:t>Male</w:t>
            </w:r>
          </w:p>
        </w:tc>
        <w:tc>
          <w:tcPr>
            <w:tcW w:w="141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F6EAA8D" w14:textId="77777777" w:rsidR="007A70A3" w:rsidRPr="007B5458" w:rsidRDefault="00F7451F">
            <w:pPr>
              <w:spacing w:after="0" w:line="240" w:lineRule="auto"/>
              <w:jc w:val="center"/>
            </w:pPr>
            <w:r w:rsidRPr="007B5458">
              <w:rPr>
                <w:color w:val="000000"/>
                <w:sz w:val="17"/>
              </w:rPr>
              <w:t>186</w:t>
            </w:r>
          </w:p>
        </w:tc>
        <w:tc>
          <w:tcPr>
            <w:tcW w:w="113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391BD5D" w14:textId="77777777" w:rsidR="007A70A3" w:rsidRPr="007B5458" w:rsidRDefault="00F7451F">
            <w:pPr>
              <w:spacing w:after="0" w:line="240" w:lineRule="auto"/>
              <w:jc w:val="center"/>
            </w:pPr>
            <w:r w:rsidRPr="007B5458">
              <w:rPr>
                <w:color w:val="000000"/>
                <w:sz w:val="17"/>
              </w:rPr>
              <w:t>51.5</w:t>
            </w:r>
          </w:p>
        </w:tc>
      </w:tr>
      <w:tr w:rsidR="007A70A3" w:rsidRPr="007B5458" w14:paraId="644E7F6D" w14:textId="77777777">
        <w:trPr>
          <w:jc w:val="center"/>
        </w:trPr>
        <w:tc>
          <w:tcPr>
            <w:tcW w:w="1757"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63E075FF" w14:textId="77777777" w:rsidR="007A70A3" w:rsidRPr="007B5458" w:rsidRDefault="007A70A3">
            <w:pPr>
              <w:spacing w:after="0" w:line="240" w:lineRule="auto"/>
            </w:pPr>
          </w:p>
        </w:tc>
        <w:tc>
          <w:tcPr>
            <w:tcW w:w="4195"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351BADBA" w14:textId="77777777" w:rsidR="007A70A3" w:rsidRPr="007B5458" w:rsidRDefault="00F7451F">
            <w:pPr>
              <w:spacing w:after="0" w:line="240" w:lineRule="auto"/>
            </w:pPr>
            <w:r w:rsidRPr="007B5458">
              <w:rPr>
                <w:color w:val="000000"/>
                <w:sz w:val="17"/>
              </w:rPr>
              <w:t>Female</w:t>
            </w:r>
          </w:p>
        </w:tc>
        <w:tc>
          <w:tcPr>
            <w:tcW w:w="1417"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01E4763E" w14:textId="77777777" w:rsidR="007A70A3" w:rsidRPr="007B5458" w:rsidRDefault="00F7451F">
            <w:pPr>
              <w:spacing w:after="0" w:line="240" w:lineRule="auto"/>
              <w:jc w:val="center"/>
            </w:pPr>
            <w:r w:rsidRPr="007B5458">
              <w:rPr>
                <w:color w:val="000000"/>
                <w:sz w:val="17"/>
              </w:rPr>
              <w:t>164</w:t>
            </w:r>
          </w:p>
        </w:tc>
        <w:tc>
          <w:tcPr>
            <w:tcW w:w="113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3498C872" w14:textId="77777777" w:rsidR="007A70A3" w:rsidRPr="007B5458" w:rsidRDefault="00F7451F">
            <w:pPr>
              <w:spacing w:after="0" w:line="240" w:lineRule="auto"/>
              <w:jc w:val="center"/>
            </w:pPr>
            <w:r w:rsidRPr="007B5458">
              <w:rPr>
                <w:color w:val="000000"/>
                <w:sz w:val="17"/>
              </w:rPr>
              <w:t>45.4</w:t>
            </w:r>
          </w:p>
        </w:tc>
      </w:tr>
      <w:tr w:rsidR="007A70A3" w:rsidRPr="007B5458" w14:paraId="443AE237" w14:textId="77777777">
        <w:trPr>
          <w:jc w:val="center"/>
        </w:trPr>
        <w:tc>
          <w:tcPr>
            <w:tcW w:w="175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27B6A6A" w14:textId="77777777" w:rsidR="007A70A3" w:rsidRPr="007B5458" w:rsidRDefault="007A70A3">
            <w:pPr>
              <w:spacing w:after="0" w:line="240" w:lineRule="auto"/>
            </w:pPr>
          </w:p>
        </w:tc>
        <w:tc>
          <w:tcPr>
            <w:tcW w:w="4195"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3AE3AFA" w14:textId="77777777" w:rsidR="007A70A3" w:rsidRPr="007B5458" w:rsidRDefault="00F7451F">
            <w:pPr>
              <w:spacing w:after="0" w:line="240" w:lineRule="auto"/>
            </w:pPr>
            <w:r w:rsidRPr="007B5458">
              <w:rPr>
                <w:color w:val="000000"/>
                <w:sz w:val="17"/>
              </w:rPr>
              <w:t>Other/prefer not to disclose</w:t>
            </w:r>
          </w:p>
        </w:tc>
        <w:tc>
          <w:tcPr>
            <w:tcW w:w="141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E1953D4" w14:textId="77777777" w:rsidR="007A70A3" w:rsidRPr="007B5458" w:rsidRDefault="00F7451F">
            <w:pPr>
              <w:spacing w:after="0" w:line="240" w:lineRule="auto"/>
              <w:jc w:val="center"/>
            </w:pPr>
            <w:r w:rsidRPr="007B5458">
              <w:rPr>
                <w:color w:val="000000"/>
                <w:sz w:val="17"/>
              </w:rPr>
              <w:t>11</w:t>
            </w:r>
          </w:p>
        </w:tc>
        <w:tc>
          <w:tcPr>
            <w:tcW w:w="113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CB198AB" w14:textId="77777777" w:rsidR="007A70A3" w:rsidRPr="007B5458" w:rsidRDefault="00F7451F">
            <w:pPr>
              <w:spacing w:after="0" w:line="240" w:lineRule="auto"/>
              <w:jc w:val="center"/>
            </w:pPr>
            <w:r w:rsidRPr="007B5458">
              <w:rPr>
                <w:color w:val="000000"/>
                <w:sz w:val="17"/>
              </w:rPr>
              <w:t>3.0</w:t>
            </w:r>
          </w:p>
        </w:tc>
      </w:tr>
      <w:tr w:rsidR="007A70A3" w:rsidRPr="007B5458" w14:paraId="357884DD" w14:textId="77777777">
        <w:trPr>
          <w:jc w:val="center"/>
        </w:trPr>
        <w:tc>
          <w:tcPr>
            <w:tcW w:w="1757"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220528D5" w14:textId="77777777" w:rsidR="007A70A3" w:rsidRPr="007B5458" w:rsidRDefault="00F7451F">
            <w:pPr>
              <w:spacing w:after="0" w:line="240" w:lineRule="auto"/>
            </w:pPr>
            <w:r w:rsidRPr="007B5458">
              <w:rPr>
                <w:color w:val="000000"/>
                <w:sz w:val="17"/>
              </w:rPr>
              <w:t>Position</w:t>
            </w:r>
          </w:p>
        </w:tc>
        <w:tc>
          <w:tcPr>
            <w:tcW w:w="4195"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3AFC267B" w14:textId="77777777" w:rsidR="007A70A3" w:rsidRPr="007B5458" w:rsidRDefault="00F7451F">
            <w:pPr>
              <w:spacing w:after="0" w:line="240" w:lineRule="auto"/>
            </w:pPr>
            <w:r w:rsidRPr="007B5458">
              <w:rPr>
                <w:color w:val="000000"/>
                <w:sz w:val="17"/>
              </w:rPr>
              <w:t>Employee/staff</w:t>
            </w:r>
          </w:p>
        </w:tc>
        <w:tc>
          <w:tcPr>
            <w:tcW w:w="1417"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765D11E0" w14:textId="77777777" w:rsidR="007A70A3" w:rsidRPr="007B5458" w:rsidRDefault="00F7451F">
            <w:pPr>
              <w:spacing w:after="0" w:line="240" w:lineRule="auto"/>
              <w:jc w:val="center"/>
            </w:pPr>
            <w:r w:rsidRPr="007B5458">
              <w:rPr>
                <w:color w:val="000000"/>
                <w:sz w:val="17"/>
              </w:rPr>
              <w:t>164</w:t>
            </w:r>
          </w:p>
        </w:tc>
        <w:tc>
          <w:tcPr>
            <w:tcW w:w="113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6B83AC5E" w14:textId="77777777" w:rsidR="007A70A3" w:rsidRPr="007B5458" w:rsidRDefault="00F7451F">
            <w:pPr>
              <w:spacing w:after="0" w:line="240" w:lineRule="auto"/>
              <w:jc w:val="center"/>
            </w:pPr>
            <w:r w:rsidRPr="007B5458">
              <w:rPr>
                <w:color w:val="000000"/>
                <w:sz w:val="17"/>
              </w:rPr>
              <w:t>45.4</w:t>
            </w:r>
          </w:p>
        </w:tc>
      </w:tr>
      <w:tr w:rsidR="007A70A3" w:rsidRPr="007B5458" w14:paraId="37E82A51" w14:textId="77777777">
        <w:trPr>
          <w:jc w:val="center"/>
        </w:trPr>
        <w:tc>
          <w:tcPr>
            <w:tcW w:w="175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B8DEFB8" w14:textId="77777777" w:rsidR="007A70A3" w:rsidRPr="007B5458" w:rsidRDefault="007A70A3">
            <w:pPr>
              <w:spacing w:after="0" w:line="240" w:lineRule="auto"/>
            </w:pPr>
          </w:p>
        </w:tc>
        <w:tc>
          <w:tcPr>
            <w:tcW w:w="4195"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F325317" w14:textId="77777777" w:rsidR="007A70A3" w:rsidRPr="007B5458" w:rsidRDefault="00F7451F">
            <w:pPr>
              <w:spacing w:after="0" w:line="240" w:lineRule="auto"/>
            </w:pPr>
            <w:r w:rsidRPr="007B5458">
              <w:rPr>
                <w:color w:val="000000"/>
                <w:sz w:val="17"/>
              </w:rPr>
              <w:t>Team leader/supervisor</w:t>
            </w:r>
          </w:p>
        </w:tc>
        <w:tc>
          <w:tcPr>
            <w:tcW w:w="141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8AA6CE7" w14:textId="77777777" w:rsidR="007A70A3" w:rsidRPr="007B5458" w:rsidRDefault="00F7451F">
            <w:pPr>
              <w:spacing w:after="0" w:line="240" w:lineRule="auto"/>
              <w:jc w:val="center"/>
            </w:pPr>
            <w:r w:rsidRPr="007B5458">
              <w:rPr>
                <w:color w:val="000000"/>
                <w:sz w:val="17"/>
              </w:rPr>
              <w:t>90</w:t>
            </w:r>
          </w:p>
        </w:tc>
        <w:tc>
          <w:tcPr>
            <w:tcW w:w="113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D20A1B4" w14:textId="77777777" w:rsidR="007A70A3" w:rsidRPr="007B5458" w:rsidRDefault="00F7451F">
            <w:pPr>
              <w:spacing w:after="0" w:line="240" w:lineRule="auto"/>
              <w:jc w:val="center"/>
            </w:pPr>
            <w:r w:rsidRPr="007B5458">
              <w:rPr>
                <w:color w:val="000000"/>
                <w:sz w:val="17"/>
              </w:rPr>
              <w:t>24.9</w:t>
            </w:r>
          </w:p>
        </w:tc>
      </w:tr>
      <w:tr w:rsidR="007A70A3" w:rsidRPr="007B5458" w14:paraId="235350F8" w14:textId="77777777">
        <w:trPr>
          <w:jc w:val="center"/>
        </w:trPr>
        <w:tc>
          <w:tcPr>
            <w:tcW w:w="1757"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60AC3A8B" w14:textId="77777777" w:rsidR="007A70A3" w:rsidRPr="007B5458" w:rsidRDefault="007A70A3">
            <w:pPr>
              <w:spacing w:after="0" w:line="240" w:lineRule="auto"/>
            </w:pPr>
          </w:p>
        </w:tc>
        <w:tc>
          <w:tcPr>
            <w:tcW w:w="4195"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4A4ECD86" w14:textId="77777777" w:rsidR="007A70A3" w:rsidRPr="007B5458" w:rsidRDefault="00F7451F">
            <w:pPr>
              <w:spacing w:after="0" w:line="240" w:lineRule="auto"/>
            </w:pPr>
            <w:r w:rsidRPr="007B5458">
              <w:rPr>
                <w:color w:val="000000"/>
                <w:sz w:val="17"/>
              </w:rPr>
              <w:t>Manager</w:t>
            </w:r>
          </w:p>
        </w:tc>
        <w:tc>
          <w:tcPr>
            <w:tcW w:w="1417"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4C2F5E27" w14:textId="77777777" w:rsidR="007A70A3" w:rsidRPr="007B5458" w:rsidRDefault="00F7451F">
            <w:pPr>
              <w:spacing w:after="0" w:line="240" w:lineRule="auto"/>
              <w:jc w:val="center"/>
            </w:pPr>
            <w:r w:rsidRPr="007B5458">
              <w:rPr>
                <w:color w:val="000000"/>
                <w:sz w:val="17"/>
              </w:rPr>
              <w:t>92</w:t>
            </w:r>
          </w:p>
        </w:tc>
        <w:tc>
          <w:tcPr>
            <w:tcW w:w="113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503BDB27" w14:textId="77777777" w:rsidR="007A70A3" w:rsidRPr="007B5458" w:rsidRDefault="00F7451F">
            <w:pPr>
              <w:spacing w:after="0" w:line="240" w:lineRule="auto"/>
              <w:jc w:val="center"/>
            </w:pPr>
            <w:r w:rsidRPr="007B5458">
              <w:rPr>
                <w:color w:val="000000"/>
                <w:sz w:val="17"/>
              </w:rPr>
              <w:t>25.5</w:t>
            </w:r>
          </w:p>
        </w:tc>
      </w:tr>
      <w:tr w:rsidR="007A70A3" w:rsidRPr="007B5458" w14:paraId="239E46EE" w14:textId="77777777">
        <w:trPr>
          <w:jc w:val="center"/>
        </w:trPr>
        <w:tc>
          <w:tcPr>
            <w:tcW w:w="175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E55FFDA" w14:textId="77777777" w:rsidR="007A70A3" w:rsidRPr="007B5458" w:rsidRDefault="007A70A3">
            <w:pPr>
              <w:spacing w:after="0" w:line="240" w:lineRule="auto"/>
            </w:pPr>
          </w:p>
        </w:tc>
        <w:tc>
          <w:tcPr>
            <w:tcW w:w="4195"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4452C28" w14:textId="77777777" w:rsidR="007A70A3" w:rsidRPr="007B5458" w:rsidRDefault="00F7451F">
            <w:pPr>
              <w:spacing w:after="0" w:line="240" w:lineRule="auto"/>
            </w:pPr>
            <w:r w:rsidRPr="007B5458">
              <w:rPr>
                <w:color w:val="000000"/>
                <w:sz w:val="17"/>
              </w:rPr>
              <w:t>Owner-manager</w:t>
            </w:r>
          </w:p>
        </w:tc>
        <w:tc>
          <w:tcPr>
            <w:tcW w:w="141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CBBCBD3" w14:textId="77777777" w:rsidR="007A70A3" w:rsidRPr="007B5458" w:rsidRDefault="00F7451F">
            <w:pPr>
              <w:spacing w:after="0" w:line="240" w:lineRule="auto"/>
              <w:jc w:val="center"/>
            </w:pPr>
            <w:r w:rsidRPr="007B5458">
              <w:rPr>
                <w:color w:val="000000"/>
                <w:sz w:val="17"/>
              </w:rPr>
              <w:t>15</w:t>
            </w:r>
          </w:p>
        </w:tc>
        <w:tc>
          <w:tcPr>
            <w:tcW w:w="113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B8760ED" w14:textId="77777777" w:rsidR="007A70A3" w:rsidRPr="007B5458" w:rsidRDefault="00F7451F">
            <w:pPr>
              <w:spacing w:after="0" w:line="240" w:lineRule="auto"/>
              <w:jc w:val="center"/>
            </w:pPr>
            <w:r w:rsidRPr="007B5458">
              <w:rPr>
                <w:color w:val="000000"/>
                <w:sz w:val="17"/>
              </w:rPr>
              <w:t>4.2</w:t>
            </w:r>
          </w:p>
        </w:tc>
      </w:tr>
      <w:tr w:rsidR="007A70A3" w:rsidRPr="007B5458" w14:paraId="0566E8F8" w14:textId="77777777">
        <w:trPr>
          <w:jc w:val="center"/>
        </w:trPr>
        <w:tc>
          <w:tcPr>
            <w:tcW w:w="1757"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0A13E258" w14:textId="77777777" w:rsidR="007A70A3" w:rsidRPr="007B5458" w:rsidRDefault="00F7451F">
            <w:pPr>
              <w:spacing w:after="0" w:line="240" w:lineRule="auto"/>
            </w:pPr>
            <w:r w:rsidRPr="007B5458">
              <w:rPr>
                <w:color w:val="000000"/>
                <w:sz w:val="17"/>
              </w:rPr>
              <w:t>Industry</w:t>
            </w:r>
          </w:p>
        </w:tc>
        <w:tc>
          <w:tcPr>
            <w:tcW w:w="4195"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37DF0131" w14:textId="77777777" w:rsidR="007A70A3" w:rsidRPr="007B5458" w:rsidRDefault="00F7451F">
            <w:pPr>
              <w:spacing w:after="0" w:line="240" w:lineRule="auto"/>
            </w:pPr>
            <w:r w:rsidRPr="007B5458">
              <w:rPr>
                <w:color w:val="000000"/>
                <w:sz w:val="17"/>
              </w:rPr>
              <w:t>Trade</w:t>
            </w:r>
          </w:p>
        </w:tc>
        <w:tc>
          <w:tcPr>
            <w:tcW w:w="1417"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013D89A0" w14:textId="77777777" w:rsidR="007A70A3" w:rsidRPr="007B5458" w:rsidRDefault="00F7451F">
            <w:pPr>
              <w:spacing w:after="0" w:line="240" w:lineRule="auto"/>
              <w:jc w:val="center"/>
            </w:pPr>
            <w:r w:rsidRPr="007B5458">
              <w:rPr>
                <w:color w:val="000000"/>
                <w:sz w:val="17"/>
              </w:rPr>
              <w:t>99</w:t>
            </w:r>
          </w:p>
        </w:tc>
        <w:tc>
          <w:tcPr>
            <w:tcW w:w="113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30D563EB" w14:textId="77777777" w:rsidR="007A70A3" w:rsidRPr="007B5458" w:rsidRDefault="00F7451F">
            <w:pPr>
              <w:spacing w:after="0" w:line="240" w:lineRule="auto"/>
              <w:jc w:val="center"/>
            </w:pPr>
            <w:r w:rsidRPr="007B5458">
              <w:rPr>
                <w:color w:val="000000"/>
                <w:sz w:val="17"/>
              </w:rPr>
              <w:t>27.4</w:t>
            </w:r>
          </w:p>
        </w:tc>
      </w:tr>
      <w:tr w:rsidR="007A70A3" w:rsidRPr="007B5458" w14:paraId="26352949" w14:textId="77777777">
        <w:trPr>
          <w:jc w:val="center"/>
        </w:trPr>
        <w:tc>
          <w:tcPr>
            <w:tcW w:w="175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80432B8" w14:textId="77777777" w:rsidR="007A70A3" w:rsidRPr="007B5458" w:rsidRDefault="007A70A3">
            <w:pPr>
              <w:spacing w:after="0" w:line="240" w:lineRule="auto"/>
            </w:pPr>
          </w:p>
        </w:tc>
        <w:tc>
          <w:tcPr>
            <w:tcW w:w="4195"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41A9D04" w14:textId="77777777" w:rsidR="007A70A3" w:rsidRPr="007B5458" w:rsidRDefault="00F7451F">
            <w:pPr>
              <w:spacing w:after="0" w:line="240" w:lineRule="auto"/>
            </w:pPr>
            <w:r w:rsidRPr="007B5458">
              <w:rPr>
                <w:color w:val="000000"/>
                <w:sz w:val="17"/>
              </w:rPr>
              <w:t>Services</w:t>
            </w:r>
          </w:p>
        </w:tc>
        <w:tc>
          <w:tcPr>
            <w:tcW w:w="141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C066E47" w14:textId="77777777" w:rsidR="007A70A3" w:rsidRPr="007B5458" w:rsidRDefault="00F7451F">
            <w:pPr>
              <w:spacing w:after="0" w:line="240" w:lineRule="auto"/>
              <w:jc w:val="center"/>
            </w:pPr>
            <w:r w:rsidRPr="007B5458">
              <w:rPr>
                <w:color w:val="000000"/>
                <w:sz w:val="17"/>
              </w:rPr>
              <w:t>90</w:t>
            </w:r>
          </w:p>
        </w:tc>
        <w:tc>
          <w:tcPr>
            <w:tcW w:w="113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DC1931B" w14:textId="77777777" w:rsidR="007A70A3" w:rsidRPr="007B5458" w:rsidRDefault="00F7451F">
            <w:pPr>
              <w:spacing w:after="0" w:line="240" w:lineRule="auto"/>
              <w:jc w:val="center"/>
            </w:pPr>
            <w:r w:rsidRPr="007B5458">
              <w:rPr>
                <w:color w:val="000000"/>
                <w:sz w:val="17"/>
              </w:rPr>
              <w:t>24.9</w:t>
            </w:r>
          </w:p>
        </w:tc>
      </w:tr>
      <w:tr w:rsidR="007A70A3" w:rsidRPr="007B5458" w14:paraId="234676D9" w14:textId="77777777">
        <w:trPr>
          <w:jc w:val="center"/>
        </w:trPr>
        <w:tc>
          <w:tcPr>
            <w:tcW w:w="1757"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607D8B04" w14:textId="77777777" w:rsidR="007A70A3" w:rsidRPr="007B5458" w:rsidRDefault="007A70A3">
            <w:pPr>
              <w:spacing w:after="0" w:line="240" w:lineRule="auto"/>
            </w:pPr>
          </w:p>
        </w:tc>
        <w:tc>
          <w:tcPr>
            <w:tcW w:w="4195"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4B4B0CD1" w14:textId="77777777" w:rsidR="007A70A3" w:rsidRPr="007B5458" w:rsidRDefault="00F7451F">
            <w:pPr>
              <w:spacing w:after="0" w:line="240" w:lineRule="auto"/>
            </w:pPr>
            <w:r w:rsidRPr="007B5458">
              <w:rPr>
                <w:color w:val="000000"/>
                <w:sz w:val="17"/>
              </w:rPr>
              <w:t>Manufacturing</w:t>
            </w:r>
          </w:p>
        </w:tc>
        <w:tc>
          <w:tcPr>
            <w:tcW w:w="1417"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19378B24" w14:textId="77777777" w:rsidR="007A70A3" w:rsidRPr="007B5458" w:rsidRDefault="00F7451F">
            <w:pPr>
              <w:spacing w:after="0" w:line="240" w:lineRule="auto"/>
              <w:jc w:val="center"/>
            </w:pPr>
            <w:r w:rsidRPr="007B5458">
              <w:rPr>
                <w:color w:val="000000"/>
                <w:sz w:val="17"/>
              </w:rPr>
              <w:t>88</w:t>
            </w:r>
          </w:p>
        </w:tc>
        <w:tc>
          <w:tcPr>
            <w:tcW w:w="113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02E1960F" w14:textId="77777777" w:rsidR="007A70A3" w:rsidRPr="007B5458" w:rsidRDefault="00F7451F">
            <w:pPr>
              <w:spacing w:after="0" w:line="240" w:lineRule="auto"/>
              <w:jc w:val="center"/>
            </w:pPr>
            <w:r w:rsidRPr="007B5458">
              <w:rPr>
                <w:color w:val="000000"/>
                <w:sz w:val="17"/>
              </w:rPr>
              <w:t>24.4</w:t>
            </w:r>
          </w:p>
        </w:tc>
      </w:tr>
      <w:tr w:rsidR="007A70A3" w:rsidRPr="007B5458" w14:paraId="7AAF2003" w14:textId="77777777">
        <w:trPr>
          <w:jc w:val="center"/>
        </w:trPr>
        <w:tc>
          <w:tcPr>
            <w:tcW w:w="175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14A1B8E" w14:textId="77777777" w:rsidR="007A70A3" w:rsidRPr="007B5458" w:rsidRDefault="007A70A3">
            <w:pPr>
              <w:spacing w:after="0" w:line="240" w:lineRule="auto"/>
            </w:pPr>
          </w:p>
        </w:tc>
        <w:tc>
          <w:tcPr>
            <w:tcW w:w="4195"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30FF452" w14:textId="77777777" w:rsidR="007A70A3" w:rsidRPr="007B5458" w:rsidRDefault="00F7451F">
            <w:pPr>
              <w:spacing w:after="0" w:line="240" w:lineRule="auto"/>
            </w:pPr>
            <w:r w:rsidRPr="007B5458">
              <w:rPr>
                <w:color w:val="000000"/>
                <w:sz w:val="17"/>
              </w:rPr>
              <w:t>Other</w:t>
            </w:r>
          </w:p>
        </w:tc>
        <w:tc>
          <w:tcPr>
            <w:tcW w:w="141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61CD08B" w14:textId="77777777" w:rsidR="007A70A3" w:rsidRPr="007B5458" w:rsidRDefault="00F7451F">
            <w:pPr>
              <w:spacing w:after="0" w:line="240" w:lineRule="auto"/>
              <w:jc w:val="center"/>
            </w:pPr>
            <w:r w:rsidRPr="007B5458">
              <w:rPr>
                <w:color w:val="000000"/>
                <w:sz w:val="17"/>
              </w:rPr>
              <w:t>84</w:t>
            </w:r>
          </w:p>
        </w:tc>
        <w:tc>
          <w:tcPr>
            <w:tcW w:w="113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A794DEB" w14:textId="77777777" w:rsidR="007A70A3" w:rsidRPr="007B5458" w:rsidRDefault="00F7451F">
            <w:pPr>
              <w:spacing w:after="0" w:line="240" w:lineRule="auto"/>
              <w:jc w:val="center"/>
            </w:pPr>
            <w:r w:rsidRPr="007B5458">
              <w:rPr>
                <w:color w:val="000000"/>
                <w:sz w:val="17"/>
              </w:rPr>
              <w:t>23.3</w:t>
            </w:r>
          </w:p>
        </w:tc>
      </w:tr>
      <w:tr w:rsidR="007A70A3" w:rsidRPr="007B5458" w14:paraId="73266EF9" w14:textId="77777777">
        <w:trPr>
          <w:jc w:val="center"/>
        </w:trPr>
        <w:tc>
          <w:tcPr>
            <w:tcW w:w="1757"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2B6C05A8" w14:textId="77777777" w:rsidR="007A70A3" w:rsidRPr="007B5458" w:rsidRDefault="00F7451F">
            <w:pPr>
              <w:spacing w:after="0" w:line="240" w:lineRule="auto"/>
            </w:pPr>
            <w:r w:rsidRPr="007B5458">
              <w:rPr>
                <w:color w:val="000000"/>
                <w:sz w:val="17"/>
              </w:rPr>
              <w:t>Firm size</w:t>
            </w:r>
          </w:p>
        </w:tc>
        <w:tc>
          <w:tcPr>
            <w:tcW w:w="4195"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6A21CD87" w14:textId="77777777" w:rsidR="007A70A3" w:rsidRPr="007B5458" w:rsidRDefault="00F7451F">
            <w:pPr>
              <w:spacing w:after="0" w:line="240" w:lineRule="auto"/>
            </w:pPr>
            <w:r w:rsidRPr="007B5458">
              <w:rPr>
                <w:color w:val="000000"/>
                <w:sz w:val="17"/>
              </w:rPr>
              <w:t>Fewer than 10 employees</w:t>
            </w:r>
          </w:p>
        </w:tc>
        <w:tc>
          <w:tcPr>
            <w:tcW w:w="1417"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2DD6A988" w14:textId="77777777" w:rsidR="007A70A3" w:rsidRPr="007B5458" w:rsidRDefault="00F7451F">
            <w:pPr>
              <w:spacing w:after="0" w:line="240" w:lineRule="auto"/>
              <w:jc w:val="center"/>
            </w:pPr>
            <w:r w:rsidRPr="007B5458">
              <w:rPr>
                <w:color w:val="000000"/>
                <w:sz w:val="17"/>
              </w:rPr>
              <w:t>103</w:t>
            </w:r>
          </w:p>
        </w:tc>
        <w:tc>
          <w:tcPr>
            <w:tcW w:w="113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1F32990E" w14:textId="77777777" w:rsidR="007A70A3" w:rsidRPr="007B5458" w:rsidRDefault="00F7451F">
            <w:pPr>
              <w:spacing w:after="0" w:line="240" w:lineRule="auto"/>
              <w:jc w:val="center"/>
            </w:pPr>
            <w:r w:rsidRPr="007B5458">
              <w:rPr>
                <w:color w:val="000000"/>
                <w:sz w:val="17"/>
              </w:rPr>
              <w:t>28.5</w:t>
            </w:r>
          </w:p>
        </w:tc>
      </w:tr>
      <w:tr w:rsidR="007A70A3" w:rsidRPr="007B5458" w14:paraId="2A371FC6" w14:textId="77777777">
        <w:trPr>
          <w:jc w:val="center"/>
        </w:trPr>
        <w:tc>
          <w:tcPr>
            <w:tcW w:w="175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47C2BD6" w14:textId="77777777" w:rsidR="007A70A3" w:rsidRPr="007B5458" w:rsidRDefault="007A70A3">
            <w:pPr>
              <w:spacing w:after="0" w:line="240" w:lineRule="auto"/>
            </w:pPr>
          </w:p>
        </w:tc>
        <w:tc>
          <w:tcPr>
            <w:tcW w:w="4195"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AAA8171" w14:textId="77777777" w:rsidR="007A70A3" w:rsidRPr="007B5458" w:rsidRDefault="00F7451F">
            <w:pPr>
              <w:spacing w:after="0" w:line="240" w:lineRule="auto"/>
            </w:pPr>
            <w:r w:rsidRPr="007B5458">
              <w:rPr>
                <w:color w:val="000000"/>
                <w:sz w:val="17"/>
              </w:rPr>
              <w:t>10–49 employees</w:t>
            </w:r>
          </w:p>
        </w:tc>
        <w:tc>
          <w:tcPr>
            <w:tcW w:w="141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A349795" w14:textId="77777777" w:rsidR="007A70A3" w:rsidRPr="007B5458" w:rsidRDefault="00F7451F">
            <w:pPr>
              <w:spacing w:after="0" w:line="240" w:lineRule="auto"/>
              <w:jc w:val="center"/>
            </w:pPr>
            <w:r w:rsidRPr="007B5458">
              <w:rPr>
                <w:color w:val="000000"/>
                <w:sz w:val="17"/>
              </w:rPr>
              <w:t>86</w:t>
            </w:r>
          </w:p>
        </w:tc>
        <w:tc>
          <w:tcPr>
            <w:tcW w:w="113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EA7E634" w14:textId="77777777" w:rsidR="007A70A3" w:rsidRPr="007B5458" w:rsidRDefault="00F7451F">
            <w:pPr>
              <w:spacing w:after="0" w:line="240" w:lineRule="auto"/>
              <w:jc w:val="center"/>
            </w:pPr>
            <w:r w:rsidRPr="007B5458">
              <w:rPr>
                <w:color w:val="000000"/>
                <w:sz w:val="17"/>
              </w:rPr>
              <w:t>23.8</w:t>
            </w:r>
          </w:p>
        </w:tc>
      </w:tr>
      <w:tr w:rsidR="007A70A3" w:rsidRPr="007B5458" w14:paraId="64C120CB" w14:textId="77777777">
        <w:trPr>
          <w:jc w:val="center"/>
        </w:trPr>
        <w:tc>
          <w:tcPr>
            <w:tcW w:w="1757"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1FCAC254" w14:textId="77777777" w:rsidR="007A70A3" w:rsidRPr="007B5458" w:rsidRDefault="007A70A3">
            <w:pPr>
              <w:spacing w:after="0" w:line="240" w:lineRule="auto"/>
            </w:pPr>
          </w:p>
        </w:tc>
        <w:tc>
          <w:tcPr>
            <w:tcW w:w="4195"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408DCA5C" w14:textId="77777777" w:rsidR="007A70A3" w:rsidRPr="007B5458" w:rsidRDefault="00F7451F">
            <w:pPr>
              <w:spacing w:after="0" w:line="240" w:lineRule="auto"/>
            </w:pPr>
            <w:r w:rsidRPr="007B5458">
              <w:rPr>
                <w:color w:val="000000"/>
                <w:sz w:val="17"/>
              </w:rPr>
              <w:t>50–199 employees</w:t>
            </w:r>
          </w:p>
        </w:tc>
        <w:tc>
          <w:tcPr>
            <w:tcW w:w="1417"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1A990DF5" w14:textId="77777777" w:rsidR="007A70A3" w:rsidRPr="007B5458" w:rsidRDefault="00F7451F">
            <w:pPr>
              <w:spacing w:after="0" w:line="240" w:lineRule="auto"/>
              <w:jc w:val="center"/>
            </w:pPr>
            <w:r w:rsidRPr="007B5458">
              <w:rPr>
                <w:color w:val="000000"/>
                <w:sz w:val="17"/>
              </w:rPr>
              <w:t>86</w:t>
            </w:r>
          </w:p>
        </w:tc>
        <w:tc>
          <w:tcPr>
            <w:tcW w:w="113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7CB91E02" w14:textId="77777777" w:rsidR="007A70A3" w:rsidRPr="007B5458" w:rsidRDefault="00F7451F">
            <w:pPr>
              <w:spacing w:after="0" w:line="240" w:lineRule="auto"/>
              <w:jc w:val="center"/>
            </w:pPr>
            <w:r w:rsidRPr="007B5458">
              <w:rPr>
                <w:color w:val="000000"/>
                <w:sz w:val="17"/>
              </w:rPr>
              <w:t>23.8</w:t>
            </w:r>
          </w:p>
        </w:tc>
      </w:tr>
      <w:tr w:rsidR="007A70A3" w:rsidRPr="007B5458" w14:paraId="275B5B39" w14:textId="77777777">
        <w:trPr>
          <w:jc w:val="center"/>
        </w:trPr>
        <w:tc>
          <w:tcPr>
            <w:tcW w:w="175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0140581" w14:textId="77777777" w:rsidR="007A70A3" w:rsidRPr="007B5458" w:rsidRDefault="007A70A3">
            <w:pPr>
              <w:spacing w:after="0" w:line="240" w:lineRule="auto"/>
            </w:pPr>
          </w:p>
        </w:tc>
        <w:tc>
          <w:tcPr>
            <w:tcW w:w="4195"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B240611" w14:textId="77777777" w:rsidR="007A70A3" w:rsidRPr="007B5458" w:rsidRDefault="00F7451F">
            <w:pPr>
              <w:spacing w:after="0" w:line="240" w:lineRule="auto"/>
            </w:pPr>
            <w:r w:rsidRPr="007B5458">
              <w:rPr>
                <w:color w:val="000000"/>
                <w:sz w:val="17"/>
              </w:rPr>
              <w:t>200–299 employees</w:t>
            </w:r>
          </w:p>
        </w:tc>
        <w:tc>
          <w:tcPr>
            <w:tcW w:w="141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009C312" w14:textId="77777777" w:rsidR="007A70A3" w:rsidRPr="007B5458" w:rsidRDefault="00F7451F">
            <w:pPr>
              <w:spacing w:after="0" w:line="240" w:lineRule="auto"/>
              <w:jc w:val="center"/>
            </w:pPr>
            <w:r w:rsidRPr="007B5458">
              <w:rPr>
                <w:color w:val="000000"/>
                <w:sz w:val="17"/>
              </w:rPr>
              <w:t>86</w:t>
            </w:r>
          </w:p>
        </w:tc>
        <w:tc>
          <w:tcPr>
            <w:tcW w:w="113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18D5DFD" w14:textId="77777777" w:rsidR="007A70A3" w:rsidRPr="007B5458" w:rsidRDefault="00F7451F">
            <w:pPr>
              <w:spacing w:after="0" w:line="240" w:lineRule="auto"/>
              <w:jc w:val="center"/>
            </w:pPr>
            <w:r w:rsidRPr="007B5458">
              <w:rPr>
                <w:color w:val="000000"/>
                <w:sz w:val="17"/>
              </w:rPr>
              <w:t>23.8</w:t>
            </w:r>
          </w:p>
        </w:tc>
      </w:tr>
      <w:tr w:rsidR="007A70A3" w:rsidRPr="007B5458" w14:paraId="7454CDAA" w14:textId="77777777">
        <w:trPr>
          <w:jc w:val="center"/>
        </w:trPr>
        <w:tc>
          <w:tcPr>
            <w:tcW w:w="1757"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76C768E8" w14:textId="77777777" w:rsidR="007A70A3" w:rsidRPr="007B5458" w:rsidRDefault="00F7451F">
            <w:pPr>
              <w:spacing w:after="0" w:line="240" w:lineRule="auto"/>
            </w:pPr>
            <w:r w:rsidRPr="007B5458">
              <w:rPr>
                <w:color w:val="000000"/>
                <w:sz w:val="17"/>
              </w:rPr>
              <w:t>Tenure</w:t>
            </w:r>
          </w:p>
        </w:tc>
        <w:tc>
          <w:tcPr>
            <w:tcW w:w="4195"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5B107165" w14:textId="77777777" w:rsidR="007A70A3" w:rsidRPr="007B5458" w:rsidRDefault="00F7451F">
            <w:pPr>
              <w:spacing w:after="0" w:line="240" w:lineRule="auto"/>
            </w:pPr>
            <w:r w:rsidRPr="007B5458">
              <w:rPr>
                <w:color w:val="000000"/>
                <w:sz w:val="17"/>
              </w:rPr>
              <w:t>Less than 1 year</w:t>
            </w:r>
          </w:p>
        </w:tc>
        <w:tc>
          <w:tcPr>
            <w:tcW w:w="1417"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20DB2182" w14:textId="77777777" w:rsidR="007A70A3" w:rsidRPr="007B5458" w:rsidRDefault="00F7451F">
            <w:pPr>
              <w:spacing w:after="0" w:line="240" w:lineRule="auto"/>
              <w:jc w:val="center"/>
            </w:pPr>
            <w:r w:rsidRPr="007B5458">
              <w:rPr>
                <w:color w:val="000000"/>
                <w:sz w:val="17"/>
              </w:rPr>
              <w:t>92</w:t>
            </w:r>
          </w:p>
        </w:tc>
        <w:tc>
          <w:tcPr>
            <w:tcW w:w="113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11A14EB2" w14:textId="77777777" w:rsidR="007A70A3" w:rsidRPr="007B5458" w:rsidRDefault="00F7451F">
            <w:pPr>
              <w:spacing w:after="0" w:line="240" w:lineRule="auto"/>
              <w:jc w:val="center"/>
            </w:pPr>
            <w:r w:rsidRPr="007B5458">
              <w:rPr>
                <w:color w:val="000000"/>
                <w:sz w:val="17"/>
              </w:rPr>
              <w:t>25.5</w:t>
            </w:r>
          </w:p>
        </w:tc>
      </w:tr>
      <w:tr w:rsidR="007A70A3" w:rsidRPr="007B5458" w14:paraId="71B77ED8" w14:textId="77777777">
        <w:trPr>
          <w:jc w:val="center"/>
        </w:trPr>
        <w:tc>
          <w:tcPr>
            <w:tcW w:w="175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462EC24" w14:textId="77777777" w:rsidR="007A70A3" w:rsidRPr="007B5458" w:rsidRDefault="007A70A3">
            <w:pPr>
              <w:spacing w:after="0" w:line="240" w:lineRule="auto"/>
            </w:pPr>
          </w:p>
        </w:tc>
        <w:tc>
          <w:tcPr>
            <w:tcW w:w="4195"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20A04D0" w14:textId="77777777" w:rsidR="007A70A3" w:rsidRPr="007B5458" w:rsidRDefault="00F7451F">
            <w:pPr>
              <w:spacing w:after="0" w:line="240" w:lineRule="auto"/>
            </w:pPr>
            <w:r w:rsidRPr="007B5458">
              <w:rPr>
                <w:color w:val="000000"/>
                <w:sz w:val="17"/>
              </w:rPr>
              <w:t>1–3 years</w:t>
            </w:r>
          </w:p>
        </w:tc>
        <w:tc>
          <w:tcPr>
            <w:tcW w:w="141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5674A0C" w14:textId="77777777" w:rsidR="007A70A3" w:rsidRPr="007B5458" w:rsidRDefault="00F7451F">
            <w:pPr>
              <w:spacing w:after="0" w:line="240" w:lineRule="auto"/>
              <w:jc w:val="center"/>
            </w:pPr>
            <w:r w:rsidRPr="007B5458">
              <w:rPr>
                <w:color w:val="000000"/>
                <w:sz w:val="17"/>
              </w:rPr>
              <w:t>87</w:t>
            </w:r>
          </w:p>
        </w:tc>
        <w:tc>
          <w:tcPr>
            <w:tcW w:w="113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69087D4" w14:textId="77777777" w:rsidR="007A70A3" w:rsidRPr="007B5458" w:rsidRDefault="00F7451F">
            <w:pPr>
              <w:spacing w:after="0" w:line="240" w:lineRule="auto"/>
              <w:jc w:val="center"/>
            </w:pPr>
            <w:r w:rsidRPr="007B5458">
              <w:rPr>
                <w:color w:val="000000"/>
                <w:sz w:val="17"/>
              </w:rPr>
              <w:t>24.1</w:t>
            </w:r>
          </w:p>
        </w:tc>
      </w:tr>
      <w:tr w:rsidR="007A70A3" w:rsidRPr="007B5458" w14:paraId="3DB6C432" w14:textId="77777777">
        <w:trPr>
          <w:jc w:val="center"/>
        </w:trPr>
        <w:tc>
          <w:tcPr>
            <w:tcW w:w="1757"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278A1277" w14:textId="77777777" w:rsidR="007A70A3" w:rsidRPr="007B5458" w:rsidRDefault="007A70A3">
            <w:pPr>
              <w:spacing w:after="0" w:line="240" w:lineRule="auto"/>
            </w:pPr>
          </w:p>
        </w:tc>
        <w:tc>
          <w:tcPr>
            <w:tcW w:w="4195"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76F32B94" w14:textId="77777777" w:rsidR="007A70A3" w:rsidRPr="007B5458" w:rsidRDefault="00F7451F">
            <w:pPr>
              <w:spacing w:after="0" w:line="240" w:lineRule="auto"/>
            </w:pPr>
            <w:r w:rsidRPr="007B5458">
              <w:rPr>
                <w:color w:val="000000"/>
                <w:sz w:val="17"/>
              </w:rPr>
              <w:t>3–5 years</w:t>
            </w:r>
          </w:p>
        </w:tc>
        <w:tc>
          <w:tcPr>
            <w:tcW w:w="1417"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69DBD07D" w14:textId="77777777" w:rsidR="007A70A3" w:rsidRPr="007B5458" w:rsidRDefault="00F7451F">
            <w:pPr>
              <w:spacing w:after="0" w:line="240" w:lineRule="auto"/>
              <w:jc w:val="center"/>
            </w:pPr>
            <w:r w:rsidRPr="007B5458">
              <w:rPr>
                <w:color w:val="000000"/>
                <w:sz w:val="17"/>
              </w:rPr>
              <w:t>81</w:t>
            </w:r>
          </w:p>
        </w:tc>
        <w:tc>
          <w:tcPr>
            <w:tcW w:w="113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30DA31D7" w14:textId="77777777" w:rsidR="007A70A3" w:rsidRPr="007B5458" w:rsidRDefault="00F7451F">
            <w:pPr>
              <w:spacing w:after="0" w:line="240" w:lineRule="auto"/>
              <w:jc w:val="center"/>
            </w:pPr>
            <w:r w:rsidRPr="007B5458">
              <w:rPr>
                <w:color w:val="000000"/>
                <w:sz w:val="17"/>
              </w:rPr>
              <w:t>22.4</w:t>
            </w:r>
          </w:p>
        </w:tc>
      </w:tr>
      <w:tr w:rsidR="007A70A3" w:rsidRPr="007B5458" w14:paraId="4F42C572" w14:textId="77777777">
        <w:trPr>
          <w:jc w:val="center"/>
        </w:trPr>
        <w:tc>
          <w:tcPr>
            <w:tcW w:w="175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79189C2" w14:textId="77777777" w:rsidR="007A70A3" w:rsidRPr="007B5458" w:rsidRDefault="007A70A3">
            <w:pPr>
              <w:spacing w:after="0" w:line="240" w:lineRule="auto"/>
            </w:pPr>
          </w:p>
        </w:tc>
        <w:tc>
          <w:tcPr>
            <w:tcW w:w="4195"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55E97EB" w14:textId="77777777" w:rsidR="007A70A3" w:rsidRPr="007B5458" w:rsidRDefault="00F7451F">
            <w:pPr>
              <w:spacing w:after="0" w:line="240" w:lineRule="auto"/>
            </w:pPr>
            <w:r w:rsidRPr="007B5458">
              <w:rPr>
                <w:color w:val="000000"/>
                <w:sz w:val="17"/>
              </w:rPr>
              <w:t>More than 5 years</w:t>
            </w:r>
          </w:p>
        </w:tc>
        <w:tc>
          <w:tcPr>
            <w:tcW w:w="141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8F6CDF0" w14:textId="77777777" w:rsidR="007A70A3" w:rsidRPr="007B5458" w:rsidRDefault="00F7451F">
            <w:pPr>
              <w:spacing w:after="0" w:line="240" w:lineRule="auto"/>
              <w:jc w:val="center"/>
            </w:pPr>
            <w:r w:rsidRPr="007B5458">
              <w:rPr>
                <w:color w:val="000000"/>
                <w:sz w:val="17"/>
              </w:rPr>
              <w:t>101</w:t>
            </w:r>
          </w:p>
        </w:tc>
        <w:tc>
          <w:tcPr>
            <w:tcW w:w="113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F475989" w14:textId="77777777" w:rsidR="007A70A3" w:rsidRPr="007B5458" w:rsidRDefault="00F7451F">
            <w:pPr>
              <w:spacing w:after="0" w:line="240" w:lineRule="auto"/>
              <w:jc w:val="center"/>
            </w:pPr>
            <w:r w:rsidRPr="007B5458">
              <w:rPr>
                <w:color w:val="000000"/>
                <w:sz w:val="17"/>
              </w:rPr>
              <w:t>28.0</w:t>
            </w:r>
          </w:p>
        </w:tc>
      </w:tr>
    </w:tbl>
    <w:p w14:paraId="4F9D76BD" w14:textId="77777777" w:rsidR="007A70A3" w:rsidRPr="007B5458" w:rsidRDefault="007A70A3">
      <w:pPr>
        <w:spacing w:after="0"/>
      </w:pPr>
    </w:p>
    <w:p w14:paraId="66E0FFB5" w14:textId="77777777" w:rsidR="007A70A3" w:rsidRPr="007B5458" w:rsidRDefault="00F7451F">
      <w:pPr>
        <w:pStyle w:val="Heading2"/>
        <w:spacing w:before="140" w:after="80"/>
      </w:pPr>
      <w:r w:rsidRPr="007B5458">
        <w:rPr>
          <w:rFonts w:ascii="Times New Roman" w:hAnsi="Times New Roman"/>
          <w:sz w:val="22"/>
        </w:rPr>
        <w:t>3.3. Measurement</w:t>
      </w:r>
    </w:p>
    <w:p w14:paraId="60BEB4CB" w14:textId="77777777" w:rsidR="007A70A3" w:rsidRPr="007B5458" w:rsidRDefault="00F7451F">
      <w:pPr>
        <w:spacing w:after="80"/>
        <w:ind w:firstLine="397"/>
        <w:jc w:val="both"/>
      </w:pPr>
      <w:r w:rsidRPr="007B5458">
        <w:rPr>
          <w:color w:val="000000"/>
        </w:rPr>
        <w:t xml:space="preserve">All constructs were assessed with seven items on a five-point Likert scale ranging from 1 (strongly disagree) to 5 (strongly agree). Transformational and transactional leadership were adapted from the Multifactor Leadership Questionnaire tradition (Bass &amp; Avolio, 1995). Transformational-leadership items assessed vision, intellectual stimulation, </w:t>
      </w:r>
      <w:r w:rsidRPr="007B5458">
        <w:rPr>
          <w:color w:val="000000"/>
          <w:highlight w:val="yellow"/>
        </w:rPr>
        <w:t>individualised</w:t>
      </w:r>
      <w:r w:rsidRPr="007B5458">
        <w:rPr>
          <w:color w:val="000000"/>
        </w:rPr>
        <w:t xml:space="preserve"> support, motivation, integrity, confidence, and long-term development. Transactional-leadership items assessed clear performance–outcome linkages, tangible recognition, monitoring, prompt correction, feedback, procedural emphasis, and performance-contingent consequences.</w:t>
      </w:r>
    </w:p>
    <w:p w14:paraId="0F2ABB1F" w14:textId="77777777" w:rsidR="007A70A3" w:rsidRPr="007B5458" w:rsidRDefault="00F7451F">
      <w:pPr>
        <w:spacing w:after="80"/>
        <w:ind w:firstLine="397"/>
        <w:jc w:val="both"/>
      </w:pPr>
      <w:r w:rsidRPr="007B5458">
        <w:rPr>
          <w:color w:val="000000"/>
        </w:rPr>
        <w:t>Turnover intention was measured with seven items based on Mobley’s (1977) withdrawal framework. The items captured thoughts of leaving, job-search intentions, plans to leave, willingness to accept a better job, and the perceived probability of departure. Wording was adjusted to the Vietnamese MSME context while retaining the intended meaning.</w:t>
      </w:r>
    </w:p>
    <w:p w14:paraId="755952E6" w14:textId="77777777" w:rsidR="007A70A3" w:rsidRPr="007B5458" w:rsidRDefault="00F7451F">
      <w:pPr>
        <w:pStyle w:val="Heading2"/>
        <w:spacing w:before="140" w:after="80"/>
      </w:pPr>
      <w:r w:rsidRPr="007B5458">
        <w:rPr>
          <w:rFonts w:ascii="Times New Roman" w:hAnsi="Times New Roman"/>
          <w:sz w:val="22"/>
        </w:rPr>
        <w:t>3.4. Data Analysis</w:t>
      </w:r>
    </w:p>
    <w:p w14:paraId="7ECE3C0F" w14:textId="77777777" w:rsidR="007A70A3" w:rsidRPr="007B5458" w:rsidRDefault="00F7451F">
      <w:pPr>
        <w:spacing w:after="80"/>
        <w:ind w:firstLine="397"/>
        <w:jc w:val="both"/>
      </w:pPr>
      <w:r w:rsidRPr="007B5458">
        <w:rPr>
          <w:color w:val="000000"/>
        </w:rPr>
        <w:t xml:space="preserve">PLS-SEM was used to assess the measurement and structural models. Measurement quality was evaluated using outer loadings, Cronbach’s alpha, composite reliability (CR), average variance extracted (AVE), and the </w:t>
      </w:r>
      <w:proofErr w:type="spellStart"/>
      <w:r w:rsidRPr="007B5458">
        <w:rPr>
          <w:color w:val="000000"/>
        </w:rPr>
        <w:t>heterotrait</w:t>
      </w:r>
      <w:proofErr w:type="spellEnd"/>
      <w:r w:rsidRPr="007B5458">
        <w:rPr>
          <w:color w:val="000000"/>
        </w:rPr>
        <w:t>–</w:t>
      </w:r>
      <w:proofErr w:type="spellStart"/>
      <w:r w:rsidRPr="007B5458">
        <w:rPr>
          <w:color w:val="000000"/>
        </w:rPr>
        <w:t>monotrait</w:t>
      </w:r>
      <w:proofErr w:type="spellEnd"/>
      <w:r w:rsidRPr="007B5458">
        <w:rPr>
          <w:color w:val="000000"/>
        </w:rPr>
        <w:t xml:space="preserve"> ratio (HTMT) (Hair et al., 2022; Henseler et al., 2015). Path significance was assessed using 5,000 bootstrap resamples and two-tailed testing at the 5% level. The focal coefficients reported here were estimated within the broader dissertation model, which also included strategic-orientation variables, emotional intelligence, and interaction terms. The leadership coefficients therefore represent net effects after accounting for the other predictors in that model.</w:t>
      </w:r>
    </w:p>
    <w:p w14:paraId="48E30B0D" w14:textId="77777777" w:rsidR="007A70A3" w:rsidRPr="007B5458" w:rsidRDefault="00F7451F">
      <w:pPr>
        <w:pStyle w:val="Heading1"/>
        <w:spacing w:before="200" w:after="80"/>
      </w:pPr>
      <w:r w:rsidRPr="007B5458">
        <w:rPr>
          <w:rFonts w:ascii="Times New Roman" w:hAnsi="Times New Roman"/>
          <w:sz w:val="24"/>
        </w:rPr>
        <w:t>4. Results</w:t>
      </w:r>
    </w:p>
    <w:p w14:paraId="492BD873" w14:textId="77777777" w:rsidR="007A70A3" w:rsidRPr="007B5458" w:rsidRDefault="00F7451F">
      <w:pPr>
        <w:pStyle w:val="Heading2"/>
        <w:spacing w:before="140" w:after="80"/>
      </w:pPr>
      <w:r w:rsidRPr="007B5458">
        <w:rPr>
          <w:rFonts w:ascii="Times New Roman" w:hAnsi="Times New Roman"/>
          <w:sz w:val="22"/>
        </w:rPr>
        <w:t>4.1. Descriptive Results</w:t>
      </w:r>
    </w:p>
    <w:p w14:paraId="321B8EBE" w14:textId="77777777" w:rsidR="007A70A3" w:rsidRPr="007B5458" w:rsidRDefault="00F7451F">
      <w:pPr>
        <w:spacing w:after="80"/>
        <w:ind w:firstLine="397"/>
        <w:jc w:val="both"/>
      </w:pPr>
      <w:r w:rsidRPr="007B5458">
        <w:rPr>
          <w:color w:val="000000"/>
        </w:rPr>
        <w:t xml:space="preserve">Transformational-leadership item means ranged from 3.51 to 3.80, indicating generally </w:t>
      </w:r>
      <w:r w:rsidRPr="007B5458">
        <w:rPr>
          <w:color w:val="000000"/>
          <w:highlight w:val="yellow"/>
        </w:rPr>
        <w:t>favourable</w:t>
      </w:r>
      <w:r w:rsidRPr="007B5458">
        <w:rPr>
          <w:color w:val="000000"/>
        </w:rPr>
        <w:t xml:space="preserve"> employee perceptions. Transactional-leadership means ranged from 3.18 to 3.64, showing greater variability and particularly weaker perceptions concerning explicit performance–outcome explanations and prompt handling of performance problems. Turnover-intention means ranged from 2.58 to 2.88 and remained below the scale midpoint.</w:t>
      </w:r>
    </w:p>
    <w:p w14:paraId="663FD621" w14:textId="77777777" w:rsidR="00285B17" w:rsidRPr="007B5458" w:rsidRDefault="00F7451F">
      <w:pPr>
        <w:spacing w:after="80"/>
        <w:ind w:firstLine="397"/>
        <w:jc w:val="both"/>
      </w:pPr>
      <w:r w:rsidRPr="007B5458">
        <w:t>The descriptive patterns should be interpreted as sample-level tendencies rather than evidence of causal effects. Turnover-intention scores below the scale midpoint indicate comparatively limited self-</w:t>
      </w:r>
      <w:r w:rsidRPr="007B5458">
        <w:lastRenderedPageBreak/>
        <w:t xml:space="preserve">reported withdrawal cognition in this sample, but intention remains conceptually distinct from </w:t>
      </w:r>
      <w:r w:rsidRPr="007B5458">
        <w:rPr>
          <w:highlight w:val="yellow"/>
        </w:rPr>
        <w:t>realised</w:t>
      </w:r>
      <w:r w:rsidRPr="007B5458">
        <w:t xml:space="preserve"> turnover and may change as work attitudes and external opportunities change (Mobley, 1977; Tett &amp; Meyer, 1993; Hom et al., 2017). The relatively </w:t>
      </w:r>
      <w:r w:rsidRPr="007B5458">
        <w:rPr>
          <w:highlight w:val="yellow"/>
        </w:rPr>
        <w:t>favourable</w:t>
      </w:r>
      <w:r w:rsidRPr="007B5458">
        <w:t xml:space="preserve"> transformational-leadership ratings are also compatible with evidence that employees distinguish relational and developmental leader </w:t>
      </w:r>
      <w:r w:rsidRPr="007B5458">
        <w:rPr>
          <w:highlight w:val="yellow"/>
        </w:rPr>
        <w:t>behaviours</w:t>
      </w:r>
      <w:r w:rsidRPr="007B5458">
        <w:t xml:space="preserve"> from more exchange-focused </w:t>
      </w:r>
      <w:r w:rsidRPr="007B5458">
        <w:rPr>
          <w:highlight w:val="yellow"/>
        </w:rPr>
        <w:t>behaviours</w:t>
      </w:r>
      <w:r w:rsidRPr="007B5458">
        <w:t>, including within SME settings where direct leader contact is frequent (Mittal, 2016; Balwant &amp; Singh, 2023).</w:t>
      </w:r>
    </w:p>
    <w:p w14:paraId="3A06984A" w14:textId="77777777" w:rsidR="007A70A3" w:rsidRPr="007B5458" w:rsidRDefault="00F7451F">
      <w:pPr>
        <w:pStyle w:val="Heading2"/>
        <w:spacing w:before="140" w:after="80"/>
      </w:pPr>
      <w:r w:rsidRPr="007B5458">
        <w:rPr>
          <w:rFonts w:ascii="Times New Roman" w:hAnsi="Times New Roman"/>
          <w:sz w:val="22"/>
        </w:rPr>
        <w:t>4.2. Measurement Model</w:t>
      </w:r>
    </w:p>
    <w:p w14:paraId="2A0D22BB" w14:textId="77777777" w:rsidR="007A70A3" w:rsidRPr="007B5458" w:rsidRDefault="00F7451F">
      <w:pPr>
        <w:spacing w:after="80"/>
        <w:ind w:firstLine="397"/>
        <w:jc w:val="both"/>
      </w:pPr>
      <w:r w:rsidRPr="007B5458">
        <w:rPr>
          <w:color w:val="000000"/>
        </w:rPr>
        <w:t>All indicators of the focal constructs had outer loadings above 0.70. Cronbach’s alpha and composite reliability values exceeded 0.90, demonstrating strong internal consistency, while all AVE values exceeded 0.50. HTMT values among transformational leadership, transactional leadership, and turnover intention were below 0.85 and their confidence intervals did not include 1.00, supporting discriminant validity.</w:t>
      </w:r>
    </w:p>
    <w:p w14:paraId="54FA1D39" w14:textId="77777777" w:rsidR="00285B17" w:rsidRPr="007B5458" w:rsidRDefault="00F7451F">
      <w:pPr>
        <w:spacing w:after="80"/>
        <w:ind w:firstLine="397"/>
        <w:jc w:val="both"/>
      </w:pPr>
      <w:r w:rsidRPr="007B5458">
        <w:t xml:space="preserve">Taken together, the measurement-model results provide an acceptable empirical basis for evaluating the structural paths. The reported loading, composite-reliability, and average-variance-extracted values are consistent with established approaches to assessing convergent measurement quality, in which indicators should display substantial relationships with their intended construct and the construct should account for an adequate share of indicator variance (Fornell &amp; Larcker, 1981; Dijkstra &amp; Henseler, 2015). For discriminant validity, the HTMT values below 0.85 and confidence intervals that exclude 1.00 are consistent with the HTMT framework proposed for variance-based structural equation </w:t>
      </w:r>
      <w:r w:rsidRPr="007B5458">
        <w:rPr>
          <w:highlight w:val="yellow"/>
        </w:rPr>
        <w:t>modelling</w:t>
      </w:r>
      <w:r w:rsidRPr="007B5458">
        <w:t xml:space="preserve"> (Henseler et al., 2015). These criteria support interpretation of the focal constructs as empirically distinguishable in the present sample, while measurement adequacy should still be viewed as a prerequisite for, rather than proof of, substantive causal relationships.</w:t>
      </w:r>
    </w:p>
    <w:p w14:paraId="1A4003E1" w14:textId="77777777" w:rsidR="007A70A3" w:rsidRPr="007B5458" w:rsidRDefault="00F7451F">
      <w:pPr>
        <w:keepNext/>
        <w:spacing w:before="120" w:after="60"/>
        <w:jc w:val="center"/>
      </w:pPr>
      <w:r w:rsidRPr="007B5458">
        <w:rPr>
          <w:b/>
          <w:color w:val="000000"/>
          <w:sz w:val="21"/>
        </w:rPr>
        <w:t>Table 2. Reliability and Convergent Validity of the Focal Constructs</w:t>
      </w:r>
    </w:p>
    <w:tbl>
      <w:tblPr>
        <w:tblW w:w="0" w:type="auto"/>
        <w:jc w:val="center"/>
        <w:tblLayout w:type="fixed"/>
        <w:tblLook w:val="04A0" w:firstRow="1" w:lastRow="0" w:firstColumn="1" w:lastColumn="0" w:noHBand="0" w:noVBand="1"/>
      </w:tblPr>
      <w:tblGrid>
        <w:gridCol w:w="2948"/>
        <w:gridCol w:w="850"/>
        <w:gridCol w:w="1701"/>
        <w:gridCol w:w="1304"/>
        <w:gridCol w:w="850"/>
        <w:gridCol w:w="850"/>
      </w:tblGrid>
      <w:tr w:rsidR="007A70A3" w:rsidRPr="007B5458" w14:paraId="429B3345" w14:textId="77777777">
        <w:trPr>
          <w:tblHeader/>
          <w:jc w:val="center"/>
        </w:trPr>
        <w:tc>
          <w:tcPr>
            <w:tcW w:w="2948" w:type="dxa"/>
            <w:tcBorders>
              <w:top w:val="single" w:sz="6" w:space="0" w:color="D9D9D9"/>
              <w:left w:val="single" w:sz="6" w:space="0" w:color="D9D9D9"/>
              <w:bottom w:val="single" w:sz="6" w:space="0" w:color="D9D9D9"/>
              <w:right w:val="single" w:sz="6" w:space="0" w:color="D9D9D9"/>
            </w:tcBorders>
            <w:shd w:val="clear" w:color="auto" w:fill="1F4E78"/>
            <w:tcMar>
              <w:top w:w="90" w:type="dxa"/>
              <w:left w:w="100" w:type="dxa"/>
              <w:bottom w:w="90" w:type="dxa"/>
              <w:right w:w="100" w:type="dxa"/>
            </w:tcMar>
            <w:vAlign w:val="center"/>
          </w:tcPr>
          <w:p w14:paraId="24E17EFE" w14:textId="77777777" w:rsidR="007A70A3" w:rsidRPr="007B5458" w:rsidRDefault="00F7451F">
            <w:pPr>
              <w:jc w:val="center"/>
            </w:pPr>
            <w:r w:rsidRPr="007B5458">
              <w:rPr>
                <w:b/>
                <w:color w:val="FFFFFF"/>
                <w:sz w:val="17"/>
              </w:rPr>
              <w:t>Construct</w:t>
            </w:r>
          </w:p>
        </w:tc>
        <w:tc>
          <w:tcPr>
            <w:tcW w:w="850" w:type="dxa"/>
            <w:tcBorders>
              <w:top w:val="single" w:sz="6" w:space="0" w:color="D9D9D9"/>
              <w:left w:val="single" w:sz="6" w:space="0" w:color="D9D9D9"/>
              <w:bottom w:val="single" w:sz="6" w:space="0" w:color="D9D9D9"/>
              <w:right w:val="single" w:sz="6" w:space="0" w:color="D9D9D9"/>
            </w:tcBorders>
            <w:shd w:val="clear" w:color="auto" w:fill="1F4E78"/>
            <w:tcMar>
              <w:top w:w="90" w:type="dxa"/>
              <w:left w:w="100" w:type="dxa"/>
              <w:bottom w:w="90" w:type="dxa"/>
              <w:right w:w="100" w:type="dxa"/>
            </w:tcMar>
            <w:vAlign w:val="center"/>
          </w:tcPr>
          <w:p w14:paraId="79D1AF36" w14:textId="77777777" w:rsidR="007A70A3" w:rsidRPr="007B5458" w:rsidRDefault="00F7451F">
            <w:pPr>
              <w:jc w:val="center"/>
            </w:pPr>
            <w:r w:rsidRPr="007B5458">
              <w:rPr>
                <w:b/>
                <w:color w:val="FFFFFF"/>
                <w:sz w:val="17"/>
              </w:rPr>
              <w:t>Items</w:t>
            </w:r>
          </w:p>
        </w:tc>
        <w:tc>
          <w:tcPr>
            <w:tcW w:w="1701" w:type="dxa"/>
            <w:tcBorders>
              <w:top w:val="single" w:sz="6" w:space="0" w:color="D9D9D9"/>
              <w:left w:val="single" w:sz="6" w:space="0" w:color="D9D9D9"/>
              <w:bottom w:val="single" w:sz="6" w:space="0" w:color="D9D9D9"/>
              <w:right w:val="single" w:sz="6" w:space="0" w:color="D9D9D9"/>
            </w:tcBorders>
            <w:shd w:val="clear" w:color="auto" w:fill="1F4E78"/>
            <w:tcMar>
              <w:top w:w="90" w:type="dxa"/>
              <w:left w:w="100" w:type="dxa"/>
              <w:bottom w:w="90" w:type="dxa"/>
              <w:right w:w="100" w:type="dxa"/>
            </w:tcMar>
            <w:vAlign w:val="center"/>
          </w:tcPr>
          <w:p w14:paraId="7C3B9BC1" w14:textId="77777777" w:rsidR="007A70A3" w:rsidRPr="007B5458" w:rsidRDefault="00F7451F">
            <w:pPr>
              <w:jc w:val="center"/>
            </w:pPr>
            <w:r w:rsidRPr="007B5458">
              <w:rPr>
                <w:b/>
                <w:color w:val="FFFFFF"/>
                <w:sz w:val="17"/>
              </w:rPr>
              <w:t>Loading range</w:t>
            </w:r>
          </w:p>
        </w:tc>
        <w:tc>
          <w:tcPr>
            <w:tcW w:w="1304" w:type="dxa"/>
            <w:tcBorders>
              <w:top w:val="single" w:sz="6" w:space="0" w:color="D9D9D9"/>
              <w:left w:val="single" w:sz="6" w:space="0" w:color="D9D9D9"/>
              <w:bottom w:val="single" w:sz="6" w:space="0" w:color="D9D9D9"/>
              <w:right w:val="single" w:sz="6" w:space="0" w:color="D9D9D9"/>
            </w:tcBorders>
            <w:shd w:val="clear" w:color="auto" w:fill="1F4E78"/>
            <w:tcMar>
              <w:top w:w="90" w:type="dxa"/>
              <w:left w:w="100" w:type="dxa"/>
              <w:bottom w:w="90" w:type="dxa"/>
              <w:right w:w="100" w:type="dxa"/>
            </w:tcMar>
            <w:vAlign w:val="center"/>
          </w:tcPr>
          <w:p w14:paraId="15D3461C" w14:textId="77777777" w:rsidR="007A70A3" w:rsidRPr="007B5458" w:rsidRDefault="00F7451F">
            <w:pPr>
              <w:jc w:val="center"/>
            </w:pPr>
            <w:r w:rsidRPr="007B5458">
              <w:rPr>
                <w:b/>
                <w:color w:val="FFFFFF"/>
                <w:sz w:val="17"/>
              </w:rPr>
              <w:t>Cronbach’s α</w:t>
            </w:r>
          </w:p>
        </w:tc>
        <w:tc>
          <w:tcPr>
            <w:tcW w:w="850" w:type="dxa"/>
            <w:tcBorders>
              <w:top w:val="single" w:sz="6" w:space="0" w:color="D9D9D9"/>
              <w:left w:val="single" w:sz="6" w:space="0" w:color="D9D9D9"/>
              <w:bottom w:val="single" w:sz="6" w:space="0" w:color="D9D9D9"/>
              <w:right w:val="single" w:sz="6" w:space="0" w:color="D9D9D9"/>
            </w:tcBorders>
            <w:shd w:val="clear" w:color="auto" w:fill="1F4E78"/>
            <w:tcMar>
              <w:top w:w="90" w:type="dxa"/>
              <w:left w:w="100" w:type="dxa"/>
              <w:bottom w:w="90" w:type="dxa"/>
              <w:right w:w="100" w:type="dxa"/>
            </w:tcMar>
            <w:vAlign w:val="center"/>
          </w:tcPr>
          <w:p w14:paraId="6535518C" w14:textId="77777777" w:rsidR="007A70A3" w:rsidRPr="007B5458" w:rsidRDefault="00F7451F">
            <w:pPr>
              <w:jc w:val="center"/>
            </w:pPr>
            <w:r w:rsidRPr="007B5458">
              <w:rPr>
                <w:b/>
                <w:color w:val="FFFFFF"/>
                <w:sz w:val="17"/>
              </w:rPr>
              <w:t>CR</w:t>
            </w:r>
          </w:p>
        </w:tc>
        <w:tc>
          <w:tcPr>
            <w:tcW w:w="850" w:type="dxa"/>
            <w:tcBorders>
              <w:top w:val="single" w:sz="6" w:space="0" w:color="D9D9D9"/>
              <w:left w:val="single" w:sz="6" w:space="0" w:color="D9D9D9"/>
              <w:bottom w:val="single" w:sz="6" w:space="0" w:color="D9D9D9"/>
              <w:right w:val="single" w:sz="6" w:space="0" w:color="D9D9D9"/>
            </w:tcBorders>
            <w:shd w:val="clear" w:color="auto" w:fill="1F4E78"/>
            <w:tcMar>
              <w:top w:w="90" w:type="dxa"/>
              <w:left w:w="100" w:type="dxa"/>
              <w:bottom w:w="90" w:type="dxa"/>
              <w:right w:w="100" w:type="dxa"/>
            </w:tcMar>
            <w:vAlign w:val="center"/>
          </w:tcPr>
          <w:p w14:paraId="49865C99" w14:textId="77777777" w:rsidR="007A70A3" w:rsidRPr="007B5458" w:rsidRDefault="00F7451F">
            <w:pPr>
              <w:jc w:val="center"/>
            </w:pPr>
            <w:r w:rsidRPr="007B5458">
              <w:rPr>
                <w:b/>
                <w:color w:val="FFFFFF"/>
                <w:sz w:val="17"/>
              </w:rPr>
              <w:t>AVE</w:t>
            </w:r>
          </w:p>
        </w:tc>
      </w:tr>
      <w:tr w:rsidR="007A70A3" w:rsidRPr="007B5458" w14:paraId="216A5F6C" w14:textId="77777777">
        <w:trPr>
          <w:jc w:val="center"/>
        </w:trPr>
        <w:tc>
          <w:tcPr>
            <w:tcW w:w="294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70AC82A" w14:textId="77777777" w:rsidR="007A70A3" w:rsidRPr="007B5458" w:rsidRDefault="00F7451F">
            <w:pPr>
              <w:spacing w:after="0" w:line="240" w:lineRule="auto"/>
            </w:pPr>
            <w:r w:rsidRPr="007B5458">
              <w:rPr>
                <w:color w:val="000000"/>
                <w:sz w:val="17"/>
              </w:rPr>
              <w:t>Transformational leadership (TL)</w:t>
            </w:r>
          </w:p>
        </w:tc>
        <w:tc>
          <w:tcPr>
            <w:tcW w:w="85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3ADD4E3" w14:textId="77777777" w:rsidR="007A70A3" w:rsidRPr="007B5458" w:rsidRDefault="00F7451F">
            <w:pPr>
              <w:spacing w:after="0" w:line="240" w:lineRule="auto"/>
              <w:jc w:val="center"/>
            </w:pPr>
            <w:r w:rsidRPr="007B5458">
              <w:rPr>
                <w:color w:val="000000"/>
                <w:sz w:val="17"/>
              </w:rPr>
              <w:t>7</w:t>
            </w:r>
          </w:p>
        </w:tc>
        <w:tc>
          <w:tcPr>
            <w:tcW w:w="1701"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ECCFC4E" w14:textId="77777777" w:rsidR="007A70A3" w:rsidRPr="007B5458" w:rsidRDefault="00F7451F">
            <w:pPr>
              <w:spacing w:after="0" w:line="240" w:lineRule="auto"/>
              <w:jc w:val="center"/>
            </w:pPr>
            <w:r w:rsidRPr="007B5458">
              <w:rPr>
                <w:color w:val="000000"/>
                <w:sz w:val="17"/>
              </w:rPr>
              <w:t>0.825–0.869</w:t>
            </w:r>
          </w:p>
        </w:tc>
        <w:tc>
          <w:tcPr>
            <w:tcW w:w="130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8F80F22" w14:textId="77777777" w:rsidR="007A70A3" w:rsidRPr="007B5458" w:rsidRDefault="00F7451F">
            <w:pPr>
              <w:spacing w:after="0" w:line="240" w:lineRule="auto"/>
              <w:jc w:val="center"/>
            </w:pPr>
            <w:r w:rsidRPr="007B5458">
              <w:rPr>
                <w:color w:val="000000"/>
                <w:sz w:val="17"/>
              </w:rPr>
              <w:t>0.935</w:t>
            </w:r>
          </w:p>
        </w:tc>
        <w:tc>
          <w:tcPr>
            <w:tcW w:w="85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F695A2D" w14:textId="77777777" w:rsidR="007A70A3" w:rsidRPr="007B5458" w:rsidRDefault="00F7451F">
            <w:pPr>
              <w:spacing w:after="0" w:line="240" w:lineRule="auto"/>
              <w:jc w:val="center"/>
            </w:pPr>
            <w:r w:rsidRPr="007B5458">
              <w:rPr>
                <w:color w:val="000000"/>
                <w:sz w:val="17"/>
              </w:rPr>
              <w:t>0.947</w:t>
            </w:r>
          </w:p>
        </w:tc>
        <w:tc>
          <w:tcPr>
            <w:tcW w:w="85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7B54D7C" w14:textId="77777777" w:rsidR="007A70A3" w:rsidRPr="007B5458" w:rsidRDefault="00F7451F">
            <w:pPr>
              <w:spacing w:after="0" w:line="240" w:lineRule="auto"/>
              <w:jc w:val="center"/>
            </w:pPr>
            <w:r w:rsidRPr="007B5458">
              <w:rPr>
                <w:color w:val="000000"/>
                <w:sz w:val="17"/>
              </w:rPr>
              <w:t>0.719</w:t>
            </w:r>
          </w:p>
        </w:tc>
      </w:tr>
      <w:tr w:rsidR="007A70A3" w:rsidRPr="007B5458" w14:paraId="74DB4AF5" w14:textId="77777777">
        <w:trPr>
          <w:jc w:val="center"/>
        </w:trPr>
        <w:tc>
          <w:tcPr>
            <w:tcW w:w="2948"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08DB6FC1" w14:textId="77777777" w:rsidR="007A70A3" w:rsidRPr="007B5458" w:rsidRDefault="00F7451F">
            <w:pPr>
              <w:spacing w:after="0" w:line="240" w:lineRule="auto"/>
            </w:pPr>
            <w:r w:rsidRPr="007B5458">
              <w:rPr>
                <w:color w:val="000000"/>
                <w:sz w:val="17"/>
              </w:rPr>
              <w:t>Transactional leadership (TAL)</w:t>
            </w:r>
          </w:p>
        </w:tc>
        <w:tc>
          <w:tcPr>
            <w:tcW w:w="850"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655AF775" w14:textId="77777777" w:rsidR="007A70A3" w:rsidRPr="007B5458" w:rsidRDefault="00F7451F">
            <w:pPr>
              <w:spacing w:after="0" w:line="240" w:lineRule="auto"/>
              <w:jc w:val="center"/>
            </w:pPr>
            <w:r w:rsidRPr="007B5458">
              <w:rPr>
                <w:color w:val="000000"/>
                <w:sz w:val="17"/>
              </w:rPr>
              <w:t>7</w:t>
            </w:r>
          </w:p>
        </w:tc>
        <w:tc>
          <w:tcPr>
            <w:tcW w:w="1701"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6DD4341E" w14:textId="77777777" w:rsidR="007A70A3" w:rsidRPr="007B5458" w:rsidRDefault="00F7451F">
            <w:pPr>
              <w:spacing w:after="0" w:line="240" w:lineRule="auto"/>
              <w:jc w:val="center"/>
            </w:pPr>
            <w:r w:rsidRPr="007B5458">
              <w:rPr>
                <w:color w:val="000000"/>
                <w:sz w:val="17"/>
              </w:rPr>
              <w:t>0.751–0.858</w:t>
            </w:r>
          </w:p>
        </w:tc>
        <w:tc>
          <w:tcPr>
            <w:tcW w:w="130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00E06354" w14:textId="77777777" w:rsidR="007A70A3" w:rsidRPr="007B5458" w:rsidRDefault="00F7451F">
            <w:pPr>
              <w:spacing w:after="0" w:line="240" w:lineRule="auto"/>
              <w:jc w:val="center"/>
            </w:pPr>
            <w:r w:rsidRPr="007B5458">
              <w:rPr>
                <w:color w:val="000000"/>
                <w:sz w:val="17"/>
              </w:rPr>
              <w:t>0.917</w:t>
            </w:r>
          </w:p>
        </w:tc>
        <w:tc>
          <w:tcPr>
            <w:tcW w:w="850"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3B4F4DE1" w14:textId="77777777" w:rsidR="007A70A3" w:rsidRPr="007B5458" w:rsidRDefault="00F7451F">
            <w:pPr>
              <w:spacing w:after="0" w:line="240" w:lineRule="auto"/>
              <w:jc w:val="center"/>
            </w:pPr>
            <w:r w:rsidRPr="007B5458">
              <w:rPr>
                <w:color w:val="000000"/>
                <w:sz w:val="17"/>
              </w:rPr>
              <w:t>0.934</w:t>
            </w:r>
          </w:p>
        </w:tc>
        <w:tc>
          <w:tcPr>
            <w:tcW w:w="850"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6C6B8BB3" w14:textId="77777777" w:rsidR="007A70A3" w:rsidRPr="007B5458" w:rsidRDefault="00F7451F">
            <w:pPr>
              <w:spacing w:after="0" w:line="240" w:lineRule="auto"/>
              <w:jc w:val="center"/>
            </w:pPr>
            <w:r w:rsidRPr="007B5458">
              <w:rPr>
                <w:color w:val="000000"/>
                <w:sz w:val="17"/>
              </w:rPr>
              <w:t>0.669</w:t>
            </w:r>
          </w:p>
        </w:tc>
      </w:tr>
      <w:tr w:rsidR="007A70A3" w:rsidRPr="007B5458" w14:paraId="7C6D5EEB" w14:textId="77777777">
        <w:trPr>
          <w:jc w:val="center"/>
        </w:trPr>
        <w:tc>
          <w:tcPr>
            <w:tcW w:w="2948"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BD79FCD" w14:textId="77777777" w:rsidR="007A70A3" w:rsidRPr="007B5458" w:rsidRDefault="00F7451F">
            <w:pPr>
              <w:spacing w:after="0" w:line="240" w:lineRule="auto"/>
            </w:pPr>
            <w:r w:rsidRPr="007B5458">
              <w:rPr>
                <w:color w:val="000000"/>
                <w:sz w:val="17"/>
              </w:rPr>
              <w:t>Turnover intention (TI)</w:t>
            </w:r>
          </w:p>
        </w:tc>
        <w:tc>
          <w:tcPr>
            <w:tcW w:w="85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3A1A4C9F" w14:textId="77777777" w:rsidR="007A70A3" w:rsidRPr="007B5458" w:rsidRDefault="00F7451F">
            <w:pPr>
              <w:spacing w:after="0" w:line="240" w:lineRule="auto"/>
              <w:jc w:val="center"/>
            </w:pPr>
            <w:r w:rsidRPr="007B5458">
              <w:rPr>
                <w:color w:val="000000"/>
                <w:sz w:val="17"/>
              </w:rPr>
              <w:t>7</w:t>
            </w:r>
          </w:p>
        </w:tc>
        <w:tc>
          <w:tcPr>
            <w:tcW w:w="1701"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DFA3EBD" w14:textId="77777777" w:rsidR="007A70A3" w:rsidRPr="007B5458" w:rsidRDefault="00F7451F">
            <w:pPr>
              <w:spacing w:after="0" w:line="240" w:lineRule="auto"/>
              <w:jc w:val="center"/>
            </w:pPr>
            <w:r w:rsidRPr="007B5458">
              <w:rPr>
                <w:color w:val="000000"/>
                <w:sz w:val="17"/>
              </w:rPr>
              <w:t>0.726–0.876</w:t>
            </w:r>
          </w:p>
        </w:tc>
        <w:tc>
          <w:tcPr>
            <w:tcW w:w="130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4459D5F" w14:textId="77777777" w:rsidR="007A70A3" w:rsidRPr="007B5458" w:rsidRDefault="00F7451F">
            <w:pPr>
              <w:spacing w:after="0" w:line="240" w:lineRule="auto"/>
              <w:jc w:val="center"/>
            </w:pPr>
            <w:r w:rsidRPr="007B5458">
              <w:rPr>
                <w:color w:val="000000"/>
                <w:sz w:val="17"/>
              </w:rPr>
              <w:t>0.911</w:t>
            </w:r>
          </w:p>
        </w:tc>
        <w:tc>
          <w:tcPr>
            <w:tcW w:w="85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DB30EA5" w14:textId="77777777" w:rsidR="007A70A3" w:rsidRPr="007B5458" w:rsidRDefault="00F7451F">
            <w:pPr>
              <w:spacing w:after="0" w:line="240" w:lineRule="auto"/>
              <w:jc w:val="center"/>
            </w:pPr>
            <w:r w:rsidRPr="007B5458">
              <w:rPr>
                <w:color w:val="000000"/>
                <w:sz w:val="17"/>
              </w:rPr>
              <w:t>0.930</w:t>
            </w:r>
          </w:p>
        </w:tc>
        <w:tc>
          <w:tcPr>
            <w:tcW w:w="85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9458E34" w14:textId="77777777" w:rsidR="007A70A3" w:rsidRPr="007B5458" w:rsidRDefault="00F7451F">
            <w:pPr>
              <w:spacing w:after="0" w:line="240" w:lineRule="auto"/>
              <w:jc w:val="center"/>
            </w:pPr>
            <w:r w:rsidRPr="007B5458">
              <w:rPr>
                <w:color w:val="000000"/>
                <w:sz w:val="17"/>
              </w:rPr>
              <w:t>0.655</w:t>
            </w:r>
          </w:p>
        </w:tc>
      </w:tr>
    </w:tbl>
    <w:p w14:paraId="0ADF4B4B" w14:textId="77777777" w:rsidR="007A70A3" w:rsidRPr="007B5458" w:rsidRDefault="007A70A3">
      <w:pPr>
        <w:spacing w:after="0"/>
      </w:pPr>
    </w:p>
    <w:p w14:paraId="335841B5" w14:textId="77777777" w:rsidR="007A70A3" w:rsidRPr="007B5458" w:rsidRDefault="00F7451F">
      <w:pPr>
        <w:keepNext/>
        <w:spacing w:before="120" w:after="60"/>
        <w:jc w:val="center"/>
      </w:pPr>
      <w:r w:rsidRPr="007B5458">
        <w:rPr>
          <w:b/>
          <w:color w:val="000000"/>
          <w:sz w:val="21"/>
        </w:rPr>
        <w:t>Table 3. Discriminant Validity Based on HTMT</w:t>
      </w:r>
    </w:p>
    <w:tbl>
      <w:tblPr>
        <w:tblW w:w="0" w:type="auto"/>
        <w:jc w:val="center"/>
        <w:tblLayout w:type="fixed"/>
        <w:tblLook w:val="04A0" w:firstRow="1" w:lastRow="0" w:firstColumn="1" w:lastColumn="0" w:noHBand="0" w:noVBand="1"/>
      </w:tblPr>
      <w:tblGrid>
        <w:gridCol w:w="2835"/>
        <w:gridCol w:w="1984"/>
        <w:gridCol w:w="3685"/>
      </w:tblGrid>
      <w:tr w:rsidR="007A70A3" w:rsidRPr="007B5458" w14:paraId="68F09C4A" w14:textId="77777777">
        <w:trPr>
          <w:tblHeader/>
          <w:jc w:val="center"/>
        </w:trPr>
        <w:tc>
          <w:tcPr>
            <w:tcW w:w="2835" w:type="dxa"/>
            <w:tcBorders>
              <w:top w:val="single" w:sz="6" w:space="0" w:color="D9D9D9"/>
              <w:left w:val="single" w:sz="6" w:space="0" w:color="D9D9D9"/>
              <w:bottom w:val="single" w:sz="6" w:space="0" w:color="D9D9D9"/>
              <w:right w:val="single" w:sz="6" w:space="0" w:color="D9D9D9"/>
            </w:tcBorders>
            <w:shd w:val="clear" w:color="auto" w:fill="1F4E78"/>
            <w:tcMar>
              <w:top w:w="90" w:type="dxa"/>
              <w:left w:w="100" w:type="dxa"/>
              <w:bottom w:w="90" w:type="dxa"/>
              <w:right w:w="100" w:type="dxa"/>
            </w:tcMar>
            <w:vAlign w:val="center"/>
          </w:tcPr>
          <w:p w14:paraId="5BDD7ED7" w14:textId="77777777" w:rsidR="007A70A3" w:rsidRPr="007B5458" w:rsidRDefault="00F7451F">
            <w:pPr>
              <w:jc w:val="center"/>
            </w:pPr>
            <w:r w:rsidRPr="007B5458">
              <w:rPr>
                <w:b/>
                <w:color w:val="FFFFFF"/>
                <w:sz w:val="18"/>
              </w:rPr>
              <w:t>Construct pair</w:t>
            </w:r>
          </w:p>
        </w:tc>
        <w:tc>
          <w:tcPr>
            <w:tcW w:w="1984" w:type="dxa"/>
            <w:tcBorders>
              <w:top w:val="single" w:sz="6" w:space="0" w:color="D9D9D9"/>
              <w:left w:val="single" w:sz="6" w:space="0" w:color="D9D9D9"/>
              <w:bottom w:val="single" w:sz="6" w:space="0" w:color="D9D9D9"/>
              <w:right w:val="single" w:sz="6" w:space="0" w:color="D9D9D9"/>
            </w:tcBorders>
            <w:shd w:val="clear" w:color="auto" w:fill="1F4E78"/>
            <w:tcMar>
              <w:top w:w="90" w:type="dxa"/>
              <w:left w:w="100" w:type="dxa"/>
              <w:bottom w:w="90" w:type="dxa"/>
              <w:right w:w="100" w:type="dxa"/>
            </w:tcMar>
            <w:vAlign w:val="center"/>
          </w:tcPr>
          <w:p w14:paraId="5B57DFE3" w14:textId="77777777" w:rsidR="007A70A3" w:rsidRPr="007B5458" w:rsidRDefault="00F7451F">
            <w:pPr>
              <w:jc w:val="center"/>
            </w:pPr>
            <w:r w:rsidRPr="007B5458">
              <w:rPr>
                <w:b/>
                <w:color w:val="FFFFFF"/>
                <w:sz w:val="18"/>
              </w:rPr>
              <w:t>HTMT</w:t>
            </w:r>
          </w:p>
        </w:tc>
        <w:tc>
          <w:tcPr>
            <w:tcW w:w="3685" w:type="dxa"/>
            <w:tcBorders>
              <w:top w:val="single" w:sz="6" w:space="0" w:color="D9D9D9"/>
              <w:left w:val="single" w:sz="6" w:space="0" w:color="D9D9D9"/>
              <w:bottom w:val="single" w:sz="6" w:space="0" w:color="D9D9D9"/>
              <w:right w:val="single" w:sz="6" w:space="0" w:color="D9D9D9"/>
            </w:tcBorders>
            <w:shd w:val="clear" w:color="auto" w:fill="1F4E78"/>
            <w:tcMar>
              <w:top w:w="90" w:type="dxa"/>
              <w:left w:w="100" w:type="dxa"/>
              <w:bottom w:w="90" w:type="dxa"/>
              <w:right w:w="100" w:type="dxa"/>
            </w:tcMar>
            <w:vAlign w:val="center"/>
          </w:tcPr>
          <w:p w14:paraId="5534E2E0" w14:textId="77777777" w:rsidR="007A70A3" w:rsidRPr="007B5458" w:rsidRDefault="00F7451F">
            <w:pPr>
              <w:jc w:val="center"/>
            </w:pPr>
            <w:r w:rsidRPr="007B5458">
              <w:rPr>
                <w:b/>
                <w:color w:val="FFFFFF"/>
                <w:sz w:val="18"/>
              </w:rPr>
              <w:t>95% confidence interval</w:t>
            </w:r>
          </w:p>
        </w:tc>
      </w:tr>
      <w:tr w:rsidR="007A70A3" w:rsidRPr="007B5458" w14:paraId="76302F32" w14:textId="77777777">
        <w:trPr>
          <w:jc w:val="center"/>
        </w:trPr>
        <w:tc>
          <w:tcPr>
            <w:tcW w:w="2835"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1A8B8D1" w14:textId="77777777" w:rsidR="007A70A3" w:rsidRPr="007B5458" w:rsidRDefault="00F7451F">
            <w:pPr>
              <w:spacing w:after="0" w:line="240" w:lineRule="auto"/>
            </w:pPr>
            <w:r w:rsidRPr="007B5458">
              <w:rPr>
                <w:color w:val="000000"/>
                <w:sz w:val="18"/>
              </w:rPr>
              <w:t>TL–TAL</w:t>
            </w:r>
          </w:p>
        </w:tc>
        <w:tc>
          <w:tcPr>
            <w:tcW w:w="198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0C72661" w14:textId="77777777" w:rsidR="007A70A3" w:rsidRPr="007B5458" w:rsidRDefault="00F7451F">
            <w:pPr>
              <w:spacing w:after="0" w:line="240" w:lineRule="auto"/>
              <w:jc w:val="center"/>
            </w:pPr>
            <w:r w:rsidRPr="007B5458">
              <w:rPr>
                <w:color w:val="000000"/>
                <w:sz w:val="18"/>
              </w:rPr>
              <w:t>0.236</w:t>
            </w:r>
          </w:p>
        </w:tc>
        <w:tc>
          <w:tcPr>
            <w:tcW w:w="3685"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23184C34" w14:textId="77777777" w:rsidR="007A70A3" w:rsidRPr="007B5458" w:rsidRDefault="00F7451F">
            <w:pPr>
              <w:spacing w:after="0" w:line="240" w:lineRule="auto"/>
              <w:jc w:val="center"/>
            </w:pPr>
            <w:r w:rsidRPr="007B5458">
              <w:rPr>
                <w:color w:val="000000"/>
                <w:sz w:val="18"/>
              </w:rPr>
              <w:t>0.118–0.364</w:t>
            </w:r>
          </w:p>
        </w:tc>
      </w:tr>
      <w:tr w:rsidR="007A70A3" w:rsidRPr="007B5458" w14:paraId="759F8805" w14:textId="77777777">
        <w:trPr>
          <w:jc w:val="center"/>
        </w:trPr>
        <w:tc>
          <w:tcPr>
            <w:tcW w:w="2835"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318F75DE" w14:textId="77777777" w:rsidR="007A70A3" w:rsidRPr="007B5458" w:rsidRDefault="00F7451F">
            <w:pPr>
              <w:spacing w:after="0" w:line="240" w:lineRule="auto"/>
            </w:pPr>
            <w:r w:rsidRPr="007B5458">
              <w:rPr>
                <w:color w:val="000000"/>
                <w:sz w:val="18"/>
              </w:rPr>
              <w:t>TL–TI</w:t>
            </w:r>
          </w:p>
        </w:tc>
        <w:tc>
          <w:tcPr>
            <w:tcW w:w="198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67A9A448" w14:textId="77777777" w:rsidR="007A70A3" w:rsidRPr="007B5458" w:rsidRDefault="00F7451F">
            <w:pPr>
              <w:spacing w:after="0" w:line="240" w:lineRule="auto"/>
              <w:jc w:val="center"/>
            </w:pPr>
            <w:r w:rsidRPr="007B5458">
              <w:rPr>
                <w:color w:val="000000"/>
                <w:sz w:val="18"/>
              </w:rPr>
              <w:t>0.567</w:t>
            </w:r>
          </w:p>
        </w:tc>
        <w:tc>
          <w:tcPr>
            <w:tcW w:w="3685"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721047CD" w14:textId="77777777" w:rsidR="007A70A3" w:rsidRPr="007B5458" w:rsidRDefault="00F7451F">
            <w:pPr>
              <w:spacing w:after="0" w:line="240" w:lineRule="auto"/>
              <w:jc w:val="center"/>
            </w:pPr>
            <w:r w:rsidRPr="007B5458">
              <w:rPr>
                <w:color w:val="000000"/>
                <w:sz w:val="18"/>
              </w:rPr>
              <w:t>0.500–0.632</w:t>
            </w:r>
          </w:p>
        </w:tc>
      </w:tr>
      <w:tr w:rsidR="007A70A3" w:rsidRPr="007B5458" w14:paraId="4BACEF6E" w14:textId="77777777">
        <w:trPr>
          <w:jc w:val="center"/>
        </w:trPr>
        <w:tc>
          <w:tcPr>
            <w:tcW w:w="2835"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4320E19" w14:textId="77777777" w:rsidR="007A70A3" w:rsidRPr="007B5458" w:rsidRDefault="00F7451F">
            <w:pPr>
              <w:spacing w:after="0" w:line="240" w:lineRule="auto"/>
            </w:pPr>
            <w:r w:rsidRPr="007B5458">
              <w:rPr>
                <w:color w:val="000000"/>
                <w:sz w:val="18"/>
              </w:rPr>
              <w:t>TAL–TI</w:t>
            </w:r>
          </w:p>
        </w:tc>
        <w:tc>
          <w:tcPr>
            <w:tcW w:w="198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0F538650" w14:textId="77777777" w:rsidR="007A70A3" w:rsidRPr="007B5458" w:rsidRDefault="00F7451F">
            <w:pPr>
              <w:spacing w:after="0" w:line="240" w:lineRule="auto"/>
              <w:jc w:val="center"/>
            </w:pPr>
            <w:r w:rsidRPr="007B5458">
              <w:rPr>
                <w:color w:val="000000"/>
                <w:sz w:val="18"/>
              </w:rPr>
              <w:t>0.482</w:t>
            </w:r>
          </w:p>
        </w:tc>
        <w:tc>
          <w:tcPr>
            <w:tcW w:w="3685"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12546B81" w14:textId="77777777" w:rsidR="007A70A3" w:rsidRPr="007B5458" w:rsidRDefault="00F7451F">
            <w:pPr>
              <w:spacing w:after="0" w:line="240" w:lineRule="auto"/>
              <w:jc w:val="center"/>
            </w:pPr>
            <w:r w:rsidRPr="007B5458">
              <w:rPr>
                <w:color w:val="000000"/>
                <w:sz w:val="18"/>
              </w:rPr>
              <w:t>0.389–0.567</w:t>
            </w:r>
          </w:p>
        </w:tc>
      </w:tr>
    </w:tbl>
    <w:p w14:paraId="446A384F" w14:textId="77777777" w:rsidR="007A70A3" w:rsidRPr="007B5458" w:rsidRDefault="007A70A3">
      <w:pPr>
        <w:spacing w:after="0"/>
      </w:pPr>
    </w:p>
    <w:p w14:paraId="39FF1760" w14:textId="77777777" w:rsidR="007A70A3" w:rsidRPr="007B5458" w:rsidRDefault="00F7451F">
      <w:pPr>
        <w:pStyle w:val="Heading2"/>
        <w:spacing w:before="140" w:after="80"/>
      </w:pPr>
      <w:r w:rsidRPr="007B5458">
        <w:rPr>
          <w:rFonts w:ascii="Times New Roman" w:hAnsi="Times New Roman"/>
          <w:sz w:val="22"/>
        </w:rPr>
        <w:t>4.3. Hypothesis Testing</w:t>
      </w:r>
    </w:p>
    <w:p w14:paraId="0A308E34" w14:textId="77777777" w:rsidR="007A70A3" w:rsidRPr="007B5458" w:rsidRDefault="00F7451F">
      <w:pPr>
        <w:spacing w:after="80"/>
        <w:ind w:firstLine="397"/>
        <w:jc w:val="both"/>
      </w:pPr>
      <w:r w:rsidRPr="007B5458">
        <w:rPr>
          <w:color w:val="000000"/>
        </w:rPr>
        <w:t xml:space="preserve">Both hypotheses were supported. Transformational leadership had a significant negative effect on turnover intention (β = −0.264, t = 7.107, p &lt; 0.001), supporting H1. Transactional leadership also had a significant negative effect (β = −0.232, t = 6.373, p &lt; 0.001), supporting H2. Transformational leadership had the larger absolute coefficient and effect size, although both effects were practically meaningful. The effect sizes were small to moderate (f² = 0.136 for TL and f² = 0.112 for TAL), </w:t>
      </w:r>
      <w:r w:rsidRPr="007B5458">
        <w:rPr>
          <w:color w:val="000000"/>
        </w:rPr>
        <w:lastRenderedPageBreak/>
        <w:t xml:space="preserve">showing that leadership made an incremental contribution alongside other </w:t>
      </w:r>
      <w:r w:rsidRPr="007B5458">
        <w:rPr>
          <w:color w:val="000000"/>
          <w:highlight w:val="yellow"/>
        </w:rPr>
        <w:t>organisational</w:t>
      </w:r>
      <w:r w:rsidRPr="007B5458">
        <w:rPr>
          <w:color w:val="000000"/>
        </w:rPr>
        <w:t xml:space="preserve"> and individual determinants.</w:t>
      </w:r>
    </w:p>
    <w:p w14:paraId="03CC0995" w14:textId="77777777" w:rsidR="00285B17" w:rsidRPr="007B5458" w:rsidRDefault="00F7451F">
      <w:pPr>
        <w:spacing w:after="80"/>
        <w:ind w:firstLine="397"/>
        <w:jc w:val="both"/>
      </w:pPr>
      <w:r w:rsidRPr="007B5458">
        <w:t xml:space="preserve">The negative path coefficients are directionally consistent with prior evidence linking constructive leadership to lower turnover intention. Transformational leadership has been associated with reduced turnover cognition through social-exchange and commitment mechanisms (Tse et al., 2013; Mittal, 2016), while research examining transformational and transactional leadership together has reported significant turnover-reducing relationships for both styles under supportive </w:t>
      </w:r>
      <w:r w:rsidRPr="007B5458">
        <w:rPr>
          <w:highlight w:val="yellow"/>
        </w:rPr>
        <w:t>organisational</w:t>
      </w:r>
      <w:r w:rsidRPr="007B5458">
        <w:t xml:space="preserve"> conditions (Mwita et al., 2023). The somewhat larger absolute coefficient for transformational leadership in the present model is descriptively noteworthy, but a formal statistical comparison between the two coefficients would be required before concluding that one effect is significantly stronger than the other. Because the design is cross-sectional, the structural coefficients are most appropriately interpreted as conditional associations within the specified model rather than as definitive evidence of temporal causation.</w:t>
      </w:r>
    </w:p>
    <w:p w14:paraId="45983E71" w14:textId="77777777" w:rsidR="007A70A3" w:rsidRPr="007B5458" w:rsidRDefault="00F7451F">
      <w:pPr>
        <w:keepNext/>
        <w:spacing w:before="120" w:after="60"/>
        <w:jc w:val="center"/>
      </w:pPr>
      <w:r w:rsidRPr="007B5458">
        <w:rPr>
          <w:b/>
          <w:color w:val="000000"/>
          <w:sz w:val="21"/>
        </w:rPr>
        <w:t>Table 4. Structural Model Results</w:t>
      </w:r>
    </w:p>
    <w:tbl>
      <w:tblPr>
        <w:tblW w:w="0" w:type="auto"/>
        <w:jc w:val="center"/>
        <w:tblLayout w:type="fixed"/>
        <w:tblLook w:val="04A0" w:firstRow="1" w:lastRow="0" w:firstColumn="1" w:lastColumn="0" w:noHBand="0" w:noVBand="1"/>
      </w:tblPr>
      <w:tblGrid>
        <w:gridCol w:w="1247"/>
        <w:gridCol w:w="1474"/>
        <w:gridCol w:w="1020"/>
        <w:gridCol w:w="1020"/>
        <w:gridCol w:w="1134"/>
        <w:gridCol w:w="1020"/>
        <w:gridCol w:w="1587"/>
      </w:tblGrid>
      <w:tr w:rsidR="007A70A3" w:rsidRPr="007B5458" w14:paraId="1DC3121E" w14:textId="77777777">
        <w:trPr>
          <w:tblHeader/>
          <w:jc w:val="center"/>
        </w:trPr>
        <w:tc>
          <w:tcPr>
            <w:tcW w:w="1247" w:type="dxa"/>
            <w:tcBorders>
              <w:top w:val="single" w:sz="6" w:space="0" w:color="D9D9D9"/>
              <w:left w:val="single" w:sz="6" w:space="0" w:color="D9D9D9"/>
              <w:bottom w:val="single" w:sz="6" w:space="0" w:color="D9D9D9"/>
              <w:right w:val="single" w:sz="6" w:space="0" w:color="D9D9D9"/>
            </w:tcBorders>
            <w:shd w:val="clear" w:color="auto" w:fill="1F4E78"/>
            <w:tcMar>
              <w:top w:w="90" w:type="dxa"/>
              <w:left w:w="100" w:type="dxa"/>
              <w:bottom w:w="90" w:type="dxa"/>
              <w:right w:w="100" w:type="dxa"/>
            </w:tcMar>
            <w:vAlign w:val="center"/>
          </w:tcPr>
          <w:p w14:paraId="7CA0606B" w14:textId="77777777" w:rsidR="007A70A3" w:rsidRPr="007B5458" w:rsidRDefault="00F7451F">
            <w:pPr>
              <w:jc w:val="center"/>
            </w:pPr>
            <w:r w:rsidRPr="007B5458">
              <w:rPr>
                <w:b/>
                <w:color w:val="FFFFFF"/>
                <w:sz w:val="17"/>
              </w:rPr>
              <w:t>Hypothesis</w:t>
            </w:r>
          </w:p>
        </w:tc>
        <w:tc>
          <w:tcPr>
            <w:tcW w:w="1474" w:type="dxa"/>
            <w:tcBorders>
              <w:top w:val="single" w:sz="6" w:space="0" w:color="D9D9D9"/>
              <w:left w:val="single" w:sz="6" w:space="0" w:color="D9D9D9"/>
              <w:bottom w:val="single" w:sz="6" w:space="0" w:color="D9D9D9"/>
              <w:right w:val="single" w:sz="6" w:space="0" w:color="D9D9D9"/>
            </w:tcBorders>
            <w:shd w:val="clear" w:color="auto" w:fill="1F4E78"/>
            <w:tcMar>
              <w:top w:w="90" w:type="dxa"/>
              <w:left w:w="100" w:type="dxa"/>
              <w:bottom w:w="90" w:type="dxa"/>
              <w:right w:w="100" w:type="dxa"/>
            </w:tcMar>
            <w:vAlign w:val="center"/>
          </w:tcPr>
          <w:p w14:paraId="2F9FF43D" w14:textId="77777777" w:rsidR="007A70A3" w:rsidRPr="007B5458" w:rsidRDefault="00F7451F">
            <w:pPr>
              <w:jc w:val="center"/>
            </w:pPr>
            <w:r w:rsidRPr="007B5458">
              <w:rPr>
                <w:b/>
                <w:color w:val="FFFFFF"/>
                <w:sz w:val="17"/>
              </w:rPr>
              <w:t>Path</w:t>
            </w:r>
          </w:p>
        </w:tc>
        <w:tc>
          <w:tcPr>
            <w:tcW w:w="1020" w:type="dxa"/>
            <w:tcBorders>
              <w:top w:val="single" w:sz="6" w:space="0" w:color="D9D9D9"/>
              <w:left w:val="single" w:sz="6" w:space="0" w:color="D9D9D9"/>
              <w:bottom w:val="single" w:sz="6" w:space="0" w:color="D9D9D9"/>
              <w:right w:val="single" w:sz="6" w:space="0" w:color="D9D9D9"/>
            </w:tcBorders>
            <w:shd w:val="clear" w:color="auto" w:fill="1F4E78"/>
            <w:tcMar>
              <w:top w:w="90" w:type="dxa"/>
              <w:left w:w="100" w:type="dxa"/>
              <w:bottom w:w="90" w:type="dxa"/>
              <w:right w:w="100" w:type="dxa"/>
            </w:tcMar>
            <w:vAlign w:val="center"/>
          </w:tcPr>
          <w:p w14:paraId="26699C4E" w14:textId="77777777" w:rsidR="007A70A3" w:rsidRPr="007B5458" w:rsidRDefault="00F7451F">
            <w:pPr>
              <w:jc w:val="center"/>
            </w:pPr>
            <w:r w:rsidRPr="007B5458">
              <w:rPr>
                <w:b/>
                <w:color w:val="FFFFFF"/>
                <w:sz w:val="17"/>
              </w:rPr>
              <w:t>β</w:t>
            </w:r>
          </w:p>
        </w:tc>
        <w:tc>
          <w:tcPr>
            <w:tcW w:w="1020" w:type="dxa"/>
            <w:tcBorders>
              <w:top w:val="single" w:sz="6" w:space="0" w:color="D9D9D9"/>
              <w:left w:val="single" w:sz="6" w:space="0" w:color="D9D9D9"/>
              <w:bottom w:val="single" w:sz="6" w:space="0" w:color="D9D9D9"/>
              <w:right w:val="single" w:sz="6" w:space="0" w:color="D9D9D9"/>
            </w:tcBorders>
            <w:shd w:val="clear" w:color="auto" w:fill="1F4E78"/>
            <w:tcMar>
              <w:top w:w="90" w:type="dxa"/>
              <w:left w:w="100" w:type="dxa"/>
              <w:bottom w:w="90" w:type="dxa"/>
              <w:right w:w="100" w:type="dxa"/>
            </w:tcMar>
            <w:vAlign w:val="center"/>
          </w:tcPr>
          <w:p w14:paraId="3C9E3580" w14:textId="77777777" w:rsidR="007A70A3" w:rsidRPr="007B5458" w:rsidRDefault="00F7451F">
            <w:pPr>
              <w:jc w:val="center"/>
            </w:pPr>
            <w:r w:rsidRPr="007B5458">
              <w:rPr>
                <w:b/>
                <w:color w:val="FFFFFF"/>
                <w:sz w:val="17"/>
              </w:rPr>
              <w:t>t</w:t>
            </w:r>
          </w:p>
        </w:tc>
        <w:tc>
          <w:tcPr>
            <w:tcW w:w="1134" w:type="dxa"/>
            <w:tcBorders>
              <w:top w:val="single" w:sz="6" w:space="0" w:color="D9D9D9"/>
              <w:left w:val="single" w:sz="6" w:space="0" w:color="D9D9D9"/>
              <w:bottom w:val="single" w:sz="6" w:space="0" w:color="D9D9D9"/>
              <w:right w:val="single" w:sz="6" w:space="0" w:color="D9D9D9"/>
            </w:tcBorders>
            <w:shd w:val="clear" w:color="auto" w:fill="1F4E78"/>
            <w:tcMar>
              <w:top w:w="90" w:type="dxa"/>
              <w:left w:w="100" w:type="dxa"/>
              <w:bottom w:w="90" w:type="dxa"/>
              <w:right w:w="100" w:type="dxa"/>
            </w:tcMar>
            <w:vAlign w:val="center"/>
          </w:tcPr>
          <w:p w14:paraId="1C774F30" w14:textId="77777777" w:rsidR="007A70A3" w:rsidRPr="007B5458" w:rsidRDefault="00F7451F">
            <w:pPr>
              <w:jc w:val="center"/>
            </w:pPr>
            <w:r w:rsidRPr="007B5458">
              <w:rPr>
                <w:b/>
                <w:color w:val="FFFFFF"/>
                <w:sz w:val="17"/>
              </w:rPr>
              <w:t>p</w:t>
            </w:r>
          </w:p>
        </w:tc>
        <w:tc>
          <w:tcPr>
            <w:tcW w:w="1020" w:type="dxa"/>
            <w:tcBorders>
              <w:top w:val="single" w:sz="6" w:space="0" w:color="D9D9D9"/>
              <w:left w:val="single" w:sz="6" w:space="0" w:color="D9D9D9"/>
              <w:bottom w:val="single" w:sz="6" w:space="0" w:color="D9D9D9"/>
              <w:right w:val="single" w:sz="6" w:space="0" w:color="D9D9D9"/>
            </w:tcBorders>
            <w:shd w:val="clear" w:color="auto" w:fill="1F4E78"/>
            <w:tcMar>
              <w:top w:w="90" w:type="dxa"/>
              <w:left w:w="100" w:type="dxa"/>
              <w:bottom w:w="90" w:type="dxa"/>
              <w:right w:w="100" w:type="dxa"/>
            </w:tcMar>
            <w:vAlign w:val="center"/>
          </w:tcPr>
          <w:p w14:paraId="28259631" w14:textId="77777777" w:rsidR="007A70A3" w:rsidRPr="007B5458" w:rsidRDefault="00F7451F">
            <w:pPr>
              <w:jc w:val="center"/>
            </w:pPr>
            <w:r w:rsidRPr="007B5458">
              <w:rPr>
                <w:b/>
                <w:color w:val="FFFFFF"/>
                <w:sz w:val="17"/>
              </w:rPr>
              <w:t>f²</w:t>
            </w:r>
          </w:p>
        </w:tc>
        <w:tc>
          <w:tcPr>
            <w:tcW w:w="1587" w:type="dxa"/>
            <w:tcBorders>
              <w:top w:val="single" w:sz="6" w:space="0" w:color="D9D9D9"/>
              <w:left w:val="single" w:sz="6" w:space="0" w:color="D9D9D9"/>
              <w:bottom w:val="single" w:sz="6" w:space="0" w:color="D9D9D9"/>
              <w:right w:val="single" w:sz="6" w:space="0" w:color="D9D9D9"/>
            </w:tcBorders>
            <w:shd w:val="clear" w:color="auto" w:fill="1F4E78"/>
            <w:tcMar>
              <w:top w:w="90" w:type="dxa"/>
              <w:left w:w="100" w:type="dxa"/>
              <w:bottom w:w="90" w:type="dxa"/>
              <w:right w:w="100" w:type="dxa"/>
            </w:tcMar>
            <w:vAlign w:val="center"/>
          </w:tcPr>
          <w:p w14:paraId="44FFA0A7" w14:textId="77777777" w:rsidR="007A70A3" w:rsidRPr="007B5458" w:rsidRDefault="00F7451F">
            <w:pPr>
              <w:jc w:val="center"/>
            </w:pPr>
            <w:r w:rsidRPr="007B5458">
              <w:rPr>
                <w:b/>
                <w:color w:val="FFFFFF"/>
                <w:sz w:val="17"/>
              </w:rPr>
              <w:t>Decision</w:t>
            </w:r>
          </w:p>
        </w:tc>
      </w:tr>
      <w:tr w:rsidR="007A70A3" w:rsidRPr="007B5458" w14:paraId="64DE026E" w14:textId="77777777">
        <w:trPr>
          <w:jc w:val="center"/>
        </w:trPr>
        <w:tc>
          <w:tcPr>
            <w:tcW w:w="124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F9ACE81" w14:textId="77777777" w:rsidR="007A70A3" w:rsidRPr="007B5458" w:rsidRDefault="00F7451F">
            <w:pPr>
              <w:spacing w:after="0" w:line="240" w:lineRule="auto"/>
              <w:jc w:val="center"/>
            </w:pPr>
            <w:r w:rsidRPr="007B5458">
              <w:rPr>
                <w:color w:val="000000"/>
                <w:sz w:val="17"/>
              </w:rPr>
              <w:t>H1</w:t>
            </w:r>
          </w:p>
        </w:tc>
        <w:tc>
          <w:tcPr>
            <w:tcW w:w="147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0F12140" w14:textId="77777777" w:rsidR="007A70A3" w:rsidRPr="007B5458" w:rsidRDefault="00F7451F">
            <w:pPr>
              <w:spacing w:after="0" w:line="240" w:lineRule="auto"/>
              <w:jc w:val="center"/>
            </w:pPr>
            <w:r w:rsidRPr="007B5458">
              <w:rPr>
                <w:color w:val="000000"/>
                <w:sz w:val="17"/>
              </w:rPr>
              <w:t>TL → TI</w:t>
            </w:r>
          </w:p>
        </w:tc>
        <w:tc>
          <w:tcPr>
            <w:tcW w:w="102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4D956DCA" w14:textId="77777777" w:rsidR="007A70A3" w:rsidRPr="007B5458" w:rsidRDefault="00F7451F">
            <w:pPr>
              <w:spacing w:after="0" w:line="240" w:lineRule="auto"/>
              <w:jc w:val="center"/>
            </w:pPr>
            <w:r w:rsidRPr="007B5458">
              <w:rPr>
                <w:color w:val="000000"/>
                <w:sz w:val="17"/>
              </w:rPr>
              <w:t>−0.264</w:t>
            </w:r>
          </w:p>
        </w:tc>
        <w:tc>
          <w:tcPr>
            <w:tcW w:w="102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8A1BA8B" w14:textId="77777777" w:rsidR="007A70A3" w:rsidRPr="007B5458" w:rsidRDefault="00F7451F">
            <w:pPr>
              <w:spacing w:after="0" w:line="240" w:lineRule="auto"/>
              <w:jc w:val="center"/>
            </w:pPr>
            <w:r w:rsidRPr="007B5458">
              <w:rPr>
                <w:color w:val="000000"/>
                <w:sz w:val="17"/>
              </w:rPr>
              <w:t>7.107</w:t>
            </w:r>
          </w:p>
        </w:tc>
        <w:tc>
          <w:tcPr>
            <w:tcW w:w="1134"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6F7E505E" w14:textId="77777777" w:rsidR="007A70A3" w:rsidRPr="007B5458" w:rsidRDefault="00F7451F">
            <w:pPr>
              <w:spacing w:after="0" w:line="240" w:lineRule="auto"/>
              <w:jc w:val="center"/>
            </w:pPr>
            <w:r w:rsidRPr="007B5458">
              <w:rPr>
                <w:color w:val="000000"/>
                <w:sz w:val="17"/>
              </w:rPr>
              <w:t>&lt; 0.001</w:t>
            </w:r>
          </w:p>
        </w:tc>
        <w:tc>
          <w:tcPr>
            <w:tcW w:w="1020"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5BDE1950" w14:textId="77777777" w:rsidR="007A70A3" w:rsidRPr="007B5458" w:rsidRDefault="00F7451F">
            <w:pPr>
              <w:spacing w:after="0" w:line="240" w:lineRule="auto"/>
              <w:jc w:val="center"/>
            </w:pPr>
            <w:r w:rsidRPr="007B5458">
              <w:rPr>
                <w:color w:val="000000"/>
                <w:sz w:val="17"/>
              </w:rPr>
              <w:t>0.136</w:t>
            </w:r>
          </w:p>
        </w:tc>
        <w:tc>
          <w:tcPr>
            <w:tcW w:w="1587" w:type="dxa"/>
            <w:tcBorders>
              <w:top w:val="single" w:sz="6" w:space="0" w:color="D9D9D9"/>
              <w:left w:val="single" w:sz="6" w:space="0" w:color="D9D9D9"/>
              <w:bottom w:val="single" w:sz="6" w:space="0" w:color="D9D9D9"/>
              <w:right w:val="single" w:sz="6" w:space="0" w:color="D9D9D9"/>
            </w:tcBorders>
            <w:tcMar>
              <w:top w:w="90" w:type="dxa"/>
              <w:left w:w="100" w:type="dxa"/>
              <w:bottom w:w="90" w:type="dxa"/>
              <w:right w:w="100" w:type="dxa"/>
            </w:tcMar>
            <w:vAlign w:val="center"/>
          </w:tcPr>
          <w:p w14:paraId="727DF2F1" w14:textId="77777777" w:rsidR="007A70A3" w:rsidRPr="007B5458" w:rsidRDefault="00F7451F">
            <w:pPr>
              <w:spacing w:after="0" w:line="240" w:lineRule="auto"/>
              <w:jc w:val="center"/>
            </w:pPr>
            <w:r w:rsidRPr="007B5458">
              <w:rPr>
                <w:color w:val="000000"/>
                <w:sz w:val="17"/>
              </w:rPr>
              <w:t>Supported</w:t>
            </w:r>
          </w:p>
        </w:tc>
      </w:tr>
      <w:tr w:rsidR="007A70A3" w:rsidRPr="007B5458" w14:paraId="0A317867" w14:textId="77777777">
        <w:trPr>
          <w:jc w:val="center"/>
        </w:trPr>
        <w:tc>
          <w:tcPr>
            <w:tcW w:w="1247"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341031F8" w14:textId="77777777" w:rsidR="007A70A3" w:rsidRPr="007B5458" w:rsidRDefault="00F7451F">
            <w:pPr>
              <w:spacing w:after="0" w:line="240" w:lineRule="auto"/>
              <w:jc w:val="center"/>
            </w:pPr>
            <w:r w:rsidRPr="007B5458">
              <w:rPr>
                <w:color w:val="000000"/>
                <w:sz w:val="17"/>
              </w:rPr>
              <w:t>H2</w:t>
            </w:r>
          </w:p>
        </w:tc>
        <w:tc>
          <w:tcPr>
            <w:tcW w:w="147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6C59C22B" w14:textId="77777777" w:rsidR="007A70A3" w:rsidRPr="007B5458" w:rsidRDefault="00F7451F">
            <w:pPr>
              <w:spacing w:after="0" w:line="240" w:lineRule="auto"/>
              <w:jc w:val="center"/>
            </w:pPr>
            <w:r w:rsidRPr="007B5458">
              <w:rPr>
                <w:color w:val="000000"/>
                <w:sz w:val="17"/>
              </w:rPr>
              <w:t>TAL → TI</w:t>
            </w:r>
          </w:p>
        </w:tc>
        <w:tc>
          <w:tcPr>
            <w:tcW w:w="1020"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4A7AEBF9" w14:textId="77777777" w:rsidR="007A70A3" w:rsidRPr="007B5458" w:rsidRDefault="00F7451F">
            <w:pPr>
              <w:spacing w:after="0" w:line="240" w:lineRule="auto"/>
              <w:jc w:val="center"/>
            </w:pPr>
            <w:r w:rsidRPr="007B5458">
              <w:rPr>
                <w:color w:val="000000"/>
                <w:sz w:val="17"/>
              </w:rPr>
              <w:t>−0.232</w:t>
            </w:r>
          </w:p>
        </w:tc>
        <w:tc>
          <w:tcPr>
            <w:tcW w:w="1020"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68BB8F23" w14:textId="77777777" w:rsidR="007A70A3" w:rsidRPr="007B5458" w:rsidRDefault="00F7451F">
            <w:pPr>
              <w:spacing w:after="0" w:line="240" w:lineRule="auto"/>
              <w:jc w:val="center"/>
            </w:pPr>
            <w:r w:rsidRPr="007B5458">
              <w:rPr>
                <w:color w:val="000000"/>
                <w:sz w:val="17"/>
              </w:rPr>
              <w:t>6.373</w:t>
            </w:r>
          </w:p>
        </w:tc>
        <w:tc>
          <w:tcPr>
            <w:tcW w:w="1134"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7E6F3031" w14:textId="77777777" w:rsidR="007A70A3" w:rsidRPr="007B5458" w:rsidRDefault="00F7451F">
            <w:pPr>
              <w:spacing w:after="0" w:line="240" w:lineRule="auto"/>
              <w:jc w:val="center"/>
            </w:pPr>
            <w:r w:rsidRPr="007B5458">
              <w:rPr>
                <w:color w:val="000000"/>
                <w:sz w:val="17"/>
              </w:rPr>
              <w:t>&lt; 0.001</w:t>
            </w:r>
          </w:p>
        </w:tc>
        <w:tc>
          <w:tcPr>
            <w:tcW w:w="1020"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0A98B905" w14:textId="77777777" w:rsidR="007A70A3" w:rsidRPr="007B5458" w:rsidRDefault="00F7451F">
            <w:pPr>
              <w:spacing w:after="0" w:line="240" w:lineRule="auto"/>
              <w:jc w:val="center"/>
            </w:pPr>
            <w:r w:rsidRPr="007B5458">
              <w:rPr>
                <w:color w:val="000000"/>
                <w:sz w:val="17"/>
              </w:rPr>
              <w:t>0.112</w:t>
            </w:r>
          </w:p>
        </w:tc>
        <w:tc>
          <w:tcPr>
            <w:tcW w:w="1587" w:type="dxa"/>
            <w:tcBorders>
              <w:top w:val="single" w:sz="6" w:space="0" w:color="D9D9D9"/>
              <w:left w:val="single" w:sz="6" w:space="0" w:color="D9D9D9"/>
              <w:bottom w:val="single" w:sz="6" w:space="0" w:color="D9D9D9"/>
              <w:right w:val="single" w:sz="6" w:space="0" w:color="D9D9D9"/>
            </w:tcBorders>
            <w:shd w:val="clear" w:color="auto" w:fill="EAF2F8"/>
            <w:tcMar>
              <w:top w:w="90" w:type="dxa"/>
              <w:left w:w="100" w:type="dxa"/>
              <w:bottom w:w="90" w:type="dxa"/>
              <w:right w:w="100" w:type="dxa"/>
            </w:tcMar>
            <w:vAlign w:val="center"/>
          </w:tcPr>
          <w:p w14:paraId="1FFEB9FA" w14:textId="77777777" w:rsidR="007A70A3" w:rsidRPr="007B5458" w:rsidRDefault="00F7451F">
            <w:pPr>
              <w:spacing w:after="0" w:line="240" w:lineRule="auto"/>
              <w:jc w:val="center"/>
            </w:pPr>
            <w:r w:rsidRPr="007B5458">
              <w:rPr>
                <w:color w:val="000000"/>
                <w:sz w:val="17"/>
              </w:rPr>
              <w:t>Supported</w:t>
            </w:r>
          </w:p>
        </w:tc>
      </w:tr>
    </w:tbl>
    <w:p w14:paraId="26E4ACF5" w14:textId="77777777" w:rsidR="007A70A3" w:rsidRPr="007B5458" w:rsidRDefault="007A70A3">
      <w:pPr>
        <w:spacing w:after="0"/>
      </w:pPr>
    </w:p>
    <w:p w14:paraId="2DCC0CEB" w14:textId="77777777" w:rsidR="007A70A3" w:rsidRPr="007B5458" w:rsidRDefault="00F7451F">
      <w:pPr>
        <w:spacing w:after="100"/>
      </w:pPr>
      <w:r w:rsidRPr="007B5458">
        <w:rPr>
          <w:i/>
          <w:color w:val="000000"/>
          <w:sz w:val="18"/>
        </w:rPr>
        <w:t>Note. The focal paths were estimated within the broader structural model reported in the dissertation. TL = transformational leadership; TAL = transactional leadership; TI = turnover intention.</w:t>
      </w:r>
    </w:p>
    <w:p w14:paraId="08186C04" w14:textId="77777777" w:rsidR="007A70A3" w:rsidRPr="007B5458" w:rsidRDefault="00F7451F">
      <w:pPr>
        <w:pStyle w:val="Heading1"/>
        <w:spacing w:before="200" w:after="80"/>
      </w:pPr>
      <w:r w:rsidRPr="007B5458">
        <w:rPr>
          <w:rFonts w:ascii="Times New Roman" w:hAnsi="Times New Roman"/>
          <w:sz w:val="24"/>
        </w:rPr>
        <w:t>5. Discussion</w:t>
      </w:r>
    </w:p>
    <w:p w14:paraId="2BF4845C" w14:textId="77777777" w:rsidR="007A70A3" w:rsidRPr="007B5458" w:rsidRDefault="00F7451F">
      <w:pPr>
        <w:pStyle w:val="Heading2"/>
        <w:spacing w:before="140" w:after="80"/>
      </w:pPr>
      <w:r w:rsidRPr="007B5458">
        <w:rPr>
          <w:rFonts w:ascii="Times New Roman" w:hAnsi="Times New Roman"/>
          <w:sz w:val="22"/>
        </w:rPr>
        <w:t>5.1. Transformational Leadership and Turnover Intention</w:t>
      </w:r>
    </w:p>
    <w:p w14:paraId="5E868C05" w14:textId="77777777" w:rsidR="007A70A3" w:rsidRPr="007B5458" w:rsidRDefault="00F7451F">
      <w:pPr>
        <w:spacing w:after="80"/>
        <w:ind w:firstLine="397"/>
        <w:jc w:val="both"/>
      </w:pPr>
      <w:r w:rsidRPr="007B5458">
        <w:rPr>
          <w:color w:val="000000"/>
        </w:rPr>
        <w:t xml:space="preserve">The negative relationship between transformational leadership and turnover intention shows that employees are less inclined to leave when supervisors communicate direction, encourage problem solving, provide </w:t>
      </w:r>
      <w:r w:rsidRPr="007B5458">
        <w:rPr>
          <w:color w:val="000000"/>
          <w:highlight w:val="yellow"/>
        </w:rPr>
        <w:t>individualised</w:t>
      </w:r>
      <w:r w:rsidRPr="007B5458">
        <w:rPr>
          <w:color w:val="000000"/>
        </w:rPr>
        <w:t xml:space="preserve"> support, demonstrate integrity, and invest in development. These </w:t>
      </w:r>
      <w:r w:rsidRPr="007B5458">
        <w:rPr>
          <w:color w:val="000000"/>
          <w:highlight w:val="yellow"/>
        </w:rPr>
        <w:t>behaviours</w:t>
      </w:r>
      <w:r w:rsidRPr="007B5458">
        <w:rPr>
          <w:color w:val="000000"/>
        </w:rPr>
        <w:t xml:space="preserve"> can strengthen meaningfulness, confidence, and employees’ sense that their contribution is valued.</w:t>
      </w:r>
    </w:p>
    <w:p w14:paraId="6AB68A69" w14:textId="77777777" w:rsidR="007A70A3" w:rsidRPr="007B5458" w:rsidRDefault="00F7451F">
      <w:pPr>
        <w:spacing w:after="80"/>
        <w:ind w:firstLine="397"/>
        <w:jc w:val="both"/>
      </w:pPr>
      <w:r w:rsidRPr="007B5458">
        <w:rPr>
          <w:color w:val="000000"/>
        </w:rPr>
        <w:t xml:space="preserve">The result aligns with Social Exchange Theory because supportive leadership constitutes a valued relational resource. Employees reciprocate recognition and development with stronger attachment and a greater willingness to remain. Transformational leadership may be particularly effective in MSMEs because direct supervisor contact is frequent and formal development systems are often limited. A capable leader can provide learning, encouragement, and career meaning that the </w:t>
      </w:r>
      <w:r w:rsidRPr="007B5458">
        <w:rPr>
          <w:color w:val="000000"/>
          <w:highlight w:val="yellow"/>
        </w:rPr>
        <w:t>organisation</w:t>
      </w:r>
      <w:r w:rsidRPr="007B5458">
        <w:rPr>
          <w:color w:val="000000"/>
        </w:rPr>
        <w:t xml:space="preserve"> may not deliver through formal structures.</w:t>
      </w:r>
    </w:p>
    <w:p w14:paraId="77E8BBE0" w14:textId="77777777" w:rsidR="00285B17" w:rsidRPr="007B5458" w:rsidRDefault="00F7451F">
      <w:pPr>
        <w:spacing w:after="80"/>
        <w:ind w:firstLine="397"/>
        <w:jc w:val="both"/>
      </w:pPr>
      <w:r w:rsidRPr="007B5458">
        <w:t xml:space="preserve">This interpretation is supported by prior research that identifies social-exchange mechanisms linking transformational leadership with retention-related outcomes. Tse et al. (2013) showed that leader-member exchange and affective commitment help explain why transformational leadership is associated with turnover intention and turnover </w:t>
      </w:r>
      <w:r w:rsidRPr="007B5458">
        <w:rPr>
          <w:highlight w:val="yellow"/>
        </w:rPr>
        <w:t>behaviour</w:t>
      </w:r>
      <w:r w:rsidRPr="007B5458">
        <w:t xml:space="preserve">. In IT SMEs, Mittal (2016) similarly found that psychological empowerment, trust, and commitment formed important pathways between transformational leadership and lower turnover intention. In Vietnam, Ha et al. (2024) reported that transformational leadership was related to turnover intention directly and indirectly through affective commitment and adaptive resilience. The present findings are therefore consistent with a broader pattern in which transformational leaders may strengthen employees' willingness to remain by providing socioemotional support, developmental signals, and confidence in the employment relationship; </w:t>
      </w:r>
      <w:r w:rsidRPr="007B5458">
        <w:lastRenderedPageBreak/>
        <w:t>however, the current model does not directly test these mediating mechanisms, so they remain theoretically plausible explanations rather than demonstrated mechanisms in this dataset.</w:t>
      </w:r>
    </w:p>
    <w:p w14:paraId="367C897F" w14:textId="77777777" w:rsidR="007A70A3" w:rsidRPr="007B5458" w:rsidRDefault="00F7451F">
      <w:pPr>
        <w:pStyle w:val="Heading2"/>
        <w:spacing w:before="140" w:after="80"/>
      </w:pPr>
      <w:r w:rsidRPr="007B5458">
        <w:rPr>
          <w:rFonts w:ascii="Times New Roman" w:hAnsi="Times New Roman"/>
          <w:sz w:val="22"/>
        </w:rPr>
        <w:t>5.2. Transactional Leadership and Turnover Intention</w:t>
      </w:r>
    </w:p>
    <w:p w14:paraId="62B39032" w14:textId="77777777" w:rsidR="007A70A3" w:rsidRPr="007B5458" w:rsidRDefault="00F7451F">
      <w:pPr>
        <w:spacing w:after="80"/>
        <w:ind w:firstLine="397"/>
        <w:jc w:val="both"/>
      </w:pPr>
      <w:r w:rsidRPr="007B5458">
        <w:rPr>
          <w:color w:val="000000"/>
        </w:rPr>
        <w:t>Transactional leadership also reduced turnover intention. Clear expectations, timely monitoring, corrective feedback, and consistent links between performance and rewards make the employment relationship more predictable. In MSMEs, where roles frequently overlap and procedures may be informal, this structure can reduce ambiguity and perceptions of arbitrary treatment.</w:t>
      </w:r>
    </w:p>
    <w:p w14:paraId="1DAFBDCF" w14:textId="77777777" w:rsidR="007A70A3" w:rsidRPr="007B5458" w:rsidRDefault="00F7451F">
      <w:pPr>
        <w:spacing w:after="80"/>
        <w:ind w:firstLine="397"/>
        <w:jc w:val="both"/>
      </w:pPr>
      <w:r w:rsidRPr="007B5458">
        <w:rPr>
          <w:color w:val="000000"/>
        </w:rPr>
        <w:t>The finding should not be interpreted as support for punitive supervision. Transactional leadership is most likely to enhance retention when exchanges are transparent and fair, rewards are credible, feedback is constructive, and corrective action focuses on improvement. Inconsistent rewards or management by exception alone may weaken trust. The results therefore support a balanced use of structure and contingent recognition.</w:t>
      </w:r>
    </w:p>
    <w:p w14:paraId="7A117A66" w14:textId="77777777" w:rsidR="00285B17" w:rsidRPr="007B5458" w:rsidRDefault="00F7451F">
      <w:pPr>
        <w:spacing w:after="80"/>
        <w:ind w:firstLine="397"/>
        <w:jc w:val="both"/>
      </w:pPr>
      <w:r w:rsidRPr="007B5458">
        <w:t xml:space="preserve">Prior evidence also indicates that the retention consequences of transactional leadership depend on the quality and consistency of the exchange. A meta-analytic assessment of transformational and transactional leadership found contingent reward to be an important component of effective leadership, supporting the value of clear performance-reward exchanges when they are applied constructively (Judge &amp; Piccolo, 2004). Among Malaysian manufacturing employees, dimensions of transactional leadership were significantly related to turnover intention, reinforcing the relevance of structured exchange practices for retention decisions (Deraman et al., 2018). Mwita et al. (2023) likewise found that both transformational and transactional leadership were associated with reduced turnover intentions, with perceived </w:t>
      </w:r>
      <w:r w:rsidRPr="007B5458">
        <w:rPr>
          <w:highlight w:val="yellow"/>
        </w:rPr>
        <w:t>organisational</w:t>
      </w:r>
      <w:r w:rsidRPr="007B5458">
        <w:t xml:space="preserve"> support strengthening these relationships. Accordingly, the present negative coefficient is best interpreted as evidence for transparent expectations, credible contingent rewards, and timely performance guidance rather than for passive or punitive supervision.</w:t>
      </w:r>
    </w:p>
    <w:p w14:paraId="0B9190D8" w14:textId="77777777" w:rsidR="007A70A3" w:rsidRPr="007B5458" w:rsidRDefault="00F7451F">
      <w:pPr>
        <w:pStyle w:val="Heading2"/>
        <w:spacing w:before="140" w:after="80"/>
      </w:pPr>
      <w:r w:rsidRPr="007B5458">
        <w:rPr>
          <w:rFonts w:ascii="Times New Roman" w:hAnsi="Times New Roman"/>
          <w:sz w:val="22"/>
        </w:rPr>
        <w:t>5.3. Theoretical Contributions</w:t>
      </w:r>
    </w:p>
    <w:p w14:paraId="6A6E769F" w14:textId="77777777" w:rsidR="007A70A3" w:rsidRPr="007B5458" w:rsidRDefault="00F7451F">
      <w:pPr>
        <w:spacing w:after="80"/>
        <w:ind w:firstLine="397"/>
        <w:jc w:val="both"/>
      </w:pPr>
      <w:r w:rsidRPr="007B5458">
        <w:rPr>
          <w:color w:val="000000"/>
        </w:rPr>
        <w:t>The study contributes to leadership and turnover research in three respects. First, it compares relational and exchange-based leadership mechanisms within the same MSME setting. Both styles matter, but transformational leadership has the stronger association with lower turnover intention.</w:t>
      </w:r>
    </w:p>
    <w:p w14:paraId="2AC9AEE5" w14:textId="77777777" w:rsidR="007A70A3" w:rsidRPr="007B5458" w:rsidRDefault="00F7451F">
      <w:pPr>
        <w:spacing w:after="80"/>
        <w:ind w:firstLine="397"/>
        <w:jc w:val="both"/>
      </w:pPr>
      <w:r w:rsidRPr="007B5458">
        <w:rPr>
          <w:color w:val="000000"/>
        </w:rPr>
        <w:t>Second, the findings extend Social Exchange Theory by showing that reciprocity can arise through both socioemotional and instrumental resources. Transformational leadership supplies purpose, recognition, support, and development, whereas transactional leadership supplies clarity, fairness, feedback, and dependable exchange conditions.</w:t>
      </w:r>
    </w:p>
    <w:p w14:paraId="164747B5" w14:textId="77777777" w:rsidR="007A70A3" w:rsidRPr="007B5458" w:rsidRDefault="00F7451F">
      <w:pPr>
        <w:spacing w:after="80"/>
        <w:ind w:firstLine="397"/>
        <w:jc w:val="both"/>
      </w:pPr>
      <w:r w:rsidRPr="007B5458">
        <w:rPr>
          <w:color w:val="000000"/>
        </w:rPr>
        <w:t>Third, the study adds evidence from Vietnamese MSMEs, where close leader–employee relationships and limited formal systems make daily leadership practices especially consequential. The findings suggest that employee retention depends not on a single ideal style but on a complementary combination of inspiration and structure.</w:t>
      </w:r>
    </w:p>
    <w:p w14:paraId="4796AD4A" w14:textId="0349918C" w:rsidR="00285B17" w:rsidRPr="007B5458" w:rsidRDefault="00F7451F">
      <w:pPr>
        <w:spacing w:after="80"/>
        <w:ind w:firstLine="397"/>
        <w:jc w:val="both"/>
      </w:pPr>
      <w:r w:rsidRPr="007B5458">
        <w:t xml:space="preserve">The complementary pattern also has theoretical relevance for the full-range leadership perspective. Transformational and transactional </w:t>
      </w:r>
      <w:r w:rsidRPr="007B5458">
        <w:rPr>
          <w:highlight w:val="yellow"/>
        </w:rPr>
        <w:t>behaviours</w:t>
      </w:r>
      <w:r w:rsidRPr="007B5458">
        <w:t xml:space="preserve"> can coexist rather than function as mutually exclusive alternatives, and meta-analytic evidence indicates that both can contribute to important employee outcomes through different mechanisms (Judge &amp; Piccolo, 2004). Social-exchange research further suggests that transformational leadership can influence turnover through supervisor- and </w:t>
      </w:r>
      <w:r w:rsidRPr="007B5458">
        <w:rPr>
          <w:highlight w:val="yellow"/>
        </w:rPr>
        <w:t>organisation</w:t>
      </w:r>
      <w:r w:rsidRPr="007B5458">
        <w:t>-focused exchange relationships (Tse et al., 2013), while SME research shows that close leader-member relationships, job satisfaction, and leader identification are meaningfully connected with turnover intent (Balwant &amp; Singh, 2023). The Vietnamese SME literature also emphasizes that the consequences of leadership styles are shaped by work environment and cultural context (</w:t>
      </w:r>
      <w:r w:rsidR="002F281D">
        <w:t>Le et al., 2021</w:t>
      </w:r>
      <w:r w:rsidRPr="007B5458">
        <w:t xml:space="preserve">). Thus, the contribution of the present study lies less in identifying a universally superior style and more in showing </w:t>
      </w:r>
      <w:r w:rsidRPr="007B5458">
        <w:lastRenderedPageBreak/>
        <w:t>that relational support and exchange clarity can make distinct, simultaneous contributions to turnover intention in a resource-constrained MSME setting.</w:t>
      </w:r>
    </w:p>
    <w:p w14:paraId="7A82D51C" w14:textId="77777777" w:rsidR="007A70A3" w:rsidRPr="007B5458" w:rsidRDefault="00F7451F">
      <w:pPr>
        <w:pStyle w:val="Heading2"/>
        <w:spacing w:before="140" w:after="80"/>
      </w:pPr>
      <w:r w:rsidRPr="007B5458">
        <w:rPr>
          <w:rFonts w:ascii="Times New Roman" w:hAnsi="Times New Roman"/>
          <w:sz w:val="22"/>
        </w:rPr>
        <w:t>5.4. Managerial Implications</w:t>
      </w:r>
    </w:p>
    <w:p w14:paraId="08367C3A" w14:textId="77777777" w:rsidR="007A70A3" w:rsidRPr="007B5458" w:rsidRDefault="00F7451F">
      <w:pPr>
        <w:spacing w:after="80"/>
        <w:ind w:firstLine="397"/>
        <w:jc w:val="both"/>
      </w:pPr>
      <w:r w:rsidRPr="007B5458">
        <w:rPr>
          <w:color w:val="000000"/>
        </w:rPr>
        <w:t xml:space="preserve">MSME owners and managers should strengthen transformational </w:t>
      </w:r>
      <w:r w:rsidRPr="007B5458">
        <w:rPr>
          <w:color w:val="000000"/>
          <w:highlight w:val="yellow"/>
        </w:rPr>
        <w:t>behaviours</w:t>
      </w:r>
      <w:r w:rsidRPr="007B5458">
        <w:rPr>
          <w:color w:val="000000"/>
        </w:rPr>
        <w:t xml:space="preserve"> by communicating an understandable direction, </w:t>
      </w:r>
      <w:r w:rsidRPr="007B5458">
        <w:rPr>
          <w:color w:val="000000"/>
          <w:highlight w:val="yellow"/>
        </w:rPr>
        <w:t>recognising</w:t>
      </w:r>
      <w:r w:rsidRPr="007B5458">
        <w:rPr>
          <w:color w:val="000000"/>
        </w:rPr>
        <w:t xml:space="preserve"> contributions, encouraging employees to propose solutions, and discussing individual learning needs. These practices need not require expensive </w:t>
      </w:r>
      <w:r w:rsidRPr="007B5458">
        <w:rPr>
          <w:color w:val="000000"/>
          <w:highlight w:val="yellow"/>
        </w:rPr>
        <w:t>programmes</w:t>
      </w:r>
      <w:r w:rsidRPr="007B5458">
        <w:rPr>
          <w:color w:val="000000"/>
        </w:rPr>
        <w:t>; regular one-to-one conversations, coaching during work, and visible acknowledgement can provide meaningful support.</w:t>
      </w:r>
    </w:p>
    <w:p w14:paraId="2D4863A9" w14:textId="77777777" w:rsidR="007A70A3" w:rsidRPr="007B5458" w:rsidRDefault="00F7451F">
      <w:pPr>
        <w:spacing w:after="80"/>
        <w:ind w:firstLine="397"/>
        <w:jc w:val="both"/>
      </w:pPr>
      <w:r w:rsidRPr="007B5458">
        <w:rPr>
          <w:color w:val="000000"/>
        </w:rPr>
        <w:t>Managers should simultaneously improve transactional clarity. Employees need explicit responsibilities, achievable standards, prompt feedback, and transparent links between performance and rewards. Where financial rewards are constrained, firms can use reliable non-financial recognition, development opportunities, schedule flexibility, and broader responsibility, provided that the criteria are communicated and applied consistently.</w:t>
      </w:r>
    </w:p>
    <w:p w14:paraId="4D2412C6" w14:textId="77777777" w:rsidR="007A70A3" w:rsidRPr="007B5458" w:rsidRDefault="00F7451F">
      <w:pPr>
        <w:spacing w:after="80"/>
        <w:ind w:firstLine="397"/>
        <w:jc w:val="both"/>
      </w:pPr>
      <w:r w:rsidRPr="007B5458">
        <w:rPr>
          <w:color w:val="000000"/>
        </w:rPr>
        <w:t xml:space="preserve">Leadership development should therefore avoid presenting transformational and transactional styles as substitutes. MSME leaders should combine vision and </w:t>
      </w:r>
      <w:r w:rsidRPr="007B5458">
        <w:rPr>
          <w:color w:val="000000"/>
          <w:highlight w:val="yellow"/>
        </w:rPr>
        <w:t>individualised</w:t>
      </w:r>
      <w:r w:rsidRPr="007B5458">
        <w:rPr>
          <w:color w:val="000000"/>
        </w:rPr>
        <w:t xml:space="preserve"> support with clear expectations and fair exchanges. Employee feedback on supervisor support, role clarity, fairness, recognition, and development should be monitored as leading indicators of retention risk.</w:t>
      </w:r>
    </w:p>
    <w:p w14:paraId="7BF12199" w14:textId="0A1C425E" w:rsidR="00285B17" w:rsidRPr="007B5458" w:rsidRDefault="00F7451F">
      <w:pPr>
        <w:spacing w:after="80"/>
        <w:ind w:firstLine="397"/>
        <w:jc w:val="both"/>
      </w:pPr>
      <w:r w:rsidRPr="007B5458">
        <w:t xml:space="preserve">The practical implications should therefore be translated into specific, observable management practices rather than broad leadership labels. Research on Vietnamese SMEs indicates that leadership development and context-sensitive managerial practices can improve employee-related </w:t>
      </w:r>
      <w:proofErr w:type="spellStart"/>
      <w:r w:rsidRPr="007B5458">
        <w:rPr>
          <w:highlight w:val="yellow"/>
        </w:rPr>
        <w:t>organisational</w:t>
      </w:r>
      <w:proofErr w:type="spellEnd"/>
      <w:r w:rsidRPr="007B5458">
        <w:t xml:space="preserve"> outcomes (</w:t>
      </w:r>
      <w:r w:rsidR="002F281D">
        <w:t>Le et al., 2021</w:t>
      </w:r>
      <w:r w:rsidRPr="007B5458">
        <w:t xml:space="preserve">), while SME evidence from other settings links effective </w:t>
      </w:r>
      <w:r w:rsidRPr="007B5458">
        <w:rPr>
          <w:highlight w:val="yellow"/>
        </w:rPr>
        <w:t>role-modelling</w:t>
      </w:r>
      <w:r w:rsidRPr="007B5458">
        <w:t xml:space="preserve"> and high-quality leader-member exchange with job satisfaction and lower turnover intent (Balwant &amp; Singh, 2023). Research integrating leadership with Social Exchange Theory also highlights development opportunities, supportive work environments, and fair reward practices as relevant to employee retention (Xuecheng et al., 2022). For MSMEs with limited formal HR infrastructure, this evidence supports low-cost practices such as regular one-to-one feedback, explicit performance criteria, transparent recognition, developmental coaching, and consistent follow-through on commitments. These practices should be monitored through employee feedback and retention indicators because the cross-sectional results do not establish that any single intervention will necessarily produce a specific reduction in turnover.</w:t>
      </w:r>
    </w:p>
    <w:p w14:paraId="6CA2EB75" w14:textId="77777777" w:rsidR="007A70A3" w:rsidRPr="007B5458" w:rsidRDefault="00F7451F">
      <w:pPr>
        <w:pStyle w:val="Heading1"/>
        <w:spacing w:before="200" w:after="80"/>
      </w:pPr>
      <w:r w:rsidRPr="007B5458">
        <w:rPr>
          <w:rFonts w:ascii="Times New Roman" w:hAnsi="Times New Roman"/>
          <w:sz w:val="24"/>
        </w:rPr>
        <w:t>6. Limitations and Future Research</w:t>
      </w:r>
    </w:p>
    <w:p w14:paraId="412FD187" w14:textId="77777777" w:rsidR="007A70A3" w:rsidRPr="007B5458" w:rsidRDefault="00F7451F">
      <w:pPr>
        <w:spacing w:after="80"/>
        <w:ind w:firstLine="397"/>
        <w:jc w:val="both"/>
      </w:pPr>
      <w:r w:rsidRPr="007B5458">
        <w:rPr>
          <w:color w:val="000000"/>
        </w:rPr>
        <w:t>The cross-sectional design limits causal inference. Longitudinal research could examine whether changes in leadership precede changes in turnover intention and actual turnover. The study also relies on employee self-reports, which are necessary for perceived leadership and intention but may raise common-method concerns. Future work should combine employee reports with supervisor assessments and objective turnover records.</w:t>
      </w:r>
    </w:p>
    <w:p w14:paraId="628602C8" w14:textId="77777777" w:rsidR="007A70A3" w:rsidRPr="007B5458" w:rsidRDefault="00F7451F">
      <w:pPr>
        <w:spacing w:after="80"/>
        <w:ind w:firstLine="397"/>
        <w:jc w:val="both"/>
      </w:pPr>
      <w:r w:rsidRPr="007B5458">
        <w:rPr>
          <w:color w:val="000000"/>
        </w:rPr>
        <w:t xml:space="preserve">The sample was drawn from MSMEs in northern Vietnam, which may limit </w:t>
      </w:r>
      <w:r w:rsidRPr="007B5458">
        <w:rPr>
          <w:color w:val="000000"/>
          <w:highlight w:val="yellow"/>
        </w:rPr>
        <w:t>generalisability</w:t>
      </w:r>
      <w:r w:rsidRPr="007B5458">
        <w:rPr>
          <w:color w:val="000000"/>
        </w:rPr>
        <w:t xml:space="preserve">. Comparative research could test whether the effects vary across regions, industries, ownership forms, and enterprise sizes. Future studies should also examine mediating mechanisms such as perceived </w:t>
      </w:r>
      <w:r w:rsidRPr="007B5458">
        <w:rPr>
          <w:color w:val="000000"/>
          <w:highlight w:val="yellow"/>
        </w:rPr>
        <w:t>organisational</w:t>
      </w:r>
      <w:r w:rsidRPr="007B5458">
        <w:rPr>
          <w:color w:val="000000"/>
        </w:rPr>
        <w:t xml:space="preserve"> support, </w:t>
      </w:r>
      <w:r w:rsidRPr="007B5458">
        <w:rPr>
          <w:color w:val="000000"/>
          <w:highlight w:val="yellow"/>
        </w:rPr>
        <w:t>organisational</w:t>
      </w:r>
      <w:r w:rsidRPr="007B5458">
        <w:rPr>
          <w:color w:val="000000"/>
        </w:rPr>
        <w:t xml:space="preserve"> commitment, role clarity, psychological safety, and work engagement, as well as moderators including emotional intelligence, workload, and </w:t>
      </w:r>
      <w:r w:rsidRPr="007B5458">
        <w:rPr>
          <w:color w:val="000000"/>
          <w:highlight w:val="yellow"/>
        </w:rPr>
        <w:t>labour-market</w:t>
      </w:r>
      <w:r w:rsidRPr="007B5458">
        <w:rPr>
          <w:color w:val="000000"/>
        </w:rPr>
        <w:t xml:space="preserve"> opportunities.</w:t>
      </w:r>
    </w:p>
    <w:p w14:paraId="4A258B39" w14:textId="77777777" w:rsidR="007A70A3" w:rsidRPr="007B5458" w:rsidRDefault="00F7451F">
      <w:pPr>
        <w:pStyle w:val="Heading1"/>
        <w:spacing w:before="200" w:after="80"/>
      </w:pPr>
      <w:r w:rsidRPr="007B5458">
        <w:rPr>
          <w:rFonts w:ascii="Times New Roman" w:hAnsi="Times New Roman"/>
          <w:sz w:val="24"/>
        </w:rPr>
        <w:t>7. Conclusion</w:t>
      </w:r>
    </w:p>
    <w:p w14:paraId="1D5AD802" w14:textId="77777777" w:rsidR="007A70A3" w:rsidRDefault="00F7451F">
      <w:pPr>
        <w:spacing w:after="80"/>
        <w:ind w:firstLine="397"/>
        <w:jc w:val="both"/>
        <w:rPr>
          <w:color w:val="000000"/>
        </w:rPr>
      </w:pPr>
      <w:r w:rsidRPr="007B5458">
        <w:rPr>
          <w:color w:val="000000"/>
        </w:rPr>
        <w:t xml:space="preserve">Both transformational and transactional leadership significantly reduce employees’ turnover intention in Vietnamese MSMEs. Transformational leadership has the stronger effect and supports retention through purpose, recognition, </w:t>
      </w:r>
      <w:r w:rsidRPr="007B5458">
        <w:rPr>
          <w:color w:val="000000"/>
          <w:highlight w:val="yellow"/>
        </w:rPr>
        <w:t>individualised</w:t>
      </w:r>
      <w:r w:rsidRPr="007B5458">
        <w:rPr>
          <w:color w:val="000000"/>
        </w:rPr>
        <w:t xml:space="preserve"> support, and development. Transactional </w:t>
      </w:r>
      <w:r w:rsidRPr="007B5458">
        <w:rPr>
          <w:color w:val="000000"/>
        </w:rPr>
        <w:lastRenderedPageBreak/>
        <w:t xml:space="preserve">leadership contributes through clear expectations, dependable feedback, and fair performance-linked exchanges. The results show that effective retention-oriented leadership requires both relational support and </w:t>
      </w:r>
      <w:r w:rsidRPr="007B5458">
        <w:rPr>
          <w:color w:val="000000"/>
          <w:highlight w:val="yellow"/>
        </w:rPr>
        <w:t>organisational</w:t>
      </w:r>
      <w:r w:rsidRPr="007B5458">
        <w:rPr>
          <w:color w:val="000000"/>
        </w:rPr>
        <w:t xml:space="preserve"> structure. MSME managers should therefore inspire and develop employees while also ensuring that responsibilities, feedback, and rewards are transparent and consistent.</w:t>
      </w:r>
    </w:p>
    <w:p w14:paraId="411D9773" w14:textId="77777777" w:rsidR="00233E3A" w:rsidRDefault="00233E3A" w:rsidP="00233E3A">
      <w:pPr>
        <w:spacing w:after="0" w:line="240" w:lineRule="auto"/>
        <w:rPr>
          <w:rFonts w:cs="Times New Roman"/>
          <w:b/>
        </w:rPr>
      </w:pPr>
      <w:r w:rsidRPr="000839CE">
        <w:rPr>
          <w:rFonts w:cs="Times New Roman"/>
          <w:b/>
        </w:rPr>
        <w:t>Declaration of AI Use</w:t>
      </w:r>
    </w:p>
    <w:p w14:paraId="2747DEA3" w14:textId="77777777" w:rsidR="00233E3A" w:rsidRDefault="00233E3A" w:rsidP="00233E3A">
      <w:pPr>
        <w:spacing w:after="0" w:line="240" w:lineRule="auto"/>
        <w:rPr>
          <w:rFonts w:cs="Times New Roman"/>
          <w:b/>
        </w:rPr>
      </w:pPr>
    </w:p>
    <w:p w14:paraId="0B34CE1D" w14:textId="77777777" w:rsidR="00233E3A" w:rsidRDefault="00233E3A" w:rsidP="00233E3A">
      <w:pPr>
        <w:spacing w:after="0" w:line="240" w:lineRule="auto"/>
        <w:rPr>
          <w:rFonts w:cs="Times New Roman"/>
          <w:b/>
        </w:rPr>
      </w:pPr>
    </w:p>
    <w:p w14:paraId="03D3D92C" w14:textId="77777777" w:rsidR="00233E3A" w:rsidRDefault="00233E3A" w:rsidP="00233E3A">
      <w:pPr>
        <w:spacing w:after="0" w:line="240" w:lineRule="auto"/>
        <w:rPr>
          <w:rFonts w:cs="Times New Roman"/>
          <w:b/>
        </w:rPr>
      </w:pPr>
    </w:p>
    <w:p w14:paraId="713F2E05" w14:textId="77777777" w:rsidR="00233E3A" w:rsidRPr="002D08AC" w:rsidRDefault="00233E3A" w:rsidP="00233E3A">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FD56922" w14:textId="77777777" w:rsidR="00233E3A" w:rsidRPr="007B5458" w:rsidRDefault="00233E3A">
      <w:pPr>
        <w:spacing w:after="80"/>
        <w:ind w:firstLine="397"/>
        <w:jc w:val="both"/>
      </w:pPr>
    </w:p>
    <w:p w14:paraId="592F05CE" w14:textId="77777777" w:rsidR="007A70A3" w:rsidRPr="007B5458" w:rsidRDefault="00F7451F">
      <w:pPr>
        <w:pStyle w:val="Heading1"/>
        <w:spacing w:before="200" w:after="80"/>
      </w:pPr>
      <w:r w:rsidRPr="007B5458">
        <w:rPr>
          <w:rFonts w:ascii="Times New Roman" w:hAnsi="Times New Roman"/>
          <w:sz w:val="24"/>
        </w:rPr>
        <w:t>References</w:t>
      </w:r>
    </w:p>
    <w:p w14:paraId="7DFF3C49" w14:textId="4B7CF98F" w:rsidR="002F281D" w:rsidRPr="002F281D" w:rsidRDefault="002F281D" w:rsidP="002F281D">
      <w:pPr>
        <w:spacing w:after="0" w:line="240" w:lineRule="auto"/>
        <w:ind w:left="540" w:hanging="540"/>
        <w:jc w:val="both"/>
        <w:rPr>
          <w:rFonts w:eastAsia="Times New Roman" w:cs="Times New Roman"/>
          <w:sz w:val="24"/>
          <w:szCs w:val="24"/>
        </w:rPr>
      </w:pPr>
      <w:r w:rsidRPr="002F281D">
        <w:rPr>
          <w:rFonts w:eastAsia="Times New Roman" w:cs="Times New Roman"/>
          <w:sz w:val="24"/>
          <w:szCs w:val="24"/>
        </w:rPr>
        <w:t xml:space="preserve">Balwant, P. T., &amp; Singh, A. (2023). Role-modeling leadership in small and medium enterprises: The role of leader identification, leader–member exchange, job stress, job satisfaction, and turnover intent. </w:t>
      </w:r>
      <w:r w:rsidRPr="002F281D">
        <w:rPr>
          <w:rFonts w:eastAsia="Times New Roman" w:cs="Times New Roman"/>
          <w:i/>
          <w:iCs/>
          <w:sz w:val="24"/>
          <w:szCs w:val="24"/>
        </w:rPr>
        <w:t>Journal of Leadership Studies, 17</w:t>
      </w:r>
      <w:r w:rsidRPr="002F281D">
        <w:rPr>
          <w:rFonts w:eastAsia="Times New Roman" w:cs="Times New Roman"/>
          <w:sz w:val="24"/>
          <w:szCs w:val="24"/>
        </w:rPr>
        <w:t xml:space="preserve">(1), 4–19. </w:t>
      </w:r>
      <w:hyperlink r:id="rId8" w:history="1">
        <w:r w:rsidRPr="002F281D">
          <w:rPr>
            <w:rFonts w:eastAsia="Times New Roman" w:cs="Times New Roman"/>
            <w:color w:val="0000FF"/>
            <w:sz w:val="24"/>
            <w:szCs w:val="24"/>
            <w:u w:val="single"/>
          </w:rPr>
          <w:t>https://doi.org/10.1002/jls.21843</w:t>
        </w:r>
      </w:hyperlink>
    </w:p>
    <w:p w14:paraId="43B8C676" w14:textId="0AB80297" w:rsidR="002F281D" w:rsidRPr="002F281D" w:rsidRDefault="002F281D" w:rsidP="002F281D">
      <w:pPr>
        <w:spacing w:after="0" w:line="240" w:lineRule="auto"/>
        <w:ind w:left="540" w:hanging="540"/>
        <w:jc w:val="both"/>
        <w:rPr>
          <w:rFonts w:eastAsia="Times New Roman" w:cs="Times New Roman"/>
          <w:sz w:val="24"/>
          <w:szCs w:val="24"/>
        </w:rPr>
      </w:pPr>
      <w:r w:rsidRPr="002F281D">
        <w:rPr>
          <w:rFonts w:eastAsia="Times New Roman" w:cs="Times New Roman"/>
          <w:sz w:val="24"/>
          <w:szCs w:val="24"/>
        </w:rPr>
        <w:t xml:space="preserve">Bass, B. M. (1985). </w:t>
      </w:r>
      <w:r w:rsidRPr="002F281D">
        <w:rPr>
          <w:rFonts w:eastAsia="Times New Roman" w:cs="Times New Roman"/>
          <w:i/>
          <w:iCs/>
          <w:sz w:val="24"/>
          <w:szCs w:val="24"/>
        </w:rPr>
        <w:t>Leadership and performance beyond expectations</w:t>
      </w:r>
      <w:r w:rsidRPr="002F281D">
        <w:rPr>
          <w:rFonts w:eastAsia="Times New Roman" w:cs="Times New Roman"/>
          <w:sz w:val="24"/>
          <w:szCs w:val="24"/>
        </w:rPr>
        <w:t xml:space="preserve">. Free Press. </w:t>
      </w:r>
    </w:p>
    <w:p w14:paraId="22A28625" w14:textId="3D335EAC" w:rsidR="002F281D" w:rsidRPr="002F281D" w:rsidRDefault="002F281D" w:rsidP="002F281D">
      <w:pPr>
        <w:spacing w:after="0" w:line="240" w:lineRule="auto"/>
        <w:ind w:left="540" w:hanging="540"/>
        <w:jc w:val="both"/>
        <w:rPr>
          <w:rFonts w:eastAsia="Times New Roman" w:cs="Times New Roman"/>
          <w:sz w:val="24"/>
          <w:szCs w:val="24"/>
        </w:rPr>
      </w:pPr>
      <w:r w:rsidRPr="002F281D">
        <w:rPr>
          <w:rFonts w:eastAsia="Times New Roman" w:cs="Times New Roman"/>
          <w:sz w:val="24"/>
          <w:szCs w:val="24"/>
        </w:rPr>
        <w:t xml:space="preserve">Bass, B. M. (1999). Two decades of research and development in transformational leadership. </w:t>
      </w:r>
      <w:r w:rsidRPr="002F281D">
        <w:rPr>
          <w:rFonts w:eastAsia="Times New Roman" w:cs="Times New Roman"/>
          <w:i/>
          <w:iCs/>
          <w:sz w:val="24"/>
          <w:szCs w:val="24"/>
        </w:rPr>
        <w:t>European Journal of Work and Organizational Psychology, 8</w:t>
      </w:r>
      <w:r w:rsidRPr="002F281D">
        <w:rPr>
          <w:rFonts w:eastAsia="Times New Roman" w:cs="Times New Roman"/>
          <w:sz w:val="24"/>
          <w:szCs w:val="24"/>
        </w:rPr>
        <w:t xml:space="preserve">(1), 9–32. </w:t>
      </w:r>
      <w:hyperlink r:id="rId9" w:history="1">
        <w:r w:rsidRPr="002F281D">
          <w:rPr>
            <w:rFonts w:eastAsia="Times New Roman" w:cs="Times New Roman"/>
            <w:color w:val="0000FF"/>
            <w:sz w:val="24"/>
            <w:szCs w:val="24"/>
            <w:u w:val="single"/>
          </w:rPr>
          <w:t>https://doi.org/10.1080/135943299398410</w:t>
        </w:r>
      </w:hyperlink>
    </w:p>
    <w:p w14:paraId="5000F4C9" w14:textId="504823E9" w:rsidR="002F281D" w:rsidRPr="002F281D" w:rsidRDefault="002F281D" w:rsidP="002F281D">
      <w:pPr>
        <w:spacing w:after="0" w:line="240" w:lineRule="auto"/>
        <w:ind w:left="540" w:hanging="540"/>
        <w:jc w:val="both"/>
        <w:rPr>
          <w:rFonts w:eastAsia="Times New Roman" w:cs="Times New Roman"/>
          <w:sz w:val="24"/>
          <w:szCs w:val="24"/>
        </w:rPr>
      </w:pPr>
      <w:r w:rsidRPr="002F281D">
        <w:rPr>
          <w:rFonts w:eastAsia="Times New Roman" w:cs="Times New Roman"/>
          <w:sz w:val="24"/>
          <w:szCs w:val="24"/>
        </w:rPr>
        <w:t xml:space="preserve">Bass, B. M., &amp; Avolio, B. J. (1995). </w:t>
      </w:r>
      <w:r w:rsidRPr="002F281D">
        <w:rPr>
          <w:rFonts w:eastAsia="Times New Roman" w:cs="Times New Roman"/>
          <w:i/>
          <w:iCs/>
          <w:sz w:val="24"/>
          <w:szCs w:val="24"/>
        </w:rPr>
        <w:t>Multifactor leadership questionnaire</w:t>
      </w:r>
      <w:r w:rsidRPr="002F281D">
        <w:rPr>
          <w:rFonts w:eastAsia="Times New Roman" w:cs="Times New Roman"/>
          <w:sz w:val="24"/>
          <w:szCs w:val="24"/>
        </w:rPr>
        <w:t xml:space="preserve">. Mind Garden. </w:t>
      </w:r>
    </w:p>
    <w:p w14:paraId="4FBB9777" w14:textId="15A46595" w:rsidR="002F281D" w:rsidRPr="002F281D" w:rsidRDefault="002F281D" w:rsidP="002F281D">
      <w:pPr>
        <w:spacing w:after="0" w:line="240" w:lineRule="auto"/>
        <w:ind w:left="540" w:hanging="540"/>
        <w:jc w:val="both"/>
        <w:rPr>
          <w:rFonts w:eastAsia="Times New Roman" w:cs="Times New Roman"/>
          <w:sz w:val="24"/>
          <w:szCs w:val="24"/>
        </w:rPr>
      </w:pPr>
      <w:r w:rsidRPr="002F281D">
        <w:rPr>
          <w:rFonts w:eastAsia="Times New Roman" w:cs="Times New Roman"/>
          <w:sz w:val="24"/>
          <w:szCs w:val="24"/>
        </w:rPr>
        <w:t xml:space="preserve">Blau, P. M. (1964). </w:t>
      </w:r>
      <w:r w:rsidRPr="002F281D">
        <w:rPr>
          <w:rFonts w:eastAsia="Times New Roman" w:cs="Times New Roman"/>
          <w:i/>
          <w:iCs/>
          <w:sz w:val="24"/>
          <w:szCs w:val="24"/>
        </w:rPr>
        <w:t>Exchange and power in social life</w:t>
      </w:r>
      <w:r w:rsidRPr="002F281D">
        <w:rPr>
          <w:rFonts w:eastAsia="Times New Roman" w:cs="Times New Roman"/>
          <w:sz w:val="24"/>
          <w:szCs w:val="24"/>
        </w:rPr>
        <w:t xml:space="preserve">. Wiley. </w:t>
      </w:r>
      <w:hyperlink r:id="rId10" w:history="1">
        <w:r w:rsidRPr="002F281D">
          <w:rPr>
            <w:rFonts w:eastAsia="Times New Roman" w:cs="Times New Roman"/>
            <w:color w:val="0000FF"/>
            <w:sz w:val="24"/>
            <w:szCs w:val="24"/>
            <w:u w:val="single"/>
          </w:rPr>
          <w:t>https://www.d.umn.edu/cla/faculty/jhamlin/4111/Exchange/BlauReading.html</w:t>
        </w:r>
      </w:hyperlink>
    </w:p>
    <w:p w14:paraId="6AAE7EE7" w14:textId="2E787A0F" w:rsidR="002F281D" w:rsidRPr="002F281D" w:rsidRDefault="002F281D" w:rsidP="002F281D">
      <w:pPr>
        <w:spacing w:after="0" w:line="240" w:lineRule="auto"/>
        <w:ind w:left="540" w:hanging="540"/>
        <w:jc w:val="both"/>
        <w:rPr>
          <w:rFonts w:eastAsia="Times New Roman" w:cs="Times New Roman"/>
          <w:sz w:val="24"/>
          <w:szCs w:val="24"/>
        </w:rPr>
      </w:pPr>
      <w:r w:rsidRPr="002F281D">
        <w:rPr>
          <w:rFonts w:eastAsia="Times New Roman" w:cs="Times New Roman"/>
          <w:sz w:val="24"/>
          <w:szCs w:val="24"/>
        </w:rPr>
        <w:t xml:space="preserve">Chouhan, V. S. (2026). Leadership styles and turnover intentions of employees in the Indian hospitality industry: The mediation roles of regulatory focus and emotional exhaustion. </w:t>
      </w:r>
      <w:r w:rsidRPr="002F281D">
        <w:rPr>
          <w:rFonts w:eastAsia="Times New Roman" w:cs="Times New Roman"/>
          <w:i/>
          <w:iCs/>
          <w:sz w:val="24"/>
          <w:szCs w:val="24"/>
        </w:rPr>
        <w:t>Journal of Human Resources in Hospitality &amp; Tourism, 25</w:t>
      </w:r>
      <w:r w:rsidRPr="002F281D">
        <w:rPr>
          <w:rFonts w:eastAsia="Times New Roman" w:cs="Times New Roman"/>
          <w:sz w:val="24"/>
          <w:szCs w:val="24"/>
        </w:rPr>
        <w:t xml:space="preserve">(3), 403–431. </w:t>
      </w:r>
      <w:hyperlink r:id="rId11" w:history="1">
        <w:r w:rsidRPr="002F281D">
          <w:rPr>
            <w:rFonts w:eastAsia="Times New Roman" w:cs="Times New Roman"/>
            <w:color w:val="0000FF"/>
            <w:sz w:val="24"/>
            <w:szCs w:val="24"/>
            <w:u w:val="single"/>
          </w:rPr>
          <w:t>https://doi.org/10.1080/15332845.2026.2634514</w:t>
        </w:r>
      </w:hyperlink>
    </w:p>
    <w:p w14:paraId="4347597B" w14:textId="076DDA11" w:rsidR="002F281D" w:rsidRPr="002F281D" w:rsidRDefault="002F281D" w:rsidP="002F281D">
      <w:pPr>
        <w:spacing w:after="0" w:line="240" w:lineRule="auto"/>
        <w:ind w:left="540" w:hanging="540"/>
        <w:jc w:val="both"/>
        <w:rPr>
          <w:rFonts w:eastAsia="Times New Roman" w:cs="Times New Roman"/>
          <w:sz w:val="24"/>
          <w:szCs w:val="24"/>
        </w:rPr>
      </w:pPr>
      <w:r w:rsidRPr="002F281D">
        <w:rPr>
          <w:rFonts w:eastAsia="Times New Roman" w:cs="Times New Roman"/>
          <w:sz w:val="24"/>
          <w:szCs w:val="24"/>
        </w:rPr>
        <w:t xml:space="preserve">Deraman, N., Mad Nor, N. N., &amp; Zainuddin, N. (2018). Transactional leadership style on turnover intention among electrical and electronic sub-sector employees in Malaysia. </w:t>
      </w:r>
      <w:r w:rsidRPr="002F281D">
        <w:rPr>
          <w:rFonts w:eastAsia="Times New Roman" w:cs="Times New Roman"/>
          <w:i/>
          <w:iCs/>
          <w:sz w:val="24"/>
          <w:szCs w:val="24"/>
        </w:rPr>
        <w:t>Journal of Technology and Operations Management, 13</w:t>
      </w:r>
      <w:r w:rsidRPr="002F281D">
        <w:rPr>
          <w:rFonts w:eastAsia="Times New Roman" w:cs="Times New Roman"/>
          <w:sz w:val="24"/>
          <w:szCs w:val="24"/>
        </w:rPr>
        <w:t xml:space="preserve">(1), 42–54. </w:t>
      </w:r>
      <w:hyperlink r:id="rId12" w:history="1">
        <w:r w:rsidRPr="002F281D">
          <w:rPr>
            <w:rFonts w:eastAsia="Times New Roman" w:cs="Times New Roman"/>
            <w:color w:val="0000FF"/>
            <w:sz w:val="24"/>
            <w:szCs w:val="24"/>
            <w:u w:val="single"/>
          </w:rPr>
          <w:t>https://doi.org/10.32890/jtom2018.13.1.5</w:t>
        </w:r>
      </w:hyperlink>
    </w:p>
    <w:p w14:paraId="23409D4D" w14:textId="73505D72" w:rsidR="002F281D" w:rsidRPr="002F281D" w:rsidRDefault="002F281D" w:rsidP="002F281D">
      <w:pPr>
        <w:spacing w:after="0" w:line="240" w:lineRule="auto"/>
        <w:ind w:left="540" w:hanging="540"/>
        <w:jc w:val="both"/>
        <w:rPr>
          <w:rFonts w:eastAsia="Times New Roman" w:cs="Times New Roman"/>
          <w:sz w:val="24"/>
          <w:szCs w:val="24"/>
        </w:rPr>
      </w:pPr>
      <w:r w:rsidRPr="002F281D">
        <w:rPr>
          <w:rFonts w:eastAsia="Times New Roman" w:cs="Times New Roman"/>
          <w:sz w:val="24"/>
          <w:szCs w:val="24"/>
          <w:lang w:val="nl-BE"/>
        </w:rPr>
        <w:t xml:space="preserve">Dijkstra, T. K., &amp; Henseler, J. (2015). </w:t>
      </w:r>
      <w:r w:rsidRPr="002F281D">
        <w:rPr>
          <w:rFonts w:eastAsia="Times New Roman" w:cs="Times New Roman"/>
          <w:sz w:val="24"/>
          <w:szCs w:val="24"/>
        </w:rPr>
        <w:t xml:space="preserve">Consistent partial least squares path modeling. </w:t>
      </w:r>
      <w:r w:rsidRPr="002F281D">
        <w:rPr>
          <w:rFonts w:eastAsia="Times New Roman" w:cs="Times New Roman"/>
          <w:i/>
          <w:iCs/>
          <w:sz w:val="24"/>
          <w:szCs w:val="24"/>
        </w:rPr>
        <w:t>MIS Quarterly, 39</w:t>
      </w:r>
      <w:r w:rsidRPr="002F281D">
        <w:rPr>
          <w:rFonts w:eastAsia="Times New Roman" w:cs="Times New Roman"/>
          <w:sz w:val="24"/>
          <w:szCs w:val="24"/>
        </w:rPr>
        <w:t xml:space="preserve">(2), 297–316. </w:t>
      </w:r>
      <w:hyperlink r:id="rId13" w:history="1">
        <w:r w:rsidRPr="002F281D">
          <w:rPr>
            <w:rFonts w:eastAsia="Times New Roman" w:cs="Times New Roman"/>
            <w:color w:val="0000FF"/>
            <w:sz w:val="24"/>
            <w:szCs w:val="24"/>
            <w:u w:val="single"/>
          </w:rPr>
          <w:t>https://doi.org/10.25300/MISQ/2015/39.2.02</w:t>
        </w:r>
      </w:hyperlink>
    </w:p>
    <w:p w14:paraId="00DF4FBE" w14:textId="7E3F4A1A" w:rsidR="002F281D" w:rsidRPr="002F281D" w:rsidRDefault="002F281D" w:rsidP="002F281D">
      <w:pPr>
        <w:spacing w:after="0" w:line="240" w:lineRule="auto"/>
        <w:ind w:left="540" w:hanging="540"/>
        <w:jc w:val="both"/>
        <w:rPr>
          <w:rFonts w:eastAsia="Times New Roman" w:cs="Times New Roman"/>
          <w:sz w:val="24"/>
          <w:szCs w:val="24"/>
        </w:rPr>
      </w:pPr>
      <w:r w:rsidRPr="002F281D">
        <w:rPr>
          <w:rFonts w:eastAsia="Times New Roman" w:cs="Times New Roman"/>
          <w:sz w:val="24"/>
          <w:szCs w:val="24"/>
        </w:rPr>
        <w:t xml:space="preserve">Fornell, C., &amp; Larcker, D. F. (1981). Evaluating structural equation models with unobservable variables and measurement error. </w:t>
      </w:r>
      <w:r w:rsidRPr="002F281D">
        <w:rPr>
          <w:rFonts w:eastAsia="Times New Roman" w:cs="Times New Roman"/>
          <w:i/>
          <w:iCs/>
          <w:sz w:val="24"/>
          <w:szCs w:val="24"/>
        </w:rPr>
        <w:t>Journal of Marketing Research, 18</w:t>
      </w:r>
      <w:r w:rsidRPr="002F281D">
        <w:rPr>
          <w:rFonts w:eastAsia="Times New Roman" w:cs="Times New Roman"/>
          <w:sz w:val="24"/>
          <w:szCs w:val="24"/>
        </w:rPr>
        <w:t xml:space="preserve">(1), 39–50. </w:t>
      </w:r>
      <w:hyperlink r:id="rId14" w:history="1">
        <w:r w:rsidRPr="002F281D">
          <w:rPr>
            <w:rFonts w:eastAsia="Times New Roman" w:cs="Times New Roman"/>
            <w:color w:val="0000FF"/>
            <w:sz w:val="24"/>
            <w:szCs w:val="24"/>
            <w:u w:val="single"/>
          </w:rPr>
          <w:t>https://doi.org/10.1177/002224378101800104</w:t>
        </w:r>
      </w:hyperlink>
    </w:p>
    <w:p w14:paraId="1202EB6A" w14:textId="7A9EAF1F" w:rsidR="002F281D" w:rsidRPr="002F281D" w:rsidRDefault="002F281D" w:rsidP="002F281D">
      <w:pPr>
        <w:spacing w:after="0" w:line="240" w:lineRule="auto"/>
        <w:ind w:left="540" w:hanging="540"/>
        <w:jc w:val="both"/>
        <w:rPr>
          <w:rFonts w:eastAsia="Times New Roman" w:cs="Times New Roman"/>
          <w:sz w:val="24"/>
          <w:szCs w:val="24"/>
        </w:rPr>
      </w:pPr>
      <w:r w:rsidRPr="002F281D">
        <w:rPr>
          <w:rFonts w:eastAsia="Times New Roman" w:cs="Times New Roman"/>
          <w:sz w:val="24"/>
          <w:szCs w:val="24"/>
        </w:rPr>
        <w:t xml:space="preserve">Funk, S. (2025). Does being a leader make them stay? Short- and long-term effects of supervisory responsibility on turnover intentions. </w:t>
      </w:r>
      <w:r w:rsidRPr="002F281D">
        <w:rPr>
          <w:rFonts w:eastAsia="Times New Roman" w:cs="Times New Roman"/>
          <w:i/>
          <w:iCs/>
          <w:sz w:val="24"/>
          <w:szCs w:val="24"/>
        </w:rPr>
        <w:t>Human Resource Management Journal, 35</w:t>
      </w:r>
      <w:r w:rsidRPr="002F281D">
        <w:rPr>
          <w:rFonts w:eastAsia="Times New Roman" w:cs="Times New Roman"/>
          <w:sz w:val="24"/>
          <w:szCs w:val="24"/>
        </w:rPr>
        <w:t xml:space="preserve">(1), 25–44. </w:t>
      </w:r>
      <w:hyperlink r:id="rId15" w:history="1">
        <w:r w:rsidRPr="002F281D">
          <w:rPr>
            <w:rFonts w:eastAsia="Times New Roman" w:cs="Times New Roman"/>
            <w:color w:val="0000FF"/>
            <w:sz w:val="24"/>
            <w:szCs w:val="24"/>
            <w:u w:val="single"/>
          </w:rPr>
          <w:t>https://doi.org/10.1111/1748-8583.12550</w:t>
        </w:r>
      </w:hyperlink>
    </w:p>
    <w:p w14:paraId="150E0E9D" w14:textId="0393261D" w:rsidR="002F281D" w:rsidRPr="002F281D" w:rsidRDefault="002F281D" w:rsidP="002F281D">
      <w:pPr>
        <w:spacing w:after="0" w:line="240" w:lineRule="auto"/>
        <w:ind w:left="540" w:hanging="540"/>
        <w:jc w:val="both"/>
        <w:rPr>
          <w:rFonts w:eastAsia="Times New Roman" w:cs="Times New Roman"/>
          <w:sz w:val="24"/>
          <w:szCs w:val="24"/>
        </w:rPr>
      </w:pPr>
      <w:r w:rsidRPr="002F281D">
        <w:rPr>
          <w:rFonts w:eastAsia="Times New Roman" w:cs="Times New Roman"/>
          <w:sz w:val="24"/>
          <w:szCs w:val="24"/>
        </w:rPr>
        <w:t xml:space="preserve">Ha, M. T. P., Ho, D. T., &amp; Nguyen, L. N. (2024). The role of adaptive resilience in the relationship between transformational leadership, affective commitment and turnover intention in the post COVID-19 era: A case of Vietnam. </w:t>
      </w:r>
      <w:r w:rsidRPr="002F281D">
        <w:rPr>
          <w:rFonts w:eastAsia="Times New Roman" w:cs="Times New Roman"/>
          <w:i/>
          <w:iCs/>
          <w:sz w:val="24"/>
          <w:szCs w:val="24"/>
        </w:rPr>
        <w:t>Business: Theory and Practice, 25</w:t>
      </w:r>
      <w:r w:rsidRPr="002F281D">
        <w:rPr>
          <w:rFonts w:eastAsia="Times New Roman" w:cs="Times New Roman"/>
          <w:sz w:val="24"/>
          <w:szCs w:val="24"/>
        </w:rPr>
        <w:t xml:space="preserve">(1), 200–209. </w:t>
      </w:r>
      <w:hyperlink r:id="rId16" w:history="1">
        <w:r w:rsidRPr="002F281D">
          <w:rPr>
            <w:rFonts w:eastAsia="Times New Roman" w:cs="Times New Roman"/>
            <w:color w:val="0000FF"/>
            <w:sz w:val="24"/>
            <w:szCs w:val="24"/>
            <w:u w:val="single"/>
          </w:rPr>
          <w:t>https://doi.org/10.3846/btp.2024.20091</w:t>
        </w:r>
      </w:hyperlink>
    </w:p>
    <w:p w14:paraId="5753587D" w14:textId="34B125BC" w:rsidR="002F281D" w:rsidRPr="002F281D" w:rsidRDefault="002F281D" w:rsidP="002F281D">
      <w:pPr>
        <w:spacing w:after="0" w:line="240" w:lineRule="auto"/>
        <w:ind w:left="540" w:hanging="540"/>
        <w:jc w:val="both"/>
        <w:rPr>
          <w:rFonts w:eastAsia="Times New Roman" w:cs="Times New Roman"/>
          <w:sz w:val="24"/>
          <w:szCs w:val="24"/>
        </w:rPr>
      </w:pPr>
      <w:r w:rsidRPr="002F281D">
        <w:rPr>
          <w:rFonts w:eastAsia="Times New Roman" w:cs="Times New Roman"/>
          <w:sz w:val="24"/>
          <w:szCs w:val="24"/>
        </w:rPr>
        <w:t xml:space="preserve">Hair, J. F., Hult, G. T. M., Ringle, C. M., &amp; Sarstedt, M. (2022). </w:t>
      </w:r>
      <w:r w:rsidRPr="002F281D">
        <w:rPr>
          <w:rFonts w:eastAsia="Times New Roman" w:cs="Times New Roman"/>
          <w:i/>
          <w:iCs/>
          <w:sz w:val="24"/>
          <w:szCs w:val="24"/>
        </w:rPr>
        <w:t>A primer on partial least squares structural equation modeling (PLS-SEM)</w:t>
      </w:r>
      <w:r w:rsidRPr="002F281D">
        <w:rPr>
          <w:rFonts w:eastAsia="Times New Roman" w:cs="Times New Roman"/>
          <w:sz w:val="24"/>
          <w:szCs w:val="24"/>
        </w:rPr>
        <w:t xml:space="preserve"> (3rd ed.). Sage. </w:t>
      </w:r>
    </w:p>
    <w:p w14:paraId="3376A57D" w14:textId="4EB23483" w:rsidR="002F281D" w:rsidRPr="002F281D" w:rsidRDefault="002F281D" w:rsidP="002F281D">
      <w:pPr>
        <w:spacing w:after="0" w:line="240" w:lineRule="auto"/>
        <w:ind w:left="540" w:hanging="540"/>
        <w:jc w:val="both"/>
        <w:rPr>
          <w:rFonts w:eastAsia="Times New Roman" w:cs="Times New Roman"/>
          <w:sz w:val="24"/>
          <w:szCs w:val="24"/>
        </w:rPr>
      </w:pPr>
      <w:r w:rsidRPr="002F281D">
        <w:rPr>
          <w:rFonts w:eastAsia="Times New Roman" w:cs="Times New Roman"/>
          <w:sz w:val="24"/>
          <w:szCs w:val="24"/>
          <w:lang w:val="nl-BE"/>
        </w:rPr>
        <w:t xml:space="preserve">Henseler, J., Ringle, C. M., &amp; Sarstedt, M. (2015). </w:t>
      </w:r>
      <w:r w:rsidRPr="002F281D">
        <w:rPr>
          <w:rFonts w:eastAsia="Times New Roman" w:cs="Times New Roman"/>
          <w:sz w:val="24"/>
          <w:szCs w:val="24"/>
        </w:rPr>
        <w:t xml:space="preserve">A new criterion for assessing discriminant validity in variance-based structural equation modeling. </w:t>
      </w:r>
      <w:r w:rsidRPr="002F281D">
        <w:rPr>
          <w:rFonts w:eastAsia="Times New Roman" w:cs="Times New Roman"/>
          <w:i/>
          <w:iCs/>
          <w:sz w:val="24"/>
          <w:szCs w:val="24"/>
        </w:rPr>
        <w:t>Journal of the Academy of Marketing Science, 43</w:t>
      </w:r>
      <w:r w:rsidRPr="002F281D">
        <w:rPr>
          <w:rFonts w:eastAsia="Times New Roman" w:cs="Times New Roman"/>
          <w:sz w:val="24"/>
          <w:szCs w:val="24"/>
        </w:rPr>
        <w:t xml:space="preserve">, 115–135. </w:t>
      </w:r>
      <w:hyperlink r:id="rId17" w:history="1">
        <w:r w:rsidRPr="002F281D">
          <w:rPr>
            <w:rFonts w:eastAsia="Times New Roman" w:cs="Times New Roman"/>
            <w:color w:val="0000FF"/>
            <w:sz w:val="24"/>
            <w:szCs w:val="24"/>
            <w:u w:val="single"/>
          </w:rPr>
          <w:t>https://doi.org/10.1007/s11747-014-0403-8</w:t>
        </w:r>
      </w:hyperlink>
    </w:p>
    <w:p w14:paraId="69B7881F" w14:textId="72056B6B" w:rsidR="002F281D" w:rsidRPr="002F281D" w:rsidRDefault="002F281D" w:rsidP="002F281D">
      <w:pPr>
        <w:spacing w:after="0" w:line="240" w:lineRule="auto"/>
        <w:ind w:left="540" w:hanging="540"/>
        <w:jc w:val="both"/>
        <w:rPr>
          <w:rFonts w:eastAsia="Times New Roman" w:cs="Times New Roman"/>
          <w:sz w:val="24"/>
          <w:szCs w:val="24"/>
        </w:rPr>
      </w:pPr>
      <w:r w:rsidRPr="002F281D">
        <w:rPr>
          <w:rFonts w:eastAsia="Times New Roman" w:cs="Times New Roman"/>
          <w:sz w:val="24"/>
          <w:szCs w:val="24"/>
        </w:rPr>
        <w:lastRenderedPageBreak/>
        <w:t xml:space="preserve">Hom, P. W., Lee, T. W., Shaw, J. D., &amp; Hausknecht, J. P. (2017). One hundred years of employee turnover theory and research. </w:t>
      </w:r>
      <w:r w:rsidRPr="002F281D">
        <w:rPr>
          <w:rFonts w:eastAsia="Times New Roman" w:cs="Times New Roman"/>
          <w:i/>
          <w:iCs/>
          <w:sz w:val="24"/>
          <w:szCs w:val="24"/>
        </w:rPr>
        <w:t>Journal of Applied Psychology, 102</w:t>
      </w:r>
      <w:r w:rsidRPr="002F281D">
        <w:rPr>
          <w:rFonts w:eastAsia="Times New Roman" w:cs="Times New Roman"/>
          <w:sz w:val="24"/>
          <w:szCs w:val="24"/>
        </w:rPr>
        <w:t xml:space="preserve">(3), 530–545. </w:t>
      </w:r>
      <w:hyperlink r:id="rId18" w:history="1">
        <w:r w:rsidRPr="002F281D">
          <w:rPr>
            <w:rFonts w:eastAsia="Times New Roman" w:cs="Times New Roman"/>
            <w:color w:val="0000FF"/>
            <w:sz w:val="24"/>
            <w:szCs w:val="24"/>
            <w:u w:val="single"/>
          </w:rPr>
          <w:t>https://doi.org/10.1037/apl0000103</w:t>
        </w:r>
      </w:hyperlink>
    </w:p>
    <w:p w14:paraId="40EDF3B0" w14:textId="6F5546CD" w:rsidR="002F281D" w:rsidRPr="002F281D" w:rsidRDefault="002F281D" w:rsidP="002F281D">
      <w:pPr>
        <w:spacing w:after="0" w:line="240" w:lineRule="auto"/>
        <w:ind w:left="540" w:hanging="540"/>
        <w:jc w:val="both"/>
        <w:rPr>
          <w:rFonts w:eastAsia="Times New Roman" w:cs="Times New Roman"/>
          <w:sz w:val="24"/>
          <w:szCs w:val="24"/>
        </w:rPr>
      </w:pPr>
      <w:r w:rsidRPr="002F281D">
        <w:rPr>
          <w:rFonts w:eastAsia="Times New Roman" w:cs="Times New Roman"/>
          <w:sz w:val="24"/>
          <w:szCs w:val="24"/>
        </w:rPr>
        <w:t xml:space="preserve">Judge, T. A., &amp; Piccolo, R. F. (2004). Transformational and transactional leadership: A meta-analytic test of their relative validity. </w:t>
      </w:r>
      <w:r w:rsidRPr="002F281D">
        <w:rPr>
          <w:rFonts w:eastAsia="Times New Roman" w:cs="Times New Roman"/>
          <w:i/>
          <w:iCs/>
          <w:sz w:val="24"/>
          <w:szCs w:val="24"/>
        </w:rPr>
        <w:t>Journal of Applied Psychology, 89</w:t>
      </w:r>
      <w:r w:rsidRPr="002F281D">
        <w:rPr>
          <w:rFonts w:eastAsia="Times New Roman" w:cs="Times New Roman"/>
          <w:sz w:val="24"/>
          <w:szCs w:val="24"/>
        </w:rPr>
        <w:t xml:space="preserve">(5), 755–768. </w:t>
      </w:r>
      <w:hyperlink r:id="rId19" w:history="1">
        <w:r w:rsidRPr="002F281D">
          <w:rPr>
            <w:rFonts w:eastAsia="Times New Roman" w:cs="Times New Roman"/>
            <w:color w:val="0000FF"/>
            <w:sz w:val="24"/>
            <w:szCs w:val="24"/>
            <w:u w:val="single"/>
          </w:rPr>
          <w:t>https://doi.org/10.1037/0021-9010.89.5.755</w:t>
        </w:r>
      </w:hyperlink>
    </w:p>
    <w:p w14:paraId="03AA8C65" w14:textId="6D419629" w:rsidR="002F281D" w:rsidRPr="002F281D" w:rsidRDefault="002F281D" w:rsidP="002F281D">
      <w:pPr>
        <w:spacing w:after="0" w:line="240" w:lineRule="auto"/>
        <w:ind w:left="540" w:hanging="540"/>
        <w:jc w:val="both"/>
        <w:rPr>
          <w:rFonts w:eastAsia="Times New Roman" w:cs="Times New Roman"/>
          <w:sz w:val="24"/>
          <w:szCs w:val="24"/>
        </w:rPr>
      </w:pPr>
      <w:r w:rsidRPr="002F281D">
        <w:rPr>
          <w:rFonts w:eastAsia="Times New Roman" w:cs="Times New Roman"/>
          <w:sz w:val="24"/>
          <w:szCs w:val="24"/>
        </w:rPr>
        <w:t xml:space="preserve">Le, D. T., Christopher, S., Nguyen, T. T. T., Pham, H. T. T., &amp; Nguyen, P. T. L. (2021). How leadership styles influence organizational outcomes: An empirical study in Vietnamese SMEs. </w:t>
      </w:r>
      <w:r w:rsidRPr="002F281D">
        <w:rPr>
          <w:rFonts w:eastAsia="Times New Roman" w:cs="Times New Roman"/>
          <w:i/>
          <w:iCs/>
          <w:sz w:val="24"/>
          <w:szCs w:val="24"/>
        </w:rPr>
        <w:t>International Journal of Emerging Markets, 18</w:t>
      </w:r>
      <w:r w:rsidRPr="002F281D">
        <w:rPr>
          <w:rFonts w:eastAsia="Times New Roman" w:cs="Times New Roman"/>
          <w:sz w:val="24"/>
          <w:szCs w:val="24"/>
        </w:rPr>
        <w:t xml:space="preserve">(10), 3893–3912. </w:t>
      </w:r>
      <w:hyperlink r:id="rId20" w:history="1">
        <w:r w:rsidRPr="002F281D">
          <w:rPr>
            <w:rFonts w:eastAsia="Times New Roman" w:cs="Times New Roman"/>
            <w:color w:val="0000FF"/>
            <w:sz w:val="24"/>
            <w:szCs w:val="24"/>
            <w:u w:val="single"/>
          </w:rPr>
          <w:t>https://doi.org/10.1108/IJOEM-01-2021-0092</w:t>
        </w:r>
      </w:hyperlink>
    </w:p>
    <w:p w14:paraId="40D8AFEB" w14:textId="6C9F2640" w:rsidR="002F281D" w:rsidRPr="002F281D" w:rsidRDefault="002F281D" w:rsidP="002F281D">
      <w:pPr>
        <w:spacing w:after="0" w:line="240" w:lineRule="auto"/>
        <w:ind w:left="540" w:hanging="540"/>
        <w:jc w:val="both"/>
        <w:rPr>
          <w:rFonts w:eastAsia="Times New Roman" w:cs="Times New Roman"/>
          <w:sz w:val="24"/>
          <w:szCs w:val="24"/>
        </w:rPr>
      </w:pPr>
      <w:r w:rsidRPr="002F281D">
        <w:rPr>
          <w:rFonts w:eastAsia="Times New Roman" w:cs="Times New Roman"/>
          <w:sz w:val="24"/>
          <w:szCs w:val="24"/>
        </w:rPr>
        <w:t xml:space="preserve">Mittal, S. (2016). Effects of transformational leadership on turnover intentions in IT SMEs. </w:t>
      </w:r>
      <w:r w:rsidRPr="002F281D">
        <w:rPr>
          <w:rFonts w:eastAsia="Times New Roman" w:cs="Times New Roman"/>
          <w:i/>
          <w:iCs/>
          <w:sz w:val="24"/>
          <w:szCs w:val="24"/>
        </w:rPr>
        <w:t>International Journal of Manpower, 37</w:t>
      </w:r>
      <w:r w:rsidRPr="002F281D">
        <w:rPr>
          <w:rFonts w:eastAsia="Times New Roman" w:cs="Times New Roman"/>
          <w:sz w:val="24"/>
          <w:szCs w:val="24"/>
        </w:rPr>
        <w:t xml:space="preserve">(8), 1322–1346. </w:t>
      </w:r>
      <w:hyperlink r:id="rId21" w:history="1">
        <w:r w:rsidRPr="002F281D">
          <w:rPr>
            <w:rFonts w:eastAsia="Times New Roman" w:cs="Times New Roman"/>
            <w:color w:val="0000FF"/>
            <w:sz w:val="24"/>
            <w:szCs w:val="24"/>
            <w:u w:val="single"/>
          </w:rPr>
          <w:t>https://doi.org/10.1108/IJM-10-2014-0202</w:t>
        </w:r>
      </w:hyperlink>
    </w:p>
    <w:p w14:paraId="53E1B12C" w14:textId="0D7577CA" w:rsidR="002F281D" w:rsidRPr="002F281D" w:rsidRDefault="002F281D" w:rsidP="002F281D">
      <w:pPr>
        <w:spacing w:after="0" w:line="240" w:lineRule="auto"/>
        <w:ind w:left="540" w:hanging="540"/>
        <w:jc w:val="both"/>
        <w:rPr>
          <w:rFonts w:eastAsia="Times New Roman" w:cs="Times New Roman"/>
          <w:sz w:val="24"/>
          <w:szCs w:val="24"/>
        </w:rPr>
      </w:pPr>
      <w:r w:rsidRPr="002F281D">
        <w:rPr>
          <w:rFonts w:eastAsia="Times New Roman" w:cs="Times New Roman"/>
          <w:sz w:val="24"/>
          <w:szCs w:val="24"/>
        </w:rPr>
        <w:t xml:space="preserve">Mobley, W. H. (1977). Intermediate linkages in the relationship between job satisfaction and employee turnover. </w:t>
      </w:r>
      <w:r w:rsidRPr="002F281D">
        <w:rPr>
          <w:rFonts w:eastAsia="Times New Roman" w:cs="Times New Roman"/>
          <w:i/>
          <w:iCs/>
          <w:sz w:val="24"/>
          <w:szCs w:val="24"/>
        </w:rPr>
        <w:t>Journal of Applied Psychology, 62</w:t>
      </w:r>
      <w:r w:rsidRPr="002F281D">
        <w:rPr>
          <w:rFonts w:eastAsia="Times New Roman" w:cs="Times New Roman"/>
          <w:sz w:val="24"/>
          <w:szCs w:val="24"/>
        </w:rPr>
        <w:t xml:space="preserve">(2), 237–240. </w:t>
      </w:r>
      <w:hyperlink r:id="rId22" w:history="1">
        <w:r w:rsidRPr="002F281D">
          <w:rPr>
            <w:rFonts w:eastAsia="Times New Roman" w:cs="Times New Roman"/>
            <w:color w:val="0000FF"/>
            <w:sz w:val="24"/>
            <w:szCs w:val="24"/>
            <w:u w:val="single"/>
          </w:rPr>
          <w:t>https://doi.org/10.1037/0021-9010.62.2.237</w:t>
        </w:r>
      </w:hyperlink>
    </w:p>
    <w:p w14:paraId="1456C6EB" w14:textId="1F59838F" w:rsidR="002F281D" w:rsidRPr="002F281D" w:rsidRDefault="002F281D" w:rsidP="002F281D">
      <w:pPr>
        <w:spacing w:after="0" w:line="240" w:lineRule="auto"/>
        <w:ind w:left="540" w:hanging="540"/>
        <w:jc w:val="both"/>
        <w:rPr>
          <w:rFonts w:eastAsia="Times New Roman" w:cs="Times New Roman"/>
          <w:sz w:val="24"/>
          <w:szCs w:val="24"/>
        </w:rPr>
      </w:pPr>
      <w:r w:rsidRPr="002F281D">
        <w:rPr>
          <w:rFonts w:eastAsia="Times New Roman" w:cs="Times New Roman"/>
          <w:sz w:val="24"/>
          <w:szCs w:val="24"/>
        </w:rPr>
        <w:t xml:space="preserve">Mwita, K. M., Ndikumana, E. D., &amp; Ringo, C. J. (2023). The role of transformational and transactional leadership on turnover intentions in Tanzanian commercial banks: The moderating effect of perceived organizational support. </w:t>
      </w:r>
      <w:r w:rsidRPr="002F281D">
        <w:rPr>
          <w:rFonts w:eastAsia="Times New Roman" w:cs="Times New Roman"/>
          <w:i/>
          <w:iCs/>
          <w:sz w:val="24"/>
          <w:szCs w:val="24"/>
        </w:rPr>
        <w:t>European Journal of Management Issues, 31</w:t>
      </w:r>
      <w:r w:rsidRPr="002F281D">
        <w:rPr>
          <w:rFonts w:eastAsia="Times New Roman" w:cs="Times New Roman"/>
          <w:sz w:val="24"/>
          <w:szCs w:val="24"/>
        </w:rPr>
        <w:t xml:space="preserve">(2), 102–112. </w:t>
      </w:r>
      <w:hyperlink r:id="rId23" w:history="1">
        <w:r w:rsidRPr="002F281D">
          <w:rPr>
            <w:rFonts w:eastAsia="Times New Roman" w:cs="Times New Roman"/>
            <w:color w:val="0000FF"/>
            <w:sz w:val="24"/>
            <w:szCs w:val="24"/>
            <w:u w:val="single"/>
          </w:rPr>
          <w:t>https://doi.org/10.15421/192309</w:t>
        </w:r>
      </w:hyperlink>
    </w:p>
    <w:p w14:paraId="6019E85B" w14:textId="7B662212" w:rsidR="002F281D" w:rsidRPr="002F281D" w:rsidRDefault="002F281D" w:rsidP="002F281D">
      <w:pPr>
        <w:spacing w:after="0" w:line="240" w:lineRule="auto"/>
        <w:ind w:left="540" w:hanging="540"/>
        <w:jc w:val="both"/>
        <w:rPr>
          <w:rFonts w:eastAsia="Times New Roman" w:cs="Times New Roman"/>
          <w:sz w:val="24"/>
          <w:szCs w:val="24"/>
        </w:rPr>
      </w:pPr>
      <w:proofErr w:type="spellStart"/>
      <w:r w:rsidRPr="002F281D">
        <w:rPr>
          <w:rFonts w:eastAsia="Times New Roman" w:cs="Times New Roman"/>
          <w:sz w:val="24"/>
          <w:szCs w:val="24"/>
        </w:rPr>
        <w:t>Pattali</w:t>
      </w:r>
      <w:proofErr w:type="spellEnd"/>
      <w:r w:rsidRPr="002F281D">
        <w:rPr>
          <w:rFonts w:eastAsia="Times New Roman" w:cs="Times New Roman"/>
          <w:sz w:val="24"/>
          <w:szCs w:val="24"/>
        </w:rPr>
        <w:t xml:space="preserve">, S., Sankar, J. P., Al Qahtani, H., Menon, N., &amp; Faizal, S. (2024). Effect of leadership styles on turnover intention among staff nurses in private hospitals: The moderating effect of perceived organizational support. </w:t>
      </w:r>
      <w:r w:rsidRPr="002F281D">
        <w:rPr>
          <w:rFonts w:eastAsia="Times New Roman" w:cs="Times New Roman"/>
          <w:i/>
          <w:iCs/>
          <w:sz w:val="24"/>
          <w:szCs w:val="24"/>
        </w:rPr>
        <w:t>BMC Health Services Research, 24</w:t>
      </w:r>
      <w:r w:rsidRPr="002F281D">
        <w:rPr>
          <w:rFonts w:eastAsia="Times New Roman" w:cs="Times New Roman"/>
          <w:sz w:val="24"/>
          <w:szCs w:val="24"/>
        </w:rPr>
        <w:t xml:space="preserve">, 199. </w:t>
      </w:r>
      <w:hyperlink r:id="rId24" w:history="1">
        <w:r w:rsidRPr="002F281D">
          <w:rPr>
            <w:rFonts w:eastAsia="Times New Roman" w:cs="Times New Roman"/>
            <w:color w:val="0000FF"/>
            <w:sz w:val="24"/>
            <w:szCs w:val="24"/>
            <w:u w:val="single"/>
          </w:rPr>
          <w:t>https://doi.org/10.1186/s12913-024-10674-0</w:t>
        </w:r>
      </w:hyperlink>
    </w:p>
    <w:p w14:paraId="5CF3D3BB" w14:textId="057F4807" w:rsidR="002F281D" w:rsidRPr="002F281D" w:rsidRDefault="002F281D" w:rsidP="002F281D">
      <w:pPr>
        <w:spacing w:after="0" w:line="240" w:lineRule="auto"/>
        <w:ind w:left="540" w:hanging="540"/>
        <w:jc w:val="both"/>
        <w:rPr>
          <w:rFonts w:eastAsia="Times New Roman" w:cs="Times New Roman"/>
          <w:sz w:val="24"/>
          <w:szCs w:val="24"/>
        </w:rPr>
      </w:pPr>
      <w:proofErr w:type="spellStart"/>
      <w:r w:rsidRPr="002F281D">
        <w:rPr>
          <w:rFonts w:eastAsia="Times New Roman" w:cs="Times New Roman"/>
          <w:sz w:val="24"/>
          <w:szCs w:val="24"/>
        </w:rPr>
        <w:t>Suroya</w:t>
      </w:r>
      <w:proofErr w:type="spellEnd"/>
      <w:r w:rsidRPr="002F281D">
        <w:rPr>
          <w:rFonts w:eastAsia="Times New Roman" w:cs="Times New Roman"/>
          <w:sz w:val="24"/>
          <w:szCs w:val="24"/>
        </w:rPr>
        <w:t xml:space="preserve">, A. F., Bagis, F., </w:t>
      </w:r>
      <w:proofErr w:type="spellStart"/>
      <w:r w:rsidRPr="002F281D">
        <w:rPr>
          <w:rFonts w:eastAsia="Times New Roman" w:cs="Times New Roman"/>
          <w:sz w:val="24"/>
          <w:szCs w:val="24"/>
        </w:rPr>
        <w:t>Widhiandono</w:t>
      </w:r>
      <w:proofErr w:type="spellEnd"/>
      <w:r w:rsidRPr="002F281D">
        <w:rPr>
          <w:rFonts w:eastAsia="Times New Roman" w:cs="Times New Roman"/>
          <w:sz w:val="24"/>
          <w:szCs w:val="24"/>
        </w:rPr>
        <w:t xml:space="preserve">, H., &amp; Rahmawati, I. Y. (2023). Examining the influence of transformational leadership and job satisfaction to reduce turnover intention with organizational commitment as a mediator. </w:t>
      </w:r>
      <w:r w:rsidRPr="002F281D">
        <w:rPr>
          <w:rFonts w:eastAsia="Times New Roman" w:cs="Times New Roman"/>
          <w:i/>
          <w:iCs/>
          <w:sz w:val="24"/>
          <w:szCs w:val="24"/>
        </w:rPr>
        <w:t>Asian Journal of Economics, Business and Accounting, 23</w:t>
      </w:r>
      <w:r w:rsidRPr="002F281D">
        <w:rPr>
          <w:rFonts w:eastAsia="Times New Roman" w:cs="Times New Roman"/>
          <w:sz w:val="24"/>
          <w:szCs w:val="24"/>
        </w:rPr>
        <w:t xml:space="preserve">(24), 124–140. </w:t>
      </w:r>
      <w:hyperlink r:id="rId25" w:history="1">
        <w:r w:rsidRPr="002F281D">
          <w:rPr>
            <w:rFonts w:eastAsia="Times New Roman" w:cs="Times New Roman"/>
            <w:color w:val="0000FF"/>
            <w:sz w:val="24"/>
            <w:szCs w:val="24"/>
            <w:u w:val="single"/>
          </w:rPr>
          <w:t>https://doi.org/10.9734/ajeba/2023/v23i241192</w:t>
        </w:r>
      </w:hyperlink>
    </w:p>
    <w:p w14:paraId="110EA3A0" w14:textId="695D658A" w:rsidR="002F281D" w:rsidRPr="002F281D" w:rsidRDefault="002F281D" w:rsidP="002F281D">
      <w:pPr>
        <w:spacing w:after="0" w:line="240" w:lineRule="auto"/>
        <w:ind w:left="540" w:hanging="540"/>
        <w:jc w:val="both"/>
        <w:rPr>
          <w:rFonts w:eastAsia="Times New Roman" w:cs="Times New Roman"/>
          <w:sz w:val="24"/>
          <w:szCs w:val="24"/>
        </w:rPr>
      </w:pPr>
      <w:r w:rsidRPr="002F281D">
        <w:rPr>
          <w:rFonts w:eastAsia="Times New Roman" w:cs="Times New Roman"/>
          <w:sz w:val="24"/>
          <w:szCs w:val="24"/>
        </w:rPr>
        <w:t xml:space="preserve">Tett, R. P., &amp; Meyer, J. P. (1993). Job satisfaction, organizational commitment, turnover intention, and turnover: Path analyses based on meta-analytic findings. </w:t>
      </w:r>
      <w:r w:rsidRPr="002F281D">
        <w:rPr>
          <w:rFonts w:eastAsia="Times New Roman" w:cs="Times New Roman"/>
          <w:i/>
          <w:iCs/>
          <w:sz w:val="24"/>
          <w:szCs w:val="24"/>
        </w:rPr>
        <w:t>Personnel Psychology, 46</w:t>
      </w:r>
      <w:r w:rsidRPr="002F281D">
        <w:rPr>
          <w:rFonts w:eastAsia="Times New Roman" w:cs="Times New Roman"/>
          <w:sz w:val="24"/>
          <w:szCs w:val="24"/>
        </w:rPr>
        <w:t xml:space="preserve">(2), 259–293. </w:t>
      </w:r>
      <w:hyperlink r:id="rId26" w:history="1">
        <w:r w:rsidRPr="002F281D">
          <w:rPr>
            <w:rFonts w:eastAsia="Times New Roman" w:cs="Times New Roman"/>
            <w:color w:val="0000FF"/>
            <w:sz w:val="24"/>
            <w:szCs w:val="24"/>
            <w:u w:val="single"/>
          </w:rPr>
          <w:t>https://doi.org/10.1111/j.1744-6570.1993.tb00874.x</w:t>
        </w:r>
      </w:hyperlink>
    </w:p>
    <w:p w14:paraId="79A7D9CF" w14:textId="29C25525" w:rsidR="002F281D" w:rsidRPr="002F281D" w:rsidRDefault="002F281D" w:rsidP="002F281D">
      <w:pPr>
        <w:spacing w:after="0" w:line="240" w:lineRule="auto"/>
        <w:ind w:left="540" w:hanging="540"/>
        <w:jc w:val="both"/>
        <w:rPr>
          <w:rFonts w:eastAsia="Times New Roman" w:cs="Times New Roman"/>
          <w:sz w:val="24"/>
          <w:szCs w:val="24"/>
        </w:rPr>
      </w:pPr>
      <w:r w:rsidRPr="002F281D">
        <w:rPr>
          <w:rFonts w:eastAsia="Times New Roman" w:cs="Times New Roman"/>
          <w:sz w:val="24"/>
          <w:szCs w:val="24"/>
        </w:rPr>
        <w:t xml:space="preserve">Tse, H. H. M., Huang, X., &amp; Lam, W. (2013). Why does transformational leadership matter for employee turnover? A multi-foci social exchange perspective. </w:t>
      </w:r>
      <w:r w:rsidRPr="002F281D">
        <w:rPr>
          <w:rFonts w:eastAsia="Times New Roman" w:cs="Times New Roman"/>
          <w:i/>
          <w:iCs/>
          <w:sz w:val="24"/>
          <w:szCs w:val="24"/>
        </w:rPr>
        <w:t>The Leadership Quarterly, 24</w:t>
      </w:r>
      <w:r w:rsidRPr="002F281D">
        <w:rPr>
          <w:rFonts w:eastAsia="Times New Roman" w:cs="Times New Roman"/>
          <w:sz w:val="24"/>
          <w:szCs w:val="24"/>
        </w:rPr>
        <w:t xml:space="preserve">(5), 763–776. </w:t>
      </w:r>
      <w:hyperlink r:id="rId27" w:history="1">
        <w:r w:rsidRPr="002F281D">
          <w:rPr>
            <w:rFonts w:eastAsia="Times New Roman" w:cs="Times New Roman"/>
            <w:color w:val="0000FF"/>
            <w:sz w:val="24"/>
            <w:szCs w:val="24"/>
            <w:u w:val="single"/>
          </w:rPr>
          <w:t>https://doi.org/10.1016/j.leaqua.2013.07.005</w:t>
        </w:r>
      </w:hyperlink>
    </w:p>
    <w:p w14:paraId="375BCC3E" w14:textId="54739D7B" w:rsidR="002F281D" w:rsidRPr="002F281D" w:rsidRDefault="002F281D" w:rsidP="002F281D">
      <w:pPr>
        <w:spacing w:after="0" w:line="240" w:lineRule="auto"/>
        <w:ind w:left="540" w:hanging="540"/>
        <w:jc w:val="both"/>
        <w:rPr>
          <w:rFonts w:eastAsia="Times New Roman" w:cs="Times New Roman"/>
          <w:sz w:val="24"/>
          <w:szCs w:val="24"/>
        </w:rPr>
      </w:pPr>
      <w:r w:rsidRPr="002F281D">
        <w:rPr>
          <w:rFonts w:eastAsia="Times New Roman" w:cs="Times New Roman"/>
          <w:sz w:val="24"/>
          <w:szCs w:val="24"/>
          <w:lang w:val="nl-BE"/>
        </w:rPr>
        <w:t xml:space="preserve">Uzoamaka, N.-O. P., &amp; Amujiogu, A. A. (2025). </w:t>
      </w:r>
      <w:r w:rsidRPr="002F281D">
        <w:rPr>
          <w:rFonts w:eastAsia="Times New Roman" w:cs="Times New Roman"/>
          <w:sz w:val="24"/>
          <w:szCs w:val="24"/>
        </w:rPr>
        <w:t xml:space="preserve">The effects of leadership style on employee performance: Evidence from brewery firms of South-East, Nigeria. </w:t>
      </w:r>
      <w:r w:rsidRPr="002F281D">
        <w:rPr>
          <w:rFonts w:eastAsia="Times New Roman" w:cs="Times New Roman"/>
          <w:i/>
          <w:iCs/>
          <w:sz w:val="24"/>
          <w:szCs w:val="24"/>
        </w:rPr>
        <w:t>Journal of Economics and Trade, 10</w:t>
      </w:r>
      <w:r w:rsidRPr="002F281D">
        <w:rPr>
          <w:rFonts w:eastAsia="Times New Roman" w:cs="Times New Roman"/>
          <w:sz w:val="24"/>
          <w:szCs w:val="24"/>
        </w:rPr>
        <w:t xml:space="preserve">(2), 180–191. </w:t>
      </w:r>
      <w:hyperlink r:id="rId28" w:history="1">
        <w:r w:rsidRPr="002F281D">
          <w:rPr>
            <w:rFonts w:eastAsia="Times New Roman" w:cs="Times New Roman"/>
            <w:color w:val="0000FF"/>
            <w:sz w:val="24"/>
            <w:szCs w:val="24"/>
            <w:u w:val="single"/>
          </w:rPr>
          <w:t>https://doi.org/10.56557/jet/2025/v10i210024</w:t>
        </w:r>
      </w:hyperlink>
    </w:p>
    <w:p w14:paraId="3DBB195B" w14:textId="26604B5B" w:rsidR="00285B17" w:rsidRDefault="002F281D" w:rsidP="002F281D">
      <w:pPr>
        <w:spacing w:after="40" w:line="240" w:lineRule="auto"/>
        <w:ind w:left="540" w:hanging="540"/>
        <w:jc w:val="both"/>
      </w:pPr>
      <w:proofErr w:type="spellStart"/>
      <w:r w:rsidRPr="002F281D">
        <w:rPr>
          <w:rFonts w:eastAsia="Times New Roman" w:cs="Times New Roman"/>
          <w:sz w:val="24"/>
          <w:szCs w:val="24"/>
        </w:rPr>
        <w:t>Xuecheng</w:t>
      </w:r>
      <w:proofErr w:type="spellEnd"/>
      <w:r w:rsidRPr="002F281D">
        <w:rPr>
          <w:rFonts w:eastAsia="Times New Roman" w:cs="Times New Roman"/>
          <w:sz w:val="24"/>
          <w:szCs w:val="24"/>
        </w:rPr>
        <w:t xml:space="preserve">, W., Iqbal, Q., &amp; Saina, B. (2022). Factors affecting employee's retention: Integration of situational leadership with Social Exchange Theory. </w:t>
      </w:r>
      <w:r w:rsidRPr="002F281D">
        <w:rPr>
          <w:rFonts w:eastAsia="Times New Roman" w:cs="Times New Roman"/>
          <w:i/>
          <w:iCs/>
          <w:sz w:val="24"/>
          <w:szCs w:val="24"/>
        </w:rPr>
        <w:t>Frontiers in Psychology, 13</w:t>
      </w:r>
      <w:r w:rsidRPr="002F281D">
        <w:rPr>
          <w:rFonts w:eastAsia="Times New Roman" w:cs="Times New Roman"/>
          <w:sz w:val="24"/>
          <w:szCs w:val="24"/>
        </w:rPr>
        <w:t xml:space="preserve">, 872105. </w:t>
      </w:r>
      <w:hyperlink r:id="rId29" w:history="1">
        <w:r w:rsidRPr="002F281D">
          <w:rPr>
            <w:rFonts w:eastAsia="Times New Roman" w:cs="Times New Roman"/>
            <w:color w:val="0000FF"/>
            <w:sz w:val="24"/>
            <w:szCs w:val="24"/>
            <w:u w:val="single"/>
          </w:rPr>
          <w:t>https://doi.org/10.3389/fpsyg.2022.872105</w:t>
        </w:r>
      </w:hyperlink>
    </w:p>
    <w:sectPr w:rsidR="00285B17" w:rsidSect="00034616">
      <w:headerReference w:type="even" r:id="rId30"/>
      <w:headerReference w:type="default" r:id="rId31"/>
      <w:footerReference w:type="even" r:id="rId32"/>
      <w:footerReference w:type="default" r:id="rId33"/>
      <w:headerReference w:type="first" r:id="rId34"/>
      <w:footerReference w:type="first" r:id="rId35"/>
      <w:pgSz w:w="11906" w:h="16838"/>
      <w:pgMar w:top="1247" w:right="1247" w:bottom="124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EFBBD" w14:textId="77777777" w:rsidR="00BB4806" w:rsidRDefault="00BB4806">
      <w:pPr>
        <w:spacing w:after="0" w:line="240" w:lineRule="auto"/>
      </w:pPr>
      <w:r>
        <w:separator/>
      </w:r>
    </w:p>
  </w:endnote>
  <w:endnote w:type="continuationSeparator" w:id="0">
    <w:p w14:paraId="1D03D002" w14:textId="77777777" w:rsidR="00BB4806" w:rsidRDefault="00BB4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6AC6E" w14:textId="77777777" w:rsidR="005210AB" w:rsidRDefault="005210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7615D" w14:textId="77777777" w:rsidR="007A70A3" w:rsidRDefault="00F7451F">
    <w:pPr>
      <w:pStyle w:val="Footer"/>
      <w:jc w:val="center"/>
    </w:pPr>
    <w:r>
      <w:rPr>
        <w:color w:val="000000"/>
        <w:sz w:val="18"/>
      </w:rPr>
      <w:fldChar w:fldCharType="begin"/>
    </w:r>
    <w:r>
      <w:rPr>
        <w:color w:val="000000"/>
        <w:sz w:val="18"/>
      </w:rPr>
      <w:instrText xml:space="preserve"> PAGE </w:instrText>
    </w:r>
    <w:r>
      <w:rPr>
        <w:color w:val="000000"/>
        <w:sz w:val="18"/>
      </w:rPr>
      <w:fldChar w:fldCharType="separate"/>
    </w:r>
    <w:r w:rsidR="009508D6">
      <w:rPr>
        <w:noProof/>
        <w:color w:val="000000"/>
        <w:sz w:val="18"/>
      </w:rPr>
      <w:t>1</w:t>
    </w:r>
    <w:r>
      <w:rPr>
        <w:color w:val="00000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7261F" w14:textId="77777777" w:rsidR="005210AB" w:rsidRDefault="005210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10B77" w14:textId="77777777" w:rsidR="00BB4806" w:rsidRDefault="00BB4806">
      <w:pPr>
        <w:spacing w:after="0" w:line="240" w:lineRule="auto"/>
      </w:pPr>
      <w:r>
        <w:separator/>
      </w:r>
    </w:p>
  </w:footnote>
  <w:footnote w:type="continuationSeparator" w:id="0">
    <w:p w14:paraId="3DE2F55A" w14:textId="77777777" w:rsidR="00BB4806" w:rsidRDefault="00BB48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2CB99" w14:textId="77777777" w:rsidR="005210AB" w:rsidRDefault="00000000">
    <w:pPr>
      <w:pStyle w:val="Header"/>
    </w:pPr>
    <w:r>
      <w:rPr>
        <w:noProof/>
      </w:rPr>
      <w:pict w14:anchorId="48F4D0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3661422" o:spid="_x0000_s1026" type="#_x0000_t136" style="position:absolute;margin-left:0;margin-top:0;width:586.3pt;height:65.1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1D137" w14:textId="77777777" w:rsidR="005210AB" w:rsidRDefault="00000000">
    <w:pPr>
      <w:pStyle w:val="Header"/>
    </w:pPr>
    <w:r>
      <w:rPr>
        <w:noProof/>
      </w:rPr>
      <w:pict w14:anchorId="18FB8C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3661423" o:spid="_x0000_s1027" type="#_x0000_t136" style="position:absolute;margin-left:0;margin-top:0;width:586.3pt;height:65.1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B9C75" w14:textId="77777777" w:rsidR="005210AB" w:rsidRDefault="00000000">
    <w:pPr>
      <w:pStyle w:val="Header"/>
    </w:pPr>
    <w:r>
      <w:rPr>
        <w:noProof/>
      </w:rPr>
      <w:pict w14:anchorId="541C17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3661421" o:spid="_x0000_s1025" type="#_x0000_t136" style="position:absolute;margin-left:0;margin-top:0;width:586.3pt;height:65.1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B92641D"/>
    <w:multiLevelType w:val="hybridMultilevel"/>
    <w:tmpl w:val="13ECAE6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655EE6"/>
    <w:multiLevelType w:val="hybridMultilevel"/>
    <w:tmpl w:val="BD6A22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02583675">
    <w:abstractNumId w:val="8"/>
  </w:num>
  <w:num w:numId="2" w16cid:durableId="735318865">
    <w:abstractNumId w:val="6"/>
  </w:num>
  <w:num w:numId="3" w16cid:durableId="1998221152">
    <w:abstractNumId w:val="5"/>
  </w:num>
  <w:num w:numId="4" w16cid:durableId="1031613815">
    <w:abstractNumId w:val="4"/>
  </w:num>
  <w:num w:numId="5" w16cid:durableId="140200815">
    <w:abstractNumId w:val="7"/>
  </w:num>
  <w:num w:numId="6" w16cid:durableId="802429035">
    <w:abstractNumId w:val="3"/>
  </w:num>
  <w:num w:numId="7" w16cid:durableId="1175191681">
    <w:abstractNumId w:val="2"/>
  </w:num>
  <w:num w:numId="8" w16cid:durableId="1066147159">
    <w:abstractNumId w:val="1"/>
  </w:num>
  <w:num w:numId="9" w16cid:durableId="1716155959">
    <w:abstractNumId w:val="0"/>
  </w:num>
  <w:num w:numId="10" w16cid:durableId="2104763698">
    <w:abstractNumId w:val="10"/>
  </w:num>
  <w:num w:numId="11" w16cid:durableId="432609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2167"/>
    <w:rsid w:val="000F373D"/>
    <w:rsid w:val="001028FE"/>
    <w:rsid w:val="0015074B"/>
    <w:rsid w:val="00233E3A"/>
    <w:rsid w:val="00274B98"/>
    <w:rsid w:val="00285B17"/>
    <w:rsid w:val="0029639D"/>
    <w:rsid w:val="002F281D"/>
    <w:rsid w:val="00326F90"/>
    <w:rsid w:val="003D2AAC"/>
    <w:rsid w:val="003D2FC8"/>
    <w:rsid w:val="00403F99"/>
    <w:rsid w:val="00443DEF"/>
    <w:rsid w:val="004878C4"/>
    <w:rsid w:val="004D4966"/>
    <w:rsid w:val="005210AB"/>
    <w:rsid w:val="0055795F"/>
    <w:rsid w:val="007A0A04"/>
    <w:rsid w:val="007A70A3"/>
    <w:rsid w:val="007A7A07"/>
    <w:rsid w:val="007B5458"/>
    <w:rsid w:val="009508D6"/>
    <w:rsid w:val="00A92A2B"/>
    <w:rsid w:val="00AA1D8D"/>
    <w:rsid w:val="00B47730"/>
    <w:rsid w:val="00B856F8"/>
    <w:rsid w:val="00BB3FB2"/>
    <w:rsid w:val="00BB4806"/>
    <w:rsid w:val="00C324C0"/>
    <w:rsid w:val="00C776A5"/>
    <w:rsid w:val="00CB0664"/>
    <w:rsid w:val="00D01ADB"/>
    <w:rsid w:val="00D1611A"/>
    <w:rsid w:val="00D55AF9"/>
    <w:rsid w:val="00DA20FD"/>
    <w:rsid w:val="00F7451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57449D"/>
  <w14:defaultImageDpi w14:val="300"/>
  <w15:docId w15:val="{F0222BCB-41DC-4001-95B9-5E113584B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3D2FC8"/>
    <w:rPr>
      <w:color w:val="0000FF" w:themeColor="hyperlink"/>
      <w:u w:val="single"/>
    </w:rPr>
  </w:style>
  <w:style w:type="character" w:styleId="UnresolvedMention">
    <w:name w:val="Unresolved Mention"/>
    <w:basedOn w:val="DefaultParagraphFont"/>
    <w:uiPriority w:val="99"/>
    <w:semiHidden/>
    <w:unhideWhenUsed/>
    <w:rsid w:val="003D2F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25300/MISQ/2015/39.2.02" TargetMode="External"/><Relationship Id="rId18" Type="http://schemas.openxmlformats.org/officeDocument/2006/relationships/hyperlink" Target="https://doi.org/10.1037/apl0000103" TargetMode="External"/><Relationship Id="rId26" Type="http://schemas.openxmlformats.org/officeDocument/2006/relationships/hyperlink" Target="https://doi.org/10.1111/j.1744-6570.1993.tb00874.x" TargetMode="External"/><Relationship Id="rId21" Type="http://schemas.openxmlformats.org/officeDocument/2006/relationships/hyperlink" Target="https://doi.org/10.1108/IJM-10-2014-0202" TargetMode="External"/><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doi.org/10.32890/jtom2018.13.1.5" TargetMode="External"/><Relationship Id="rId17" Type="http://schemas.openxmlformats.org/officeDocument/2006/relationships/hyperlink" Target="https://doi.org/10.1007/s11747-014-0403-8" TargetMode="External"/><Relationship Id="rId25" Type="http://schemas.openxmlformats.org/officeDocument/2006/relationships/hyperlink" Target="https://doi.org/10.9734/ajeba/2023/v23i241192"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oi.org/10.3846/btp.2024.20091" TargetMode="External"/><Relationship Id="rId20" Type="http://schemas.openxmlformats.org/officeDocument/2006/relationships/hyperlink" Target="https://doi.org/10.1108/IJOEM-01-2021-0092" TargetMode="External"/><Relationship Id="rId29" Type="http://schemas.openxmlformats.org/officeDocument/2006/relationships/hyperlink" Target="https://doi.org/10.3389/fpsyg.2022.87210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0/15332845.2026.2634514" TargetMode="External"/><Relationship Id="rId24" Type="http://schemas.openxmlformats.org/officeDocument/2006/relationships/hyperlink" Target="https://doi.org/10.1186/s12913-024-10674-0"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111/1748-8583.12550" TargetMode="External"/><Relationship Id="rId23" Type="http://schemas.openxmlformats.org/officeDocument/2006/relationships/hyperlink" Target="https://doi.org/10.15421/192309" TargetMode="External"/><Relationship Id="rId28" Type="http://schemas.openxmlformats.org/officeDocument/2006/relationships/hyperlink" Target="https://doi.org/10.56557/jet/2025/v10i210024" TargetMode="External"/><Relationship Id="rId36" Type="http://schemas.openxmlformats.org/officeDocument/2006/relationships/fontTable" Target="fontTable.xml"/><Relationship Id="rId10" Type="http://schemas.openxmlformats.org/officeDocument/2006/relationships/hyperlink" Target="https://www.d.umn.edu/cla/faculty/jhamlin/4111/Exchange/BlauReading.html" TargetMode="External"/><Relationship Id="rId19" Type="http://schemas.openxmlformats.org/officeDocument/2006/relationships/hyperlink" Target="https://doi.org/10.1037/0021-9010.89.5.755"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doi.org/10.1080/135943299398410" TargetMode="External"/><Relationship Id="rId14" Type="http://schemas.openxmlformats.org/officeDocument/2006/relationships/hyperlink" Target="https://doi.org/10.1177/002224378101800104" TargetMode="External"/><Relationship Id="rId22" Type="http://schemas.openxmlformats.org/officeDocument/2006/relationships/hyperlink" Target="https://doi.org/10.1037/0021-9010.62.2.237" TargetMode="External"/><Relationship Id="rId27" Type="http://schemas.openxmlformats.org/officeDocument/2006/relationships/hyperlink" Target="https://doi.org/10.1016/j.leaqua.2013.07.005"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hyperlink" Target="https://doi.org/10.1002/jls.21843"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11</Pages>
  <Words>5600</Words>
  <Characters>31924</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37450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Leadership Style on Employees’ Turnover Intention</dc:title>
  <dc:subject/>
  <dc:creator>Duong Thi Thu Hoai</dc:creator>
  <cp:keywords/>
  <dc:description>generated by python-docx</dc:description>
  <cp:lastModifiedBy>Editor-90</cp:lastModifiedBy>
  <cp:revision>15</cp:revision>
  <dcterms:created xsi:type="dcterms:W3CDTF">2013-12-23T23:15:00Z</dcterms:created>
  <dcterms:modified xsi:type="dcterms:W3CDTF">2026-09-25T08:47:00Z</dcterms:modified>
  <cp:category/>
</cp:coreProperties>
</file>