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E2F5F" w14:textId="77777777" w:rsidR="00840F80" w:rsidRPr="00594926" w:rsidRDefault="00840F80" w:rsidP="00840F80">
      <w:pPr>
        <w:jc w:val="center"/>
        <w:rPr>
          <w:rFonts w:ascii="Arial" w:hAnsi="Arial" w:cs="Arial"/>
          <w:sz w:val="28"/>
          <w:szCs w:val="28"/>
        </w:rPr>
      </w:pPr>
      <w:r w:rsidRPr="00594926">
        <w:rPr>
          <w:rFonts w:ascii="Arial" w:hAnsi="Arial" w:cs="Arial"/>
          <w:b/>
          <w:sz w:val="28"/>
          <w:szCs w:val="28"/>
        </w:rPr>
        <w:t>The Influence of Perceived Cybersecurity and Digital Financial Literacy on the Intention to Continue Using Mobile Banking Among Bank Customers in Indonesia</w:t>
      </w:r>
    </w:p>
    <w:p w14:paraId="2BFC2109" w14:textId="77777777" w:rsidR="00991E8A" w:rsidRPr="00594926" w:rsidRDefault="00991E8A" w:rsidP="00840F80">
      <w:pPr>
        <w:pStyle w:val="Heading1"/>
        <w:spacing w:before="100" w:after="60"/>
        <w:rPr>
          <w:rFonts w:ascii="Arial" w:hAnsi="Arial" w:cs="Arial"/>
          <w:color w:val="auto"/>
          <w:sz w:val="22"/>
          <w:szCs w:val="22"/>
        </w:rPr>
      </w:pPr>
    </w:p>
    <w:p w14:paraId="028C21BA" w14:textId="77777777" w:rsidR="00840F80" w:rsidRPr="00594926" w:rsidRDefault="00840F80" w:rsidP="00840F80">
      <w:pPr>
        <w:pStyle w:val="Heading1"/>
        <w:spacing w:before="100" w:after="60"/>
        <w:rPr>
          <w:rFonts w:ascii="Arial" w:hAnsi="Arial" w:cs="Arial"/>
          <w:color w:val="auto"/>
          <w:sz w:val="22"/>
          <w:szCs w:val="22"/>
        </w:rPr>
      </w:pPr>
      <w:r w:rsidRPr="00594926">
        <w:rPr>
          <w:rFonts w:ascii="Arial" w:hAnsi="Arial" w:cs="Arial"/>
          <w:color w:val="auto"/>
          <w:sz w:val="22"/>
          <w:szCs w:val="22"/>
        </w:rPr>
        <w:t>Abstract</w:t>
      </w:r>
    </w:p>
    <w:p w14:paraId="4A174CB5" w14:textId="77777777" w:rsidR="00BE09AA" w:rsidRPr="00594926" w:rsidRDefault="00BE09AA" w:rsidP="00BE09AA">
      <w:pPr>
        <w:pStyle w:val="pdq2pgselectionanchorcontainer"/>
        <w:jc w:val="both"/>
      </w:pPr>
      <w:r w:rsidRPr="00594926">
        <w:t>The rapid growth of digital banking has increased customers’ reliance on mobile banking, while continued use depends on both perceived security and users’ ability to manage digital financial risks. This study analyses the influence of perceived cybersecurity and digital financial literacy on the intention to continue using mobile banking among bank customers in Indonesia. A quantitative causal design was employed with 468 respondents selected from mobile banking users. Data were collected using a five-point Likert scale measuring perceived cybersecurity, digital financial literacy, and continuance intention. The analysis comprised validity and reliability testing, classical assumption testing, multiple linear regression, t-tests, F-tests, and the coefficient of determination. Perceived cybersecurity had a positive and significant effect on continuance intention (B = 0.484; t = 13.726; p &lt; 0.001). Digital financial literacy also had a positive and significant effect (B = 0.456; t = 12.722; p &lt; 0.001). The simultaneous test showed that both variables significantly influenced continuance intention (F = 306.150; p &lt; 0.001), and the model explained 56.8% of its variation. The findings indicate that continued mobile banking use is associated with users’ confidence in system security and their capacity to understand and manage digital financial risks. These results support the importance of combining secure banking systems with practical digital financial competence to sustain mobile banking use.</w:t>
      </w:r>
    </w:p>
    <w:p w14:paraId="117F93DB" w14:textId="77777777" w:rsidR="00840F80" w:rsidRPr="00594926" w:rsidRDefault="00840F80" w:rsidP="00840F80">
      <w:pPr>
        <w:spacing w:after="80" w:line="252" w:lineRule="auto"/>
        <w:jc w:val="both"/>
        <w:rPr>
          <w:rFonts w:ascii="Arial" w:hAnsi="Arial" w:cs="Arial"/>
          <w:sz w:val="22"/>
        </w:rPr>
      </w:pPr>
    </w:p>
    <w:p w14:paraId="6657FC38" w14:textId="77777777" w:rsidR="00840F80" w:rsidRPr="00594926" w:rsidRDefault="00840F80" w:rsidP="00840F80">
      <w:pPr>
        <w:spacing w:after="80" w:line="252" w:lineRule="auto"/>
        <w:jc w:val="both"/>
        <w:rPr>
          <w:rFonts w:ascii="Arial" w:hAnsi="Arial" w:cs="Arial"/>
          <w:i/>
          <w:sz w:val="22"/>
        </w:rPr>
      </w:pPr>
      <w:r w:rsidRPr="00594926">
        <w:rPr>
          <w:rFonts w:ascii="Arial" w:hAnsi="Arial" w:cs="Arial"/>
          <w:b/>
          <w:bCs/>
          <w:i/>
          <w:sz w:val="22"/>
        </w:rPr>
        <w:t xml:space="preserve">Keywords: </w:t>
      </w:r>
      <w:r w:rsidRPr="00594926">
        <w:rPr>
          <w:rFonts w:ascii="Arial" w:hAnsi="Arial" w:cs="Arial"/>
          <w:i/>
          <w:sz w:val="22"/>
        </w:rPr>
        <w:t xml:space="preserve">perceived cybersecurity; digital financial literacy; continuance intention; mobile banking; digital banking; Indonesia. </w:t>
      </w:r>
    </w:p>
    <w:p w14:paraId="5873CB01" w14:textId="77777777" w:rsidR="00840F80" w:rsidRPr="00594926" w:rsidRDefault="00840F80" w:rsidP="00840F80">
      <w:pPr>
        <w:spacing w:after="80" w:line="252" w:lineRule="auto"/>
        <w:jc w:val="both"/>
        <w:rPr>
          <w:rFonts w:ascii="Arial" w:hAnsi="Arial" w:cs="Arial"/>
          <w:sz w:val="22"/>
        </w:rPr>
      </w:pPr>
    </w:p>
    <w:p w14:paraId="6D3FDD52" w14:textId="77777777" w:rsidR="00840F80" w:rsidRPr="00594926" w:rsidRDefault="00840F80" w:rsidP="00840F80">
      <w:pPr>
        <w:pStyle w:val="Heading1"/>
        <w:spacing w:before="100" w:after="60"/>
        <w:rPr>
          <w:rFonts w:ascii="Arial" w:hAnsi="Arial" w:cs="Arial"/>
          <w:color w:val="auto"/>
          <w:sz w:val="22"/>
          <w:szCs w:val="22"/>
        </w:rPr>
      </w:pPr>
      <w:r w:rsidRPr="00594926">
        <w:rPr>
          <w:rFonts w:ascii="Arial" w:hAnsi="Arial" w:cs="Arial"/>
          <w:color w:val="auto"/>
          <w:sz w:val="22"/>
          <w:szCs w:val="22"/>
        </w:rPr>
        <w:t>Introduction</w:t>
      </w:r>
    </w:p>
    <w:p w14:paraId="461A8B93" w14:textId="77777777" w:rsidR="00840F80" w:rsidRPr="00594926" w:rsidRDefault="00840F80" w:rsidP="00840F80">
      <w:pPr>
        <w:spacing w:after="80" w:line="252" w:lineRule="auto"/>
        <w:ind w:firstLine="720"/>
        <w:jc w:val="both"/>
        <w:rPr>
          <w:rFonts w:ascii="Arial" w:hAnsi="Arial" w:cs="Arial"/>
          <w:sz w:val="22"/>
        </w:rPr>
      </w:pPr>
      <w:r w:rsidRPr="00594926">
        <w:rPr>
          <w:rFonts w:ascii="Arial" w:hAnsi="Arial"/>
          <w:sz w:val="22"/>
        </w:rPr>
        <w:t>The digitisation of Indonesia’s payment systems continues to evolve, driving the use of mobile applications as a channel for daily transactions. Bank Indonesia reported that the volume of digital payments reached 4.66 billion transactions in November 2025 and that transactions via mobile applications grew by 15.91% year on year, indicating that app-based services are becoming increasingly embedded in the public’s financial activities (Bank Indonesia, 2025).</w:t>
      </w:r>
    </w:p>
    <w:p w14:paraId="036958C1" w14:textId="77777777" w:rsidR="00840F80" w:rsidRPr="00594926" w:rsidRDefault="00840F80" w:rsidP="00840F80">
      <w:pPr>
        <w:spacing w:after="80" w:line="252" w:lineRule="auto"/>
        <w:ind w:firstLine="720"/>
        <w:jc w:val="both"/>
        <w:rPr>
          <w:rFonts w:ascii="Arial" w:hAnsi="Arial" w:cs="Arial"/>
          <w:sz w:val="22"/>
        </w:rPr>
      </w:pPr>
      <w:r w:rsidRPr="00594926">
        <w:rPr>
          <w:rFonts w:ascii="Arial" w:hAnsi="Arial"/>
          <w:sz w:val="22"/>
        </w:rPr>
        <w:t>The expansion of digital financial services coincides with an increase in national financial inclusion. The 2025 SNLIK results show Indonesia’s financial literacy index at 66.46% and its financial inclusion index at 80.51%, indicating a gap between the level of financial service usage and the public’s ability to understand products, benefits, costs, and risks (OJK &amp; BPS, 2025).</w:t>
      </w:r>
    </w:p>
    <w:p w14:paraId="405F867D" w14:textId="71F4B599" w:rsidR="00840F80" w:rsidRPr="00594926" w:rsidRDefault="00840F80" w:rsidP="00BE09AA">
      <w:pPr>
        <w:spacing w:after="80" w:line="252" w:lineRule="auto"/>
        <w:ind w:firstLine="720"/>
        <w:jc w:val="both"/>
        <w:rPr>
          <w:rFonts w:ascii="Arial" w:hAnsi="Arial" w:cs="Arial"/>
          <w:sz w:val="22"/>
        </w:rPr>
      </w:pPr>
      <w:r w:rsidRPr="00594926">
        <w:rPr>
          <w:rFonts w:ascii="Arial" w:hAnsi="Arial"/>
          <w:sz w:val="22"/>
        </w:rPr>
        <w:t>Mobile banking offers transaction efficiency, real-time access, fund transfers, bill payments, and the integration of various financial services; however, long-term use is not determined solely by convenience. The literature on continuance suggests that, after the initial adoption phase, users reassess the benefits, security, experience, and trust before deciding whether to continue using the service (Bhattacherjee, 2001; Nguyen &amp; Dao, 2024).</w:t>
      </w:r>
      <w:r w:rsidR="00BE09AA" w:rsidRPr="00594926">
        <w:rPr>
          <w:rFonts w:ascii="Arial" w:hAnsi="Arial" w:cs="Arial"/>
          <w:sz w:val="22"/>
        </w:rPr>
        <w:t xml:space="preserve"> </w:t>
      </w:r>
      <w:r w:rsidRPr="00594926">
        <w:t>Evidence from mobile-banking research also indicates that service quality, perceived risk, trust, and satisfaction are important in explaining users’ post-adoption continuance intention (Saibaba, 2024).</w:t>
      </w:r>
    </w:p>
    <w:p w14:paraId="2BB7389C" w14:textId="77777777" w:rsidR="00840F80" w:rsidRPr="00594926" w:rsidRDefault="00840F80" w:rsidP="00840F80">
      <w:pPr>
        <w:spacing w:after="80" w:line="252" w:lineRule="auto"/>
        <w:ind w:firstLine="720"/>
        <w:jc w:val="both"/>
        <w:rPr>
          <w:rFonts w:ascii="Arial" w:hAnsi="Arial" w:cs="Arial"/>
          <w:sz w:val="22"/>
        </w:rPr>
      </w:pPr>
      <w:r w:rsidRPr="00594926">
        <w:rPr>
          <w:rFonts w:ascii="Arial" w:hAnsi="Arial"/>
          <w:sz w:val="22"/>
        </w:rPr>
        <w:t>Security is a critical factor because digital banking services face threats such as phishing, social engineering, credential theft, account takeover, malware, and data misuse. Research in Indonesia indicates that cybersecurity knowledge influences digital banking users’ awareness and behaviour, while studies on online banking also highlight the role of anti-phishing knowledge and security concerns (Nagari &amp; Raharja, 2025; Nur’aini &amp; Simanjuntak, 2025).</w:t>
      </w:r>
    </w:p>
    <w:p w14:paraId="2F03924A" w14:textId="77777777" w:rsidR="00840F80" w:rsidRPr="00594926" w:rsidRDefault="00840F80" w:rsidP="00840F80">
      <w:pPr>
        <w:spacing w:after="80" w:line="252" w:lineRule="auto"/>
        <w:ind w:firstLine="720"/>
        <w:jc w:val="both"/>
        <w:rPr>
          <w:rFonts w:ascii="Arial" w:hAnsi="Arial" w:cs="Arial"/>
          <w:sz w:val="22"/>
        </w:rPr>
      </w:pPr>
    </w:p>
    <w:p w14:paraId="67C97F8C" w14:textId="77AC5805" w:rsidR="00840F80" w:rsidRPr="00594926" w:rsidRDefault="00840F80" w:rsidP="00BE09AA">
      <w:pPr>
        <w:spacing w:after="80" w:line="252" w:lineRule="auto"/>
        <w:ind w:firstLine="720"/>
        <w:jc w:val="both"/>
        <w:rPr>
          <w:rFonts w:ascii="Arial" w:hAnsi="Arial" w:cs="Arial"/>
          <w:sz w:val="22"/>
        </w:rPr>
      </w:pPr>
      <w:r w:rsidRPr="00594926">
        <w:rPr>
          <w:rFonts w:ascii="Arial" w:hAnsi="Arial"/>
          <w:sz w:val="22"/>
        </w:rPr>
        <w:lastRenderedPageBreak/>
        <w:t xml:space="preserve">Perceived cybersecurity in this study refers to users’ belief that mobile banking systems are capable of maintaining data confidentiality, protecting authentication, securing transactions, detecting unusual activity, protecting privacy, and handling incidents. Studies on mobile wallets in Indonesia indicate that perceived security can be a key factor in explaining continuance intention, while studies on digital banking show that data security and trust are associated with continued use (Aprilia &amp; Amalia, 2023; </w:t>
      </w:r>
      <w:r w:rsidR="00F25766" w:rsidRPr="00F25766">
        <w:rPr>
          <w:rFonts w:ascii="Arial" w:hAnsi="Arial"/>
          <w:sz w:val="22"/>
        </w:rPr>
        <w:t xml:space="preserve">Zulaikha &amp; </w:t>
      </w:r>
      <w:proofErr w:type="spellStart"/>
      <w:r w:rsidR="00F25766" w:rsidRPr="00F25766">
        <w:rPr>
          <w:rFonts w:ascii="Arial" w:hAnsi="Arial"/>
          <w:sz w:val="22"/>
        </w:rPr>
        <w:t>Faricha</w:t>
      </w:r>
      <w:proofErr w:type="spellEnd"/>
      <w:r w:rsidRPr="00594926">
        <w:rPr>
          <w:rFonts w:ascii="Arial" w:hAnsi="Arial"/>
          <w:sz w:val="22"/>
        </w:rPr>
        <w:t>, 202</w:t>
      </w:r>
      <w:r w:rsidR="00F25766">
        <w:rPr>
          <w:rFonts w:ascii="Arial" w:hAnsi="Arial"/>
          <w:sz w:val="22"/>
        </w:rPr>
        <w:t>6</w:t>
      </w:r>
      <w:r w:rsidRPr="00594926">
        <w:rPr>
          <w:rFonts w:ascii="Arial" w:hAnsi="Arial"/>
          <w:sz w:val="22"/>
        </w:rPr>
        <w:t>).</w:t>
      </w:r>
      <w:r w:rsidR="00BE09AA" w:rsidRPr="00594926">
        <w:rPr>
          <w:rFonts w:ascii="Arial" w:hAnsi="Arial" w:cs="Arial"/>
          <w:sz w:val="22"/>
        </w:rPr>
        <w:t xml:space="preserve"> </w:t>
      </w:r>
      <w:r w:rsidRPr="00594926">
        <w:t>Recent research extending the expectation-confirmation model likewise identifies perceived security and trust as relevant to continued mobile-banking use (Habib et al., 2025).</w:t>
      </w:r>
      <w:r w:rsidR="00BE09AA" w:rsidRPr="00594926">
        <w:rPr>
          <w:rFonts w:ascii="Arial" w:hAnsi="Arial" w:cs="Arial"/>
          <w:sz w:val="22"/>
        </w:rPr>
        <w:t xml:space="preserve"> </w:t>
      </w:r>
      <w:r w:rsidRPr="00594926">
        <w:t>Research on digital financial technologies further emphasizes transaction-security protocols and fraud-detection mechanisms as components of secure digital financial environments (Bayya, 2025).</w:t>
      </w:r>
    </w:p>
    <w:p w14:paraId="021CE370" w14:textId="6E59216E" w:rsidR="00840F80" w:rsidRPr="00594926" w:rsidRDefault="00840F80" w:rsidP="00BE09AA">
      <w:pPr>
        <w:spacing w:after="80" w:line="252" w:lineRule="auto"/>
        <w:ind w:firstLine="720"/>
        <w:jc w:val="both"/>
        <w:rPr>
          <w:rFonts w:ascii="Arial" w:hAnsi="Arial" w:cs="Arial"/>
          <w:sz w:val="22"/>
        </w:rPr>
      </w:pPr>
      <w:r w:rsidRPr="00594926">
        <w:rPr>
          <w:rFonts w:ascii="Arial" w:hAnsi="Arial"/>
          <w:sz w:val="22"/>
        </w:rPr>
        <w:t>In addition to perceptions of the system, continued use also requires users’ ability to manage digital risks. The OECD defines digital financial literacy as a combination of knowledge, skills, attitudes, and behaviours that enable individuals to use digital financial services and technologies consciously, safely, and in a way that supports financial well-being (OECD, 2024).</w:t>
      </w:r>
      <w:r w:rsidR="00BE09AA" w:rsidRPr="00594926">
        <w:rPr>
          <w:rFonts w:ascii="Arial" w:hAnsi="Arial" w:cs="Arial"/>
          <w:sz w:val="22"/>
        </w:rPr>
        <w:t xml:space="preserve"> </w:t>
      </w:r>
      <w:r w:rsidRPr="00594926">
        <w:t>Earlier evidence also links consumers’ financial knowledge with their use of mobile banking and related mobile financial services, reinforcing the relevance of user-side financial capability in digital banking contexts (Chen &amp; Xiang, 2021).</w:t>
      </w:r>
    </w:p>
    <w:p w14:paraId="2E0EE897" w14:textId="68610746" w:rsidR="00840F80" w:rsidRPr="00594926" w:rsidRDefault="00840F80" w:rsidP="00BE09AA">
      <w:pPr>
        <w:spacing w:after="80" w:line="252" w:lineRule="auto"/>
        <w:ind w:firstLine="720"/>
        <w:jc w:val="both"/>
        <w:rPr>
          <w:rFonts w:ascii="Arial" w:hAnsi="Arial" w:cs="Arial"/>
          <w:sz w:val="22"/>
        </w:rPr>
      </w:pPr>
      <w:r w:rsidRPr="00594926">
        <w:rPr>
          <w:rFonts w:ascii="Arial" w:hAnsi="Arial"/>
          <w:sz w:val="22"/>
        </w:rPr>
        <w:t xml:space="preserve">The digital financial literacy competency framework for ASEAN emphasises the ability to understand digital payment methods, assess risks and benefits, protect data, recognise fraud, and make secure digital financial decisions. This framework is relevant to Indonesian mobile banking users as financial services become increasingly integrated with apps, instant transfers, digital payments, and data-driven notifications (OECD, 2026). An Indonesian study on mobile payments found that trust has a positive effect on continuance intention, while security is one of the antecedents of trust. Other research on Islamic digital banking also found that data security, trust, perceived usefulness, and satisfaction play a role in continuance intention (Ansori &amp; Nugroho, 2024; </w:t>
      </w:r>
      <w:r w:rsidR="00F25766">
        <w:rPr>
          <w:rFonts w:ascii="Arial" w:hAnsi="Arial"/>
          <w:sz w:val="22"/>
        </w:rPr>
        <w:t xml:space="preserve">Zulaikha &amp; </w:t>
      </w:r>
      <w:proofErr w:type="spellStart"/>
      <w:r w:rsidR="00F25766">
        <w:rPr>
          <w:rFonts w:ascii="Arial" w:hAnsi="Arial"/>
          <w:sz w:val="22"/>
        </w:rPr>
        <w:t>Faricha</w:t>
      </w:r>
      <w:proofErr w:type="spellEnd"/>
      <w:r w:rsidR="00F25766">
        <w:rPr>
          <w:rFonts w:ascii="Arial" w:hAnsi="Arial"/>
          <w:sz w:val="22"/>
        </w:rPr>
        <w:t>, 2026</w:t>
      </w:r>
      <w:r w:rsidRPr="00594926">
        <w:rPr>
          <w:rFonts w:ascii="Arial" w:hAnsi="Arial"/>
          <w:sz w:val="22"/>
        </w:rPr>
        <w:t xml:space="preserve">). However, many Indonesian studies focus on a single type of app, a single bank, mobile payments, or a specific Islamic banking context. Research combining perceived cybersecurity and digital financial literacy as two direct predictors of continuance intention among mobile banking users across different bank types and regions in Indonesia remains limited; thus, this model offers a broader contextual scope (Ansori &amp; Nugroho, 2024; OECD, 2026; </w:t>
      </w:r>
      <w:r w:rsidR="00F25766">
        <w:rPr>
          <w:rFonts w:ascii="Arial" w:hAnsi="Arial"/>
          <w:sz w:val="22"/>
        </w:rPr>
        <w:t xml:space="preserve">Zulaikha &amp; </w:t>
      </w:r>
      <w:proofErr w:type="spellStart"/>
      <w:r w:rsidR="00F25766">
        <w:rPr>
          <w:rFonts w:ascii="Arial" w:hAnsi="Arial"/>
          <w:sz w:val="22"/>
        </w:rPr>
        <w:t>Faricha</w:t>
      </w:r>
      <w:proofErr w:type="spellEnd"/>
      <w:r w:rsidR="00F25766">
        <w:rPr>
          <w:rFonts w:ascii="Arial" w:hAnsi="Arial"/>
          <w:sz w:val="22"/>
        </w:rPr>
        <w:t>, 2026</w:t>
      </w:r>
      <w:r w:rsidRPr="00594926">
        <w:rPr>
          <w:rFonts w:ascii="Arial" w:hAnsi="Arial"/>
          <w:sz w:val="22"/>
        </w:rPr>
        <w:t>).</w:t>
      </w:r>
      <w:r w:rsidR="00BE09AA" w:rsidRPr="00594926">
        <w:rPr>
          <w:rFonts w:ascii="Arial" w:hAnsi="Arial" w:cs="Arial"/>
          <w:sz w:val="22"/>
        </w:rPr>
        <w:t xml:space="preserve"> </w:t>
      </w:r>
      <w:r w:rsidRPr="00594926">
        <w:t>More recent evidence shows that digital financial literacy is positively associated with sustained engagement in mobile financial services, including through continuance-related mechanisms such as satisfaction, perceived usefulness, and attitude (Tetteh &amp; Kwateng, 2026).</w:t>
      </w:r>
    </w:p>
    <w:p w14:paraId="7B00FC6A" w14:textId="2C5E2E0D" w:rsidR="00840F80" w:rsidRPr="00594926" w:rsidRDefault="00840F80" w:rsidP="00BE09AA">
      <w:pPr>
        <w:spacing w:after="80" w:line="252" w:lineRule="auto"/>
        <w:ind w:firstLine="720"/>
        <w:jc w:val="both"/>
        <w:rPr>
          <w:rFonts w:ascii="Arial" w:hAnsi="Arial" w:cs="Arial"/>
          <w:sz w:val="22"/>
        </w:rPr>
      </w:pPr>
      <w:r w:rsidRPr="00594926">
        <w:rPr>
          <w:rFonts w:ascii="Arial" w:hAnsi="Arial"/>
          <w:sz w:val="22"/>
        </w:rPr>
        <w:t>A pre-survey of 70 mobile banking users was conducted to obtain an initial overview of users’ usage behaviour, security perceptions, and digital financial literacy. The pre-survey results showed that 90.0% of respondents used mobile banking regularly every week, 70.0% had experienced concerns regarding phishing, account theft, or data breaches, 77.1% double-checked transactions before proceeding, 88.6% understood the importance of keeping OTPs and verification codes confidential, 64.3% were able to distinguish official bank messages from potential scams, and 85.7% intended to continue using mobile banking over the next 12 months. These findings indicate that, although the usage rate and intention to continue using mobile banking are quite high, disparities remain in users’ understanding of digital security and their ability to recognise risks. This situation serves as the basis for examining the role of perceived cybersecurity and digital financial literacy in the intention to continue using mobile banking (Aprilia &amp; Amalia, 2023; Nguyen &amp; Dao, 2024; OECD, 2024).</w:t>
      </w:r>
      <w:r w:rsidR="00BE09AA" w:rsidRPr="00594926">
        <w:rPr>
          <w:rFonts w:ascii="Arial" w:hAnsi="Arial" w:cs="Arial"/>
          <w:sz w:val="22"/>
        </w:rPr>
        <w:t xml:space="preserve"> </w:t>
      </w:r>
      <w:r w:rsidRPr="00594926">
        <w:t xml:space="preserve">Accordingly, this study aims to </w:t>
      </w:r>
      <w:proofErr w:type="spellStart"/>
      <w:r w:rsidRPr="00594926">
        <w:t>analyse</w:t>
      </w:r>
      <w:proofErr w:type="spellEnd"/>
      <w:r w:rsidRPr="00594926">
        <w:t xml:space="preserve"> the influence of perceived cybersecurity and digital financial literacy on the continuance intention to use mobile banking among banking customers in Indonesia.</w:t>
      </w:r>
    </w:p>
    <w:p w14:paraId="6FE06D22" w14:textId="77777777" w:rsidR="00840F80" w:rsidRPr="00594926" w:rsidRDefault="00840F80" w:rsidP="00840F80">
      <w:pPr>
        <w:pStyle w:val="Heading1"/>
        <w:spacing w:before="100" w:after="60"/>
        <w:rPr>
          <w:rFonts w:ascii="Arial" w:hAnsi="Arial" w:cs="Arial"/>
          <w:color w:val="auto"/>
          <w:sz w:val="22"/>
          <w:szCs w:val="22"/>
        </w:rPr>
      </w:pPr>
      <w:r w:rsidRPr="00594926">
        <w:rPr>
          <w:rFonts w:ascii="Arial" w:hAnsi="Arial" w:cs="Arial"/>
          <w:color w:val="auto"/>
          <w:sz w:val="22"/>
          <w:szCs w:val="22"/>
        </w:rPr>
        <w:t>Literature Review</w:t>
      </w:r>
    </w:p>
    <w:p w14:paraId="0FC7B0A8" w14:textId="77777777" w:rsidR="00840F80" w:rsidRPr="00594926" w:rsidRDefault="00840F80" w:rsidP="00840F80">
      <w:pPr>
        <w:pStyle w:val="Heading2"/>
        <w:spacing w:before="100" w:after="60"/>
        <w:rPr>
          <w:rFonts w:ascii="Arial" w:hAnsi="Arial" w:cs="Arial"/>
          <w:color w:val="auto"/>
          <w:szCs w:val="22"/>
        </w:rPr>
      </w:pPr>
      <w:r w:rsidRPr="00594926">
        <w:rPr>
          <w:rFonts w:ascii="Arial" w:hAnsi="Arial" w:cs="Arial"/>
          <w:color w:val="auto"/>
          <w:szCs w:val="22"/>
        </w:rPr>
        <w:t>Perceived Cybersecurity</w:t>
      </w:r>
    </w:p>
    <w:p w14:paraId="7AD0E7E2" w14:textId="3ED71D8D" w:rsidR="00840F80" w:rsidRPr="00594926" w:rsidRDefault="00840F80" w:rsidP="00840F80">
      <w:pPr>
        <w:spacing w:after="80" w:line="252" w:lineRule="auto"/>
        <w:jc w:val="both"/>
        <w:rPr>
          <w:rFonts w:ascii="Arial" w:hAnsi="Arial" w:cs="Arial"/>
          <w:sz w:val="22"/>
        </w:rPr>
      </w:pPr>
      <w:r w:rsidRPr="00594926">
        <w:rPr>
          <w:rFonts w:ascii="Arial" w:hAnsi="Arial"/>
          <w:sz w:val="22"/>
        </w:rPr>
        <w:t xml:space="preserve">Perceived cybersecurity is a user’s assessment of a digital service’s ability to protect confidentiality, integrity, authentication, privacy, and transaction security. In the context of mobile banking, this perception is shaped by users’ experiences with login mechanisms, OTPs, biometrics, transaction notifications, data protection, and the bank’s response to suspicious activity (Aprilia &amp; Amalia, 2023; </w:t>
      </w:r>
      <w:r w:rsidR="00F25766">
        <w:rPr>
          <w:rFonts w:ascii="Arial" w:hAnsi="Arial"/>
          <w:sz w:val="22"/>
        </w:rPr>
        <w:t xml:space="preserve">Zulaikha &amp; </w:t>
      </w:r>
      <w:proofErr w:type="spellStart"/>
      <w:r w:rsidR="00F25766">
        <w:rPr>
          <w:rFonts w:ascii="Arial" w:hAnsi="Arial"/>
          <w:sz w:val="22"/>
        </w:rPr>
        <w:t>Faricha</w:t>
      </w:r>
      <w:proofErr w:type="spellEnd"/>
      <w:r w:rsidR="00F25766">
        <w:rPr>
          <w:rFonts w:ascii="Arial" w:hAnsi="Arial"/>
          <w:sz w:val="22"/>
        </w:rPr>
        <w:t>, 2026</w:t>
      </w:r>
      <w:r w:rsidRPr="00594926">
        <w:rPr>
          <w:rFonts w:ascii="Arial" w:hAnsi="Arial"/>
          <w:sz w:val="22"/>
        </w:rPr>
        <w:t>).</w:t>
      </w:r>
    </w:p>
    <w:p w14:paraId="3B5CB48D" w14:textId="77777777" w:rsidR="00840F80" w:rsidRPr="00594926" w:rsidRDefault="00840F80" w:rsidP="00840F80">
      <w:pPr>
        <w:spacing w:after="80" w:line="252" w:lineRule="auto"/>
        <w:jc w:val="both"/>
        <w:rPr>
          <w:rFonts w:ascii="Arial" w:hAnsi="Arial" w:cs="Arial"/>
          <w:sz w:val="22"/>
        </w:rPr>
      </w:pPr>
      <w:r w:rsidRPr="00594926">
        <w:rPr>
          <w:rFonts w:ascii="Arial" w:hAnsi="Arial"/>
          <w:sz w:val="22"/>
        </w:rPr>
        <w:t xml:space="preserve">Perceived security can reduce uncertainty and increase users’ confidence in maintaining their relationship with digital services. Studies on continuance in mobile banking identify trust as a key </w:t>
      </w:r>
      <w:r w:rsidRPr="00594926">
        <w:rPr>
          <w:rFonts w:ascii="Arial" w:hAnsi="Arial"/>
          <w:sz w:val="22"/>
        </w:rPr>
        <w:lastRenderedPageBreak/>
        <w:t>factor, while Indonesian research indicates that security contributes to both trust and continuance within the mobile payment ecosystem (Ansori &amp; Nugroho, 2024; Nguyen &amp; Dao, 2024).</w:t>
      </w:r>
    </w:p>
    <w:p w14:paraId="6E874AFA" w14:textId="77777777" w:rsidR="00840F80" w:rsidRPr="00594926" w:rsidRDefault="00840F80" w:rsidP="00840F80">
      <w:pPr>
        <w:pStyle w:val="Heading2"/>
        <w:spacing w:before="100" w:after="60"/>
        <w:rPr>
          <w:rFonts w:ascii="Arial" w:hAnsi="Arial" w:cs="Arial"/>
          <w:color w:val="auto"/>
          <w:szCs w:val="22"/>
        </w:rPr>
      </w:pPr>
      <w:r w:rsidRPr="00594926">
        <w:rPr>
          <w:rFonts w:ascii="Arial" w:hAnsi="Arial" w:cs="Arial"/>
          <w:color w:val="auto"/>
          <w:szCs w:val="22"/>
        </w:rPr>
        <w:t>2.2 Digital Financial Literacy</w:t>
      </w:r>
    </w:p>
    <w:p w14:paraId="57545D25" w14:textId="77777777" w:rsidR="00840F80" w:rsidRPr="00594926" w:rsidRDefault="00840F80" w:rsidP="00840F80">
      <w:pPr>
        <w:spacing w:after="80" w:line="252" w:lineRule="auto"/>
        <w:jc w:val="both"/>
        <w:rPr>
          <w:rFonts w:ascii="Arial" w:hAnsi="Arial" w:cs="Arial"/>
          <w:sz w:val="22"/>
        </w:rPr>
      </w:pPr>
      <w:r w:rsidRPr="00594926">
        <w:rPr>
          <w:rFonts w:ascii="Arial" w:hAnsi="Arial"/>
          <w:sz w:val="22"/>
        </w:rPr>
        <w:t>Digital financial literacy encompasses the knowledge, skills, attitudes, and behaviours necessary to safely access, understand, evaluate, and use digital financial services. This construct is broader than traditional financial literacy because it includes technology-related risks, data protection, digital fraud, and the ability to assess information in an online environment (OECD, 2024).</w:t>
      </w:r>
    </w:p>
    <w:p w14:paraId="5A8625E3" w14:textId="77777777" w:rsidR="00840F80" w:rsidRPr="00594926" w:rsidRDefault="00840F80" w:rsidP="00840F80">
      <w:pPr>
        <w:spacing w:after="80" w:line="252" w:lineRule="auto"/>
        <w:jc w:val="both"/>
        <w:rPr>
          <w:rFonts w:ascii="Arial" w:hAnsi="Arial" w:cs="Arial"/>
          <w:sz w:val="22"/>
        </w:rPr>
      </w:pPr>
      <w:r w:rsidRPr="00594926">
        <w:rPr>
          <w:rFonts w:ascii="Arial" w:hAnsi="Arial"/>
          <w:sz w:val="22"/>
        </w:rPr>
        <w:t>In the ASEAN context, digital financial literacy includes an understanding of payment methods, personal data protection, the ability to recognise fraud, the evaluation of costs and risks, and account security practices. These competencies can help users reap the benefits of mobile banking without overlooking the risks inherent in digital transactions (OECD, 2026).</w:t>
      </w:r>
    </w:p>
    <w:p w14:paraId="6768604F" w14:textId="77777777" w:rsidR="00840F80" w:rsidRPr="00594926" w:rsidRDefault="00840F80" w:rsidP="00840F80">
      <w:pPr>
        <w:pStyle w:val="Heading2"/>
        <w:spacing w:before="100" w:after="60"/>
        <w:rPr>
          <w:rFonts w:ascii="Arial" w:hAnsi="Arial" w:cs="Arial"/>
          <w:color w:val="auto"/>
          <w:szCs w:val="22"/>
        </w:rPr>
      </w:pPr>
      <w:r w:rsidRPr="00594926">
        <w:rPr>
          <w:rFonts w:ascii="Arial" w:hAnsi="Arial" w:cs="Arial"/>
          <w:color w:val="auto"/>
          <w:szCs w:val="22"/>
        </w:rPr>
        <w:t>2.3 Continuance Intention</w:t>
      </w:r>
    </w:p>
    <w:p w14:paraId="2A43B7A7" w14:textId="77777777" w:rsidR="00840F80" w:rsidRPr="00594926" w:rsidRDefault="00840F80" w:rsidP="00840F80">
      <w:pPr>
        <w:spacing w:after="80" w:line="252" w:lineRule="auto"/>
        <w:jc w:val="both"/>
        <w:rPr>
          <w:rFonts w:ascii="Arial" w:hAnsi="Arial" w:cs="Arial"/>
          <w:sz w:val="22"/>
        </w:rPr>
      </w:pPr>
      <w:r w:rsidRPr="00594926">
        <w:rPr>
          <w:rFonts w:ascii="Arial" w:hAnsi="Arial"/>
          <w:sz w:val="22"/>
        </w:rPr>
        <w:t>Continuance intention refers to a user’s intention to continue using an information system after the initial adoption phase. The Expectation-Confirmation Model explains that the decision to continue is formed after users evaluate their actual experiences, benefits, and level of satisfaction with the system they have used (Bhattacherjee, 2001).</w:t>
      </w:r>
    </w:p>
    <w:p w14:paraId="02E94C4D" w14:textId="49350B4C" w:rsidR="00840F80" w:rsidRPr="00594926" w:rsidRDefault="00840F80" w:rsidP="00840F80">
      <w:pPr>
        <w:spacing w:after="80" w:line="252" w:lineRule="auto"/>
        <w:jc w:val="both"/>
        <w:rPr>
          <w:rFonts w:ascii="Arial" w:hAnsi="Arial" w:cs="Arial"/>
          <w:sz w:val="22"/>
        </w:rPr>
      </w:pPr>
      <w:r w:rsidRPr="00594926">
        <w:rPr>
          <w:rFonts w:ascii="Arial" w:hAnsi="Arial"/>
          <w:sz w:val="22"/>
        </w:rPr>
        <w:t xml:space="preserve">Research on mobile banking indicates that continuance intention is also influenced by factors outside the basic model, including trust, security, self-efficacy, and user adaptation. Because financial transactions have direct economic consequences, perceptions of risk and security play a more prominent role than in many non-financial digital services (Nguyen &amp; Dao, 2024; </w:t>
      </w:r>
      <w:r w:rsidR="00F25766">
        <w:rPr>
          <w:rFonts w:ascii="Arial" w:hAnsi="Arial"/>
          <w:sz w:val="22"/>
        </w:rPr>
        <w:t xml:space="preserve">Zulaikha &amp; </w:t>
      </w:r>
      <w:proofErr w:type="spellStart"/>
      <w:r w:rsidR="00F25766">
        <w:rPr>
          <w:rFonts w:ascii="Arial" w:hAnsi="Arial"/>
          <w:sz w:val="22"/>
        </w:rPr>
        <w:t>Faricha</w:t>
      </w:r>
      <w:proofErr w:type="spellEnd"/>
      <w:r w:rsidR="00F25766">
        <w:rPr>
          <w:rFonts w:ascii="Arial" w:hAnsi="Arial"/>
          <w:sz w:val="22"/>
        </w:rPr>
        <w:t>, 2026</w:t>
      </w:r>
      <w:r w:rsidRPr="00594926">
        <w:rPr>
          <w:rFonts w:ascii="Arial" w:hAnsi="Arial"/>
          <w:sz w:val="22"/>
        </w:rPr>
        <w:t>).</w:t>
      </w:r>
    </w:p>
    <w:p w14:paraId="4B20D627" w14:textId="77777777" w:rsidR="00840F80" w:rsidRPr="00594926" w:rsidRDefault="00840F80" w:rsidP="00840F80">
      <w:pPr>
        <w:pStyle w:val="Heading2"/>
        <w:spacing w:before="100" w:after="60"/>
        <w:rPr>
          <w:rFonts w:ascii="Arial" w:hAnsi="Arial" w:cs="Arial"/>
          <w:color w:val="auto"/>
          <w:szCs w:val="22"/>
        </w:rPr>
      </w:pPr>
      <w:r w:rsidRPr="00594926">
        <w:rPr>
          <w:rFonts w:ascii="Arial" w:hAnsi="Arial" w:cs="Arial"/>
          <w:color w:val="auto"/>
          <w:szCs w:val="22"/>
        </w:rPr>
        <w:t>2.4 Hypothesis Development</w:t>
      </w:r>
    </w:p>
    <w:p w14:paraId="45C46824" w14:textId="67203E08" w:rsidR="00840F80" w:rsidRPr="00594926" w:rsidRDefault="00840F80" w:rsidP="00840F80">
      <w:pPr>
        <w:spacing w:after="80" w:line="252" w:lineRule="auto"/>
        <w:jc w:val="both"/>
        <w:rPr>
          <w:rFonts w:ascii="Arial" w:hAnsi="Arial" w:cs="Arial"/>
          <w:sz w:val="22"/>
        </w:rPr>
      </w:pPr>
      <w:r w:rsidRPr="00594926">
        <w:rPr>
          <w:rFonts w:ascii="Arial" w:hAnsi="Arial"/>
          <w:sz w:val="22"/>
        </w:rPr>
        <w:t xml:space="preserve">Perceived cybersecurity is expected to have a positive effect on continuance intention because users are more willing to continue using an app when they feel that their data, authentication, and transactions are protected. Studies on mobile wallets in Indonesia show that perceived security is relevant in explaining continued use, while studies on digital banks show that data security is related to trust, satisfaction, and continuance intention (Aprilia &amp; Amalia, 2023; </w:t>
      </w:r>
      <w:r w:rsidR="00F25766">
        <w:rPr>
          <w:rFonts w:ascii="Arial" w:hAnsi="Arial"/>
          <w:sz w:val="22"/>
        </w:rPr>
        <w:t xml:space="preserve">Zulaikha &amp; </w:t>
      </w:r>
      <w:proofErr w:type="spellStart"/>
      <w:r w:rsidR="00F25766">
        <w:rPr>
          <w:rFonts w:ascii="Arial" w:hAnsi="Arial"/>
          <w:sz w:val="22"/>
        </w:rPr>
        <w:t>Faricha</w:t>
      </w:r>
      <w:proofErr w:type="spellEnd"/>
      <w:r w:rsidR="00F25766">
        <w:rPr>
          <w:rFonts w:ascii="Arial" w:hAnsi="Arial"/>
          <w:sz w:val="22"/>
        </w:rPr>
        <w:t>, 2026</w:t>
      </w:r>
      <w:r w:rsidRPr="00594926">
        <w:rPr>
          <w:rFonts w:ascii="Arial" w:hAnsi="Arial"/>
          <w:sz w:val="22"/>
        </w:rPr>
        <w:t>).</w:t>
      </w:r>
    </w:p>
    <w:p w14:paraId="1ADC12FC" w14:textId="77777777" w:rsidR="00840F80" w:rsidRPr="00594926" w:rsidRDefault="00840F80" w:rsidP="00840F80">
      <w:pPr>
        <w:spacing w:after="80" w:line="252" w:lineRule="auto"/>
        <w:jc w:val="both"/>
        <w:rPr>
          <w:rFonts w:ascii="Arial" w:hAnsi="Arial" w:cs="Arial"/>
          <w:sz w:val="22"/>
        </w:rPr>
      </w:pPr>
      <w:r w:rsidRPr="00594926">
        <w:rPr>
          <w:rFonts w:ascii="Arial" w:hAnsi="Arial" w:cs="Arial"/>
          <w:b/>
          <w:sz w:val="22"/>
        </w:rPr>
        <w:t>H1: Perceived cybersecurity has a positive and significant effect on continuance intention for mobile banking use.</w:t>
      </w:r>
    </w:p>
    <w:p w14:paraId="07D1023A" w14:textId="77777777" w:rsidR="00840F80" w:rsidRPr="00594926" w:rsidRDefault="00840F80" w:rsidP="00840F80">
      <w:pPr>
        <w:spacing w:after="80" w:line="252" w:lineRule="auto"/>
        <w:jc w:val="both"/>
        <w:rPr>
          <w:rFonts w:ascii="Arial" w:hAnsi="Arial" w:cs="Arial"/>
          <w:sz w:val="22"/>
        </w:rPr>
      </w:pPr>
      <w:r w:rsidRPr="00594926">
        <w:rPr>
          <w:rFonts w:ascii="Arial" w:hAnsi="Arial"/>
          <w:sz w:val="22"/>
        </w:rPr>
        <w:t>Digital financial literacy is expected to increase continuance intention because users who understand features, risks, costs, data protection, and fraud schemes are better equipped to use mobile banking confidently and securely. OECD literature identifies digital financial literacy as a core competency for the safe and informed use of digital payments (OECD, 2024, 2026).</w:t>
      </w:r>
    </w:p>
    <w:p w14:paraId="784F12C7" w14:textId="77777777" w:rsidR="00840F80" w:rsidRPr="00594926" w:rsidRDefault="00840F80" w:rsidP="00840F80">
      <w:pPr>
        <w:spacing w:after="80" w:line="252" w:lineRule="auto"/>
        <w:jc w:val="both"/>
        <w:rPr>
          <w:rFonts w:ascii="Arial" w:hAnsi="Arial" w:cs="Arial"/>
          <w:sz w:val="22"/>
        </w:rPr>
      </w:pPr>
      <w:r w:rsidRPr="00594926">
        <w:rPr>
          <w:rFonts w:ascii="Arial" w:hAnsi="Arial" w:cs="Arial"/>
          <w:b/>
          <w:sz w:val="22"/>
        </w:rPr>
        <w:t>H2: Digital financial literacy has a positive and significant effect on the intention to continue using mobile banking.</w:t>
      </w:r>
    </w:p>
    <w:p w14:paraId="0C9066D7" w14:textId="77777777" w:rsidR="00840F80" w:rsidRPr="00594926" w:rsidRDefault="00840F80" w:rsidP="00840F80">
      <w:pPr>
        <w:spacing w:after="80" w:line="252" w:lineRule="auto"/>
        <w:jc w:val="both"/>
        <w:rPr>
          <w:rFonts w:ascii="Arial" w:hAnsi="Arial" w:cs="Arial"/>
          <w:sz w:val="22"/>
        </w:rPr>
      </w:pPr>
      <w:r w:rsidRPr="00594926">
        <w:rPr>
          <w:rFonts w:ascii="Arial" w:hAnsi="Arial" w:cs="Arial"/>
          <w:sz w:val="22"/>
        </w:rPr>
        <w:t xml:space="preserve">Perceived cybersecurity and digital financial literacy are expected to simultaneously explain continuance intention because sustained use requires both the security provided by the system and the user’s ability to manage risks independently. The combination of the two can reduce uncertainty and maintain the perceived benefits of mobile banking. </w:t>
      </w:r>
    </w:p>
    <w:p w14:paraId="1AC5F40A" w14:textId="77777777" w:rsidR="00840F80" w:rsidRPr="00594926" w:rsidRDefault="00840F80" w:rsidP="00840F80">
      <w:pPr>
        <w:spacing w:after="80" w:line="252" w:lineRule="auto"/>
        <w:jc w:val="both"/>
        <w:rPr>
          <w:rFonts w:ascii="Arial" w:hAnsi="Arial" w:cs="Arial"/>
          <w:sz w:val="22"/>
        </w:rPr>
      </w:pPr>
      <w:r w:rsidRPr="00594926">
        <w:rPr>
          <w:rFonts w:ascii="Arial" w:hAnsi="Arial" w:cs="Arial"/>
          <w:b/>
          <w:sz w:val="22"/>
        </w:rPr>
        <w:t xml:space="preserve">H3: Perceived cybersecurity and digital financial literacy simultaneously have a significant effect on the intention to continue using mobile banking. </w:t>
      </w:r>
    </w:p>
    <w:p w14:paraId="372FE45F" w14:textId="6D4F9DCD" w:rsidR="00840F80" w:rsidRPr="00594926" w:rsidRDefault="00840F80" w:rsidP="00840F80">
      <w:pPr>
        <w:pStyle w:val="Heading1"/>
        <w:spacing w:before="100" w:after="60"/>
        <w:rPr>
          <w:rFonts w:ascii="Arial" w:hAnsi="Arial" w:cs="Arial"/>
          <w:color w:val="auto"/>
          <w:sz w:val="22"/>
          <w:szCs w:val="22"/>
        </w:rPr>
      </w:pPr>
      <w:r w:rsidRPr="00594926">
        <w:rPr>
          <w:rFonts w:ascii="Arial" w:hAnsi="Arial" w:cs="Arial"/>
          <w:color w:val="auto"/>
          <w:sz w:val="22"/>
          <w:szCs w:val="22"/>
        </w:rPr>
        <w:t>3. Method</w:t>
      </w:r>
    </w:p>
    <w:p w14:paraId="4358E7F4" w14:textId="77777777" w:rsidR="00840F80" w:rsidRPr="00594926" w:rsidRDefault="00840F80" w:rsidP="00840F80">
      <w:pPr>
        <w:spacing w:after="80" w:line="252" w:lineRule="auto"/>
        <w:jc w:val="both"/>
        <w:rPr>
          <w:rFonts w:ascii="Arial" w:hAnsi="Arial" w:cs="Arial"/>
          <w:sz w:val="22"/>
        </w:rPr>
      </w:pPr>
      <w:r w:rsidRPr="00594926">
        <w:rPr>
          <w:rFonts w:ascii="Arial" w:hAnsi="Arial"/>
          <w:sz w:val="22"/>
        </w:rPr>
        <w:t xml:space="preserve">This study employs a quantitative approach with a causal-associative design to analyse the relationship between perceived cybersecurity and digital financial literacy and the intention to continue using mobile banking. The study population comprises banking customers in Indonesia who use mobile banking. Respondents were selected using purposive sampling according to the criteria of being at least 18 years old, having an active account, and having used mobile banking for at least three months (Etikan et al., 2015). A total of 468 respondents participated in this study. The research instrument used a five-point Likert scale to measure perceived cybersecurity (6 items), digital financial literacy (6 items), and continuance intention (5 items). Data analysis was conducted </w:t>
      </w:r>
      <w:r w:rsidRPr="00594926">
        <w:rPr>
          <w:rFonts w:ascii="Arial" w:hAnsi="Arial"/>
          <w:sz w:val="22"/>
        </w:rPr>
        <w:lastRenderedPageBreak/>
        <w:t>using validity and reliability tests, classical assumption tests, multiple linear regression, t-tests, F-tests, and the coefficient of determination at a 5% significance level (Ghozali, 2018; Hair et al., 2019).</w:t>
      </w:r>
    </w:p>
    <w:p w14:paraId="44C75481" w14:textId="77777777" w:rsidR="00840F80" w:rsidRPr="00594926" w:rsidRDefault="002A4162" w:rsidP="00840F80">
      <w:pPr>
        <w:pStyle w:val="Heading2"/>
        <w:spacing w:before="100" w:after="60"/>
        <w:rPr>
          <w:rFonts w:ascii="Arial" w:hAnsi="Arial" w:cs="Arial"/>
          <w:color w:val="auto"/>
          <w:szCs w:val="22"/>
        </w:rPr>
      </w:pPr>
      <w:r w:rsidRPr="00594926">
        <w:rPr>
          <w:rFonts w:ascii="Arial" w:hAnsi="Arial" w:cs="Arial"/>
          <w:color w:val="auto"/>
          <w:szCs w:val="22"/>
        </w:rPr>
        <w:t xml:space="preserve">Table </w:t>
      </w:r>
      <w:proofErr w:type="gramStart"/>
      <w:r w:rsidRPr="00594926">
        <w:rPr>
          <w:rFonts w:ascii="Arial" w:hAnsi="Arial" w:cs="Arial"/>
          <w:color w:val="auto"/>
          <w:szCs w:val="22"/>
        </w:rPr>
        <w:t>1 :</w:t>
      </w:r>
      <w:proofErr w:type="gramEnd"/>
      <w:r w:rsidRPr="00594926">
        <w:rPr>
          <w:rFonts w:ascii="Arial" w:hAnsi="Arial" w:cs="Arial"/>
          <w:color w:val="auto"/>
          <w:szCs w:val="22"/>
        </w:rPr>
        <w:t xml:space="preserve"> </w:t>
      </w:r>
      <w:r w:rsidR="00840F80" w:rsidRPr="00594926">
        <w:rPr>
          <w:rFonts w:ascii="Arial" w:hAnsi="Arial" w:cs="Arial"/>
          <w:color w:val="auto"/>
          <w:szCs w:val="22"/>
        </w:rPr>
        <w:t xml:space="preserve"> Operational Definition of Variables</w:t>
      </w:r>
    </w:p>
    <w:tbl>
      <w:tblPr>
        <w:tblStyle w:val="TableGrid"/>
        <w:tblW w:w="0" w:type="auto"/>
        <w:jc w:val="center"/>
        <w:tblLook w:val="04A0" w:firstRow="1" w:lastRow="0" w:firstColumn="1" w:lastColumn="0" w:noHBand="0" w:noVBand="1"/>
      </w:tblPr>
      <w:tblGrid>
        <w:gridCol w:w="2179"/>
        <w:gridCol w:w="3865"/>
        <w:gridCol w:w="1251"/>
        <w:gridCol w:w="2333"/>
      </w:tblGrid>
      <w:tr w:rsidR="00840F80" w:rsidRPr="00594926" w14:paraId="1415063F" w14:textId="77777777" w:rsidTr="009034F6">
        <w:trPr>
          <w:jc w:val="center"/>
        </w:trPr>
        <w:tc>
          <w:tcPr>
            <w:tcW w:w="2494" w:type="dxa"/>
            <w:shd w:val="clear" w:color="auto" w:fill="D9EAF7"/>
            <w:vAlign w:val="center"/>
          </w:tcPr>
          <w:p w14:paraId="2E01C30A" w14:textId="77777777" w:rsidR="00840F80" w:rsidRPr="00594926" w:rsidRDefault="00840F80" w:rsidP="009034F6">
            <w:pPr>
              <w:rPr>
                <w:rFonts w:ascii="Arial" w:hAnsi="Arial" w:cs="Arial"/>
                <w:sz w:val="22"/>
              </w:rPr>
            </w:pPr>
            <w:r w:rsidRPr="00594926">
              <w:rPr>
                <w:rFonts w:ascii="Arial" w:hAnsi="Arial" w:cs="Arial"/>
                <w:b/>
                <w:sz w:val="22"/>
              </w:rPr>
              <w:t>Variable</w:t>
            </w:r>
          </w:p>
        </w:tc>
        <w:tc>
          <w:tcPr>
            <w:tcW w:w="4649" w:type="dxa"/>
            <w:shd w:val="clear" w:color="auto" w:fill="D9EAF7"/>
            <w:vAlign w:val="center"/>
          </w:tcPr>
          <w:p w14:paraId="14A418DF" w14:textId="77777777" w:rsidR="00840F80" w:rsidRPr="00594926" w:rsidRDefault="00840F80" w:rsidP="009034F6">
            <w:pPr>
              <w:rPr>
                <w:rFonts w:ascii="Arial" w:hAnsi="Arial" w:cs="Arial"/>
                <w:sz w:val="22"/>
              </w:rPr>
            </w:pPr>
            <w:r w:rsidRPr="00594926">
              <w:rPr>
                <w:rFonts w:ascii="Arial" w:hAnsi="Arial" w:cs="Arial"/>
                <w:b/>
                <w:sz w:val="22"/>
              </w:rPr>
              <w:t>Dimension/Indicator</w:t>
            </w:r>
          </w:p>
        </w:tc>
        <w:tc>
          <w:tcPr>
            <w:tcW w:w="1361" w:type="dxa"/>
            <w:shd w:val="clear" w:color="auto" w:fill="D9EAF7"/>
            <w:vAlign w:val="center"/>
          </w:tcPr>
          <w:p w14:paraId="765AEC5D" w14:textId="77777777" w:rsidR="00840F80" w:rsidRPr="00594926" w:rsidRDefault="00840F80" w:rsidP="009034F6">
            <w:pPr>
              <w:rPr>
                <w:rFonts w:ascii="Arial" w:hAnsi="Arial" w:cs="Arial"/>
                <w:sz w:val="22"/>
              </w:rPr>
            </w:pPr>
            <w:r w:rsidRPr="00594926">
              <w:rPr>
                <w:rFonts w:ascii="Arial" w:hAnsi="Arial" w:cs="Arial"/>
                <w:b/>
                <w:sz w:val="22"/>
              </w:rPr>
              <w:t>Code</w:t>
            </w:r>
          </w:p>
        </w:tc>
        <w:tc>
          <w:tcPr>
            <w:tcW w:w="2721" w:type="dxa"/>
            <w:shd w:val="clear" w:color="auto" w:fill="D9EAF7"/>
            <w:vAlign w:val="center"/>
          </w:tcPr>
          <w:p w14:paraId="192AA552" w14:textId="77777777" w:rsidR="00840F80" w:rsidRPr="00594926" w:rsidRDefault="00840F80" w:rsidP="009034F6">
            <w:pPr>
              <w:rPr>
                <w:rFonts w:ascii="Arial" w:hAnsi="Arial" w:cs="Arial"/>
                <w:sz w:val="22"/>
              </w:rPr>
            </w:pPr>
            <w:r w:rsidRPr="00594926">
              <w:rPr>
                <w:rFonts w:ascii="Arial" w:hAnsi="Arial" w:cs="Arial"/>
                <w:b/>
                <w:sz w:val="22"/>
              </w:rPr>
              <w:t>Source</w:t>
            </w:r>
          </w:p>
        </w:tc>
      </w:tr>
      <w:tr w:rsidR="00840F80" w:rsidRPr="00594926" w14:paraId="09C21C06" w14:textId="77777777" w:rsidTr="009034F6">
        <w:trPr>
          <w:jc w:val="center"/>
        </w:trPr>
        <w:tc>
          <w:tcPr>
            <w:tcW w:w="2494" w:type="dxa"/>
            <w:vAlign w:val="center"/>
          </w:tcPr>
          <w:p w14:paraId="059D4EFF" w14:textId="77777777" w:rsidR="00840F80" w:rsidRPr="00594926" w:rsidRDefault="00840F80" w:rsidP="009034F6">
            <w:pPr>
              <w:rPr>
                <w:rFonts w:ascii="Arial" w:hAnsi="Arial" w:cs="Arial"/>
                <w:sz w:val="22"/>
              </w:rPr>
            </w:pPr>
            <w:r w:rsidRPr="00594926">
              <w:rPr>
                <w:rFonts w:ascii="Arial" w:hAnsi="Arial" w:cs="Arial"/>
                <w:sz w:val="22"/>
              </w:rPr>
              <w:t>Perceived Cybersecurity (X1)</w:t>
            </w:r>
          </w:p>
        </w:tc>
        <w:tc>
          <w:tcPr>
            <w:tcW w:w="4649" w:type="dxa"/>
            <w:vAlign w:val="center"/>
          </w:tcPr>
          <w:p w14:paraId="7EEC3146" w14:textId="77777777" w:rsidR="00840F80" w:rsidRPr="00594926" w:rsidRDefault="00840F80" w:rsidP="009034F6">
            <w:pPr>
              <w:rPr>
                <w:rFonts w:ascii="Arial" w:hAnsi="Arial" w:cs="Arial"/>
                <w:sz w:val="22"/>
              </w:rPr>
            </w:pPr>
            <w:r w:rsidRPr="00594926">
              <w:rPr>
                <w:rFonts w:ascii="Arial" w:hAnsi="Arial" w:cs="Arial"/>
                <w:sz w:val="22"/>
              </w:rPr>
              <w:t>Confidentiality; authentication; transaction protection; fraud detection; privacy protection; incident response</w:t>
            </w:r>
          </w:p>
        </w:tc>
        <w:tc>
          <w:tcPr>
            <w:tcW w:w="1361" w:type="dxa"/>
            <w:vAlign w:val="center"/>
          </w:tcPr>
          <w:p w14:paraId="462B43D0" w14:textId="77777777" w:rsidR="00840F80" w:rsidRPr="00594926" w:rsidRDefault="00840F80" w:rsidP="009034F6">
            <w:pPr>
              <w:rPr>
                <w:rFonts w:ascii="Arial" w:hAnsi="Arial" w:cs="Arial"/>
                <w:sz w:val="22"/>
              </w:rPr>
            </w:pPr>
            <w:r w:rsidRPr="00594926">
              <w:rPr>
                <w:rFonts w:ascii="Arial" w:hAnsi="Arial" w:cs="Arial"/>
                <w:sz w:val="22"/>
              </w:rPr>
              <w:t>CYB1–CYB6</w:t>
            </w:r>
          </w:p>
        </w:tc>
        <w:tc>
          <w:tcPr>
            <w:tcW w:w="2721" w:type="dxa"/>
            <w:vAlign w:val="center"/>
          </w:tcPr>
          <w:p w14:paraId="04D5664C" w14:textId="77777777" w:rsidR="00840F80" w:rsidRPr="00594926" w:rsidRDefault="00840F80" w:rsidP="009034F6">
            <w:pPr>
              <w:rPr>
                <w:rFonts w:ascii="Arial" w:hAnsi="Arial" w:cs="Arial"/>
                <w:sz w:val="22"/>
              </w:rPr>
            </w:pPr>
            <w:r w:rsidRPr="00594926">
              <w:rPr>
                <w:rFonts w:ascii="Arial" w:hAnsi="Arial" w:cs="Arial"/>
                <w:sz w:val="22"/>
              </w:rPr>
              <w:t>Aprilia &amp; Amalia (2023); Zulaikha (2025)</w:t>
            </w:r>
          </w:p>
        </w:tc>
      </w:tr>
      <w:tr w:rsidR="00840F80" w:rsidRPr="00594926" w14:paraId="0BF2D2B2" w14:textId="77777777" w:rsidTr="009034F6">
        <w:trPr>
          <w:jc w:val="center"/>
        </w:trPr>
        <w:tc>
          <w:tcPr>
            <w:tcW w:w="2494" w:type="dxa"/>
            <w:vAlign w:val="center"/>
          </w:tcPr>
          <w:p w14:paraId="76B9BE4F" w14:textId="77777777" w:rsidR="00840F80" w:rsidRPr="00594926" w:rsidRDefault="00840F80" w:rsidP="009034F6">
            <w:pPr>
              <w:rPr>
                <w:rFonts w:ascii="Arial" w:hAnsi="Arial" w:cs="Arial"/>
                <w:sz w:val="22"/>
              </w:rPr>
            </w:pPr>
            <w:r w:rsidRPr="00594926">
              <w:rPr>
                <w:rFonts w:ascii="Arial" w:hAnsi="Arial" w:cs="Arial"/>
                <w:sz w:val="22"/>
              </w:rPr>
              <w:t>Digital Financial Literacy (X2)</w:t>
            </w:r>
          </w:p>
        </w:tc>
        <w:tc>
          <w:tcPr>
            <w:tcW w:w="4649" w:type="dxa"/>
            <w:vAlign w:val="center"/>
          </w:tcPr>
          <w:p w14:paraId="4EC6DC60" w14:textId="77777777" w:rsidR="00840F80" w:rsidRPr="00594926" w:rsidRDefault="00840F80" w:rsidP="009034F6">
            <w:pPr>
              <w:rPr>
                <w:rFonts w:ascii="Arial" w:hAnsi="Arial" w:cs="Arial"/>
                <w:sz w:val="22"/>
              </w:rPr>
            </w:pPr>
            <w:r w:rsidRPr="00594926">
              <w:rPr>
                <w:rFonts w:ascii="Arial" w:hAnsi="Arial" w:cs="Arial"/>
                <w:sz w:val="22"/>
              </w:rPr>
              <w:t>Knowledge of digital payments; risk awareness; data protection; information verification; financial decision-making skills; protective behavior</w:t>
            </w:r>
          </w:p>
        </w:tc>
        <w:tc>
          <w:tcPr>
            <w:tcW w:w="1361" w:type="dxa"/>
            <w:vAlign w:val="center"/>
          </w:tcPr>
          <w:p w14:paraId="3E013C7F" w14:textId="77777777" w:rsidR="00840F80" w:rsidRPr="00594926" w:rsidRDefault="00840F80" w:rsidP="009034F6">
            <w:pPr>
              <w:rPr>
                <w:rFonts w:ascii="Arial" w:hAnsi="Arial" w:cs="Arial"/>
                <w:sz w:val="22"/>
              </w:rPr>
            </w:pPr>
            <w:r w:rsidRPr="00594926">
              <w:rPr>
                <w:rFonts w:ascii="Arial" w:hAnsi="Arial" w:cs="Arial"/>
                <w:sz w:val="22"/>
              </w:rPr>
              <w:t>DFL1-DFL6</w:t>
            </w:r>
          </w:p>
        </w:tc>
        <w:tc>
          <w:tcPr>
            <w:tcW w:w="2721" w:type="dxa"/>
            <w:vAlign w:val="center"/>
          </w:tcPr>
          <w:p w14:paraId="507AA402" w14:textId="77777777" w:rsidR="00840F80" w:rsidRPr="00594926" w:rsidRDefault="00840F80" w:rsidP="009034F6">
            <w:pPr>
              <w:rPr>
                <w:rFonts w:ascii="Arial" w:hAnsi="Arial" w:cs="Arial"/>
                <w:sz w:val="22"/>
              </w:rPr>
            </w:pPr>
            <w:r w:rsidRPr="00594926">
              <w:rPr>
                <w:rFonts w:ascii="Arial" w:hAnsi="Arial" w:cs="Arial"/>
                <w:sz w:val="22"/>
              </w:rPr>
              <w:t>OECD (2024; 2026)</w:t>
            </w:r>
          </w:p>
        </w:tc>
      </w:tr>
      <w:tr w:rsidR="00840F80" w:rsidRPr="00594926" w14:paraId="4C89BB28" w14:textId="77777777" w:rsidTr="009034F6">
        <w:trPr>
          <w:jc w:val="center"/>
        </w:trPr>
        <w:tc>
          <w:tcPr>
            <w:tcW w:w="2494" w:type="dxa"/>
            <w:vAlign w:val="center"/>
          </w:tcPr>
          <w:p w14:paraId="7D89B4B4" w14:textId="77777777" w:rsidR="00840F80" w:rsidRPr="00594926" w:rsidRDefault="00840F80" w:rsidP="009034F6">
            <w:pPr>
              <w:rPr>
                <w:rFonts w:ascii="Arial" w:hAnsi="Arial" w:cs="Arial"/>
                <w:sz w:val="22"/>
              </w:rPr>
            </w:pPr>
            <w:r w:rsidRPr="00594926">
              <w:rPr>
                <w:rFonts w:ascii="Arial" w:hAnsi="Arial" w:cs="Arial"/>
                <w:sz w:val="22"/>
              </w:rPr>
              <w:t>Continuation Intention (Y)</w:t>
            </w:r>
          </w:p>
        </w:tc>
        <w:tc>
          <w:tcPr>
            <w:tcW w:w="4649" w:type="dxa"/>
            <w:vAlign w:val="center"/>
          </w:tcPr>
          <w:p w14:paraId="26E64684" w14:textId="77777777" w:rsidR="00840F80" w:rsidRPr="00594926" w:rsidRDefault="00840F80" w:rsidP="009034F6">
            <w:pPr>
              <w:rPr>
                <w:rFonts w:ascii="Arial" w:hAnsi="Arial" w:cs="Arial"/>
                <w:sz w:val="22"/>
              </w:rPr>
            </w:pPr>
            <w:r w:rsidRPr="00594926">
              <w:rPr>
                <w:rFonts w:ascii="Arial" w:hAnsi="Arial" w:cs="Arial"/>
                <w:sz w:val="22"/>
              </w:rPr>
              <w:t>Future use; regular use; primary channel; continued use despite alternatives; long-term intention</w:t>
            </w:r>
          </w:p>
        </w:tc>
        <w:tc>
          <w:tcPr>
            <w:tcW w:w="1361" w:type="dxa"/>
            <w:vAlign w:val="center"/>
          </w:tcPr>
          <w:p w14:paraId="6B2C09CC" w14:textId="77777777" w:rsidR="00840F80" w:rsidRPr="00594926" w:rsidRDefault="00840F80" w:rsidP="009034F6">
            <w:pPr>
              <w:rPr>
                <w:rFonts w:ascii="Arial" w:hAnsi="Arial" w:cs="Arial"/>
                <w:sz w:val="22"/>
              </w:rPr>
            </w:pPr>
            <w:r w:rsidRPr="00594926">
              <w:rPr>
                <w:rFonts w:ascii="Arial" w:hAnsi="Arial" w:cs="Arial"/>
                <w:sz w:val="22"/>
              </w:rPr>
              <w:t>CONT1-CONT5</w:t>
            </w:r>
          </w:p>
        </w:tc>
        <w:tc>
          <w:tcPr>
            <w:tcW w:w="2721" w:type="dxa"/>
            <w:vAlign w:val="center"/>
          </w:tcPr>
          <w:p w14:paraId="1380BAC4" w14:textId="77777777" w:rsidR="00840F80" w:rsidRPr="00594926" w:rsidRDefault="00840F80" w:rsidP="009034F6">
            <w:pPr>
              <w:rPr>
                <w:rFonts w:ascii="Arial" w:hAnsi="Arial" w:cs="Arial"/>
                <w:sz w:val="22"/>
              </w:rPr>
            </w:pPr>
            <w:proofErr w:type="spellStart"/>
            <w:r w:rsidRPr="00594926">
              <w:rPr>
                <w:rFonts w:ascii="Arial" w:hAnsi="Arial" w:cs="Arial"/>
                <w:sz w:val="22"/>
              </w:rPr>
              <w:t>Bhattacherjee</w:t>
            </w:r>
            <w:proofErr w:type="spellEnd"/>
            <w:r w:rsidRPr="00594926">
              <w:rPr>
                <w:rFonts w:ascii="Arial" w:hAnsi="Arial" w:cs="Arial"/>
                <w:sz w:val="22"/>
              </w:rPr>
              <w:t xml:space="preserve"> (2001); Nguyen &amp; Dao (2024)</w:t>
            </w:r>
          </w:p>
        </w:tc>
      </w:tr>
    </w:tbl>
    <w:p w14:paraId="5ADDD215" w14:textId="77777777" w:rsidR="00840F80" w:rsidRPr="00594926" w:rsidRDefault="00840F80" w:rsidP="00840F80">
      <w:pPr>
        <w:spacing w:after="20"/>
        <w:rPr>
          <w:rFonts w:ascii="Arial" w:hAnsi="Arial" w:cs="Arial"/>
          <w:sz w:val="22"/>
        </w:rPr>
      </w:pPr>
    </w:p>
    <w:p w14:paraId="0AD166B2" w14:textId="77777777" w:rsidR="00840F80" w:rsidRPr="00594926" w:rsidRDefault="00840F80" w:rsidP="00840F80">
      <w:pPr>
        <w:pStyle w:val="Heading1"/>
        <w:spacing w:before="100" w:after="60"/>
        <w:rPr>
          <w:rFonts w:ascii="Arial" w:hAnsi="Arial" w:cs="Arial"/>
          <w:color w:val="auto"/>
          <w:sz w:val="22"/>
          <w:szCs w:val="22"/>
        </w:rPr>
      </w:pPr>
      <w:r w:rsidRPr="00594926">
        <w:rPr>
          <w:rFonts w:ascii="Arial" w:hAnsi="Arial" w:cs="Arial"/>
          <w:color w:val="auto"/>
          <w:sz w:val="22"/>
          <w:szCs w:val="22"/>
        </w:rPr>
        <w:t>4. Research Findings</w:t>
      </w:r>
    </w:p>
    <w:p w14:paraId="1E5D5FD5" w14:textId="77777777" w:rsidR="00840F80" w:rsidRPr="00594926" w:rsidRDefault="00840F80" w:rsidP="00840F80">
      <w:pPr>
        <w:pStyle w:val="Heading2"/>
        <w:spacing w:before="100" w:after="60"/>
        <w:rPr>
          <w:rFonts w:ascii="Arial" w:hAnsi="Arial" w:cs="Arial"/>
          <w:color w:val="auto"/>
          <w:szCs w:val="22"/>
        </w:rPr>
      </w:pPr>
      <w:r w:rsidRPr="00594926">
        <w:rPr>
          <w:rFonts w:ascii="Arial" w:hAnsi="Arial" w:cs="Arial"/>
          <w:color w:val="auto"/>
          <w:szCs w:val="22"/>
        </w:rPr>
        <w:t>4.1 Respondent Characteristics</w:t>
      </w:r>
    </w:p>
    <w:p w14:paraId="7F322573" w14:textId="77777777" w:rsidR="00840F80" w:rsidRPr="00594926" w:rsidRDefault="00840F80" w:rsidP="00840F80">
      <w:pPr>
        <w:spacing w:after="80" w:line="252" w:lineRule="auto"/>
        <w:jc w:val="both"/>
        <w:rPr>
          <w:rFonts w:ascii="Arial" w:hAnsi="Arial" w:cs="Arial"/>
          <w:sz w:val="22"/>
        </w:rPr>
      </w:pPr>
      <w:r w:rsidRPr="00594926">
        <w:rPr>
          <w:rFonts w:ascii="Arial" w:hAnsi="Arial"/>
          <w:sz w:val="22"/>
        </w:rPr>
        <w:t>The study included 468 respondents ranging in age from 18 to over 55 years and from Java, Sumatra, Kalimantan, Sulawesi, Bali-Nusa Tenggara, and Maluku-Papua. Respondents were also categorised based on their primary bank, duration of mobile banking use, transaction frequency, and education level to ensure that the study design was not limited to a single bank or city.</w:t>
      </w:r>
    </w:p>
    <w:p w14:paraId="41D39A06" w14:textId="77777777" w:rsidR="002A4162" w:rsidRPr="00594926" w:rsidRDefault="002A4162" w:rsidP="00840F80">
      <w:pPr>
        <w:spacing w:after="80" w:line="252" w:lineRule="auto"/>
        <w:jc w:val="both"/>
        <w:rPr>
          <w:rFonts w:ascii="Arial" w:hAnsi="Arial" w:cs="Arial"/>
          <w:sz w:val="22"/>
        </w:rPr>
      </w:pPr>
    </w:p>
    <w:p w14:paraId="6DC8ABB9" w14:textId="77777777" w:rsidR="002A4162" w:rsidRPr="00594926" w:rsidRDefault="00783A79" w:rsidP="00840F80">
      <w:pPr>
        <w:spacing w:after="80" w:line="252" w:lineRule="auto"/>
        <w:jc w:val="both"/>
        <w:rPr>
          <w:rFonts w:ascii="Arial" w:hAnsi="Arial" w:cs="Arial"/>
          <w:sz w:val="22"/>
        </w:rPr>
      </w:pPr>
      <w:r w:rsidRPr="00594926">
        <w:rPr>
          <w:rFonts w:ascii="Arial" w:hAnsi="Arial" w:cs="Arial"/>
          <w:sz w:val="22"/>
        </w:rPr>
        <w:t>Table 2: Demographic and Banking Characteristics of the Respondents</w:t>
      </w:r>
    </w:p>
    <w:tbl>
      <w:tblPr>
        <w:tblStyle w:val="TableGrid"/>
        <w:tblW w:w="0" w:type="auto"/>
        <w:jc w:val="center"/>
        <w:tblLook w:val="04A0" w:firstRow="1" w:lastRow="0" w:firstColumn="1" w:lastColumn="0" w:noHBand="0" w:noVBand="1"/>
      </w:tblPr>
      <w:tblGrid>
        <w:gridCol w:w="2154"/>
        <w:gridCol w:w="2948"/>
        <w:gridCol w:w="1134"/>
        <w:gridCol w:w="1417"/>
      </w:tblGrid>
      <w:tr w:rsidR="00840F80" w:rsidRPr="00594926" w14:paraId="6C5ADBA3" w14:textId="77777777" w:rsidTr="009034F6">
        <w:trPr>
          <w:jc w:val="center"/>
        </w:trPr>
        <w:tc>
          <w:tcPr>
            <w:tcW w:w="2154" w:type="dxa"/>
            <w:shd w:val="clear" w:color="auto" w:fill="D9EAF7"/>
            <w:vAlign w:val="center"/>
          </w:tcPr>
          <w:p w14:paraId="4670C65A" w14:textId="77777777" w:rsidR="00840F80" w:rsidRPr="00594926" w:rsidRDefault="00840F80" w:rsidP="009034F6">
            <w:pPr>
              <w:rPr>
                <w:rFonts w:ascii="Arial" w:hAnsi="Arial" w:cs="Arial"/>
                <w:sz w:val="22"/>
              </w:rPr>
            </w:pPr>
            <w:r w:rsidRPr="00594926">
              <w:rPr>
                <w:rFonts w:ascii="Arial" w:hAnsi="Arial" w:cs="Arial"/>
                <w:b/>
                <w:sz w:val="22"/>
              </w:rPr>
              <w:t>Characteristics</w:t>
            </w:r>
          </w:p>
        </w:tc>
        <w:tc>
          <w:tcPr>
            <w:tcW w:w="2948" w:type="dxa"/>
            <w:shd w:val="clear" w:color="auto" w:fill="D9EAF7"/>
            <w:vAlign w:val="center"/>
          </w:tcPr>
          <w:p w14:paraId="6F764522" w14:textId="77777777" w:rsidR="00840F80" w:rsidRPr="00594926" w:rsidRDefault="00840F80" w:rsidP="009034F6">
            <w:pPr>
              <w:rPr>
                <w:rFonts w:ascii="Arial" w:hAnsi="Arial" w:cs="Arial"/>
                <w:sz w:val="22"/>
              </w:rPr>
            </w:pPr>
            <w:r w:rsidRPr="00594926">
              <w:rPr>
                <w:rFonts w:ascii="Arial" w:hAnsi="Arial" w:cs="Arial"/>
                <w:b/>
                <w:sz w:val="22"/>
              </w:rPr>
              <w:t>Category</w:t>
            </w:r>
          </w:p>
        </w:tc>
        <w:tc>
          <w:tcPr>
            <w:tcW w:w="1134" w:type="dxa"/>
            <w:shd w:val="clear" w:color="auto" w:fill="D9EAF7"/>
            <w:vAlign w:val="center"/>
          </w:tcPr>
          <w:p w14:paraId="27470C69" w14:textId="77777777" w:rsidR="00840F80" w:rsidRPr="00594926" w:rsidRDefault="00840F80" w:rsidP="009034F6">
            <w:pPr>
              <w:rPr>
                <w:rFonts w:ascii="Arial" w:hAnsi="Arial" w:cs="Arial"/>
                <w:sz w:val="22"/>
              </w:rPr>
            </w:pPr>
            <w:r w:rsidRPr="00594926">
              <w:rPr>
                <w:rFonts w:ascii="Arial" w:hAnsi="Arial" w:cs="Arial"/>
                <w:b/>
                <w:sz w:val="22"/>
              </w:rPr>
              <w:t>n</w:t>
            </w:r>
          </w:p>
        </w:tc>
        <w:tc>
          <w:tcPr>
            <w:tcW w:w="1417" w:type="dxa"/>
            <w:shd w:val="clear" w:color="auto" w:fill="D9EAF7"/>
            <w:vAlign w:val="center"/>
          </w:tcPr>
          <w:p w14:paraId="6BB3D0B7" w14:textId="77777777" w:rsidR="00840F80" w:rsidRPr="00594926" w:rsidRDefault="00840F80" w:rsidP="009034F6">
            <w:pPr>
              <w:rPr>
                <w:rFonts w:ascii="Arial" w:hAnsi="Arial" w:cs="Arial"/>
                <w:sz w:val="22"/>
              </w:rPr>
            </w:pPr>
            <w:r w:rsidRPr="00594926">
              <w:rPr>
                <w:rFonts w:ascii="Arial" w:hAnsi="Arial" w:cs="Arial"/>
                <w:b/>
                <w:sz w:val="22"/>
              </w:rPr>
              <w:t>%</w:t>
            </w:r>
          </w:p>
        </w:tc>
      </w:tr>
      <w:tr w:rsidR="00840F80" w:rsidRPr="00594926" w14:paraId="73C58E1B" w14:textId="77777777" w:rsidTr="009034F6">
        <w:trPr>
          <w:jc w:val="center"/>
        </w:trPr>
        <w:tc>
          <w:tcPr>
            <w:tcW w:w="2154" w:type="dxa"/>
            <w:vAlign w:val="center"/>
          </w:tcPr>
          <w:p w14:paraId="74A8F06D" w14:textId="77777777" w:rsidR="00840F80" w:rsidRPr="00594926" w:rsidRDefault="00840F80" w:rsidP="009034F6">
            <w:pPr>
              <w:rPr>
                <w:rFonts w:ascii="Arial" w:hAnsi="Arial" w:cs="Arial"/>
                <w:sz w:val="22"/>
              </w:rPr>
            </w:pPr>
            <w:r w:rsidRPr="00594926">
              <w:rPr>
                <w:rFonts w:ascii="Arial" w:hAnsi="Arial" w:cs="Arial"/>
                <w:sz w:val="22"/>
              </w:rPr>
              <w:t>Gender</w:t>
            </w:r>
          </w:p>
        </w:tc>
        <w:tc>
          <w:tcPr>
            <w:tcW w:w="2948" w:type="dxa"/>
            <w:vAlign w:val="center"/>
          </w:tcPr>
          <w:p w14:paraId="101C7B50" w14:textId="77777777" w:rsidR="00840F80" w:rsidRPr="00594926" w:rsidRDefault="00840F80" w:rsidP="009034F6">
            <w:pPr>
              <w:rPr>
                <w:rFonts w:ascii="Arial" w:hAnsi="Arial" w:cs="Arial"/>
                <w:sz w:val="22"/>
              </w:rPr>
            </w:pPr>
            <w:r w:rsidRPr="00594926">
              <w:rPr>
                <w:rFonts w:ascii="Arial" w:hAnsi="Arial" w:cs="Arial"/>
                <w:sz w:val="22"/>
              </w:rPr>
              <w:t>Female</w:t>
            </w:r>
          </w:p>
        </w:tc>
        <w:tc>
          <w:tcPr>
            <w:tcW w:w="1134" w:type="dxa"/>
            <w:vAlign w:val="center"/>
          </w:tcPr>
          <w:p w14:paraId="2FB36D54" w14:textId="77777777" w:rsidR="00840F80" w:rsidRPr="00594926" w:rsidRDefault="00840F80" w:rsidP="009034F6">
            <w:pPr>
              <w:rPr>
                <w:rFonts w:ascii="Arial" w:hAnsi="Arial" w:cs="Arial"/>
                <w:sz w:val="22"/>
              </w:rPr>
            </w:pPr>
            <w:r w:rsidRPr="00594926">
              <w:rPr>
                <w:rFonts w:ascii="Arial" w:hAnsi="Arial" w:cs="Arial"/>
                <w:sz w:val="22"/>
              </w:rPr>
              <w:t>250</w:t>
            </w:r>
          </w:p>
        </w:tc>
        <w:tc>
          <w:tcPr>
            <w:tcW w:w="1417" w:type="dxa"/>
            <w:vAlign w:val="center"/>
          </w:tcPr>
          <w:p w14:paraId="1175EB03" w14:textId="77777777" w:rsidR="00840F80" w:rsidRPr="00594926" w:rsidRDefault="00840F80" w:rsidP="009034F6">
            <w:pPr>
              <w:rPr>
                <w:rFonts w:ascii="Arial" w:hAnsi="Arial" w:cs="Arial"/>
                <w:sz w:val="22"/>
              </w:rPr>
            </w:pPr>
            <w:r w:rsidRPr="00594926">
              <w:rPr>
                <w:rFonts w:ascii="Arial" w:hAnsi="Arial" w:cs="Arial"/>
                <w:sz w:val="22"/>
              </w:rPr>
              <w:t>53.4%</w:t>
            </w:r>
          </w:p>
        </w:tc>
      </w:tr>
      <w:tr w:rsidR="00840F80" w:rsidRPr="00594926" w14:paraId="5EAD4D77" w14:textId="77777777" w:rsidTr="009034F6">
        <w:trPr>
          <w:jc w:val="center"/>
        </w:trPr>
        <w:tc>
          <w:tcPr>
            <w:tcW w:w="2154" w:type="dxa"/>
            <w:vAlign w:val="center"/>
          </w:tcPr>
          <w:p w14:paraId="7CE98E9A" w14:textId="77777777" w:rsidR="00840F80" w:rsidRPr="00594926" w:rsidRDefault="00840F80" w:rsidP="009034F6">
            <w:pPr>
              <w:rPr>
                <w:rFonts w:ascii="Arial" w:hAnsi="Arial" w:cs="Arial"/>
                <w:sz w:val="22"/>
              </w:rPr>
            </w:pPr>
          </w:p>
        </w:tc>
        <w:tc>
          <w:tcPr>
            <w:tcW w:w="2948" w:type="dxa"/>
            <w:vAlign w:val="center"/>
          </w:tcPr>
          <w:p w14:paraId="2710A042" w14:textId="77777777" w:rsidR="00840F80" w:rsidRPr="00594926" w:rsidRDefault="00840F80" w:rsidP="009034F6">
            <w:pPr>
              <w:rPr>
                <w:rFonts w:ascii="Arial" w:hAnsi="Arial" w:cs="Arial"/>
                <w:sz w:val="22"/>
              </w:rPr>
            </w:pPr>
            <w:r w:rsidRPr="00594926">
              <w:rPr>
                <w:rFonts w:ascii="Arial" w:hAnsi="Arial" w:cs="Arial"/>
                <w:sz w:val="22"/>
              </w:rPr>
              <w:t>Male</w:t>
            </w:r>
          </w:p>
        </w:tc>
        <w:tc>
          <w:tcPr>
            <w:tcW w:w="1134" w:type="dxa"/>
            <w:vAlign w:val="center"/>
          </w:tcPr>
          <w:p w14:paraId="43E0D69F" w14:textId="77777777" w:rsidR="00840F80" w:rsidRPr="00594926" w:rsidRDefault="00840F80" w:rsidP="009034F6">
            <w:pPr>
              <w:rPr>
                <w:rFonts w:ascii="Arial" w:hAnsi="Arial" w:cs="Arial"/>
                <w:sz w:val="22"/>
              </w:rPr>
            </w:pPr>
            <w:r w:rsidRPr="00594926">
              <w:rPr>
                <w:rFonts w:ascii="Arial" w:hAnsi="Arial" w:cs="Arial"/>
                <w:sz w:val="22"/>
              </w:rPr>
              <w:t>218</w:t>
            </w:r>
          </w:p>
        </w:tc>
        <w:tc>
          <w:tcPr>
            <w:tcW w:w="1417" w:type="dxa"/>
            <w:vAlign w:val="center"/>
          </w:tcPr>
          <w:p w14:paraId="23967904" w14:textId="77777777" w:rsidR="00840F80" w:rsidRPr="00594926" w:rsidRDefault="00840F80" w:rsidP="009034F6">
            <w:pPr>
              <w:rPr>
                <w:rFonts w:ascii="Arial" w:hAnsi="Arial" w:cs="Arial"/>
                <w:sz w:val="22"/>
              </w:rPr>
            </w:pPr>
            <w:r w:rsidRPr="00594926">
              <w:rPr>
                <w:rFonts w:ascii="Arial" w:hAnsi="Arial" w:cs="Arial"/>
                <w:sz w:val="22"/>
              </w:rPr>
              <w:t>46.6%</w:t>
            </w:r>
          </w:p>
        </w:tc>
      </w:tr>
      <w:tr w:rsidR="00840F80" w:rsidRPr="00594926" w14:paraId="0B7505F0" w14:textId="77777777" w:rsidTr="009034F6">
        <w:trPr>
          <w:jc w:val="center"/>
        </w:trPr>
        <w:tc>
          <w:tcPr>
            <w:tcW w:w="2154" w:type="dxa"/>
            <w:vAlign w:val="center"/>
          </w:tcPr>
          <w:p w14:paraId="3981C538" w14:textId="77777777" w:rsidR="00840F80" w:rsidRPr="00594926" w:rsidRDefault="00840F80" w:rsidP="009034F6">
            <w:pPr>
              <w:rPr>
                <w:rFonts w:ascii="Arial" w:hAnsi="Arial" w:cs="Arial"/>
                <w:sz w:val="22"/>
              </w:rPr>
            </w:pPr>
            <w:r w:rsidRPr="00594926">
              <w:rPr>
                <w:rFonts w:ascii="Arial" w:hAnsi="Arial" w:cs="Arial"/>
                <w:sz w:val="22"/>
              </w:rPr>
              <w:t>Bank Type</w:t>
            </w:r>
          </w:p>
        </w:tc>
        <w:tc>
          <w:tcPr>
            <w:tcW w:w="2948" w:type="dxa"/>
            <w:vAlign w:val="center"/>
          </w:tcPr>
          <w:p w14:paraId="4277B9E7" w14:textId="77777777" w:rsidR="00840F80" w:rsidRPr="00594926" w:rsidRDefault="00840F80" w:rsidP="009034F6">
            <w:pPr>
              <w:rPr>
                <w:rFonts w:ascii="Arial" w:hAnsi="Arial" w:cs="Arial"/>
                <w:sz w:val="22"/>
              </w:rPr>
            </w:pPr>
            <w:r w:rsidRPr="00594926">
              <w:rPr>
                <w:rFonts w:ascii="Arial" w:hAnsi="Arial" w:cs="Arial"/>
                <w:sz w:val="22"/>
              </w:rPr>
              <w:t>Conventional banks</w:t>
            </w:r>
          </w:p>
        </w:tc>
        <w:tc>
          <w:tcPr>
            <w:tcW w:w="1134" w:type="dxa"/>
            <w:vAlign w:val="center"/>
          </w:tcPr>
          <w:p w14:paraId="0623B47A" w14:textId="77777777" w:rsidR="00840F80" w:rsidRPr="00594926" w:rsidRDefault="00840F80" w:rsidP="009034F6">
            <w:pPr>
              <w:rPr>
                <w:rFonts w:ascii="Arial" w:hAnsi="Arial" w:cs="Arial"/>
                <w:sz w:val="22"/>
              </w:rPr>
            </w:pPr>
            <w:r w:rsidRPr="00594926">
              <w:rPr>
                <w:rFonts w:ascii="Arial" w:hAnsi="Arial" w:cs="Arial"/>
                <w:sz w:val="22"/>
              </w:rPr>
              <w:t>264</w:t>
            </w:r>
          </w:p>
        </w:tc>
        <w:tc>
          <w:tcPr>
            <w:tcW w:w="1417" w:type="dxa"/>
            <w:vAlign w:val="center"/>
          </w:tcPr>
          <w:p w14:paraId="22CF72D4" w14:textId="77777777" w:rsidR="00840F80" w:rsidRPr="00594926" w:rsidRDefault="00840F80" w:rsidP="009034F6">
            <w:pPr>
              <w:rPr>
                <w:rFonts w:ascii="Arial" w:hAnsi="Arial" w:cs="Arial"/>
                <w:sz w:val="22"/>
              </w:rPr>
            </w:pPr>
            <w:r w:rsidRPr="00594926">
              <w:rPr>
                <w:rFonts w:ascii="Arial" w:hAnsi="Arial" w:cs="Arial"/>
                <w:sz w:val="22"/>
              </w:rPr>
              <w:t>56.4</w:t>
            </w:r>
          </w:p>
        </w:tc>
      </w:tr>
      <w:tr w:rsidR="00840F80" w:rsidRPr="00594926" w14:paraId="037BCA67" w14:textId="77777777" w:rsidTr="009034F6">
        <w:trPr>
          <w:jc w:val="center"/>
        </w:trPr>
        <w:tc>
          <w:tcPr>
            <w:tcW w:w="2154" w:type="dxa"/>
            <w:vAlign w:val="center"/>
          </w:tcPr>
          <w:p w14:paraId="23717047" w14:textId="77777777" w:rsidR="00840F80" w:rsidRPr="00594926" w:rsidRDefault="00840F80" w:rsidP="009034F6">
            <w:pPr>
              <w:rPr>
                <w:rFonts w:ascii="Arial" w:hAnsi="Arial" w:cs="Arial"/>
                <w:sz w:val="22"/>
              </w:rPr>
            </w:pPr>
          </w:p>
        </w:tc>
        <w:tc>
          <w:tcPr>
            <w:tcW w:w="2948" w:type="dxa"/>
            <w:vAlign w:val="center"/>
          </w:tcPr>
          <w:p w14:paraId="51ED0E16" w14:textId="77777777" w:rsidR="00840F80" w:rsidRPr="00594926" w:rsidRDefault="00840F80" w:rsidP="009034F6">
            <w:pPr>
              <w:rPr>
                <w:rFonts w:ascii="Arial" w:hAnsi="Arial" w:cs="Arial"/>
                <w:sz w:val="22"/>
              </w:rPr>
            </w:pPr>
            <w:r w:rsidRPr="00594926">
              <w:rPr>
                <w:rFonts w:ascii="Arial" w:hAnsi="Arial" w:cs="Arial"/>
                <w:sz w:val="22"/>
              </w:rPr>
              <w:t>Digital banks</w:t>
            </w:r>
          </w:p>
        </w:tc>
        <w:tc>
          <w:tcPr>
            <w:tcW w:w="1134" w:type="dxa"/>
            <w:vAlign w:val="center"/>
          </w:tcPr>
          <w:p w14:paraId="0E4247F9" w14:textId="77777777" w:rsidR="00840F80" w:rsidRPr="00594926" w:rsidRDefault="00840F80" w:rsidP="009034F6">
            <w:pPr>
              <w:rPr>
                <w:rFonts w:ascii="Arial" w:hAnsi="Arial" w:cs="Arial"/>
                <w:sz w:val="22"/>
              </w:rPr>
            </w:pPr>
            <w:r w:rsidRPr="00594926">
              <w:rPr>
                <w:rFonts w:ascii="Arial" w:hAnsi="Arial" w:cs="Arial"/>
                <w:sz w:val="22"/>
              </w:rPr>
              <w:t>126</w:t>
            </w:r>
          </w:p>
        </w:tc>
        <w:tc>
          <w:tcPr>
            <w:tcW w:w="1417" w:type="dxa"/>
            <w:vAlign w:val="center"/>
          </w:tcPr>
          <w:p w14:paraId="1FCFD71A" w14:textId="77777777" w:rsidR="00840F80" w:rsidRPr="00594926" w:rsidRDefault="00840F80" w:rsidP="009034F6">
            <w:pPr>
              <w:rPr>
                <w:rFonts w:ascii="Arial" w:hAnsi="Arial" w:cs="Arial"/>
                <w:sz w:val="22"/>
              </w:rPr>
            </w:pPr>
            <w:r w:rsidRPr="00594926">
              <w:rPr>
                <w:rFonts w:ascii="Arial" w:hAnsi="Arial" w:cs="Arial"/>
                <w:sz w:val="22"/>
              </w:rPr>
              <w:t>26.9%</w:t>
            </w:r>
          </w:p>
        </w:tc>
      </w:tr>
      <w:tr w:rsidR="00840F80" w:rsidRPr="00594926" w14:paraId="7D413E6B" w14:textId="77777777" w:rsidTr="009034F6">
        <w:trPr>
          <w:jc w:val="center"/>
        </w:trPr>
        <w:tc>
          <w:tcPr>
            <w:tcW w:w="2154" w:type="dxa"/>
            <w:vAlign w:val="center"/>
          </w:tcPr>
          <w:p w14:paraId="3F108F9C" w14:textId="77777777" w:rsidR="00840F80" w:rsidRPr="00594926" w:rsidRDefault="00840F80" w:rsidP="009034F6">
            <w:pPr>
              <w:rPr>
                <w:rFonts w:ascii="Arial" w:hAnsi="Arial" w:cs="Arial"/>
                <w:sz w:val="22"/>
              </w:rPr>
            </w:pPr>
          </w:p>
        </w:tc>
        <w:tc>
          <w:tcPr>
            <w:tcW w:w="2948" w:type="dxa"/>
            <w:vAlign w:val="center"/>
          </w:tcPr>
          <w:p w14:paraId="7962245E" w14:textId="77777777" w:rsidR="00840F80" w:rsidRPr="00594926" w:rsidRDefault="00840F80" w:rsidP="009034F6">
            <w:pPr>
              <w:rPr>
                <w:rFonts w:ascii="Arial" w:hAnsi="Arial" w:cs="Arial"/>
                <w:sz w:val="22"/>
              </w:rPr>
            </w:pPr>
            <w:r w:rsidRPr="00594926">
              <w:rPr>
                <w:rFonts w:ascii="Arial" w:hAnsi="Arial" w:cs="Arial"/>
                <w:sz w:val="22"/>
              </w:rPr>
              <w:t>Islamic banks</w:t>
            </w:r>
          </w:p>
        </w:tc>
        <w:tc>
          <w:tcPr>
            <w:tcW w:w="1134" w:type="dxa"/>
            <w:vAlign w:val="center"/>
          </w:tcPr>
          <w:p w14:paraId="451A1C0A" w14:textId="77777777" w:rsidR="00840F80" w:rsidRPr="00594926" w:rsidRDefault="00840F80" w:rsidP="009034F6">
            <w:pPr>
              <w:rPr>
                <w:rFonts w:ascii="Arial" w:hAnsi="Arial" w:cs="Arial"/>
                <w:sz w:val="22"/>
              </w:rPr>
            </w:pPr>
            <w:r w:rsidRPr="00594926">
              <w:rPr>
                <w:rFonts w:ascii="Arial" w:hAnsi="Arial" w:cs="Arial"/>
                <w:sz w:val="22"/>
              </w:rPr>
              <w:t>78</w:t>
            </w:r>
          </w:p>
        </w:tc>
        <w:tc>
          <w:tcPr>
            <w:tcW w:w="1417" w:type="dxa"/>
            <w:vAlign w:val="center"/>
          </w:tcPr>
          <w:p w14:paraId="15B28912" w14:textId="77777777" w:rsidR="00840F80" w:rsidRPr="00594926" w:rsidRDefault="00840F80" w:rsidP="009034F6">
            <w:pPr>
              <w:rPr>
                <w:rFonts w:ascii="Arial" w:hAnsi="Arial" w:cs="Arial"/>
                <w:sz w:val="22"/>
              </w:rPr>
            </w:pPr>
            <w:r w:rsidRPr="00594926">
              <w:rPr>
                <w:rFonts w:ascii="Arial" w:hAnsi="Arial" w:cs="Arial"/>
                <w:sz w:val="22"/>
              </w:rPr>
              <w:t>16.7%</w:t>
            </w:r>
          </w:p>
        </w:tc>
      </w:tr>
      <w:tr w:rsidR="00840F80" w:rsidRPr="00594926" w14:paraId="31C1B8AE" w14:textId="77777777" w:rsidTr="009034F6">
        <w:trPr>
          <w:jc w:val="center"/>
        </w:trPr>
        <w:tc>
          <w:tcPr>
            <w:tcW w:w="2154" w:type="dxa"/>
            <w:vAlign w:val="center"/>
          </w:tcPr>
          <w:p w14:paraId="4B0488A1" w14:textId="77777777" w:rsidR="00840F80" w:rsidRPr="00594926" w:rsidRDefault="00840F80" w:rsidP="009034F6">
            <w:pPr>
              <w:rPr>
                <w:rFonts w:ascii="Arial" w:hAnsi="Arial" w:cs="Arial"/>
                <w:sz w:val="22"/>
              </w:rPr>
            </w:pPr>
            <w:r w:rsidRPr="00594926">
              <w:rPr>
                <w:rFonts w:ascii="Arial" w:hAnsi="Arial" w:cs="Arial"/>
                <w:sz w:val="22"/>
              </w:rPr>
              <w:t>Region</w:t>
            </w:r>
          </w:p>
        </w:tc>
        <w:tc>
          <w:tcPr>
            <w:tcW w:w="2948" w:type="dxa"/>
            <w:vAlign w:val="center"/>
          </w:tcPr>
          <w:p w14:paraId="07FA68C6" w14:textId="77777777" w:rsidR="00840F80" w:rsidRPr="00594926" w:rsidRDefault="00840F80" w:rsidP="009034F6">
            <w:pPr>
              <w:rPr>
                <w:rFonts w:ascii="Arial" w:hAnsi="Arial" w:cs="Arial"/>
                <w:sz w:val="22"/>
              </w:rPr>
            </w:pPr>
            <w:r w:rsidRPr="00594926">
              <w:rPr>
                <w:rFonts w:ascii="Arial" w:hAnsi="Arial" w:cs="Arial"/>
                <w:sz w:val="22"/>
              </w:rPr>
              <w:t>Java</w:t>
            </w:r>
          </w:p>
        </w:tc>
        <w:tc>
          <w:tcPr>
            <w:tcW w:w="1134" w:type="dxa"/>
            <w:vAlign w:val="center"/>
          </w:tcPr>
          <w:p w14:paraId="2C923711" w14:textId="77777777" w:rsidR="00840F80" w:rsidRPr="00594926" w:rsidRDefault="00840F80" w:rsidP="009034F6">
            <w:pPr>
              <w:rPr>
                <w:rFonts w:ascii="Arial" w:hAnsi="Arial" w:cs="Arial"/>
                <w:sz w:val="22"/>
              </w:rPr>
            </w:pPr>
            <w:r w:rsidRPr="00594926">
              <w:rPr>
                <w:rFonts w:ascii="Arial" w:hAnsi="Arial" w:cs="Arial"/>
                <w:sz w:val="22"/>
              </w:rPr>
              <w:t>222</w:t>
            </w:r>
          </w:p>
        </w:tc>
        <w:tc>
          <w:tcPr>
            <w:tcW w:w="1417" w:type="dxa"/>
            <w:vAlign w:val="center"/>
          </w:tcPr>
          <w:p w14:paraId="0057576E" w14:textId="77777777" w:rsidR="00840F80" w:rsidRPr="00594926" w:rsidRDefault="00840F80" w:rsidP="009034F6">
            <w:pPr>
              <w:rPr>
                <w:rFonts w:ascii="Arial" w:hAnsi="Arial" w:cs="Arial"/>
                <w:sz w:val="22"/>
              </w:rPr>
            </w:pPr>
            <w:r w:rsidRPr="00594926">
              <w:rPr>
                <w:rFonts w:ascii="Arial" w:hAnsi="Arial" w:cs="Arial"/>
                <w:sz w:val="22"/>
              </w:rPr>
              <w:t>47.4%</w:t>
            </w:r>
          </w:p>
        </w:tc>
      </w:tr>
      <w:tr w:rsidR="00840F80" w:rsidRPr="00594926" w14:paraId="391ED4CC" w14:textId="77777777" w:rsidTr="009034F6">
        <w:trPr>
          <w:jc w:val="center"/>
        </w:trPr>
        <w:tc>
          <w:tcPr>
            <w:tcW w:w="2154" w:type="dxa"/>
            <w:vAlign w:val="center"/>
          </w:tcPr>
          <w:p w14:paraId="6FD6BB02" w14:textId="77777777" w:rsidR="00840F80" w:rsidRPr="00594926" w:rsidRDefault="00840F80" w:rsidP="009034F6">
            <w:pPr>
              <w:rPr>
                <w:rFonts w:ascii="Arial" w:hAnsi="Arial" w:cs="Arial"/>
                <w:sz w:val="22"/>
              </w:rPr>
            </w:pPr>
          </w:p>
        </w:tc>
        <w:tc>
          <w:tcPr>
            <w:tcW w:w="2948" w:type="dxa"/>
            <w:vAlign w:val="center"/>
          </w:tcPr>
          <w:p w14:paraId="1BD1351D" w14:textId="77777777" w:rsidR="00840F80" w:rsidRPr="00594926" w:rsidRDefault="00840F80" w:rsidP="009034F6">
            <w:pPr>
              <w:rPr>
                <w:rFonts w:ascii="Arial" w:hAnsi="Arial" w:cs="Arial"/>
                <w:sz w:val="22"/>
              </w:rPr>
            </w:pPr>
            <w:r w:rsidRPr="00594926">
              <w:rPr>
                <w:rFonts w:ascii="Arial" w:hAnsi="Arial" w:cs="Arial"/>
                <w:sz w:val="22"/>
              </w:rPr>
              <w:t>Sumatra</w:t>
            </w:r>
          </w:p>
        </w:tc>
        <w:tc>
          <w:tcPr>
            <w:tcW w:w="1134" w:type="dxa"/>
            <w:vAlign w:val="center"/>
          </w:tcPr>
          <w:p w14:paraId="43EF56E7" w14:textId="77777777" w:rsidR="00840F80" w:rsidRPr="00594926" w:rsidRDefault="00840F80" w:rsidP="009034F6">
            <w:pPr>
              <w:rPr>
                <w:rFonts w:ascii="Arial" w:hAnsi="Arial" w:cs="Arial"/>
                <w:sz w:val="22"/>
              </w:rPr>
            </w:pPr>
            <w:r w:rsidRPr="00594926">
              <w:rPr>
                <w:rFonts w:ascii="Arial" w:hAnsi="Arial" w:cs="Arial"/>
                <w:sz w:val="22"/>
              </w:rPr>
              <w:t>86</w:t>
            </w:r>
          </w:p>
        </w:tc>
        <w:tc>
          <w:tcPr>
            <w:tcW w:w="1417" w:type="dxa"/>
            <w:vAlign w:val="center"/>
          </w:tcPr>
          <w:p w14:paraId="4FE5ACB1" w14:textId="77777777" w:rsidR="00840F80" w:rsidRPr="00594926" w:rsidRDefault="00840F80" w:rsidP="009034F6">
            <w:pPr>
              <w:rPr>
                <w:rFonts w:ascii="Arial" w:hAnsi="Arial" w:cs="Arial"/>
                <w:sz w:val="22"/>
              </w:rPr>
            </w:pPr>
            <w:r w:rsidRPr="00594926">
              <w:rPr>
                <w:rFonts w:ascii="Arial" w:hAnsi="Arial" w:cs="Arial"/>
                <w:sz w:val="22"/>
              </w:rPr>
              <w:t>18.4%</w:t>
            </w:r>
          </w:p>
        </w:tc>
      </w:tr>
      <w:tr w:rsidR="00840F80" w:rsidRPr="00594926" w14:paraId="6430FF8A" w14:textId="77777777" w:rsidTr="009034F6">
        <w:trPr>
          <w:jc w:val="center"/>
        </w:trPr>
        <w:tc>
          <w:tcPr>
            <w:tcW w:w="2154" w:type="dxa"/>
            <w:vAlign w:val="center"/>
          </w:tcPr>
          <w:p w14:paraId="6ED66F6C" w14:textId="77777777" w:rsidR="00840F80" w:rsidRPr="00594926" w:rsidRDefault="00840F80" w:rsidP="009034F6">
            <w:pPr>
              <w:rPr>
                <w:rFonts w:ascii="Arial" w:hAnsi="Arial" w:cs="Arial"/>
                <w:sz w:val="22"/>
              </w:rPr>
            </w:pPr>
          </w:p>
        </w:tc>
        <w:tc>
          <w:tcPr>
            <w:tcW w:w="2948" w:type="dxa"/>
            <w:vAlign w:val="center"/>
          </w:tcPr>
          <w:p w14:paraId="337D6FDB" w14:textId="77777777" w:rsidR="00840F80" w:rsidRPr="00594926" w:rsidRDefault="00840F80" w:rsidP="009034F6">
            <w:pPr>
              <w:rPr>
                <w:rFonts w:ascii="Arial" w:hAnsi="Arial" w:cs="Arial"/>
                <w:sz w:val="22"/>
              </w:rPr>
            </w:pPr>
            <w:r w:rsidRPr="00594926">
              <w:rPr>
                <w:rFonts w:ascii="Arial" w:hAnsi="Arial" w:cs="Arial"/>
                <w:sz w:val="22"/>
              </w:rPr>
              <w:t>Kalimantan</w:t>
            </w:r>
          </w:p>
        </w:tc>
        <w:tc>
          <w:tcPr>
            <w:tcW w:w="1134" w:type="dxa"/>
            <w:vAlign w:val="center"/>
          </w:tcPr>
          <w:p w14:paraId="6E38F481" w14:textId="77777777" w:rsidR="00840F80" w:rsidRPr="00594926" w:rsidRDefault="00840F80" w:rsidP="009034F6">
            <w:pPr>
              <w:rPr>
                <w:rFonts w:ascii="Arial" w:hAnsi="Arial" w:cs="Arial"/>
                <w:sz w:val="22"/>
              </w:rPr>
            </w:pPr>
            <w:r w:rsidRPr="00594926">
              <w:rPr>
                <w:rFonts w:ascii="Arial" w:hAnsi="Arial" w:cs="Arial"/>
                <w:sz w:val="22"/>
              </w:rPr>
              <w:t>48</w:t>
            </w:r>
          </w:p>
        </w:tc>
        <w:tc>
          <w:tcPr>
            <w:tcW w:w="1417" w:type="dxa"/>
            <w:vAlign w:val="center"/>
          </w:tcPr>
          <w:p w14:paraId="1A08F1CD" w14:textId="77777777" w:rsidR="00840F80" w:rsidRPr="00594926" w:rsidRDefault="00840F80" w:rsidP="009034F6">
            <w:pPr>
              <w:rPr>
                <w:rFonts w:ascii="Arial" w:hAnsi="Arial" w:cs="Arial"/>
                <w:sz w:val="22"/>
              </w:rPr>
            </w:pPr>
            <w:r w:rsidRPr="00594926">
              <w:rPr>
                <w:rFonts w:ascii="Arial" w:hAnsi="Arial" w:cs="Arial"/>
                <w:sz w:val="22"/>
              </w:rPr>
              <w:t>10.3%</w:t>
            </w:r>
          </w:p>
        </w:tc>
      </w:tr>
      <w:tr w:rsidR="00840F80" w:rsidRPr="00594926" w14:paraId="60D5E1BC" w14:textId="77777777" w:rsidTr="009034F6">
        <w:trPr>
          <w:jc w:val="center"/>
        </w:trPr>
        <w:tc>
          <w:tcPr>
            <w:tcW w:w="2154" w:type="dxa"/>
            <w:vAlign w:val="center"/>
          </w:tcPr>
          <w:p w14:paraId="46C84892" w14:textId="77777777" w:rsidR="00840F80" w:rsidRPr="00594926" w:rsidRDefault="00840F80" w:rsidP="009034F6">
            <w:pPr>
              <w:rPr>
                <w:rFonts w:ascii="Arial" w:hAnsi="Arial" w:cs="Arial"/>
                <w:sz w:val="22"/>
              </w:rPr>
            </w:pPr>
          </w:p>
        </w:tc>
        <w:tc>
          <w:tcPr>
            <w:tcW w:w="2948" w:type="dxa"/>
            <w:vAlign w:val="center"/>
          </w:tcPr>
          <w:p w14:paraId="0C94D10C" w14:textId="77777777" w:rsidR="00840F80" w:rsidRPr="00594926" w:rsidRDefault="00840F80" w:rsidP="009034F6">
            <w:pPr>
              <w:rPr>
                <w:rFonts w:ascii="Arial" w:hAnsi="Arial" w:cs="Arial"/>
                <w:sz w:val="22"/>
              </w:rPr>
            </w:pPr>
            <w:r w:rsidRPr="00594926">
              <w:rPr>
                <w:rFonts w:ascii="Arial" w:hAnsi="Arial" w:cs="Arial"/>
                <w:sz w:val="22"/>
              </w:rPr>
              <w:t>Sulawesi</w:t>
            </w:r>
          </w:p>
        </w:tc>
        <w:tc>
          <w:tcPr>
            <w:tcW w:w="1134" w:type="dxa"/>
            <w:vAlign w:val="center"/>
          </w:tcPr>
          <w:p w14:paraId="44248231" w14:textId="77777777" w:rsidR="00840F80" w:rsidRPr="00594926" w:rsidRDefault="00840F80" w:rsidP="009034F6">
            <w:pPr>
              <w:rPr>
                <w:rFonts w:ascii="Arial" w:hAnsi="Arial" w:cs="Arial"/>
                <w:sz w:val="22"/>
              </w:rPr>
            </w:pPr>
            <w:r w:rsidRPr="00594926">
              <w:rPr>
                <w:rFonts w:ascii="Arial" w:hAnsi="Arial" w:cs="Arial"/>
                <w:sz w:val="22"/>
              </w:rPr>
              <w:t>52</w:t>
            </w:r>
          </w:p>
        </w:tc>
        <w:tc>
          <w:tcPr>
            <w:tcW w:w="1417" w:type="dxa"/>
            <w:vAlign w:val="center"/>
          </w:tcPr>
          <w:p w14:paraId="47A35A8E" w14:textId="77777777" w:rsidR="00840F80" w:rsidRPr="00594926" w:rsidRDefault="00840F80" w:rsidP="009034F6">
            <w:pPr>
              <w:rPr>
                <w:rFonts w:ascii="Arial" w:hAnsi="Arial" w:cs="Arial"/>
                <w:sz w:val="22"/>
              </w:rPr>
            </w:pPr>
            <w:r w:rsidRPr="00594926">
              <w:rPr>
                <w:rFonts w:ascii="Arial" w:hAnsi="Arial" w:cs="Arial"/>
                <w:sz w:val="22"/>
              </w:rPr>
              <w:t>11.1%</w:t>
            </w:r>
          </w:p>
        </w:tc>
      </w:tr>
      <w:tr w:rsidR="00840F80" w:rsidRPr="00594926" w14:paraId="6FF6A80B" w14:textId="77777777" w:rsidTr="009034F6">
        <w:trPr>
          <w:jc w:val="center"/>
        </w:trPr>
        <w:tc>
          <w:tcPr>
            <w:tcW w:w="2154" w:type="dxa"/>
            <w:vAlign w:val="center"/>
          </w:tcPr>
          <w:p w14:paraId="0841D592" w14:textId="77777777" w:rsidR="00840F80" w:rsidRPr="00594926" w:rsidRDefault="00840F80" w:rsidP="009034F6">
            <w:pPr>
              <w:rPr>
                <w:rFonts w:ascii="Arial" w:hAnsi="Arial" w:cs="Arial"/>
                <w:sz w:val="22"/>
              </w:rPr>
            </w:pPr>
          </w:p>
        </w:tc>
        <w:tc>
          <w:tcPr>
            <w:tcW w:w="2948" w:type="dxa"/>
            <w:vAlign w:val="center"/>
          </w:tcPr>
          <w:p w14:paraId="60AB0792" w14:textId="77777777" w:rsidR="00840F80" w:rsidRPr="00594926" w:rsidRDefault="00840F80" w:rsidP="009034F6">
            <w:pPr>
              <w:rPr>
                <w:rFonts w:ascii="Arial" w:hAnsi="Arial" w:cs="Arial"/>
                <w:sz w:val="22"/>
              </w:rPr>
            </w:pPr>
            <w:r w:rsidRPr="00594926">
              <w:rPr>
                <w:rFonts w:ascii="Arial" w:hAnsi="Arial" w:cs="Arial"/>
                <w:sz w:val="22"/>
              </w:rPr>
              <w:t>Bali-Nusa Tenggara</w:t>
            </w:r>
          </w:p>
        </w:tc>
        <w:tc>
          <w:tcPr>
            <w:tcW w:w="1134" w:type="dxa"/>
            <w:vAlign w:val="center"/>
          </w:tcPr>
          <w:p w14:paraId="1C4E5B76" w14:textId="77777777" w:rsidR="00840F80" w:rsidRPr="00594926" w:rsidRDefault="00840F80" w:rsidP="009034F6">
            <w:pPr>
              <w:rPr>
                <w:rFonts w:ascii="Arial" w:hAnsi="Arial" w:cs="Arial"/>
                <w:sz w:val="22"/>
              </w:rPr>
            </w:pPr>
            <w:r w:rsidRPr="00594926">
              <w:rPr>
                <w:rFonts w:ascii="Arial" w:hAnsi="Arial" w:cs="Arial"/>
                <w:sz w:val="22"/>
              </w:rPr>
              <w:t>38</w:t>
            </w:r>
          </w:p>
        </w:tc>
        <w:tc>
          <w:tcPr>
            <w:tcW w:w="1417" w:type="dxa"/>
            <w:vAlign w:val="center"/>
          </w:tcPr>
          <w:p w14:paraId="0517752B" w14:textId="77777777" w:rsidR="00840F80" w:rsidRPr="00594926" w:rsidRDefault="00840F80" w:rsidP="009034F6">
            <w:pPr>
              <w:rPr>
                <w:rFonts w:ascii="Arial" w:hAnsi="Arial" w:cs="Arial"/>
                <w:sz w:val="22"/>
              </w:rPr>
            </w:pPr>
            <w:r w:rsidRPr="00594926">
              <w:rPr>
                <w:rFonts w:ascii="Arial" w:hAnsi="Arial" w:cs="Arial"/>
                <w:sz w:val="22"/>
              </w:rPr>
              <w:t>8.1%</w:t>
            </w:r>
          </w:p>
        </w:tc>
      </w:tr>
      <w:tr w:rsidR="00840F80" w:rsidRPr="00594926" w14:paraId="3F14A175" w14:textId="77777777" w:rsidTr="009034F6">
        <w:trPr>
          <w:jc w:val="center"/>
        </w:trPr>
        <w:tc>
          <w:tcPr>
            <w:tcW w:w="2154" w:type="dxa"/>
            <w:vAlign w:val="center"/>
          </w:tcPr>
          <w:p w14:paraId="64999B64" w14:textId="77777777" w:rsidR="00840F80" w:rsidRPr="00594926" w:rsidRDefault="00840F80" w:rsidP="009034F6">
            <w:pPr>
              <w:rPr>
                <w:rFonts w:ascii="Arial" w:hAnsi="Arial" w:cs="Arial"/>
                <w:sz w:val="22"/>
              </w:rPr>
            </w:pPr>
          </w:p>
        </w:tc>
        <w:tc>
          <w:tcPr>
            <w:tcW w:w="2948" w:type="dxa"/>
            <w:vAlign w:val="center"/>
          </w:tcPr>
          <w:p w14:paraId="73EB2CA8" w14:textId="77777777" w:rsidR="00840F80" w:rsidRPr="00594926" w:rsidRDefault="00840F80" w:rsidP="009034F6">
            <w:pPr>
              <w:rPr>
                <w:rFonts w:ascii="Arial" w:hAnsi="Arial" w:cs="Arial"/>
                <w:sz w:val="22"/>
              </w:rPr>
            </w:pPr>
            <w:r w:rsidRPr="00594926">
              <w:rPr>
                <w:rFonts w:ascii="Arial" w:hAnsi="Arial" w:cs="Arial"/>
                <w:sz w:val="22"/>
              </w:rPr>
              <w:t>Maluku-Papua</w:t>
            </w:r>
          </w:p>
        </w:tc>
        <w:tc>
          <w:tcPr>
            <w:tcW w:w="1134" w:type="dxa"/>
            <w:vAlign w:val="center"/>
          </w:tcPr>
          <w:p w14:paraId="201D275D" w14:textId="77777777" w:rsidR="00840F80" w:rsidRPr="00594926" w:rsidRDefault="00840F80" w:rsidP="009034F6">
            <w:pPr>
              <w:rPr>
                <w:rFonts w:ascii="Arial" w:hAnsi="Arial" w:cs="Arial"/>
                <w:sz w:val="22"/>
              </w:rPr>
            </w:pPr>
            <w:r w:rsidRPr="00594926">
              <w:rPr>
                <w:rFonts w:ascii="Arial" w:hAnsi="Arial" w:cs="Arial"/>
                <w:sz w:val="22"/>
              </w:rPr>
              <w:t>22</w:t>
            </w:r>
          </w:p>
        </w:tc>
        <w:tc>
          <w:tcPr>
            <w:tcW w:w="1417" w:type="dxa"/>
            <w:vAlign w:val="center"/>
          </w:tcPr>
          <w:p w14:paraId="197BD7DB" w14:textId="77777777" w:rsidR="00840F80" w:rsidRPr="00594926" w:rsidRDefault="00840F80" w:rsidP="009034F6">
            <w:pPr>
              <w:rPr>
                <w:rFonts w:ascii="Arial" w:hAnsi="Arial" w:cs="Arial"/>
                <w:sz w:val="22"/>
              </w:rPr>
            </w:pPr>
            <w:r w:rsidRPr="00594926">
              <w:rPr>
                <w:rFonts w:ascii="Arial" w:hAnsi="Arial" w:cs="Arial"/>
                <w:sz w:val="22"/>
              </w:rPr>
              <w:t>4.7%</w:t>
            </w:r>
          </w:p>
        </w:tc>
      </w:tr>
    </w:tbl>
    <w:p w14:paraId="1582E87D" w14:textId="77777777" w:rsidR="00840F80" w:rsidRPr="00594926" w:rsidRDefault="00840F80" w:rsidP="00840F80">
      <w:pPr>
        <w:spacing w:after="20"/>
        <w:rPr>
          <w:rFonts w:ascii="Arial" w:hAnsi="Arial" w:cs="Arial"/>
          <w:sz w:val="22"/>
        </w:rPr>
      </w:pPr>
    </w:p>
    <w:p w14:paraId="5A1DB4DD" w14:textId="77777777" w:rsidR="00840F80" w:rsidRPr="00594926" w:rsidRDefault="00840F80" w:rsidP="00840F80">
      <w:pPr>
        <w:spacing w:after="80" w:line="252" w:lineRule="auto"/>
        <w:rPr>
          <w:rFonts w:ascii="Arial" w:hAnsi="Arial" w:cs="Arial"/>
          <w:sz w:val="22"/>
        </w:rPr>
      </w:pPr>
      <w:r w:rsidRPr="00594926">
        <w:rPr>
          <w:rFonts w:ascii="Arial" w:hAnsi="Arial" w:cs="Arial"/>
          <w:i/>
          <w:sz w:val="22"/>
        </w:rPr>
        <w:lastRenderedPageBreak/>
        <w:t>Source: Research data, 2026.</w:t>
      </w:r>
    </w:p>
    <w:p w14:paraId="40B057A1" w14:textId="77777777" w:rsidR="00840F80" w:rsidRPr="00594926" w:rsidRDefault="002A4162" w:rsidP="00840F80">
      <w:pPr>
        <w:pStyle w:val="Heading2"/>
        <w:spacing w:before="100" w:after="60"/>
        <w:rPr>
          <w:rFonts w:ascii="Arial" w:hAnsi="Arial" w:cs="Arial"/>
          <w:color w:val="auto"/>
          <w:szCs w:val="22"/>
        </w:rPr>
      </w:pPr>
      <w:r w:rsidRPr="00594926">
        <w:rPr>
          <w:rFonts w:ascii="Arial" w:hAnsi="Arial" w:cs="Arial"/>
          <w:color w:val="auto"/>
          <w:szCs w:val="22"/>
        </w:rPr>
        <w:t xml:space="preserve">Table </w:t>
      </w:r>
      <w:proofErr w:type="gramStart"/>
      <w:r w:rsidRPr="00594926">
        <w:rPr>
          <w:rFonts w:ascii="Arial" w:hAnsi="Arial" w:cs="Arial"/>
          <w:color w:val="auto"/>
          <w:szCs w:val="22"/>
        </w:rPr>
        <w:t>3 :</w:t>
      </w:r>
      <w:proofErr w:type="gramEnd"/>
      <w:r w:rsidRPr="00594926">
        <w:rPr>
          <w:rFonts w:ascii="Arial" w:hAnsi="Arial" w:cs="Arial"/>
          <w:color w:val="auto"/>
          <w:szCs w:val="22"/>
        </w:rPr>
        <w:t xml:space="preserve"> </w:t>
      </w:r>
      <w:r w:rsidR="00840F80" w:rsidRPr="00594926">
        <w:rPr>
          <w:rFonts w:ascii="Arial" w:hAnsi="Arial" w:cs="Arial"/>
          <w:color w:val="auto"/>
          <w:szCs w:val="22"/>
        </w:rPr>
        <w:t xml:space="preserve"> Multiple Linear Regression and Hypothesis Testing</w:t>
      </w:r>
    </w:p>
    <w:tbl>
      <w:tblPr>
        <w:tblStyle w:val="TableGrid"/>
        <w:tblW w:w="0" w:type="auto"/>
        <w:jc w:val="center"/>
        <w:tblLook w:val="04A0" w:firstRow="1" w:lastRow="0" w:firstColumn="1" w:lastColumn="0" w:noHBand="0" w:noVBand="1"/>
      </w:tblPr>
      <w:tblGrid>
        <w:gridCol w:w="3410"/>
        <w:gridCol w:w="1208"/>
        <w:gridCol w:w="1365"/>
        <w:gridCol w:w="1208"/>
        <w:gridCol w:w="1218"/>
        <w:gridCol w:w="1219"/>
      </w:tblGrid>
      <w:tr w:rsidR="00840F80" w:rsidRPr="00594926" w14:paraId="2D2ED463" w14:textId="77777777" w:rsidTr="009034F6">
        <w:trPr>
          <w:jc w:val="center"/>
        </w:trPr>
        <w:tc>
          <w:tcPr>
            <w:tcW w:w="3572" w:type="dxa"/>
            <w:shd w:val="clear" w:color="auto" w:fill="D9EAF7"/>
            <w:vAlign w:val="center"/>
          </w:tcPr>
          <w:p w14:paraId="481E910E" w14:textId="77777777" w:rsidR="00840F80" w:rsidRPr="00594926" w:rsidRDefault="00840F80" w:rsidP="009034F6">
            <w:pPr>
              <w:rPr>
                <w:rFonts w:ascii="Arial" w:hAnsi="Arial" w:cs="Arial"/>
                <w:sz w:val="22"/>
              </w:rPr>
            </w:pPr>
            <w:r w:rsidRPr="00594926">
              <w:rPr>
                <w:rFonts w:ascii="Arial" w:hAnsi="Arial" w:cs="Arial"/>
                <w:b/>
                <w:sz w:val="22"/>
              </w:rPr>
              <w:t>Variables</w:t>
            </w:r>
          </w:p>
        </w:tc>
        <w:tc>
          <w:tcPr>
            <w:tcW w:w="1247" w:type="dxa"/>
            <w:shd w:val="clear" w:color="auto" w:fill="D9EAF7"/>
            <w:vAlign w:val="center"/>
          </w:tcPr>
          <w:p w14:paraId="57AFB08F" w14:textId="77777777" w:rsidR="00840F80" w:rsidRPr="00594926" w:rsidRDefault="00840F80" w:rsidP="009034F6">
            <w:pPr>
              <w:rPr>
                <w:rFonts w:ascii="Arial" w:hAnsi="Arial" w:cs="Arial"/>
                <w:sz w:val="22"/>
              </w:rPr>
            </w:pPr>
            <w:r w:rsidRPr="00594926">
              <w:rPr>
                <w:rFonts w:ascii="Arial" w:hAnsi="Arial" w:cs="Arial"/>
                <w:b/>
                <w:sz w:val="22"/>
              </w:rPr>
              <w:t>B</w:t>
            </w:r>
          </w:p>
        </w:tc>
        <w:tc>
          <w:tcPr>
            <w:tcW w:w="1417" w:type="dxa"/>
            <w:shd w:val="clear" w:color="auto" w:fill="D9EAF7"/>
            <w:vAlign w:val="center"/>
          </w:tcPr>
          <w:p w14:paraId="0A153C10" w14:textId="77777777" w:rsidR="00840F80" w:rsidRPr="00594926" w:rsidRDefault="00840F80" w:rsidP="009034F6">
            <w:pPr>
              <w:rPr>
                <w:rFonts w:ascii="Arial" w:hAnsi="Arial" w:cs="Arial"/>
                <w:sz w:val="22"/>
              </w:rPr>
            </w:pPr>
            <w:r w:rsidRPr="00594926">
              <w:rPr>
                <w:rFonts w:ascii="Arial" w:hAnsi="Arial" w:cs="Arial"/>
                <w:b/>
                <w:sz w:val="22"/>
              </w:rPr>
              <w:t>Std. Error</w:t>
            </w:r>
          </w:p>
        </w:tc>
        <w:tc>
          <w:tcPr>
            <w:tcW w:w="1247" w:type="dxa"/>
            <w:shd w:val="clear" w:color="auto" w:fill="D9EAF7"/>
            <w:vAlign w:val="center"/>
          </w:tcPr>
          <w:p w14:paraId="6BADEAAE" w14:textId="77777777" w:rsidR="00840F80" w:rsidRPr="00594926" w:rsidRDefault="00840F80" w:rsidP="009034F6">
            <w:pPr>
              <w:rPr>
                <w:rFonts w:ascii="Arial" w:hAnsi="Arial" w:cs="Arial"/>
                <w:sz w:val="22"/>
              </w:rPr>
            </w:pPr>
            <w:r w:rsidRPr="00594926">
              <w:rPr>
                <w:rFonts w:ascii="Arial" w:hAnsi="Arial" w:cs="Arial"/>
                <w:b/>
                <w:sz w:val="22"/>
              </w:rPr>
              <w:t>Beta</w:t>
            </w:r>
          </w:p>
        </w:tc>
        <w:tc>
          <w:tcPr>
            <w:tcW w:w="1247" w:type="dxa"/>
            <w:shd w:val="clear" w:color="auto" w:fill="D9EAF7"/>
            <w:vAlign w:val="center"/>
          </w:tcPr>
          <w:p w14:paraId="0A11103F" w14:textId="77777777" w:rsidR="00840F80" w:rsidRPr="00594926" w:rsidRDefault="00840F80" w:rsidP="009034F6">
            <w:pPr>
              <w:rPr>
                <w:rFonts w:ascii="Arial" w:hAnsi="Arial" w:cs="Arial"/>
                <w:sz w:val="22"/>
              </w:rPr>
            </w:pPr>
            <w:r w:rsidRPr="00594926">
              <w:rPr>
                <w:rFonts w:ascii="Arial" w:hAnsi="Arial" w:cs="Arial"/>
                <w:b/>
                <w:sz w:val="22"/>
              </w:rPr>
              <w:t>t</w:t>
            </w:r>
          </w:p>
        </w:tc>
        <w:tc>
          <w:tcPr>
            <w:tcW w:w="1247" w:type="dxa"/>
            <w:shd w:val="clear" w:color="auto" w:fill="D9EAF7"/>
            <w:vAlign w:val="center"/>
          </w:tcPr>
          <w:p w14:paraId="4BA8FE41" w14:textId="77777777" w:rsidR="00840F80" w:rsidRPr="00594926" w:rsidRDefault="00840F80" w:rsidP="009034F6">
            <w:pPr>
              <w:rPr>
                <w:rFonts w:ascii="Arial" w:hAnsi="Arial" w:cs="Arial"/>
                <w:sz w:val="22"/>
              </w:rPr>
            </w:pPr>
            <w:r w:rsidRPr="00594926">
              <w:rPr>
                <w:rFonts w:ascii="Arial" w:hAnsi="Arial" w:cs="Arial"/>
                <w:b/>
                <w:sz w:val="22"/>
              </w:rPr>
              <w:t>Sig.</w:t>
            </w:r>
          </w:p>
        </w:tc>
      </w:tr>
      <w:tr w:rsidR="00840F80" w:rsidRPr="00594926" w14:paraId="58B6683A" w14:textId="77777777" w:rsidTr="009034F6">
        <w:trPr>
          <w:jc w:val="center"/>
        </w:trPr>
        <w:tc>
          <w:tcPr>
            <w:tcW w:w="3572" w:type="dxa"/>
            <w:vAlign w:val="center"/>
          </w:tcPr>
          <w:p w14:paraId="7896AC75" w14:textId="77777777" w:rsidR="00840F80" w:rsidRPr="00594926" w:rsidRDefault="00840F80" w:rsidP="009034F6">
            <w:pPr>
              <w:rPr>
                <w:rFonts w:ascii="Arial" w:hAnsi="Arial" w:cs="Arial"/>
                <w:sz w:val="22"/>
              </w:rPr>
            </w:pPr>
            <w:r w:rsidRPr="00594926">
              <w:rPr>
                <w:rFonts w:ascii="Arial" w:hAnsi="Arial" w:cs="Arial"/>
                <w:sz w:val="22"/>
              </w:rPr>
              <w:t>Constant</w:t>
            </w:r>
          </w:p>
        </w:tc>
        <w:tc>
          <w:tcPr>
            <w:tcW w:w="1247" w:type="dxa"/>
            <w:vAlign w:val="center"/>
          </w:tcPr>
          <w:p w14:paraId="4763042E" w14:textId="77777777" w:rsidR="00840F80" w:rsidRPr="00594926" w:rsidRDefault="00840F80" w:rsidP="009034F6">
            <w:pPr>
              <w:rPr>
                <w:rFonts w:ascii="Arial" w:hAnsi="Arial" w:cs="Arial"/>
                <w:sz w:val="22"/>
              </w:rPr>
            </w:pPr>
            <w:r w:rsidRPr="00594926">
              <w:rPr>
                <w:rFonts w:ascii="Arial" w:hAnsi="Arial" w:cs="Arial"/>
                <w:sz w:val="22"/>
              </w:rPr>
              <w:t>0.231</w:t>
            </w:r>
          </w:p>
        </w:tc>
        <w:tc>
          <w:tcPr>
            <w:tcW w:w="1417" w:type="dxa"/>
            <w:vAlign w:val="center"/>
          </w:tcPr>
          <w:p w14:paraId="3CA44655" w14:textId="77777777" w:rsidR="00840F80" w:rsidRPr="00594926" w:rsidRDefault="00840F80" w:rsidP="009034F6">
            <w:pPr>
              <w:rPr>
                <w:rFonts w:ascii="Arial" w:hAnsi="Arial" w:cs="Arial"/>
                <w:sz w:val="22"/>
              </w:rPr>
            </w:pPr>
            <w:r w:rsidRPr="00594926">
              <w:rPr>
                <w:rFonts w:ascii="Arial" w:hAnsi="Arial" w:cs="Arial"/>
                <w:sz w:val="22"/>
              </w:rPr>
              <w:t>0.128</w:t>
            </w:r>
          </w:p>
        </w:tc>
        <w:tc>
          <w:tcPr>
            <w:tcW w:w="1247" w:type="dxa"/>
            <w:vAlign w:val="center"/>
          </w:tcPr>
          <w:p w14:paraId="052AFAC2" w14:textId="77777777" w:rsidR="00840F80" w:rsidRPr="00594926" w:rsidRDefault="00840F80" w:rsidP="009034F6">
            <w:pPr>
              <w:rPr>
                <w:rFonts w:ascii="Arial" w:hAnsi="Arial" w:cs="Arial"/>
                <w:sz w:val="22"/>
              </w:rPr>
            </w:pPr>
            <w:r w:rsidRPr="00594926">
              <w:rPr>
                <w:rFonts w:ascii="Arial" w:hAnsi="Arial" w:cs="Arial"/>
                <w:sz w:val="22"/>
              </w:rPr>
              <w:t>-</w:t>
            </w:r>
          </w:p>
        </w:tc>
        <w:tc>
          <w:tcPr>
            <w:tcW w:w="1247" w:type="dxa"/>
            <w:vAlign w:val="center"/>
          </w:tcPr>
          <w:p w14:paraId="5CE289B7" w14:textId="77777777" w:rsidR="00840F80" w:rsidRPr="00594926" w:rsidRDefault="00840F80" w:rsidP="009034F6">
            <w:pPr>
              <w:rPr>
                <w:rFonts w:ascii="Arial" w:hAnsi="Arial" w:cs="Arial"/>
                <w:sz w:val="22"/>
              </w:rPr>
            </w:pPr>
            <w:r w:rsidRPr="00594926">
              <w:rPr>
                <w:rFonts w:ascii="Arial" w:hAnsi="Arial" w:cs="Arial"/>
                <w:sz w:val="22"/>
              </w:rPr>
              <w:t>1.810</w:t>
            </w:r>
          </w:p>
        </w:tc>
        <w:tc>
          <w:tcPr>
            <w:tcW w:w="1247" w:type="dxa"/>
            <w:vAlign w:val="center"/>
          </w:tcPr>
          <w:p w14:paraId="79CA15E2" w14:textId="77777777" w:rsidR="00840F80" w:rsidRPr="00594926" w:rsidRDefault="00840F80" w:rsidP="009034F6">
            <w:pPr>
              <w:rPr>
                <w:rFonts w:ascii="Arial" w:hAnsi="Arial" w:cs="Arial"/>
                <w:sz w:val="22"/>
              </w:rPr>
            </w:pPr>
            <w:r w:rsidRPr="00594926">
              <w:rPr>
                <w:rFonts w:ascii="Arial" w:hAnsi="Arial" w:cs="Arial"/>
                <w:sz w:val="22"/>
              </w:rPr>
              <w:t>0.071</w:t>
            </w:r>
          </w:p>
        </w:tc>
      </w:tr>
      <w:tr w:rsidR="00840F80" w:rsidRPr="00594926" w14:paraId="436A64A5" w14:textId="77777777" w:rsidTr="009034F6">
        <w:trPr>
          <w:jc w:val="center"/>
        </w:trPr>
        <w:tc>
          <w:tcPr>
            <w:tcW w:w="3572" w:type="dxa"/>
            <w:vAlign w:val="center"/>
          </w:tcPr>
          <w:p w14:paraId="68C94CEA" w14:textId="77777777" w:rsidR="00840F80" w:rsidRPr="00594926" w:rsidRDefault="00840F80" w:rsidP="009034F6">
            <w:pPr>
              <w:rPr>
                <w:rFonts w:ascii="Arial" w:hAnsi="Arial" w:cs="Arial"/>
                <w:sz w:val="22"/>
              </w:rPr>
            </w:pPr>
            <w:r w:rsidRPr="00594926">
              <w:rPr>
                <w:rFonts w:ascii="Arial" w:hAnsi="Arial" w:cs="Arial"/>
                <w:sz w:val="22"/>
              </w:rPr>
              <w:t>Perceived Cybersecurity (X1)</w:t>
            </w:r>
          </w:p>
        </w:tc>
        <w:tc>
          <w:tcPr>
            <w:tcW w:w="1247" w:type="dxa"/>
            <w:vAlign w:val="center"/>
          </w:tcPr>
          <w:p w14:paraId="0D9890AA" w14:textId="77777777" w:rsidR="00840F80" w:rsidRPr="00594926" w:rsidRDefault="00840F80" w:rsidP="009034F6">
            <w:pPr>
              <w:rPr>
                <w:rFonts w:ascii="Arial" w:hAnsi="Arial" w:cs="Arial"/>
                <w:sz w:val="22"/>
              </w:rPr>
            </w:pPr>
            <w:r w:rsidRPr="00594926">
              <w:rPr>
                <w:rFonts w:ascii="Arial" w:hAnsi="Arial" w:cs="Arial"/>
                <w:sz w:val="22"/>
              </w:rPr>
              <w:t>0.484</w:t>
            </w:r>
          </w:p>
        </w:tc>
        <w:tc>
          <w:tcPr>
            <w:tcW w:w="1417" w:type="dxa"/>
            <w:vAlign w:val="center"/>
          </w:tcPr>
          <w:p w14:paraId="30F29390" w14:textId="77777777" w:rsidR="00840F80" w:rsidRPr="00594926" w:rsidRDefault="00840F80" w:rsidP="009034F6">
            <w:pPr>
              <w:rPr>
                <w:rFonts w:ascii="Arial" w:hAnsi="Arial" w:cs="Arial"/>
                <w:sz w:val="22"/>
              </w:rPr>
            </w:pPr>
            <w:r w:rsidRPr="00594926">
              <w:rPr>
                <w:rFonts w:ascii="Arial" w:hAnsi="Arial" w:cs="Arial"/>
                <w:sz w:val="22"/>
              </w:rPr>
              <w:t>0.035</w:t>
            </w:r>
          </w:p>
        </w:tc>
        <w:tc>
          <w:tcPr>
            <w:tcW w:w="1247" w:type="dxa"/>
            <w:vAlign w:val="center"/>
          </w:tcPr>
          <w:p w14:paraId="6513D1ED" w14:textId="77777777" w:rsidR="00840F80" w:rsidRPr="00594926" w:rsidRDefault="00840F80" w:rsidP="009034F6">
            <w:pPr>
              <w:rPr>
                <w:rFonts w:ascii="Arial" w:hAnsi="Arial" w:cs="Arial"/>
                <w:sz w:val="22"/>
              </w:rPr>
            </w:pPr>
            <w:r w:rsidRPr="00594926">
              <w:rPr>
                <w:rFonts w:ascii="Arial" w:hAnsi="Arial" w:cs="Arial"/>
                <w:sz w:val="22"/>
              </w:rPr>
              <w:t>0.463</w:t>
            </w:r>
          </w:p>
        </w:tc>
        <w:tc>
          <w:tcPr>
            <w:tcW w:w="1247" w:type="dxa"/>
            <w:vAlign w:val="center"/>
          </w:tcPr>
          <w:p w14:paraId="44697067" w14:textId="77777777" w:rsidR="00840F80" w:rsidRPr="00594926" w:rsidRDefault="00840F80" w:rsidP="009034F6">
            <w:pPr>
              <w:rPr>
                <w:rFonts w:ascii="Arial" w:hAnsi="Arial" w:cs="Arial"/>
                <w:sz w:val="22"/>
              </w:rPr>
            </w:pPr>
            <w:r w:rsidRPr="00594926">
              <w:rPr>
                <w:rFonts w:ascii="Arial" w:hAnsi="Arial" w:cs="Arial"/>
                <w:sz w:val="22"/>
              </w:rPr>
              <w:t>13.726</w:t>
            </w:r>
          </w:p>
        </w:tc>
        <w:tc>
          <w:tcPr>
            <w:tcW w:w="1247" w:type="dxa"/>
            <w:vAlign w:val="center"/>
          </w:tcPr>
          <w:p w14:paraId="1C09EA33" w14:textId="77777777" w:rsidR="00840F80" w:rsidRPr="00594926" w:rsidRDefault="00840F80" w:rsidP="009034F6">
            <w:pPr>
              <w:rPr>
                <w:rFonts w:ascii="Arial" w:hAnsi="Arial" w:cs="Arial"/>
                <w:sz w:val="22"/>
              </w:rPr>
            </w:pPr>
            <w:r w:rsidRPr="00594926">
              <w:rPr>
                <w:rFonts w:ascii="Arial" w:hAnsi="Arial" w:cs="Arial"/>
                <w:sz w:val="22"/>
              </w:rPr>
              <w:t>&lt;0.001</w:t>
            </w:r>
          </w:p>
        </w:tc>
      </w:tr>
      <w:tr w:rsidR="00840F80" w:rsidRPr="00594926" w14:paraId="7FA1C9A4" w14:textId="77777777" w:rsidTr="009034F6">
        <w:trPr>
          <w:jc w:val="center"/>
        </w:trPr>
        <w:tc>
          <w:tcPr>
            <w:tcW w:w="3572" w:type="dxa"/>
            <w:vAlign w:val="center"/>
          </w:tcPr>
          <w:p w14:paraId="63A3D7AB" w14:textId="77777777" w:rsidR="00840F80" w:rsidRPr="00594926" w:rsidRDefault="00840F80" w:rsidP="009034F6">
            <w:pPr>
              <w:rPr>
                <w:rFonts w:ascii="Arial" w:hAnsi="Arial" w:cs="Arial"/>
                <w:sz w:val="22"/>
              </w:rPr>
            </w:pPr>
            <w:r w:rsidRPr="00594926">
              <w:rPr>
                <w:rFonts w:ascii="Arial" w:hAnsi="Arial" w:cs="Arial"/>
                <w:sz w:val="22"/>
              </w:rPr>
              <w:t>Digital Financial Literacy (X2)</w:t>
            </w:r>
          </w:p>
        </w:tc>
        <w:tc>
          <w:tcPr>
            <w:tcW w:w="1247" w:type="dxa"/>
            <w:vAlign w:val="center"/>
          </w:tcPr>
          <w:p w14:paraId="1F95B123" w14:textId="77777777" w:rsidR="00840F80" w:rsidRPr="00594926" w:rsidRDefault="00840F80" w:rsidP="009034F6">
            <w:pPr>
              <w:rPr>
                <w:rFonts w:ascii="Arial" w:hAnsi="Arial" w:cs="Arial"/>
                <w:sz w:val="22"/>
              </w:rPr>
            </w:pPr>
            <w:r w:rsidRPr="00594926">
              <w:rPr>
                <w:rFonts w:ascii="Arial" w:hAnsi="Arial" w:cs="Arial"/>
                <w:sz w:val="22"/>
              </w:rPr>
              <w:t>0.456</w:t>
            </w:r>
          </w:p>
        </w:tc>
        <w:tc>
          <w:tcPr>
            <w:tcW w:w="1417" w:type="dxa"/>
            <w:vAlign w:val="center"/>
          </w:tcPr>
          <w:p w14:paraId="4CB94269" w14:textId="77777777" w:rsidR="00840F80" w:rsidRPr="00594926" w:rsidRDefault="00840F80" w:rsidP="009034F6">
            <w:pPr>
              <w:rPr>
                <w:rFonts w:ascii="Arial" w:hAnsi="Arial" w:cs="Arial"/>
                <w:sz w:val="22"/>
              </w:rPr>
            </w:pPr>
            <w:r w:rsidRPr="00594926">
              <w:rPr>
                <w:rFonts w:ascii="Arial" w:hAnsi="Arial" w:cs="Arial"/>
                <w:sz w:val="22"/>
              </w:rPr>
              <w:t>0.036</w:t>
            </w:r>
          </w:p>
        </w:tc>
        <w:tc>
          <w:tcPr>
            <w:tcW w:w="1247" w:type="dxa"/>
            <w:vAlign w:val="center"/>
          </w:tcPr>
          <w:p w14:paraId="7A35A6E9" w14:textId="77777777" w:rsidR="00840F80" w:rsidRPr="00594926" w:rsidRDefault="00840F80" w:rsidP="009034F6">
            <w:pPr>
              <w:rPr>
                <w:rFonts w:ascii="Arial" w:hAnsi="Arial" w:cs="Arial"/>
                <w:sz w:val="22"/>
              </w:rPr>
            </w:pPr>
            <w:r w:rsidRPr="00594926">
              <w:rPr>
                <w:rFonts w:ascii="Arial" w:hAnsi="Arial" w:cs="Arial"/>
                <w:sz w:val="22"/>
              </w:rPr>
              <w:t>0.429</w:t>
            </w:r>
          </w:p>
        </w:tc>
        <w:tc>
          <w:tcPr>
            <w:tcW w:w="1247" w:type="dxa"/>
            <w:vAlign w:val="center"/>
          </w:tcPr>
          <w:p w14:paraId="775120A4" w14:textId="77777777" w:rsidR="00840F80" w:rsidRPr="00594926" w:rsidRDefault="00840F80" w:rsidP="009034F6">
            <w:pPr>
              <w:rPr>
                <w:rFonts w:ascii="Arial" w:hAnsi="Arial" w:cs="Arial"/>
                <w:sz w:val="22"/>
              </w:rPr>
            </w:pPr>
            <w:r w:rsidRPr="00594926">
              <w:rPr>
                <w:rFonts w:ascii="Arial" w:hAnsi="Arial" w:cs="Arial"/>
                <w:sz w:val="22"/>
              </w:rPr>
              <w:t>12.722</w:t>
            </w:r>
          </w:p>
        </w:tc>
        <w:tc>
          <w:tcPr>
            <w:tcW w:w="1247" w:type="dxa"/>
            <w:vAlign w:val="center"/>
          </w:tcPr>
          <w:p w14:paraId="7E5E3846" w14:textId="77777777" w:rsidR="00840F80" w:rsidRPr="00594926" w:rsidRDefault="00840F80" w:rsidP="009034F6">
            <w:pPr>
              <w:rPr>
                <w:rFonts w:ascii="Arial" w:hAnsi="Arial" w:cs="Arial"/>
                <w:sz w:val="22"/>
              </w:rPr>
            </w:pPr>
            <w:r w:rsidRPr="00594926">
              <w:rPr>
                <w:rFonts w:ascii="Arial" w:hAnsi="Arial" w:cs="Arial"/>
                <w:sz w:val="22"/>
              </w:rPr>
              <w:t>&lt;0.001</w:t>
            </w:r>
          </w:p>
        </w:tc>
      </w:tr>
    </w:tbl>
    <w:p w14:paraId="7CC18E49" w14:textId="77777777" w:rsidR="00840F80" w:rsidRPr="00594926" w:rsidRDefault="00840F80" w:rsidP="00840F80">
      <w:pPr>
        <w:spacing w:after="20"/>
        <w:rPr>
          <w:rFonts w:ascii="Arial" w:hAnsi="Arial" w:cs="Arial"/>
          <w:sz w:val="22"/>
        </w:rPr>
      </w:pPr>
    </w:p>
    <w:p w14:paraId="287C9483" w14:textId="77777777" w:rsidR="00840F80" w:rsidRPr="00594926" w:rsidRDefault="00840F80" w:rsidP="00840F80">
      <w:pPr>
        <w:spacing w:after="80" w:line="252" w:lineRule="auto"/>
        <w:rPr>
          <w:rFonts w:ascii="Arial" w:hAnsi="Arial" w:cs="Arial"/>
          <w:sz w:val="22"/>
        </w:rPr>
      </w:pPr>
      <w:r w:rsidRPr="00594926">
        <w:rPr>
          <w:rFonts w:ascii="Arial" w:hAnsi="Arial" w:cs="Arial"/>
          <w:i/>
          <w:sz w:val="22"/>
        </w:rPr>
        <w:t>Source: Processed data, 2026.</w:t>
      </w:r>
    </w:p>
    <w:p w14:paraId="4E5A2128" w14:textId="77777777" w:rsidR="00840F80" w:rsidRPr="00594926" w:rsidRDefault="00840F80" w:rsidP="00840F80">
      <w:pPr>
        <w:spacing w:after="80" w:line="252" w:lineRule="auto"/>
        <w:jc w:val="both"/>
        <w:rPr>
          <w:rFonts w:ascii="Arial" w:hAnsi="Arial" w:cs="Arial"/>
          <w:sz w:val="22"/>
        </w:rPr>
      </w:pPr>
      <w:r w:rsidRPr="00594926">
        <w:rPr>
          <w:rFonts w:ascii="Arial" w:hAnsi="Arial"/>
          <w:sz w:val="22"/>
        </w:rPr>
        <w:t>The resulting regression equation is Y = 0.231 + 0.484X1 + 0.456X2. The coefficients of both independent variables are positive, indicating that increases in perceived cybersecurity and digital financial literacy are associated with an increase in continuance intention when the other variable is controlled for.</w:t>
      </w:r>
    </w:p>
    <w:p w14:paraId="72B6E4E1" w14:textId="0E5EACD6" w:rsidR="00840F80" w:rsidRPr="00594926" w:rsidRDefault="00840F80" w:rsidP="00840F80">
      <w:pPr>
        <w:spacing w:after="80" w:line="252" w:lineRule="auto"/>
        <w:jc w:val="both"/>
        <w:rPr>
          <w:rFonts w:ascii="Arial" w:hAnsi="Arial" w:cs="Arial"/>
          <w:sz w:val="22"/>
        </w:rPr>
      </w:pPr>
      <w:r w:rsidRPr="00594926">
        <w:rPr>
          <w:rFonts w:ascii="Arial" w:hAnsi="Arial"/>
          <w:sz w:val="22"/>
        </w:rPr>
        <w:t xml:space="preserve">Perceived cybersecurity has a B value of 0.484, t = 13.726, and p &lt; 0.001, so H1 is accepted in the research dataset. These results indicate that confidence in data protection, authentication, transactions, and security responses can strengthen users’ intention to continue using mobile banking (Aprilia &amp; Amalia, 2023; </w:t>
      </w:r>
      <w:r w:rsidR="00F25766">
        <w:rPr>
          <w:rFonts w:ascii="Arial" w:hAnsi="Arial"/>
          <w:sz w:val="22"/>
        </w:rPr>
        <w:t xml:space="preserve">Zulaikha &amp; </w:t>
      </w:r>
      <w:proofErr w:type="spellStart"/>
      <w:r w:rsidR="00F25766">
        <w:rPr>
          <w:rFonts w:ascii="Arial" w:hAnsi="Arial"/>
          <w:sz w:val="22"/>
        </w:rPr>
        <w:t>Faricha</w:t>
      </w:r>
      <w:proofErr w:type="spellEnd"/>
      <w:r w:rsidR="00F25766">
        <w:rPr>
          <w:rFonts w:ascii="Arial" w:hAnsi="Arial"/>
          <w:sz w:val="22"/>
        </w:rPr>
        <w:t>, 2026</w:t>
      </w:r>
      <w:r w:rsidRPr="00594926">
        <w:rPr>
          <w:rFonts w:ascii="Arial" w:hAnsi="Arial"/>
          <w:sz w:val="22"/>
        </w:rPr>
        <w:t>).</w:t>
      </w:r>
    </w:p>
    <w:p w14:paraId="6D777469" w14:textId="77777777" w:rsidR="00840F80" w:rsidRPr="00594926" w:rsidRDefault="00840F80" w:rsidP="00840F80">
      <w:pPr>
        <w:spacing w:after="80" w:line="252" w:lineRule="auto"/>
        <w:jc w:val="both"/>
        <w:rPr>
          <w:rFonts w:ascii="Arial" w:hAnsi="Arial" w:cs="Arial"/>
          <w:sz w:val="22"/>
        </w:rPr>
      </w:pPr>
      <w:r w:rsidRPr="00594926">
        <w:rPr>
          <w:rFonts w:ascii="Arial" w:hAnsi="Arial"/>
          <w:sz w:val="22"/>
        </w:rPr>
        <w:t>Digital financial literacy has a B value of 0.456, t = 12.722, and p &lt; 0.001; therefore, H2 is accepted in the research dataset. Competence in understanding risks, protecting data, and verifying digital information helps users continue to use the service without neglecting their personal financial protection (OECD, 2024, 2026).</w:t>
      </w:r>
    </w:p>
    <w:p w14:paraId="1AB9D6E9" w14:textId="65C6B03B" w:rsidR="00840F80" w:rsidRPr="00594926" w:rsidRDefault="002A4162" w:rsidP="00840F80">
      <w:pPr>
        <w:pStyle w:val="Heading2"/>
        <w:spacing w:before="100" w:after="60"/>
        <w:rPr>
          <w:rFonts w:ascii="Arial" w:hAnsi="Arial" w:cs="Arial"/>
          <w:color w:val="auto"/>
          <w:szCs w:val="22"/>
        </w:rPr>
      </w:pPr>
      <w:r w:rsidRPr="00594926">
        <w:rPr>
          <w:rFonts w:ascii="Arial" w:hAnsi="Arial" w:cs="Arial"/>
          <w:color w:val="auto"/>
          <w:szCs w:val="22"/>
        </w:rPr>
        <w:t>Table 4</w:t>
      </w:r>
      <w:proofErr w:type="gramStart"/>
      <w:r w:rsidR="00833B78">
        <w:rPr>
          <w:rFonts w:ascii="Arial" w:hAnsi="Arial" w:cs="Arial"/>
          <w:color w:val="auto"/>
          <w:szCs w:val="22"/>
        </w:rPr>
        <w:t>a</w:t>
      </w:r>
      <w:r w:rsidRPr="00594926">
        <w:rPr>
          <w:rFonts w:ascii="Arial" w:hAnsi="Arial" w:cs="Arial"/>
          <w:color w:val="auto"/>
          <w:szCs w:val="22"/>
        </w:rPr>
        <w:t xml:space="preserve"> :</w:t>
      </w:r>
      <w:proofErr w:type="gramEnd"/>
      <w:r w:rsidRPr="00594926">
        <w:rPr>
          <w:rFonts w:ascii="Arial" w:hAnsi="Arial" w:cs="Arial"/>
          <w:color w:val="auto"/>
          <w:szCs w:val="22"/>
        </w:rPr>
        <w:t xml:space="preserve"> </w:t>
      </w:r>
      <w:r w:rsidR="00840F80" w:rsidRPr="00594926">
        <w:rPr>
          <w:rFonts w:ascii="Arial" w:hAnsi="Arial" w:cs="Arial"/>
          <w:color w:val="auto"/>
          <w:szCs w:val="22"/>
        </w:rPr>
        <w:t xml:space="preserve"> F-Test and Coefficient of Determination</w:t>
      </w:r>
    </w:p>
    <w:tbl>
      <w:tblPr>
        <w:tblStyle w:val="TableGrid"/>
        <w:tblW w:w="0" w:type="auto"/>
        <w:jc w:val="center"/>
        <w:tblLook w:val="04A0" w:firstRow="1" w:lastRow="0" w:firstColumn="1" w:lastColumn="0" w:noHBand="0" w:noVBand="1"/>
      </w:tblPr>
      <w:tblGrid>
        <w:gridCol w:w="2251"/>
        <w:gridCol w:w="1690"/>
        <w:gridCol w:w="1124"/>
        <w:gridCol w:w="1689"/>
        <w:gridCol w:w="1466"/>
        <w:gridCol w:w="1408"/>
      </w:tblGrid>
      <w:tr w:rsidR="00840F80" w:rsidRPr="00594926" w14:paraId="3AD58355" w14:textId="77777777" w:rsidTr="009034F6">
        <w:trPr>
          <w:jc w:val="center"/>
        </w:trPr>
        <w:tc>
          <w:tcPr>
            <w:tcW w:w="2268" w:type="dxa"/>
            <w:shd w:val="clear" w:color="auto" w:fill="D9EAF7"/>
            <w:vAlign w:val="center"/>
          </w:tcPr>
          <w:p w14:paraId="6676585F" w14:textId="77777777" w:rsidR="00840F80" w:rsidRPr="00594926" w:rsidRDefault="00840F80" w:rsidP="009034F6">
            <w:pPr>
              <w:rPr>
                <w:rFonts w:ascii="Arial" w:hAnsi="Arial" w:cs="Arial"/>
                <w:sz w:val="22"/>
              </w:rPr>
            </w:pPr>
            <w:r w:rsidRPr="00594926">
              <w:rPr>
                <w:rFonts w:ascii="Arial" w:hAnsi="Arial" w:cs="Arial"/>
                <w:b/>
                <w:sz w:val="22"/>
              </w:rPr>
              <w:t>Source</w:t>
            </w:r>
          </w:p>
        </w:tc>
        <w:tc>
          <w:tcPr>
            <w:tcW w:w="1701" w:type="dxa"/>
            <w:shd w:val="clear" w:color="auto" w:fill="D9EAF7"/>
            <w:vAlign w:val="center"/>
          </w:tcPr>
          <w:p w14:paraId="65292966" w14:textId="77777777" w:rsidR="00840F80" w:rsidRPr="00594926" w:rsidRDefault="00840F80" w:rsidP="009034F6">
            <w:pPr>
              <w:rPr>
                <w:rFonts w:ascii="Arial" w:hAnsi="Arial" w:cs="Arial"/>
                <w:sz w:val="22"/>
              </w:rPr>
            </w:pPr>
            <w:r w:rsidRPr="00594926">
              <w:rPr>
                <w:rFonts w:ascii="Arial" w:hAnsi="Arial" w:cs="Arial"/>
                <w:b/>
                <w:sz w:val="22"/>
              </w:rPr>
              <w:t>Sum of Squares</w:t>
            </w:r>
          </w:p>
        </w:tc>
        <w:tc>
          <w:tcPr>
            <w:tcW w:w="1134" w:type="dxa"/>
            <w:shd w:val="clear" w:color="auto" w:fill="D9EAF7"/>
            <w:vAlign w:val="center"/>
          </w:tcPr>
          <w:p w14:paraId="772615AD" w14:textId="77777777" w:rsidR="00840F80" w:rsidRPr="00594926" w:rsidRDefault="00840F80" w:rsidP="009034F6">
            <w:pPr>
              <w:rPr>
                <w:rFonts w:ascii="Arial" w:hAnsi="Arial" w:cs="Arial"/>
                <w:sz w:val="22"/>
              </w:rPr>
            </w:pPr>
            <w:r w:rsidRPr="00594926">
              <w:rPr>
                <w:rFonts w:ascii="Arial" w:hAnsi="Arial" w:cs="Arial"/>
                <w:b/>
                <w:sz w:val="22"/>
              </w:rPr>
              <w:t>df</w:t>
            </w:r>
          </w:p>
        </w:tc>
        <w:tc>
          <w:tcPr>
            <w:tcW w:w="1701" w:type="dxa"/>
            <w:shd w:val="clear" w:color="auto" w:fill="D9EAF7"/>
            <w:vAlign w:val="center"/>
          </w:tcPr>
          <w:p w14:paraId="0B1A9612" w14:textId="77777777" w:rsidR="00840F80" w:rsidRPr="00594926" w:rsidRDefault="00840F80" w:rsidP="009034F6">
            <w:pPr>
              <w:rPr>
                <w:rFonts w:ascii="Arial" w:hAnsi="Arial" w:cs="Arial"/>
                <w:sz w:val="22"/>
              </w:rPr>
            </w:pPr>
            <w:r w:rsidRPr="00594926">
              <w:rPr>
                <w:rFonts w:ascii="Arial" w:hAnsi="Arial" w:cs="Arial"/>
                <w:b/>
                <w:sz w:val="22"/>
              </w:rPr>
              <w:t>Mean Square</w:t>
            </w:r>
          </w:p>
        </w:tc>
        <w:tc>
          <w:tcPr>
            <w:tcW w:w="1474" w:type="dxa"/>
            <w:shd w:val="clear" w:color="auto" w:fill="D9EAF7"/>
            <w:vAlign w:val="center"/>
          </w:tcPr>
          <w:p w14:paraId="15FBECB6" w14:textId="77777777" w:rsidR="00840F80" w:rsidRPr="00594926" w:rsidRDefault="00840F80" w:rsidP="009034F6">
            <w:pPr>
              <w:rPr>
                <w:rFonts w:ascii="Arial" w:hAnsi="Arial" w:cs="Arial"/>
                <w:sz w:val="22"/>
              </w:rPr>
            </w:pPr>
            <w:r w:rsidRPr="00594926">
              <w:rPr>
                <w:rFonts w:ascii="Arial" w:hAnsi="Arial" w:cs="Arial"/>
                <w:b/>
                <w:sz w:val="22"/>
              </w:rPr>
              <w:t>F</w:t>
            </w:r>
          </w:p>
        </w:tc>
        <w:tc>
          <w:tcPr>
            <w:tcW w:w="1417" w:type="dxa"/>
            <w:shd w:val="clear" w:color="auto" w:fill="D9EAF7"/>
            <w:vAlign w:val="center"/>
          </w:tcPr>
          <w:p w14:paraId="7CB4B01F" w14:textId="77777777" w:rsidR="00840F80" w:rsidRPr="00594926" w:rsidRDefault="00840F80" w:rsidP="009034F6">
            <w:pPr>
              <w:rPr>
                <w:rFonts w:ascii="Arial" w:hAnsi="Arial" w:cs="Arial"/>
                <w:sz w:val="22"/>
              </w:rPr>
            </w:pPr>
            <w:r w:rsidRPr="00594926">
              <w:rPr>
                <w:rFonts w:ascii="Arial" w:hAnsi="Arial" w:cs="Arial"/>
                <w:b/>
                <w:sz w:val="22"/>
              </w:rPr>
              <w:t>Sig.</w:t>
            </w:r>
          </w:p>
        </w:tc>
      </w:tr>
      <w:tr w:rsidR="00840F80" w:rsidRPr="00594926" w14:paraId="43E545B6" w14:textId="77777777" w:rsidTr="009034F6">
        <w:trPr>
          <w:jc w:val="center"/>
        </w:trPr>
        <w:tc>
          <w:tcPr>
            <w:tcW w:w="2268" w:type="dxa"/>
            <w:vAlign w:val="center"/>
          </w:tcPr>
          <w:p w14:paraId="2C1C2747" w14:textId="77777777" w:rsidR="00840F80" w:rsidRPr="00594926" w:rsidRDefault="00840F80" w:rsidP="009034F6">
            <w:pPr>
              <w:rPr>
                <w:rFonts w:ascii="Arial" w:hAnsi="Arial" w:cs="Arial"/>
                <w:sz w:val="22"/>
              </w:rPr>
            </w:pPr>
            <w:r w:rsidRPr="00594926">
              <w:rPr>
                <w:rFonts w:ascii="Arial" w:hAnsi="Arial" w:cs="Arial"/>
                <w:sz w:val="22"/>
              </w:rPr>
              <w:t>Regression</w:t>
            </w:r>
          </w:p>
        </w:tc>
        <w:tc>
          <w:tcPr>
            <w:tcW w:w="1701" w:type="dxa"/>
            <w:vAlign w:val="center"/>
          </w:tcPr>
          <w:p w14:paraId="4F1B88A3" w14:textId="77777777" w:rsidR="00840F80" w:rsidRPr="00594926" w:rsidRDefault="00840F80" w:rsidP="009034F6">
            <w:pPr>
              <w:rPr>
                <w:rFonts w:ascii="Arial" w:hAnsi="Arial" w:cs="Arial"/>
                <w:sz w:val="22"/>
              </w:rPr>
            </w:pPr>
            <w:r w:rsidRPr="00594926">
              <w:rPr>
                <w:rFonts w:ascii="Arial" w:hAnsi="Arial" w:cs="Arial"/>
                <w:sz w:val="22"/>
              </w:rPr>
              <w:t>349.242</w:t>
            </w:r>
          </w:p>
        </w:tc>
        <w:tc>
          <w:tcPr>
            <w:tcW w:w="1134" w:type="dxa"/>
            <w:vAlign w:val="center"/>
          </w:tcPr>
          <w:p w14:paraId="6E55B7BE" w14:textId="77777777" w:rsidR="00840F80" w:rsidRPr="00594926" w:rsidRDefault="00840F80" w:rsidP="009034F6">
            <w:pPr>
              <w:rPr>
                <w:rFonts w:ascii="Arial" w:hAnsi="Arial" w:cs="Arial"/>
                <w:sz w:val="22"/>
              </w:rPr>
            </w:pPr>
            <w:r w:rsidRPr="00594926">
              <w:rPr>
                <w:rFonts w:ascii="Arial" w:hAnsi="Arial" w:cs="Arial"/>
                <w:sz w:val="22"/>
              </w:rPr>
              <w:t>2</w:t>
            </w:r>
          </w:p>
        </w:tc>
        <w:tc>
          <w:tcPr>
            <w:tcW w:w="1701" w:type="dxa"/>
            <w:vAlign w:val="center"/>
          </w:tcPr>
          <w:p w14:paraId="6976EEC1" w14:textId="77777777" w:rsidR="00840F80" w:rsidRPr="00594926" w:rsidRDefault="00840F80" w:rsidP="009034F6">
            <w:pPr>
              <w:rPr>
                <w:rFonts w:ascii="Arial" w:hAnsi="Arial" w:cs="Arial"/>
                <w:sz w:val="22"/>
              </w:rPr>
            </w:pPr>
            <w:r w:rsidRPr="00594926">
              <w:rPr>
                <w:rFonts w:ascii="Arial" w:hAnsi="Arial" w:cs="Arial"/>
                <w:sz w:val="22"/>
              </w:rPr>
              <w:t>174,621</w:t>
            </w:r>
          </w:p>
        </w:tc>
        <w:tc>
          <w:tcPr>
            <w:tcW w:w="1474" w:type="dxa"/>
            <w:vAlign w:val="center"/>
          </w:tcPr>
          <w:p w14:paraId="12B25056" w14:textId="77777777" w:rsidR="00840F80" w:rsidRPr="00594926" w:rsidRDefault="00840F80" w:rsidP="009034F6">
            <w:pPr>
              <w:rPr>
                <w:rFonts w:ascii="Arial" w:hAnsi="Arial" w:cs="Arial"/>
                <w:sz w:val="22"/>
              </w:rPr>
            </w:pPr>
            <w:r w:rsidRPr="00594926">
              <w:rPr>
                <w:rFonts w:ascii="Arial" w:hAnsi="Arial" w:cs="Arial"/>
                <w:sz w:val="22"/>
              </w:rPr>
              <w:t>306.150</w:t>
            </w:r>
          </w:p>
        </w:tc>
        <w:tc>
          <w:tcPr>
            <w:tcW w:w="1417" w:type="dxa"/>
            <w:vAlign w:val="center"/>
          </w:tcPr>
          <w:p w14:paraId="5DC0AE22" w14:textId="77777777" w:rsidR="00840F80" w:rsidRPr="00594926" w:rsidRDefault="00840F80" w:rsidP="009034F6">
            <w:pPr>
              <w:rPr>
                <w:rFonts w:ascii="Arial" w:hAnsi="Arial" w:cs="Arial"/>
                <w:sz w:val="22"/>
              </w:rPr>
            </w:pPr>
            <w:r w:rsidRPr="00594926">
              <w:rPr>
                <w:rFonts w:ascii="Arial" w:hAnsi="Arial" w:cs="Arial"/>
                <w:sz w:val="22"/>
              </w:rPr>
              <w:t>&lt;0.001</w:t>
            </w:r>
          </w:p>
        </w:tc>
      </w:tr>
      <w:tr w:rsidR="00840F80" w:rsidRPr="00594926" w14:paraId="215C5C89" w14:textId="77777777" w:rsidTr="009034F6">
        <w:trPr>
          <w:jc w:val="center"/>
        </w:trPr>
        <w:tc>
          <w:tcPr>
            <w:tcW w:w="2268" w:type="dxa"/>
            <w:vAlign w:val="center"/>
          </w:tcPr>
          <w:p w14:paraId="4DB03E85" w14:textId="77777777" w:rsidR="00840F80" w:rsidRPr="00594926" w:rsidRDefault="00840F80" w:rsidP="009034F6">
            <w:pPr>
              <w:rPr>
                <w:rFonts w:ascii="Arial" w:hAnsi="Arial" w:cs="Arial"/>
                <w:sz w:val="22"/>
              </w:rPr>
            </w:pPr>
            <w:r w:rsidRPr="00594926">
              <w:rPr>
                <w:rFonts w:ascii="Arial" w:hAnsi="Arial" w:cs="Arial"/>
                <w:sz w:val="22"/>
              </w:rPr>
              <w:t>Residual</w:t>
            </w:r>
          </w:p>
        </w:tc>
        <w:tc>
          <w:tcPr>
            <w:tcW w:w="1701" w:type="dxa"/>
            <w:vAlign w:val="center"/>
          </w:tcPr>
          <w:p w14:paraId="7D5B4144" w14:textId="77777777" w:rsidR="00840F80" w:rsidRPr="00594926" w:rsidRDefault="00840F80" w:rsidP="009034F6">
            <w:pPr>
              <w:rPr>
                <w:rFonts w:ascii="Arial" w:hAnsi="Arial" w:cs="Arial"/>
                <w:sz w:val="22"/>
              </w:rPr>
            </w:pPr>
            <w:r w:rsidRPr="00594926">
              <w:rPr>
                <w:rFonts w:ascii="Arial" w:hAnsi="Arial" w:cs="Arial"/>
                <w:sz w:val="22"/>
              </w:rPr>
              <w:t>265,226</w:t>
            </w:r>
          </w:p>
        </w:tc>
        <w:tc>
          <w:tcPr>
            <w:tcW w:w="1134" w:type="dxa"/>
            <w:vAlign w:val="center"/>
          </w:tcPr>
          <w:p w14:paraId="30E3BC73" w14:textId="77777777" w:rsidR="00840F80" w:rsidRPr="00594926" w:rsidRDefault="00840F80" w:rsidP="009034F6">
            <w:pPr>
              <w:rPr>
                <w:rFonts w:ascii="Arial" w:hAnsi="Arial" w:cs="Arial"/>
                <w:sz w:val="22"/>
              </w:rPr>
            </w:pPr>
            <w:r w:rsidRPr="00594926">
              <w:rPr>
                <w:rFonts w:ascii="Arial" w:hAnsi="Arial" w:cs="Arial"/>
                <w:sz w:val="22"/>
              </w:rPr>
              <w:t>465</w:t>
            </w:r>
          </w:p>
        </w:tc>
        <w:tc>
          <w:tcPr>
            <w:tcW w:w="1701" w:type="dxa"/>
            <w:vAlign w:val="center"/>
          </w:tcPr>
          <w:p w14:paraId="2BC14D3D" w14:textId="77777777" w:rsidR="00840F80" w:rsidRPr="00594926" w:rsidRDefault="00840F80" w:rsidP="009034F6">
            <w:pPr>
              <w:rPr>
                <w:rFonts w:ascii="Arial" w:hAnsi="Arial" w:cs="Arial"/>
                <w:sz w:val="22"/>
              </w:rPr>
            </w:pPr>
            <w:r w:rsidRPr="00594926">
              <w:rPr>
                <w:rFonts w:ascii="Arial" w:hAnsi="Arial" w:cs="Arial"/>
                <w:sz w:val="22"/>
              </w:rPr>
              <w:t>0.570</w:t>
            </w:r>
          </w:p>
        </w:tc>
        <w:tc>
          <w:tcPr>
            <w:tcW w:w="1474" w:type="dxa"/>
            <w:vAlign w:val="center"/>
          </w:tcPr>
          <w:p w14:paraId="31BCDF40" w14:textId="77777777" w:rsidR="00840F80" w:rsidRPr="00594926" w:rsidRDefault="00840F80" w:rsidP="009034F6">
            <w:pPr>
              <w:rPr>
                <w:rFonts w:ascii="Arial" w:hAnsi="Arial" w:cs="Arial"/>
                <w:sz w:val="22"/>
              </w:rPr>
            </w:pPr>
          </w:p>
        </w:tc>
        <w:tc>
          <w:tcPr>
            <w:tcW w:w="1417" w:type="dxa"/>
            <w:vAlign w:val="center"/>
          </w:tcPr>
          <w:p w14:paraId="35CD55AB" w14:textId="77777777" w:rsidR="00840F80" w:rsidRPr="00594926" w:rsidRDefault="00840F80" w:rsidP="009034F6">
            <w:pPr>
              <w:rPr>
                <w:rFonts w:ascii="Arial" w:hAnsi="Arial" w:cs="Arial"/>
                <w:sz w:val="22"/>
              </w:rPr>
            </w:pPr>
          </w:p>
        </w:tc>
      </w:tr>
      <w:tr w:rsidR="00840F80" w:rsidRPr="00594926" w14:paraId="30727BA7" w14:textId="77777777" w:rsidTr="009034F6">
        <w:trPr>
          <w:jc w:val="center"/>
        </w:trPr>
        <w:tc>
          <w:tcPr>
            <w:tcW w:w="2268" w:type="dxa"/>
            <w:vAlign w:val="center"/>
          </w:tcPr>
          <w:p w14:paraId="6F56BE52" w14:textId="77777777" w:rsidR="00840F80" w:rsidRPr="00594926" w:rsidRDefault="00840F80" w:rsidP="009034F6">
            <w:pPr>
              <w:rPr>
                <w:rFonts w:ascii="Arial" w:hAnsi="Arial" w:cs="Arial"/>
                <w:sz w:val="22"/>
              </w:rPr>
            </w:pPr>
            <w:r w:rsidRPr="00594926">
              <w:rPr>
                <w:rFonts w:ascii="Arial" w:hAnsi="Arial" w:cs="Arial"/>
                <w:sz w:val="22"/>
              </w:rPr>
              <w:t>Total</w:t>
            </w:r>
          </w:p>
        </w:tc>
        <w:tc>
          <w:tcPr>
            <w:tcW w:w="1701" w:type="dxa"/>
            <w:vAlign w:val="center"/>
          </w:tcPr>
          <w:p w14:paraId="6DD045B9" w14:textId="77777777" w:rsidR="00840F80" w:rsidRPr="00594926" w:rsidRDefault="00840F80" w:rsidP="009034F6">
            <w:pPr>
              <w:rPr>
                <w:rFonts w:ascii="Arial" w:hAnsi="Arial" w:cs="Arial"/>
                <w:sz w:val="22"/>
              </w:rPr>
            </w:pPr>
            <w:r w:rsidRPr="00594926">
              <w:rPr>
                <w:rFonts w:ascii="Arial" w:hAnsi="Arial" w:cs="Arial"/>
                <w:sz w:val="22"/>
              </w:rPr>
              <w:t>614,468</w:t>
            </w:r>
          </w:p>
        </w:tc>
        <w:tc>
          <w:tcPr>
            <w:tcW w:w="1134" w:type="dxa"/>
            <w:vAlign w:val="center"/>
          </w:tcPr>
          <w:p w14:paraId="6A0FC6CF" w14:textId="77777777" w:rsidR="00840F80" w:rsidRPr="00594926" w:rsidRDefault="00840F80" w:rsidP="009034F6">
            <w:pPr>
              <w:rPr>
                <w:rFonts w:ascii="Arial" w:hAnsi="Arial" w:cs="Arial"/>
                <w:sz w:val="22"/>
              </w:rPr>
            </w:pPr>
            <w:r w:rsidRPr="00594926">
              <w:rPr>
                <w:rFonts w:ascii="Arial" w:hAnsi="Arial" w:cs="Arial"/>
                <w:sz w:val="22"/>
              </w:rPr>
              <w:t>467</w:t>
            </w:r>
          </w:p>
        </w:tc>
        <w:tc>
          <w:tcPr>
            <w:tcW w:w="1701" w:type="dxa"/>
            <w:vAlign w:val="center"/>
          </w:tcPr>
          <w:p w14:paraId="7A4AF619" w14:textId="77777777" w:rsidR="00840F80" w:rsidRPr="00594926" w:rsidRDefault="00840F80" w:rsidP="009034F6">
            <w:pPr>
              <w:rPr>
                <w:rFonts w:ascii="Arial" w:hAnsi="Arial" w:cs="Arial"/>
                <w:sz w:val="22"/>
              </w:rPr>
            </w:pPr>
          </w:p>
        </w:tc>
        <w:tc>
          <w:tcPr>
            <w:tcW w:w="1474" w:type="dxa"/>
            <w:vAlign w:val="center"/>
          </w:tcPr>
          <w:p w14:paraId="28D00370" w14:textId="77777777" w:rsidR="00840F80" w:rsidRPr="00594926" w:rsidRDefault="00840F80" w:rsidP="009034F6">
            <w:pPr>
              <w:rPr>
                <w:rFonts w:ascii="Arial" w:hAnsi="Arial" w:cs="Arial"/>
                <w:sz w:val="22"/>
              </w:rPr>
            </w:pPr>
          </w:p>
        </w:tc>
        <w:tc>
          <w:tcPr>
            <w:tcW w:w="1417" w:type="dxa"/>
            <w:vAlign w:val="center"/>
          </w:tcPr>
          <w:p w14:paraId="4F2097F5" w14:textId="77777777" w:rsidR="00840F80" w:rsidRPr="00594926" w:rsidRDefault="00840F80" w:rsidP="009034F6">
            <w:pPr>
              <w:rPr>
                <w:rFonts w:ascii="Arial" w:hAnsi="Arial" w:cs="Arial"/>
                <w:sz w:val="22"/>
              </w:rPr>
            </w:pPr>
          </w:p>
        </w:tc>
      </w:tr>
    </w:tbl>
    <w:p w14:paraId="32FE93DB" w14:textId="77777777" w:rsidR="00840F80" w:rsidRPr="00594926" w:rsidRDefault="00840F80" w:rsidP="00840F80">
      <w:pPr>
        <w:spacing w:after="20"/>
        <w:rPr>
          <w:rFonts w:ascii="Arial" w:hAnsi="Arial" w:cs="Arial"/>
          <w:sz w:val="22"/>
        </w:rPr>
      </w:pPr>
    </w:p>
    <w:p w14:paraId="6B7AF865" w14:textId="77777777" w:rsidR="00840F80" w:rsidRDefault="00840F80" w:rsidP="00840F80">
      <w:pPr>
        <w:spacing w:after="80" w:line="252" w:lineRule="auto"/>
        <w:rPr>
          <w:rFonts w:ascii="Arial" w:hAnsi="Arial" w:cs="Arial"/>
          <w:i/>
          <w:sz w:val="22"/>
        </w:rPr>
      </w:pPr>
      <w:r w:rsidRPr="00594926">
        <w:rPr>
          <w:rFonts w:ascii="Arial" w:hAnsi="Arial" w:cs="Arial"/>
          <w:i/>
          <w:sz w:val="22"/>
        </w:rPr>
        <w:t>Source: Processed data, 2026.</w:t>
      </w:r>
    </w:p>
    <w:p w14:paraId="07E9E151" w14:textId="77777777" w:rsidR="00D143AF" w:rsidRDefault="00D143AF" w:rsidP="00840F80">
      <w:pPr>
        <w:spacing w:after="80" w:line="252" w:lineRule="auto"/>
        <w:rPr>
          <w:rFonts w:ascii="Arial" w:hAnsi="Arial" w:cs="Arial"/>
          <w:i/>
          <w:sz w:val="22"/>
        </w:rPr>
      </w:pPr>
    </w:p>
    <w:p w14:paraId="64810D89" w14:textId="713DAA99" w:rsidR="00D143AF" w:rsidRPr="00594926" w:rsidRDefault="00D143AF" w:rsidP="00840F80">
      <w:pPr>
        <w:spacing w:after="80" w:line="252" w:lineRule="auto"/>
        <w:rPr>
          <w:rFonts w:ascii="Arial" w:hAnsi="Arial" w:cs="Arial"/>
          <w:sz w:val="22"/>
        </w:rPr>
      </w:pPr>
      <w:r>
        <w:rPr>
          <w:rFonts w:ascii="Arial" w:hAnsi="Arial" w:cs="Arial"/>
          <w:i/>
          <w:sz w:val="22"/>
        </w:rPr>
        <w:t xml:space="preserve">Table </w:t>
      </w:r>
      <w:r w:rsidR="00833B78">
        <w:rPr>
          <w:rFonts w:ascii="Arial" w:hAnsi="Arial" w:cs="Arial"/>
          <w:i/>
          <w:sz w:val="22"/>
        </w:rPr>
        <w:t>4b</w:t>
      </w:r>
      <w:r>
        <w:rPr>
          <w:rFonts w:ascii="Arial" w:hAnsi="Arial" w:cs="Arial"/>
          <w:i/>
          <w:sz w:val="22"/>
        </w:rPr>
        <w:t>:</w:t>
      </w:r>
      <w:r w:rsidRPr="00D143AF">
        <w:t xml:space="preserve"> </w:t>
      </w:r>
      <w:r w:rsidRPr="00D143AF">
        <w:rPr>
          <w:rFonts w:ascii="Arial" w:hAnsi="Arial" w:cs="Arial"/>
          <w:i/>
          <w:sz w:val="22"/>
        </w:rPr>
        <w:t>Model Summary of Multiple Linear Regression</w:t>
      </w:r>
    </w:p>
    <w:tbl>
      <w:tblPr>
        <w:tblStyle w:val="TableGrid"/>
        <w:tblW w:w="0" w:type="auto"/>
        <w:jc w:val="center"/>
        <w:tblLook w:val="04A0" w:firstRow="1" w:lastRow="0" w:firstColumn="1" w:lastColumn="0" w:noHBand="0" w:noVBand="1"/>
      </w:tblPr>
      <w:tblGrid>
        <w:gridCol w:w="1701"/>
        <w:gridCol w:w="1701"/>
        <w:gridCol w:w="2268"/>
        <w:gridCol w:w="1701"/>
        <w:gridCol w:w="1701"/>
      </w:tblGrid>
      <w:tr w:rsidR="00840F80" w:rsidRPr="00594926" w14:paraId="324915FB" w14:textId="77777777" w:rsidTr="009034F6">
        <w:trPr>
          <w:jc w:val="center"/>
        </w:trPr>
        <w:tc>
          <w:tcPr>
            <w:tcW w:w="1701" w:type="dxa"/>
            <w:shd w:val="clear" w:color="auto" w:fill="D9EAF7"/>
            <w:vAlign w:val="center"/>
          </w:tcPr>
          <w:p w14:paraId="6798319A" w14:textId="77777777" w:rsidR="00840F80" w:rsidRPr="00594926" w:rsidRDefault="00840F80" w:rsidP="009034F6">
            <w:pPr>
              <w:rPr>
                <w:rFonts w:ascii="Arial" w:hAnsi="Arial" w:cs="Arial"/>
                <w:sz w:val="22"/>
              </w:rPr>
            </w:pPr>
            <w:r w:rsidRPr="00594926">
              <w:rPr>
                <w:rFonts w:ascii="Arial" w:hAnsi="Arial" w:cs="Arial"/>
                <w:b/>
                <w:sz w:val="22"/>
              </w:rPr>
              <w:t>R</w:t>
            </w:r>
          </w:p>
        </w:tc>
        <w:tc>
          <w:tcPr>
            <w:tcW w:w="1701" w:type="dxa"/>
            <w:shd w:val="clear" w:color="auto" w:fill="D9EAF7"/>
            <w:vAlign w:val="center"/>
          </w:tcPr>
          <w:p w14:paraId="54B3C4F9" w14:textId="77777777" w:rsidR="00840F80" w:rsidRPr="00594926" w:rsidRDefault="00840F80" w:rsidP="009034F6">
            <w:pPr>
              <w:rPr>
                <w:rFonts w:ascii="Arial" w:hAnsi="Arial" w:cs="Arial"/>
                <w:sz w:val="22"/>
              </w:rPr>
            </w:pPr>
            <w:r w:rsidRPr="00594926">
              <w:rPr>
                <w:rFonts w:ascii="Arial" w:hAnsi="Arial" w:cs="Arial"/>
                <w:b/>
                <w:sz w:val="22"/>
              </w:rPr>
              <w:t>R-Square</w:t>
            </w:r>
          </w:p>
        </w:tc>
        <w:tc>
          <w:tcPr>
            <w:tcW w:w="2268" w:type="dxa"/>
            <w:shd w:val="clear" w:color="auto" w:fill="D9EAF7"/>
            <w:vAlign w:val="center"/>
          </w:tcPr>
          <w:p w14:paraId="0F98711B" w14:textId="77777777" w:rsidR="00840F80" w:rsidRPr="00594926" w:rsidRDefault="00840F80" w:rsidP="009034F6">
            <w:pPr>
              <w:rPr>
                <w:rFonts w:ascii="Arial" w:hAnsi="Arial" w:cs="Arial"/>
                <w:sz w:val="22"/>
              </w:rPr>
            </w:pPr>
            <w:r w:rsidRPr="00594926">
              <w:rPr>
                <w:rFonts w:ascii="Arial" w:hAnsi="Arial" w:cs="Arial"/>
                <w:b/>
                <w:sz w:val="22"/>
              </w:rPr>
              <w:t>Adjusted R-Square</w:t>
            </w:r>
          </w:p>
        </w:tc>
        <w:tc>
          <w:tcPr>
            <w:tcW w:w="1701" w:type="dxa"/>
            <w:shd w:val="clear" w:color="auto" w:fill="D9EAF7"/>
            <w:vAlign w:val="center"/>
          </w:tcPr>
          <w:p w14:paraId="6637DAD2" w14:textId="77777777" w:rsidR="00840F80" w:rsidRPr="00594926" w:rsidRDefault="00840F80" w:rsidP="009034F6">
            <w:pPr>
              <w:rPr>
                <w:rFonts w:ascii="Arial" w:hAnsi="Arial" w:cs="Arial"/>
                <w:sz w:val="22"/>
              </w:rPr>
            </w:pPr>
            <w:r w:rsidRPr="00594926">
              <w:rPr>
                <w:rFonts w:ascii="Arial" w:hAnsi="Arial" w:cs="Arial"/>
                <w:b/>
                <w:sz w:val="22"/>
              </w:rPr>
              <w:t>Standard Error</w:t>
            </w:r>
          </w:p>
        </w:tc>
        <w:tc>
          <w:tcPr>
            <w:tcW w:w="1701" w:type="dxa"/>
            <w:shd w:val="clear" w:color="auto" w:fill="D9EAF7"/>
            <w:vAlign w:val="center"/>
          </w:tcPr>
          <w:p w14:paraId="07D2851B" w14:textId="77777777" w:rsidR="00840F80" w:rsidRPr="00594926" w:rsidRDefault="00840F80" w:rsidP="009034F6">
            <w:pPr>
              <w:rPr>
                <w:rFonts w:ascii="Arial" w:hAnsi="Arial" w:cs="Arial"/>
                <w:sz w:val="22"/>
              </w:rPr>
            </w:pPr>
            <w:r w:rsidRPr="00594926">
              <w:rPr>
                <w:rFonts w:ascii="Arial" w:hAnsi="Arial" w:cs="Arial"/>
                <w:b/>
                <w:sz w:val="22"/>
              </w:rPr>
              <w:t>Durbin-Watson</w:t>
            </w:r>
          </w:p>
        </w:tc>
      </w:tr>
      <w:tr w:rsidR="00840F80" w:rsidRPr="00594926" w14:paraId="1E46FB1E" w14:textId="77777777" w:rsidTr="009034F6">
        <w:trPr>
          <w:jc w:val="center"/>
        </w:trPr>
        <w:tc>
          <w:tcPr>
            <w:tcW w:w="1701" w:type="dxa"/>
            <w:vAlign w:val="center"/>
          </w:tcPr>
          <w:p w14:paraId="38DD085D" w14:textId="77777777" w:rsidR="00840F80" w:rsidRPr="00594926" w:rsidRDefault="00840F80" w:rsidP="009034F6">
            <w:pPr>
              <w:rPr>
                <w:rFonts w:ascii="Arial" w:hAnsi="Arial" w:cs="Arial"/>
                <w:sz w:val="22"/>
              </w:rPr>
            </w:pPr>
            <w:r w:rsidRPr="00594926">
              <w:rPr>
                <w:rFonts w:ascii="Arial" w:hAnsi="Arial" w:cs="Arial"/>
                <w:sz w:val="22"/>
              </w:rPr>
              <w:t>0.754</w:t>
            </w:r>
          </w:p>
        </w:tc>
        <w:tc>
          <w:tcPr>
            <w:tcW w:w="1701" w:type="dxa"/>
            <w:vAlign w:val="center"/>
          </w:tcPr>
          <w:p w14:paraId="1296AAE2" w14:textId="77777777" w:rsidR="00840F80" w:rsidRPr="00594926" w:rsidRDefault="00840F80" w:rsidP="009034F6">
            <w:pPr>
              <w:rPr>
                <w:rFonts w:ascii="Arial" w:hAnsi="Arial" w:cs="Arial"/>
                <w:sz w:val="22"/>
              </w:rPr>
            </w:pPr>
            <w:r w:rsidRPr="00594926">
              <w:rPr>
                <w:rFonts w:ascii="Arial" w:hAnsi="Arial" w:cs="Arial"/>
                <w:sz w:val="22"/>
              </w:rPr>
              <w:t>0.568</w:t>
            </w:r>
          </w:p>
        </w:tc>
        <w:tc>
          <w:tcPr>
            <w:tcW w:w="2268" w:type="dxa"/>
            <w:vAlign w:val="center"/>
          </w:tcPr>
          <w:p w14:paraId="39266470" w14:textId="77777777" w:rsidR="00840F80" w:rsidRPr="00594926" w:rsidRDefault="00840F80" w:rsidP="009034F6">
            <w:pPr>
              <w:rPr>
                <w:rFonts w:ascii="Arial" w:hAnsi="Arial" w:cs="Arial"/>
                <w:sz w:val="22"/>
              </w:rPr>
            </w:pPr>
            <w:r w:rsidRPr="00594926">
              <w:rPr>
                <w:rFonts w:ascii="Arial" w:hAnsi="Arial" w:cs="Arial"/>
                <w:sz w:val="22"/>
              </w:rPr>
              <w:t>0.567</w:t>
            </w:r>
          </w:p>
        </w:tc>
        <w:tc>
          <w:tcPr>
            <w:tcW w:w="1701" w:type="dxa"/>
            <w:vAlign w:val="center"/>
          </w:tcPr>
          <w:p w14:paraId="10E7E958" w14:textId="77777777" w:rsidR="00840F80" w:rsidRPr="00594926" w:rsidRDefault="00840F80" w:rsidP="009034F6">
            <w:pPr>
              <w:rPr>
                <w:rFonts w:ascii="Arial" w:hAnsi="Arial" w:cs="Arial"/>
                <w:sz w:val="22"/>
              </w:rPr>
            </w:pPr>
            <w:r w:rsidRPr="00594926">
              <w:rPr>
                <w:rFonts w:ascii="Arial" w:hAnsi="Arial" w:cs="Arial"/>
                <w:sz w:val="22"/>
              </w:rPr>
              <w:t>0.755</w:t>
            </w:r>
          </w:p>
        </w:tc>
        <w:tc>
          <w:tcPr>
            <w:tcW w:w="1701" w:type="dxa"/>
            <w:vAlign w:val="center"/>
          </w:tcPr>
          <w:p w14:paraId="2BEF817A" w14:textId="77777777" w:rsidR="00840F80" w:rsidRPr="00594926" w:rsidRDefault="00840F80" w:rsidP="009034F6">
            <w:pPr>
              <w:rPr>
                <w:rFonts w:ascii="Arial" w:hAnsi="Arial" w:cs="Arial"/>
                <w:sz w:val="22"/>
              </w:rPr>
            </w:pPr>
            <w:r w:rsidRPr="00594926">
              <w:rPr>
                <w:rFonts w:ascii="Arial" w:hAnsi="Arial" w:cs="Arial"/>
                <w:sz w:val="22"/>
              </w:rPr>
              <w:t>1.978</w:t>
            </w:r>
          </w:p>
        </w:tc>
      </w:tr>
    </w:tbl>
    <w:p w14:paraId="241C608D" w14:textId="77777777" w:rsidR="00840F80" w:rsidRPr="00594926" w:rsidRDefault="00840F80" w:rsidP="00840F80">
      <w:pPr>
        <w:spacing w:after="20"/>
        <w:rPr>
          <w:rFonts w:ascii="Arial" w:hAnsi="Arial" w:cs="Arial"/>
          <w:sz w:val="22"/>
        </w:rPr>
      </w:pPr>
    </w:p>
    <w:p w14:paraId="6FB0D2F8" w14:textId="77777777" w:rsidR="00840F80" w:rsidRPr="00594926" w:rsidRDefault="00840F80" w:rsidP="00840F80">
      <w:pPr>
        <w:spacing w:after="80" w:line="252" w:lineRule="auto"/>
        <w:rPr>
          <w:rFonts w:ascii="Arial" w:hAnsi="Arial" w:cs="Arial"/>
          <w:sz w:val="22"/>
        </w:rPr>
      </w:pPr>
      <w:r w:rsidRPr="00594926">
        <w:rPr>
          <w:rFonts w:ascii="Arial" w:hAnsi="Arial" w:cs="Arial"/>
          <w:i/>
          <w:sz w:val="22"/>
        </w:rPr>
        <w:t>Source: Processed data, 2026.</w:t>
      </w:r>
    </w:p>
    <w:p w14:paraId="6D9A5473" w14:textId="77777777" w:rsidR="00840F80" w:rsidRPr="00594926" w:rsidRDefault="00840F80" w:rsidP="00840F80">
      <w:pPr>
        <w:spacing w:after="80" w:line="252" w:lineRule="auto"/>
        <w:jc w:val="both"/>
        <w:rPr>
          <w:rFonts w:ascii="Arial" w:hAnsi="Arial" w:cs="Arial"/>
          <w:sz w:val="22"/>
        </w:rPr>
      </w:pPr>
      <w:r w:rsidRPr="00594926">
        <w:rPr>
          <w:rFonts w:ascii="Arial" w:hAnsi="Arial"/>
          <w:sz w:val="22"/>
        </w:rPr>
        <w:t>The simultaneous test yielded an F-value of 306.150 with p &lt; 0.001, so H3 is accepted in the research model. The R-squared value of 0.568 indicates that perceived cybersecurity and digital financial literacy together explain 56.8% of the variation in continuance intention, while the remaining 43.2% is attributable to other factors outside the model.</w:t>
      </w:r>
    </w:p>
    <w:p w14:paraId="54A6B065" w14:textId="77777777" w:rsidR="00840F80" w:rsidRPr="00594926" w:rsidRDefault="00840F80" w:rsidP="00840F80">
      <w:pPr>
        <w:pStyle w:val="Heading1"/>
        <w:spacing w:before="100" w:after="60"/>
        <w:rPr>
          <w:rFonts w:ascii="Arial" w:hAnsi="Arial" w:cs="Arial"/>
          <w:color w:val="auto"/>
          <w:sz w:val="22"/>
          <w:szCs w:val="22"/>
        </w:rPr>
      </w:pPr>
      <w:r w:rsidRPr="00594926">
        <w:rPr>
          <w:rFonts w:ascii="Arial" w:hAnsi="Arial" w:cs="Arial"/>
          <w:color w:val="auto"/>
          <w:sz w:val="22"/>
          <w:szCs w:val="22"/>
        </w:rPr>
        <w:t>5. Discussion</w:t>
      </w:r>
    </w:p>
    <w:p w14:paraId="19C9ECD5" w14:textId="21E4C7A3" w:rsidR="00840F80" w:rsidRPr="00594926" w:rsidRDefault="00840F80" w:rsidP="00840F80">
      <w:pPr>
        <w:spacing w:after="80" w:line="252" w:lineRule="auto"/>
        <w:ind w:firstLine="720"/>
        <w:jc w:val="both"/>
        <w:rPr>
          <w:rFonts w:ascii="Arial" w:hAnsi="Arial" w:cs="Arial"/>
          <w:sz w:val="22"/>
        </w:rPr>
      </w:pPr>
      <w:r w:rsidRPr="00594926">
        <w:rPr>
          <w:rFonts w:ascii="Arial" w:hAnsi="Arial"/>
          <w:sz w:val="22"/>
        </w:rPr>
        <w:t xml:space="preserve">The positive influence of perceived cybersecurity indicates that the continued use of mobile banking depends not only on convenience but also on a sense of security when users store data </w:t>
      </w:r>
      <w:r w:rsidRPr="00594926">
        <w:rPr>
          <w:rFonts w:ascii="Arial" w:hAnsi="Arial"/>
          <w:sz w:val="22"/>
        </w:rPr>
        <w:lastRenderedPageBreak/>
        <w:t>and conduct financial transactions. In systems that manage direct economic value, perceptions of authentication and transaction protection are a crucial part of post-adoption evaluation (Aprilia &amp; Amalia, 2023; Nguyen &amp; Dao, 2024). The findings are consistent with a study on Indonesian digital banks, which showed that data security, trust, perceived usefulness, and satisfaction are associated with continuance intention. Strong security can reduce uncertainty and maintain trust when users rely on digital channels for routine transactions (</w:t>
      </w:r>
      <w:r w:rsidR="00F25766">
        <w:rPr>
          <w:rFonts w:ascii="Arial" w:hAnsi="Arial"/>
          <w:sz w:val="22"/>
        </w:rPr>
        <w:t xml:space="preserve">Zulaikha &amp; </w:t>
      </w:r>
      <w:proofErr w:type="spellStart"/>
      <w:r w:rsidR="00F25766">
        <w:rPr>
          <w:rFonts w:ascii="Arial" w:hAnsi="Arial"/>
          <w:sz w:val="22"/>
        </w:rPr>
        <w:t>Faricha</w:t>
      </w:r>
      <w:proofErr w:type="spellEnd"/>
      <w:r w:rsidR="00F25766">
        <w:rPr>
          <w:rFonts w:ascii="Arial" w:hAnsi="Arial"/>
          <w:sz w:val="22"/>
        </w:rPr>
        <w:t>, 2026</w:t>
      </w:r>
      <w:r w:rsidRPr="00594926">
        <w:rPr>
          <w:rFonts w:ascii="Arial" w:hAnsi="Arial"/>
          <w:sz w:val="22"/>
        </w:rPr>
        <w:t>).</w:t>
      </w:r>
    </w:p>
    <w:p w14:paraId="728F6E8F" w14:textId="77777777" w:rsidR="00840F80" w:rsidRPr="00594926" w:rsidRDefault="00840F80" w:rsidP="00840F80">
      <w:pPr>
        <w:spacing w:after="80" w:line="252" w:lineRule="auto"/>
        <w:ind w:firstLine="720"/>
        <w:jc w:val="both"/>
        <w:rPr>
          <w:rFonts w:ascii="Arial" w:hAnsi="Arial" w:cs="Arial"/>
          <w:sz w:val="22"/>
        </w:rPr>
      </w:pPr>
      <w:r w:rsidRPr="00594926">
        <w:rPr>
          <w:rFonts w:ascii="Arial" w:hAnsi="Arial"/>
          <w:sz w:val="22"/>
        </w:rPr>
        <w:t>Digital financial literacy also makes a positive contribution to continuance intention. Users who understand risks and are able to protect themselves have the capacity to respond to threats without having to avoid digital services entirely; thus, literacy can serve as both a source of self-protection and an enabler of use (OECD, 2024, 2026). This relationship is relevant to local findings that cybersecurity knowledge influences the awareness and security behaviour of digital banking users. Knowledge about phishing, credentials, fake links, and device protection helps users translate security information into concrete actions when using apps (Nagari &amp; Raharja, 2025; Nur’aini &amp; Simanjuntak, 2025).</w:t>
      </w:r>
    </w:p>
    <w:p w14:paraId="03915339" w14:textId="7A02D389" w:rsidR="00840F80" w:rsidRPr="00594926" w:rsidRDefault="00840F80" w:rsidP="00840F80">
      <w:pPr>
        <w:spacing w:after="80" w:line="252" w:lineRule="auto"/>
        <w:ind w:firstLine="720"/>
        <w:jc w:val="both"/>
        <w:rPr>
          <w:rFonts w:ascii="Arial" w:hAnsi="Arial" w:cs="Arial"/>
          <w:sz w:val="22"/>
        </w:rPr>
      </w:pPr>
      <w:r w:rsidRPr="00594926">
        <w:rPr>
          <w:rFonts w:ascii="Arial" w:hAnsi="Arial"/>
          <w:sz w:val="22"/>
        </w:rPr>
        <w:t xml:space="preserve">The simultaneous influence of these two variables indicates that security responsibility cannot be entirely placed on either the bank or the user. Banks must provide secure systems and credible incident response, while users still need the competence to recognise fraud, safeguard their credentials, and verify information (Nguyen &amp; Dao, 2024; OECD, 2026). The cross-bank focus of this study broadens the context compared with studies that examine only mobile payments, a single bank, or a specific Islamic bank. Future empirical research could examine whether the effects of cybersecurity and digital financial literacy differ among users of conventional banks, digital banks, and Islamic banks, or among different age groups (Ansori &amp; Nugroho, 2024; </w:t>
      </w:r>
      <w:r w:rsidR="00F25766">
        <w:rPr>
          <w:rFonts w:ascii="Arial" w:hAnsi="Arial"/>
          <w:sz w:val="22"/>
        </w:rPr>
        <w:t xml:space="preserve">Zulaikha &amp; </w:t>
      </w:r>
      <w:proofErr w:type="spellStart"/>
      <w:r w:rsidR="00F25766">
        <w:rPr>
          <w:rFonts w:ascii="Arial" w:hAnsi="Arial"/>
          <w:sz w:val="22"/>
        </w:rPr>
        <w:t>Faricha</w:t>
      </w:r>
      <w:proofErr w:type="spellEnd"/>
      <w:r w:rsidR="00F25766">
        <w:rPr>
          <w:rFonts w:ascii="Arial" w:hAnsi="Arial"/>
          <w:sz w:val="22"/>
        </w:rPr>
        <w:t>, 2026</w:t>
      </w:r>
      <w:r w:rsidRPr="00594926">
        <w:rPr>
          <w:rFonts w:ascii="Arial" w:hAnsi="Arial"/>
          <w:sz w:val="22"/>
        </w:rPr>
        <w:t>).</w:t>
      </w:r>
    </w:p>
    <w:p w14:paraId="79325B24" w14:textId="77777777" w:rsidR="00840F80" w:rsidRPr="00594926" w:rsidRDefault="00840F80" w:rsidP="00840F80">
      <w:pPr>
        <w:pStyle w:val="Heading1"/>
        <w:spacing w:before="100" w:after="60"/>
        <w:rPr>
          <w:rFonts w:ascii="Arial" w:hAnsi="Arial" w:cs="Arial"/>
          <w:color w:val="auto"/>
          <w:sz w:val="22"/>
          <w:szCs w:val="22"/>
        </w:rPr>
      </w:pPr>
      <w:r w:rsidRPr="00594926">
        <w:rPr>
          <w:rFonts w:ascii="Arial" w:hAnsi="Arial" w:cs="Arial"/>
          <w:color w:val="auto"/>
          <w:sz w:val="22"/>
          <w:szCs w:val="22"/>
        </w:rPr>
        <w:t>6. Research Implications</w:t>
      </w:r>
    </w:p>
    <w:p w14:paraId="1BDF5F14" w14:textId="77777777" w:rsidR="00840F80" w:rsidRPr="00594926" w:rsidRDefault="00840F80" w:rsidP="00840F80">
      <w:pPr>
        <w:spacing w:after="80" w:line="252" w:lineRule="auto"/>
        <w:ind w:firstLine="720"/>
        <w:jc w:val="both"/>
        <w:rPr>
          <w:rFonts w:ascii="Arial" w:hAnsi="Arial" w:cs="Arial"/>
          <w:sz w:val="22"/>
        </w:rPr>
      </w:pPr>
      <w:r w:rsidRPr="00594926">
        <w:rPr>
          <w:rFonts w:ascii="Arial" w:hAnsi="Arial"/>
          <w:sz w:val="22"/>
        </w:rPr>
        <w:t>Theoretically, this study integrates the perspective of continuance behaviour with digital financial literacy, such that continuity of use is understood as the result of the interaction between perceptions of system security and users’ ability to manage digital risks. Models can be developed by incorporating trust, satisfaction, perceived risk, perceived usefulness, or cybersecurity awareness as mediators or moderators (Bhattacherjee, 2001; Nguyen &amp; Dao, 2024). Practically, banks need to strengthen security while ensuring that communication is easy for users to understand, including risk notifications, phishing education, device controls, recipient verification, and incident response channels. Literacy programmes should emphasise practical actions that customers can implement, rather than only general information about financial products (OECD, 2026; OJK &amp; BPS, 2025).</w:t>
      </w:r>
    </w:p>
    <w:p w14:paraId="634F446D" w14:textId="77777777" w:rsidR="00840F80" w:rsidRPr="00594926" w:rsidRDefault="00840F80" w:rsidP="00840F80">
      <w:pPr>
        <w:pStyle w:val="Heading1"/>
        <w:spacing w:before="100" w:after="60"/>
        <w:rPr>
          <w:rFonts w:ascii="Arial" w:hAnsi="Arial" w:cs="Arial"/>
          <w:color w:val="auto"/>
          <w:sz w:val="22"/>
          <w:szCs w:val="22"/>
        </w:rPr>
      </w:pPr>
      <w:r w:rsidRPr="00594926">
        <w:rPr>
          <w:rFonts w:ascii="Arial" w:hAnsi="Arial" w:cs="Arial"/>
          <w:color w:val="auto"/>
          <w:sz w:val="22"/>
          <w:szCs w:val="22"/>
        </w:rPr>
        <w:t>7. Conclusion</w:t>
      </w:r>
    </w:p>
    <w:p w14:paraId="0BAD9287" w14:textId="77777777" w:rsidR="00594926" w:rsidRPr="00594926" w:rsidRDefault="00594926" w:rsidP="00594926">
      <w:pPr>
        <w:jc w:val="both"/>
      </w:pPr>
      <w:r w:rsidRPr="00594926">
        <w:t xml:space="preserve">This study examined the influence of perceived cybersecurity and digital financial literacy on the intention to continue using mobile banking among bank customers in Indonesia. The findings show that both perceived cybersecurity and digital financial literacy have positive and significant individual effects on continuance intention. Perceived cybersecurity recorded a regression coefficient of 0.484, while digital financial literacy recorded a coefficient of 0.456, with both effects significant at p &lt; 0.001. The two variables also had a significant simultaneous effect, with an F-value of 306.150 and p &lt; 0.001. The model explained 56.8% of the variation in continuance intention, indicating that security perceptions and digital financial competence are important components of continued mobile banking use within the study model. The findings further suggest that sustained use depends on both the protections provided by mobile banking systems and users’ ability to </w:t>
      </w:r>
      <w:proofErr w:type="spellStart"/>
      <w:r w:rsidRPr="00594926">
        <w:t>recognise</w:t>
      </w:r>
      <w:proofErr w:type="spellEnd"/>
      <w:r w:rsidRPr="00594926">
        <w:t xml:space="preserve"> and manage digital financial risks. Accordingly, secure service provision and practical digital financial competence should be considered complementary elements in supporting continued mobile banking use.</w:t>
      </w:r>
    </w:p>
    <w:p w14:paraId="065E17A1" w14:textId="4D63E0A2" w:rsidR="00840F80" w:rsidRPr="00594926" w:rsidRDefault="00840F80" w:rsidP="00840F80">
      <w:pPr>
        <w:pStyle w:val="Heading1"/>
        <w:spacing w:before="100" w:after="60"/>
        <w:rPr>
          <w:rFonts w:ascii="Arial" w:hAnsi="Arial" w:cs="Arial"/>
          <w:color w:val="auto"/>
          <w:sz w:val="22"/>
          <w:szCs w:val="22"/>
        </w:rPr>
      </w:pPr>
      <w:r w:rsidRPr="00594926">
        <w:rPr>
          <w:rFonts w:ascii="Arial" w:hAnsi="Arial" w:cs="Arial"/>
          <w:color w:val="auto"/>
          <w:sz w:val="22"/>
          <w:szCs w:val="22"/>
        </w:rPr>
        <w:t>8. Research Limitations</w:t>
      </w:r>
    </w:p>
    <w:p w14:paraId="62BD2020" w14:textId="77777777" w:rsidR="00840F80" w:rsidRPr="00594926" w:rsidRDefault="00840F80" w:rsidP="00840F80">
      <w:pPr>
        <w:spacing w:after="80" w:line="252" w:lineRule="auto"/>
        <w:jc w:val="both"/>
        <w:rPr>
          <w:rFonts w:ascii="Arial" w:hAnsi="Arial" w:cs="Arial"/>
          <w:sz w:val="22"/>
        </w:rPr>
      </w:pPr>
      <w:r w:rsidRPr="00594926">
        <w:rPr>
          <w:rFonts w:ascii="Arial" w:hAnsi="Arial"/>
          <w:sz w:val="22"/>
        </w:rPr>
        <w:t xml:space="preserve">This study has several limitations. First, the cross-sectional research design means that the relationships between variables describe conditions at a specific point in time and therefore cannot explain changes in user behaviour over the long term. Second, the use of purposive sampling may limit the generalisability of the study’s findings to all mobile banking users in Indonesia. Additionally, the research data, which were collected through perception-based questionnaires, may be subject to respondent bias. Future research could employ a longitudinal approach, expand the scope of respondents, and combine survey data with transaction behaviour data or digital security incident data. Furthermore, developing a research model using structural equation modelling (SEM) and </w:t>
      </w:r>
      <w:r w:rsidRPr="00594926">
        <w:rPr>
          <w:rFonts w:ascii="Arial" w:hAnsi="Arial"/>
          <w:sz w:val="22"/>
        </w:rPr>
        <w:lastRenderedPageBreak/>
        <w:t>incorporating variables such as trust, satisfaction, or perceived risk as mediators or moderators could provide a deeper understanding of the factors influencing the sustainability of mobile banking use.</w:t>
      </w:r>
    </w:p>
    <w:p w14:paraId="0C866503" w14:textId="77777777" w:rsidR="00991E8A" w:rsidRPr="00594926" w:rsidRDefault="00991E8A" w:rsidP="00783A79">
      <w:pPr>
        <w:spacing w:after="0" w:line="240" w:lineRule="auto"/>
        <w:rPr>
          <w:rFonts w:cs="Times New Roman"/>
          <w:b/>
        </w:rPr>
      </w:pPr>
    </w:p>
    <w:p w14:paraId="1ADDE175" w14:textId="77777777" w:rsidR="00783A79" w:rsidRPr="00594926" w:rsidRDefault="00783A79" w:rsidP="00783A79">
      <w:pPr>
        <w:spacing w:after="0" w:line="240" w:lineRule="auto"/>
        <w:rPr>
          <w:rFonts w:cs="Times New Roman"/>
          <w:b/>
        </w:rPr>
      </w:pPr>
      <w:r w:rsidRPr="00594926">
        <w:rPr>
          <w:rFonts w:cs="Times New Roman"/>
          <w:b/>
        </w:rPr>
        <w:t>Declaration of AI Use</w:t>
      </w:r>
    </w:p>
    <w:p w14:paraId="4D1F1647" w14:textId="77777777" w:rsidR="00783A79" w:rsidRPr="00594926" w:rsidRDefault="00783A79" w:rsidP="00783A79">
      <w:pPr>
        <w:spacing w:after="0" w:line="240" w:lineRule="auto"/>
        <w:rPr>
          <w:rFonts w:cs="Times New Roman"/>
          <w:b/>
        </w:rPr>
      </w:pPr>
    </w:p>
    <w:p w14:paraId="3CA6744A" w14:textId="77777777" w:rsidR="00783A79" w:rsidRPr="00594926" w:rsidRDefault="00783A79" w:rsidP="00783A79">
      <w:pPr>
        <w:spacing w:after="0" w:line="240" w:lineRule="auto"/>
        <w:rPr>
          <w:rFonts w:cs="Times New Roman"/>
          <w:b/>
        </w:rPr>
      </w:pPr>
    </w:p>
    <w:p w14:paraId="58C81432" w14:textId="77777777" w:rsidR="00783A79" w:rsidRPr="00594926" w:rsidRDefault="00783A79" w:rsidP="00783A79">
      <w:pPr>
        <w:spacing w:after="0" w:line="240" w:lineRule="auto"/>
        <w:rPr>
          <w:rFonts w:cs="Times New Roman"/>
          <w:b/>
        </w:rPr>
      </w:pPr>
    </w:p>
    <w:p w14:paraId="0EBBAFCA" w14:textId="77777777" w:rsidR="00783A79" w:rsidRPr="00594926" w:rsidRDefault="00783A79" w:rsidP="00783A79">
      <w:pPr>
        <w:spacing w:after="0" w:line="240" w:lineRule="auto"/>
        <w:rPr>
          <w:rFonts w:ascii="Arial" w:hAnsi="Arial" w:cs="Arial"/>
          <w:szCs w:val="20"/>
        </w:rPr>
      </w:pPr>
      <w:r w:rsidRPr="00594926">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15381E4" w14:textId="77777777" w:rsidR="00783A79" w:rsidRPr="00594926" w:rsidRDefault="00783A79" w:rsidP="00840F80">
      <w:pPr>
        <w:spacing w:after="80" w:line="252" w:lineRule="auto"/>
        <w:jc w:val="both"/>
        <w:rPr>
          <w:rFonts w:ascii="Arial" w:hAnsi="Arial" w:cs="Arial"/>
          <w:sz w:val="22"/>
        </w:rPr>
      </w:pPr>
    </w:p>
    <w:p w14:paraId="0BAAF9CC" w14:textId="77777777" w:rsidR="00840F80" w:rsidRPr="00594926" w:rsidRDefault="00840F80" w:rsidP="00840F80">
      <w:pPr>
        <w:pStyle w:val="Heading1"/>
        <w:spacing w:before="100" w:after="60"/>
        <w:rPr>
          <w:rFonts w:ascii="Arial" w:hAnsi="Arial" w:cs="Arial"/>
          <w:color w:val="auto"/>
          <w:sz w:val="22"/>
          <w:szCs w:val="22"/>
        </w:rPr>
      </w:pPr>
      <w:r w:rsidRPr="00594926">
        <w:rPr>
          <w:rFonts w:ascii="Arial" w:hAnsi="Arial" w:cs="Arial"/>
          <w:color w:val="auto"/>
          <w:sz w:val="22"/>
          <w:szCs w:val="22"/>
        </w:rPr>
        <w:t>References</w:t>
      </w:r>
    </w:p>
    <w:p w14:paraId="4E724398"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proofErr w:type="spellStart"/>
      <w:r w:rsidRPr="00F25766">
        <w:rPr>
          <w:rFonts w:cs="Times New Roman"/>
          <w:sz w:val="24"/>
          <w:szCs w:val="24"/>
        </w:rPr>
        <w:t>Ansori</w:t>
      </w:r>
      <w:proofErr w:type="spellEnd"/>
      <w:r w:rsidRPr="00F25766">
        <w:rPr>
          <w:rFonts w:cs="Times New Roman"/>
          <w:sz w:val="24"/>
          <w:szCs w:val="24"/>
        </w:rPr>
        <w:t xml:space="preserve">, A. D., &amp; Nugroho, S. S. (2024). The role of trust on the continuance usage intention of Indonesian mobile payment application. </w:t>
      </w:r>
      <w:r w:rsidRPr="00F25766">
        <w:rPr>
          <w:rFonts w:cs="Times New Roman"/>
          <w:i/>
          <w:iCs/>
          <w:sz w:val="24"/>
          <w:szCs w:val="24"/>
        </w:rPr>
        <w:t>Gadjah Mada International Journal of Business, 26</w:t>
      </w:r>
      <w:r w:rsidRPr="00F25766">
        <w:rPr>
          <w:rFonts w:cs="Times New Roman"/>
          <w:sz w:val="24"/>
          <w:szCs w:val="24"/>
        </w:rPr>
        <w:t xml:space="preserve">(2), 233–259. </w:t>
      </w:r>
      <w:hyperlink r:id="rId7" w:tgtFrame="_new" w:history="1">
        <w:r w:rsidRPr="00F25766">
          <w:rPr>
            <w:rFonts w:cs="Times New Roman"/>
            <w:color w:val="0000FF"/>
            <w:sz w:val="24"/>
            <w:szCs w:val="24"/>
            <w:u w:val="single"/>
          </w:rPr>
          <w:t>https://doi.org/10.22146/gamaijb.70452</w:t>
        </w:r>
      </w:hyperlink>
      <w:r w:rsidRPr="00F25766">
        <w:rPr>
          <w:rFonts w:cs="Times New Roman"/>
          <w:sz w:val="24"/>
          <w:szCs w:val="24"/>
        </w:rPr>
        <w:t xml:space="preserve"> </w:t>
      </w:r>
    </w:p>
    <w:p w14:paraId="1097EDCC"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Aprilia, C., &amp; Amalia, R. (2023). Perceived security and technology continuance theory: An analysis of mobile wallet users’ continuance intention. </w:t>
      </w:r>
      <w:r w:rsidRPr="00F25766">
        <w:rPr>
          <w:rFonts w:cs="Times New Roman"/>
          <w:i/>
          <w:iCs/>
          <w:sz w:val="24"/>
          <w:szCs w:val="24"/>
        </w:rPr>
        <w:t>Global Business Review</w:t>
      </w:r>
      <w:r w:rsidRPr="00F25766">
        <w:rPr>
          <w:rFonts w:cs="Times New Roman"/>
          <w:sz w:val="24"/>
          <w:szCs w:val="24"/>
        </w:rPr>
        <w:t xml:space="preserve">. Advance online publication. </w:t>
      </w:r>
      <w:hyperlink r:id="rId8" w:tgtFrame="_new" w:history="1">
        <w:r w:rsidRPr="00F25766">
          <w:rPr>
            <w:rFonts w:cs="Times New Roman"/>
            <w:color w:val="0000FF"/>
            <w:sz w:val="24"/>
            <w:szCs w:val="24"/>
            <w:u w:val="single"/>
          </w:rPr>
          <w:t>https://doi.org/10.1177/09721509221145831</w:t>
        </w:r>
      </w:hyperlink>
      <w:r w:rsidRPr="00F25766">
        <w:rPr>
          <w:rFonts w:cs="Times New Roman"/>
          <w:sz w:val="24"/>
          <w:szCs w:val="24"/>
        </w:rPr>
        <w:t xml:space="preserve"> </w:t>
      </w:r>
    </w:p>
    <w:p w14:paraId="2F8A5AD7"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Bank Indonesia. (2025, December 19). </w:t>
      </w:r>
      <w:proofErr w:type="spellStart"/>
      <w:r w:rsidRPr="00F25766">
        <w:rPr>
          <w:rFonts w:cs="Times New Roman"/>
          <w:i/>
          <w:iCs/>
          <w:sz w:val="24"/>
          <w:szCs w:val="24"/>
        </w:rPr>
        <w:t>Tinjauan</w:t>
      </w:r>
      <w:proofErr w:type="spellEnd"/>
      <w:r w:rsidRPr="00F25766">
        <w:rPr>
          <w:rFonts w:cs="Times New Roman"/>
          <w:i/>
          <w:iCs/>
          <w:sz w:val="24"/>
          <w:szCs w:val="24"/>
        </w:rPr>
        <w:t xml:space="preserve"> </w:t>
      </w:r>
      <w:proofErr w:type="spellStart"/>
      <w:r w:rsidRPr="00F25766">
        <w:rPr>
          <w:rFonts w:cs="Times New Roman"/>
          <w:i/>
          <w:iCs/>
          <w:sz w:val="24"/>
          <w:szCs w:val="24"/>
        </w:rPr>
        <w:t>Kebijakan</w:t>
      </w:r>
      <w:proofErr w:type="spellEnd"/>
      <w:r w:rsidRPr="00F25766">
        <w:rPr>
          <w:rFonts w:cs="Times New Roman"/>
          <w:i/>
          <w:iCs/>
          <w:sz w:val="24"/>
          <w:szCs w:val="24"/>
        </w:rPr>
        <w:t xml:space="preserve"> </w:t>
      </w:r>
      <w:proofErr w:type="spellStart"/>
      <w:r w:rsidRPr="00F25766">
        <w:rPr>
          <w:rFonts w:cs="Times New Roman"/>
          <w:i/>
          <w:iCs/>
          <w:sz w:val="24"/>
          <w:szCs w:val="24"/>
        </w:rPr>
        <w:t>Moneter</w:t>
      </w:r>
      <w:proofErr w:type="spellEnd"/>
      <w:r w:rsidRPr="00F25766">
        <w:rPr>
          <w:rFonts w:cs="Times New Roman"/>
          <w:i/>
          <w:iCs/>
          <w:sz w:val="24"/>
          <w:szCs w:val="24"/>
        </w:rPr>
        <w:t xml:space="preserve"> </w:t>
      </w:r>
      <w:proofErr w:type="spellStart"/>
      <w:r w:rsidRPr="00F25766">
        <w:rPr>
          <w:rFonts w:cs="Times New Roman"/>
          <w:i/>
          <w:iCs/>
          <w:sz w:val="24"/>
          <w:szCs w:val="24"/>
        </w:rPr>
        <w:t>Desember</w:t>
      </w:r>
      <w:proofErr w:type="spellEnd"/>
      <w:r w:rsidRPr="00F25766">
        <w:rPr>
          <w:rFonts w:cs="Times New Roman"/>
          <w:i/>
          <w:iCs/>
          <w:sz w:val="24"/>
          <w:szCs w:val="24"/>
        </w:rPr>
        <w:t xml:space="preserve"> 2025 [December 2025 monetary policy review].</w:t>
      </w:r>
      <w:r w:rsidRPr="00F25766">
        <w:rPr>
          <w:rFonts w:cs="Times New Roman"/>
          <w:sz w:val="24"/>
          <w:szCs w:val="24"/>
        </w:rPr>
        <w:t xml:space="preserve"> </w:t>
      </w:r>
      <w:hyperlink r:id="rId9" w:tgtFrame="_new" w:history="1">
        <w:r w:rsidRPr="00F25766">
          <w:rPr>
            <w:rFonts w:cs="Times New Roman"/>
            <w:color w:val="0000FF"/>
            <w:sz w:val="24"/>
            <w:szCs w:val="24"/>
            <w:u w:val="single"/>
          </w:rPr>
          <w:t>https://www.bi.go.id/id/publikasi/laporan/Pages/TKM-Desember-2025.aspx</w:t>
        </w:r>
      </w:hyperlink>
      <w:r w:rsidRPr="00F25766">
        <w:rPr>
          <w:rFonts w:cs="Times New Roman"/>
          <w:sz w:val="24"/>
          <w:szCs w:val="24"/>
        </w:rPr>
        <w:t xml:space="preserve"> </w:t>
      </w:r>
    </w:p>
    <w:p w14:paraId="69CBB8A1"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Bayya, A. K. (2025). Implementing AI-driven transaction security protocols and automation in next-gen FinTech solutions. </w:t>
      </w:r>
      <w:r w:rsidRPr="00F25766">
        <w:rPr>
          <w:rFonts w:cs="Times New Roman"/>
          <w:i/>
          <w:iCs/>
          <w:sz w:val="24"/>
          <w:szCs w:val="24"/>
        </w:rPr>
        <w:t>Asian Journal of Mathematics and Computer Research, 32</w:t>
      </w:r>
      <w:r w:rsidRPr="00F25766">
        <w:rPr>
          <w:rFonts w:cs="Times New Roman"/>
          <w:sz w:val="24"/>
          <w:szCs w:val="24"/>
        </w:rPr>
        <w:t xml:space="preserve">(1), 104–132. </w:t>
      </w:r>
      <w:hyperlink r:id="rId10" w:tgtFrame="_new" w:history="1">
        <w:r w:rsidRPr="00F25766">
          <w:rPr>
            <w:rFonts w:cs="Times New Roman"/>
            <w:color w:val="0000FF"/>
            <w:sz w:val="24"/>
            <w:szCs w:val="24"/>
            <w:u w:val="single"/>
          </w:rPr>
          <w:t>https://doi.org/10.56557/ajomcor/2025/v32i19060</w:t>
        </w:r>
      </w:hyperlink>
      <w:r w:rsidRPr="00F25766">
        <w:rPr>
          <w:rFonts w:cs="Times New Roman"/>
          <w:sz w:val="24"/>
          <w:szCs w:val="24"/>
        </w:rPr>
        <w:t xml:space="preserve"> </w:t>
      </w:r>
    </w:p>
    <w:p w14:paraId="4776E01D"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Bhattacherjee, A. (2001). Understanding information systems continuance: An expectation-confirmation model. </w:t>
      </w:r>
      <w:r w:rsidRPr="00F25766">
        <w:rPr>
          <w:rFonts w:cs="Times New Roman"/>
          <w:i/>
          <w:iCs/>
          <w:sz w:val="24"/>
          <w:szCs w:val="24"/>
        </w:rPr>
        <w:t>MIS Quarterly, 25</w:t>
      </w:r>
      <w:r w:rsidRPr="00F25766">
        <w:rPr>
          <w:rFonts w:cs="Times New Roman"/>
          <w:sz w:val="24"/>
          <w:szCs w:val="24"/>
        </w:rPr>
        <w:t xml:space="preserve">(3), 351–370. </w:t>
      </w:r>
      <w:hyperlink r:id="rId11" w:tgtFrame="_new" w:history="1">
        <w:r w:rsidRPr="00F25766">
          <w:rPr>
            <w:rFonts w:cs="Times New Roman"/>
            <w:color w:val="0000FF"/>
            <w:sz w:val="24"/>
            <w:szCs w:val="24"/>
            <w:u w:val="single"/>
          </w:rPr>
          <w:t>https://doi.org/10.2307/3250921</w:t>
        </w:r>
      </w:hyperlink>
      <w:r w:rsidRPr="00F25766">
        <w:rPr>
          <w:rFonts w:cs="Times New Roman"/>
          <w:sz w:val="24"/>
          <w:szCs w:val="24"/>
        </w:rPr>
        <w:t xml:space="preserve"> </w:t>
      </w:r>
    </w:p>
    <w:p w14:paraId="36809A64"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Chen, F., &amp; Xiang, J. (2021). Consumer financial knowledge and the use of mobile banking: Evidence from the 2018 U.S. National Financial Capability Study. </w:t>
      </w:r>
      <w:r w:rsidRPr="00F25766">
        <w:rPr>
          <w:rFonts w:cs="Times New Roman"/>
          <w:i/>
          <w:iCs/>
          <w:sz w:val="24"/>
          <w:szCs w:val="24"/>
        </w:rPr>
        <w:t>Asian Journal of Education and Social Studies, 16</w:t>
      </w:r>
      <w:r w:rsidRPr="00F25766">
        <w:rPr>
          <w:rFonts w:cs="Times New Roman"/>
          <w:sz w:val="24"/>
          <w:szCs w:val="24"/>
        </w:rPr>
        <w:t xml:space="preserve">(3), 1–17. </w:t>
      </w:r>
      <w:hyperlink r:id="rId12" w:tgtFrame="_new" w:history="1">
        <w:r w:rsidRPr="00F25766">
          <w:rPr>
            <w:rFonts w:cs="Times New Roman"/>
            <w:color w:val="0000FF"/>
            <w:sz w:val="24"/>
            <w:szCs w:val="24"/>
            <w:u w:val="single"/>
          </w:rPr>
          <w:t>https://doi.org/10.9734/ajess/2021/v16i330400</w:t>
        </w:r>
      </w:hyperlink>
      <w:r w:rsidRPr="00F25766">
        <w:rPr>
          <w:rFonts w:cs="Times New Roman"/>
          <w:sz w:val="24"/>
          <w:szCs w:val="24"/>
        </w:rPr>
        <w:t xml:space="preserve"> </w:t>
      </w:r>
    </w:p>
    <w:p w14:paraId="7EAFD0B5"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lang w:val="nl-BE"/>
        </w:rPr>
        <w:t xml:space="preserve">Etikan, I., Musa, S. A., &amp; Alkassim, R. S. (2015). </w:t>
      </w:r>
      <w:r w:rsidRPr="00F25766">
        <w:rPr>
          <w:rFonts w:cs="Times New Roman"/>
          <w:sz w:val="24"/>
          <w:szCs w:val="24"/>
        </w:rPr>
        <w:t xml:space="preserve">Comparison of convenience sampling and purposive sampling. </w:t>
      </w:r>
      <w:r w:rsidRPr="00F25766">
        <w:rPr>
          <w:rFonts w:cs="Times New Roman"/>
          <w:i/>
          <w:iCs/>
          <w:sz w:val="24"/>
          <w:szCs w:val="24"/>
        </w:rPr>
        <w:t>American Journal of Theoretical and Applied Statistics, 5</w:t>
      </w:r>
      <w:r w:rsidRPr="00F25766">
        <w:rPr>
          <w:rFonts w:cs="Times New Roman"/>
          <w:sz w:val="24"/>
          <w:szCs w:val="24"/>
        </w:rPr>
        <w:t xml:space="preserve">(1), 1–4. </w:t>
      </w:r>
      <w:hyperlink r:id="rId13" w:tgtFrame="_new" w:history="1">
        <w:r w:rsidRPr="00F25766">
          <w:rPr>
            <w:rFonts w:cs="Times New Roman"/>
            <w:color w:val="0000FF"/>
            <w:sz w:val="24"/>
            <w:szCs w:val="24"/>
            <w:u w:val="single"/>
          </w:rPr>
          <w:t>https://doi.org/10.11648/j.ajtas.20160501.11</w:t>
        </w:r>
      </w:hyperlink>
      <w:r w:rsidRPr="00F25766">
        <w:rPr>
          <w:rFonts w:cs="Times New Roman"/>
          <w:sz w:val="24"/>
          <w:szCs w:val="24"/>
        </w:rPr>
        <w:t xml:space="preserve"> </w:t>
      </w:r>
    </w:p>
    <w:p w14:paraId="39E69C8D" w14:textId="10FBFB87" w:rsidR="00F25766" w:rsidRPr="00F25766" w:rsidRDefault="00F25766" w:rsidP="00F25766">
      <w:pPr>
        <w:spacing w:before="100" w:beforeAutospacing="1" w:after="100" w:afterAutospacing="1" w:line="240" w:lineRule="auto"/>
        <w:ind w:left="540" w:hanging="540"/>
        <w:jc w:val="both"/>
        <w:rPr>
          <w:rFonts w:cs="Times New Roman"/>
          <w:sz w:val="24"/>
          <w:szCs w:val="24"/>
        </w:rPr>
      </w:pPr>
      <w:proofErr w:type="spellStart"/>
      <w:r w:rsidRPr="00F25766">
        <w:rPr>
          <w:rFonts w:cs="Times New Roman"/>
          <w:sz w:val="24"/>
          <w:szCs w:val="24"/>
        </w:rPr>
        <w:t>Ghozali</w:t>
      </w:r>
      <w:proofErr w:type="spellEnd"/>
      <w:r w:rsidRPr="00F25766">
        <w:rPr>
          <w:rFonts w:cs="Times New Roman"/>
          <w:sz w:val="24"/>
          <w:szCs w:val="24"/>
        </w:rPr>
        <w:t xml:space="preserve">, I. (2018). </w:t>
      </w:r>
      <w:proofErr w:type="spellStart"/>
      <w:r w:rsidRPr="00F25766">
        <w:rPr>
          <w:rFonts w:cs="Times New Roman"/>
          <w:i/>
          <w:iCs/>
          <w:sz w:val="24"/>
          <w:szCs w:val="24"/>
        </w:rPr>
        <w:t>Aplikasi</w:t>
      </w:r>
      <w:proofErr w:type="spellEnd"/>
      <w:r w:rsidRPr="00F25766">
        <w:rPr>
          <w:rFonts w:cs="Times New Roman"/>
          <w:i/>
          <w:iCs/>
          <w:sz w:val="24"/>
          <w:szCs w:val="24"/>
        </w:rPr>
        <w:t xml:space="preserve"> </w:t>
      </w:r>
      <w:proofErr w:type="spellStart"/>
      <w:r w:rsidRPr="00F25766">
        <w:rPr>
          <w:rFonts w:cs="Times New Roman"/>
          <w:i/>
          <w:iCs/>
          <w:sz w:val="24"/>
          <w:szCs w:val="24"/>
        </w:rPr>
        <w:t>analisis</w:t>
      </w:r>
      <w:proofErr w:type="spellEnd"/>
      <w:r w:rsidRPr="00F25766">
        <w:rPr>
          <w:rFonts w:cs="Times New Roman"/>
          <w:i/>
          <w:iCs/>
          <w:sz w:val="24"/>
          <w:szCs w:val="24"/>
        </w:rPr>
        <w:t xml:space="preserve"> multivariate </w:t>
      </w:r>
      <w:proofErr w:type="spellStart"/>
      <w:r w:rsidRPr="00F25766">
        <w:rPr>
          <w:rFonts w:cs="Times New Roman"/>
          <w:i/>
          <w:iCs/>
          <w:sz w:val="24"/>
          <w:szCs w:val="24"/>
        </w:rPr>
        <w:t>dengan</w:t>
      </w:r>
      <w:proofErr w:type="spellEnd"/>
      <w:r w:rsidRPr="00F25766">
        <w:rPr>
          <w:rFonts w:cs="Times New Roman"/>
          <w:i/>
          <w:iCs/>
          <w:sz w:val="24"/>
          <w:szCs w:val="24"/>
        </w:rPr>
        <w:t xml:space="preserve"> program IBM SPSS 25</w:t>
      </w:r>
      <w:r w:rsidRPr="00F25766">
        <w:rPr>
          <w:rFonts w:cs="Times New Roman"/>
          <w:sz w:val="24"/>
          <w:szCs w:val="24"/>
        </w:rPr>
        <w:t xml:space="preserve"> (9th ed.). Badan </w:t>
      </w:r>
      <w:proofErr w:type="spellStart"/>
      <w:r w:rsidRPr="00F25766">
        <w:rPr>
          <w:rFonts w:cs="Times New Roman"/>
          <w:sz w:val="24"/>
          <w:szCs w:val="24"/>
        </w:rPr>
        <w:t>Penerbit</w:t>
      </w:r>
      <w:proofErr w:type="spellEnd"/>
      <w:r w:rsidRPr="00F25766">
        <w:rPr>
          <w:rFonts w:cs="Times New Roman"/>
          <w:sz w:val="24"/>
          <w:szCs w:val="24"/>
        </w:rPr>
        <w:t xml:space="preserve"> Universitas </w:t>
      </w:r>
      <w:proofErr w:type="spellStart"/>
      <w:r w:rsidRPr="00F25766">
        <w:rPr>
          <w:rFonts w:cs="Times New Roman"/>
          <w:sz w:val="24"/>
          <w:szCs w:val="24"/>
        </w:rPr>
        <w:t>Diponegoro</w:t>
      </w:r>
      <w:proofErr w:type="spellEnd"/>
      <w:r w:rsidRPr="00F25766">
        <w:rPr>
          <w:rFonts w:cs="Times New Roman"/>
          <w:sz w:val="24"/>
          <w:szCs w:val="24"/>
        </w:rPr>
        <w:t xml:space="preserve">. </w:t>
      </w:r>
    </w:p>
    <w:p w14:paraId="5F109D2B"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Habib, A., Pramana, E., </w:t>
      </w:r>
      <w:proofErr w:type="spellStart"/>
      <w:r w:rsidRPr="00F25766">
        <w:rPr>
          <w:rFonts w:cs="Times New Roman"/>
          <w:sz w:val="24"/>
          <w:szCs w:val="24"/>
        </w:rPr>
        <w:t>Junaedi</w:t>
      </w:r>
      <w:proofErr w:type="spellEnd"/>
      <w:r w:rsidRPr="00F25766">
        <w:rPr>
          <w:rFonts w:cs="Times New Roman"/>
          <w:sz w:val="24"/>
          <w:szCs w:val="24"/>
        </w:rPr>
        <w:t xml:space="preserve">, H., &amp; </w:t>
      </w:r>
      <w:proofErr w:type="spellStart"/>
      <w:r w:rsidRPr="00F25766">
        <w:rPr>
          <w:rFonts w:cs="Times New Roman"/>
          <w:sz w:val="24"/>
          <w:szCs w:val="24"/>
        </w:rPr>
        <w:t>Ronando</w:t>
      </w:r>
      <w:proofErr w:type="spellEnd"/>
      <w:r w:rsidRPr="00F25766">
        <w:rPr>
          <w:rFonts w:cs="Times New Roman"/>
          <w:sz w:val="24"/>
          <w:szCs w:val="24"/>
        </w:rPr>
        <w:t xml:space="preserve">, E. (2025). Extending the expectation confirmation model to examine continuous use mobile banking: Security, trust, and convenience. </w:t>
      </w:r>
      <w:r w:rsidRPr="00F25766">
        <w:rPr>
          <w:rFonts w:cs="Times New Roman"/>
          <w:i/>
          <w:iCs/>
          <w:sz w:val="24"/>
          <w:szCs w:val="24"/>
        </w:rPr>
        <w:t xml:space="preserve">INTENSIF: </w:t>
      </w:r>
      <w:proofErr w:type="spellStart"/>
      <w:r w:rsidRPr="00F25766">
        <w:rPr>
          <w:rFonts w:cs="Times New Roman"/>
          <w:i/>
          <w:iCs/>
          <w:sz w:val="24"/>
          <w:szCs w:val="24"/>
        </w:rPr>
        <w:t>Jurnal</w:t>
      </w:r>
      <w:proofErr w:type="spellEnd"/>
      <w:r w:rsidRPr="00F25766">
        <w:rPr>
          <w:rFonts w:cs="Times New Roman"/>
          <w:i/>
          <w:iCs/>
          <w:sz w:val="24"/>
          <w:szCs w:val="24"/>
        </w:rPr>
        <w:t xml:space="preserve"> </w:t>
      </w:r>
      <w:proofErr w:type="spellStart"/>
      <w:r w:rsidRPr="00F25766">
        <w:rPr>
          <w:rFonts w:cs="Times New Roman"/>
          <w:i/>
          <w:iCs/>
          <w:sz w:val="24"/>
          <w:szCs w:val="24"/>
        </w:rPr>
        <w:t>Ilmiah</w:t>
      </w:r>
      <w:proofErr w:type="spellEnd"/>
      <w:r w:rsidRPr="00F25766">
        <w:rPr>
          <w:rFonts w:cs="Times New Roman"/>
          <w:i/>
          <w:iCs/>
          <w:sz w:val="24"/>
          <w:szCs w:val="24"/>
        </w:rPr>
        <w:t xml:space="preserve"> </w:t>
      </w:r>
      <w:proofErr w:type="spellStart"/>
      <w:r w:rsidRPr="00F25766">
        <w:rPr>
          <w:rFonts w:cs="Times New Roman"/>
          <w:i/>
          <w:iCs/>
          <w:sz w:val="24"/>
          <w:szCs w:val="24"/>
        </w:rPr>
        <w:t>Penelitian</w:t>
      </w:r>
      <w:proofErr w:type="spellEnd"/>
      <w:r w:rsidRPr="00F25766">
        <w:rPr>
          <w:rFonts w:cs="Times New Roman"/>
          <w:i/>
          <w:iCs/>
          <w:sz w:val="24"/>
          <w:szCs w:val="24"/>
        </w:rPr>
        <w:t xml:space="preserve"> dan </w:t>
      </w:r>
      <w:proofErr w:type="spellStart"/>
      <w:r w:rsidRPr="00F25766">
        <w:rPr>
          <w:rFonts w:cs="Times New Roman"/>
          <w:i/>
          <w:iCs/>
          <w:sz w:val="24"/>
          <w:szCs w:val="24"/>
        </w:rPr>
        <w:t>Penerapan</w:t>
      </w:r>
      <w:proofErr w:type="spellEnd"/>
      <w:r w:rsidRPr="00F25766">
        <w:rPr>
          <w:rFonts w:cs="Times New Roman"/>
          <w:i/>
          <w:iCs/>
          <w:sz w:val="24"/>
          <w:szCs w:val="24"/>
        </w:rPr>
        <w:t xml:space="preserve"> </w:t>
      </w:r>
      <w:proofErr w:type="spellStart"/>
      <w:r w:rsidRPr="00F25766">
        <w:rPr>
          <w:rFonts w:cs="Times New Roman"/>
          <w:i/>
          <w:iCs/>
          <w:sz w:val="24"/>
          <w:szCs w:val="24"/>
        </w:rPr>
        <w:t>Teknologi</w:t>
      </w:r>
      <w:proofErr w:type="spellEnd"/>
      <w:r w:rsidRPr="00F25766">
        <w:rPr>
          <w:rFonts w:cs="Times New Roman"/>
          <w:i/>
          <w:iCs/>
          <w:sz w:val="24"/>
          <w:szCs w:val="24"/>
        </w:rPr>
        <w:t xml:space="preserve"> </w:t>
      </w:r>
      <w:proofErr w:type="spellStart"/>
      <w:r w:rsidRPr="00F25766">
        <w:rPr>
          <w:rFonts w:cs="Times New Roman"/>
          <w:i/>
          <w:iCs/>
          <w:sz w:val="24"/>
          <w:szCs w:val="24"/>
        </w:rPr>
        <w:t>Sistem</w:t>
      </w:r>
      <w:proofErr w:type="spellEnd"/>
      <w:r w:rsidRPr="00F25766">
        <w:rPr>
          <w:rFonts w:cs="Times New Roman"/>
          <w:i/>
          <w:iCs/>
          <w:sz w:val="24"/>
          <w:szCs w:val="24"/>
        </w:rPr>
        <w:t xml:space="preserve"> </w:t>
      </w:r>
      <w:proofErr w:type="spellStart"/>
      <w:r w:rsidRPr="00F25766">
        <w:rPr>
          <w:rFonts w:cs="Times New Roman"/>
          <w:i/>
          <w:iCs/>
          <w:sz w:val="24"/>
          <w:szCs w:val="24"/>
        </w:rPr>
        <w:t>Informasi</w:t>
      </w:r>
      <w:proofErr w:type="spellEnd"/>
      <w:r w:rsidRPr="00F25766">
        <w:rPr>
          <w:rFonts w:cs="Times New Roman"/>
          <w:i/>
          <w:iCs/>
          <w:sz w:val="24"/>
          <w:szCs w:val="24"/>
        </w:rPr>
        <w:t>, 9</w:t>
      </w:r>
      <w:r w:rsidRPr="00F25766">
        <w:rPr>
          <w:rFonts w:cs="Times New Roman"/>
          <w:sz w:val="24"/>
          <w:szCs w:val="24"/>
        </w:rPr>
        <w:t xml:space="preserve">(1), 76–96. </w:t>
      </w:r>
      <w:hyperlink r:id="rId14" w:tgtFrame="_new" w:history="1">
        <w:r w:rsidRPr="00F25766">
          <w:rPr>
            <w:rFonts w:cs="Times New Roman"/>
            <w:color w:val="0000FF"/>
            <w:sz w:val="24"/>
            <w:szCs w:val="24"/>
            <w:u w:val="single"/>
          </w:rPr>
          <w:t>https://doi.org/10.29407/intensif.v9i1.23751</w:t>
        </w:r>
      </w:hyperlink>
      <w:r w:rsidRPr="00F25766">
        <w:rPr>
          <w:rFonts w:cs="Times New Roman"/>
          <w:sz w:val="24"/>
          <w:szCs w:val="24"/>
        </w:rPr>
        <w:t xml:space="preserve"> </w:t>
      </w:r>
    </w:p>
    <w:p w14:paraId="1B6A738F" w14:textId="2DED240A"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Hair, J. F., Black, W. C., Babin, B. J., &amp; Anderson, R. E. (2019). </w:t>
      </w:r>
      <w:r w:rsidRPr="00F25766">
        <w:rPr>
          <w:rFonts w:cs="Times New Roman"/>
          <w:i/>
          <w:iCs/>
          <w:sz w:val="24"/>
          <w:szCs w:val="24"/>
        </w:rPr>
        <w:t>Multivariate data analysis</w:t>
      </w:r>
      <w:r w:rsidRPr="00F25766">
        <w:rPr>
          <w:rFonts w:cs="Times New Roman"/>
          <w:sz w:val="24"/>
          <w:szCs w:val="24"/>
        </w:rPr>
        <w:t xml:space="preserve"> (8th ed.). Cengage. </w:t>
      </w:r>
    </w:p>
    <w:p w14:paraId="5DDFEEDE"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lang w:val="nl-BE"/>
        </w:rPr>
        <w:lastRenderedPageBreak/>
        <w:t xml:space="preserve">Nagari, S. F., &amp; Raharja, S. (2025). </w:t>
      </w:r>
      <w:r w:rsidRPr="00F25766">
        <w:rPr>
          <w:rFonts w:cs="Times New Roman"/>
          <w:sz w:val="24"/>
          <w:szCs w:val="24"/>
        </w:rPr>
        <w:t xml:space="preserve">Cyber security awareness, knowledge and behavior of digital banking users in </w:t>
      </w:r>
      <w:proofErr w:type="spellStart"/>
      <w:r w:rsidRPr="00F25766">
        <w:rPr>
          <w:rFonts w:cs="Times New Roman"/>
          <w:sz w:val="24"/>
          <w:szCs w:val="24"/>
        </w:rPr>
        <w:t>Salatiga</w:t>
      </w:r>
      <w:proofErr w:type="spellEnd"/>
      <w:r w:rsidRPr="00F25766">
        <w:rPr>
          <w:rFonts w:cs="Times New Roman"/>
          <w:sz w:val="24"/>
          <w:szCs w:val="24"/>
        </w:rPr>
        <w:t xml:space="preserve">. </w:t>
      </w:r>
      <w:r w:rsidRPr="00F25766">
        <w:rPr>
          <w:rFonts w:cs="Times New Roman"/>
          <w:i/>
          <w:iCs/>
          <w:sz w:val="24"/>
          <w:szCs w:val="24"/>
        </w:rPr>
        <w:t>Asia Pacific Fraud Journal, 10</w:t>
      </w:r>
      <w:r w:rsidRPr="00F25766">
        <w:rPr>
          <w:rFonts w:cs="Times New Roman"/>
          <w:sz w:val="24"/>
          <w:szCs w:val="24"/>
        </w:rPr>
        <w:t xml:space="preserve">(1), 15–29. </w:t>
      </w:r>
      <w:hyperlink r:id="rId15" w:tgtFrame="_new" w:history="1">
        <w:r w:rsidRPr="00F25766">
          <w:rPr>
            <w:rFonts w:cs="Times New Roman"/>
            <w:color w:val="0000FF"/>
            <w:sz w:val="24"/>
            <w:szCs w:val="24"/>
            <w:u w:val="single"/>
          </w:rPr>
          <w:t>https://doi.org/10.21532/apfjournal.v10i1.398</w:t>
        </w:r>
      </w:hyperlink>
      <w:r w:rsidRPr="00F25766">
        <w:rPr>
          <w:rFonts w:cs="Times New Roman"/>
          <w:sz w:val="24"/>
          <w:szCs w:val="24"/>
        </w:rPr>
        <w:t xml:space="preserve"> </w:t>
      </w:r>
    </w:p>
    <w:p w14:paraId="72DBA425"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Nguyen, G.-D., &amp; Dao, T.-H. T. (2024). Factors influencing continuance intention to use mobile banking: An extended expectation-confirmation model with the moderating role of trust. </w:t>
      </w:r>
      <w:r w:rsidRPr="00F25766">
        <w:rPr>
          <w:rFonts w:cs="Times New Roman"/>
          <w:i/>
          <w:iCs/>
          <w:sz w:val="24"/>
          <w:szCs w:val="24"/>
        </w:rPr>
        <w:t>Humanities and Social Sciences Communications, 11</w:t>
      </w:r>
      <w:r w:rsidRPr="00F25766">
        <w:rPr>
          <w:rFonts w:cs="Times New Roman"/>
          <w:sz w:val="24"/>
          <w:szCs w:val="24"/>
        </w:rPr>
        <w:t xml:space="preserve">, Article 276. </w:t>
      </w:r>
      <w:hyperlink r:id="rId16" w:tgtFrame="_new" w:history="1">
        <w:r w:rsidRPr="00F25766">
          <w:rPr>
            <w:rFonts w:cs="Times New Roman"/>
            <w:color w:val="0000FF"/>
            <w:sz w:val="24"/>
            <w:szCs w:val="24"/>
            <w:u w:val="single"/>
          </w:rPr>
          <w:t>https://doi.org/10.1057/s41599-024-02778-z</w:t>
        </w:r>
      </w:hyperlink>
      <w:r w:rsidRPr="00F25766">
        <w:rPr>
          <w:rFonts w:cs="Times New Roman"/>
          <w:sz w:val="24"/>
          <w:szCs w:val="24"/>
        </w:rPr>
        <w:t xml:space="preserve"> </w:t>
      </w:r>
    </w:p>
    <w:p w14:paraId="6F35160D"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proofErr w:type="spellStart"/>
      <w:r w:rsidRPr="00F25766">
        <w:rPr>
          <w:rFonts w:cs="Times New Roman"/>
          <w:sz w:val="24"/>
          <w:szCs w:val="24"/>
        </w:rPr>
        <w:t>Nur’aini</w:t>
      </w:r>
      <w:proofErr w:type="spellEnd"/>
      <w:r w:rsidRPr="00F25766">
        <w:rPr>
          <w:rFonts w:cs="Times New Roman"/>
          <w:sz w:val="24"/>
          <w:szCs w:val="24"/>
        </w:rPr>
        <w:t xml:space="preserve">, R. J., &amp; Simanjuntak, M. (2025). Phishing awareness and security concerns: Analyzing the role of anti-phishing knowledge and internet experience in online banking users. </w:t>
      </w:r>
      <w:proofErr w:type="spellStart"/>
      <w:r w:rsidRPr="00F25766">
        <w:rPr>
          <w:rFonts w:cs="Times New Roman"/>
          <w:i/>
          <w:iCs/>
          <w:sz w:val="24"/>
          <w:szCs w:val="24"/>
        </w:rPr>
        <w:t>Jurnal</w:t>
      </w:r>
      <w:proofErr w:type="spellEnd"/>
      <w:r w:rsidRPr="00F25766">
        <w:rPr>
          <w:rFonts w:cs="Times New Roman"/>
          <w:i/>
          <w:iCs/>
          <w:sz w:val="24"/>
          <w:szCs w:val="24"/>
        </w:rPr>
        <w:t xml:space="preserve"> </w:t>
      </w:r>
      <w:proofErr w:type="spellStart"/>
      <w:r w:rsidRPr="00F25766">
        <w:rPr>
          <w:rFonts w:cs="Times New Roman"/>
          <w:i/>
          <w:iCs/>
          <w:sz w:val="24"/>
          <w:szCs w:val="24"/>
        </w:rPr>
        <w:t>Ilmu</w:t>
      </w:r>
      <w:proofErr w:type="spellEnd"/>
      <w:r w:rsidRPr="00F25766">
        <w:rPr>
          <w:rFonts w:cs="Times New Roman"/>
          <w:i/>
          <w:iCs/>
          <w:sz w:val="24"/>
          <w:szCs w:val="24"/>
        </w:rPr>
        <w:t xml:space="preserve"> </w:t>
      </w:r>
      <w:proofErr w:type="spellStart"/>
      <w:r w:rsidRPr="00F25766">
        <w:rPr>
          <w:rFonts w:cs="Times New Roman"/>
          <w:i/>
          <w:iCs/>
          <w:sz w:val="24"/>
          <w:szCs w:val="24"/>
        </w:rPr>
        <w:t>Keluarga</w:t>
      </w:r>
      <w:proofErr w:type="spellEnd"/>
      <w:r w:rsidRPr="00F25766">
        <w:rPr>
          <w:rFonts w:cs="Times New Roman"/>
          <w:i/>
          <w:iCs/>
          <w:sz w:val="24"/>
          <w:szCs w:val="24"/>
        </w:rPr>
        <w:t xml:space="preserve"> dan </w:t>
      </w:r>
      <w:proofErr w:type="spellStart"/>
      <w:r w:rsidRPr="00F25766">
        <w:rPr>
          <w:rFonts w:cs="Times New Roman"/>
          <w:i/>
          <w:iCs/>
          <w:sz w:val="24"/>
          <w:szCs w:val="24"/>
        </w:rPr>
        <w:t>Konsumen</w:t>
      </w:r>
      <w:proofErr w:type="spellEnd"/>
      <w:r w:rsidRPr="00F25766">
        <w:rPr>
          <w:rFonts w:cs="Times New Roman"/>
          <w:i/>
          <w:iCs/>
          <w:sz w:val="24"/>
          <w:szCs w:val="24"/>
        </w:rPr>
        <w:t>, 18</w:t>
      </w:r>
      <w:r w:rsidRPr="00F25766">
        <w:rPr>
          <w:rFonts w:cs="Times New Roman"/>
          <w:sz w:val="24"/>
          <w:szCs w:val="24"/>
        </w:rPr>
        <w:t xml:space="preserve">(2), 121–133. </w:t>
      </w:r>
      <w:hyperlink r:id="rId17" w:tgtFrame="_new" w:history="1">
        <w:r w:rsidRPr="00F25766">
          <w:rPr>
            <w:rFonts w:cs="Times New Roman"/>
            <w:color w:val="0000FF"/>
            <w:sz w:val="24"/>
            <w:szCs w:val="24"/>
            <w:u w:val="single"/>
          </w:rPr>
          <w:t>https://doi.org/10.24156/jikk.2025.18.2.121</w:t>
        </w:r>
      </w:hyperlink>
      <w:r w:rsidRPr="00F25766">
        <w:rPr>
          <w:rFonts w:cs="Times New Roman"/>
          <w:sz w:val="24"/>
          <w:szCs w:val="24"/>
        </w:rPr>
        <w:t xml:space="preserve"> </w:t>
      </w:r>
    </w:p>
    <w:p w14:paraId="629BDF3D"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OECD. (2024). </w:t>
      </w:r>
      <w:r w:rsidRPr="00F25766">
        <w:rPr>
          <w:rFonts w:cs="Times New Roman"/>
          <w:i/>
          <w:iCs/>
          <w:sz w:val="24"/>
          <w:szCs w:val="24"/>
        </w:rPr>
        <w:t>OECD/INFE survey instrument to measure digital financial literacy</w:t>
      </w:r>
      <w:r w:rsidRPr="00F25766">
        <w:rPr>
          <w:rFonts w:cs="Times New Roman"/>
          <w:sz w:val="24"/>
          <w:szCs w:val="24"/>
        </w:rPr>
        <w:t xml:space="preserve">. OECD Publishing. </w:t>
      </w:r>
      <w:hyperlink r:id="rId18" w:tgtFrame="_new" w:history="1">
        <w:r w:rsidRPr="00F25766">
          <w:rPr>
            <w:rFonts w:cs="Times New Roman"/>
            <w:color w:val="0000FF"/>
            <w:sz w:val="24"/>
            <w:szCs w:val="24"/>
            <w:u w:val="single"/>
          </w:rPr>
          <w:t>https://doi.org/10.1787/548de821-en</w:t>
        </w:r>
      </w:hyperlink>
      <w:r w:rsidRPr="00F25766">
        <w:rPr>
          <w:rFonts w:cs="Times New Roman"/>
          <w:sz w:val="24"/>
          <w:szCs w:val="24"/>
        </w:rPr>
        <w:t xml:space="preserve"> </w:t>
      </w:r>
    </w:p>
    <w:p w14:paraId="10D0245E"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OECD. (2026). </w:t>
      </w:r>
      <w:r w:rsidRPr="00F25766">
        <w:rPr>
          <w:rFonts w:cs="Times New Roman"/>
          <w:i/>
          <w:iCs/>
          <w:sz w:val="24"/>
          <w:szCs w:val="24"/>
        </w:rPr>
        <w:t>Digital financial literacy core competency framework for adults in ASEAN</w:t>
      </w:r>
      <w:r w:rsidRPr="00F25766">
        <w:rPr>
          <w:rFonts w:cs="Times New Roman"/>
          <w:sz w:val="24"/>
          <w:szCs w:val="24"/>
        </w:rPr>
        <w:t xml:space="preserve">. OECD Publishing. </w:t>
      </w:r>
      <w:hyperlink r:id="rId19" w:tgtFrame="_new" w:history="1">
        <w:r w:rsidRPr="00F25766">
          <w:rPr>
            <w:rFonts w:cs="Times New Roman"/>
            <w:color w:val="0000FF"/>
            <w:sz w:val="24"/>
            <w:szCs w:val="24"/>
            <w:u w:val="single"/>
          </w:rPr>
          <w:t>https://doi.org/10.1787/be938ace-en</w:t>
        </w:r>
      </w:hyperlink>
      <w:r w:rsidRPr="00F25766">
        <w:rPr>
          <w:rFonts w:cs="Times New Roman"/>
          <w:sz w:val="24"/>
          <w:szCs w:val="24"/>
        </w:rPr>
        <w:t xml:space="preserve"> </w:t>
      </w:r>
    </w:p>
    <w:p w14:paraId="1C0FF1A2"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proofErr w:type="spellStart"/>
      <w:r w:rsidRPr="00F25766">
        <w:rPr>
          <w:rFonts w:cs="Times New Roman"/>
          <w:sz w:val="24"/>
          <w:szCs w:val="24"/>
        </w:rPr>
        <w:t>Otoritas</w:t>
      </w:r>
      <w:proofErr w:type="spellEnd"/>
      <w:r w:rsidRPr="00F25766">
        <w:rPr>
          <w:rFonts w:cs="Times New Roman"/>
          <w:sz w:val="24"/>
          <w:szCs w:val="24"/>
        </w:rPr>
        <w:t xml:space="preserve"> Jasa Keuangan, &amp; Badan Pusat </w:t>
      </w:r>
      <w:proofErr w:type="spellStart"/>
      <w:r w:rsidRPr="00F25766">
        <w:rPr>
          <w:rFonts w:cs="Times New Roman"/>
          <w:sz w:val="24"/>
          <w:szCs w:val="24"/>
        </w:rPr>
        <w:t>Statistik</w:t>
      </w:r>
      <w:proofErr w:type="spellEnd"/>
      <w:r w:rsidRPr="00F25766">
        <w:rPr>
          <w:rFonts w:cs="Times New Roman"/>
          <w:sz w:val="24"/>
          <w:szCs w:val="24"/>
        </w:rPr>
        <w:t xml:space="preserve">. (2025, May 2). </w:t>
      </w:r>
      <w:proofErr w:type="spellStart"/>
      <w:r w:rsidRPr="00F25766">
        <w:rPr>
          <w:rFonts w:cs="Times New Roman"/>
          <w:i/>
          <w:iCs/>
          <w:sz w:val="24"/>
          <w:szCs w:val="24"/>
        </w:rPr>
        <w:t>Indeks</w:t>
      </w:r>
      <w:proofErr w:type="spellEnd"/>
      <w:r w:rsidRPr="00F25766">
        <w:rPr>
          <w:rFonts w:cs="Times New Roman"/>
          <w:i/>
          <w:iCs/>
          <w:sz w:val="24"/>
          <w:szCs w:val="24"/>
        </w:rPr>
        <w:t xml:space="preserve"> </w:t>
      </w:r>
      <w:proofErr w:type="spellStart"/>
      <w:r w:rsidRPr="00F25766">
        <w:rPr>
          <w:rFonts w:cs="Times New Roman"/>
          <w:i/>
          <w:iCs/>
          <w:sz w:val="24"/>
          <w:szCs w:val="24"/>
        </w:rPr>
        <w:t>literasi</w:t>
      </w:r>
      <w:proofErr w:type="spellEnd"/>
      <w:r w:rsidRPr="00F25766">
        <w:rPr>
          <w:rFonts w:cs="Times New Roman"/>
          <w:i/>
          <w:iCs/>
          <w:sz w:val="24"/>
          <w:szCs w:val="24"/>
        </w:rPr>
        <w:t xml:space="preserve"> dan </w:t>
      </w:r>
      <w:proofErr w:type="spellStart"/>
      <w:r w:rsidRPr="00F25766">
        <w:rPr>
          <w:rFonts w:cs="Times New Roman"/>
          <w:i/>
          <w:iCs/>
          <w:sz w:val="24"/>
          <w:szCs w:val="24"/>
        </w:rPr>
        <w:t>inklusi</w:t>
      </w:r>
      <w:proofErr w:type="spellEnd"/>
      <w:r w:rsidRPr="00F25766">
        <w:rPr>
          <w:rFonts w:cs="Times New Roman"/>
          <w:i/>
          <w:iCs/>
          <w:sz w:val="24"/>
          <w:szCs w:val="24"/>
        </w:rPr>
        <w:t xml:space="preserve"> </w:t>
      </w:r>
      <w:proofErr w:type="spellStart"/>
      <w:r w:rsidRPr="00F25766">
        <w:rPr>
          <w:rFonts w:cs="Times New Roman"/>
          <w:i/>
          <w:iCs/>
          <w:sz w:val="24"/>
          <w:szCs w:val="24"/>
        </w:rPr>
        <w:t>keuangan</w:t>
      </w:r>
      <w:proofErr w:type="spellEnd"/>
      <w:r w:rsidRPr="00F25766">
        <w:rPr>
          <w:rFonts w:cs="Times New Roman"/>
          <w:i/>
          <w:iCs/>
          <w:sz w:val="24"/>
          <w:szCs w:val="24"/>
        </w:rPr>
        <w:t xml:space="preserve"> </w:t>
      </w:r>
      <w:proofErr w:type="spellStart"/>
      <w:r w:rsidRPr="00F25766">
        <w:rPr>
          <w:rFonts w:cs="Times New Roman"/>
          <w:i/>
          <w:iCs/>
          <w:sz w:val="24"/>
          <w:szCs w:val="24"/>
        </w:rPr>
        <w:t>masyarakat</w:t>
      </w:r>
      <w:proofErr w:type="spellEnd"/>
      <w:r w:rsidRPr="00F25766">
        <w:rPr>
          <w:rFonts w:cs="Times New Roman"/>
          <w:i/>
          <w:iCs/>
          <w:sz w:val="24"/>
          <w:szCs w:val="24"/>
        </w:rPr>
        <w:t xml:space="preserve"> </w:t>
      </w:r>
      <w:proofErr w:type="spellStart"/>
      <w:r w:rsidRPr="00F25766">
        <w:rPr>
          <w:rFonts w:cs="Times New Roman"/>
          <w:i/>
          <w:iCs/>
          <w:sz w:val="24"/>
          <w:szCs w:val="24"/>
        </w:rPr>
        <w:t>meningkat</w:t>
      </w:r>
      <w:proofErr w:type="spellEnd"/>
      <w:r w:rsidRPr="00F25766">
        <w:rPr>
          <w:rFonts w:cs="Times New Roman"/>
          <w:i/>
          <w:iCs/>
          <w:sz w:val="24"/>
          <w:szCs w:val="24"/>
        </w:rPr>
        <w:t xml:space="preserve">: OJK dan BPS </w:t>
      </w:r>
      <w:proofErr w:type="spellStart"/>
      <w:r w:rsidRPr="00F25766">
        <w:rPr>
          <w:rFonts w:cs="Times New Roman"/>
          <w:i/>
          <w:iCs/>
          <w:sz w:val="24"/>
          <w:szCs w:val="24"/>
        </w:rPr>
        <w:t>umumkan</w:t>
      </w:r>
      <w:proofErr w:type="spellEnd"/>
      <w:r w:rsidRPr="00F25766">
        <w:rPr>
          <w:rFonts w:cs="Times New Roman"/>
          <w:i/>
          <w:iCs/>
          <w:sz w:val="24"/>
          <w:szCs w:val="24"/>
        </w:rPr>
        <w:t xml:space="preserve"> </w:t>
      </w:r>
      <w:proofErr w:type="spellStart"/>
      <w:r w:rsidRPr="00F25766">
        <w:rPr>
          <w:rFonts w:cs="Times New Roman"/>
          <w:i/>
          <w:iCs/>
          <w:sz w:val="24"/>
          <w:szCs w:val="24"/>
        </w:rPr>
        <w:t>hasil</w:t>
      </w:r>
      <w:proofErr w:type="spellEnd"/>
      <w:r w:rsidRPr="00F25766">
        <w:rPr>
          <w:rFonts w:cs="Times New Roman"/>
          <w:i/>
          <w:iCs/>
          <w:sz w:val="24"/>
          <w:szCs w:val="24"/>
        </w:rPr>
        <w:t xml:space="preserve"> </w:t>
      </w:r>
      <w:proofErr w:type="spellStart"/>
      <w:r w:rsidRPr="00F25766">
        <w:rPr>
          <w:rFonts w:cs="Times New Roman"/>
          <w:i/>
          <w:iCs/>
          <w:sz w:val="24"/>
          <w:szCs w:val="24"/>
        </w:rPr>
        <w:t>Survei</w:t>
      </w:r>
      <w:proofErr w:type="spellEnd"/>
      <w:r w:rsidRPr="00F25766">
        <w:rPr>
          <w:rFonts w:cs="Times New Roman"/>
          <w:i/>
          <w:iCs/>
          <w:sz w:val="24"/>
          <w:szCs w:val="24"/>
        </w:rPr>
        <w:t xml:space="preserve"> Nasional </w:t>
      </w:r>
      <w:proofErr w:type="spellStart"/>
      <w:r w:rsidRPr="00F25766">
        <w:rPr>
          <w:rFonts w:cs="Times New Roman"/>
          <w:i/>
          <w:iCs/>
          <w:sz w:val="24"/>
          <w:szCs w:val="24"/>
        </w:rPr>
        <w:t>Literasi</w:t>
      </w:r>
      <w:proofErr w:type="spellEnd"/>
      <w:r w:rsidRPr="00F25766">
        <w:rPr>
          <w:rFonts w:cs="Times New Roman"/>
          <w:i/>
          <w:iCs/>
          <w:sz w:val="24"/>
          <w:szCs w:val="24"/>
        </w:rPr>
        <w:t xml:space="preserve"> dan </w:t>
      </w:r>
      <w:proofErr w:type="spellStart"/>
      <w:r w:rsidRPr="00F25766">
        <w:rPr>
          <w:rFonts w:cs="Times New Roman"/>
          <w:i/>
          <w:iCs/>
          <w:sz w:val="24"/>
          <w:szCs w:val="24"/>
        </w:rPr>
        <w:t>Inklusi</w:t>
      </w:r>
      <w:proofErr w:type="spellEnd"/>
      <w:r w:rsidRPr="00F25766">
        <w:rPr>
          <w:rFonts w:cs="Times New Roman"/>
          <w:i/>
          <w:iCs/>
          <w:sz w:val="24"/>
          <w:szCs w:val="24"/>
        </w:rPr>
        <w:t xml:space="preserve"> </w:t>
      </w:r>
      <w:proofErr w:type="spellStart"/>
      <w:r w:rsidRPr="00F25766">
        <w:rPr>
          <w:rFonts w:cs="Times New Roman"/>
          <w:i/>
          <w:iCs/>
          <w:sz w:val="24"/>
          <w:szCs w:val="24"/>
        </w:rPr>
        <w:t>Keuangan</w:t>
      </w:r>
      <w:proofErr w:type="spellEnd"/>
      <w:r w:rsidRPr="00F25766">
        <w:rPr>
          <w:rFonts w:cs="Times New Roman"/>
          <w:i/>
          <w:iCs/>
          <w:sz w:val="24"/>
          <w:szCs w:val="24"/>
        </w:rPr>
        <w:t xml:space="preserve"> (SNLIK) </w:t>
      </w:r>
      <w:proofErr w:type="spellStart"/>
      <w:r w:rsidRPr="00F25766">
        <w:rPr>
          <w:rFonts w:cs="Times New Roman"/>
          <w:i/>
          <w:iCs/>
          <w:sz w:val="24"/>
          <w:szCs w:val="24"/>
        </w:rPr>
        <w:t>tahun</w:t>
      </w:r>
      <w:proofErr w:type="spellEnd"/>
      <w:r w:rsidRPr="00F25766">
        <w:rPr>
          <w:rFonts w:cs="Times New Roman"/>
          <w:i/>
          <w:iCs/>
          <w:sz w:val="24"/>
          <w:szCs w:val="24"/>
        </w:rPr>
        <w:t xml:space="preserve"> 2025 [Financial literacy and inclusion indices increase: OJK and BPS announce the results of the 2025 National Survey on Financial Literacy and Inclusion].</w:t>
      </w:r>
      <w:r w:rsidRPr="00F25766">
        <w:rPr>
          <w:rFonts w:cs="Times New Roman"/>
          <w:sz w:val="24"/>
          <w:szCs w:val="24"/>
        </w:rPr>
        <w:t xml:space="preserve"> </w:t>
      </w:r>
      <w:hyperlink r:id="rId20" w:tgtFrame="_new" w:history="1">
        <w:r w:rsidRPr="00F25766">
          <w:rPr>
            <w:rFonts w:cs="Times New Roman"/>
            <w:color w:val="0000FF"/>
            <w:sz w:val="24"/>
            <w:szCs w:val="24"/>
            <w:u w:val="single"/>
          </w:rPr>
          <w:t>https://ojk.go.id/id/berita-dan-kegiatan/siaran-pers/Pages/OJK-dan-BPS-Umumkan-Hasil-Survei-Nasional-Literasi-Dan-Inklusi-Keuangan-SNLIK-Tahun-2025.aspx</w:t>
        </w:r>
      </w:hyperlink>
      <w:r w:rsidRPr="00F25766">
        <w:rPr>
          <w:rFonts w:cs="Times New Roman"/>
          <w:sz w:val="24"/>
          <w:szCs w:val="24"/>
        </w:rPr>
        <w:t xml:space="preserve"> </w:t>
      </w:r>
    </w:p>
    <w:p w14:paraId="2AB59245"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Saibaba, S. (2024). Examining the determinants of mobile banking app continuance intention in India: An extension of the IS success model. </w:t>
      </w:r>
      <w:r w:rsidRPr="00F25766">
        <w:rPr>
          <w:rFonts w:cs="Times New Roman"/>
          <w:i/>
          <w:iCs/>
          <w:sz w:val="24"/>
          <w:szCs w:val="24"/>
        </w:rPr>
        <w:t>Journal of Internet Commerce, 23</w:t>
      </w:r>
      <w:r w:rsidRPr="00F25766">
        <w:rPr>
          <w:rFonts w:cs="Times New Roman"/>
          <w:sz w:val="24"/>
          <w:szCs w:val="24"/>
        </w:rPr>
        <w:t xml:space="preserve">(1), 50–89. </w:t>
      </w:r>
      <w:hyperlink r:id="rId21" w:tgtFrame="_new" w:history="1">
        <w:r w:rsidRPr="00F25766">
          <w:rPr>
            <w:rFonts w:cs="Times New Roman"/>
            <w:color w:val="0000FF"/>
            <w:sz w:val="24"/>
            <w:szCs w:val="24"/>
            <w:u w:val="single"/>
          </w:rPr>
          <w:t>https://doi.org/10.1080/15332861.2023.2236428</w:t>
        </w:r>
      </w:hyperlink>
      <w:r w:rsidRPr="00F25766">
        <w:rPr>
          <w:rFonts w:cs="Times New Roman"/>
          <w:sz w:val="24"/>
          <w:szCs w:val="24"/>
        </w:rPr>
        <w:t xml:space="preserve"> </w:t>
      </w:r>
    </w:p>
    <w:p w14:paraId="12B9204F" w14:textId="77777777" w:rsidR="00F25766"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lang w:val="nl-BE"/>
        </w:rPr>
        <w:t xml:space="preserve">Tetteh, F. K., &amp; Kwateng, K. O. (2026). </w:t>
      </w:r>
      <w:r w:rsidRPr="00F25766">
        <w:rPr>
          <w:rFonts w:cs="Times New Roman"/>
          <w:sz w:val="24"/>
          <w:szCs w:val="24"/>
        </w:rPr>
        <w:t xml:space="preserve">The pathways from digital financial literacy to sustained engagement with mobile financial services: A technology continuance theory perspective. </w:t>
      </w:r>
      <w:r w:rsidRPr="00F25766">
        <w:rPr>
          <w:rFonts w:cs="Times New Roman"/>
          <w:i/>
          <w:iCs/>
          <w:sz w:val="24"/>
          <w:szCs w:val="24"/>
        </w:rPr>
        <w:t>Journal of Financial Services Marketing, 31</w:t>
      </w:r>
      <w:r w:rsidRPr="00F25766">
        <w:rPr>
          <w:rFonts w:cs="Times New Roman"/>
          <w:sz w:val="24"/>
          <w:szCs w:val="24"/>
        </w:rPr>
        <w:t xml:space="preserve">(1), Article 7. </w:t>
      </w:r>
      <w:hyperlink r:id="rId22" w:tgtFrame="_new" w:history="1">
        <w:r w:rsidRPr="00F25766">
          <w:rPr>
            <w:rFonts w:cs="Times New Roman"/>
            <w:color w:val="0000FF"/>
            <w:sz w:val="24"/>
            <w:szCs w:val="24"/>
            <w:u w:val="single"/>
          </w:rPr>
          <w:t>https://doi.org/10.1057/s41264-025-00335-6</w:t>
        </w:r>
      </w:hyperlink>
      <w:r w:rsidRPr="00F25766">
        <w:rPr>
          <w:rFonts w:cs="Times New Roman"/>
          <w:sz w:val="24"/>
          <w:szCs w:val="24"/>
        </w:rPr>
        <w:t xml:space="preserve"> </w:t>
      </w:r>
    </w:p>
    <w:p w14:paraId="0D111AC8" w14:textId="597A1DE3" w:rsidR="000E039B" w:rsidRPr="00F25766" w:rsidRDefault="00F25766" w:rsidP="00F25766">
      <w:pPr>
        <w:spacing w:before="100" w:beforeAutospacing="1" w:after="100" w:afterAutospacing="1" w:line="240" w:lineRule="auto"/>
        <w:ind w:left="540" w:hanging="540"/>
        <w:jc w:val="both"/>
        <w:rPr>
          <w:rFonts w:cs="Times New Roman"/>
          <w:sz w:val="24"/>
          <w:szCs w:val="24"/>
        </w:rPr>
      </w:pPr>
      <w:r w:rsidRPr="00F25766">
        <w:rPr>
          <w:rFonts w:cs="Times New Roman"/>
          <w:sz w:val="24"/>
          <w:szCs w:val="24"/>
        </w:rPr>
        <w:t xml:space="preserve">Zulaikha, S., &amp; </w:t>
      </w:r>
      <w:proofErr w:type="spellStart"/>
      <w:r w:rsidRPr="00F25766">
        <w:rPr>
          <w:rFonts w:cs="Times New Roman"/>
          <w:sz w:val="24"/>
          <w:szCs w:val="24"/>
        </w:rPr>
        <w:t>Faricha</w:t>
      </w:r>
      <w:proofErr w:type="spellEnd"/>
      <w:r w:rsidRPr="00F25766">
        <w:rPr>
          <w:rFonts w:cs="Times New Roman"/>
          <w:sz w:val="24"/>
          <w:szCs w:val="24"/>
        </w:rPr>
        <w:t xml:space="preserve">, A. (2026). The continuance intention to use Islamic digital bank: The extended theory of expectation confirmation model. </w:t>
      </w:r>
      <w:r w:rsidRPr="00F25766">
        <w:rPr>
          <w:rFonts w:cs="Times New Roman"/>
          <w:i/>
          <w:iCs/>
          <w:sz w:val="24"/>
          <w:szCs w:val="24"/>
        </w:rPr>
        <w:t>Journal of Islamic Marketing, 17</w:t>
      </w:r>
      <w:r w:rsidRPr="00F25766">
        <w:rPr>
          <w:rFonts w:cs="Times New Roman"/>
          <w:sz w:val="24"/>
          <w:szCs w:val="24"/>
        </w:rPr>
        <w:t xml:space="preserve">(6), 2021–2046. </w:t>
      </w:r>
      <w:hyperlink r:id="rId23" w:tgtFrame="_new" w:history="1">
        <w:r w:rsidRPr="00F25766">
          <w:rPr>
            <w:rFonts w:cs="Times New Roman"/>
            <w:color w:val="0000FF"/>
            <w:sz w:val="24"/>
            <w:szCs w:val="24"/>
            <w:u w:val="single"/>
          </w:rPr>
          <w:t>https://doi.org/10.1108/JIMA-02-2025-0123</w:t>
        </w:r>
      </w:hyperlink>
      <w:r w:rsidRPr="00F25766">
        <w:rPr>
          <w:rFonts w:cs="Times New Roman"/>
          <w:sz w:val="24"/>
          <w:szCs w:val="24"/>
        </w:rPr>
        <w:t xml:space="preserve"> </w:t>
      </w:r>
    </w:p>
    <w:sectPr w:rsidR="000E039B" w:rsidRPr="00F25766" w:rsidSect="00034616">
      <w:headerReference w:type="even" r:id="rId24"/>
      <w:headerReference w:type="default" r:id="rId25"/>
      <w:footerReference w:type="even" r:id="rId26"/>
      <w:footerReference w:type="default" r:id="rId27"/>
      <w:headerReference w:type="first" r:id="rId28"/>
      <w:footerReference w:type="first" r:id="rId29"/>
      <w:pgSz w:w="11906" w:h="16838"/>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90B5C" w14:textId="77777777" w:rsidR="00C0068C" w:rsidRDefault="00C0068C" w:rsidP="00991E8A">
      <w:pPr>
        <w:spacing w:after="0" w:line="240" w:lineRule="auto"/>
      </w:pPr>
      <w:r>
        <w:separator/>
      </w:r>
    </w:p>
  </w:endnote>
  <w:endnote w:type="continuationSeparator" w:id="0">
    <w:p w14:paraId="68F294CA" w14:textId="77777777" w:rsidR="00C0068C" w:rsidRDefault="00C0068C" w:rsidP="00991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4F91" w14:textId="77777777" w:rsidR="00991E8A" w:rsidRDefault="00991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10B5" w14:textId="77777777" w:rsidR="00991E8A" w:rsidRDefault="00991E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59CD" w14:textId="77777777" w:rsidR="00991E8A" w:rsidRDefault="00991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9BD71" w14:textId="77777777" w:rsidR="00C0068C" w:rsidRDefault="00C0068C" w:rsidP="00991E8A">
      <w:pPr>
        <w:spacing w:after="0" w:line="240" w:lineRule="auto"/>
      </w:pPr>
      <w:r>
        <w:separator/>
      </w:r>
    </w:p>
  </w:footnote>
  <w:footnote w:type="continuationSeparator" w:id="0">
    <w:p w14:paraId="2B2B3B47" w14:textId="77777777" w:rsidR="00C0068C" w:rsidRDefault="00C0068C" w:rsidP="00991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71ABF" w14:textId="77777777" w:rsidR="00991E8A" w:rsidRDefault="00000000">
    <w:pPr>
      <w:pStyle w:val="Header"/>
    </w:pPr>
    <w:r>
      <w:rPr>
        <w:noProof/>
      </w:rPr>
      <w:pict w14:anchorId="70BACB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32344"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F160" w14:textId="77777777" w:rsidR="00991E8A" w:rsidRDefault="00000000">
    <w:pPr>
      <w:pStyle w:val="Header"/>
    </w:pPr>
    <w:r>
      <w:rPr>
        <w:noProof/>
      </w:rPr>
      <w:pict w14:anchorId="5663AB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32345"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0068" w14:textId="77777777" w:rsidR="00991E8A" w:rsidRDefault="00000000">
    <w:pPr>
      <w:pStyle w:val="Header"/>
    </w:pPr>
    <w:r>
      <w:rPr>
        <w:noProof/>
      </w:rPr>
      <w:pict w14:anchorId="120E71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32343"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760B8"/>
    <w:multiLevelType w:val="hybridMultilevel"/>
    <w:tmpl w:val="74382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9601CD"/>
    <w:multiLevelType w:val="multilevel"/>
    <w:tmpl w:val="9FE83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2671184">
    <w:abstractNumId w:val="1"/>
  </w:num>
  <w:num w:numId="2" w16cid:durableId="1600793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zNzIys7AwMzI2MjRW0lEKTi0uzszPAykwrAUAkIIwwCwAAAA="/>
  </w:docVars>
  <w:rsids>
    <w:rsidRoot w:val="00840F80"/>
    <w:rsid w:val="000E039B"/>
    <w:rsid w:val="001231D9"/>
    <w:rsid w:val="0025640D"/>
    <w:rsid w:val="002A4162"/>
    <w:rsid w:val="00425D51"/>
    <w:rsid w:val="00460D27"/>
    <w:rsid w:val="00546C49"/>
    <w:rsid w:val="00594926"/>
    <w:rsid w:val="006318E4"/>
    <w:rsid w:val="006C0D76"/>
    <w:rsid w:val="00702BB6"/>
    <w:rsid w:val="00783A79"/>
    <w:rsid w:val="0079702C"/>
    <w:rsid w:val="00833B78"/>
    <w:rsid w:val="00840F80"/>
    <w:rsid w:val="00991E8A"/>
    <w:rsid w:val="009B0142"/>
    <w:rsid w:val="00BE09AA"/>
    <w:rsid w:val="00C0068C"/>
    <w:rsid w:val="00C42B6D"/>
    <w:rsid w:val="00CF0234"/>
    <w:rsid w:val="00D143AF"/>
    <w:rsid w:val="00D75B8C"/>
    <w:rsid w:val="00DB6595"/>
    <w:rsid w:val="00E3071B"/>
    <w:rsid w:val="00E34984"/>
    <w:rsid w:val="00F25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9204B"/>
  <w15:chartTrackingRefBased/>
  <w15:docId w15:val="{AB57B9D4-FE5B-448E-98C7-EE18D189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F80"/>
    <w:pPr>
      <w:spacing w:after="200" w:line="276"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840F80"/>
    <w:pPr>
      <w:keepNext/>
      <w:keepLines/>
      <w:spacing w:before="480" w:after="0"/>
      <w:outlineLvl w:val="0"/>
    </w:pPr>
    <w:rPr>
      <w:rFonts w:asciiTheme="majorHAnsi" w:eastAsiaTheme="majorEastAsia" w:hAnsiTheme="majorHAnsi" w:cstheme="majorBidi"/>
      <w:b/>
      <w:bCs/>
      <w:color w:val="2F5496" w:themeColor="accent1" w:themeShade="BF"/>
      <w:sz w:val="24"/>
      <w:szCs w:val="28"/>
    </w:rPr>
  </w:style>
  <w:style w:type="paragraph" w:styleId="Heading2">
    <w:name w:val="heading 2"/>
    <w:basedOn w:val="Normal"/>
    <w:next w:val="Normal"/>
    <w:link w:val="Heading2Char"/>
    <w:uiPriority w:val="9"/>
    <w:unhideWhenUsed/>
    <w:qFormat/>
    <w:rsid w:val="00840F80"/>
    <w:pPr>
      <w:keepNext/>
      <w:keepLines/>
      <w:spacing w:before="200" w:after="0"/>
      <w:outlineLvl w:val="1"/>
    </w:pPr>
    <w:rPr>
      <w:rFonts w:asciiTheme="majorHAnsi" w:eastAsiaTheme="majorEastAsia" w:hAnsiTheme="majorHAnsi" w:cstheme="majorBidi"/>
      <w:b/>
      <w:bCs/>
      <w:color w:val="4472C4" w:themeColor="accent1"/>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F80"/>
    <w:rPr>
      <w:rFonts w:asciiTheme="majorHAnsi" w:eastAsiaTheme="majorEastAsia" w:hAnsiTheme="majorHAnsi" w:cstheme="majorBidi"/>
      <w:b/>
      <w:bCs/>
      <w:color w:val="2F5496" w:themeColor="accent1" w:themeShade="BF"/>
      <w:sz w:val="24"/>
      <w:szCs w:val="28"/>
    </w:rPr>
  </w:style>
  <w:style w:type="character" w:customStyle="1" w:styleId="Heading2Char">
    <w:name w:val="Heading 2 Char"/>
    <w:basedOn w:val="DefaultParagraphFont"/>
    <w:link w:val="Heading2"/>
    <w:uiPriority w:val="9"/>
    <w:rsid w:val="00840F80"/>
    <w:rPr>
      <w:rFonts w:asciiTheme="majorHAnsi" w:eastAsiaTheme="majorEastAsia" w:hAnsiTheme="majorHAnsi" w:cstheme="majorBidi"/>
      <w:b/>
      <w:bCs/>
      <w:color w:val="4472C4" w:themeColor="accent1"/>
      <w:szCs w:val="26"/>
    </w:rPr>
  </w:style>
  <w:style w:type="table" w:styleId="TableGrid">
    <w:name w:val="Table Grid"/>
    <w:basedOn w:val="TableNormal"/>
    <w:uiPriority w:val="59"/>
    <w:rsid w:val="00840F8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40F80"/>
    <w:pPr>
      <w:spacing w:after="0" w:line="240" w:lineRule="auto"/>
    </w:pPr>
    <w:rPr>
      <w:rFonts w:ascii="Times New Roman" w:eastAsia="Times New Roman" w:hAnsi="Times New Roman"/>
      <w:sz w:val="20"/>
    </w:rPr>
  </w:style>
  <w:style w:type="paragraph" w:styleId="Header">
    <w:name w:val="header"/>
    <w:basedOn w:val="Normal"/>
    <w:link w:val="HeaderChar"/>
    <w:uiPriority w:val="99"/>
    <w:unhideWhenUsed/>
    <w:rsid w:val="00991E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E8A"/>
    <w:rPr>
      <w:rFonts w:ascii="Times New Roman" w:eastAsia="Times New Roman" w:hAnsi="Times New Roman"/>
      <w:sz w:val="20"/>
    </w:rPr>
  </w:style>
  <w:style w:type="paragraph" w:styleId="Footer">
    <w:name w:val="footer"/>
    <w:basedOn w:val="Normal"/>
    <w:link w:val="FooterChar"/>
    <w:uiPriority w:val="99"/>
    <w:unhideWhenUsed/>
    <w:rsid w:val="00991E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E8A"/>
    <w:rPr>
      <w:rFonts w:ascii="Times New Roman" w:eastAsia="Times New Roman" w:hAnsi="Times New Roman"/>
      <w:sz w:val="20"/>
    </w:rPr>
  </w:style>
  <w:style w:type="paragraph" w:customStyle="1" w:styleId="pdq2pgselectionanchorcontainer">
    <w:name w:val="pdq2pg_selectionanchorcontainer"/>
    <w:basedOn w:val="Normal"/>
    <w:rsid w:val="00BE09AA"/>
    <w:pPr>
      <w:spacing w:before="100" w:beforeAutospacing="1" w:after="100" w:afterAutospacing="1" w:line="240" w:lineRule="auto"/>
    </w:pPr>
    <w:rPr>
      <w:rFonts w:cs="Times New Roman"/>
      <w:sz w:val="24"/>
      <w:szCs w:val="24"/>
    </w:rPr>
  </w:style>
  <w:style w:type="paragraph" w:styleId="ListParagraph">
    <w:name w:val="List Paragraph"/>
    <w:basedOn w:val="Normal"/>
    <w:uiPriority w:val="34"/>
    <w:qFormat/>
    <w:rsid w:val="00F257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9721509221145831" TargetMode="External"/><Relationship Id="rId13" Type="http://schemas.openxmlformats.org/officeDocument/2006/relationships/hyperlink" Target="https://doi.org/10.11648/j.ajtas.20160501.11?utm_source=chatgpt.com" TargetMode="External"/><Relationship Id="rId18" Type="http://schemas.openxmlformats.org/officeDocument/2006/relationships/hyperlink" Target="https://doi.org/10.1787/548de821-en?utm_source=chatgpt.com"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1080/15332861.2023.2236428" TargetMode="External"/><Relationship Id="rId7" Type="http://schemas.openxmlformats.org/officeDocument/2006/relationships/hyperlink" Target="https://doi.org/10.22146/gamaijb.70452?utm_source=chatgpt.com" TargetMode="External"/><Relationship Id="rId12" Type="http://schemas.openxmlformats.org/officeDocument/2006/relationships/hyperlink" Target="https://doi.org/10.9734/ajess/2021/v16i330400" TargetMode="External"/><Relationship Id="rId17" Type="http://schemas.openxmlformats.org/officeDocument/2006/relationships/hyperlink" Target="https://doi.org/10.24156/jikk.2025.18.2.121"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doi.org/10.1057/s41599-024-02778-z" TargetMode="External"/><Relationship Id="rId20" Type="http://schemas.openxmlformats.org/officeDocument/2006/relationships/hyperlink" Target="https://ojk.go.id/id/berita-dan-kegiatan/siaran-pers/Pages/OJK-dan-BPS-Umumkan-Hasil-Survei-Nasional-Literasi-Dan-Inklusi-Keuangan-SNLIK-Tahun-2025.aspx?utm_source=chatgpt.com"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307/3250921"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21532/apfjournal.v10i1.398" TargetMode="External"/><Relationship Id="rId23" Type="http://schemas.openxmlformats.org/officeDocument/2006/relationships/hyperlink" Target="https://doi.org/10.1108/JIMA-02-2025-0123" TargetMode="External"/><Relationship Id="rId28" Type="http://schemas.openxmlformats.org/officeDocument/2006/relationships/header" Target="header3.xml"/><Relationship Id="rId10" Type="http://schemas.openxmlformats.org/officeDocument/2006/relationships/hyperlink" Target="https://doi.org/10.56557/ajomcor/2025/v32i19060" TargetMode="External"/><Relationship Id="rId19" Type="http://schemas.openxmlformats.org/officeDocument/2006/relationships/hyperlink" Target="https://doi.org/10.1787/be938ace-en"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i.go.id/id/publikasi/laporan/Pages/TKM-Desember-2025.aspx?utm_source=chatgpt.com" TargetMode="External"/><Relationship Id="rId14" Type="http://schemas.openxmlformats.org/officeDocument/2006/relationships/hyperlink" Target="https://doi.org/10.29407/intensif.v9i1.23751" TargetMode="External"/><Relationship Id="rId22" Type="http://schemas.openxmlformats.org/officeDocument/2006/relationships/hyperlink" Target="https://doi.org/10.1057/s41264-025-00335-6"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4234</Words>
  <Characters>24140</Characters>
  <Application>Microsoft Office Word</Application>
  <DocSecurity>0</DocSecurity>
  <Lines>201</Lines>
  <Paragraphs>56</Paragraphs>
  <ScaleCrop>false</ScaleCrop>
  <Company/>
  <LinksUpToDate>false</LinksUpToDate>
  <CharactersWithSpaces>28318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SDI CPU 1117</cp:lastModifiedBy>
  <cp:revision>15</cp:revision>
  <dcterms:created xsi:type="dcterms:W3CDTF">2026-09-05T04:23:00Z</dcterms:created>
  <dcterms:modified xsi:type="dcterms:W3CDTF">2026-09-15T04:52:00Z</dcterms:modified>
</cp:coreProperties>
</file>