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F4AEE" w14:textId="77777777" w:rsidR="00DB769D" w:rsidRPr="003A4922" w:rsidRDefault="00B32603" w:rsidP="00965274">
      <w:pPr>
        <w:spacing w:before="200" w:after="120"/>
        <w:jc w:val="center"/>
        <w:rPr>
          <w:color w:val="000000" w:themeColor="text1"/>
          <w:sz w:val="24"/>
          <w:szCs w:val="24"/>
        </w:rPr>
      </w:pPr>
      <w:r w:rsidRPr="003A4922">
        <w:rPr>
          <w:rFonts w:ascii="Arial" w:eastAsia="Arial" w:hAnsi="Arial"/>
          <w:b/>
          <w:bCs/>
          <w:color w:val="000000"/>
          <w:sz w:val="28"/>
          <w:szCs w:val="24"/>
        </w:rPr>
        <w:t>Beyond Precision Agriculture: AI and Data-Driven Information Systems as Catalysts for Sustainable Agribusiness Transformation</w:t>
      </w:r>
    </w:p>
    <w:p w14:paraId="317A5D89" w14:textId="77777777" w:rsidR="00944DF7" w:rsidRDefault="00944DF7" w:rsidP="00965274">
      <w:pPr>
        <w:spacing w:after="60"/>
        <w:rPr>
          <w:i/>
          <w:iCs/>
          <w:color w:val="000000" w:themeColor="text1"/>
          <w:sz w:val="24"/>
          <w:szCs w:val="24"/>
        </w:rPr>
      </w:pPr>
    </w:p>
    <w:p w14:paraId="3E6318C7" w14:textId="77777777" w:rsidR="00496688" w:rsidRPr="003A4922" w:rsidRDefault="00496688" w:rsidP="00965274">
      <w:pPr>
        <w:spacing w:after="60"/>
        <w:rPr>
          <w:i/>
          <w:iCs/>
          <w:color w:val="000000" w:themeColor="text1"/>
          <w:sz w:val="24"/>
          <w:szCs w:val="24"/>
        </w:rPr>
      </w:pPr>
    </w:p>
    <w:p w14:paraId="7ABA531F" w14:textId="77777777" w:rsidR="001207A1" w:rsidRPr="003A4922" w:rsidRDefault="001207A1" w:rsidP="00965274">
      <w:pPr>
        <w:spacing w:after="200"/>
        <w:rPr>
          <w:b/>
          <w:bCs/>
          <w:color w:val="000000" w:themeColor="text1"/>
          <w:sz w:val="24"/>
          <w:szCs w:val="24"/>
        </w:rPr>
      </w:pPr>
      <w:r w:rsidRPr="003A4922">
        <w:rPr>
          <w:rFonts w:ascii="Arial" w:hAnsi="Arial"/>
          <w:b/>
          <w:bCs/>
          <w:caps/>
          <w:color w:val="000000"/>
          <w:sz w:val="22"/>
          <w:szCs w:val="24"/>
        </w:rPr>
        <w:t xml:space="preserve"> Abstract</w:t>
      </w:r>
      <w:r w:rsidRPr="003A4922">
        <w:rPr>
          <w:rFonts w:ascii="Arial" w:hAnsi="Arial"/>
          <w:b/>
          <w:caps/>
          <w:color w:val="000000"/>
          <w:sz w:val="22"/>
          <w:szCs w:val="24"/>
        </w:rPr>
        <w:t xml:space="preserve"> </w:t>
      </w:r>
    </w:p>
    <w:p w14:paraId="5913BB61" w14:textId="77777777" w:rsidR="00DB769D" w:rsidRPr="003A4922" w:rsidRDefault="008871A9" w:rsidP="00965274">
      <w:pPr>
        <w:spacing w:after="200"/>
        <w:jc w:val="both"/>
        <w:rPr>
          <w:color w:val="000000" w:themeColor="text1"/>
          <w:sz w:val="24"/>
          <w:szCs w:val="24"/>
        </w:rPr>
      </w:pPr>
      <w:r w:rsidRPr="003A4922">
        <w:rPr>
          <w:rFonts w:ascii="Arial" w:hAnsi="Arial"/>
          <w:color w:val="000000"/>
          <w:szCs w:val="24"/>
        </w:rPr>
        <w:t xml:space="preserve">The dominant narrative in digital agriculture </w:t>
      </w:r>
      <w:r w:rsidRPr="003A4922">
        <w:rPr>
          <w:rFonts w:ascii="Arial" w:hAnsi="Arial"/>
          <w:color w:val="000000"/>
          <w:szCs w:val="24"/>
          <w:highlight w:val="yellow"/>
        </w:rPr>
        <w:t>centres</w:t>
      </w:r>
      <w:r w:rsidRPr="003A4922">
        <w:rPr>
          <w:rFonts w:ascii="Arial" w:hAnsi="Arial"/>
          <w:color w:val="000000"/>
          <w:szCs w:val="24"/>
        </w:rPr>
        <w:t xml:space="preserve"> on discrete technologies, including sensors, unmanned aerial vehicles, global positioning</w:t>
      </w:r>
      <w:r w:rsidR="00965274" w:rsidRPr="003A4922">
        <w:rPr>
          <w:rFonts w:ascii="Arial" w:hAnsi="Arial"/>
          <w:color w:val="000000"/>
          <w:szCs w:val="24"/>
        </w:rPr>
        <w:t xml:space="preserve"> systems</w:t>
      </w:r>
      <w:r w:rsidRPr="003A4922">
        <w:rPr>
          <w:rFonts w:ascii="Arial" w:hAnsi="Arial"/>
          <w:color w:val="000000"/>
          <w:szCs w:val="24"/>
        </w:rPr>
        <w:t xml:space="preserve">, remote sensing, and machine learning, evaluated </w:t>
      </w:r>
      <w:r w:rsidR="00965274" w:rsidRPr="003A4922">
        <w:rPr>
          <w:rFonts w:ascii="Arial" w:hAnsi="Arial"/>
          <w:color w:val="000000"/>
          <w:szCs w:val="24"/>
        </w:rPr>
        <w:t>primari</w:t>
      </w:r>
      <w:r w:rsidRPr="003A4922">
        <w:rPr>
          <w:rFonts w:ascii="Arial" w:hAnsi="Arial"/>
          <w:color w:val="000000"/>
          <w:szCs w:val="24"/>
        </w:rPr>
        <w:t xml:space="preserve">ly for their capacity to </w:t>
      </w:r>
      <w:r w:rsidR="00965274" w:rsidRPr="003A4922">
        <w:rPr>
          <w:rFonts w:ascii="Arial" w:hAnsi="Arial"/>
          <w:color w:val="000000"/>
          <w:szCs w:val="24"/>
        </w:rPr>
        <w:t>increa</w:t>
      </w:r>
      <w:r w:rsidRPr="003A4922">
        <w:rPr>
          <w:rFonts w:ascii="Arial" w:hAnsi="Arial"/>
          <w:color w:val="000000"/>
          <w:szCs w:val="24"/>
        </w:rPr>
        <w:t xml:space="preserve">se yields and improve input-use efficiency. This narrows the analytical lens to the farm gate and understates a more consequential shift: individual technologies generate value for agribusiness only when information systems capture, integrate, and route the data they produce into real operational and strategic decisions. This review critically examines the AI- and data-driven agribusiness transformation literature through a single </w:t>
      </w:r>
      <w:r w:rsidRPr="003A4922">
        <w:rPr>
          <w:rFonts w:ascii="Arial" w:hAnsi="Arial"/>
          <w:color w:val="000000"/>
          <w:szCs w:val="24"/>
          <w:highlight w:val="yellow"/>
        </w:rPr>
        <w:t>organising</w:t>
      </w:r>
      <w:r w:rsidRPr="003A4922">
        <w:rPr>
          <w:rFonts w:ascii="Arial" w:hAnsi="Arial"/>
          <w:color w:val="000000"/>
          <w:szCs w:val="24"/>
        </w:rPr>
        <w:t xml:space="preserve"> pathway: data, analytics, artificial intelligence, information systems, decisions, sustainable agribusiness </w:t>
      </w:r>
      <w:r w:rsidRPr="003A4922">
        <w:rPr>
          <w:rFonts w:ascii="Arial" w:hAnsi="Arial"/>
          <w:color w:val="000000"/>
          <w:szCs w:val="24"/>
          <w:highlight w:val="yellow"/>
        </w:rPr>
        <w:t>outcomes; it asks whether</w:t>
      </w:r>
      <w:r w:rsidRPr="003A4922">
        <w:rPr>
          <w:rFonts w:ascii="Arial" w:hAnsi="Arial"/>
          <w:color w:val="000000"/>
          <w:szCs w:val="24"/>
        </w:rPr>
        <w:t xml:space="preserve"> the field's technical achievements have matched comparable progress in systems integration and governance. A transparent narrative search and appraisal protocol </w:t>
      </w:r>
      <w:r w:rsidRPr="003A4922">
        <w:rPr>
          <w:rFonts w:ascii="Arial" w:hAnsi="Arial"/>
          <w:color w:val="000000"/>
          <w:szCs w:val="24"/>
          <w:highlight w:val="yellow"/>
        </w:rPr>
        <w:t>synthesise</w:t>
      </w:r>
      <w:r w:rsidRPr="003A4922">
        <w:rPr>
          <w:rFonts w:ascii="Arial" w:hAnsi="Arial"/>
          <w:color w:val="000000"/>
          <w:szCs w:val="24"/>
        </w:rPr>
        <w:t xml:space="preserve">d evidence across ten thematic domains: agricultural big-data integration, predictive and prescriptive analytics, farm management information systems (FMIS), AI-enabled supply-chain analytics, climate-risk adaptation, sustainability and ESG analytics, data governance and cybersecurity, digital infrastructure and adoption, circular agriculture, and decision-support systems. The evidence shows that sensing and algorithmic capabilities have matured faster than the </w:t>
      </w:r>
      <w:r w:rsidRPr="003A4922">
        <w:rPr>
          <w:rFonts w:ascii="Arial" w:hAnsi="Arial"/>
          <w:color w:val="000000"/>
          <w:szCs w:val="24"/>
          <w:highlight w:val="yellow"/>
        </w:rPr>
        <w:t>organisational</w:t>
      </w:r>
      <w:r w:rsidRPr="003A4922">
        <w:rPr>
          <w:rFonts w:ascii="Arial" w:hAnsi="Arial"/>
          <w:color w:val="000000"/>
          <w:szCs w:val="24"/>
        </w:rPr>
        <w:t xml:space="preserve"> and governance capacity required to </w:t>
      </w:r>
      <w:r w:rsidRPr="003A4922">
        <w:rPr>
          <w:rFonts w:ascii="Arial" w:hAnsi="Arial"/>
          <w:color w:val="000000"/>
          <w:szCs w:val="24"/>
          <w:highlight w:val="yellow"/>
        </w:rPr>
        <w:t>convert those capabilities</w:t>
      </w:r>
      <w:r w:rsidRPr="003A4922">
        <w:rPr>
          <w:rFonts w:ascii="Arial" w:hAnsi="Arial"/>
          <w:color w:val="000000"/>
          <w:szCs w:val="24"/>
        </w:rPr>
        <w:t xml:space="preserve"> into adopted agribusiness decisions. Data-governance barriers, rather than technological ones, now dominate constraints on information-system integration in the literature published since 2023. Research, investment, and policy attention should therefore shift further toward the interoperability, governance, and </w:t>
      </w:r>
      <w:r w:rsidRPr="003A4922">
        <w:rPr>
          <w:rFonts w:ascii="Arial" w:hAnsi="Arial"/>
          <w:color w:val="000000"/>
          <w:szCs w:val="24"/>
          <w:highlight w:val="yellow"/>
        </w:rPr>
        <w:t>organisational</w:t>
      </w:r>
      <w:r w:rsidRPr="003A4922">
        <w:rPr>
          <w:rFonts w:ascii="Arial" w:hAnsi="Arial"/>
          <w:color w:val="000000"/>
          <w:szCs w:val="24"/>
        </w:rPr>
        <w:t xml:space="preserve"> </w:t>
      </w:r>
      <w:r w:rsidR="00965274" w:rsidRPr="003A4922">
        <w:rPr>
          <w:rFonts w:ascii="Arial" w:hAnsi="Arial"/>
          <w:color w:val="000000"/>
          <w:szCs w:val="24"/>
        </w:rPr>
        <w:t>design layers</w:t>
      </w:r>
      <w:r w:rsidRPr="003A4922">
        <w:rPr>
          <w:rFonts w:ascii="Arial" w:hAnsi="Arial"/>
          <w:color w:val="000000"/>
          <w:szCs w:val="24"/>
        </w:rPr>
        <w:t xml:space="preserve"> of digital agriculture, rather than continuing to concentrate primarily on sensor accuracy or model performance.</w:t>
      </w:r>
    </w:p>
    <w:p w14:paraId="65086076" w14:textId="77777777" w:rsidR="00DB769D" w:rsidRPr="003A4922" w:rsidRDefault="00B32603" w:rsidP="00965274">
      <w:pPr>
        <w:spacing w:after="200"/>
        <w:jc w:val="both"/>
        <w:rPr>
          <w:color w:val="000000" w:themeColor="text1"/>
          <w:sz w:val="24"/>
          <w:szCs w:val="24"/>
        </w:rPr>
      </w:pPr>
      <w:r w:rsidRPr="003A4922">
        <w:rPr>
          <w:rFonts w:ascii="Arial" w:hAnsi="Arial"/>
          <w:b/>
          <w:bCs/>
          <w:i/>
          <w:color w:val="000000"/>
          <w:szCs w:val="24"/>
        </w:rPr>
        <w:t xml:space="preserve">Keywords: </w:t>
      </w:r>
      <w:r w:rsidRPr="003A4922">
        <w:rPr>
          <w:rFonts w:ascii="Arial" w:hAnsi="Arial"/>
          <w:i/>
          <w:color w:val="000000"/>
          <w:szCs w:val="24"/>
        </w:rPr>
        <w:t>agribusiness intelligence; farm management information systems; agricultural big data; artificial intelligence; data governance; sustainable agriculture; ESG analytics</w:t>
      </w:r>
    </w:p>
    <w:p w14:paraId="0D69821C" w14:textId="77777777" w:rsidR="00241164" w:rsidRPr="003A4922" w:rsidRDefault="00241164" w:rsidP="00965274">
      <w:pPr>
        <w:pStyle w:val="Heading1"/>
        <w:spacing w:after="160"/>
        <w:rPr>
          <w:b/>
          <w:bCs/>
          <w:color w:val="000000" w:themeColor="text1"/>
          <w:sz w:val="24"/>
          <w:szCs w:val="24"/>
        </w:rPr>
      </w:pPr>
    </w:p>
    <w:p w14:paraId="23B12D96" w14:textId="77777777" w:rsidR="00241164" w:rsidRPr="003A4922" w:rsidRDefault="00241164" w:rsidP="00965274">
      <w:pPr>
        <w:pStyle w:val="Heading1"/>
        <w:spacing w:after="160"/>
        <w:rPr>
          <w:b/>
          <w:bCs/>
          <w:color w:val="000000" w:themeColor="text1"/>
          <w:sz w:val="24"/>
          <w:szCs w:val="24"/>
        </w:rPr>
      </w:pPr>
    </w:p>
    <w:p w14:paraId="5F2E9CEC" w14:textId="77777777" w:rsidR="00241164" w:rsidRDefault="00241164" w:rsidP="00965274">
      <w:pPr>
        <w:pStyle w:val="Heading1"/>
        <w:spacing w:after="160"/>
        <w:rPr>
          <w:b/>
          <w:bCs/>
          <w:color w:val="000000" w:themeColor="text1"/>
          <w:sz w:val="24"/>
          <w:szCs w:val="24"/>
        </w:rPr>
      </w:pPr>
    </w:p>
    <w:p w14:paraId="1A46E3E0" w14:textId="77777777" w:rsidR="00496688" w:rsidRDefault="00496688" w:rsidP="00965274">
      <w:pPr>
        <w:pStyle w:val="Heading1"/>
        <w:spacing w:after="160"/>
        <w:rPr>
          <w:b/>
          <w:bCs/>
          <w:color w:val="000000" w:themeColor="text1"/>
          <w:sz w:val="24"/>
          <w:szCs w:val="24"/>
        </w:rPr>
      </w:pPr>
    </w:p>
    <w:p w14:paraId="2CA0CF8F" w14:textId="77777777" w:rsidR="00496688" w:rsidRDefault="00496688" w:rsidP="00965274">
      <w:pPr>
        <w:pStyle w:val="Heading1"/>
        <w:spacing w:after="160"/>
        <w:rPr>
          <w:b/>
          <w:bCs/>
          <w:color w:val="000000" w:themeColor="text1"/>
          <w:sz w:val="24"/>
          <w:szCs w:val="24"/>
        </w:rPr>
      </w:pPr>
    </w:p>
    <w:p w14:paraId="304769DB" w14:textId="77777777" w:rsidR="00496688" w:rsidRDefault="00496688" w:rsidP="00965274">
      <w:pPr>
        <w:pStyle w:val="Heading1"/>
        <w:spacing w:after="160"/>
        <w:rPr>
          <w:b/>
          <w:bCs/>
          <w:color w:val="000000" w:themeColor="text1"/>
          <w:sz w:val="24"/>
          <w:szCs w:val="24"/>
        </w:rPr>
      </w:pPr>
    </w:p>
    <w:p w14:paraId="3EB4C648" w14:textId="77777777" w:rsidR="00496688" w:rsidRDefault="00496688" w:rsidP="00965274">
      <w:pPr>
        <w:pStyle w:val="Heading1"/>
        <w:spacing w:after="160"/>
        <w:rPr>
          <w:b/>
          <w:bCs/>
          <w:color w:val="000000" w:themeColor="text1"/>
          <w:sz w:val="24"/>
          <w:szCs w:val="24"/>
        </w:rPr>
      </w:pPr>
    </w:p>
    <w:p w14:paraId="38279C30" w14:textId="77777777" w:rsidR="00496688" w:rsidRDefault="00496688" w:rsidP="00965274">
      <w:pPr>
        <w:pStyle w:val="Heading1"/>
        <w:spacing w:after="160"/>
        <w:rPr>
          <w:b/>
          <w:bCs/>
          <w:color w:val="000000" w:themeColor="text1"/>
          <w:sz w:val="24"/>
          <w:szCs w:val="24"/>
        </w:rPr>
      </w:pPr>
    </w:p>
    <w:p w14:paraId="629FA3B8" w14:textId="77777777" w:rsidR="00496688" w:rsidRDefault="00496688" w:rsidP="00965274">
      <w:pPr>
        <w:pStyle w:val="Heading1"/>
        <w:spacing w:after="160"/>
        <w:rPr>
          <w:b/>
          <w:bCs/>
          <w:color w:val="000000" w:themeColor="text1"/>
          <w:sz w:val="24"/>
          <w:szCs w:val="24"/>
        </w:rPr>
      </w:pPr>
    </w:p>
    <w:p w14:paraId="2158B239" w14:textId="77777777" w:rsidR="00496688" w:rsidRPr="003A4922" w:rsidRDefault="00496688" w:rsidP="00965274">
      <w:pPr>
        <w:pStyle w:val="Heading1"/>
        <w:spacing w:after="160"/>
        <w:rPr>
          <w:b/>
          <w:bCs/>
          <w:color w:val="000000" w:themeColor="text1"/>
          <w:sz w:val="24"/>
          <w:szCs w:val="24"/>
        </w:rPr>
      </w:pPr>
    </w:p>
    <w:p w14:paraId="62B9E928" w14:textId="77777777" w:rsidR="00241164" w:rsidRPr="003A4922" w:rsidRDefault="00241164" w:rsidP="00965274">
      <w:pPr>
        <w:pStyle w:val="Heading1"/>
        <w:spacing w:after="160"/>
        <w:rPr>
          <w:color w:val="000000" w:themeColor="text1"/>
          <w:sz w:val="24"/>
          <w:szCs w:val="24"/>
        </w:rPr>
      </w:pPr>
      <w:r w:rsidRPr="003A4922">
        <w:rPr>
          <w:rFonts w:ascii="Arial" w:hAnsi="Arial"/>
          <w:b/>
          <w:bCs/>
          <w:caps/>
          <w:color w:val="000000"/>
          <w:sz w:val="22"/>
          <w:szCs w:val="24"/>
        </w:rPr>
        <w:t>Graphical Abstract</w:t>
      </w:r>
    </w:p>
    <w:p w14:paraId="11328311" w14:textId="77777777" w:rsidR="00DB769D" w:rsidRPr="003A4922" w:rsidRDefault="00241164" w:rsidP="00DF1797">
      <w:pPr>
        <w:rPr>
          <w:color w:val="000000" w:themeColor="text1"/>
          <w:sz w:val="24"/>
          <w:szCs w:val="24"/>
        </w:rPr>
      </w:pPr>
      <w:r w:rsidRPr="003A4922">
        <w:rPr>
          <w:color w:val="000000" w:themeColor="text1"/>
          <w:sz w:val="24"/>
          <w:szCs w:val="24"/>
        </w:rPr>
        <w:fldChar w:fldCharType="begin"/>
      </w:r>
      <w:r w:rsidRPr="003A4922">
        <w:rPr>
          <w:color w:val="000000" w:themeColor="text1"/>
          <w:sz w:val="24"/>
          <w:szCs w:val="24"/>
        </w:rPr>
        <w:instrText xml:space="preserve"> INCLUDEPICTURE "https://figurelabs-images-us-east-1.s3.us-east-1.amazonaws.com/com/bioford/plot/img/45cd415f-b4ed-4750-ba3d-aafbe09dbd72.png?response-content-disposition=inline&amp;preview=true&amp;X-Amz-Algorithm=AWS4-HMAC-SHA256&amp;X-Amz-Date=20260810T221008Z&amp;X-Amz-SignedHeaders=host&amp;X-Amz-Expires=604800&amp;X-Amz-Credential=AKIA34AMDG56T2NLSZ7W%2F20260810%2Fus-east-1%2Fs3%2Faws4_request&amp;X-Amz-Signature=c6c77e6fed3de279a73d76339ab705851bc3cc7a251b62bc5df41fe9c3515b45"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0FA8D4F2" wp14:editId="197893A8">
            <wp:extent cx="5032234" cy="2808051"/>
            <wp:effectExtent l="0" t="0" r="0" b="0"/>
            <wp:docPr id="1280341728" name="Picture 1"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nerated figur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89170" cy="2839822"/>
                    </a:xfrm>
                    <a:prstGeom prst="rect">
                      <a:avLst/>
                    </a:prstGeom>
                    <a:noFill/>
                    <a:ln>
                      <a:noFill/>
                    </a:ln>
                  </pic:spPr>
                </pic:pic>
              </a:graphicData>
            </a:graphic>
          </wp:inline>
        </w:drawing>
      </w:r>
      <w:r w:rsidRPr="003A4922">
        <w:rPr>
          <w:color w:val="000000" w:themeColor="text1"/>
          <w:sz w:val="24"/>
          <w:szCs w:val="24"/>
        </w:rPr>
        <w:fldChar w:fldCharType="end"/>
      </w:r>
      <w:r w:rsidR="00B32603" w:rsidRPr="003A4922">
        <w:rPr>
          <w:rFonts w:ascii="Arial" w:hAnsi="Arial"/>
          <w:b/>
          <w:bCs/>
          <w:caps/>
          <w:color w:val="000000"/>
          <w:sz w:val="22"/>
          <w:szCs w:val="24"/>
        </w:rPr>
        <w:t>1. Introduction</w:t>
      </w:r>
    </w:p>
    <w:p w14:paraId="59DAED5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Agriculture and the agribusinesses that surround it, input suppliers, processors, distributors, and retailers, together constitute one of the largest and most consequential sectors of the global economy, and the industry </w:t>
      </w:r>
      <w:r w:rsidRPr="003A4922">
        <w:rPr>
          <w:rFonts w:ascii="Arial" w:hAnsi="Arial"/>
          <w:color w:val="000000"/>
          <w:szCs w:val="24"/>
          <w:highlight w:val="yellow"/>
        </w:rPr>
        <w:t>has, in recent years, undergone</w:t>
      </w:r>
      <w:r w:rsidRPr="003A4922">
        <w:rPr>
          <w:rFonts w:ascii="Arial" w:hAnsi="Arial"/>
          <w:color w:val="000000"/>
          <w:szCs w:val="24"/>
        </w:rPr>
        <w:t xml:space="preserve"> a marked shift toward artificial intelligence (AI), big data, and the Internet of Things (IoT) as means of production and coordination (AlZubi &amp; Galyna, 2023). Much of the scholarly and practitioner literature on this shift has </w:t>
      </w:r>
      <w:r w:rsidRPr="003A4922">
        <w:rPr>
          <w:rFonts w:ascii="Arial" w:hAnsi="Arial"/>
          <w:color w:val="000000"/>
          <w:szCs w:val="24"/>
          <w:highlight w:val="yellow"/>
        </w:rPr>
        <w:t>organised</w:t>
      </w:r>
      <w:r w:rsidRPr="003A4922">
        <w:rPr>
          <w:rFonts w:ascii="Arial" w:hAnsi="Arial"/>
          <w:color w:val="000000"/>
          <w:szCs w:val="24"/>
        </w:rPr>
        <w:t xml:space="preserve"> itself around precision agriculture: the deployment of sensors, unmanned aerial vehicles, satellite imagery, and variable-rate technologies to </w:t>
      </w:r>
      <w:r w:rsidRPr="003A4922">
        <w:rPr>
          <w:rFonts w:ascii="Arial" w:hAnsi="Arial"/>
          <w:color w:val="000000"/>
          <w:szCs w:val="24"/>
          <w:highlight w:val="yellow"/>
        </w:rPr>
        <w:t>optimise</w:t>
      </w:r>
      <w:r w:rsidRPr="003A4922">
        <w:rPr>
          <w:rFonts w:ascii="Arial" w:hAnsi="Arial"/>
          <w:color w:val="000000"/>
          <w:szCs w:val="24"/>
        </w:rPr>
        <w:t xml:space="preserve"> input application and </w:t>
      </w:r>
      <w:r w:rsidRPr="003A4922">
        <w:rPr>
          <w:rFonts w:ascii="Arial" w:hAnsi="Arial"/>
          <w:color w:val="000000"/>
          <w:szCs w:val="24"/>
          <w:highlight w:val="yellow"/>
        </w:rPr>
        <w:t>raise yields at the field or plot scale</w:t>
      </w:r>
      <w:r w:rsidRPr="003A4922">
        <w:rPr>
          <w:rFonts w:ascii="Arial" w:hAnsi="Arial"/>
          <w:color w:val="000000"/>
          <w:szCs w:val="24"/>
        </w:rPr>
        <w:t xml:space="preserve"> (Alahmad </w:t>
      </w:r>
      <w:r w:rsidRPr="003A4922">
        <w:rPr>
          <w:rFonts w:ascii="Arial" w:hAnsi="Arial"/>
          <w:i/>
          <w:iCs/>
          <w:color w:val="000000"/>
          <w:szCs w:val="24"/>
        </w:rPr>
        <w:t>et al</w:t>
      </w:r>
      <w:r w:rsidRPr="003A4922">
        <w:rPr>
          <w:rFonts w:ascii="Arial" w:hAnsi="Arial"/>
          <w:color w:val="000000"/>
          <w:szCs w:val="24"/>
        </w:rPr>
        <w:t xml:space="preserve">., 2023; Abbasi </w:t>
      </w:r>
      <w:r w:rsidRPr="003A4922">
        <w:rPr>
          <w:rFonts w:ascii="Arial" w:hAnsi="Arial"/>
          <w:i/>
          <w:iCs/>
          <w:color w:val="000000"/>
          <w:szCs w:val="24"/>
        </w:rPr>
        <w:t>et al</w:t>
      </w:r>
      <w:r w:rsidRPr="003A4922">
        <w:rPr>
          <w:rFonts w:ascii="Arial" w:hAnsi="Arial"/>
          <w:color w:val="000000"/>
          <w:szCs w:val="24"/>
        </w:rPr>
        <w:t xml:space="preserve">., 2022). This body of work has been indispensable in demonstrating technical feasibility, yet it has also tended to treat </w:t>
      </w:r>
      <w:r w:rsidRPr="003A4922">
        <w:rPr>
          <w:rFonts w:ascii="Arial" w:hAnsi="Arial"/>
          <w:color w:val="000000"/>
          <w:szCs w:val="24"/>
          <w:highlight w:val="yellow"/>
        </w:rPr>
        <w:t>each technology, whether a soil moisture sensor, a yield-mapping drone, or a disease-classification model, as</w:t>
      </w:r>
      <w:r w:rsidRPr="003A4922">
        <w:rPr>
          <w:rFonts w:ascii="Arial" w:hAnsi="Arial"/>
          <w:color w:val="000000"/>
          <w:szCs w:val="24"/>
        </w:rPr>
        <w:t xml:space="preserve"> an independent unit of analysis, evaluated primarily on its own accuracy or efficiency gains.</w:t>
      </w:r>
    </w:p>
    <w:p w14:paraId="3ED08F2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growing body of evidence shows that this framing understates how value is </w:t>
      </w:r>
      <w:r w:rsidRPr="003A4922">
        <w:rPr>
          <w:rFonts w:ascii="Arial" w:hAnsi="Arial"/>
          <w:color w:val="000000"/>
          <w:szCs w:val="24"/>
          <w:highlight w:val="yellow"/>
        </w:rPr>
        <w:t>realised</w:t>
      </w:r>
      <w:r w:rsidRPr="003A4922">
        <w:rPr>
          <w:rFonts w:ascii="Arial" w:hAnsi="Arial"/>
          <w:color w:val="000000"/>
          <w:szCs w:val="24"/>
        </w:rPr>
        <w:t xml:space="preserve"> in agribusiness. Data-driven tools generate insight only when agribusiness managers and farmers can collect, </w:t>
      </w:r>
      <w:r w:rsidRPr="003A4922">
        <w:rPr>
          <w:rFonts w:ascii="Arial" w:hAnsi="Arial"/>
          <w:color w:val="000000"/>
          <w:szCs w:val="24"/>
          <w:highlight w:val="yellow"/>
        </w:rPr>
        <w:t>harmonise</w:t>
      </w:r>
      <w:r w:rsidRPr="003A4922">
        <w:rPr>
          <w:rFonts w:ascii="Arial" w:hAnsi="Arial"/>
          <w:color w:val="000000"/>
          <w:szCs w:val="24"/>
        </w:rPr>
        <w:t xml:space="preserve">, and route the data those tools produce into systems they use for operational and strategic decisions (Tantalaki </w:t>
      </w:r>
      <w:r w:rsidRPr="003A4922">
        <w:rPr>
          <w:rFonts w:ascii="Arial" w:hAnsi="Arial"/>
          <w:i/>
          <w:iCs/>
          <w:color w:val="000000"/>
          <w:szCs w:val="24"/>
        </w:rPr>
        <w:t>et al</w:t>
      </w:r>
      <w:r w:rsidRPr="003A4922">
        <w:rPr>
          <w:rFonts w:ascii="Arial" w:hAnsi="Arial"/>
          <w:color w:val="000000"/>
          <w:szCs w:val="24"/>
        </w:rPr>
        <w:t xml:space="preserve">., 2019). Big data, in this sense, remains an </w:t>
      </w:r>
      <w:r w:rsidRPr="003A4922">
        <w:rPr>
          <w:rFonts w:ascii="Arial" w:hAnsi="Arial"/>
          <w:color w:val="000000"/>
          <w:szCs w:val="24"/>
          <w:highlight w:val="yellow"/>
        </w:rPr>
        <w:t>underutilised</w:t>
      </w:r>
      <w:r w:rsidRPr="003A4922">
        <w:rPr>
          <w:rFonts w:ascii="Arial" w:hAnsi="Arial"/>
          <w:color w:val="000000"/>
          <w:szCs w:val="24"/>
        </w:rPr>
        <w:t xml:space="preserve"> resource for enhancing the resilience, productivity, sustainability, and economic viability of global agri-food systems precisely because integration, not collection, is the binding constraint (Abiri </w:t>
      </w:r>
      <w:r w:rsidRPr="003A4922">
        <w:rPr>
          <w:rFonts w:ascii="Arial" w:hAnsi="Arial"/>
          <w:i/>
          <w:iCs/>
          <w:color w:val="000000"/>
          <w:szCs w:val="24"/>
        </w:rPr>
        <w:t>et al</w:t>
      </w:r>
      <w:r w:rsidRPr="003A4922">
        <w:rPr>
          <w:rFonts w:ascii="Arial" w:hAnsi="Arial"/>
          <w:color w:val="000000"/>
          <w:szCs w:val="24"/>
        </w:rPr>
        <w:t xml:space="preserve">., 2023). A sensor network or a machine-learning model that is not embedded in a farm management information system, connected to procurement and logistics data, or reconciled with sustainability-reporting requirements produces isolated insight rather than </w:t>
      </w:r>
      <w:r w:rsidRPr="003A4922">
        <w:rPr>
          <w:rFonts w:ascii="Arial" w:hAnsi="Arial"/>
          <w:color w:val="000000"/>
          <w:szCs w:val="24"/>
          <w:highlight w:val="yellow"/>
        </w:rPr>
        <w:t>organisational</w:t>
      </w:r>
      <w:r w:rsidRPr="003A4922">
        <w:rPr>
          <w:rFonts w:ascii="Arial" w:hAnsi="Arial"/>
          <w:color w:val="000000"/>
          <w:szCs w:val="24"/>
        </w:rPr>
        <w:t xml:space="preserve"> capability.</w:t>
      </w:r>
    </w:p>
    <w:p w14:paraId="6210B5DD" w14:textId="77777777" w:rsidR="00356EC4" w:rsidRPr="00E16C10" w:rsidRDefault="00000000">
      <w:pPr>
        <w:spacing w:after="200"/>
        <w:jc w:val="both"/>
        <w:rPr>
          <w:bCs/>
          <w:color w:val="000000" w:themeColor="text1"/>
          <w:sz w:val="24"/>
          <w:szCs w:val="24"/>
        </w:rPr>
      </w:pPr>
      <w:r w:rsidRPr="00E16C10">
        <w:rPr>
          <w:rFonts w:ascii="Arial" w:eastAsia="Arial" w:hAnsi="Arial" w:cs="Arial"/>
          <w:bCs/>
          <w:highlight w:val="yellow"/>
        </w:rPr>
        <w:t xml:space="preserve">Recent evidence extends this integration perspective. Digital-farming reviews report that combining sensors, satellite imagery, and AI analytics can support data-driven agricultural decisions, while high costs, limited digital literacy, and data-privacy concerns continue to constrain adoption (Ghosh </w:t>
      </w:r>
      <w:r w:rsidRPr="00E16C10">
        <w:rPr>
          <w:rFonts w:ascii="Arial" w:eastAsia="Arial" w:hAnsi="Arial" w:cs="Arial"/>
          <w:bCs/>
          <w:i/>
          <w:highlight w:val="yellow"/>
        </w:rPr>
        <w:t>et al</w:t>
      </w:r>
      <w:r w:rsidRPr="00E16C10">
        <w:rPr>
          <w:rFonts w:ascii="Arial" w:eastAsia="Arial" w:hAnsi="Arial" w:cs="Arial"/>
          <w:bCs/>
          <w:highlight w:val="yellow"/>
        </w:rPr>
        <w:t xml:space="preserve">., 2025). At the platform level, interoperability remains a central design requirement because digital agri-food systems must exchange and use information </w:t>
      </w:r>
      <w:r w:rsidRPr="00E16C10">
        <w:rPr>
          <w:rFonts w:ascii="Arial" w:eastAsia="Arial" w:hAnsi="Arial" w:cs="Arial"/>
          <w:bCs/>
          <w:highlight w:val="yellow"/>
        </w:rPr>
        <w:lastRenderedPageBreak/>
        <w:t xml:space="preserve">across heterogeneous technical and semantic architectures (Urdu </w:t>
      </w:r>
      <w:r w:rsidRPr="00E16C10">
        <w:rPr>
          <w:rFonts w:ascii="Arial" w:eastAsia="Arial" w:hAnsi="Arial" w:cs="Arial"/>
          <w:bCs/>
          <w:i/>
          <w:highlight w:val="yellow"/>
        </w:rPr>
        <w:t>et al</w:t>
      </w:r>
      <w:r w:rsidRPr="00E16C10">
        <w:rPr>
          <w:rFonts w:ascii="Arial" w:eastAsia="Arial" w:hAnsi="Arial" w:cs="Arial"/>
          <w:bCs/>
          <w:highlight w:val="yellow"/>
        </w:rPr>
        <w:t xml:space="preserve">., 2024). Digital monitoring for sustainability likewise introduces governance considerations alongside technical opportunities, particularly regarding transparency, access, and the distribution of control over data (Meemken </w:t>
      </w:r>
      <w:r w:rsidRPr="00E16C10">
        <w:rPr>
          <w:rFonts w:ascii="Arial" w:eastAsia="Arial" w:hAnsi="Arial" w:cs="Arial"/>
          <w:bCs/>
          <w:i/>
          <w:highlight w:val="yellow"/>
        </w:rPr>
        <w:t>et al</w:t>
      </w:r>
      <w:r w:rsidRPr="00E16C10">
        <w:rPr>
          <w:rFonts w:ascii="Arial" w:eastAsia="Arial" w:hAnsi="Arial" w:cs="Arial"/>
          <w:bCs/>
          <w:highlight w:val="yellow"/>
        </w:rPr>
        <w:t>., 2024).</w:t>
      </w:r>
    </w:p>
    <w:p w14:paraId="361DD24D"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reframes the field around a single </w:t>
      </w:r>
      <w:r w:rsidRPr="003A4922">
        <w:rPr>
          <w:rFonts w:ascii="Arial" w:hAnsi="Arial"/>
          <w:color w:val="000000"/>
          <w:szCs w:val="24"/>
          <w:highlight w:val="yellow"/>
        </w:rPr>
        <w:t>organising</w:t>
      </w:r>
      <w:r w:rsidRPr="003A4922">
        <w:rPr>
          <w:rFonts w:ascii="Arial" w:hAnsi="Arial"/>
          <w:color w:val="000000"/>
          <w:szCs w:val="24"/>
        </w:rPr>
        <w:t xml:space="preserve"> argument: data, analytics, artificial intelligence, </w:t>
      </w:r>
      <w:r w:rsidRPr="003A4922">
        <w:rPr>
          <w:rFonts w:ascii="Arial" w:hAnsi="Arial"/>
          <w:color w:val="000000"/>
          <w:szCs w:val="24"/>
          <w:highlight w:val="yellow"/>
        </w:rPr>
        <w:t>information systems, decisions, and sustainable agribusiness outcomes.</w:t>
      </w:r>
      <w:r w:rsidRPr="003A4922">
        <w:rPr>
          <w:rFonts w:ascii="Arial" w:hAnsi="Arial"/>
          <w:color w:val="000000"/>
          <w:szCs w:val="24"/>
        </w:rPr>
        <w:t xml:space="preserve"> It treats AI and analytics not as terminal technologies but as intermediate capabilities that become operationally meaningful only once embedded in information systems, farm management information systems (FMIS), decision-support systems (DSS), and cloud and edge platforms that structure how agribusiness managers plan, monitor, and act.</w:t>
      </w:r>
    </w:p>
    <w:p w14:paraId="3119A6D8"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1.1 Scope, Research Gap and Objectives</w:t>
      </w:r>
    </w:p>
    <w:p w14:paraId="4022824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examines AI-enabled and data-driven information systems that influence agribusiness decision-making, spanning farm-level production through supply-chain, sustainability, and governance functions. It treats agribusiness broadly, covering farm management, input and processing firms, distributors, and the advisory and platform intermediaries that connect them, while </w:t>
      </w:r>
      <w:r w:rsidRPr="003A4922">
        <w:rPr>
          <w:rFonts w:ascii="Arial" w:hAnsi="Arial"/>
          <w:color w:val="000000"/>
          <w:szCs w:val="24"/>
          <w:highlight w:val="yellow"/>
        </w:rPr>
        <w:t>recognising</w:t>
      </w:r>
      <w:r w:rsidRPr="003A4922">
        <w:rPr>
          <w:rFonts w:ascii="Arial" w:hAnsi="Arial"/>
          <w:color w:val="000000"/>
          <w:szCs w:val="24"/>
        </w:rPr>
        <w:t xml:space="preserve"> substantial heterogeneity within this population by scale, geography, and capital intensity. The analysis focuses on agricultural big-data integration, predictive and prescriptive analytics, FMIS, AI-enabled supply-chain and climate-risk analytics, sustainability and ESG analytics, data governance and cybersecurity, digital infrastructure and adoption, circular agriculture, and decision-support systems. Purely laboratory algorithm-development studies without a credible agribusiness decision-use pathway, and studies concerned solely with field robotics hardware, are considered only where they clarify implications for information-system integration.</w:t>
      </w:r>
    </w:p>
    <w:p w14:paraId="06EC1D5C" w14:textId="77777777" w:rsidR="00356EC4" w:rsidRDefault="00000000">
      <w:pPr>
        <w:spacing w:after="200"/>
        <w:jc w:val="both"/>
        <w:rPr>
          <w:color w:val="000000" w:themeColor="text1"/>
          <w:sz w:val="24"/>
          <w:szCs w:val="24"/>
        </w:rPr>
      </w:pPr>
      <w:r>
        <w:rPr>
          <w:rFonts w:ascii="Arial" w:eastAsia="Arial" w:hAnsi="Arial" w:cs="Arial"/>
          <w:b/>
          <w:highlight w:val="yellow"/>
        </w:rPr>
        <w:t xml:space="preserve">Recent systematic evidence further characterises digital agriculture as a smart environment in which sensors, IoT, big-data analytics, AI, and communication networks function as interdependent components, while security, implementation costs, and skills remain material constraints (de Avila &amp; Barbosa, 2025). A recent agribusiness-focused review similarly argues that technical precision alone does not ensure durable farm or business value when institutional conditions, service delivery, interoperability, and governance remain uneven (Bollagani </w:t>
      </w:r>
      <w:r>
        <w:rPr>
          <w:rFonts w:ascii="Arial" w:eastAsia="Arial" w:hAnsi="Arial" w:cs="Arial"/>
          <w:b/>
          <w:i/>
          <w:highlight w:val="yellow"/>
        </w:rPr>
        <w:t>et al</w:t>
      </w:r>
      <w:r>
        <w:rPr>
          <w:rFonts w:ascii="Arial" w:eastAsia="Arial" w:hAnsi="Arial" w:cs="Arial"/>
          <w:b/>
          <w:highlight w:val="yellow"/>
        </w:rPr>
        <w:t>., 2026).</w:t>
      </w:r>
    </w:p>
    <w:p w14:paraId="2B2EFDC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research gaps this review addresses lie in the separation between two literatures that rarely cite one another: a large technical literature on precision-agriculture sensing, forecasting, and machine-learning performance, and a smaller, more fragmented literature on agricultural information systems, data governance, and </w:t>
      </w:r>
      <w:r w:rsidRPr="003A4922">
        <w:rPr>
          <w:rFonts w:ascii="Arial" w:hAnsi="Arial"/>
          <w:color w:val="000000"/>
          <w:szCs w:val="24"/>
          <w:highlight w:val="yellow"/>
        </w:rPr>
        <w:t>organisational</w:t>
      </w:r>
      <w:r w:rsidRPr="003A4922">
        <w:rPr>
          <w:rFonts w:ascii="Arial" w:hAnsi="Arial"/>
          <w:color w:val="000000"/>
          <w:szCs w:val="24"/>
        </w:rPr>
        <w:t xml:space="preserve"> adoption. Precision-agriculture reviews tend to evaluate technologies in isolation; information-systems and governance scholarship tends to treat technology as a background condition rather than an object of comparative analysis. The objectives of this review are therefore to: (</w:t>
      </w:r>
      <w:proofErr w:type="spellStart"/>
      <w:r w:rsidRPr="003A4922">
        <w:rPr>
          <w:rFonts w:ascii="Arial" w:hAnsi="Arial"/>
          <w:color w:val="000000"/>
          <w:szCs w:val="24"/>
        </w:rPr>
        <w:t>i</w:t>
      </w:r>
      <w:proofErr w:type="spellEnd"/>
      <w:r w:rsidRPr="003A4922">
        <w:rPr>
          <w:rFonts w:ascii="Arial" w:hAnsi="Arial"/>
          <w:color w:val="000000"/>
          <w:szCs w:val="24"/>
        </w:rPr>
        <w:t xml:space="preserve">) </w:t>
      </w:r>
      <w:proofErr w:type="spellStart"/>
      <w:r w:rsidRPr="003A4922">
        <w:rPr>
          <w:rFonts w:ascii="Arial" w:hAnsi="Arial"/>
          <w:color w:val="000000"/>
          <w:szCs w:val="24"/>
          <w:highlight w:val="yellow"/>
        </w:rPr>
        <w:t>synthesise</w:t>
      </w:r>
      <w:proofErr w:type="spellEnd"/>
      <w:r w:rsidRPr="003A4922">
        <w:rPr>
          <w:rFonts w:ascii="Arial" w:hAnsi="Arial"/>
          <w:color w:val="000000"/>
          <w:szCs w:val="24"/>
        </w:rPr>
        <w:t xml:space="preserve"> evidence across the ten thematic domains listed above into a single integrated pathway from data to sustainable agribusiness outcomes; (ii) identify where the strength of technical evidence diverges from the strength of evidence on adopted, governed, </w:t>
      </w:r>
      <w:r w:rsidRPr="003A4922">
        <w:rPr>
          <w:rFonts w:ascii="Arial" w:hAnsi="Arial"/>
          <w:color w:val="000000"/>
          <w:szCs w:val="24"/>
          <w:highlight w:val="yellow"/>
        </w:rPr>
        <w:t>organisation</w:t>
      </w:r>
      <w:r w:rsidRPr="003A4922">
        <w:rPr>
          <w:rFonts w:ascii="Arial" w:hAnsi="Arial"/>
          <w:color w:val="000000"/>
          <w:szCs w:val="24"/>
        </w:rPr>
        <w:t xml:space="preserve">-level use; (iii) develop a barrier taxonomy that explains why technically sound analytics frequently fail to translate into adopted decision-support capability; and (iv) propose a forward research and practice agenda </w:t>
      </w:r>
      <w:r w:rsidRPr="003A4922">
        <w:rPr>
          <w:rFonts w:ascii="Arial" w:hAnsi="Arial"/>
          <w:color w:val="000000"/>
          <w:szCs w:val="24"/>
          <w:highlight w:val="yellow"/>
        </w:rPr>
        <w:t>centred</w:t>
      </w:r>
      <w:r w:rsidRPr="003A4922">
        <w:rPr>
          <w:rFonts w:ascii="Arial" w:hAnsi="Arial"/>
          <w:color w:val="000000"/>
          <w:szCs w:val="24"/>
        </w:rPr>
        <w:t xml:space="preserve"> on information-system-level, rather than device-level, transformation.</w:t>
      </w:r>
    </w:p>
    <w:p w14:paraId="44CBA83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2. Methods for Literature Selection</w:t>
      </w:r>
    </w:p>
    <w:p w14:paraId="54005044" w14:textId="77777777" w:rsidR="00DB769D" w:rsidRPr="003A4922" w:rsidRDefault="00B32603" w:rsidP="00965274">
      <w:pPr>
        <w:pStyle w:val="Heading2"/>
        <w:rPr>
          <w:color w:val="000000" w:themeColor="text1"/>
          <w:sz w:val="24"/>
          <w:szCs w:val="24"/>
        </w:rPr>
      </w:pPr>
      <w:r w:rsidRPr="003A4922">
        <w:rPr>
          <w:rFonts w:ascii="Arial" w:hAnsi="Arial"/>
          <w:b/>
          <w:bCs/>
          <w:color w:val="000000"/>
          <w:sz w:val="22"/>
          <w:szCs w:val="24"/>
        </w:rPr>
        <w:t>2.1 Review Design and Rationale</w:t>
      </w:r>
    </w:p>
    <w:p w14:paraId="2B14333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A critical narrative review was chosen because the question spans heterogeneous evidence: technical reviews of machine-learning and sensing performance, bibliometric analyses of digital-agriculture research trends, adoption surveys, qualitative and policy studies of data governance and digital </w:t>
      </w:r>
      <w:r w:rsidR="00654149" w:rsidRPr="003A4922">
        <w:rPr>
          <w:rFonts w:ascii="Arial" w:hAnsi="Arial"/>
          <w:color w:val="000000"/>
          <w:szCs w:val="24"/>
          <w:highlight w:val="yellow"/>
        </w:rPr>
        <w:t>inclusion, and</w:t>
      </w:r>
      <w:r w:rsidRPr="003A4922">
        <w:rPr>
          <w:rFonts w:ascii="Arial" w:hAnsi="Arial"/>
          <w:color w:val="000000"/>
          <w:szCs w:val="24"/>
        </w:rPr>
        <w:t xml:space="preserve"> applied case studies of FMIS and supply-chain platforms. These bodies of evidence do not share sufficiently uniform interventions, comparators, or outcome measures to support a defensible meta-analysis, and no single systematic-review protocol maps cleanly onto a question that spans agronomy, information systems, and governance simultaneously. The review therefore followed a transparent narrative approach: source identity, relevance, recency, and claim–source alignment </w:t>
      </w:r>
      <w:proofErr w:type="gramStart"/>
      <w:r w:rsidR="00654149" w:rsidRPr="003A4922">
        <w:rPr>
          <w:rFonts w:ascii="Arial" w:hAnsi="Arial"/>
          <w:color w:val="000000"/>
          <w:szCs w:val="24"/>
        </w:rPr>
        <w:t>were</w:t>
      </w:r>
      <w:proofErr w:type="gramEnd"/>
      <w:r w:rsidRPr="003A4922">
        <w:rPr>
          <w:rFonts w:ascii="Arial" w:hAnsi="Arial"/>
          <w:color w:val="000000"/>
          <w:szCs w:val="24"/>
        </w:rPr>
        <w:t xml:space="preserve"> checked throughout, and every substantive claim in the body of the review is traceable to a specific, verifiable source rather than to an unattributed </w:t>
      </w:r>
      <w:r w:rsidRPr="003A4922">
        <w:rPr>
          <w:rFonts w:ascii="Arial" w:hAnsi="Arial"/>
          <w:color w:val="000000"/>
          <w:szCs w:val="24"/>
          <w:highlight w:val="yellow"/>
        </w:rPr>
        <w:t>generalisation</w:t>
      </w:r>
      <w:r w:rsidRPr="003A4922">
        <w:rPr>
          <w:rFonts w:ascii="Arial" w:hAnsi="Arial"/>
          <w:color w:val="000000"/>
          <w:szCs w:val="24"/>
        </w:rPr>
        <w:t>.</w:t>
      </w:r>
    </w:p>
    <w:p w14:paraId="40FCCD9F"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2.2 Information Sources</w:t>
      </w:r>
    </w:p>
    <w:p w14:paraId="3D69190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Literature was identified through live scholarly web searching of publisher and journal platforms (including ScienceDirect, MDPI, Taylor &amp; Francis/Cogent, Springer, Sage, PMC/PubMed Central, and Frontiers), together with preprint and working-paper repositories (</w:t>
      </w:r>
      <w:proofErr w:type="spellStart"/>
      <w:r w:rsidRPr="003A4922">
        <w:rPr>
          <w:rFonts w:ascii="Arial" w:hAnsi="Arial"/>
          <w:color w:val="000000"/>
          <w:szCs w:val="24"/>
        </w:rPr>
        <w:t>arXiv</w:t>
      </w:r>
      <w:proofErr w:type="spellEnd"/>
      <w:r w:rsidRPr="003A4922">
        <w:rPr>
          <w:rFonts w:ascii="Arial" w:hAnsi="Arial"/>
          <w:color w:val="000000"/>
          <w:szCs w:val="24"/>
        </w:rPr>
        <w:t>) and institutional or market-analysis sources consulted only for background or industry context. Journal and publisher pages were used to verify authorship, year, volume, and, where available, digital object identifiers (DOIs). Backward citation tracing from major reviews was used to identify foundational and empirically load-bearing studies that might be missed by narrow keyword searching.</w:t>
      </w:r>
    </w:p>
    <w:p w14:paraId="03F26B07" w14:textId="77777777" w:rsidR="00DB769D" w:rsidRPr="003A4922" w:rsidRDefault="00B32603" w:rsidP="00965274">
      <w:pPr>
        <w:pStyle w:val="Heading2"/>
        <w:rPr>
          <w:color w:val="000000" w:themeColor="text1"/>
          <w:sz w:val="24"/>
          <w:szCs w:val="24"/>
        </w:rPr>
      </w:pPr>
      <w:r w:rsidRPr="003A4922">
        <w:rPr>
          <w:rFonts w:ascii="Arial" w:hAnsi="Arial"/>
          <w:b/>
          <w:bCs/>
          <w:color w:val="000000"/>
          <w:sz w:val="22"/>
          <w:szCs w:val="24"/>
        </w:rPr>
        <w:t>2.3 Bibliometric and Scientometric Search Protocol</w:t>
      </w:r>
    </w:p>
    <w:p w14:paraId="0600AF95"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2016" w:bottom="2016" w:left="2016" w:header="708" w:footer="708" w:gutter="0"/>
          <w:cols w:space="720"/>
          <w:docGrid w:linePitch="360"/>
        </w:sectPr>
      </w:pPr>
      <w:r w:rsidRPr="003A4922">
        <w:rPr>
          <w:rFonts w:ascii="Arial" w:hAnsi="Arial"/>
          <w:color w:val="000000"/>
          <w:szCs w:val="24"/>
        </w:rPr>
        <w:t xml:space="preserve">The principal search period was January 2019 to August 2026, with earlier foundational studies eligible when required to explain the development of farm management information system theory or agricultural big-data concepts. </w:t>
      </w:r>
      <w:r w:rsidRPr="003A4922">
        <w:rPr>
          <w:rFonts w:ascii="Arial" w:hAnsi="Arial"/>
          <w:color w:val="000000"/>
          <w:szCs w:val="24"/>
          <w:highlight w:val="yellow"/>
        </w:rPr>
        <w:t>Searches combined terms for AI and digitalisation with terms for agribusiness function and context and were executed iteratively across publisher platforms and scholarly indexes rather than through a single subscription database.</w:t>
      </w:r>
      <w:r w:rsidRPr="003A4922">
        <w:rPr>
          <w:rFonts w:ascii="Arial" w:hAnsi="Arial"/>
          <w:color w:val="000000"/>
          <w:szCs w:val="24"/>
        </w:rPr>
        <w:t xml:space="preserve"> Table 1 sets out the search matrix by thematic domain: the databases and platforms searched, an illustrative Boolean query string, the inclusion/exclusion logic applied, and an indicative yield descriptor. A methodological caveat is necessary here: because this review was conducted without direct institutional access to Scopus or Web of Science, the "indicative yield" column reports a qualitative density </w:t>
      </w:r>
      <w:r w:rsidRPr="003A4922">
        <w:rPr>
          <w:rFonts w:ascii="Arial" w:hAnsi="Arial"/>
          <w:color w:val="000000"/>
          <w:szCs w:val="24"/>
          <w:highlight w:val="yellow"/>
        </w:rPr>
        <w:t>judgement</w:t>
      </w:r>
      <w:r w:rsidRPr="003A4922">
        <w:rPr>
          <w:rFonts w:ascii="Arial" w:hAnsi="Arial"/>
          <w:color w:val="000000"/>
          <w:szCs w:val="24"/>
        </w:rPr>
        <w:t xml:space="preserve"> (low/moderate/high) based on the volume and recency of results returned through live scholarly web search, not an exact, reproducible record count. A future systematic update of this review with full bibliographic-database access could reproduce these query strings in Scopus and Web of Science to generate an exact, auditable record count, reported as a formal PRISMA 2020 flow diagram documenting identification, screening, eligibility, and inclusion, together with a VOS</w:t>
      </w:r>
      <w:r w:rsidR="00F92664" w:rsidRPr="003A4922">
        <w:rPr>
          <w:rFonts w:ascii="Arial" w:hAnsi="Arial"/>
          <w:color w:val="000000"/>
          <w:szCs w:val="24"/>
        </w:rPr>
        <w:t xml:space="preserve"> </w:t>
      </w:r>
      <w:r w:rsidRPr="003A4922">
        <w:rPr>
          <w:rFonts w:ascii="Arial" w:hAnsi="Arial"/>
          <w:color w:val="000000"/>
          <w:szCs w:val="24"/>
        </w:rPr>
        <w:t xml:space="preserve">viewer co-occurrence network </w:t>
      </w:r>
      <w:r w:rsidRPr="003A4922">
        <w:rPr>
          <w:rFonts w:ascii="Arial" w:hAnsi="Arial"/>
          <w:color w:val="000000"/>
          <w:szCs w:val="24"/>
          <w:highlight w:val="yellow"/>
        </w:rPr>
        <w:t>visualising</w:t>
      </w:r>
      <w:r w:rsidRPr="003A4922">
        <w:rPr>
          <w:rFonts w:ascii="Arial" w:hAnsi="Arial"/>
          <w:color w:val="000000"/>
          <w:szCs w:val="24"/>
        </w:rPr>
        <w:t xml:space="preserve"> thematic clustering across the exported reference set; the query strings in Table 1 are written to be directly portable to that purpose.</w:t>
      </w:r>
    </w:p>
    <w:p w14:paraId="635C97E8" w14:textId="77777777" w:rsidR="003B245C" w:rsidRPr="003A4922" w:rsidRDefault="003B245C" w:rsidP="00965274">
      <w:pPr>
        <w:spacing w:before="120" w:after="300"/>
        <w:rPr>
          <w:b/>
          <w:bCs/>
          <w:color w:val="000000" w:themeColor="text1"/>
          <w:sz w:val="24"/>
          <w:szCs w:val="24"/>
        </w:rPr>
      </w:pPr>
      <w:r w:rsidRPr="003A4922">
        <w:rPr>
          <w:rFonts w:ascii="Arial" w:hAnsi="Arial"/>
          <w:b/>
          <w:bCs/>
          <w:color w:val="000000"/>
          <w:szCs w:val="24"/>
        </w:rPr>
        <w:lastRenderedPageBreak/>
        <w:t>Table 1. Search matrix by thematic domain: databases, illustrative Boolean query strings, inclusion/exclusion criteria, and indicative yield.</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2517"/>
        <w:gridCol w:w="1766"/>
        <w:gridCol w:w="3926"/>
        <w:gridCol w:w="4378"/>
        <w:gridCol w:w="1093"/>
      </w:tblGrid>
      <w:tr w:rsidR="001207A1" w:rsidRPr="003A4922" w14:paraId="28645C07" w14:textId="77777777" w:rsidTr="003B245C">
        <w:trPr>
          <w:tblHeader/>
        </w:trPr>
        <w:tc>
          <w:tcPr>
            <w:tcW w:w="1284" w:type="dxa"/>
            <w:tcBorders>
              <w:bottom w:val="single" w:sz="6" w:space="0" w:color="auto"/>
            </w:tcBorders>
            <w:tcMar>
              <w:top w:w="40" w:type="dxa"/>
              <w:left w:w="80" w:type="dxa"/>
              <w:bottom w:w="40" w:type="dxa"/>
              <w:right w:w="80" w:type="dxa"/>
            </w:tcMar>
          </w:tcPr>
          <w:p w14:paraId="723C82A2"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Theme</w:t>
            </w:r>
          </w:p>
        </w:tc>
        <w:tc>
          <w:tcPr>
            <w:tcW w:w="1878" w:type="dxa"/>
            <w:tcBorders>
              <w:bottom w:val="single" w:sz="6" w:space="0" w:color="auto"/>
            </w:tcBorders>
            <w:tcMar>
              <w:top w:w="40" w:type="dxa"/>
              <w:left w:w="80" w:type="dxa"/>
              <w:bottom w:w="40" w:type="dxa"/>
              <w:right w:w="80" w:type="dxa"/>
            </w:tcMar>
          </w:tcPr>
          <w:p w14:paraId="166C7B83"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Databases / Platforms Searched</w:t>
            </w:r>
          </w:p>
        </w:tc>
        <w:tc>
          <w:tcPr>
            <w:tcW w:w="4446" w:type="dxa"/>
            <w:tcBorders>
              <w:bottom w:val="single" w:sz="6" w:space="0" w:color="auto"/>
            </w:tcBorders>
            <w:tcMar>
              <w:top w:w="40" w:type="dxa"/>
              <w:left w:w="80" w:type="dxa"/>
              <w:bottom w:w="40" w:type="dxa"/>
              <w:right w:w="80" w:type="dxa"/>
            </w:tcMar>
          </w:tcPr>
          <w:p w14:paraId="5ACB116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Illustrative Query String (Boolean)</w:t>
            </w:r>
          </w:p>
        </w:tc>
        <w:tc>
          <w:tcPr>
            <w:tcW w:w="4977" w:type="dxa"/>
            <w:tcBorders>
              <w:bottom w:val="single" w:sz="6" w:space="0" w:color="auto"/>
            </w:tcBorders>
            <w:tcMar>
              <w:top w:w="40" w:type="dxa"/>
              <w:left w:w="80" w:type="dxa"/>
              <w:bottom w:w="40" w:type="dxa"/>
              <w:right w:w="80" w:type="dxa"/>
            </w:tcMar>
          </w:tcPr>
          <w:p w14:paraId="3B677AD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Inclusion / Exclusion Criteria</w:t>
            </w:r>
          </w:p>
        </w:tc>
        <w:tc>
          <w:tcPr>
            <w:tcW w:w="1100" w:type="dxa"/>
            <w:tcBorders>
              <w:bottom w:val="single" w:sz="6" w:space="0" w:color="auto"/>
            </w:tcBorders>
            <w:tcMar>
              <w:top w:w="40" w:type="dxa"/>
              <w:left w:w="80" w:type="dxa"/>
              <w:bottom w:w="40" w:type="dxa"/>
              <w:right w:w="80" w:type="dxa"/>
            </w:tcMar>
          </w:tcPr>
          <w:p w14:paraId="0BDFEBC3"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Indicative Yield</w:t>
            </w:r>
          </w:p>
        </w:tc>
      </w:tr>
      <w:tr w:rsidR="001207A1" w:rsidRPr="003A4922" w14:paraId="6D3EFF7D" w14:textId="77777777" w:rsidTr="003B245C">
        <w:tc>
          <w:tcPr>
            <w:tcW w:w="1284" w:type="dxa"/>
            <w:tcMar>
              <w:top w:w="40" w:type="dxa"/>
              <w:left w:w="80" w:type="dxa"/>
              <w:bottom w:w="40" w:type="dxa"/>
              <w:right w:w="80" w:type="dxa"/>
            </w:tcMar>
          </w:tcPr>
          <w:p w14:paraId="2D2B374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 data &amp; integration</w:t>
            </w:r>
          </w:p>
        </w:tc>
        <w:tc>
          <w:tcPr>
            <w:tcW w:w="1878" w:type="dxa"/>
            <w:tcMar>
              <w:top w:w="40" w:type="dxa"/>
              <w:left w:w="80" w:type="dxa"/>
              <w:bottom w:w="40" w:type="dxa"/>
              <w:right w:w="80" w:type="dxa"/>
            </w:tcMar>
          </w:tcPr>
          <w:p w14:paraId="6DF3BA1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ScienceDirect, MDPI, PMC</w:t>
            </w:r>
          </w:p>
        </w:tc>
        <w:tc>
          <w:tcPr>
            <w:tcW w:w="4446" w:type="dxa"/>
            <w:tcMar>
              <w:top w:w="40" w:type="dxa"/>
              <w:left w:w="80" w:type="dxa"/>
              <w:bottom w:w="40" w:type="dxa"/>
              <w:right w:w="80" w:type="dxa"/>
            </w:tcMar>
          </w:tcPr>
          <w:p w14:paraId="3A36D96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OR "agribusiness") AND ("big data" OR IoT) AND ("data integration" OR interoperability)</w:t>
            </w:r>
          </w:p>
        </w:tc>
        <w:tc>
          <w:tcPr>
            <w:tcW w:w="4977" w:type="dxa"/>
            <w:tcMar>
              <w:top w:w="40" w:type="dxa"/>
              <w:left w:w="80" w:type="dxa"/>
              <w:bottom w:w="40" w:type="dxa"/>
              <w:right w:w="80" w:type="dxa"/>
            </w:tcMar>
          </w:tcPr>
          <w:p w14:paraId="653EFE3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peer-reviewed 2019–2026, agribusiness decision-use pathway. Excl.: </w:t>
            </w:r>
            <w:r w:rsidR="00B07BAF" w:rsidRPr="003A4922">
              <w:rPr>
                <w:rFonts w:ascii="Arial" w:hAnsi="Arial"/>
                <w:color w:val="000000" w:themeColor="text1"/>
                <w:sz w:val="16"/>
                <w:szCs w:val="24"/>
              </w:rPr>
              <w:t>S</w:t>
            </w:r>
            <w:r w:rsidRPr="003A4922">
              <w:rPr>
                <w:rFonts w:ascii="Arial" w:hAnsi="Arial"/>
                <w:color w:val="000000" w:themeColor="text1"/>
                <w:sz w:val="16"/>
                <w:szCs w:val="24"/>
              </w:rPr>
              <w:t>ensor-hardware-only studies</w:t>
            </w:r>
          </w:p>
        </w:tc>
        <w:tc>
          <w:tcPr>
            <w:tcW w:w="1100" w:type="dxa"/>
            <w:tcMar>
              <w:top w:w="40" w:type="dxa"/>
              <w:left w:w="80" w:type="dxa"/>
              <w:bottom w:w="40" w:type="dxa"/>
              <w:right w:w="80" w:type="dxa"/>
            </w:tcMar>
          </w:tcPr>
          <w:p w14:paraId="3CAA530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High (broad, mature literature)</w:t>
            </w:r>
          </w:p>
        </w:tc>
      </w:tr>
      <w:tr w:rsidR="001207A1" w:rsidRPr="003A4922" w14:paraId="23E64A77" w14:textId="77777777" w:rsidTr="003B245C">
        <w:tc>
          <w:tcPr>
            <w:tcW w:w="1284" w:type="dxa"/>
            <w:tcMar>
              <w:top w:w="40" w:type="dxa"/>
              <w:left w:w="80" w:type="dxa"/>
              <w:bottom w:w="40" w:type="dxa"/>
              <w:right w:w="80" w:type="dxa"/>
            </w:tcMar>
          </w:tcPr>
          <w:p w14:paraId="24DC4C1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Predictive/prescriptive analytics</w:t>
            </w:r>
          </w:p>
        </w:tc>
        <w:tc>
          <w:tcPr>
            <w:tcW w:w="1878" w:type="dxa"/>
            <w:tcMar>
              <w:top w:w="40" w:type="dxa"/>
              <w:left w:w="80" w:type="dxa"/>
              <w:bottom w:w="40" w:type="dxa"/>
              <w:right w:w="80" w:type="dxa"/>
            </w:tcMar>
          </w:tcPr>
          <w:p w14:paraId="32607EA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w:t>
            </w: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OSTI</w:t>
            </w:r>
          </w:p>
        </w:tc>
        <w:tc>
          <w:tcPr>
            <w:tcW w:w="4446" w:type="dxa"/>
            <w:tcMar>
              <w:top w:w="40" w:type="dxa"/>
              <w:left w:w="80" w:type="dxa"/>
              <w:bottom w:w="40" w:type="dxa"/>
              <w:right w:w="80" w:type="dxa"/>
            </w:tcMar>
          </w:tcPr>
          <w:p w14:paraId="3AE7942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 analytics" OR "prescriptive analytics")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(forecast OR optimi</w:t>
            </w:r>
            <w:r w:rsidR="008116D3" w:rsidRPr="003A4922">
              <w:rPr>
                <w:rFonts w:ascii="Arial" w:hAnsi="Arial"/>
                <w:color w:val="000000" w:themeColor="text1"/>
                <w:sz w:val="16"/>
                <w:szCs w:val="24"/>
              </w:rPr>
              <w:t>ze</w:t>
            </w:r>
            <w:r w:rsidRPr="003A4922">
              <w:rPr>
                <w:rFonts w:ascii="Arial" w:hAnsi="Arial"/>
                <w:color w:val="000000" w:themeColor="text1"/>
                <w:sz w:val="16"/>
                <w:szCs w:val="24"/>
              </w:rPr>
              <w:t>)</w:t>
            </w:r>
          </w:p>
        </w:tc>
        <w:tc>
          <w:tcPr>
            <w:tcW w:w="4977" w:type="dxa"/>
            <w:tcMar>
              <w:top w:w="40" w:type="dxa"/>
              <w:left w:w="80" w:type="dxa"/>
              <w:bottom w:w="40" w:type="dxa"/>
              <w:right w:w="80" w:type="dxa"/>
            </w:tcMar>
          </w:tcPr>
          <w:p w14:paraId="612B5A9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8B3369" w:rsidRPr="003A4922">
              <w:rPr>
                <w:rFonts w:ascii="Arial" w:hAnsi="Arial"/>
                <w:color w:val="000000" w:themeColor="text1"/>
                <w:sz w:val="16"/>
                <w:szCs w:val="24"/>
              </w:rPr>
              <w:t>M</w:t>
            </w:r>
            <w:r w:rsidRPr="003A4922">
              <w:rPr>
                <w:rFonts w:ascii="Arial" w:hAnsi="Arial"/>
                <w:color w:val="000000" w:themeColor="text1"/>
                <w:sz w:val="16"/>
                <w:szCs w:val="24"/>
              </w:rPr>
              <w:t xml:space="preserve">odels with an agribusiness decision output. Excl.: </w:t>
            </w:r>
            <w:r w:rsidR="007E7B13" w:rsidRPr="003A4922">
              <w:rPr>
                <w:rFonts w:ascii="Arial" w:hAnsi="Arial"/>
                <w:color w:val="000000" w:themeColor="text1"/>
                <w:sz w:val="16"/>
                <w:szCs w:val="24"/>
              </w:rPr>
              <w:t>P</w:t>
            </w:r>
            <w:r w:rsidRPr="003A4922">
              <w:rPr>
                <w:rFonts w:ascii="Arial" w:hAnsi="Arial"/>
                <w:color w:val="000000" w:themeColor="text1"/>
                <w:sz w:val="16"/>
                <w:szCs w:val="24"/>
              </w:rPr>
              <w:t>ure model-accuracy benchmarking with no use pathway</w:t>
            </w:r>
          </w:p>
        </w:tc>
        <w:tc>
          <w:tcPr>
            <w:tcW w:w="1100" w:type="dxa"/>
            <w:tcMar>
              <w:top w:w="40" w:type="dxa"/>
              <w:left w:w="80" w:type="dxa"/>
              <w:bottom w:w="40" w:type="dxa"/>
              <w:right w:w="80" w:type="dxa"/>
            </w:tcMar>
          </w:tcPr>
          <w:p w14:paraId="573EEBB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Moderate–High</w:t>
            </w:r>
          </w:p>
        </w:tc>
      </w:tr>
      <w:tr w:rsidR="001207A1" w:rsidRPr="003A4922" w14:paraId="25D6018D" w14:textId="77777777" w:rsidTr="003B245C">
        <w:tc>
          <w:tcPr>
            <w:tcW w:w="1284" w:type="dxa"/>
            <w:tcMar>
              <w:top w:w="40" w:type="dxa"/>
              <w:left w:w="80" w:type="dxa"/>
              <w:bottom w:w="40" w:type="dxa"/>
              <w:right w:w="80" w:type="dxa"/>
            </w:tcMar>
          </w:tcPr>
          <w:p w14:paraId="54C36F6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1878" w:type="dxa"/>
            <w:tcMar>
              <w:top w:w="40" w:type="dxa"/>
              <w:left w:w="80" w:type="dxa"/>
              <w:bottom w:w="40" w:type="dxa"/>
              <w:right w:w="80" w:type="dxa"/>
            </w:tcMar>
          </w:tcPr>
          <w:p w14:paraId="68968B4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ScienceDirect, Springer, Sage, Semantic Scholar</w:t>
            </w:r>
          </w:p>
        </w:tc>
        <w:tc>
          <w:tcPr>
            <w:tcW w:w="4446" w:type="dxa"/>
            <w:tcMar>
              <w:top w:w="40" w:type="dxa"/>
              <w:left w:w="80" w:type="dxa"/>
              <w:bottom w:w="40" w:type="dxa"/>
              <w:right w:w="80" w:type="dxa"/>
            </w:tcMar>
          </w:tcPr>
          <w:p w14:paraId="726A051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management information system" OR FMIS) AND (adoption OR architecture OR interoperability)</w:t>
            </w:r>
          </w:p>
        </w:tc>
        <w:tc>
          <w:tcPr>
            <w:tcW w:w="4977" w:type="dxa"/>
            <w:tcMar>
              <w:top w:w="40" w:type="dxa"/>
              <w:left w:w="80" w:type="dxa"/>
              <w:bottom w:w="40" w:type="dxa"/>
              <w:right w:w="80" w:type="dxa"/>
            </w:tcMar>
          </w:tcPr>
          <w:p w14:paraId="685275E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FMIS adoption, architecture, or functionality studies. Excl.: </w:t>
            </w:r>
            <w:r w:rsidR="007E7B13" w:rsidRPr="003A4922">
              <w:rPr>
                <w:rFonts w:ascii="Arial" w:hAnsi="Arial"/>
                <w:color w:val="000000" w:themeColor="text1"/>
                <w:sz w:val="16"/>
                <w:szCs w:val="24"/>
              </w:rPr>
              <w:t>S</w:t>
            </w:r>
            <w:r w:rsidRPr="003A4922">
              <w:rPr>
                <w:rFonts w:ascii="Arial" w:hAnsi="Arial"/>
                <w:color w:val="000000" w:themeColor="text1"/>
                <w:sz w:val="16"/>
                <w:szCs w:val="24"/>
              </w:rPr>
              <w:t>ingle-vendor marketing material</w:t>
            </w:r>
          </w:p>
        </w:tc>
        <w:tc>
          <w:tcPr>
            <w:tcW w:w="1100" w:type="dxa"/>
            <w:tcMar>
              <w:top w:w="40" w:type="dxa"/>
              <w:left w:w="80" w:type="dxa"/>
              <w:bottom w:w="40" w:type="dxa"/>
              <w:right w:w="80" w:type="dxa"/>
            </w:tcMar>
          </w:tcPr>
          <w:p w14:paraId="3E823FC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w:t>
            </w:r>
          </w:p>
        </w:tc>
      </w:tr>
      <w:tr w:rsidR="001207A1" w:rsidRPr="003A4922" w14:paraId="6DB0384F" w14:textId="77777777" w:rsidTr="003B245C">
        <w:tc>
          <w:tcPr>
            <w:tcW w:w="1284" w:type="dxa"/>
            <w:tcMar>
              <w:top w:w="40" w:type="dxa"/>
              <w:left w:w="80" w:type="dxa"/>
              <w:bottom w:w="40" w:type="dxa"/>
              <w:right w:w="80" w:type="dxa"/>
            </w:tcMar>
          </w:tcPr>
          <w:p w14:paraId="1E06378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Supply chain &amp; climate adaptation</w:t>
            </w:r>
          </w:p>
        </w:tc>
        <w:tc>
          <w:tcPr>
            <w:tcW w:w="1878" w:type="dxa"/>
            <w:tcMar>
              <w:top w:w="40" w:type="dxa"/>
              <w:left w:w="80" w:type="dxa"/>
              <w:bottom w:w="40" w:type="dxa"/>
              <w:right w:w="80" w:type="dxa"/>
            </w:tcMar>
          </w:tcPr>
          <w:p w14:paraId="6F8DA79C"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Tandfonline</w:t>
            </w:r>
            <w:proofErr w:type="spellEnd"/>
            <w:r w:rsidRPr="003A4922">
              <w:rPr>
                <w:rFonts w:ascii="Arial" w:hAnsi="Arial"/>
                <w:color w:val="000000" w:themeColor="text1"/>
                <w:sz w:val="16"/>
                <w:szCs w:val="24"/>
              </w:rPr>
              <w:t>, OSTI, Iris Publishers, MDPI</w:t>
            </w:r>
          </w:p>
        </w:tc>
        <w:tc>
          <w:tcPr>
            <w:tcW w:w="4446" w:type="dxa"/>
            <w:tcMar>
              <w:top w:w="40" w:type="dxa"/>
              <w:left w:w="80" w:type="dxa"/>
              <w:bottom w:w="40" w:type="dxa"/>
              <w:right w:w="80" w:type="dxa"/>
            </w:tcMar>
          </w:tcPr>
          <w:p w14:paraId="2863FC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("supply chain" OR logistics)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AND (AI OR blockchain OR "climate risk")</w:t>
            </w:r>
          </w:p>
        </w:tc>
        <w:tc>
          <w:tcPr>
            <w:tcW w:w="4977" w:type="dxa"/>
            <w:tcMar>
              <w:top w:w="40" w:type="dxa"/>
              <w:left w:w="80" w:type="dxa"/>
              <w:bottom w:w="40" w:type="dxa"/>
              <w:right w:w="80" w:type="dxa"/>
            </w:tcMar>
          </w:tcPr>
          <w:p w14:paraId="1EE97BF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8B3369" w:rsidRPr="003A4922">
              <w:rPr>
                <w:rFonts w:ascii="Arial" w:hAnsi="Arial"/>
                <w:color w:val="000000" w:themeColor="text1"/>
                <w:sz w:val="16"/>
                <w:szCs w:val="24"/>
              </w:rPr>
              <w:t>E</w:t>
            </w:r>
            <w:r w:rsidRPr="003A4922">
              <w:rPr>
                <w:rFonts w:ascii="Arial" w:hAnsi="Arial"/>
                <w:color w:val="000000" w:themeColor="text1"/>
                <w:sz w:val="16"/>
                <w:szCs w:val="24"/>
              </w:rPr>
              <w:t xml:space="preserve">mpirical or reviewed AI/blockchain supply-chain application. Excl.: </w:t>
            </w:r>
            <w:r w:rsidR="000C2687" w:rsidRPr="003A4922">
              <w:rPr>
                <w:rFonts w:ascii="Arial" w:hAnsi="Arial"/>
                <w:color w:val="000000" w:themeColor="text1"/>
                <w:sz w:val="16"/>
                <w:szCs w:val="24"/>
              </w:rPr>
              <w:t>N</w:t>
            </w:r>
            <w:r w:rsidRPr="003A4922">
              <w:rPr>
                <w:rFonts w:ascii="Arial" w:hAnsi="Arial"/>
                <w:color w:val="000000" w:themeColor="text1"/>
                <w:sz w:val="16"/>
                <w:szCs w:val="24"/>
              </w:rPr>
              <w:t>on-agricultural supply chains</w:t>
            </w:r>
          </w:p>
        </w:tc>
        <w:tc>
          <w:tcPr>
            <w:tcW w:w="1100" w:type="dxa"/>
            <w:tcMar>
              <w:top w:w="40" w:type="dxa"/>
              <w:left w:w="80" w:type="dxa"/>
              <w:bottom w:w="40" w:type="dxa"/>
              <w:right w:w="80" w:type="dxa"/>
            </w:tcMar>
          </w:tcPr>
          <w:p w14:paraId="7E46657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w:t>
            </w:r>
          </w:p>
        </w:tc>
      </w:tr>
      <w:tr w:rsidR="001207A1" w:rsidRPr="003A4922" w14:paraId="7C51620A" w14:textId="77777777" w:rsidTr="003B245C">
        <w:tc>
          <w:tcPr>
            <w:tcW w:w="1284" w:type="dxa"/>
            <w:tcMar>
              <w:top w:w="40" w:type="dxa"/>
              <w:left w:w="80" w:type="dxa"/>
              <w:bottom w:w="40" w:type="dxa"/>
              <w:right w:w="80" w:type="dxa"/>
            </w:tcMar>
          </w:tcPr>
          <w:p w14:paraId="1C6D2F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w:t>
            </w:r>
          </w:p>
        </w:tc>
        <w:tc>
          <w:tcPr>
            <w:tcW w:w="1878" w:type="dxa"/>
            <w:tcMar>
              <w:top w:w="40" w:type="dxa"/>
              <w:left w:w="80" w:type="dxa"/>
              <w:bottom w:w="40" w:type="dxa"/>
              <w:right w:w="80" w:type="dxa"/>
            </w:tcMar>
          </w:tcPr>
          <w:p w14:paraId="23B2E568"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Farmonaut</w:t>
            </w:r>
            <w:proofErr w:type="spellEnd"/>
            <w:r w:rsidRPr="003A4922">
              <w:rPr>
                <w:rFonts w:ascii="Arial" w:hAnsi="Arial"/>
                <w:color w:val="000000" w:themeColor="text1"/>
                <w:sz w:val="16"/>
                <w:szCs w:val="24"/>
              </w:rPr>
              <w:t xml:space="preserve">, </w:t>
            </w:r>
            <w:proofErr w:type="spellStart"/>
            <w:r w:rsidRPr="003A4922">
              <w:rPr>
                <w:rFonts w:ascii="Arial" w:hAnsi="Arial"/>
                <w:color w:val="000000" w:themeColor="text1"/>
                <w:sz w:val="16"/>
                <w:szCs w:val="24"/>
              </w:rPr>
              <w:t>EcoVadis</w:t>
            </w:r>
            <w:proofErr w:type="spellEnd"/>
            <w:r w:rsidRPr="003A4922">
              <w:rPr>
                <w:rFonts w:ascii="Arial" w:hAnsi="Arial"/>
                <w:color w:val="000000" w:themeColor="text1"/>
                <w:sz w:val="16"/>
                <w:szCs w:val="24"/>
              </w:rPr>
              <w:t>, ESG Today, industry ESG reports</w:t>
            </w:r>
          </w:p>
        </w:tc>
        <w:tc>
          <w:tcPr>
            <w:tcW w:w="4446" w:type="dxa"/>
            <w:tcMar>
              <w:top w:w="40" w:type="dxa"/>
              <w:left w:w="80" w:type="dxa"/>
              <w:bottom w:w="40" w:type="dxa"/>
              <w:right w:w="80" w:type="dxa"/>
            </w:tcMar>
          </w:tcPr>
          <w:p w14:paraId="21179EE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OR "scope 3") AND (agribusiness OR agri-food OR farm*) AND (reporting OR compliance)</w:t>
            </w:r>
          </w:p>
        </w:tc>
        <w:tc>
          <w:tcPr>
            <w:tcW w:w="4977" w:type="dxa"/>
            <w:tcMar>
              <w:top w:w="40" w:type="dxa"/>
              <w:left w:w="80" w:type="dxa"/>
              <w:bottom w:w="40" w:type="dxa"/>
              <w:right w:w="80" w:type="dxa"/>
            </w:tcMar>
          </w:tcPr>
          <w:p w14:paraId="2237A86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standards bodies (GHG Protocol, CSRD/ESRS, SBTi) and peer-reviewed sustainability-reporting studies. Excl.: promotional vendor copies without standards grounding</w:t>
            </w:r>
          </w:p>
        </w:tc>
        <w:tc>
          <w:tcPr>
            <w:tcW w:w="1100" w:type="dxa"/>
            <w:tcMar>
              <w:top w:w="40" w:type="dxa"/>
              <w:left w:w="80" w:type="dxa"/>
              <w:bottom w:w="40" w:type="dxa"/>
              <w:right w:w="80" w:type="dxa"/>
            </w:tcMar>
          </w:tcPr>
          <w:p w14:paraId="4C44893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 (emerging)</w:t>
            </w:r>
          </w:p>
        </w:tc>
      </w:tr>
      <w:tr w:rsidR="001207A1" w:rsidRPr="003A4922" w14:paraId="6A5BCB60" w14:textId="77777777" w:rsidTr="003B245C">
        <w:tc>
          <w:tcPr>
            <w:tcW w:w="1284" w:type="dxa"/>
            <w:tcMar>
              <w:top w:w="40" w:type="dxa"/>
              <w:left w:w="80" w:type="dxa"/>
              <w:bottom w:w="40" w:type="dxa"/>
              <w:right w:w="80" w:type="dxa"/>
            </w:tcMar>
          </w:tcPr>
          <w:p w14:paraId="592B100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&amp; cybersecurity</w:t>
            </w:r>
          </w:p>
        </w:tc>
        <w:tc>
          <w:tcPr>
            <w:tcW w:w="1878" w:type="dxa"/>
            <w:tcMar>
              <w:top w:w="40" w:type="dxa"/>
              <w:left w:w="80" w:type="dxa"/>
              <w:bottom w:w="40" w:type="dxa"/>
              <w:right w:w="80" w:type="dxa"/>
            </w:tcMar>
          </w:tcPr>
          <w:p w14:paraId="6412695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PMC, </w:t>
            </w: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Sage</w:t>
            </w:r>
          </w:p>
        </w:tc>
        <w:tc>
          <w:tcPr>
            <w:tcW w:w="4446" w:type="dxa"/>
            <w:tcMar>
              <w:top w:w="40" w:type="dxa"/>
              <w:left w:w="80" w:type="dxa"/>
              <w:bottom w:w="40" w:type="dxa"/>
              <w:right w:w="80" w:type="dxa"/>
            </w:tcMar>
          </w:tcPr>
          <w:p w14:paraId="3160A43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OR privacy OR cybersecurity)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(platform OR data)</w:t>
            </w:r>
          </w:p>
        </w:tc>
        <w:tc>
          <w:tcPr>
            <w:tcW w:w="4977" w:type="dxa"/>
            <w:tcMar>
              <w:top w:w="40" w:type="dxa"/>
              <w:left w:w="80" w:type="dxa"/>
              <w:bottom w:w="40" w:type="dxa"/>
              <w:right w:w="80" w:type="dxa"/>
            </w:tcMar>
          </w:tcPr>
          <w:p w14:paraId="6388E2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0C2687" w:rsidRPr="003A4922">
              <w:rPr>
                <w:rFonts w:ascii="Arial" w:hAnsi="Arial"/>
                <w:color w:val="000000" w:themeColor="text1"/>
                <w:sz w:val="16"/>
                <w:szCs w:val="24"/>
              </w:rPr>
              <w:t>G</w:t>
            </w:r>
            <w:r w:rsidRPr="003A4922">
              <w:rPr>
                <w:rFonts w:ascii="Arial" w:hAnsi="Arial"/>
                <w:color w:val="000000" w:themeColor="text1"/>
                <w:sz w:val="16"/>
                <w:szCs w:val="24"/>
              </w:rPr>
              <w:t>overnance frameworks, empirical privacy/security studies. Excl.: general (non-agricultural) cybersecurity</w:t>
            </w:r>
          </w:p>
        </w:tc>
        <w:tc>
          <w:tcPr>
            <w:tcW w:w="1100" w:type="dxa"/>
            <w:tcMar>
              <w:top w:w="40" w:type="dxa"/>
              <w:left w:w="80" w:type="dxa"/>
              <w:bottom w:w="40" w:type="dxa"/>
              <w:right w:w="80" w:type="dxa"/>
            </w:tcMar>
          </w:tcPr>
          <w:p w14:paraId="155B4B1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Moderate–High</w:t>
            </w:r>
          </w:p>
        </w:tc>
      </w:tr>
      <w:tr w:rsidR="001207A1" w:rsidRPr="003A4922" w14:paraId="196DB4B9" w14:textId="77777777" w:rsidTr="003B245C">
        <w:tc>
          <w:tcPr>
            <w:tcW w:w="1284" w:type="dxa"/>
            <w:tcMar>
              <w:top w:w="40" w:type="dxa"/>
              <w:left w:w="80" w:type="dxa"/>
              <w:bottom w:w="40" w:type="dxa"/>
              <w:right w:w="80" w:type="dxa"/>
            </w:tcMar>
          </w:tcPr>
          <w:p w14:paraId="5E9619E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1878" w:type="dxa"/>
            <w:tcMar>
              <w:top w:w="40" w:type="dxa"/>
              <w:left w:w="80" w:type="dxa"/>
              <w:bottom w:w="40" w:type="dxa"/>
              <w:right w:w="80" w:type="dxa"/>
            </w:tcMar>
          </w:tcPr>
          <w:p w14:paraId="3F6CD9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Frontiers, PMC, IIETA, Harvard ALI</w:t>
            </w:r>
          </w:p>
        </w:tc>
        <w:tc>
          <w:tcPr>
            <w:tcW w:w="4446" w:type="dxa"/>
            <w:tcMar>
              <w:top w:w="40" w:type="dxa"/>
              <w:left w:w="80" w:type="dxa"/>
              <w:bottom w:w="40" w:type="dxa"/>
              <w:right w:w="80" w:type="dxa"/>
            </w:tcMar>
          </w:tcPr>
          <w:p w14:paraId="4DCEFC7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divide" OR adoption) AND (smallholder OR farmer) AND (Africa OR "developing countr</w:t>
            </w:r>
            <w:r w:rsidR="008116D3" w:rsidRPr="003A4922">
              <w:rPr>
                <w:rFonts w:ascii="Arial" w:hAnsi="Arial"/>
                <w:color w:val="000000" w:themeColor="text1"/>
                <w:sz w:val="16"/>
                <w:szCs w:val="24"/>
              </w:rPr>
              <w:t>y</w:t>
            </w:r>
            <w:r w:rsidRPr="003A4922">
              <w:rPr>
                <w:rFonts w:ascii="Arial" w:hAnsi="Arial"/>
                <w:color w:val="000000" w:themeColor="text1"/>
                <w:sz w:val="16"/>
                <w:szCs w:val="24"/>
              </w:rPr>
              <w:t>" OR LMIC)</w:t>
            </w:r>
          </w:p>
        </w:tc>
        <w:tc>
          <w:tcPr>
            <w:tcW w:w="4977" w:type="dxa"/>
            <w:tcMar>
              <w:top w:w="40" w:type="dxa"/>
              <w:left w:w="80" w:type="dxa"/>
              <w:bottom w:w="40" w:type="dxa"/>
              <w:right w:w="80" w:type="dxa"/>
            </w:tcMar>
          </w:tcPr>
          <w:p w14:paraId="18B95F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w:t>
            </w:r>
            <w:r w:rsidR="000C2687" w:rsidRPr="003A4922">
              <w:rPr>
                <w:rFonts w:ascii="Arial" w:hAnsi="Arial"/>
                <w:color w:val="000000" w:themeColor="text1"/>
                <w:sz w:val="16"/>
                <w:szCs w:val="24"/>
              </w:rPr>
              <w:t>E</w:t>
            </w:r>
            <w:r w:rsidRPr="003A4922">
              <w:rPr>
                <w:rFonts w:ascii="Arial" w:hAnsi="Arial"/>
                <w:color w:val="000000" w:themeColor="text1"/>
                <w:sz w:val="16"/>
                <w:szCs w:val="24"/>
              </w:rPr>
              <w:t>mpirical adoption/barrier studies. Excl.: opinion pieces without empirical basis</w:t>
            </w:r>
          </w:p>
        </w:tc>
        <w:tc>
          <w:tcPr>
            <w:tcW w:w="1100" w:type="dxa"/>
            <w:tcMar>
              <w:top w:w="40" w:type="dxa"/>
              <w:left w:w="80" w:type="dxa"/>
              <w:bottom w:w="40" w:type="dxa"/>
              <w:right w:w="80" w:type="dxa"/>
            </w:tcMar>
          </w:tcPr>
          <w:p w14:paraId="1AA079C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High</w:t>
            </w:r>
          </w:p>
        </w:tc>
      </w:tr>
      <w:tr w:rsidR="001207A1" w:rsidRPr="003A4922" w14:paraId="0D27FC88" w14:textId="77777777" w:rsidTr="003B245C">
        <w:tc>
          <w:tcPr>
            <w:tcW w:w="1284" w:type="dxa"/>
            <w:tcMar>
              <w:top w:w="40" w:type="dxa"/>
              <w:left w:w="80" w:type="dxa"/>
              <w:bottom w:w="40" w:type="dxa"/>
              <w:right w:w="80" w:type="dxa"/>
            </w:tcMar>
          </w:tcPr>
          <w:p w14:paraId="20BACB5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w:t>
            </w:r>
          </w:p>
        </w:tc>
        <w:tc>
          <w:tcPr>
            <w:tcW w:w="1878" w:type="dxa"/>
            <w:tcMar>
              <w:top w:w="40" w:type="dxa"/>
              <w:left w:w="80" w:type="dxa"/>
              <w:bottom w:w="40" w:type="dxa"/>
              <w:right w:w="80" w:type="dxa"/>
            </w:tcMar>
          </w:tcPr>
          <w:p w14:paraId="3918846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MDPI (Resources, Foods), Frontiers, ScienceDirect</w:t>
            </w:r>
          </w:p>
        </w:tc>
        <w:tc>
          <w:tcPr>
            <w:tcW w:w="4446" w:type="dxa"/>
            <w:tcMar>
              <w:top w:w="40" w:type="dxa"/>
              <w:left w:w="80" w:type="dxa"/>
              <w:bottom w:w="40" w:type="dxa"/>
              <w:right w:w="80" w:type="dxa"/>
            </w:tcMar>
          </w:tcPr>
          <w:p w14:paraId="7C9D3B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economy" OR "circular agriculture") AND (waste OR resource) AND (digital OR AI OR IoT)</w:t>
            </w:r>
          </w:p>
        </w:tc>
        <w:tc>
          <w:tcPr>
            <w:tcW w:w="4977" w:type="dxa"/>
            <w:tcMar>
              <w:top w:w="40" w:type="dxa"/>
              <w:left w:w="80" w:type="dxa"/>
              <w:bottom w:w="40" w:type="dxa"/>
              <w:right w:w="80" w:type="dxa"/>
            </w:tcMar>
          </w:tcPr>
          <w:p w14:paraId="36EEC8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Incl.: PRISMA-guided or empirical circular-economy </w:t>
            </w:r>
            <w:proofErr w:type="spellStart"/>
            <w:r w:rsidRPr="003A4922">
              <w:rPr>
                <w:rFonts w:ascii="Arial" w:hAnsi="Arial"/>
                <w:color w:val="000000" w:themeColor="text1"/>
                <w:sz w:val="16"/>
                <w:szCs w:val="24"/>
              </w:rPr>
              <w:t>digitalisation</w:t>
            </w:r>
            <w:proofErr w:type="spellEnd"/>
            <w:r w:rsidRPr="003A4922">
              <w:rPr>
                <w:rFonts w:ascii="Arial" w:hAnsi="Arial"/>
                <w:color w:val="000000" w:themeColor="text1"/>
                <w:sz w:val="16"/>
                <w:szCs w:val="24"/>
              </w:rPr>
              <w:t xml:space="preserve"> studies. Excl.: non-digital circular-economy studies</w:t>
            </w:r>
          </w:p>
        </w:tc>
        <w:tc>
          <w:tcPr>
            <w:tcW w:w="1100" w:type="dxa"/>
            <w:tcMar>
              <w:top w:w="40" w:type="dxa"/>
              <w:left w:w="80" w:type="dxa"/>
              <w:bottom w:w="40" w:type="dxa"/>
              <w:right w:w="80" w:type="dxa"/>
            </w:tcMar>
          </w:tcPr>
          <w:p w14:paraId="01935B7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Low–Moderate (emerging)</w:t>
            </w:r>
          </w:p>
        </w:tc>
      </w:tr>
      <w:tr w:rsidR="001207A1" w:rsidRPr="003A4922" w14:paraId="0002643C" w14:textId="77777777" w:rsidTr="003B245C">
        <w:tc>
          <w:tcPr>
            <w:tcW w:w="1284" w:type="dxa"/>
            <w:tcMar>
              <w:top w:w="40" w:type="dxa"/>
              <w:left w:w="80" w:type="dxa"/>
              <w:bottom w:w="40" w:type="dxa"/>
              <w:right w:w="80" w:type="dxa"/>
            </w:tcMar>
          </w:tcPr>
          <w:p w14:paraId="520FB84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Interoperability standards (ISOBUS/AgGateway/ontologies)</w:t>
            </w:r>
          </w:p>
        </w:tc>
        <w:tc>
          <w:tcPr>
            <w:tcW w:w="1878" w:type="dxa"/>
            <w:tcMar>
              <w:top w:w="40" w:type="dxa"/>
              <w:left w:w="80" w:type="dxa"/>
              <w:bottom w:w="40" w:type="dxa"/>
              <w:right w:w="80" w:type="dxa"/>
            </w:tcMar>
          </w:tcPr>
          <w:p w14:paraId="401CB2E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ISO, AEF/CEMA, </w:t>
            </w:r>
            <w:proofErr w:type="spellStart"/>
            <w:r w:rsidRPr="003A4922">
              <w:rPr>
                <w:rFonts w:ascii="Arial" w:hAnsi="Arial"/>
                <w:color w:val="000000" w:themeColor="text1"/>
                <w:sz w:val="16"/>
                <w:szCs w:val="24"/>
              </w:rPr>
              <w:t>AgGateway</w:t>
            </w:r>
            <w:proofErr w:type="spellEnd"/>
            <w:r w:rsidRPr="003A4922">
              <w:rPr>
                <w:rFonts w:ascii="Arial" w:hAnsi="Arial"/>
                <w:color w:val="000000" w:themeColor="text1"/>
                <w:sz w:val="16"/>
                <w:szCs w:val="24"/>
              </w:rPr>
              <w:t xml:space="preserve">, </w:t>
            </w:r>
            <w:proofErr w:type="spellStart"/>
            <w:r w:rsidRPr="003A4922">
              <w:rPr>
                <w:rFonts w:ascii="Arial" w:hAnsi="Arial"/>
                <w:color w:val="000000" w:themeColor="text1"/>
                <w:sz w:val="16"/>
                <w:szCs w:val="24"/>
              </w:rPr>
              <w:t>ArXiv</w:t>
            </w:r>
            <w:proofErr w:type="spellEnd"/>
            <w:r w:rsidRPr="003A4922">
              <w:rPr>
                <w:rFonts w:ascii="Arial" w:hAnsi="Arial"/>
                <w:color w:val="000000" w:themeColor="text1"/>
                <w:sz w:val="16"/>
                <w:szCs w:val="24"/>
              </w:rPr>
              <w:t>, Springer</w:t>
            </w:r>
          </w:p>
        </w:tc>
        <w:tc>
          <w:tcPr>
            <w:tcW w:w="4446" w:type="dxa"/>
            <w:tcMar>
              <w:top w:w="40" w:type="dxa"/>
              <w:left w:w="80" w:type="dxa"/>
              <w:bottom w:w="40" w:type="dxa"/>
              <w:right w:w="80" w:type="dxa"/>
            </w:tcMar>
          </w:tcPr>
          <w:p w14:paraId="2809025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(ISOBUS OR "ISO 11783" OR AgGateway OR ADAPT OR agroXML) AND (interoperability OR standard)</w:t>
            </w:r>
          </w:p>
        </w:tc>
        <w:tc>
          <w:tcPr>
            <w:tcW w:w="4977" w:type="dxa"/>
            <w:tcMar>
              <w:top w:w="40" w:type="dxa"/>
              <w:left w:w="80" w:type="dxa"/>
              <w:bottom w:w="40" w:type="dxa"/>
              <w:right w:w="80" w:type="dxa"/>
            </w:tcMar>
          </w:tcPr>
          <w:p w14:paraId="7CAABD8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standards-body documentation and peer-reviewed interoperability studies. Excl.: unrelated CAN-bus/automotive-only sources</w:t>
            </w:r>
          </w:p>
        </w:tc>
        <w:tc>
          <w:tcPr>
            <w:tcW w:w="1100" w:type="dxa"/>
            <w:tcMar>
              <w:top w:w="40" w:type="dxa"/>
              <w:left w:w="80" w:type="dxa"/>
              <w:bottom w:w="40" w:type="dxa"/>
              <w:right w:w="80" w:type="dxa"/>
            </w:tcMar>
          </w:tcPr>
          <w:p w14:paraId="3D36F28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Low–Moderate (specialized)</w:t>
            </w:r>
          </w:p>
        </w:tc>
      </w:tr>
      <w:tr w:rsidR="001207A1" w:rsidRPr="003A4922" w14:paraId="29784308" w14:textId="77777777" w:rsidTr="003B245C">
        <w:tc>
          <w:tcPr>
            <w:tcW w:w="1284" w:type="dxa"/>
            <w:tcMar>
              <w:top w:w="40" w:type="dxa"/>
              <w:left w:w="80" w:type="dxa"/>
              <w:bottom w:w="40" w:type="dxa"/>
              <w:right w:w="80" w:type="dxa"/>
            </w:tcMar>
          </w:tcPr>
          <w:p w14:paraId="76CC00B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Edge-AI / decision-support architecture</w:t>
            </w:r>
          </w:p>
        </w:tc>
        <w:tc>
          <w:tcPr>
            <w:tcW w:w="1878" w:type="dxa"/>
            <w:tcMar>
              <w:top w:w="40" w:type="dxa"/>
              <w:left w:w="80" w:type="dxa"/>
              <w:bottom w:w="40" w:type="dxa"/>
              <w:right w:w="80" w:type="dxa"/>
            </w:tcMar>
          </w:tcPr>
          <w:p w14:paraId="0B43C7F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ScienceDirect, PMC, Springer, </w:t>
            </w:r>
            <w:proofErr w:type="spellStart"/>
            <w:r w:rsidRPr="003A4922">
              <w:rPr>
                <w:rFonts w:ascii="Arial" w:hAnsi="Arial"/>
                <w:color w:val="000000" w:themeColor="text1"/>
                <w:sz w:val="16"/>
                <w:szCs w:val="24"/>
              </w:rPr>
              <w:t>arXiv</w:t>
            </w:r>
            <w:proofErr w:type="spellEnd"/>
          </w:p>
        </w:tc>
        <w:tc>
          <w:tcPr>
            <w:tcW w:w="4446" w:type="dxa"/>
            <w:tcMar>
              <w:top w:w="40" w:type="dxa"/>
              <w:left w:w="80" w:type="dxa"/>
              <w:bottom w:w="40" w:type="dxa"/>
              <w:right w:w="80" w:type="dxa"/>
            </w:tcMar>
          </w:tcPr>
          <w:p w14:paraId="425C315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 AI" OR "edge computing") AND (agricultur</w:t>
            </w:r>
            <w:r w:rsidR="008116D3" w:rsidRPr="003A4922">
              <w:rPr>
                <w:rFonts w:ascii="Arial" w:hAnsi="Arial"/>
                <w:color w:val="000000" w:themeColor="text1"/>
                <w:sz w:val="16"/>
                <w:szCs w:val="24"/>
              </w:rPr>
              <w:t>e</w:t>
            </w:r>
            <w:r w:rsidRPr="003A4922">
              <w:rPr>
                <w:rFonts w:ascii="Arial" w:hAnsi="Arial"/>
                <w:color w:val="000000" w:themeColor="text1"/>
                <w:sz w:val="16"/>
                <w:szCs w:val="24"/>
              </w:rPr>
              <w:t xml:space="preserve"> OR farm*) AND (latency OR "decision support")</w:t>
            </w:r>
          </w:p>
        </w:tc>
        <w:tc>
          <w:tcPr>
            <w:tcW w:w="4977" w:type="dxa"/>
            <w:tcMar>
              <w:top w:w="40" w:type="dxa"/>
              <w:left w:w="80" w:type="dxa"/>
              <w:bottom w:w="40" w:type="dxa"/>
              <w:right w:w="80" w:type="dxa"/>
            </w:tcMar>
          </w:tcPr>
          <w:p w14:paraId="65DEB1A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Incl.: peer-reviewed edge-AI agriculture reviews 2023–2026. Excl.: non-agricultural edge-computing studies</w:t>
            </w:r>
          </w:p>
        </w:tc>
        <w:tc>
          <w:tcPr>
            <w:tcW w:w="1100" w:type="dxa"/>
            <w:tcMar>
              <w:top w:w="40" w:type="dxa"/>
              <w:left w:w="80" w:type="dxa"/>
              <w:bottom w:w="40" w:type="dxa"/>
              <w:right w:w="80" w:type="dxa"/>
            </w:tcMar>
          </w:tcPr>
          <w:p w14:paraId="2B52FB1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Moderate (rapidly growing)</w:t>
            </w:r>
          </w:p>
        </w:tc>
      </w:tr>
    </w:tbl>
    <w:p w14:paraId="05B045ED" w14:textId="77777777" w:rsidR="00D67B6C" w:rsidRPr="003A4922" w:rsidRDefault="00D67B6C">
      <w:pPr>
        <w:sectPr w:rsidR="00D67B6C" w:rsidRPr="003A4922" w:rsidSect="00944DF7">
          <w:headerReference w:type="even" r:id="rId14"/>
          <w:headerReference w:type="default" r:id="rId15"/>
          <w:footerReference w:type="default" r:id="rId16"/>
          <w:headerReference w:type="first" r:id="rId17"/>
          <w:type w:val="continuous"/>
          <w:pgSz w:w="15840" w:h="12240" w:orient="landscape"/>
          <w:pgMar w:top="864" w:right="1080" w:bottom="864" w:left="1080" w:header="432" w:footer="432" w:gutter="0"/>
          <w:cols w:space="720"/>
          <w:docGrid w:linePitch="360"/>
        </w:sectPr>
      </w:pPr>
    </w:p>
    <w:p w14:paraId="56775B87"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lastRenderedPageBreak/>
        <w:t>2.4 Eligibility Criteria</w:t>
      </w:r>
    </w:p>
    <w:p w14:paraId="3BFF405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Eligible sources were English-language peer-reviewed journal articles, systematic or bibliometric reviews, standards-body documentation (e.g., ISO, GHG Protocol, CSRD/ESRS), and clearly identified industry or market-analysis sources used only for background context, directly relevant to agricultural big data, AI-enabled analytics, farm management information systems, agribusiness supply-chain and sustainability analytics, interoperability standards, or agricultural data governance. Studies were excluded when they described an algorithm or sensing method with no credible agribusiness decision-use pathway, addressed non-agricultural sectors without transferable relevance, or relied on unverifiable metadata. Industry and market-research sources were used only to </w:t>
      </w:r>
      <w:r w:rsidRPr="003A4922">
        <w:rPr>
          <w:rFonts w:ascii="Arial" w:hAnsi="Arial"/>
          <w:color w:val="000000"/>
          <w:szCs w:val="24"/>
          <w:highlight w:val="yellow"/>
        </w:rPr>
        <w:t>characterise</w:t>
      </w:r>
      <w:r w:rsidRPr="003A4922">
        <w:rPr>
          <w:rFonts w:ascii="Arial" w:hAnsi="Arial"/>
          <w:color w:val="000000"/>
          <w:szCs w:val="24"/>
        </w:rPr>
        <w:t xml:space="preserve"> current platform practice (for example, ESG-reporting tools, data-management market size, or vendor interoperability initiatives) and were not used to support causal or effectiveness claims.</w:t>
      </w:r>
    </w:p>
    <w:p w14:paraId="4A54B5A1" w14:textId="77777777" w:rsidR="008116D3" w:rsidRPr="003A4922" w:rsidRDefault="008116D3" w:rsidP="00965274">
      <w:pPr>
        <w:pStyle w:val="Heading2"/>
        <w:spacing w:before="320" w:after="160"/>
        <w:rPr>
          <w:b/>
          <w:bCs/>
          <w:color w:val="000000" w:themeColor="text1"/>
          <w:sz w:val="24"/>
          <w:szCs w:val="24"/>
        </w:rPr>
      </w:pPr>
    </w:p>
    <w:p w14:paraId="2EC8C1C6"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2.5 Screening and Synthesis Approach</w:t>
      </w:r>
    </w:p>
    <w:p w14:paraId="66BE8C10"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Titles, abstracts, and available metadata were assessed for conceptual and empirical relevance to the ten thematic domains defined in Section 1.1. Sources with incomplete or unverifiable bibliographic details were retained only where the relevant finding could be corroborated through an authoritative record. This review reports the qualitative search matrix in Table 1 rather than a numerically exact PRISMA flow count, consistent with the paper's purpose as a critical narrative synthesis conducted without full-text bibliographic-database access; presenting fabricated precise record counts would misrepresent the review's actual methodological basis. Themes were </w:t>
      </w:r>
      <w:r w:rsidRPr="003A4922">
        <w:rPr>
          <w:rFonts w:ascii="Arial" w:hAnsi="Arial"/>
          <w:color w:val="000000"/>
          <w:szCs w:val="24"/>
          <w:highlight w:val="yellow"/>
        </w:rPr>
        <w:t>organised</w:t>
      </w:r>
      <w:r w:rsidRPr="003A4922">
        <w:rPr>
          <w:rFonts w:ascii="Arial" w:hAnsi="Arial"/>
          <w:color w:val="000000"/>
          <w:szCs w:val="24"/>
        </w:rPr>
        <w:t xml:space="preserve"> around the data-to-outcomes pathway described in Section 3, and apparent disagreements across sources were interpreted in relation to differences in geography, farm scale, infrastructure maturity, and business model rather than treated as unresolved contradictions.</w:t>
      </w:r>
    </w:p>
    <w:p w14:paraId="3710386D" w14:textId="77777777" w:rsidR="00DB769D" w:rsidRPr="003A4922" w:rsidRDefault="00B32603" w:rsidP="00965274">
      <w:pPr>
        <w:pStyle w:val="Heading2"/>
        <w:spacing w:before="320" w:after="160"/>
        <w:rPr>
          <w:color w:val="000000" w:themeColor="text1"/>
          <w:sz w:val="24"/>
          <w:szCs w:val="24"/>
        </w:rPr>
      </w:pPr>
      <w:r w:rsidRPr="003A4922">
        <w:rPr>
          <w:rFonts w:ascii="Arial" w:hAnsi="Arial"/>
          <w:b/>
          <w:bCs/>
          <w:color w:val="000000"/>
          <w:sz w:val="22"/>
          <w:szCs w:val="24"/>
        </w:rPr>
        <w:t>2.6 Critical Appraisal</w:t>
      </w:r>
    </w:p>
    <w:p w14:paraId="045175A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Evidence was appraised according to source authority (peer-reviewed journal versus industry commentary versus standards-body documentation), recency, methodological transparency, and relevance to agribusiness decision-making rather than to agronomic performance alone. Bibliometric and systematic reviews were given greater weight for claims about the state and direction of the field; individual empirical studies and case analyses were weighted for claims about specific mechanisms, barriers, or outcomes; standards documentation (ISO, AgGateway, GHG Protocol) was treated as authoritative for describing the specification itself but not for claims about adoption or effectiveness. Industry and market sources were used descriptively and are flagged as such in-text; they were not treated as equivalent in evidentiary weight to peer-reviewed research. A small number of sources cited descriptively in Tables 1 through 4 (flagged there by outlet name, e.g., a named systematic review hosted on a given platform) were identified through live web search rather than direct database retrieval, and their full individual authorship could not be independently confirmed within the scope of this search protocol; the author(s) should verify complete bibliographic metadata for these entries against the publisher's version of record before submission.</w:t>
      </w:r>
    </w:p>
    <w:p w14:paraId="441C640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3. Conceptual Framework: From Data to Sustainable Agribusiness Outcomes</w:t>
      </w:r>
    </w:p>
    <w:p w14:paraId="10358BB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This review </w:t>
      </w:r>
      <w:r w:rsidRPr="003A4922">
        <w:rPr>
          <w:rFonts w:ascii="Arial" w:hAnsi="Arial"/>
          <w:color w:val="000000"/>
          <w:szCs w:val="24"/>
          <w:highlight w:val="yellow"/>
        </w:rPr>
        <w:t>organises</w:t>
      </w:r>
      <w:r w:rsidRPr="003A4922">
        <w:rPr>
          <w:rFonts w:ascii="Arial" w:hAnsi="Arial"/>
          <w:color w:val="000000"/>
          <w:szCs w:val="24"/>
        </w:rPr>
        <w:t xml:space="preserve"> its synthesis around the pathway </w:t>
      </w:r>
      <w:r w:rsidRPr="003A4922">
        <w:rPr>
          <w:rFonts w:ascii="Arial" w:hAnsi="Arial"/>
          <w:color w:val="000000"/>
          <w:szCs w:val="24"/>
          <w:highlight w:val="yellow"/>
        </w:rPr>
        <w:t>summarised</w:t>
      </w:r>
      <w:r w:rsidRPr="003A4922">
        <w:rPr>
          <w:rFonts w:ascii="Arial" w:hAnsi="Arial"/>
          <w:color w:val="000000"/>
          <w:szCs w:val="24"/>
        </w:rPr>
        <w:t xml:space="preserve"> in Figure 1: </w:t>
      </w:r>
      <w:r w:rsidRPr="003A4922">
        <w:rPr>
          <w:rFonts w:ascii="Arial" w:hAnsi="Arial"/>
          <w:color w:val="000000"/>
          <w:szCs w:val="24"/>
          <w:highlight w:val="yellow"/>
        </w:rPr>
        <w:t>data are collected from heterogeneous sources</w:t>
      </w:r>
      <w:r w:rsidRPr="003A4922">
        <w:rPr>
          <w:rFonts w:ascii="Arial" w:hAnsi="Arial"/>
          <w:color w:val="000000"/>
          <w:szCs w:val="24"/>
        </w:rPr>
        <w:t xml:space="preserve">; </w:t>
      </w:r>
      <w:r w:rsidRPr="003A4922">
        <w:rPr>
          <w:rFonts w:ascii="Arial" w:hAnsi="Arial"/>
          <w:color w:val="000000"/>
          <w:szCs w:val="24"/>
          <w:highlight w:val="yellow"/>
        </w:rPr>
        <w:t>analytics render those data legible</w:t>
      </w:r>
      <w:r w:rsidRPr="003A4922">
        <w:rPr>
          <w:rFonts w:ascii="Arial" w:hAnsi="Arial"/>
          <w:color w:val="000000"/>
          <w:szCs w:val="24"/>
        </w:rPr>
        <w:t xml:space="preserve"> through descriptive and predictive methods; artificial intelligence extends analytics toward classification, prediction, and prescription; information systems, principally FMIS and DSS, </w:t>
      </w:r>
      <w:r w:rsidRPr="003A4922">
        <w:rPr>
          <w:rFonts w:ascii="Arial" w:hAnsi="Arial"/>
          <w:color w:val="000000"/>
          <w:szCs w:val="24"/>
          <w:highlight w:val="yellow"/>
        </w:rPr>
        <w:t>operationalise</w:t>
      </w:r>
      <w:r w:rsidRPr="003A4922">
        <w:rPr>
          <w:rFonts w:ascii="Arial" w:hAnsi="Arial"/>
          <w:color w:val="000000"/>
          <w:szCs w:val="24"/>
        </w:rPr>
        <w:t xml:space="preserve"> AI outputs by embedding them in the workflows of farm and agribusiness managers; decisions follow from that embedded intelligence; and sustainable agribusiness outcomes, productivity, resource efficiency, resilience, and ESG performance, </w:t>
      </w:r>
      <w:r w:rsidRPr="003A4922">
        <w:rPr>
          <w:rFonts w:ascii="Arial" w:hAnsi="Arial"/>
          <w:color w:val="000000"/>
          <w:szCs w:val="24"/>
          <w:highlight w:val="yellow"/>
        </w:rPr>
        <w:t>are the downstream consequences.</w:t>
      </w:r>
      <w:r w:rsidRPr="003A4922">
        <w:rPr>
          <w:rFonts w:ascii="Arial" w:hAnsi="Arial"/>
          <w:color w:val="000000"/>
          <w:szCs w:val="24"/>
        </w:rPr>
        <w:t xml:space="preserve"> Crucially, the pathway is not linear in practice: outcomes generate </w:t>
      </w:r>
      <w:r w:rsidRPr="003A4922">
        <w:rPr>
          <w:rFonts w:ascii="Arial" w:hAnsi="Arial"/>
          <w:color w:val="000000"/>
          <w:szCs w:val="24"/>
          <w:highlight w:val="yellow"/>
        </w:rPr>
        <w:t>new data, which recursively refine analytics and AI models</w:t>
      </w:r>
      <w:r w:rsidRPr="003A4922">
        <w:rPr>
          <w:rFonts w:ascii="Arial" w:hAnsi="Arial"/>
          <w:color w:val="000000"/>
          <w:szCs w:val="24"/>
        </w:rPr>
        <w:t>, producing a continuous feedback loop rather than a one-off technology deployment.</w:t>
      </w:r>
    </w:p>
    <w:p w14:paraId="713E20B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framing departs from precision-agriculture scholarship in an important respect. Where precision agriculture typically asks whether a given technology improves a technical outcome (yield, water-use efficiency, pesticide reduction), the agribusiness-intelligence framing asks whether that technology's output can be integrated into a decision architecture that a human manager, or an automated system acting on a manager's behalf, will use. The distinction matters because the literature increasingly documents cases in which technically sophisticated tools, accurate disease classifiers, and high-resolution yield maps sit unused. After all, they cannot be reconciled with an FMIS, an enterprise resource planning system, or a compliance-reporting pipeline (Papadopoulos </w:t>
      </w:r>
      <w:r w:rsidRPr="003A4922">
        <w:rPr>
          <w:rFonts w:ascii="Arial" w:hAnsi="Arial"/>
          <w:i/>
          <w:iCs/>
          <w:color w:val="000000"/>
          <w:szCs w:val="24"/>
        </w:rPr>
        <w:t>et al</w:t>
      </w:r>
      <w:r w:rsidRPr="003A4922">
        <w:rPr>
          <w:rFonts w:ascii="Arial" w:hAnsi="Arial"/>
          <w:color w:val="000000"/>
          <w:szCs w:val="24"/>
        </w:rPr>
        <w:t>., 2024).</w:t>
      </w:r>
    </w:p>
    <w:p w14:paraId="777A8EAE" w14:textId="77777777" w:rsidR="00DB769D" w:rsidRPr="003A4922" w:rsidRDefault="001207A1" w:rsidP="00965274">
      <w:pPr>
        <w:spacing w:before="200"/>
        <w:jc w:val="center"/>
        <w:rPr>
          <w:color w:val="000000" w:themeColor="text1"/>
          <w:sz w:val="24"/>
          <w:szCs w:val="24"/>
        </w:rPr>
      </w:pPr>
      <w:r w:rsidRPr="003A4922">
        <w:rPr>
          <w:color w:val="000000" w:themeColor="text1"/>
          <w:sz w:val="24"/>
          <w:szCs w:val="24"/>
        </w:rPr>
        <w:fldChar w:fldCharType="begin"/>
      </w:r>
      <w:r w:rsidRPr="003A4922">
        <w:rPr>
          <w:color w:val="000000" w:themeColor="text1"/>
          <w:sz w:val="24"/>
          <w:szCs w:val="24"/>
        </w:rPr>
        <w:instrText xml:space="preserve"> INCLUDEPICTURE "https://figurelabs-images-us-east-1.s3.us-east-1.amazonaws.com/com/bioford/plot/img/50d196a6-b02a-431b-8f19-e9beea5963db.png?response-content-disposition=inline&amp;preview=true&amp;X-Amz-Algorithm=AWS4-HMAC-SHA256&amp;X-Amz-Date=20260810T222820Z&amp;X-Amz-SignedHeaders=host&amp;X-Amz-Expires=604800&amp;X-Amz-Credential=AKIA34AMDG56T2NLSZ7W%2F20260810%2Fus-east-1%2Fs3%2Faws4_request&amp;X-Amz-Signature=ccf5b428eae2fd40bef400b4d40b14c219713206f35423489c8db3af8898a874"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5D8DB265" wp14:editId="2001AD6D">
            <wp:extent cx="5942959" cy="2718692"/>
            <wp:effectExtent l="0" t="0" r="1270" b="0"/>
            <wp:docPr id="438659088" name="Picture 2"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nerated figure"/>
                    <pic:cNvPicPr>
                      <a:picLocks noChangeAspect="1" noChangeArrowheads="1"/>
                    </pic:cNvPicPr>
                  </pic:nvPicPr>
                  <pic:blipFill rotWithShape="1">
                    <a:blip r:embed="rId18">
                      <a:extLst>
                        <a:ext uri="{28A0092B-C50C-407E-A947-70E740481C1C}">
                          <a14:useLocalDpi xmlns:a14="http://schemas.microsoft.com/office/drawing/2010/main" val="0"/>
                        </a:ext>
                      </a:extLst>
                    </a:blip>
                    <a:srcRect t="10619" b="7399"/>
                    <a:stretch>
                      <a:fillRect/>
                    </a:stretch>
                  </pic:blipFill>
                  <pic:spPr bwMode="auto">
                    <a:xfrm>
                      <a:off x="0" y="0"/>
                      <a:ext cx="5943600" cy="2718985"/>
                    </a:xfrm>
                    <a:prstGeom prst="rect">
                      <a:avLst/>
                    </a:prstGeom>
                    <a:noFill/>
                    <a:ln>
                      <a:noFill/>
                    </a:ln>
                    <a:extLst>
                      <a:ext uri="{53640926-AAD7-44D8-BBD7-CCE9431645EC}">
                        <a14:shadowObscured xmlns:a14="http://schemas.microsoft.com/office/drawing/2010/main"/>
                      </a:ext>
                    </a:extLst>
                  </pic:spPr>
                </pic:pic>
              </a:graphicData>
            </a:graphic>
          </wp:inline>
        </w:drawing>
      </w:r>
      <w:r w:rsidRPr="003A4922">
        <w:rPr>
          <w:color w:val="000000" w:themeColor="text1"/>
          <w:sz w:val="24"/>
          <w:szCs w:val="24"/>
        </w:rPr>
        <w:fldChar w:fldCharType="end"/>
      </w:r>
    </w:p>
    <w:p w14:paraId="33C0A704" w14:textId="77777777" w:rsidR="00DB769D" w:rsidRPr="003A4922" w:rsidRDefault="00B32603" w:rsidP="00965274">
      <w:pPr>
        <w:spacing w:before="120" w:after="300"/>
        <w:rPr>
          <w:color w:val="000000" w:themeColor="text1"/>
          <w:sz w:val="24"/>
          <w:szCs w:val="24"/>
        </w:rPr>
      </w:pPr>
      <w:r w:rsidRPr="003A4922">
        <w:rPr>
          <w:rFonts w:ascii="Arial" w:hAnsi="Arial"/>
          <w:b/>
          <w:color w:val="000000"/>
          <w:szCs w:val="24"/>
        </w:rPr>
        <w:t>Fig. 1. The data-to-outcomes pathway: an integrated agribusiness intelligence framework.</w:t>
      </w:r>
    </w:p>
    <w:p w14:paraId="00D41D66"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4. Agricultural Big-Data Collection and Integration Architecture</w:t>
      </w:r>
    </w:p>
    <w:p w14:paraId="6478767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The raw material of the framework is agricultural big data: heterogeneous, high-volume, high-velocity information generated by IoT sensors, unmanned aerial vehicles, satellite platforms, weather stations, machinery telematics, and farm-level administrative records. Contemporary agricultural big-data analytics (BDA) tools and techniques span data mining, machine learning, natural-language processing, cloud computing, and cyber-physical systems, among others, and are used to generate insights that support crop selection, planting and harvest timing, risk management, transportation, and resource use (Rejeb et al., 2021</w:t>
      </w:r>
      <w:r w:rsidRPr="003A4922">
        <w:rPr>
          <w:rFonts w:ascii="Arial" w:hAnsi="Arial"/>
          <w:i/>
          <w:iCs/>
          <w:color w:val="000000"/>
          <w:szCs w:val="24"/>
        </w:rPr>
      </w:r>
      <w:r w:rsidRPr="003A4922">
        <w:rPr>
          <w:rFonts w:ascii="Arial" w:hAnsi="Arial"/>
          <w:color w:val="000000"/>
          <w:szCs w:val="24"/>
          <w:highlight w:val="yellow"/>
        </w:rPr>
        <w:t xml:space="preserve">; Ahmed &amp; </w:t>
      </w:r>
      <w:r w:rsidRPr="003A4922">
        <w:rPr>
          <w:rFonts w:ascii="Arial" w:hAnsi="Arial"/>
          <w:color w:val="000000"/>
          <w:szCs w:val="24"/>
          <w:highlight w:val="yellow"/>
        </w:rPr>
        <w:lastRenderedPageBreak/>
        <w:t xml:space="preserve">Shakoor, 2025). Bibliometric </w:t>
      </w:r>
      <w:r w:rsidRPr="003A4922">
        <w:rPr>
          <w:rFonts w:ascii="Arial" w:hAnsi="Arial"/>
          <w:color w:val="000000"/>
          <w:szCs w:val="24"/>
        </w:rPr>
        <w:t xml:space="preserve">analysis of the field shows a sustained increase in research output on machine learning and big-data applications in agriculture, with keyword clusters converging on big-data analytics, IoT, and remote sensing as the dominant technical vocabulary of the domain (Cravero </w:t>
      </w:r>
      <w:r w:rsidRPr="003A4922">
        <w:rPr>
          <w:rFonts w:ascii="Arial" w:hAnsi="Arial"/>
          <w:i/>
          <w:iCs/>
          <w:color w:val="000000"/>
          <w:szCs w:val="24"/>
        </w:rPr>
        <w:t>et al</w:t>
      </w:r>
      <w:r w:rsidRPr="003A4922">
        <w:rPr>
          <w:rFonts w:ascii="Arial" w:hAnsi="Arial"/>
          <w:color w:val="000000"/>
          <w:szCs w:val="24"/>
        </w:rPr>
        <w:t>., 2026), a trend consistent with earlier bibliometric mapping of machine-learning applications specifically within precision agriculture (Coulibaly et al., 2022</w:t>
      </w:r>
      <w:r w:rsidRPr="003A4922">
        <w:rPr>
          <w:rFonts w:ascii="Arial" w:hAnsi="Arial"/>
          <w:i/>
          <w:iCs/>
          <w:color w:val="000000"/>
          <w:szCs w:val="24"/>
        </w:rPr>
      </w:r>
      <w:r w:rsidRPr="003A4922">
        <w:rPr>
          <w:rFonts w:ascii="Arial" w:hAnsi="Arial"/>
          <w:color w:val="000000"/>
          <w:szCs w:val="24"/>
          <w:highlight w:val="yellow"/>
        </w:rPr>
        <w:t>; Paudel et al., 2025).</w:t>
      </w:r>
    </w:p>
    <w:p w14:paraId="7C65BE1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What distinguishes agribusiness-relevant big-data scholarship from purely technical precision-agriculture work is its attention to integration. Reviews of smart-farming bibliometrics note that sensor networks, satellite imagery, and analytics empower farmers to </w:t>
      </w:r>
      <w:r w:rsidRPr="003A4922">
        <w:rPr>
          <w:rFonts w:ascii="Arial" w:hAnsi="Arial"/>
          <w:color w:val="000000"/>
          <w:szCs w:val="24"/>
          <w:highlight w:val="yellow"/>
        </w:rPr>
        <w:t>optimise</w:t>
      </w:r>
      <w:r w:rsidRPr="003A4922">
        <w:rPr>
          <w:rFonts w:ascii="Arial" w:hAnsi="Arial"/>
          <w:color w:val="000000"/>
          <w:szCs w:val="24"/>
        </w:rPr>
        <w:t xml:space="preserve"> crop management and resource allocation only to the extent that these data streams feed into decision-support infrastructure, rather than remaining siloed within a single vendor's application (Abbasi </w:t>
      </w:r>
      <w:r w:rsidRPr="003A4922">
        <w:rPr>
          <w:rFonts w:ascii="Arial" w:hAnsi="Arial"/>
          <w:i/>
          <w:iCs/>
          <w:color w:val="000000"/>
          <w:szCs w:val="24"/>
        </w:rPr>
        <w:t>et al</w:t>
      </w:r>
      <w:r w:rsidRPr="003A4922">
        <w:rPr>
          <w:rFonts w:ascii="Arial" w:hAnsi="Arial"/>
          <w:color w:val="000000"/>
          <w:szCs w:val="24"/>
        </w:rPr>
        <w:t xml:space="preserve">., 2022). Emerging documentation practices, such as model cards and dataset datasheets that record the assumptions, limitations, and intended uses of a given model or dataset, are increasingly proposed as a governance mechanism for building the trust required for cross-platform integration (Cravero </w:t>
      </w:r>
      <w:r w:rsidRPr="003A4922">
        <w:rPr>
          <w:rFonts w:ascii="Arial" w:hAnsi="Arial"/>
          <w:i/>
          <w:iCs/>
          <w:color w:val="000000"/>
          <w:szCs w:val="24"/>
        </w:rPr>
        <w:t>et al</w:t>
      </w:r>
      <w:r w:rsidRPr="003A4922">
        <w:rPr>
          <w:rFonts w:ascii="Arial" w:hAnsi="Arial"/>
          <w:color w:val="000000"/>
          <w:szCs w:val="24"/>
        </w:rPr>
        <w:t>., 2026).</w:t>
      </w:r>
    </w:p>
    <w:p w14:paraId="6639B418" w14:textId="77777777" w:rsidR="00DB769D" w:rsidRPr="003A4922" w:rsidRDefault="00B32603" w:rsidP="00965274">
      <w:pPr>
        <w:pStyle w:val="Heading2"/>
        <w:spacing w:before="320"/>
        <w:rPr>
          <w:color w:val="000000" w:themeColor="text1"/>
          <w:sz w:val="24"/>
          <w:szCs w:val="24"/>
        </w:rPr>
      </w:pPr>
      <w:r w:rsidRPr="003A4922">
        <w:rPr>
          <w:rFonts w:ascii="Arial" w:hAnsi="Arial"/>
          <w:b/>
          <w:bCs/>
          <w:color w:val="000000"/>
          <w:sz w:val="22"/>
          <w:szCs w:val="24"/>
        </w:rPr>
        <w:t>4.1 Interoperability Standards: The Technical Substrate of Integration</w:t>
      </w:r>
    </w:p>
    <w:p w14:paraId="4EBEEAC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Integration claims made at the conceptual level in Section 3 rest, at the technical level, on a specific and still-incomplete stack of interoperability standards. The most mature of these is ISO 11783, commonly known as ISOBUS, an international standard that defines a serial control and communications data network allowing tractors and implements from different manufacturers to exchange task, diagnostic, and telemetry data over a common CAN-bus-derived protocol (International Organization for Standardization, 2017). ISOBUS has become the de facto standard governing machine-to-machine interoperability in </w:t>
      </w:r>
      <w:r w:rsidRPr="003A4922">
        <w:rPr>
          <w:rFonts w:ascii="Arial" w:hAnsi="Arial"/>
          <w:color w:val="000000"/>
          <w:szCs w:val="24"/>
          <w:highlight w:val="yellow"/>
        </w:rPr>
        <w:t>mechanised</w:t>
      </w:r>
      <w:r w:rsidRPr="003A4922">
        <w:rPr>
          <w:rFonts w:ascii="Arial" w:hAnsi="Arial"/>
          <w:color w:val="000000"/>
          <w:szCs w:val="24"/>
        </w:rPr>
        <w:t xml:space="preserve"> agriculture, developed and maintained collaboratively by equipment manufacturers through the Agricultural Industry Electronics Foundation (AEF) and represented industrially through CEMA (CEMA, 2017). Because ISOBUS was designed primarily for machine-to-machine and machine-to-terminal communication rather than for farm-to-enterprise data exchange, a second layer of standards has emerged to connect machinery-level data to FMIS, agronomic databases, and enterprise systems.</w:t>
      </w:r>
    </w:p>
    <w:p w14:paraId="0D421AB5" w14:textId="77777777" w:rsidR="00DB769D" w:rsidRPr="003A4922" w:rsidRDefault="00B32603" w:rsidP="00965274">
      <w:pPr>
        <w:spacing w:after="200"/>
        <w:jc w:val="both"/>
        <w:rPr>
          <w:color w:val="000000" w:themeColor="text1"/>
          <w:sz w:val="24"/>
          <w:szCs w:val="24"/>
        </w:rPr>
      </w:pPr>
      <w:proofErr w:type="spellStart"/>
      <w:r w:rsidRPr="003A4922">
        <w:rPr>
          <w:rFonts w:ascii="Arial" w:hAnsi="Arial"/>
          <w:color w:val="000000"/>
          <w:szCs w:val="24"/>
        </w:rPr>
        <w:t>AgGateway's</w:t>
      </w:r>
      <w:proofErr w:type="spellEnd"/>
      <w:r w:rsidRPr="003A4922">
        <w:rPr>
          <w:rFonts w:ascii="Arial" w:hAnsi="Arial"/>
          <w:color w:val="000000"/>
          <w:szCs w:val="24"/>
        </w:rPr>
        <w:t xml:space="preserve"> Agricultural Data Application Programming Toolkit (ADAPT) is the leading initiative at this second layer: a vendor-neutral software framework and set of open-source connectors that translate between proprietary FMIS, machinery, and agronomic data formats, reducing the combinatorial burden of building bilateral integrations between every pair of platforms in an agribusiness's technology stack (Grassi, 2014). ADAPT and related AgGateway projects (SPADE, WAVE, CART) extend ISOBUS-derived task and operations data into broader field-operations documentation, spanning seeding, </w:t>
      </w:r>
      <w:r w:rsidRPr="003A4922">
        <w:rPr>
          <w:rFonts w:ascii="Arial" w:hAnsi="Arial"/>
          <w:color w:val="000000"/>
          <w:szCs w:val="24"/>
          <w:highlight w:val="yellow"/>
        </w:rPr>
        <w:t>fertilisation</w:t>
      </w:r>
      <w:r w:rsidRPr="003A4922">
        <w:rPr>
          <w:rFonts w:ascii="Arial" w:hAnsi="Arial"/>
          <w:color w:val="000000"/>
          <w:szCs w:val="24"/>
        </w:rPr>
        <w:t xml:space="preserve">, spraying, and harvest records. At the semantic layer, XML/RDF-based schemas such as agroXML and its RDF variant AgroRDF provide vocabularies for representing farm operations, crop treatments, and observed field properties in a machine-interpretable form suitable for decision support, while remaining one of </w:t>
      </w:r>
      <w:r w:rsidR="009A61A1" w:rsidRPr="003A4922">
        <w:rPr>
          <w:rFonts w:ascii="Arial" w:hAnsi="Arial"/>
          <w:color w:val="000000"/>
          <w:szCs w:val="24"/>
        </w:rPr>
        <w:t xml:space="preserve">the </w:t>
      </w:r>
      <w:r w:rsidRPr="003A4922">
        <w:rPr>
          <w:rFonts w:ascii="Arial" w:hAnsi="Arial"/>
          <w:color w:val="000000"/>
          <w:szCs w:val="24"/>
        </w:rPr>
        <w:t>relatively few published, non-proprietary semantic standards for describing farm work end to end.</w:t>
      </w:r>
    </w:p>
    <w:p w14:paraId="3C0744A1" w14:textId="77777777" w:rsidR="00DB769D" w:rsidRPr="003A4922" w:rsidRDefault="009A61A1" w:rsidP="00965274">
      <w:pPr>
        <w:spacing w:after="200"/>
        <w:jc w:val="both"/>
        <w:rPr>
          <w:color w:val="000000" w:themeColor="text1"/>
          <w:sz w:val="24"/>
          <w:szCs w:val="24"/>
        </w:rPr>
      </w:pPr>
      <w:r w:rsidRPr="003A4922">
        <w:rPr>
          <w:rFonts w:ascii="Arial" w:hAnsi="Arial"/>
          <w:color w:val="000000"/>
          <w:szCs w:val="24"/>
        </w:rPr>
        <w:t xml:space="preserve">Beyond agriculture-specific standards, agribusiness information systems increasingly rely on general-purpose web-data conventions to achieve interoperability at the application layer: JSON-LD (JavaScript Object Notation for Linked Data) enables agronomic and sustainability data to carry embedded semantic context that both humans and machines can interpret consistently across platforms, and OpenAPI specifications provide a </w:t>
      </w:r>
      <w:r w:rsidRPr="003A4922">
        <w:rPr>
          <w:rFonts w:ascii="Arial" w:hAnsi="Arial"/>
          <w:color w:val="000000"/>
          <w:szCs w:val="24"/>
          <w:highlight w:val="yellow"/>
        </w:rPr>
        <w:t>standardised</w:t>
      </w:r>
      <w:r w:rsidRPr="003A4922">
        <w:rPr>
          <w:rFonts w:ascii="Arial" w:hAnsi="Arial"/>
          <w:color w:val="000000"/>
          <w:szCs w:val="24"/>
        </w:rPr>
        <w:t xml:space="preserve">, machine-readable description of a system's REST API surface, allowing FMIS vendors, satellite-data providers, and ESG-reporting platforms to auto-generate client integrations rather than negotiate bespoke point-to-point connections. More broadly, RDF ontologies, of which </w:t>
      </w:r>
      <w:r w:rsidRPr="003A4922">
        <w:rPr>
          <w:rFonts w:ascii="Arial" w:hAnsi="Arial"/>
          <w:color w:val="000000"/>
          <w:szCs w:val="24"/>
        </w:rPr>
        <w:lastRenderedPageBreak/>
        <w:t xml:space="preserve">agroXML/AgroRDF are agriculture-specific instances, support cross-domain reasoning (for example, linking a </w:t>
      </w:r>
      <w:r w:rsidRPr="003A4922">
        <w:rPr>
          <w:rFonts w:ascii="Arial" w:hAnsi="Arial"/>
          <w:color w:val="000000"/>
          <w:szCs w:val="24"/>
          <w:highlight w:val="yellow"/>
        </w:rPr>
        <w:t>fertiliser</w:t>
      </w:r>
      <w:r w:rsidRPr="003A4922">
        <w:rPr>
          <w:rFonts w:ascii="Arial" w:hAnsi="Arial"/>
          <w:color w:val="000000"/>
          <w:szCs w:val="24"/>
        </w:rPr>
        <w:t xml:space="preserve">-application record to both a yield outcome and a Scope 3 emissions category) that a purely relational FMIS database cannot easily express. The practical significance of this layered stack, from machine-level (ISOBUS) to application-level (ADAPT, OpenAPI) to semantic-level (JSON-LD, agroXML/RDF), is that interoperability is not a single problem but a set of distinct technical problems at different layers of the system, each with its own maturity level and adoption trajectory; the barrier taxonomy in Section 12 reflects this layered structure. Having established the technical substrate through which data moves between systems, the next question is </w:t>
      </w:r>
      <w:r w:rsidRPr="003A4922">
        <w:rPr>
          <w:rFonts w:ascii="Arial" w:hAnsi="Arial"/>
          <w:color w:val="000000"/>
          <w:szCs w:val="24"/>
          <w:highlight w:val="yellow"/>
        </w:rPr>
        <w:t>what happens to those data once they arrive</w:t>
      </w:r>
      <w:r w:rsidRPr="003A4922">
        <w:rPr>
          <w:rFonts w:ascii="Arial" w:hAnsi="Arial"/>
          <w:color w:val="000000"/>
          <w:szCs w:val="24"/>
        </w:rPr>
        <w:t>: the analytical pipeline that converts an interoperable data stream into an actionable agribusiness decision, which Section 5 addresses directly.</w:t>
      </w:r>
    </w:p>
    <w:p w14:paraId="7DE0BB23" w14:textId="77777777" w:rsidR="00DB769D" w:rsidRPr="003A4922" w:rsidRDefault="00B32603" w:rsidP="00965274">
      <w:pPr>
        <w:pStyle w:val="Heading1"/>
        <w:spacing w:before="320"/>
        <w:rPr>
          <w:color w:val="000000" w:themeColor="text1"/>
          <w:sz w:val="24"/>
          <w:szCs w:val="24"/>
        </w:rPr>
      </w:pPr>
      <w:r w:rsidRPr="003A4922">
        <w:rPr>
          <w:rFonts w:ascii="Arial" w:hAnsi="Arial"/>
          <w:b/>
          <w:bCs/>
          <w:caps/>
          <w:color w:val="000000"/>
          <w:sz w:val="22"/>
          <w:szCs w:val="24"/>
        </w:rPr>
        <w:t>5. Analytics Pipelines: Descriptive, Predictive, and Prescriptive Architectures</w:t>
      </w:r>
    </w:p>
    <w:p w14:paraId="3178281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algorithmic transition from raw sensor telemetry to an automated decision engine passes through three analytically distinct stages, which the literature does not always separate clearly but which carry different data, modelling, and governance requirements. Descriptive analytics operates on historical and near-real-time data, applying aggregation, </w:t>
      </w:r>
      <w:r w:rsidRPr="003A4922">
        <w:rPr>
          <w:rFonts w:ascii="Arial" w:hAnsi="Arial"/>
          <w:color w:val="000000"/>
          <w:szCs w:val="24"/>
          <w:highlight w:val="yellow"/>
        </w:rPr>
        <w:t>visualisation</w:t>
      </w:r>
      <w:r w:rsidRPr="003A4922">
        <w:rPr>
          <w:rFonts w:ascii="Arial" w:hAnsi="Arial"/>
          <w:color w:val="000000"/>
          <w:szCs w:val="24"/>
        </w:rPr>
        <w:t xml:space="preserve">, and threshold-based alerting to answer "what happened" or "what is happening now" on a farm or across a supply network, typically through FMIS dashboards </w:t>
      </w:r>
      <w:r w:rsidRPr="003A4922">
        <w:rPr>
          <w:rFonts w:ascii="Arial" w:hAnsi="Arial"/>
          <w:color w:val="000000"/>
          <w:szCs w:val="24"/>
          <w:highlight w:val="yellow"/>
        </w:rPr>
        <w:t>summarising</w:t>
      </w:r>
      <w:r w:rsidRPr="003A4922">
        <w:rPr>
          <w:rFonts w:ascii="Arial" w:hAnsi="Arial"/>
          <w:color w:val="000000"/>
          <w:szCs w:val="24"/>
        </w:rPr>
        <w:t xml:space="preserve"> input use, yield history, or compliance status; this stage requires clean, validated, but not necessarily labelled data, and its principal failure mode is data-quality drift rather than model error. Predictive analytics extends this by fitting statistical or machine-learning models to historical patterns to forecast a future state, most commonly yield, pest or disease risk, resource requirement, or market price. Data-driven decision-making in precision agriculture has been </w:t>
      </w:r>
      <w:r w:rsidRPr="003A4922">
        <w:rPr>
          <w:rFonts w:ascii="Arial" w:hAnsi="Arial"/>
          <w:color w:val="000000"/>
          <w:szCs w:val="24"/>
          <w:highlight w:val="yellow"/>
        </w:rPr>
        <w:t>characterise</w:t>
      </w:r>
      <w:r w:rsidRPr="003A4922">
        <w:rPr>
          <w:rFonts w:ascii="Arial" w:hAnsi="Arial"/>
          <w:color w:val="000000"/>
          <w:szCs w:val="24"/>
        </w:rPr>
        <w:t xml:space="preserve">d as the defining shift enabled by the rise of big data in agricultural systems, moving farm and agribusiness management away from experience-based heuristics toward knowledge-driven </w:t>
      </w:r>
      <w:r w:rsidRPr="003A4922">
        <w:rPr>
          <w:rFonts w:ascii="Arial" w:hAnsi="Arial"/>
          <w:color w:val="000000"/>
          <w:szCs w:val="24"/>
          <w:highlight w:val="yellow"/>
        </w:rPr>
        <w:t>optimisation</w:t>
      </w:r>
      <w:r w:rsidRPr="003A4922">
        <w:rPr>
          <w:rFonts w:ascii="Arial" w:hAnsi="Arial"/>
          <w:color w:val="000000"/>
          <w:szCs w:val="24"/>
        </w:rPr>
        <w:t xml:space="preserve"> (Tantalaki </w:t>
      </w:r>
      <w:r w:rsidRPr="003A4922">
        <w:rPr>
          <w:rFonts w:ascii="Arial" w:hAnsi="Arial"/>
          <w:i/>
          <w:iCs/>
          <w:color w:val="000000"/>
          <w:szCs w:val="24"/>
        </w:rPr>
        <w:t>et al</w:t>
      </w:r>
      <w:r w:rsidRPr="003A4922">
        <w:rPr>
          <w:rFonts w:ascii="Arial" w:hAnsi="Arial"/>
          <w:color w:val="000000"/>
          <w:szCs w:val="24"/>
        </w:rPr>
        <w:t>., 2019). Forecasting models, including autoregressive integrated moving-average (ARIMA/SARIMA) approaches, machine-learning regressors, and deep-learning architectures, are increasingly used to anticipate yield, resource requirements, and market dynamics simultaneously, integrating IoT, remote sensing, and blockchain data streams to support real-time monitoring and decision-making (Dhal &amp; Kar, 2024). Deep-learning image classification and object-detection architectures in particular have been shown to extend this predictive layer into direct field-level diagnosis, supporting pest, disease, and crop-stress identification from sensor and imagery inputs (Kamilaris &amp; Prenafeta-Boldú, 2018</w:t>
      </w:r>
      <w:r w:rsidRPr="003A4922">
        <w:rPr>
          <w:rFonts w:ascii="Arial" w:hAnsi="Arial"/>
          <w:i/>
          <w:iCs/>
          <w:color w:val="000000"/>
          <w:szCs w:val="24"/>
        </w:rPr>
      </w:r>
      <w:r w:rsidRPr="003A4922">
        <w:rPr>
          <w:rFonts w:ascii="Arial" w:hAnsi="Arial"/>
          <w:color w:val="000000"/>
          <w:szCs w:val="24"/>
        </w:rPr>
        <w:t>).</w:t>
      </w:r>
    </w:p>
    <w:p w14:paraId="69A62C34"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Prescriptive analytics constitutes the third and most consequential stage: rather than forecasting a future state, </w:t>
      </w:r>
      <w:r w:rsidRPr="003A4922">
        <w:rPr>
          <w:rFonts w:ascii="Arial" w:hAnsi="Arial"/>
          <w:color w:val="000000"/>
          <w:szCs w:val="24"/>
          <w:highlight w:val="yellow"/>
        </w:rPr>
        <w:t>it recommends or, in increasingly automated pipelines, executes a specific action</w:t>
      </w:r>
      <w:r w:rsidRPr="003A4922">
        <w:rPr>
          <w:rFonts w:ascii="Arial" w:hAnsi="Arial"/>
          <w:color w:val="000000"/>
          <w:szCs w:val="24"/>
        </w:rPr>
        <w:t xml:space="preserve">, converting a probability distribution into a discrete instruction (spray now, do not spray, irrigate this zone, reject this batch). This is the stage at which a sensing or forecasting pipeline becomes an automated decision engine, and it is also the stage at which the algorithmic transition carries the greatest downstream risk, because a prescriptive output compresses model uncertainty into a single actionable recommendation that a farm manager or an automated actuator may execute without visibility into the underlying confidence interval. In crop-management applications, AI-based climate models have been reported to substantially improve the accuracy of climate-risk prediction relative to conventional approaches, information that feeds directly into planting-window and input-timing decisions </w:t>
      </w:r>
      <w:r w:rsidRPr="003A4922">
        <w:rPr>
          <w:rFonts w:ascii="Arial" w:hAnsi="Arial"/>
          <w:color w:val="000000"/>
          <w:szCs w:val="24"/>
          <w:highlight w:val="yellow"/>
        </w:rPr>
        <w:t>(Ugwu et al., 2025)</w:t>
      </w:r>
      <w:r w:rsidRPr="003A4922">
        <w:rPr>
          <w:rFonts w:ascii="Arial" w:hAnsi="Arial"/>
          <w:color w:val="000000"/>
          <w:szCs w:val="24"/>
        </w:rPr>
        <w:t xml:space="preserve">. Convolutional neural networks applied to pest and disease detection, and sensor-based environmental alert systems for outbreak risk, illustrate how prescriptive outputs are increasingly generated automatically and routed to farm managers through mobile or dashboard interfaces, or, in edge-AI architectures, executed directly at the device level without a cloud round-trip </w:t>
      </w:r>
      <w:r w:rsidRPr="003A4922">
        <w:rPr>
          <w:rFonts w:ascii="Arial" w:hAnsi="Arial"/>
          <w:color w:val="000000"/>
          <w:szCs w:val="24"/>
          <w:highlight w:val="yellow"/>
        </w:rPr>
        <w:t>(Ugwu et al., 2025; Srivastav &amp; Das, 2025)</w:t>
      </w:r>
      <w:r w:rsidRPr="003A4922">
        <w:rPr>
          <w:rFonts w:ascii="Arial" w:hAnsi="Arial"/>
          <w:color w:val="000000"/>
          <w:szCs w:val="24"/>
        </w:rPr>
        <w:t>.</w:t>
      </w:r>
    </w:p>
    <w:p w14:paraId="26FAB5C9"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The choice between cloud-</w:t>
      </w:r>
      <w:r w:rsidRPr="003A4922">
        <w:rPr>
          <w:rFonts w:ascii="Arial" w:hAnsi="Arial"/>
          <w:color w:val="000000"/>
          <w:szCs w:val="24"/>
          <w:highlight w:val="yellow"/>
        </w:rPr>
        <w:t>centralised</w:t>
      </w:r>
      <w:r w:rsidRPr="003A4922">
        <w:rPr>
          <w:rFonts w:ascii="Arial" w:hAnsi="Arial"/>
          <w:color w:val="000000"/>
          <w:szCs w:val="24"/>
        </w:rPr>
        <w:t xml:space="preserve"> and edge-resident execution of this pipeline is itself consequential for agribusiness decision architecture. Edge-AI approaches, deploying lightweight models (e.g., TinyML-class convolutional networks) directly on in-field sensors, drones, or gateway devices, reduce the latency, bandwidth, and connectivity dependence of the descriptive-to-prescriptive pipeline, which is particularly consequential in rural or low-connectivity settings where a cloud round-trip may arrive too late to inform a time-sensitive decision such as frost response or irrigation timing (Sapna et al., 2026; Srivastav &amp; Das, 2025). This comes at the cost of reduced model complexity and more difficult over-the-air model updates relative to </w:t>
      </w:r>
      <w:r w:rsidR="00B15DB0" w:rsidRPr="003A4922">
        <w:rPr>
          <w:rFonts w:ascii="Arial" w:hAnsi="Arial"/>
          <w:color w:val="000000"/>
          <w:szCs w:val="24"/>
          <w:highlight w:val="yellow"/>
        </w:rPr>
        <w:t>centralised</w:t>
      </w:r>
      <w:r w:rsidRPr="003A4922">
        <w:rPr>
          <w:rFonts w:ascii="Arial" w:hAnsi="Arial"/>
          <w:color w:val="000000"/>
          <w:szCs w:val="24"/>
        </w:rPr>
        <w:t xml:space="preserve"> cloud architecture, illustrating a recurring design trade-off between decision latency and model sophistication that recurs across the FMIS, supply-chain, and ESG-reporting architectures discussed in the following sections.</w:t>
      </w:r>
    </w:p>
    <w:p w14:paraId="7B1CB343"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6. Farm Management Information Systems as the Integration Layer</w:t>
      </w:r>
    </w:p>
    <w:p w14:paraId="171609F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If data and analytics are the inputs to agribusiness intelligence, farm management information systems (FMIS) </w:t>
      </w:r>
      <w:r w:rsidRPr="003A4922">
        <w:rPr>
          <w:rFonts w:ascii="Arial" w:hAnsi="Arial"/>
          <w:color w:val="000000"/>
          <w:szCs w:val="24"/>
          <w:highlight w:val="yellow"/>
        </w:rPr>
        <w:t>are increasingly the layer through which integration is operationalised</w:t>
      </w:r>
      <w:r w:rsidRPr="003A4922">
        <w:rPr>
          <w:rFonts w:ascii="Arial" w:hAnsi="Arial"/>
          <w:color w:val="000000"/>
          <w:szCs w:val="24"/>
        </w:rPr>
        <w:t xml:space="preserve">. An FMIS can be defined as a system for collecting, processing, storing, and disseminating data, translating it into the information necessary to carry out a farm's operational functions (Fountas </w:t>
      </w:r>
      <w:r w:rsidRPr="003A4922">
        <w:rPr>
          <w:rFonts w:ascii="Arial" w:hAnsi="Arial"/>
          <w:i/>
          <w:iCs/>
          <w:color w:val="000000"/>
          <w:szCs w:val="24"/>
        </w:rPr>
        <w:t>et al</w:t>
      </w:r>
      <w:r w:rsidRPr="003A4922">
        <w:rPr>
          <w:rFonts w:ascii="Arial" w:hAnsi="Arial"/>
          <w:color w:val="000000"/>
          <w:szCs w:val="24"/>
          <w:highlight w:val="yellow"/>
        </w:rPr>
        <w:t>., 2015; Carrer et al., 2015; Carrer, 2023).</w:t>
      </w:r>
      <w:r w:rsidRPr="003A4922">
        <w:rPr>
          <w:rFonts w:ascii="Arial" w:hAnsi="Arial"/>
          <w:color w:val="000000"/>
          <w:szCs w:val="24"/>
        </w:rPr>
        <w:t xml:space="preserve"> FMIS have evolved from simple record-keeping tools into sophisticated management-support systems that reduce production costs, support compliance with agricultural standards, and maintain product quality and safety (Fountas </w:t>
      </w:r>
      <w:r w:rsidRPr="003A4922">
        <w:rPr>
          <w:rFonts w:ascii="Arial" w:hAnsi="Arial"/>
          <w:i/>
          <w:iCs/>
          <w:color w:val="000000"/>
          <w:szCs w:val="24"/>
        </w:rPr>
        <w:t>et al</w:t>
      </w:r>
      <w:r w:rsidRPr="003A4922">
        <w:rPr>
          <w:rFonts w:ascii="Arial" w:hAnsi="Arial"/>
          <w:color w:val="000000"/>
          <w:szCs w:val="24"/>
        </w:rPr>
        <w:t>., 2015).</w:t>
      </w:r>
    </w:p>
    <w:p w14:paraId="4389806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Adoption research on FMIS is instructive for the broader agribusiness-intelligence argument because it identifies the </w:t>
      </w:r>
      <w:r w:rsidRPr="003A4922">
        <w:rPr>
          <w:rFonts w:ascii="Arial" w:hAnsi="Arial"/>
          <w:color w:val="000000"/>
          <w:szCs w:val="24"/>
          <w:highlight w:val="yellow"/>
        </w:rPr>
        <w:t>organisational</w:t>
      </w:r>
      <w:r w:rsidRPr="003A4922">
        <w:rPr>
          <w:rFonts w:ascii="Arial" w:hAnsi="Arial"/>
          <w:color w:val="000000"/>
          <w:szCs w:val="24"/>
        </w:rPr>
        <w:t>, rather than purely technical, determinants of successful integration, and a broader synthesis of this literature confirms that management information systems adoption at the farm level remains highly uneven and context-dependent across studies (</w:t>
      </w:r>
      <w:proofErr w:type="spellStart"/>
      <w:r w:rsidRPr="003A4922">
        <w:rPr>
          <w:rFonts w:ascii="Arial" w:hAnsi="Arial"/>
          <w:color w:val="000000"/>
          <w:szCs w:val="24"/>
        </w:rPr>
        <w:t>Giua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xml:space="preserve">., 2021). Evidence from Brazilian citrus and sugarcane farms indicates that FMIS adoption is positively associated with farmer education, access to private advisory services, rural credit, farm size, and the use of forward contracts, and is more common among risk-averse farmers pursuing FMIS as part of a broader risk-management strategy (Carrer et al., 2017; de Souza Filho </w:t>
      </w:r>
      <w:r w:rsidRPr="003A4922">
        <w:rPr>
          <w:rFonts w:ascii="Arial" w:hAnsi="Arial"/>
          <w:i/>
          <w:iCs/>
          <w:color w:val="000000"/>
          <w:szCs w:val="24"/>
        </w:rPr>
        <w:t>et al</w:t>
      </w:r>
      <w:r w:rsidRPr="003A4922">
        <w:rPr>
          <w:rFonts w:ascii="Arial" w:hAnsi="Arial"/>
          <w:color w:val="000000"/>
          <w:szCs w:val="24"/>
        </w:rPr>
        <w:t xml:space="preserve">., 2025). In the European Union, FMIS have taken on an additional compliance function, supporting nitrogen-balance documentation, subsidy applications, and sustainability reporting as administrative burdens on farmers have grown (Fountas </w:t>
      </w:r>
      <w:r w:rsidRPr="003A4922">
        <w:rPr>
          <w:rFonts w:ascii="Arial" w:hAnsi="Arial"/>
          <w:i/>
          <w:iCs/>
          <w:color w:val="000000"/>
          <w:szCs w:val="24"/>
        </w:rPr>
        <w:t>et al</w:t>
      </w:r>
      <w:r w:rsidRPr="003A4922">
        <w:rPr>
          <w:rFonts w:ascii="Arial" w:hAnsi="Arial"/>
          <w:color w:val="000000"/>
          <w:szCs w:val="24"/>
        </w:rPr>
        <w:t xml:space="preserve">., 2015). Contemporary FMIS scholarship increasingly frames these systems not as standalone software but as nodes within a wider Agricultural Innovation System that must interoperate with weather services, input suppliers, certification bodies, and downstream buyers (Papadopoulos </w:t>
      </w:r>
      <w:r w:rsidRPr="003A4922">
        <w:rPr>
          <w:rFonts w:ascii="Arial" w:hAnsi="Arial"/>
          <w:i/>
          <w:iCs/>
          <w:color w:val="000000"/>
          <w:szCs w:val="24"/>
        </w:rPr>
        <w:t>et al</w:t>
      </w:r>
      <w:r w:rsidRPr="003A4922">
        <w:rPr>
          <w:rFonts w:ascii="Arial" w:hAnsi="Arial"/>
          <w:color w:val="000000"/>
          <w:szCs w:val="24"/>
        </w:rPr>
        <w:t>., 2024).</w:t>
      </w:r>
    </w:p>
    <w:p w14:paraId="0D0EEACC"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7. AI-Enabled Supply-Chain Analytics and Climate-Risk Adaptation</w:t>
      </w:r>
    </w:p>
    <w:p w14:paraId="10525A9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Agribusiness decisions extend well beyond the farm gate into procurement, logistics, and market positioning, and AI-driven predictive analytics </w:t>
      </w:r>
      <w:r w:rsidR="00B020DB" w:rsidRPr="003A4922">
        <w:rPr>
          <w:rFonts w:ascii="Arial" w:hAnsi="Arial"/>
          <w:color w:val="000000"/>
          <w:szCs w:val="24"/>
        </w:rPr>
        <w:t>are</w:t>
      </w:r>
      <w:r w:rsidRPr="003A4922">
        <w:rPr>
          <w:rFonts w:ascii="Arial" w:hAnsi="Arial"/>
          <w:color w:val="000000"/>
          <w:szCs w:val="24"/>
        </w:rPr>
        <w:t xml:space="preserve"> increasingly applied to these supply-chain functions. Studies of AI adoption in agricultural supply-chain risk management report that process factors, information sharing, and supply-chain integration significantly influence the extent to which AI mitigates disruption, with demonstrable effects on the resilience and adaptability of agri-food supply chains (Dhal &amp; Kar, 2024). Blockchain integration into agri-food supply networks is proposed as a mechanism for improving traceability, consumer trust, and food safety by creating tamper-resistant records of a product's origin and handling (Ellahi </w:t>
      </w:r>
      <w:r w:rsidRPr="003A4922">
        <w:rPr>
          <w:rFonts w:ascii="Arial" w:hAnsi="Arial"/>
          <w:i/>
          <w:iCs/>
          <w:color w:val="000000"/>
          <w:szCs w:val="24"/>
        </w:rPr>
        <w:t>et al</w:t>
      </w:r>
      <w:r w:rsidRPr="003A4922">
        <w:rPr>
          <w:rFonts w:ascii="Arial" w:hAnsi="Arial"/>
          <w:color w:val="000000"/>
          <w:szCs w:val="24"/>
        </w:rPr>
        <w:t>., 2023).</w:t>
      </w:r>
    </w:p>
    <w:p w14:paraId="426B365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lastRenderedPageBreak/>
        <w:t xml:space="preserve">Climate risk is a particularly consequential input to agribusiness supply-chain planning. Because extreme weather, unpredictable rainfall, and temperature anomalies increasingly render historical averages unreliable, agri-enterprises are reported to be shifting from reactive to predictive climate-risk management, integrating satellite insight, climate intelligence, and advanced analytics to anticipate disruption weeks or months in advance </w:t>
      </w:r>
      <w:r w:rsidRPr="003A4922">
        <w:rPr>
          <w:rFonts w:ascii="Arial" w:hAnsi="Arial"/>
          <w:color w:val="000000"/>
          <w:szCs w:val="24"/>
          <w:highlight w:val="yellow"/>
        </w:rPr>
        <w:t>(Ugwu et al., 2025)</w:t>
      </w:r>
      <w:r w:rsidRPr="003A4922">
        <w:rPr>
          <w:rFonts w:ascii="Arial" w:hAnsi="Arial"/>
          <w:color w:val="000000"/>
          <w:szCs w:val="24"/>
        </w:rPr>
        <w:t xml:space="preserve">. Illustrative case evidence from cooperative-level agribusiness settings shows this integration working in practice: long short-term memory (LSTM) neural networks trained on multi-year cooperative production data have been used to predict yield patterns and inform procurement and risk-mitigation strategy, combining AI-driven forecasting, IoT-enabled monitoring, and blockchain traceability within a single climate-adaptation architecture (Dhal &amp; Kar, 2024; Ellahi </w:t>
      </w:r>
      <w:r w:rsidRPr="003A4922">
        <w:rPr>
          <w:rFonts w:ascii="Arial" w:hAnsi="Arial"/>
          <w:i/>
          <w:iCs/>
          <w:color w:val="000000"/>
          <w:szCs w:val="24"/>
        </w:rPr>
        <w:t>et al</w:t>
      </w:r>
      <w:r w:rsidRPr="003A4922">
        <w:rPr>
          <w:rFonts w:ascii="Arial" w:hAnsi="Arial"/>
          <w:color w:val="000000"/>
          <w:szCs w:val="24"/>
        </w:rPr>
        <w:t>., 2023). The same procurement and traceability infrastructure that supports climate-risk-informed supply-chain decisions is, as the following section shows, also the infrastructure on which a newer and increasingly mandatory decision layer, sustainability and emissions reporting, now depends.</w:t>
      </w:r>
    </w:p>
    <w:p w14:paraId="260F8FE1"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8. Sustainability Analytics, ESG, and Scope 3 Compliance Architecture</w:t>
      </w:r>
    </w:p>
    <w:p w14:paraId="3E0F6508" w14:textId="77777777" w:rsidR="00DB769D" w:rsidRPr="003A4922" w:rsidRDefault="00815720" w:rsidP="00965274">
      <w:pPr>
        <w:spacing w:after="200"/>
        <w:jc w:val="both"/>
        <w:rPr>
          <w:color w:val="000000" w:themeColor="text1"/>
          <w:sz w:val="24"/>
          <w:szCs w:val="24"/>
        </w:rPr>
      </w:pPr>
      <w:r w:rsidRPr="003A4922">
        <w:rPr>
          <w:rFonts w:ascii="Arial" w:hAnsi="Arial"/>
          <w:color w:val="000000"/>
          <w:szCs w:val="24"/>
        </w:rPr>
        <w:t>A distinguishing feature of the agribusiness-intelligence framing, relative to precision agriculture, is its explicit incorporation of sustainability and environmental, social, and governance (ESG) analytics as decision outputs, not afterthoughts. Environmental and sustainability indicators in the agriculture and food-processing sector are used to assess natural-resource use, waste generation, greenhouse-gas emissions, and ecological footprint, providing a comprehensive framework for monitoring contributions to biodiversity conservation, soil health, water quality, and energy efficiency (Runck et al., 2021). Because agribusinesses operate at the intersection of food security, natural-resource stewardship, community livelihoods, and economic value creation, ESG reporting has shifted from a voluntary initiative to a strategic necessity as regulatory frameworks and buyer requirements increasingly demand disclosure of water and energy use, soil-health trends, and emissions across scopes 1 through 3 (Agribusiness Academy, 2025).</w:t>
      </w:r>
    </w:p>
    <w:p w14:paraId="6FA3C9E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The regulatory architecture behind this shift is now specific and consequential for agribusiness data systems. The GHG Protocol's Corporate Value Chain (Scope 3) Standard divides indirect emissions into fifteen categories spanning purchased goods and services through end-of-life treatment of sold products and requires firms to report at least most of their value-chain emissions to claim conformance (World Resources Institute &amp; World Business Council for Sustainable Development, 2011). For food and agribusiness companies specifically, Scope 3 emissions, dominated by Category 1 (purchased goods and services, principally the emissions embedded in growing the crops or raising the livestock a company sources), typically dwarf Scopes 1 and 2 combined, which structurally shifts the reporting burden onto upstream agricultural producers rather than the downstream firms that hold the disclosure obligation. The European Union's Corporate Sustainability Reporting Directive (CSRD) and its European Sustainability Reporting Standards (ESRS), phasing in from 2024, make scope 1 through 3 disclosure mandatory for covered companies (European Commission, 2023), while the Science Based Targets initiative requires companies to include Scope 3 in near-term emissions-reduction targets once it exceeds a materiality threshold of total emissions (Science Based Targets initiative, 2024).</w:t>
      </w:r>
    </w:p>
    <w:p w14:paraId="7984C51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highlight w:val="yellow"/>
        </w:rPr>
        <w:t>Operationalising</w:t>
      </w:r>
      <w:r w:rsidRPr="003A4922">
        <w:rPr>
          <w:rFonts w:ascii="Arial" w:hAnsi="Arial"/>
          <w:color w:val="000000"/>
          <w:szCs w:val="24"/>
        </w:rPr>
        <w:t xml:space="preserve"> this requirement forces a specific and demanding data-architecture problem back onto agribusiness information systems: buyers now require farm-level activity data, methodologically consistent across all supplying farms, with a documented, traceable link between a specific farm's data and the specific supply-chain shipment or </w:t>
      </w:r>
      <w:r w:rsidR="00B15DB0" w:rsidRPr="003A4922">
        <w:rPr>
          <w:rFonts w:ascii="Arial" w:hAnsi="Arial"/>
          <w:color w:val="000000"/>
          <w:szCs w:val="24"/>
          <w:highlight w:val="yellow"/>
        </w:rPr>
        <w:t>lot that</w:t>
      </w:r>
      <w:r w:rsidRPr="003A4922">
        <w:rPr>
          <w:rFonts w:ascii="Arial" w:hAnsi="Arial"/>
          <w:color w:val="000000"/>
          <w:szCs w:val="24"/>
        </w:rPr>
        <w:t xml:space="preserve"> the buyer purchased, commonly implemented through identity-preservation </w:t>
      </w:r>
      <w:r w:rsidRPr="003A4922">
        <w:rPr>
          <w:rFonts w:ascii="Arial" w:hAnsi="Arial"/>
          <w:color w:val="000000"/>
          <w:szCs w:val="24"/>
          <w:highlight w:val="yellow"/>
        </w:rPr>
        <w:t>programmes</w:t>
      </w:r>
      <w:r w:rsidRPr="003A4922">
        <w:rPr>
          <w:rFonts w:ascii="Arial" w:hAnsi="Arial"/>
          <w:color w:val="000000"/>
          <w:szCs w:val="24"/>
        </w:rPr>
        <w:t xml:space="preserve">, grain-elevator </w:t>
      </w:r>
      <w:r w:rsidRPr="003A4922">
        <w:rPr>
          <w:rFonts w:ascii="Arial" w:hAnsi="Arial"/>
          <w:color w:val="000000"/>
          <w:szCs w:val="24"/>
        </w:rPr>
        <w:t xml:space="preserve">coordination, or book-and-claim accounting systems (Talkington, 2026). This is a considerably more demanding integration requirement than farm-level sustainability reporting alone, because it requires the FMIS layer described in Section 6 to interoperate not only with on-farm sensing and machinery data but with downstream supply-chain custody records, effectively extending the interoperability stack described in Section 4.1 across </w:t>
      </w:r>
      <w:r w:rsidRPr="003A4922">
        <w:rPr>
          <w:rFonts w:ascii="Arial" w:hAnsi="Arial"/>
          <w:color w:val="000000"/>
          <w:szCs w:val="24"/>
          <w:highlight w:val="yellow"/>
        </w:rPr>
        <w:t>organisational</w:t>
      </w:r>
      <w:r w:rsidRPr="003A4922">
        <w:rPr>
          <w:rFonts w:ascii="Arial" w:hAnsi="Arial"/>
          <w:color w:val="000000"/>
          <w:szCs w:val="24"/>
        </w:rPr>
        <w:t xml:space="preserve"> boundaries. Carbon-footprint calculations performed in accordance with Intergovernmental Panel on Climate Change (IPCC) methodology and routed into compliance and investor-reporting dashboards </w:t>
      </w:r>
      <w:r w:rsidRPr="003A4922">
        <w:rPr>
          <w:rFonts w:ascii="Arial" w:hAnsi="Arial"/>
          <w:color w:val="000000"/>
          <w:szCs w:val="24"/>
          <w:highlight w:val="yellow"/>
        </w:rPr>
        <w:t>are therefore direct downstream consumers</w:t>
      </w:r>
      <w:r w:rsidRPr="003A4922">
        <w:rPr>
          <w:rFonts w:ascii="Arial" w:hAnsi="Arial"/>
          <w:color w:val="000000"/>
          <w:szCs w:val="24"/>
        </w:rPr>
        <w:t xml:space="preserve"> of the same FMIS and IoT infrastructure that supports agronomic decision-making, reinforcing the argument that integration, rather than additional sensing, is the binding constraint on value capture. This cross-boundary data flow, precisely because it requires a farm's internal records to be exposed to external buyers, auditors, and regulators, is also what makes governance the natural subject of the next section: the same traceable data link that satisfies a Scope 3 disclosure requirement is, from the farmer's vantage point, a governance question about who may see, retain, and act on that data.</w:t>
      </w:r>
    </w:p>
    <w:p w14:paraId="758A8D20"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9. Data Interoperability, Governance, Privacy, and Cybersecurity</w:t>
      </w:r>
    </w:p>
    <w:p w14:paraId="5F54E94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The preceding sections presuppose that data generated by sensors, FMIS, and supply-chain systems can move across platforms and </w:t>
      </w:r>
      <w:r w:rsidRPr="003A4922">
        <w:rPr>
          <w:rFonts w:ascii="Arial" w:hAnsi="Arial"/>
          <w:color w:val="000000"/>
          <w:szCs w:val="24"/>
          <w:highlight w:val="yellow"/>
        </w:rPr>
        <w:t>organisational</w:t>
      </w:r>
      <w:r w:rsidRPr="003A4922">
        <w:rPr>
          <w:rFonts w:ascii="Arial" w:hAnsi="Arial"/>
          <w:color w:val="000000"/>
          <w:szCs w:val="24"/>
        </w:rPr>
        <w:t xml:space="preserve"> boundaries. This presupposition is frequently violated in practice. A systematic review of information-system integration in the agri-food sector identifies a wide range of technical, </w:t>
      </w:r>
      <w:r w:rsidRPr="003A4922">
        <w:rPr>
          <w:rFonts w:ascii="Arial" w:hAnsi="Arial"/>
          <w:color w:val="000000"/>
          <w:szCs w:val="24"/>
          <w:highlight w:val="yellow"/>
        </w:rPr>
        <w:t>organisational</w:t>
      </w:r>
      <w:r w:rsidRPr="003A4922">
        <w:rPr>
          <w:rFonts w:ascii="Arial" w:hAnsi="Arial"/>
          <w:color w:val="000000"/>
          <w:szCs w:val="24"/>
        </w:rPr>
        <w:t>, and data-governance barriers to integration, with data-governance issues increasingly prominent in papers published since 2023 (</w:t>
      </w:r>
      <w:proofErr w:type="spellStart"/>
      <w:r w:rsidRPr="003A4922">
        <w:rPr>
          <w:rFonts w:ascii="Arial" w:hAnsi="Arial"/>
          <w:color w:val="000000"/>
          <w:szCs w:val="24"/>
        </w:rPr>
        <w:t>Ahoa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xml:space="preserve">., 2025; Figure 2). The absence of governance and </w:t>
      </w:r>
      <w:r w:rsidRPr="003A4922">
        <w:rPr>
          <w:rFonts w:ascii="Arial" w:hAnsi="Arial"/>
          <w:color w:val="000000"/>
          <w:szCs w:val="24"/>
          <w:highlight w:val="yellow"/>
        </w:rPr>
        <w:t>standardised</w:t>
      </w:r>
      <w:r w:rsidRPr="003A4922">
        <w:rPr>
          <w:rFonts w:ascii="Arial" w:hAnsi="Arial"/>
          <w:color w:val="000000"/>
          <w:szCs w:val="24"/>
        </w:rPr>
        <w:t xml:space="preserve"> protocols for data security, privacy, and sharing has been shown to impede technology adoption directly, heightening farmer concern about data ownership and the risks associated with participation in digital platforms (</w:t>
      </w:r>
      <w:proofErr w:type="spellStart"/>
      <w:r w:rsidRPr="003A4922">
        <w:rPr>
          <w:rFonts w:ascii="Arial" w:hAnsi="Arial"/>
          <w:color w:val="000000"/>
          <w:szCs w:val="24"/>
        </w:rPr>
        <w:t>Rouzky</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highlight w:val="yellow"/>
        </w:rPr>
        <w:t>., 2026).</w:t>
      </w:r>
    </w:p>
    <w:p w14:paraId="57853A5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Privacy and cybersecurity concerns compound this governance gap. Farmers face data asymmetry and uncertainty about how agricultural technology providers store and use their data, and the increasing economic value attached to agricultural data has intensified the need for robust governance frameworks addressing intellectual-property rights (Jayashankar </w:t>
      </w:r>
      <w:r w:rsidRPr="003A4922">
        <w:rPr>
          <w:rFonts w:ascii="Arial" w:hAnsi="Arial"/>
          <w:i/>
          <w:iCs/>
          <w:color w:val="000000"/>
          <w:szCs w:val="24"/>
        </w:rPr>
        <w:t>et al</w:t>
      </w:r>
      <w:r w:rsidRPr="003A4922">
        <w:rPr>
          <w:rFonts w:ascii="Arial" w:hAnsi="Arial"/>
          <w:color w:val="000000"/>
          <w:szCs w:val="24"/>
        </w:rPr>
        <w:t xml:space="preserve">., 2018; Shepherd </w:t>
      </w:r>
      <w:r w:rsidRPr="003A4922">
        <w:rPr>
          <w:rFonts w:ascii="Arial" w:hAnsi="Arial"/>
          <w:i/>
          <w:iCs/>
          <w:color w:val="000000"/>
          <w:szCs w:val="24"/>
        </w:rPr>
        <w:t>et al</w:t>
      </w:r>
      <w:r w:rsidRPr="003A4922">
        <w:rPr>
          <w:rFonts w:ascii="Arial" w:hAnsi="Arial"/>
          <w:color w:val="000000"/>
          <w:szCs w:val="24"/>
          <w:highlight w:val="yellow"/>
        </w:rPr>
        <w:t>., 2020; Kaur et al., 2022; Sykuta, 2016). Documented</w:t>
      </w:r>
      <w:r w:rsidRPr="003A4922">
        <w:rPr>
          <w:rFonts w:ascii="Arial" w:hAnsi="Arial"/>
          <w:color w:val="000000"/>
          <w:szCs w:val="24"/>
        </w:rPr>
        <w:t xml:space="preserve"> cybersecurity incidents in the agriculture sector span ransomware attacks, </w:t>
      </w:r>
      <w:r w:rsidRPr="003A4922">
        <w:rPr>
          <w:rFonts w:ascii="Arial" w:hAnsi="Arial"/>
          <w:color w:val="000000"/>
          <w:szCs w:val="24"/>
          <w:highlight w:val="yellow"/>
        </w:rPr>
        <w:t>unauthorised</w:t>
      </w:r>
      <w:r w:rsidRPr="003A4922">
        <w:rPr>
          <w:rFonts w:ascii="Arial" w:hAnsi="Arial"/>
          <w:color w:val="000000"/>
          <w:szCs w:val="24"/>
        </w:rPr>
        <w:t xml:space="preserve"> access, and sophisticated hacking techniques directed at farm operations, processing facilities, and distribution networks, with unmanned aerial systems and other field-deployed sensing platforms identified as a further point of exposure (Tychola &amp; Rantos, 2025</w:t>
      </w:r>
      <w:r w:rsidRPr="003A4922">
        <w:rPr>
          <w:rFonts w:ascii="Arial" w:hAnsi="Arial"/>
          <w:i/>
          <w:iCs/>
          <w:color w:val="000000"/>
          <w:szCs w:val="24"/>
        </w:rPr>
      </w:r>
      <w:r w:rsidRPr="003A4922">
        <w:rPr>
          <w:rFonts w:ascii="Arial" w:hAnsi="Arial"/>
          <w:color w:val="000000"/>
          <w:szCs w:val="24"/>
        </w:rPr>
        <w:t xml:space="preserve">). Unlike healthcare or finance, the agricultural sector lacks a dedicated federal regulatory body for data protection in most jurisdictions, leaving farmers and agribusinesses to rely on voluntary data-sharing agreements and emerging technical solutions such as federated learning, which enables model training across distributed farm data without </w:t>
      </w:r>
      <w:r w:rsidRPr="003A4922">
        <w:rPr>
          <w:rFonts w:ascii="Arial" w:hAnsi="Arial"/>
          <w:color w:val="000000"/>
          <w:szCs w:val="24"/>
          <w:highlight w:val="yellow"/>
        </w:rPr>
        <w:t>centralising</w:t>
      </w:r>
      <w:r w:rsidRPr="003A4922">
        <w:rPr>
          <w:rFonts w:ascii="Arial" w:hAnsi="Arial"/>
          <w:color w:val="000000"/>
          <w:szCs w:val="24"/>
        </w:rPr>
        <w:t xml:space="preserve"> sensitive records, and </w:t>
      </w:r>
      <w:r w:rsidRPr="003A4922">
        <w:rPr>
          <w:rFonts w:ascii="Arial" w:hAnsi="Arial"/>
          <w:color w:val="000000"/>
          <w:szCs w:val="24"/>
          <w:highlight w:val="yellow"/>
        </w:rPr>
        <w:t>privacy-by-design frameworks for collaborative research (Dembani et al., 2025; Zafar et al., 2025).</w:t>
      </w:r>
    </w:p>
    <w:p w14:paraId="2D1C836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Scholarship adopting a data-justice lens cautions that privacy-protection measures modelled on frameworks such as the European Union's General Data Protection Regulation do not, by themselves, resolve the structural asymmetries of agricultural data governance: strengthening formal data protection can coexist with continued data extraction that disadvantages farmers relative to agricultural technology providers and downstream purchasers (Dencik et al., 2019</w:t>
      </w:r>
      <w:r w:rsidRPr="003A4922">
        <w:rPr>
          <w:rFonts w:ascii="Arial" w:hAnsi="Arial"/>
          <w:i/>
          <w:iCs/>
          <w:color w:val="000000"/>
          <w:szCs w:val="24"/>
        </w:rPr>
      </w:r>
      <w:r w:rsidRPr="003A4922">
        <w:rPr>
          <w:rFonts w:ascii="Arial" w:hAnsi="Arial"/>
          <w:color w:val="000000"/>
          <w:szCs w:val="24"/>
          <w:highlight w:val="yellow"/>
        </w:rPr>
        <w:t>; Ruder &amp; Wittman, 2025). This</w:t>
      </w:r>
      <w:r w:rsidRPr="003A4922">
        <w:rPr>
          <w:rFonts w:ascii="Arial" w:hAnsi="Arial"/>
          <w:color w:val="000000"/>
          <w:szCs w:val="24"/>
        </w:rPr>
        <w:t xml:space="preserve"> suggests that interoperability and governance solutions for agribusiness information systems must attend to questions of ownership and benefit-sharing, not merely technical </w:t>
      </w:r>
      <w:r w:rsidRPr="003A4922">
        <w:rPr>
          <w:rFonts w:ascii="Arial" w:hAnsi="Arial"/>
          <w:color w:val="000000"/>
          <w:szCs w:val="24"/>
          <w:highlight w:val="yellow"/>
        </w:rPr>
        <w:t>standardisation</w:t>
      </w:r>
      <w:r w:rsidRPr="003A4922">
        <w:rPr>
          <w:rFonts w:ascii="Arial" w:hAnsi="Arial"/>
          <w:color w:val="000000"/>
          <w:szCs w:val="24"/>
        </w:rPr>
        <w:t>.</w:t>
      </w:r>
    </w:p>
    <w:p w14:paraId="39EB1304" w14:textId="77777777" w:rsidR="00DB769D" w:rsidRPr="003A4922" w:rsidRDefault="001207A1" w:rsidP="00965274">
      <w:pPr>
        <w:spacing w:before="200"/>
        <w:jc w:val="center"/>
        <w:rPr>
          <w:color w:val="000000" w:themeColor="text1"/>
          <w:sz w:val="24"/>
          <w:szCs w:val="24"/>
        </w:rPr>
      </w:pPr>
      <w:r w:rsidRPr="003A4922">
        <w:rPr>
          <w:color w:val="000000" w:themeColor="text1"/>
          <w:sz w:val="24"/>
          <w:szCs w:val="24"/>
        </w:rPr>
        <w:lastRenderedPageBreak/>
        <w:fldChar w:fldCharType="begin"/>
      </w:r>
      <w:r w:rsidRPr="003A4922">
        <w:rPr>
          <w:color w:val="000000" w:themeColor="text1"/>
          <w:sz w:val="24"/>
          <w:szCs w:val="24"/>
        </w:rPr>
        <w:instrText xml:space="preserve"> INCLUDEPICTURE "https://figurelabs-images-us-east-1.s3.us-east-1.amazonaws.com/com/bioford/plot/img/f49a7a43-ea3b-41b9-80aa-5de669db1b86.png?response-content-disposition=inline&amp;preview=true&amp;X-Amz-Algorithm=AWS4-HMAC-SHA256&amp;X-Amz-Date=20260810T223516Z&amp;X-Amz-SignedHeaders=host&amp;X-Amz-Expires=604800&amp;X-Amz-Credential=AKIA34AMDG56T2NLSZ7W%2F20260810%2Fus-east-1%2Fs3%2Faws4_request&amp;X-Amz-Signature=63b2475a5c102bb099e001a292942d21cfb39d78d71f4af97fe0082c040d3ab2" \* MERGEFORMATINET </w:instrText>
      </w:r>
      <w:r w:rsidRPr="003A4922">
        <w:rPr>
          <w:color w:val="000000" w:themeColor="text1"/>
          <w:sz w:val="24"/>
          <w:szCs w:val="24"/>
        </w:rPr>
        <w:fldChar w:fldCharType="separate"/>
      </w:r>
      <w:r w:rsidRPr="003A4922">
        <w:rPr>
          <w:noProof/>
          <w:color w:val="000000" w:themeColor="text1"/>
          <w:sz w:val="24"/>
          <w:szCs w:val="24"/>
        </w:rPr>
        <w:drawing>
          <wp:inline distT="0" distB="0" distL="0" distR="0" wp14:anchorId="7B66F52D" wp14:editId="37D8C399">
            <wp:extent cx="5943600" cy="2628900"/>
            <wp:effectExtent l="0" t="0" r="0" b="0"/>
            <wp:docPr id="933321014" name="Picture 3" descr="Generated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nerated figure"/>
                    <pic:cNvPicPr>
                      <a:picLocks noChangeAspect="1" noChangeArrowheads="1"/>
                    </pic:cNvPicPr>
                  </pic:nvPicPr>
                  <pic:blipFill rotWithShape="1">
                    <a:blip r:embed="rId19">
                      <a:extLst>
                        <a:ext uri="{28A0092B-C50C-407E-A947-70E740481C1C}">
                          <a14:useLocalDpi xmlns:a14="http://schemas.microsoft.com/office/drawing/2010/main" val="0"/>
                        </a:ext>
                      </a:extLst>
                    </a:blip>
                    <a:srcRect t="5170" b="15566"/>
                    <a:stretch>
                      <a:fillRect/>
                    </a:stretch>
                  </pic:blipFill>
                  <pic:spPr bwMode="auto">
                    <a:xfrm>
                      <a:off x="0" y="0"/>
                      <a:ext cx="5943600" cy="2628900"/>
                    </a:xfrm>
                    <a:prstGeom prst="rect">
                      <a:avLst/>
                    </a:prstGeom>
                    <a:noFill/>
                    <a:ln>
                      <a:noFill/>
                    </a:ln>
                    <a:extLst>
                      <a:ext uri="{53640926-AAD7-44D8-BBD7-CCE9431645EC}">
                        <a14:shadowObscured xmlns:a14="http://schemas.microsoft.com/office/drawing/2010/main"/>
                      </a:ext>
                    </a:extLst>
                  </pic:spPr>
                </pic:pic>
              </a:graphicData>
            </a:graphic>
          </wp:inline>
        </w:drawing>
      </w:r>
      <w:r w:rsidRPr="003A4922">
        <w:rPr>
          <w:color w:val="000000" w:themeColor="text1"/>
          <w:sz w:val="24"/>
          <w:szCs w:val="24"/>
        </w:rPr>
        <w:fldChar w:fldCharType="end"/>
      </w:r>
    </w:p>
    <w:p w14:paraId="0A454431" w14:textId="77777777" w:rsidR="00DB769D" w:rsidRPr="003A4922" w:rsidRDefault="00B32603" w:rsidP="00965274">
      <w:pPr>
        <w:spacing w:before="120" w:after="300"/>
        <w:rPr>
          <w:color w:val="000000" w:themeColor="text1"/>
          <w:sz w:val="24"/>
          <w:szCs w:val="24"/>
        </w:rPr>
      </w:pPr>
      <w:r w:rsidRPr="003A4922">
        <w:rPr>
          <w:rFonts w:ascii="Arial" w:hAnsi="Arial"/>
          <w:b/>
          <w:color w:val="000000"/>
          <w:szCs w:val="24"/>
        </w:rPr>
        <w:t>Fig. 2. Barrier taxonomy for information-system integration in agribusiness.</w:t>
      </w:r>
    </w:p>
    <w:p w14:paraId="1E55C712"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10. Digital Infrastructure and Technology Adoption</w:t>
      </w:r>
    </w:p>
    <w:p w14:paraId="5BC2CB03"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Even where interoperability and governance challenges are addressed, adoption of agribusiness information systems remains uneven, particularly among the smallholder farmers who constitute </w:t>
      </w:r>
      <w:r w:rsidR="00806DEC" w:rsidRPr="003A4922">
        <w:rPr>
          <w:rFonts w:ascii="Arial" w:hAnsi="Arial"/>
          <w:color w:val="000000"/>
          <w:szCs w:val="24"/>
          <w:highlight w:val="yellow"/>
        </w:rPr>
        <w:t>most of</w:t>
      </w:r>
      <w:r w:rsidRPr="003A4922">
        <w:rPr>
          <w:rFonts w:ascii="Arial" w:hAnsi="Arial"/>
          <w:color w:val="000000"/>
          <w:szCs w:val="24"/>
        </w:rPr>
        <w:t xml:space="preserve"> the world's agricultural producers (World Bank, 2024). Structural barriers, including poor rural connectivity, limited access to financing, and low digital literacy, are consistently identified as the principal constraints on smallholder </w:t>
      </w:r>
      <w:r w:rsidRPr="003A4922">
        <w:rPr>
          <w:rFonts w:ascii="Arial" w:hAnsi="Arial"/>
          <w:color w:val="000000"/>
          <w:szCs w:val="24"/>
          <w:highlight w:val="yellow"/>
        </w:rPr>
        <w:t>digitisation</w:t>
      </w:r>
      <w:r w:rsidRPr="003A4922">
        <w:rPr>
          <w:rFonts w:ascii="Arial" w:hAnsi="Arial"/>
          <w:color w:val="000000"/>
          <w:szCs w:val="24"/>
        </w:rPr>
        <w:t xml:space="preserve">, with women and other </w:t>
      </w:r>
      <w:r w:rsidRPr="003A4922">
        <w:rPr>
          <w:rFonts w:ascii="Arial" w:hAnsi="Arial"/>
          <w:color w:val="000000"/>
          <w:szCs w:val="24"/>
          <w:highlight w:val="yellow"/>
        </w:rPr>
        <w:t>marginalised</w:t>
      </w:r>
      <w:r w:rsidRPr="003A4922">
        <w:rPr>
          <w:rFonts w:ascii="Arial" w:hAnsi="Arial"/>
          <w:color w:val="000000"/>
          <w:szCs w:val="24"/>
        </w:rPr>
        <w:t xml:space="preserve"> farmers facing compounding socio-economic obstacles that widen an already substantial digital divide (</w:t>
      </w:r>
      <w:proofErr w:type="spellStart"/>
      <w:r w:rsidRPr="003A4922">
        <w:rPr>
          <w:rFonts w:ascii="Arial" w:hAnsi="Arial"/>
          <w:color w:val="000000"/>
          <w:szCs w:val="24"/>
        </w:rPr>
        <w:t>Bontsa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highlight w:val="yellow"/>
        </w:rPr>
        <w:t>., 2023; Nxumalo &amp; Chauke, 2025). Globally</w:t>
      </w:r>
      <w:r w:rsidRPr="003A4922">
        <w:rPr>
          <w:rFonts w:ascii="Arial" w:hAnsi="Arial"/>
          <w:color w:val="000000"/>
          <w:szCs w:val="24"/>
        </w:rPr>
        <w:t>, only a minority of farmers currently use FMIS, and adoption rates vary sharply by region, tracking the availability of advanced agricultural infrastructure (</w:t>
      </w:r>
      <w:proofErr w:type="spellStart"/>
      <w:r w:rsidRPr="003A4922">
        <w:rPr>
          <w:rFonts w:ascii="Arial" w:hAnsi="Arial"/>
          <w:color w:val="000000"/>
          <w:szCs w:val="24"/>
        </w:rPr>
        <w:t>Giua</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2021).</w:t>
      </w:r>
    </w:p>
    <w:p w14:paraId="5AF32B3F"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Digital extension services, mobile-based advisory platforms that connect farmers directly to agronomic and market information, have been proposed as a partial remedy, particularly where they substitute for costly in-person extension visits, with large language models increasingly explored as a means of scaling and </w:t>
      </w:r>
      <w:r w:rsidRPr="003A4922">
        <w:rPr>
          <w:rFonts w:ascii="Arial" w:hAnsi="Arial"/>
          <w:color w:val="000000"/>
          <w:szCs w:val="24"/>
          <w:highlight w:val="yellow"/>
        </w:rPr>
        <w:t>personalising</w:t>
      </w:r>
      <w:r w:rsidRPr="003A4922">
        <w:rPr>
          <w:rFonts w:ascii="Arial" w:hAnsi="Arial"/>
          <w:color w:val="000000"/>
          <w:szCs w:val="24"/>
        </w:rPr>
        <w:t xml:space="preserve"> this advisory function (</w:t>
      </w:r>
      <w:proofErr w:type="spellStart"/>
      <w:r w:rsidRPr="003A4922">
        <w:rPr>
          <w:rFonts w:ascii="Arial" w:hAnsi="Arial"/>
          <w:color w:val="000000"/>
          <w:szCs w:val="24"/>
        </w:rPr>
        <w:t>Tzachor</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highlight w:val="yellow"/>
        </w:rPr>
        <w:t>., 2023; Miine et al., 2023). A systematic</w:t>
      </w:r>
      <w:r w:rsidRPr="003A4922">
        <w:rPr>
          <w:rFonts w:ascii="Arial" w:hAnsi="Arial"/>
          <w:color w:val="000000"/>
          <w:szCs w:val="24"/>
        </w:rPr>
        <w:t xml:space="preserve"> review of 141 studies on interactive digital extension services identified thirteen distinct opportunities and twenty-one distinct barriers to their expansion in developing countries, underscoring that infrastructure investment alone is insufficient without complementary attention to training, affordability, and locally adapted design (Sen </w:t>
      </w:r>
      <w:r w:rsidRPr="003A4922">
        <w:rPr>
          <w:rFonts w:ascii="Arial" w:hAnsi="Arial"/>
          <w:i/>
          <w:iCs/>
          <w:color w:val="000000"/>
          <w:szCs w:val="24"/>
        </w:rPr>
        <w:t>et al</w:t>
      </w:r>
      <w:r w:rsidRPr="003A4922">
        <w:rPr>
          <w:rFonts w:ascii="Arial" w:hAnsi="Arial"/>
          <w:color w:val="000000"/>
          <w:szCs w:val="24"/>
        </w:rPr>
        <w:t>., 2025). AI-enabled financial-inclusion tools that extend credit access to smallholders without formal credit histories are increasingly framed as a necessary complement to infrastructure investment, since affordability, not merely connectivity, is repeatedly identified as a binding constraint on technology adoption (Meemken &amp; Bellemare, 2020).</w:t>
      </w:r>
    </w:p>
    <w:p w14:paraId="3DCF0513"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 xml:space="preserve">11. Circular Agriculture and Resource/Waste </w:t>
      </w:r>
      <w:r w:rsidRPr="003A4922">
        <w:rPr>
          <w:rFonts w:ascii="Arial" w:hAnsi="Arial"/>
          <w:b/>
          <w:bCs/>
          <w:caps/>
          <w:color w:val="000000"/>
          <w:sz w:val="22"/>
          <w:szCs w:val="24"/>
          <w:highlight w:val="yellow"/>
        </w:rPr>
        <w:t>Optimisation</w:t>
      </w:r>
    </w:p>
    <w:p w14:paraId="4A02870A"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 final domain in which the agribusiness-intelligence framework applies is circular agriculture, the application of digital technologies to </w:t>
      </w:r>
      <w:r w:rsidRPr="003A4922">
        <w:rPr>
          <w:rFonts w:ascii="Arial" w:hAnsi="Arial"/>
          <w:color w:val="000000"/>
          <w:szCs w:val="24"/>
          <w:highlight w:val="yellow"/>
        </w:rPr>
        <w:t>minimise</w:t>
      </w:r>
      <w:r w:rsidRPr="003A4922">
        <w:rPr>
          <w:rFonts w:ascii="Arial" w:hAnsi="Arial"/>
          <w:color w:val="000000"/>
          <w:szCs w:val="24"/>
        </w:rPr>
        <w:t xml:space="preserve"> waste and </w:t>
      </w:r>
      <w:r w:rsidRPr="003A4922">
        <w:rPr>
          <w:rFonts w:ascii="Arial" w:hAnsi="Arial"/>
          <w:color w:val="000000"/>
          <w:szCs w:val="24"/>
          <w:highlight w:val="yellow"/>
        </w:rPr>
        <w:t>maximise</w:t>
      </w:r>
      <w:r w:rsidRPr="003A4922">
        <w:rPr>
          <w:rFonts w:ascii="Arial" w:hAnsi="Arial"/>
          <w:color w:val="000000"/>
          <w:szCs w:val="24"/>
        </w:rPr>
        <w:t xml:space="preserve"> resource recovery across the agri-food value chain. </w:t>
      </w:r>
      <w:r w:rsidRPr="003A4922">
        <w:rPr>
          <w:rFonts w:ascii="Arial" w:hAnsi="Arial"/>
          <w:color w:val="000000"/>
          <w:szCs w:val="24"/>
          <w:highlight w:val="yellow"/>
        </w:rPr>
        <w:t>A systematic review of the circular agri-food waste literature identifies</w:t>
      </w:r>
      <w:r w:rsidRPr="003A4922">
        <w:rPr>
          <w:rFonts w:ascii="Arial" w:hAnsi="Arial"/>
          <w:color w:val="000000"/>
          <w:szCs w:val="24"/>
        </w:rPr>
        <w:t xml:space="preserve"> predictive waste-flow analytics, smart traceability systems, and circular bioeconomy applications such as anaerobic digestion and pyrolysis as major research clusters, with </w:t>
      </w:r>
      <w:r w:rsidRPr="003A4922">
        <w:rPr>
          <w:rFonts w:ascii="Arial" w:hAnsi="Arial"/>
          <w:color w:val="000000"/>
          <w:szCs w:val="24"/>
        </w:rPr>
        <w:lastRenderedPageBreak/>
        <w:t>artificial intelligence increasingly positioned as a driver of digital transformation toward the Sustainable Development Goals concerned with responsible consumption and industry innovation (</w:t>
      </w:r>
      <w:proofErr w:type="spellStart"/>
      <w:r w:rsidRPr="003A4922">
        <w:rPr>
          <w:rFonts w:ascii="Arial" w:hAnsi="Arial"/>
          <w:color w:val="000000"/>
          <w:szCs w:val="24"/>
        </w:rPr>
        <w:t>Censi</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2025). De</w:t>
      </w:r>
      <w:r w:rsidRPr="003A4922">
        <w:rPr>
          <w:rFonts w:ascii="Arial" w:hAnsi="Arial"/>
          <w:color w:val="000000"/>
          <w:szCs w:val="24"/>
          <w:highlight w:val="yellow"/>
        </w:rPr>
        <w:t>centralised</w:t>
      </w:r>
      <w:r w:rsidRPr="003A4922">
        <w:rPr>
          <w:rFonts w:ascii="Arial" w:hAnsi="Arial"/>
          <w:color w:val="000000"/>
          <w:szCs w:val="24"/>
        </w:rPr>
        <w:t>, digitally enabled waste-to-resource systems combining biomass engineering, pyrolysis, and adsorption technologies have been reported to reduce transportation-related emissions substantially while achieving meaningful rates of bio-oil recovery and biochar carbon retention.</w:t>
      </w:r>
    </w:p>
    <w:p w14:paraId="5E035C01"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Adoption of circular-economy digital tools follows patterns similar to those documented for FMIS and digital extension services: </w:t>
      </w:r>
      <w:r w:rsidRPr="003A4922">
        <w:rPr>
          <w:rFonts w:ascii="Arial" w:hAnsi="Arial"/>
          <w:color w:val="000000"/>
          <w:szCs w:val="24"/>
          <w:highlight w:val="yellow"/>
        </w:rPr>
        <w:t>behavioural</w:t>
      </w:r>
      <w:r w:rsidRPr="003A4922">
        <w:rPr>
          <w:rFonts w:ascii="Arial" w:hAnsi="Arial"/>
          <w:color w:val="000000"/>
          <w:szCs w:val="24"/>
        </w:rPr>
        <w:t>-intention research on agricultural waste-</w:t>
      </w:r>
      <w:r w:rsidRPr="003A4922">
        <w:rPr>
          <w:rFonts w:ascii="Arial" w:hAnsi="Arial"/>
          <w:color w:val="000000"/>
          <w:szCs w:val="24"/>
          <w:highlight w:val="yellow"/>
        </w:rPr>
        <w:t>valorisation</w:t>
      </w:r>
      <w:r w:rsidRPr="003A4922">
        <w:rPr>
          <w:rFonts w:ascii="Arial" w:hAnsi="Arial"/>
          <w:color w:val="000000"/>
          <w:szCs w:val="24"/>
        </w:rPr>
        <w:t xml:space="preserve"> technology in Thailand found that social influence, price value, and trust significantly affected adoption intention among older and mixed-income users, while younger, lower-income users responded to a different set of drivers (</w:t>
      </w:r>
      <w:proofErr w:type="spellStart"/>
      <w:r w:rsidRPr="003A4922">
        <w:rPr>
          <w:rFonts w:ascii="Arial" w:hAnsi="Arial"/>
          <w:color w:val="000000"/>
          <w:szCs w:val="24"/>
        </w:rPr>
        <w:t>Pienwisetkaew</w:t>
      </w:r>
      <w:proofErr w:type="spellEnd"/>
      <w:r w:rsidRPr="003A4922">
        <w:rPr>
          <w:rFonts w:ascii="Arial" w:hAnsi="Arial"/>
          <w:color w:val="000000"/>
          <w:szCs w:val="24"/>
        </w:rPr>
        <w:t xml:space="preserve"> </w:t>
      </w:r>
      <w:r w:rsidRPr="003A4922">
        <w:rPr>
          <w:rFonts w:ascii="Arial" w:hAnsi="Arial"/>
          <w:i/>
          <w:iCs/>
          <w:color w:val="000000"/>
          <w:szCs w:val="24"/>
        </w:rPr>
        <w:t>et al</w:t>
      </w:r>
      <w:r w:rsidRPr="003A4922">
        <w:rPr>
          <w:rFonts w:ascii="Arial" w:hAnsi="Arial"/>
          <w:color w:val="000000"/>
          <w:szCs w:val="24"/>
        </w:rPr>
        <w:t>., 2023), again reinforcing that technology adoption in agribusiness is jointly determined by technical capability and socio-</w:t>
      </w:r>
      <w:r w:rsidRPr="003A4922">
        <w:rPr>
          <w:rFonts w:ascii="Arial" w:hAnsi="Arial"/>
          <w:color w:val="000000"/>
          <w:szCs w:val="24"/>
          <w:highlight w:val="yellow"/>
        </w:rPr>
        <w:t>organisational</w:t>
      </w:r>
      <w:r w:rsidRPr="003A4922">
        <w:rPr>
          <w:rFonts w:ascii="Arial" w:hAnsi="Arial"/>
          <w:color w:val="000000"/>
          <w:szCs w:val="24"/>
        </w:rPr>
        <w:t xml:space="preserve"> context rather than by algorithmic performance alone.</w:t>
      </w:r>
    </w:p>
    <w:p w14:paraId="41ED763E"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12. Synthesis: Toward Integrated Decision-Support Systems</w:t>
      </w:r>
    </w:p>
    <w:p w14:paraId="4DDE073B"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Table 2 </w:t>
      </w:r>
      <w:r w:rsidRPr="003A4922">
        <w:rPr>
          <w:rFonts w:ascii="Arial" w:hAnsi="Arial"/>
          <w:color w:val="000000"/>
          <w:szCs w:val="24"/>
          <w:highlight w:val="yellow"/>
        </w:rPr>
        <w:t>synthesises</w:t>
      </w:r>
      <w:r w:rsidRPr="003A4922">
        <w:rPr>
          <w:rFonts w:ascii="Arial" w:hAnsi="Arial"/>
          <w:color w:val="000000"/>
          <w:szCs w:val="24"/>
        </w:rPr>
        <w:t xml:space="preserve"> the ten thematic domains reviewed above, mapping each to its core technologies, the agribusiness decision it primarily supports, and representative sources. </w:t>
      </w:r>
      <w:r w:rsidRPr="003A4922">
        <w:rPr>
          <w:rFonts w:ascii="Arial" w:hAnsi="Arial"/>
          <w:color w:val="000000"/>
          <w:szCs w:val="24"/>
          <w:highlight w:val="yellow"/>
        </w:rPr>
        <w:t>Read across the rows,</w:t>
      </w:r>
      <w:r w:rsidRPr="003A4922">
        <w:rPr>
          <w:rFonts w:ascii="Arial" w:hAnsi="Arial"/>
          <w:color w:val="000000"/>
          <w:szCs w:val="24"/>
        </w:rPr>
        <w:t xml:space="preserve"> the table illustrates the argument developed in Section 3: each domain, from big-data collection through circular-economy waste </w:t>
      </w:r>
      <w:r w:rsidRPr="003A4922">
        <w:rPr>
          <w:rFonts w:ascii="Arial" w:hAnsi="Arial"/>
          <w:color w:val="000000"/>
          <w:szCs w:val="24"/>
          <w:highlight w:val="yellow"/>
        </w:rPr>
        <w:t>valorisation</w:t>
      </w:r>
      <w:r w:rsidRPr="003A4922">
        <w:rPr>
          <w:rFonts w:ascii="Arial" w:hAnsi="Arial"/>
          <w:color w:val="000000"/>
          <w:szCs w:val="24"/>
        </w:rPr>
        <w:t>, ultimately routes through an information-systems layer (FMIS, DSS, or supply-chain platform) before it becomes an actionable agribusiness decision. No domain reviewed here generates sustainable outcomes through data or algorithms alone.</w:t>
      </w:r>
    </w:p>
    <w:p w14:paraId="59C8530D" w14:textId="77777777" w:rsidR="007F76E3" w:rsidRPr="003A4922" w:rsidRDefault="007F76E3" w:rsidP="00965274">
      <w:pPr>
        <w:spacing w:before="120"/>
        <w:rPr>
          <w:color w:val="000000" w:themeColor="text1"/>
          <w:sz w:val="24"/>
          <w:szCs w:val="24"/>
        </w:rPr>
      </w:pPr>
    </w:p>
    <w:p w14:paraId="7526F3C9" w14:textId="77777777" w:rsidR="007F76E3" w:rsidRPr="003A4922" w:rsidRDefault="007F76E3" w:rsidP="00965274">
      <w:pPr>
        <w:spacing w:before="120"/>
        <w:rPr>
          <w:color w:val="000000" w:themeColor="text1"/>
          <w:sz w:val="24"/>
          <w:szCs w:val="24"/>
        </w:rPr>
      </w:pPr>
    </w:p>
    <w:p w14:paraId="72634C98" w14:textId="77777777" w:rsidR="007F76E3" w:rsidRPr="003A4922" w:rsidRDefault="007F76E3" w:rsidP="00965274">
      <w:pPr>
        <w:spacing w:before="120"/>
        <w:rPr>
          <w:color w:val="000000" w:themeColor="text1"/>
          <w:sz w:val="24"/>
          <w:szCs w:val="24"/>
        </w:rPr>
      </w:pPr>
    </w:p>
    <w:p w14:paraId="667E56AE" w14:textId="77777777" w:rsidR="007F76E3" w:rsidRPr="003A4922" w:rsidRDefault="007F76E3" w:rsidP="00965274">
      <w:pPr>
        <w:spacing w:before="120"/>
        <w:rPr>
          <w:color w:val="000000" w:themeColor="text1"/>
          <w:sz w:val="24"/>
          <w:szCs w:val="24"/>
        </w:rPr>
      </w:pPr>
    </w:p>
    <w:p w14:paraId="17D04DF8" w14:textId="77777777" w:rsidR="007F76E3" w:rsidRPr="003A4922" w:rsidRDefault="007F76E3" w:rsidP="00965274">
      <w:pPr>
        <w:spacing w:before="120"/>
        <w:rPr>
          <w:color w:val="000000" w:themeColor="text1"/>
          <w:sz w:val="24"/>
          <w:szCs w:val="24"/>
        </w:rPr>
        <w:sectPr w:rsidR="007F76E3" w:rsidRPr="003A4922" w:rsidSect="00944DF7">
          <w:headerReference w:type="even" r:id="rId20"/>
          <w:headerReference w:type="default" r:id="rId21"/>
          <w:footerReference w:type="default" r:id="rId22"/>
          <w:headerReference w:type="first" r:id="rId23"/>
          <w:type w:val="continuous"/>
          <w:pgSz w:w="12240" w:h="15840"/>
          <w:pgMar w:top="1440" w:right="2016" w:bottom="2016" w:left="2016" w:header="708" w:footer="708" w:gutter="0"/>
          <w:cols w:space="720"/>
          <w:docGrid w:linePitch="360"/>
        </w:sectPr>
      </w:pPr>
    </w:p>
    <w:p w14:paraId="2D4BE721" w14:textId="77777777" w:rsidR="0036003E" w:rsidRPr="003A4922" w:rsidRDefault="0036003E" w:rsidP="00965274">
      <w:pPr>
        <w:spacing w:before="120"/>
        <w:rPr>
          <w:color w:val="000000" w:themeColor="text1"/>
          <w:sz w:val="24"/>
          <w:szCs w:val="24"/>
        </w:rPr>
      </w:pPr>
      <w:r w:rsidRPr="003A4922">
        <w:rPr>
          <w:rFonts w:ascii="Arial" w:hAnsi="Arial"/>
          <w:b/>
          <w:color w:val="000000"/>
          <w:szCs w:val="24"/>
        </w:rPr>
        <w:lastRenderedPageBreak/>
        <w:t>Table 2. Thematic domains in AI- and data-driven agribusiness transformation, mapped to core technologies and the decisions they support.</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2315"/>
        <w:gridCol w:w="3929"/>
        <w:gridCol w:w="3718"/>
        <w:gridCol w:w="3718"/>
      </w:tblGrid>
      <w:tr w:rsidR="001207A1" w:rsidRPr="003A4922" w14:paraId="67A8947D" w14:textId="77777777" w:rsidTr="0036003E">
        <w:trPr>
          <w:tblHeader/>
        </w:trPr>
        <w:tc>
          <w:tcPr>
            <w:tcW w:w="2315" w:type="dxa"/>
            <w:tcBorders>
              <w:bottom w:val="single" w:sz="6" w:space="0" w:color="auto"/>
            </w:tcBorders>
            <w:tcMar>
              <w:top w:w="40" w:type="dxa"/>
              <w:left w:w="80" w:type="dxa"/>
              <w:bottom w:w="40" w:type="dxa"/>
              <w:right w:w="80" w:type="dxa"/>
            </w:tcMar>
          </w:tcPr>
          <w:p w14:paraId="53EEB42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Focus Domain</w:t>
            </w:r>
          </w:p>
        </w:tc>
        <w:tc>
          <w:tcPr>
            <w:tcW w:w="3929" w:type="dxa"/>
            <w:tcBorders>
              <w:bottom w:val="single" w:sz="6" w:space="0" w:color="auto"/>
            </w:tcBorders>
            <w:tcMar>
              <w:top w:w="40" w:type="dxa"/>
              <w:left w:w="80" w:type="dxa"/>
              <w:bottom w:w="40" w:type="dxa"/>
              <w:right w:w="80" w:type="dxa"/>
            </w:tcMar>
          </w:tcPr>
          <w:p w14:paraId="07813959"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Core Technologies / Methods</w:t>
            </w:r>
          </w:p>
        </w:tc>
        <w:tc>
          <w:tcPr>
            <w:tcW w:w="3718" w:type="dxa"/>
            <w:tcBorders>
              <w:bottom w:val="single" w:sz="6" w:space="0" w:color="auto"/>
            </w:tcBorders>
            <w:tcMar>
              <w:top w:w="40" w:type="dxa"/>
              <w:left w:w="80" w:type="dxa"/>
              <w:bottom w:w="40" w:type="dxa"/>
              <w:right w:w="80" w:type="dxa"/>
            </w:tcMar>
          </w:tcPr>
          <w:p w14:paraId="0381B94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Agribusiness Decision Supported</w:t>
            </w:r>
          </w:p>
        </w:tc>
        <w:tc>
          <w:tcPr>
            <w:tcW w:w="3718" w:type="dxa"/>
            <w:tcBorders>
              <w:bottom w:val="single" w:sz="6" w:space="0" w:color="auto"/>
            </w:tcBorders>
            <w:tcMar>
              <w:top w:w="40" w:type="dxa"/>
              <w:left w:w="80" w:type="dxa"/>
              <w:bottom w:w="40" w:type="dxa"/>
              <w:right w:w="80" w:type="dxa"/>
            </w:tcMar>
          </w:tcPr>
          <w:p w14:paraId="22AD267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Representative Sources</w:t>
            </w:r>
          </w:p>
        </w:tc>
      </w:tr>
      <w:tr w:rsidR="001207A1" w:rsidRPr="003A4922" w14:paraId="096EB915" w14:textId="77777777" w:rsidTr="0036003E">
        <w:tc>
          <w:tcPr>
            <w:tcW w:w="2315" w:type="dxa"/>
            <w:tcMar>
              <w:top w:w="40" w:type="dxa"/>
              <w:left w:w="80" w:type="dxa"/>
              <w:bottom w:w="40" w:type="dxa"/>
              <w:right w:w="80" w:type="dxa"/>
            </w:tcMar>
          </w:tcPr>
          <w:p w14:paraId="49557EA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Big-data collection &amp; integration</w:t>
            </w:r>
          </w:p>
        </w:tc>
        <w:tc>
          <w:tcPr>
            <w:tcW w:w="3929" w:type="dxa"/>
            <w:tcMar>
              <w:top w:w="40" w:type="dxa"/>
              <w:left w:w="80" w:type="dxa"/>
              <w:bottom w:w="40" w:type="dxa"/>
              <w:right w:w="80" w:type="dxa"/>
            </w:tcMar>
          </w:tcPr>
          <w:p w14:paraId="6FE81D6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IoT sensors, drones, satellite/remote sensing, weather stations</w:t>
            </w:r>
          </w:p>
        </w:tc>
        <w:tc>
          <w:tcPr>
            <w:tcW w:w="3718" w:type="dxa"/>
            <w:tcMar>
              <w:top w:w="40" w:type="dxa"/>
              <w:left w:w="80" w:type="dxa"/>
              <w:bottom w:w="40" w:type="dxa"/>
              <w:right w:w="80" w:type="dxa"/>
            </w:tcMar>
          </w:tcPr>
          <w:p w14:paraId="36BC479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Field-level monitoring and situational awareness</w:t>
            </w:r>
          </w:p>
        </w:tc>
        <w:tc>
          <w:tcPr>
            <w:tcW w:w="3718" w:type="dxa"/>
            <w:tcMar>
              <w:top w:w="40" w:type="dxa"/>
              <w:left w:w="80" w:type="dxa"/>
              <w:bottom w:w="40" w:type="dxa"/>
              <w:right w:w="80" w:type="dxa"/>
            </w:tcMar>
          </w:tcPr>
          <w:p w14:paraId="70124F0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Alahmad et al. (2023); Abbasi et al. (2022); Rejeb et al. (2021)</w:t>
            </w:r>
            <w:r w:rsidRPr="003A4922">
              <w:rPr>
                <w:rFonts w:ascii="Arial" w:hAnsi="Arial"/>
                <w:i/>
                <w:iCs/>
                <w:color w:val="000000" w:themeColor="text1"/>
                <w:sz w:val="16"/>
                <w:szCs w:val="24"/>
              </w:rPr>
            </w:r>
            <w:r w:rsidR="007F76E3" w:rsidRPr="003A4922">
              <w:rPr>
                <w:rFonts w:ascii="Arial" w:hAnsi="Arial"/>
                <w:i/>
                <w:iCs/>
                <w:color w:val="000000" w:themeColor="text1"/>
                <w:sz w:val="16"/>
                <w:szCs w:val="24"/>
              </w:rPr>
            </w:r>
            <w:r w:rsidRPr="003A4922">
              <w:rPr>
                <w:rFonts w:ascii="Arial" w:hAnsi="Arial"/>
                <w:color w:val="000000" w:themeColor="text1"/>
                <w:sz w:val="16"/>
                <w:szCs w:val="24"/>
              </w:rPr>
            </w:r>
            <w:r w:rsidRPr="003A4922">
              <w:rPr>
                <w:rFonts w:ascii="Arial" w:hAnsi="Arial"/>
                <w:i/>
                <w:iCs/>
                <w:color w:val="000000" w:themeColor="text1"/>
                <w:sz w:val="16"/>
                <w:szCs w:val="24"/>
              </w:rPr>
            </w:r>
            <w:r w:rsidR="007F76E3" w:rsidRPr="003A4922">
              <w:rPr>
                <w:rFonts w:ascii="Arial" w:hAnsi="Arial"/>
                <w:color w:val="000000" w:themeColor="text1"/>
                <w:sz w:val="16"/>
                <w:szCs w:val="24"/>
              </w:rPr>
            </w:r>
            <w:r w:rsidRPr="003A4922">
              <w:rPr>
                <w:rFonts w:ascii="Arial" w:hAnsi="Arial"/>
                <w:color w:val="000000" w:themeColor="text1"/>
                <w:sz w:val="16"/>
                <w:szCs w:val="24"/>
              </w:rPr>
            </w:r>
            <w:r w:rsidRPr="003A4922">
              <w:rPr>
                <w:rFonts w:ascii="Arial" w:hAnsi="Arial"/>
                <w:i/>
                <w:iCs/>
                <w:color w:val="000000" w:themeColor="text1"/>
                <w:sz w:val="16"/>
                <w:szCs w:val="24"/>
              </w:rPr>
            </w:r>
            <w:r w:rsidR="007F76E3" w:rsidRPr="003A4922">
              <w:rPr>
                <w:rFonts w:ascii="Arial" w:hAnsi="Arial"/>
                <w:color w:val="000000" w:themeColor="text1"/>
                <w:sz w:val="16"/>
                <w:szCs w:val="24"/>
              </w:rPr>
            </w:r>
            <w:r w:rsidRPr="003A4922">
              <w:rPr>
                <w:rFonts w:ascii="Arial" w:hAnsi="Arial"/>
                <w:color w:val="000000" w:themeColor="text1"/>
                <w:sz w:val="16"/>
                <w:szCs w:val="24"/>
              </w:rPr>
            </w:r>
          </w:p>
        </w:tc>
      </w:tr>
      <w:tr w:rsidR="001207A1" w:rsidRPr="003A4922" w14:paraId="7EC9DC8B" w14:textId="77777777" w:rsidTr="0036003E">
        <w:tc>
          <w:tcPr>
            <w:tcW w:w="2315" w:type="dxa"/>
            <w:tcMar>
              <w:top w:w="40" w:type="dxa"/>
              <w:left w:w="80" w:type="dxa"/>
              <w:bottom w:w="40" w:type="dxa"/>
              <w:right w:w="80" w:type="dxa"/>
            </w:tcMar>
          </w:tcPr>
          <w:p w14:paraId="77BEFFB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 &amp; prescriptive analytics</w:t>
            </w:r>
          </w:p>
        </w:tc>
        <w:tc>
          <w:tcPr>
            <w:tcW w:w="3929" w:type="dxa"/>
            <w:tcMar>
              <w:top w:w="40" w:type="dxa"/>
              <w:left w:w="80" w:type="dxa"/>
              <w:bottom w:w="40" w:type="dxa"/>
              <w:right w:w="80" w:type="dxa"/>
            </w:tcMar>
          </w:tcPr>
          <w:p w14:paraId="75650C4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Time-series forecasting (ARIMA/SARIMA), regression, optimization models</w:t>
            </w:r>
          </w:p>
        </w:tc>
        <w:tc>
          <w:tcPr>
            <w:tcW w:w="3718" w:type="dxa"/>
            <w:tcMar>
              <w:top w:w="40" w:type="dxa"/>
              <w:left w:w="80" w:type="dxa"/>
              <w:bottom w:w="40" w:type="dxa"/>
              <w:right w:w="80" w:type="dxa"/>
            </w:tcMar>
          </w:tcPr>
          <w:p w14:paraId="409624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Yield forecasting, input scheduling, price forecasting</w:t>
            </w:r>
          </w:p>
        </w:tc>
        <w:tc>
          <w:tcPr>
            <w:tcW w:w="3718" w:type="dxa"/>
            <w:tcMar>
              <w:top w:w="40" w:type="dxa"/>
              <w:left w:w="80" w:type="dxa"/>
              <w:bottom w:w="40" w:type="dxa"/>
              <w:right w:w="80" w:type="dxa"/>
            </w:tcMar>
          </w:tcPr>
          <w:p w14:paraId="5AF8330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Tantalaki et al. (2019); Dhal &amp; Kar (2024)</w:t>
            </w:r>
            <w:r w:rsidRPr="003A4922">
              <w:rPr>
                <w:rFonts w:ascii="Arial" w:hAnsi="Arial"/>
                <w:i/>
                <w:iCs/>
                <w:color w:val="000000" w:themeColor="text1"/>
                <w:sz w:val="16"/>
                <w:szCs w:val="24"/>
              </w:rPr>
            </w:r>
            <w:r w:rsidR="007F76E3" w:rsidRPr="003A4922">
              <w:rPr>
                <w:rFonts w:ascii="Arial" w:hAnsi="Arial"/>
                <w:i/>
                <w:iCs/>
                <w:color w:val="000000" w:themeColor="text1"/>
                <w:sz w:val="16"/>
                <w:szCs w:val="24"/>
              </w:rPr>
            </w:r>
            <w:r w:rsidRPr="003A4922">
              <w:rPr>
                <w:rFonts w:ascii="Arial" w:hAnsi="Arial"/>
                <w:color w:val="000000" w:themeColor="text1"/>
                <w:sz w:val="16"/>
                <w:szCs w:val="24"/>
              </w:rPr>
            </w:r>
          </w:p>
        </w:tc>
      </w:tr>
      <w:tr w:rsidR="001207A1" w:rsidRPr="003A4922" w14:paraId="78D84EC8" w14:textId="77777777" w:rsidTr="0036003E">
        <w:tc>
          <w:tcPr>
            <w:tcW w:w="2315" w:type="dxa"/>
            <w:tcMar>
              <w:top w:w="40" w:type="dxa"/>
              <w:left w:w="80" w:type="dxa"/>
              <w:bottom w:w="40" w:type="dxa"/>
              <w:right w:w="80" w:type="dxa"/>
            </w:tcMar>
          </w:tcPr>
          <w:p w14:paraId="211EB44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Machine learning for decisions</w:t>
            </w:r>
          </w:p>
        </w:tc>
        <w:tc>
          <w:tcPr>
            <w:tcW w:w="3929" w:type="dxa"/>
            <w:tcMar>
              <w:top w:w="40" w:type="dxa"/>
              <w:left w:w="80" w:type="dxa"/>
              <w:bottom w:w="40" w:type="dxa"/>
              <w:right w:w="80" w:type="dxa"/>
            </w:tcMar>
          </w:tcPr>
          <w:p w14:paraId="31F63A3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CNNs, deep learning, ensemble models, LSTM</w:t>
            </w:r>
          </w:p>
        </w:tc>
        <w:tc>
          <w:tcPr>
            <w:tcW w:w="3718" w:type="dxa"/>
            <w:tcMar>
              <w:top w:w="40" w:type="dxa"/>
              <w:left w:w="80" w:type="dxa"/>
              <w:bottom w:w="40" w:type="dxa"/>
              <w:right w:w="80" w:type="dxa"/>
            </w:tcMar>
          </w:tcPr>
          <w:p w14:paraId="4E25367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Pest/disease detection, yield prediction, risk scoring</w:t>
            </w:r>
          </w:p>
        </w:tc>
        <w:tc>
          <w:tcPr>
            <w:tcW w:w="3718" w:type="dxa"/>
            <w:tcMar>
              <w:top w:w="40" w:type="dxa"/>
              <w:left w:w="80" w:type="dxa"/>
              <w:bottom w:w="40" w:type="dxa"/>
              <w:right w:w="80" w:type="dxa"/>
            </w:tcMar>
          </w:tcPr>
          <w:p w14:paraId="04A63F5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Cravero et al. (2026); Ugwu et al. (2025)</w:t>
            </w:r>
            <w:r w:rsidRPr="003A4922">
              <w:rPr>
                <w:rFonts w:ascii="Arial" w:hAnsi="Arial"/>
                <w:i/>
                <w:iCs/>
                <w:color w:val="000000" w:themeColor="text1"/>
                <w:sz w:val="16"/>
                <w:szCs w:val="24"/>
              </w:rPr>
            </w:r>
            <w:r w:rsidR="007F76E3" w:rsidRPr="003A4922">
              <w:rPr>
                <w:rFonts w:ascii="Arial" w:hAnsi="Arial"/>
                <w:color w:val="000000" w:themeColor="text1"/>
                <w:sz w:val="16"/>
                <w:szCs w:val="24"/>
              </w:rPr>
            </w:r>
            <w:r w:rsidRPr="003A4922">
              <w:rPr>
                <w:rFonts w:ascii="Arial" w:hAnsi="Arial"/>
                <w:color w:val="000000" w:themeColor="text1"/>
                <w:sz w:val="16"/>
                <w:szCs w:val="24"/>
              </w:rPr>
            </w:r>
          </w:p>
        </w:tc>
      </w:tr>
      <w:tr w:rsidR="001207A1" w:rsidRPr="003A4922" w14:paraId="20A0532A" w14:textId="77777777" w:rsidTr="0036003E">
        <w:tc>
          <w:tcPr>
            <w:tcW w:w="2315" w:type="dxa"/>
            <w:tcMar>
              <w:top w:w="40" w:type="dxa"/>
              <w:left w:w="80" w:type="dxa"/>
              <w:bottom w:w="40" w:type="dxa"/>
              <w:right w:w="80" w:type="dxa"/>
            </w:tcMar>
          </w:tcPr>
          <w:p w14:paraId="1D5343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Management Information Systems (FMIS)</w:t>
            </w:r>
          </w:p>
        </w:tc>
        <w:tc>
          <w:tcPr>
            <w:tcW w:w="3929" w:type="dxa"/>
            <w:tcMar>
              <w:top w:w="40" w:type="dxa"/>
              <w:left w:w="80" w:type="dxa"/>
              <w:bottom w:w="40" w:type="dxa"/>
              <w:right w:w="80" w:type="dxa"/>
            </w:tcMar>
          </w:tcPr>
          <w:p w14:paraId="1E55F31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Cloud/edge platforms, database-driven record systems, APIs</w:t>
            </w:r>
          </w:p>
        </w:tc>
        <w:tc>
          <w:tcPr>
            <w:tcW w:w="3718" w:type="dxa"/>
            <w:tcMar>
              <w:top w:w="40" w:type="dxa"/>
              <w:left w:w="80" w:type="dxa"/>
              <w:bottom w:w="40" w:type="dxa"/>
              <w:right w:w="80" w:type="dxa"/>
            </w:tcMar>
          </w:tcPr>
          <w:p w14:paraId="625AB7E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Operational planning, compliance, cost allocation</w:t>
            </w:r>
          </w:p>
        </w:tc>
        <w:tc>
          <w:tcPr>
            <w:tcW w:w="3718" w:type="dxa"/>
            <w:tcMar>
              <w:top w:w="40" w:type="dxa"/>
              <w:left w:w="80" w:type="dxa"/>
              <w:bottom w:w="40" w:type="dxa"/>
              <w:right w:w="80" w:type="dxa"/>
            </w:tcMar>
          </w:tcPr>
          <w:p w14:paraId="4D4D115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Fountas et al. (2015); Carrer (2023); de Souza Filho et al. (2025)</w:t>
            </w:r>
            <w:r w:rsidRPr="003A4922">
              <w:rPr>
                <w:rFonts w:ascii="Arial" w:hAnsi="Arial"/>
                <w:i/>
                <w:iCs/>
                <w:color w:val="000000" w:themeColor="text1"/>
                <w:sz w:val="16"/>
                <w:szCs w:val="24"/>
              </w:rPr>
            </w:r>
            <w:r w:rsidR="007F76E3" w:rsidRPr="003A4922">
              <w:rPr>
                <w:rFonts w:ascii="Arial" w:hAnsi="Arial"/>
                <w:color w:val="000000" w:themeColor="text1"/>
                <w:sz w:val="16"/>
                <w:szCs w:val="24"/>
              </w:rPr>
            </w:r>
            <w:r w:rsidRPr="003A4922">
              <w:rPr>
                <w:rFonts w:ascii="Arial" w:hAnsi="Arial"/>
                <w:color w:val="000000" w:themeColor="text1"/>
                <w:sz w:val="16"/>
                <w:szCs w:val="24"/>
              </w:rPr>
            </w:r>
            <w:r w:rsidRPr="003A4922">
              <w:rPr>
                <w:rFonts w:ascii="Arial" w:hAnsi="Arial"/>
                <w:i/>
                <w:iCs/>
                <w:color w:val="000000" w:themeColor="text1"/>
                <w:sz w:val="16"/>
                <w:szCs w:val="24"/>
              </w:rPr>
            </w:r>
            <w:r w:rsidR="007F76E3" w:rsidRPr="003A4922">
              <w:rPr>
                <w:rFonts w:ascii="Arial" w:hAnsi="Arial"/>
                <w:i/>
                <w:iCs/>
                <w:color w:val="000000" w:themeColor="text1"/>
                <w:sz w:val="16"/>
                <w:szCs w:val="24"/>
              </w:rPr>
            </w:r>
            <w:r w:rsidRPr="003A4922">
              <w:rPr>
                <w:rFonts w:ascii="Arial" w:hAnsi="Arial"/>
                <w:color w:val="000000" w:themeColor="text1"/>
                <w:sz w:val="16"/>
                <w:szCs w:val="24"/>
              </w:rPr>
            </w:r>
          </w:p>
        </w:tc>
      </w:tr>
      <w:tr w:rsidR="001207A1" w:rsidRPr="003A4922" w14:paraId="10A58C96" w14:textId="77777777" w:rsidTr="0036003E">
        <w:tc>
          <w:tcPr>
            <w:tcW w:w="2315" w:type="dxa"/>
            <w:tcMar>
              <w:top w:w="40" w:type="dxa"/>
              <w:left w:w="80" w:type="dxa"/>
              <w:bottom w:w="40" w:type="dxa"/>
              <w:right w:w="80" w:type="dxa"/>
            </w:tcMar>
          </w:tcPr>
          <w:p w14:paraId="41A32A1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AI-enabled supply-chain analytics</w:t>
            </w:r>
          </w:p>
        </w:tc>
        <w:tc>
          <w:tcPr>
            <w:tcW w:w="3929" w:type="dxa"/>
            <w:tcMar>
              <w:top w:w="40" w:type="dxa"/>
              <w:left w:w="80" w:type="dxa"/>
              <w:bottom w:w="40" w:type="dxa"/>
              <w:right w:w="80" w:type="dxa"/>
            </w:tcMar>
          </w:tcPr>
          <w:p w14:paraId="2B92277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Blockchain traceability, demand forecasting, logistics optimization</w:t>
            </w:r>
          </w:p>
        </w:tc>
        <w:tc>
          <w:tcPr>
            <w:tcW w:w="3718" w:type="dxa"/>
            <w:tcMar>
              <w:top w:w="40" w:type="dxa"/>
              <w:left w:w="80" w:type="dxa"/>
              <w:bottom w:w="40" w:type="dxa"/>
              <w:right w:w="80" w:type="dxa"/>
            </w:tcMar>
          </w:tcPr>
          <w:p w14:paraId="2100F72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Procurement, logistics, price-risk management</w:t>
            </w:r>
          </w:p>
        </w:tc>
        <w:tc>
          <w:tcPr>
            <w:tcW w:w="3718" w:type="dxa"/>
            <w:tcMar>
              <w:top w:w="40" w:type="dxa"/>
              <w:left w:w="80" w:type="dxa"/>
              <w:bottom w:w="40" w:type="dxa"/>
              <w:right w:w="80" w:type="dxa"/>
            </w:tcMar>
          </w:tcPr>
          <w:p w14:paraId="3D1604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Dhal &amp; Kar (2024); Ellahi et al. (2023)</w:t>
            </w:r>
          </w:p>
        </w:tc>
      </w:tr>
      <w:tr w:rsidR="001207A1" w:rsidRPr="003A4922" w14:paraId="011574CB" w14:textId="77777777" w:rsidTr="0036003E">
        <w:tc>
          <w:tcPr>
            <w:tcW w:w="2315" w:type="dxa"/>
            <w:tcMar>
              <w:top w:w="40" w:type="dxa"/>
              <w:left w:w="80" w:type="dxa"/>
              <w:bottom w:w="40" w:type="dxa"/>
              <w:right w:w="80" w:type="dxa"/>
            </w:tcMar>
          </w:tcPr>
          <w:p w14:paraId="3A0F1CA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Climate-risk prediction &amp; adaptation</w:t>
            </w:r>
          </w:p>
        </w:tc>
        <w:tc>
          <w:tcPr>
            <w:tcW w:w="3929" w:type="dxa"/>
            <w:tcMar>
              <w:top w:w="40" w:type="dxa"/>
              <w:left w:w="80" w:type="dxa"/>
              <w:bottom w:w="40" w:type="dxa"/>
              <w:right w:w="80" w:type="dxa"/>
            </w:tcMar>
          </w:tcPr>
          <w:p w14:paraId="70CA009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 climate models, satellite-based early warning</w:t>
            </w:r>
          </w:p>
        </w:tc>
        <w:tc>
          <w:tcPr>
            <w:tcW w:w="3718" w:type="dxa"/>
            <w:tcMar>
              <w:top w:w="40" w:type="dxa"/>
              <w:left w:w="80" w:type="dxa"/>
              <w:bottom w:w="40" w:type="dxa"/>
              <w:right w:w="80" w:type="dxa"/>
            </w:tcMar>
          </w:tcPr>
          <w:p w14:paraId="1084775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Disaster preparedness, insurance underwriting, planting windows</w:t>
            </w:r>
          </w:p>
        </w:tc>
        <w:tc>
          <w:tcPr>
            <w:tcW w:w="3718" w:type="dxa"/>
            <w:tcMar>
              <w:top w:w="40" w:type="dxa"/>
              <w:left w:w="80" w:type="dxa"/>
              <w:bottom w:w="40" w:type="dxa"/>
              <w:right w:w="80" w:type="dxa"/>
            </w:tcMar>
          </w:tcPr>
          <w:p w14:paraId="44E43015"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Ugwu et al. (2025); Dhal &amp; Kar (2024)</w:t>
            </w:r>
            <w:proofErr w:type="spellEnd"/>
            <w:r w:rsidRPr="003A4922">
              <w:rPr>
                <w:rFonts w:ascii="Arial" w:hAnsi="Arial"/>
                <w:color w:val="000000" w:themeColor="text1"/>
                <w:sz w:val="16"/>
                <w:szCs w:val="24"/>
              </w:rPr>
            </w:r>
          </w:p>
        </w:tc>
      </w:tr>
      <w:tr w:rsidR="001207A1" w:rsidRPr="003A4922" w14:paraId="0B3553AD" w14:textId="77777777" w:rsidTr="0036003E">
        <w:tc>
          <w:tcPr>
            <w:tcW w:w="2315" w:type="dxa"/>
            <w:tcMar>
              <w:top w:w="40" w:type="dxa"/>
              <w:left w:w="80" w:type="dxa"/>
              <w:bottom w:w="40" w:type="dxa"/>
              <w:right w:w="80" w:type="dxa"/>
            </w:tcMar>
          </w:tcPr>
          <w:p w14:paraId="2F2E371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Sustainability &amp; ESG analytics</w:t>
            </w:r>
          </w:p>
        </w:tc>
        <w:tc>
          <w:tcPr>
            <w:tcW w:w="3929" w:type="dxa"/>
            <w:tcMar>
              <w:top w:w="40" w:type="dxa"/>
              <w:left w:w="80" w:type="dxa"/>
              <w:bottom w:w="40" w:type="dxa"/>
              <w:right w:w="80" w:type="dxa"/>
            </w:tcMar>
          </w:tcPr>
          <w:p w14:paraId="1B04085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Carbon-footprint calculators, IPCC-aligned reporting dashboards</w:t>
            </w:r>
          </w:p>
        </w:tc>
        <w:tc>
          <w:tcPr>
            <w:tcW w:w="3718" w:type="dxa"/>
            <w:tcMar>
              <w:top w:w="40" w:type="dxa"/>
              <w:left w:w="80" w:type="dxa"/>
              <w:bottom w:w="40" w:type="dxa"/>
              <w:right w:w="80" w:type="dxa"/>
            </w:tcMar>
          </w:tcPr>
          <w:p w14:paraId="04C072D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Regulatory compliance, investor reporting, resource stewardship</w:t>
            </w:r>
          </w:p>
        </w:tc>
        <w:tc>
          <w:tcPr>
            <w:tcW w:w="3718" w:type="dxa"/>
            <w:tcMar>
              <w:top w:w="40" w:type="dxa"/>
              <w:left w:w="80" w:type="dxa"/>
              <w:bottom w:w="40" w:type="dxa"/>
              <w:right w:w="80" w:type="dxa"/>
            </w:tcMar>
          </w:tcPr>
          <w:p w14:paraId="66028F03"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Agribusiness Academy (2025); European Commission (2023); Science Based Targets initiative (2024)</w:t>
            </w:r>
            <w:proofErr w:type="spellEnd"/>
            <w:r w:rsidRPr="003A4922">
              <w:rPr>
                <w:rFonts w:ascii="Arial" w:hAnsi="Arial"/>
                <w:color w:val="000000" w:themeColor="text1"/>
                <w:sz w:val="16"/>
                <w:szCs w:val="24"/>
              </w:rPr>
            </w:r>
          </w:p>
        </w:tc>
      </w:tr>
      <w:tr w:rsidR="001207A1" w:rsidRPr="003A4922" w14:paraId="42F135DF" w14:textId="77777777" w:rsidTr="0036003E">
        <w:tc>
          <w:tcPr>
            <w:tcW w:w="2315" w:type="dxa"/>
            <w:tcMar>
              <w:top w:w="40" w:type="dxa"/>
              <w:left w:w="80" w:type="dxa"/>
              <w:bottom w:w="40" w:type="dxa"/>
              <w:right w:w="80" w:type="dxa"/>
            </w:tcMar>
          </w:tcPr>
          <w:p w14:paraId="17D7CD1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privacy &amp; cybersecurity</w:t>
            </w:r>
          </w:p>
        </w:tc>
        <w:tc>
          <w:tcPr>
            <w:tcW w:w="3929" w:type="dxa"/>
            <w:tcMar>
              <w:top w:w="40" w:type="dxa"/>
              <w:left w:w="80" w:type="dxa"/>
              <w:bottom w:w="40" w:type="dxa"/>
              <w:right w:w="80" w:type="dxa"/>
            </w:tcMar>
          </w:tcPr>
          <w:p w14:paraId="4CE3E2D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Federated learning, encryption, access-control frameworks</w:t>
            </w:r>
          </w:p>
        </w:tc>
        <w:tc>
          <w:tcPr>
            <w:tcW w:w="3718" w:type="dxa"/>
            <w:tcMar>
              <w:top w:w="40" w:type="dxa"/>
              <w:left w:w="80" w:type="dxa"/>
              <w:bottom w:w="40" w:type="dxa"/>
              <w:right w:w="80" w:type="dxa"/>
            </w:tcMar>
          </w:tcPr>
          <w:p w14:paraId="5D832D9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Risk mitigation, trust-building, regulatory compliance</w:t>
            </w:r>
          </w:p>
        </w:tc>
        <w:tc>
          <w:tcPr>
            <w:tcW w:w="3718" w:type="dxa"/>
            <w:tcMar>
              <w:top w:w="40" w:type="dxa"/>
              <w:left w:w="80" w:type="dxa"/>
              <w:bottom w:w="40" w:type="dxa"/>
              <w:right w:w="80" w:type="dxa"/>
            </w:tcMar>
          </w:tcPr>
          <w:p w14:paraId="0C7A17D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Ruder &amp; Wittman (2025); Rouzky et al. (2026)</w:t>
            </w:r>
          </w:p>
        </w:tc>
      </w:tr>
      <w:tr w:rsidR="001207A1" w:rsidRPr="003A4922" w14:paraId="43C170CF" w14:textId="77777777" w:rsidTr="0036003E">
        <w:tc>
          <w:tcPr>
            <w:tcW w:w="2315" w:type="dxa"/>
            <w:tcMar>
              <w:top w:w="40" w:type="dxa"/>
              <w:left w:w="80" w:type="dxa"/>
              <w:bottom w:w="40" w:type="dxa"/>
              <w:right w:w="80" w:type="dxa"/>
            </w:tcMar>
          </w:tcPr>
          <w:p w14:paraId="3AAC90A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3929" w:type="dxa"/>
            <w:tcMar>
              <w:top w:w="40" w:type="dxa"/>
              <w:left w:w="80" w:type="dxa"/>
              <w:bottom w:w="40" w:type="dxa"/>
              <w:right w:w="80" w:type="dxa"/>
            </w:tcMar>
          </w:tcPr>
          <w:p w14:paraId="0935BB3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Mobile advisory platforms, rural connectivity programs</w:t>
            </w:r>
          </w:p>
        </w:tc>
        <w:tc>
          <w:tcPr>
            <w:tcW w:w="3718" w:type="dxa"/>
            <w:tcMar>
              <w:top w:w="40" w:type="dxa"/>
              <w:left w:w="80" w:type="dxa"/>
              <w:bottom w:w="40" w:type="dxa"/>
              <w:right w:w="80" w:type="dxa"/>
            </w:tcMar>
          </w:tcPr>
          <w:p w14:paraId="6D5D274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Extension delivery, financial inclusion, market access</w:t>
            </w:r>
          </w:p>
        </w:tc>
        <w:tc>
          <w:tcPr>
            <w:tcW w:w="3718" w:type="dxa"/>
            <w:tcMar>
              <w:top w:w="40" w:type="dxa"/>
              <w:left w:w="80" w:type="dxa"/>
              <w:bottom w:w="40" w:type="dxa"/>
              <w:right w:w="80" w:type="dxa"/>
            </w:tcMar>
          </w:tcPr>
          <w:p w14:paraId="29B9460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Nxumalo &amp; Chauke (2025); Miine et al. (2023)</w:t>
            </w:r>
          </w:p>
        </w:tc>
      </w:tr>
      <w:tr w:rsidR="001207A1" w:rsidRPr="003A4922" w14:paraId="0B9C8E79" w14:textId="77777777" w:rsidTr="0036003E">
        <w:tc>
          <w:tcPr>
            <w:tcW w:w="2315" w:type="dxa"/>
            <w:tcMar>
              <w:top w:w="40" w:type="dxa"/>
              <w:left w:w="80" w:type="dxa"/>
              <w:bottom w:w="40" w:type="dxa"/>
              <w:right w:w="80" w:type="dxa"/>
            </w:tcMar>
          </w:tcPr>
          <w:p w14:paraId="6F119A5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 &amp; waste optimization</w:t>
            </w:r>
          </w:p>
        </w:tc>
        <w:tc>
          <w:tcPr>
            <w:tcW w:w="3929" w:type="dxa"/>
            <w:tcMar>
              <w:top w:w="40" w:type="dxa"/>
              <w:left w:w="80" w:type="dxa"/>
              <w:bottom w:w="40" w:type="dxa"/>
              <w:right w:w="80" w:type="dxa"/>
            </w:tcMar>
          </w:tcPr>
          <w:p w14:paraId="115B50C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AI-driven waste-flow forecasting, anaerobic digestion, pyrolysis</w:t>
            </w:r>
          </w:p>
        </w:tc>
        <w:tc>
          <w:tcPr>
            <w:tcW w:w="3718" w:type="dxa"/>
            <w:tcMar>
              <w:top w:w="40" w:type="dxa"/>
              <w:left w:w="80" w:type="dxa"/>
              <w:bottom w:w="40" w:type="dxa"/>
              <w:right w:w="80" w:type="dxa"/>
            </w:tcMar>
          </w:tcPr>
          <w:p w14:paraId="7736B34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Resource recovery, byproduct valorization, emissions reduction</w:t>
            </w:r>
          </w:p>
        </w:tc>
        <w:tc>
          <w:tcPr>
            <w:tcW w:w="3718" w:type="dxa"/>
            <w:tcMar>
              <w:top w:w="40" w:type="dxa"/>
              <w:left w:w="80" w:type="dxa"/>
              <w:bottom w:w="40" w:type="dxa"/>
              <w:right w:w="80" w:type="dxa"/>
            </w:tcMar>
          </w:tcPr>
          <w:p w14:paraId="0889054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Censi et al. (2025); Pienwisetkaew et al. (2023)</w:t>
            </w:r>
            <w:proofErr w:type="spellStart"/>
            <w:r w:rsidRPr="003A4922">
              <w:rPr>
                <w:rFonts w:ascii="Arial" w:hAnsi="Arial"/>
                <w:color w:val="000000" w:themeColor="text1"/>
                <w:sz w:val="16"/>
                <w:szCs w:val="24"/>
              </w:rPr>
            </w:r>
            <w:proofErr w:type="spellEnd"/>
            <w:r w:rsidRPr="003A4922">
              <w:rPr>
                <w:rFonts w:ascii="Arial" w:hAnsi="Arial"/>
                <w:color w:val="000000" w:themeColor="text1"/>
                <w:sz w:val="16"/>
                <w:szCs w:val="24"/>
              </w:rPr>
            </w:r>
          </w:p>
        </w:tc>
      </w:tr>
    </w:tbl>
    <w:p w14:paraId="10128057" w14:textId="77777777" w:rsidR="00D67B6C" w:rsidRPr="003A4922" w:rsidRDefault="00D67B6C">
      <w:pPr>
        <w:sectPr w:rsidR="00D67B6C" w:rsidRPr="003A4922" w:rsidSect="00944DF7">
          <w:headerReference w:type="even" r:id="rId24"/>
          <w:headerReference w:type="default" r:id="rId25"/>
          <w:footerReference w:type="default" r:id="rId26"/>
          <w:headerReference w:type="first" r:id="rId27"/>
          <w:type w:val="continuous"/>
          <w:pgSz w:w="15840" w:h="12240" w:orient="landscape"/>
          <w:pgMar w:top="864" w:right="1080" w:bottom="864" w:left="1080" w:header="432" w:footer="432" w:gutter="0"/>
          <w:cols w:space="720"/>
          <w:docGrid w:linePitch="360"/>
        </w:sectPr>
      </w:pPr>
    </w:p>
    <w:p w14:paraId="30D24EEA" w14:textId="77777777" w:rsidR="0036003E" w:rsidRPr="003A4922" w:rsidRDefault="0036003E" w:rsidP="00965274">
      <w:pPr>
        <w:spacing w:after="200"/>
        <w:jc w:val="both"/>
        <w:rPr>
          <w:color w:val="000000" w:themeColor="text1"/>
          <w:sz w:val="24"/>
          <w:szCs w:val="24"/>
        </w:rPr>
      </w:pPr>
    </w:p>
    <w:p w14:paraId="0F2A4186"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28"/>
          <w:headerReference w:type="default" r:id="rId29"/>
          <w:footerReference w:type="default" r:id="rId30"/>
          <w:headerReference w:type="first" r:id="rId31"/>
          <w:type w:val="continuous"/>
          <w:pgSz w:w="12240" w:h="15840"/>
          <w:pgMar w:top="1440" w:right="2016" w:bottom="2016" w:left="2016" w:header="708" w:footer="708" w:gutter="0"/>
          <w:cols w:space="720"/>
          <w:docGrid w:linePitch="360"/>
        </w:sectPr>
      </w:pPr>
      <w:r w:rsidRPr="003A4922">
        <w:rPr>
          <w:rFonts w:ascii="Arial" w:hAnsi="Arial"/>
          <w:color w:val="000000"/>
          <w:szCs w:val="24"/>
        </w:rPr>
        <w:t xml:space="preserve">Table 3 expands the barrier taxonomy introduced conceptually in Figure 2 into a comprehensive, source-linked taxonomy spanning technical, </w:t>
      </w:r>
      <w:r w:rsidRPr="003A4922">
        <w:rPr>
          <w:rFonts w:ascii="Arial" w:hAnsi="Arial"/>
          <w:color w:val="000000"/>
          <w:szCs w:val="24"/>
          <w:highlight w:val="yellow"/>
        </w:rPr>
        <w:t>organisational</w:t>
      </w:r>
      <w:r w:rsidRPr="003A4922">
        <w:rPr>
          <w:rFonts w:ascii="Arial" w:hAnsi="Arial"/>
          <w:color w:val="000000"/>
          <w:szCs w:val="24"/>
        </w:rPr>
        <w:t xml:space="preserve">, and governance/legal domains. Read together with Table 1's search matrix, the taxonomy shows that the empirical literature on technical barriers (interoperability, latency, legacy-system incompatibility) is the most mature, </w:t>
      </w:r>
      <w:r w:rsidRPr="003A4922">
        <w:rPr>
          <w:rFonts w:ascii="Arial" w:hAnsi="Arial"/>
          <w:color w:val="000000"/>
          <w:szCs w:val="24"/>
          <w:highlight w:val="yellow"/>
        </w:rPr>
        <w:t>while governance and legal barriers, including data ownership, vendor lock-in, and the absence of an agriculture-specific regulatory body for data protection, are comparatively newer</w:t>
      </w:r>
      <w:r w:rsidRPr="003A4922">
        <w:rPr>
          <w:rFonts w:ascii="Arial" w:hAnsi="Arial"/>
          <w:color w:val="000000"/>
          <w:szCs w:val="24"/>
        </w:rPr>
        <w:t xml:space="preserve"> but increasingly dominant in the post-2023 literature. This pattern is consistent with a field in which the underlying sensing and connectivity technology has matured faster than the institutional arrangements needed to govern it.</w:t>
      </w:r>
    </w:p>
    <w:p w14:paraId="63207557" w14:textId="77777777" w:rsidR="0036003E" w:rsidRPr="003A4922" w:rsidRDefault="0036003E" w:rsidP="00965274">
      <w:pPr>
        <w:spacing w:before="120" w:after="300"/>
        <w:rPr>
          <w:color w:val="000000" w:themeColor="text1"/>
          <w:sz w:val="24"/>
          <w:szCs w:val="24"/>
        </w:rPr>
      </w:pPr>
      <w:r w:rsidRPr="003A4922">
        <w:rPr>
          <w:rFonts w:ascii="Arial" w:hAnsi="Arial"/>
          <w:b/>
          <w:color w:val="000000"/>
          <w:szCs w:val="24"/>
        </w:rPr>
        <w:lastRenderedPageBreak/>
        <w:t>Table 3. Comprehensive taxonomy of integration barriers in agribusiness information systems, by domain, mechanism, and source.</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500"/>
        <w:gridCol w:w="1320"/>
        <w:gridCol w:w="7730"/>
        <w:gridCol w:w="3130"/>
      </w:tblGrid>
      <w:tr w:rsidR="001207A1" w:rsidRPr="003A4922" w14:paraId="5A61D8B7" w14:textId="77777777" w:rsidTr="0036003E">
        <w:trPr>
          <w:tblHeader/>
        </w:trPr>
        <w:tc>
          <w:tcPr>
            <w:tcW w:w="1500" w:type="dxa"/>
            <w:tcBorders>
              <w:bottom w:val="single" w:sz="6" w:space="0" w:color="auto"/>
            </w:tcBorders>
            <w:tcMar>
              <w:top w:w="40" w:type="dxa"/>
              <w:left w:w="80" w:type="dxa"/>
              <w:bottom w:w="40" w:type="dxa"/>
              <w:right w:w="80" w:type="dxa"/>
            </w:tcMar>
          </w:tcPr>
          <w:p w14:paraId="6F426544"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Domain</w:t>
            </w:r>
          </w:p>
        </w:tc>
        <w:tc>
          <w:tcPr>
            <w:tcW w:w="1320" w:type="dxa"/>
            <w:tcBorders>
              <w:bottom w:val="single" w:sz="6" w:space="0" w:color="auto"/>
            </w:tcBorders>
            <w:tcMar>
              <w:top w:w="40" w:type="dxa"/>
              <w:left w:w="80" w:type="dxa"/>
              <w:bottom w:w="40" w:type="dxa"/>
              <w:right w:w="80" w:type="dxa"/>
            </w:tcMar>
          </w:tcPr>
          <w:p w14:paraId="6133D9A9"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Barrier</w:t>
            </w:r>
          </w:p>
        </w:tc>
        <w:tc>
          <w:tcPr>
            <w:tcW w:w="7730" w:type="dxa"/>
            <w:tcBorders>
              <w:bottom w:val="single" w:sz="6" w:space="0" w:color="auto"/>
            </w:tcBorders>
            <w:tcMar>
              <w:top w:w="40" w:type="dxa"/>
              <w:left w:w="80" w:type="dxa"/>
              <w:bottom w:w="40" w:type="dxa"/>
              <w:right w:w="80" w:type="dxa"/>
            </w:tcMar>
          </w:tcPr>
          <w:p w14:paraId="1D322142"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Mechanism</w:t>
            </w:r>
          </w:p>
        </w:tc>
        <w:tc>
          <w:tcPr>
            <w:tcW w:w="3130" w:type="dxa"/>
            <w:tcBorders>
              <w:bottom w:val="single" w:sz="6" w:space="0" w:color="auto"/>
            </w:tcBorders>
            <w:tcMar>
              <w:top w:w="40" w:type="dxa"/>
              <w:left w:w="80" w:type="dxa"/>
              <w:bottom w:w="40" w:type="dxa"/>
              <w:right w:w="80" w:type="dxa"/>
            </w:tcMar>
          </w:tcPr>
          <w:p w14:paraId="273293EE"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Empirical Source</w:t>
            </w:r>
          </w:p>
        </w:tc>
      </w:tr>
      <w:tr w:rsidR="001207A1" w:rsidRPr="003A4922" w14:paraId="395AF062" w14:textId="77777777" w:rsidTr="0036003E">
        <w:tc>
          <w:tcPr>
            <w:tcW w:w="1500" w:type="dxa"/>
            <w:tcMar>
              <w:top w:w="40" w:type="dxa"/>
              <w:left w:w="80" w:type="dxa"/>
              <w:bottom w:w="40" w:type="dxa"/>
              <w:right w:w="80" w:type="dxa"/>
            </w:tcMar>
          </w:tcPr>
          <w:p w14:paraId="76C3DAB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52AA907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Interoperability deficits</w:t>
            </w:r>
          </w:p>
        </w:tc>
        <w:tc>
          <w:tcPr>
            <w:tcW w:w="7730" w:type="dxa"/>
            <w:tcMar>
              <w:top w:w="40" w:type="dxa"/>
              <w:left w:w="80" w:type="dxa"/>
              <w:bottom w:w="40" w:type="dxa"/>
              <w:right w:w="80" w:type="dxa"/>
            </w:tcMar>
          </w:tcPr>
          <w:p w14:paraId="747449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Proprietary data formats and closed APIs prevent FMIS, machinery telematics, and third-party analytics from exchanging data without manual re-entry or costly middleware</w:t>
            </w:r>
          </w:p>
        </w:tc>
        <w:tc>
          <w:tcPr>
            <w:tcW w:w="3130" w:type="dxa"/>
            <w:tcMar>
              <w:top w:w="40" w:type="dxa"/>
              <w:left w:w="80" w:type="dxa"/>
              <w:bottom w:w="40" w:type="dxa"/>
              <w:right w:w="80" w:type="dxa"/>
            </w:tcMar>
          </w:tcPr>
          <w:p w14:paraId="2C439FE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CEMA (2017); Grassi (2014)</w:t>
            </w:r>
          </w:p>
        </w:tc>
      </w:tr>
      <w:tr w:rsidR="001207A1" w:rsidRPr="003A4922" w14:paraId="6176C1B5" w14:textId="77777777" w:rsidTr="0036003E">
        <w:tc>
          <w:tcPr>
            <w:tcW w:w="1500" w:type="dxa"/>
            <w:tcMar>
              <w:top w:w="40" w:type="dxa"/>
              <w:left w:w="80" w:type="dxa"/>
              <w:bottom w:w="40" w:type="dxa"/>
              <w:right w:w="80" w:type="dxa"/>
            </w:tcMar>
          </w:tcPr>
          <w:p w14:paraId="70C4BCA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4686902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Latency and connectivity constraints</w:t>
            </w:r>
          </w:p>
        </w:tc>
        <w:tc>
          <w:tcPr>
            <w:tcW w:w="7730" w:type="dxa"/>
            <w:tcMar>
              <w:top w:w="40" w:type="dxa"/>
              <w:left w:w="80" w:type="dxa"/>
              <w:bottom w:w="40" w:type="dxa"/>
              <w:right w:w="80" w:type="dxa"/>
            </w:tcMar>
          </w:tcPr>
          <w:p w14:paraId="33555CF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Cloud-dependent architectures fail in bandwidth-limited rural settings, delaying time-sensitive decisions (irrigation, spraying) beyond their actionable window</w:t>
            </w:r>
          </w:p>
        </w:tc>
        <w:tc>
          <w:tcPr>
            <w:tcW w:w="3130" w:type="dxa"/>
            <w:tcMar>
              <w:top w:w="40" w:type="dxa"/>
              <w:left w:w="80" w:type="dxa"/>
              <w:bottom w:w="40" w:type="dxa"/>
              <w:right w:w="80" w:type="dxa"/>
            </w:tcMar>
          </w:tcPr>
          <w:p w14:paraId="6CDC7B6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Sapna et al. (2026); Srivastav &amp; Das (2025)</w:t>
            </w:r>
          </w:p>
        </w:tc>
      </w:tr>
      <w:tr w:rsidR="001207A1" w:rsidRPr="003A4922" w14:paraId="197ED597" w14:textId="77777777" w:rsidTr="0036003E">
        <w:tc>
          <w:tcPr>
            <w:tcW w:w="1500" w:type="dxa"/>
            <w:tcMar>
              <w:top w:w="40" w:type="dxa"/>
              <w:left w:w="80" w:type="dxa"/>
              <w:bottom w:w="40" w:type="dxa"/>
              <w:right w:w="80" w:type="dxa"/>
            </w:tcMar>
          </w:tcPr>
          <w:p w14:paraId="23F22BE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Technical</w:t>
            </w:r>
          </w:p>
        </w:tc>
        <w:tc>
          <w:tcPr>
            <w:tcW w:w="1320" w:type="dxa"/>
            <w:tcMar>
              <w:top w:w="40" w:type="dxa"/>
              <w:left w:w="80" w:type="dxa"/>
              <w:bottom w:w="40" w:type="dxa"/>
              <w:right w:w="80" w:type="dxa"/>
            </w:tcMar>
          </w:tcPr>
          <w:p w14:paraId="1C89F22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Legacy system incompatibility</w:t>
            </w:r>
          </w:p>
        </w:tc>
        <w:tc>
          <w:tcPr>
            <w:tcW w:w="7730" w:type="dxa"/>
            <w:tcMar>
              <w:top w:w="40" w:type="dxa"/>
              <w:left w:w="80" w:type="dxa"/>
              <w:bottom w:w="40" w:type="dxa"/>
              <w:right w:w="80" w:type="dxa"/>
            </w:tcMar>
          </w:tcPr>
          <w:p w14:paraId="731BFB2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Older FMIS and ERP deployments lack modern API layers, forcing point-to-point integrations that do not scale across a vendor ecosystem</w:t>
            </w:r>
          </w:p>
        </w:tc>
        <w:tc>
          <w:tcPr>
            <w:tcW w:w="3130" w:type="dxa"/>
            <w:tcMar>
              <w:top w:w="40" w:type="dxa"/>
              <w:left w:w="80" w:type="dxa"/>
              <w:bottom w:w="40" w:type="dxa"/>
              <w:right w:w="80" w:type="dxa"/>
            </w:tcMar>
          </w:tcPr>
          <w:p w14:paraId="137F662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Ahoa et al. (2025)</w:t>
            </w:r>
          </w:p>
        </w:tc>
      </w:tr>
      <w:tr w:rsidR="001207A1" w:rsidRPr="003A4922" w14:paraId="031C73FD" w14:textId="77777777" w:rsidTr="0036003E">
        <w:tc>
          <w:tcPr>
            <w:tcW w:w="1500" w:type="dxa"/>
            <w:tcMar>
              <w:top w:w="40" w:type="dxa"/>
              <w:left w:w="80" w:type="dxa"/>
              <w:bottom w:w="40" w:type="dxa"/>
              <w:right w:w="80" w:type="dxa"/>
            </w:tcMar>
          </w:tcPr>
          <w:p w14:paraId="31D4B92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48CFE8F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literacy gaps</w:t>
            </w:r>
          </w:p>
        </w:tc>
        <w:tc>
          <w:tcPr>
            <w:tcW w:w="7730" w:type="dxa"/>
            <w:tcMar>
              <w:top w:w="40" w:type="dxa"/>
              <w:left w:w="80" w:type="dxa"/>
              <w:bottom w:w="40" w:type="dxa"/>
              <w:right w:w="80" w:type="dxa"/>
            </w:tcMar>
          </w:tcPr>
          <w:p w14:paraId="6B28C6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managers and field staff lack the skills to interpret probabilistic model outputs or configure interoperability settings, reducing effective use even where systems are technically integrated</w:t>
            </w:r>
          </w:p>
        </w:tc>
        <w:tc>
          <w:tcPr>
            <w:tcW w:w="3130" w:type="dxa"/>
            <w:tcMar>
              <w:top w:w="40" w:type="dxa"/>
              <w:left w:w="80" w:type="dxa"/>
              <w:bottom w:w="40" w:type="dxa"/>
              <w:right w:w="80" w:type="dxa"/>
            </w:tcMar>
          </w:tcPr>
          <w:p w14:paraId="1642289B"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Bontsa et al. (2023); Nxumalo &amp; Chauke (2025)</w:t>
            </w:r>
            <w:proofErr w:type="spellEnd"/>
            <w:r w:rsidRPr="003A4922">
              <w:rPr>
                <w:rFonts w:ascii="Arial" w:hAnsi="Arial"/>
                <w:color w:val="000000" w:themeColor="text1"/>
                <w:sz w:val="16"/>
                <w:szCs w:val="24"/>
              </w:rPr>
            </w:r>
            <w:r w:rsidRPr="003A4922">
              <w:rPr>
                <w:rFonts w:ascii="Arial" w:hAnsi="Arial"/>
                <w:i/>
                <w:iCs/>
                <w:color w:val="000000" w:themeColor="text1"/>
                <w:sz w:val="16"/>
                <w:szCs w:val="24"/>
              </w:rPr>
            </w:r>
            <w:r w:rsidRPr="003A4922">
              <w:rPr>
                <w:rFonts w:ascii="Arial" w:hAnsi="Arial"/>
                <w:color w:val="000000" w:themeColor="text1"/>
                <w:sz w:val="16"/>
                <w:szCs w:val="24"/>
              </w:rPr>
            </w:r>
          </w:p>
        </w:tc>
      </w:tr>
      <w:tr w:rsidR="001207A1" w:rsidRPr="003A4922" w14:paraId="31AD52C4" w14:textId="77777777" w:rsidTr="0036003E">
        <w:tc>
          <w:tcPr>
            <w:tcW w:w="1500" w:type="dxa"/>
            <w:tcMar>
              <w:top w:w="40" w:type="dxa"/>
              <w:left w:w="80" w:type="dxa"/>
              <w:bottom w:w="40" w:type="dxa"/>
              <w:right w:w="80" w:type="dxa"/>
            </w:tcMar>
          </w:tcPr>
          <w:p w14:paraId="759A74C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417F7F5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ROI uncertainty</w:t>
            </w:r>
          </w:p>
        </w:tc>
        <w:tc>
          <w:tcPr>
            <w:tcW w:w="7730" w:type="dxa"/>
            <w:tcMar>
              <w:top w:w="40" w:type="dxa"/>
              <w:left w:w="80" w:type="dxa"/>
              <w:bottom w:w="40" w:type="dxa"/>
              <w:right w:w="80" w:type="dxa"/>
            </w:tcMar>
          </w:tcPr>
          <w:p w14:paraId="534422A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Absence of standardized measurement for information-system payback discourages capital investment, particularly among small and mid-sized agribusinesses</w:t>
            </w:r>
          </w:p>
        </w:tc>
        <w:tc>
          <w:tcPr>
            <w:tcW w:w="3130" w:type="dxa"/>
            <w:tcMar>
              <w:top w:w="40" w:type="dxa"/>
              <w:left w:w="80" w:type="dxa"/>
              <w:bottom w:w="40" w:type="dxa"/>
              <w:right w:w="80" w:type="dxa"/>
            </w:tcMar>
          </w:tcPr>
          <w:p w14:paraId="77F29E3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Carrer et al. (2017); Giua et al. (2021)</w:t>
            </w:r>
            <w:proofErr w:type="spellStart"/>
            <w:r w:rsidRPr="003A4922">
              <w:rPr>
                <w:rFonts w:ascii="Arial" w:hAnsi="Arial"/>
                <w:color w:val="000000" w:themeColor="text1"/>
                <w:sz w:val="16"/>
                <w:szCs w:val="24"/>
              </w:rPr>
            </w:r>
            <w:proofErr w:type="spellEnd"/>
            <w:r w:rsidRPr="003A4922">
              <w:rPr>
                <w:rFonts w:ascii="Arial" w:hAnsi="Arial"/>
                <w:color w:val="000000" w:themeColor="text1"/>
                <w:sz w:val="16"/>
                <w:szCs w:val="24"/>
              </w:rPr>
            </w:r>
          </w:p>
        </w:tc>
      </w:tr>
      <w:tr w:rsidR="001207A1" w:rsidRPr="003A4922" w14:paraId="231243E5" w14:textId="77777777" w:rsidTr="0036003E">
        <w:tc>
          <w:tcPr>
            <w:tcW w:w="1500" w:type="dxa"/>
            <w:tcMar>
              <w:top w:w="40" w:type="dxa"/>
              <w:left w:w="80" w:type="dxa"/>
              <w:bottom w:w="40" w:type="dxa"/>
              <w:right w:w="80" w:type="dxa"/>
            </w:tcMar>
          </w:tcPr>
          <w:p w14:paraId="614D037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Organizational</w:t>
            </w:r>
          </w:p>
        </w:tc>
        <w:tc>
          <w:tcPr>
            <w:tcW w:w="1320" w:type="dxa"/>
            <w:tcMar>
              <w:top w:w="40" w:type="dxa"/>
              <w:left w:w="80" w:type="dxa"/>
              <w:bottom w:w="40" w:type="dxa"/>
              <w:right w:w="80" w:type="dxa"/>
            </w:tcMar>
          </w:tcPr>
          <w:p w14:paraId="628BCD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Weak agronomic–IT alignment</w:t>
            </w:r>
          </w:p>
        </w:tc>
        <w:tc>
          <w:tcPr>
            <w:tcW w:w="7730" w:type="dxa"/>
            <w:tcMar>
              <w:top w:w="40" w:type="dxa"/>
              <w:left w:w="80" w:type="dxa"/>
              <w:bottom w:w="40" w:type="dxa"/>
              <w:right w:w="80" w:type="dxa"/>
            </w:tcMar>
          </w:tcPr>
          <w:p w14:paraId="28668AD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Analytics and IT functions are organizationally separated from agronomic decision-making, so model outputs are not embedded in existing workflows</w:t>
            </w:r>
          </w:p>
        </w:tc>
        <w:tc>
          <w:tcPr>
            <w:tcW w:w="3130" w:type="dxa"/>
            <w:tcMar>
              <w:top w:w="40" w:type="dxa"/>
              <w:left w:w="80" w:type="dxa"/>
              <w:bottom w:w="40" w:type="dxa"/>
              <w:right w:w="80" w:type="dxa"/>
            </w:tcMar>
          </w:tcPr>
          <w:p w14:paraId="00E9C40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Ahoa et al. (2025)</w:t>
            </w:r>
          </w:p>
        </w:tc>
      </w:tr>
      <w:tr w:rsidR="001207A1" w:rsidRPr="003A4922" w14:paraId="58AAAAF5" w14:textId="77777777" w:rsidTr="0036003E">
        <w:tc>
          <w:tcPr>
            <w:tcW w:w="1500" w:type="dxa"/>
            <w:tcMar>
              <w:top w:w="40" w:type="dxa"/>
              <w:left w:w="80" w:type="dxa"/>
              <w:bottom w:w="40" w:type="dxa"/>
              <w:right w:w="80" w:type="dxa"/>
            </w:tcMar>
          </w:tcPr>
          <w:p w14:paraId="0EC36BA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7A04D0B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ownership ambiguity</w:t>
            </w:r>
          </w:p>
        </w:tc>
        <w:tc>
          <w:tcPr>
            <w:tcW w:w="7730" w:type="dxa"/>
            <w:tcMar>
              <w:top w:w="40" w:type="dxa"/>
              <w:left w:w="80" w:type="dxa"/>
              <w:bottom w:w="40" w:type="dxa"/>
              <w:right w:w="80" w:type="dxa"/>
            </w:tcMar>
          </w:tcPr>
          <w:p w14:paraId="25C91BFF"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Unclear contractual terms leave farmers uncertain whether data generated on their operation can be resold, aggregated, or used to their competitive disadvantage</w:t>
            </w:r>
          </w:p>
        </w:tc>
        <w:tc>
          <w:tcPr>
            <w:tcW w:w="3130" w:type="dxa"/>
            <w:tcMar>
              <w:top w:w="40" w:type="dxa"/>
              <w:left w:w="80" w:type="dxa"/>
              <w:bottom w:w="40" w:type="dxa"/>
              <w:right w:w="80" w:type="dxa"/>
            </w:tcMar>
          </w:tcPr>
          <w:p w14:paraId="2F43D76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Ruder &amp; Wittman (2025); </w:t>
            </w:r>
            <w:proofErr w:type="spellStart"/>
            <w:r w:rsidRPr="003A4922">
              <w:rPr>
                <w:rFonts w:ascii="Arial" w:hAnsi="Arial"/>
                <w:color w:val="000000" w:themeColor="text1"/>
                <w:sz w:val="16"/>
                <w:szCs w:val="24"/>
              </w:rPr>
              <w:t>Sykuta</w:t>
            </w:r>
            <w:proofErr w:type="spellEnd"/>
            <w:r w:rsidRPr="003A4922">
              <w:rPr>
                <w:rFonts w:ascii="Arial" w:hAnsi="Arial"/>
                <w:color w:val="000000" w:themeColor="text1"/>
                <w:sz w:val="16"/>
                <w:szCs w:val="24"/>
              </w:rPr>
              <w:t xml:space="preserve"> (2016)</w:t>
            </w:r>
          </w:p>
        </w:tc>
      </w:tr>
      <w:tr w:rsidR="001207A1" w:rsidRPr="003A4922" w14:paraId="54A7EA7A" w14:textId="77777777" w:rsidTr="00A16A7E">
        <w:tc>
          <w:tcPr>
            <w:tcW w:w="1500" w:type="dxa"/>
            <w:tcMar>
              <w:top w:w="40" w:type="dxa"/>
              <w:left w:w="80" w:type="dxa"/>
              <w:bottom w:w="40" w:type="dxa"/>
              <w:right w:w="80" w:type="dxa"/>
            </w:tcMar>
          </w:tcPr>
          <w:p w14:paraId="266D697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4E74131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Privacy and cybersecurity exposure</w:t>
            </w:r>
          </w:p>
        </w:tc>
        <w:tc>
          <w:tcPr>
            <w:tcW w:w="7730" w:type="dxa"/>
            <w:tcMar>
              <w:top w:w="40" w:type="dxa"/>
              <w:left w:w="80" w:type="dxa"/>
              <w:bottom w:w="40" w:type="dxa"/>
              <w:right w:w="80" w:type="dxa"/>
            </w:tcMar>
          </w:tcPr>
          <w:p w14:paraId="560CFB7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Absence of a dedicated regulatory body for agricultural data (unlike healthcare's HIPAA or finance's GLBA) leaves farms reliant on voluntary agreements and heterogeneous vendor security postures</w:t>
            </w:r>
          </w:p>
        </w:tc>
        <w:tc>
          <w:tcPr>
            <w:tcW w:w="3130" w:type="dxa"/>
            <w:tcMar>
              <w:top w:w="40" w:type="dxa"/>
              <w:left w:w="80" w:type="dxa"/>
              <w:bottom w:w="40" w:type="dxa"/>
              <w:right w:w="80" w:type="dxa"/>
            </w:tcMar>
          </w:tcPr>
          <w:p w14:paraId="4B17370E" w14:textId="77777777" w:rsidR="00DB769D" w:rsidRPr="003A4922" w:rsidRDefault="00B32603" w:rsidP="00965274">
            <w:pPr>
              <w:rPr>
                <w:color w:val="000000" w:themeColor="text1"/>
                <w:sz w:val="24"/>
                <w:szCs w:val="24"/>
              </w:rPr>
            </w:pPr>
            <w:proofErr w:type="spellStart"/>
            <w:r w:rsidRPr="003A4922">
              <w:rPr>
                <w:rFonts w:ascii="Arial" w:hAnsi="Arial"/>
                <w:color w:val="000000" w:themeColor="text1"/>
                <w:sz w:val="16"/>
                <w:szCs w:val="24"/>
              </w:rPr>
              <w:t>Zafar et al. (2025); Rouzky et al. (2026)</w:t>
            </w:r>
            <w:proofErr w:type="spellEnd"/>
            <w:r w:rsidRPr="003A4922">
              <w:rPr>
                <w:rFonts w:ascii="Arial" w:hAnsi="Arial"/>
                <w:color w:val="000000" w:themeColor="text1"/>
                <w:sz w:val="16"/>
                <w:szCs w:val="24"/>
              </w:rPr>
            </w:r>
          </w:p>
        </w:tc>
      </w:tr>
      <w:tr w:rsidR="001207A1" w:rsidRPr="003A4922" w14:paraId="71433FB7" w14:textId="77777777" w:rsidTr="00A16A7E">
        <w:tc>
          <w:tcPr>
            <w:tcW w:w="1500" w:type="dxa"/>
            <w:tcMar>
              <w:top w:w="40" w:type="dxa"/>
              <w:left w:w="80" w:type="dxa"/>
              <w:bottom w:w="40" w:type="dxa"/>
              <w:right w:w="80" w:type="dxa"/>
            </w:tcMar>
          </w:tcPr>
          <w:p w14:paraId="48DB34B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Governance / Legal</w:t>
            </w:r>
          </w:p>
        </w:tc>
        <w:tc>
          <w:tcPr>
            <w:tcW w:w="1320" w:type="dxa"/>
            <w:tcMar>
              <w:top w:w="40" w:type="dxa"/>
              <w:left w:w="80" w:type="dxa"/>
              <w:bottom w:w="40" w:type="dxa"/>
              <w:right w:w="80" w:type="dxa"/>
            </w:tcMar>
          </w:tcPr>
          <w:p w14:paraId="1C824DF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Vendor lock-in</w:t>
            </w:r>
          </w:p>
        </w:tc>
        <w:tc>
          <w:tcPr>
            <w:tcW w:w="7730" w:type="dxa"/>
            <w:tcMar>
              <w:top w:w="40" w:type="dxa"/>
              <w:left w:w="80" w:type="dxa"/>
              <w:bottom w:w="40" w:type="dxa"/>
              <w:right w:w="80" w:type="dxa"/>
            </w:tcMar>
          </w:tcPr>
          <w:p w14:paraId="4DF69FE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Single-vendor FMIS ecosystems bundle hardware, software, and data storage such that switching providers entails losing historical records, discouraging competitive re-evaluation</w:t>
            </w:r>
          </w:p>
        </w:tc>
        <w:tc>
          <w:tcPr>
            <w:tcW w:w="3130" w:type="dxa"/>
            <w:tcMar>
              <w:top w:w="40" w:type="dxa"/>
              <w:left w:w="80" w:type="dxa"/>
              <w:bottom w:w="40" w:type="dxa"/>
              <w:right w:w="80" w:type="dxa"/>
            </w:tcMar>
          </w:tcPr>
          <w:p w14:paraId="0961353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Ahoa et al. (2025); Ruder &amp; Wittman (2025)</w:t>
            </w:r>
            <w:proofErr w:type="spellStart"/>
            <w:r w:rsidRPr="003A4922">
              <w:rPr>
                <w:rFonts w:ascii="Arial" w:hAnsi="Arial"/>
                <w:color w:val="000000" w:themeColor="text1"/>
                <w:sz w:val="16"/>
                <w:szCs w:val="24"/>
              </w:rPr>
            </w:r>
            <w:proofErr w:type="spellEnd"/>
          </w:p>
        </w:tc>
      </w:tr>
    </w:tbl>
    <w:p w14:paraId="3BF04D49" w14:textId="77777777" w:rsidR="00D67B6C" w:rsidRPr="003A4922" w:rsidRDefault="00D67B6C">
      <w:pPr>
        <w:sectPr w:rsidR="00D67B6C" w:rsidRPr="003A4922" w:rsidSect="00944DF7">
          <w:headerReference w:type="even" r:id="rId32"/>
          <w:headerReference w:type="default" r:id="rId33"/>
          <w:footerReference w:type="default" r:id="rId34"/>
          <w:headerReference w:type="first" r:id="rId35"/>
          <w:type w:val="continuous"/>
          <w:pgSz w:w="15840" w:h="12240" w:orient="landscape"/>
          <w:pgMar w:top="864" w:right="1080" w:bottom="864" w:left="1080" w:header="432" w:footer="432" w:gutter="0"/>
          <w:cols w:space="720"/>
          <w:docGrid w:linePitch="360"/>
        </w:sectPr>
      </w:pPr>
    </w:p>
    <w:p w14:paraId="0CD1C276" w14:textId="77777777" w:rsidR="0036003E" w:rsidRPr="003A4922" w:rsidRDefault="0036003E" w:rsidP="00965274">
      <w:pPr>
        <w:spacing w:after="200"/>
        <w:jc w:val="both"/>
        <w:rPr>
          <w:color w:val="000000" w:themeColor="text1"/>
          <w:sz w:val="24"/>
          <w:szCs w:val="24"/>
        </w:rPr>
      </w:pPr>
    </w:p>
    <w:p w14:paraId="661DF3A5"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36"/>
          <w:headerReference w:type="default" r:id="rId37"/>
          <w:footerReference w:type="default" r:id="rId38"/>
          <w:headerReference w:type="first" r:id="rId39"/>
          <w:type w:val="continuous"/>
          <w:pgSz w:w="12240" w:h="15840"/>
          <w:pgMar w:top="1440" w:right="2016" w:bottom="2016" w:left="2016" w:header="708" w:footer="708" w:gutter="0"/>
          <w:cols w:space="720"/>
          <w:docGrid w:linePitch="360"/>
        </w:sectPr>
      </w:pPr>
      <w:r w:rsidRPr="003A4922">
        <w:rPr>
          <w:rFonts w:ascii="Arial" w:hAnsi="Arial"/>
          <w:color w:val="000000"/>
          <w:szCs w:val="24"/>
        </w:rPr>
        <w:t>Table 4 compares four leading AI- and information-system paradigms discussed across Sections 4 through 11: FMIS, edge-AI IoT, blockchain-enabled supply-chain analytics, and ESG/Scope 3 compliance dashboards, across their primary data inputs, system architecture, primary decision output, and principal adoption constraint. The comparison illustrates that each paradigm sits at a different point in the data-to-decision pathway of Figure 1: FMIS functions as the general-purpose integration layer, edge-AI IoT supplies real-time field-level triage, blockchain-enabled analytics addresses cross-</w:t>
      </w:r>
      <w:r w:rsidRPr="003A4922">
        <w:rPr>
          <w:rFonts w:ascii="Arial" w:hAnsi="Arial"/>
          <w:color w:val="000000"/>
          <w:szCs w:val="24"/>
          <w:highlight w:val="yellow"/>
        </w:rPr>
        <w:t>organisational</w:t>
      </w:r>
      <w:r w:rsidRPr="003A4922">
        <w:rPr>
          <w:rFonts w:ascii="Arial" w:hAnsi="Arial"/>
          <w:color w:val="000000"/>
          <w:szCs w:val="24"/>
        </w:rPr>
        <w:t xml:space="preserve"> trust in the supply chain, and ESG/Scope 3 dashboards constitute the newest and most externally driven layer, increasingly forcing the other three paradigms to interoperate across firm boundaries rather than within a single farm or enterprise.</w:t>
      </w:r>
    </w:p>
    <w:p w14:paraId="2618E56C" w14:textId="77777777" w:rsidR="00A16A7E" w:rsidRPr="003A4922" w:rsidRDefault="00A16A7E" w:rsidP="00965274">
      <w:pPr>
        <w:spacing w:before="120" w:after="300"/>
        <w:rPr>
          <w:color w:val="000000" w:themeColor="text1"/>
          <w:sz w:val="24"/>
          <w:szCs w:val="24"/>
        </w:rPr>
      </w:pPr>
      <w:r w:rsidRPr="003A4922">
        <w:rPr>
          <w:rFonts w:ascii="Arial" w:hAnsi="Arial"/>
          <w:b/>
          <w:color w:val="000000"/>
          <w:szCs w:val="24"/>
        </w:rPr>
        <w:lastRenderedPageBreak/>
        <w:t>Table 4. Comparison of leading AI and information-system paradigms in agribusiness across data inputs, architecture, decision outputs, and adoption constraints.</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600"/>
        <w:gridCol w:w="2913"/>
        <w:gridCol w:w="3214"/>
        <w:gridCol w:w="2321"/>
        <w:gridCol w:w="3632"/>
      </w:tblGrid>
      <w:tr w:rsidR="001207A1" w:rsidRPr="003A4922" w14:paraId="656D7BB5" w14:textId="77777777" w:rsidTr="00923163">
        <w:trPr>
          <w:tblHeader/>
        </w:trPr>
        <w:tc>
          <w:tcPr>
            <w:tcW w:w="1600" w:type="dxa"/>
            <w:tcBorders>
              <w:bottom w:val="single" w:sz="6" w:space="0" w:color="auto"/>
            </w:tcBorders>
            <w:tcMar>
              <w:top w:w="40" w:type="dxa"/>
              <w:left w:w="80" w:type="dxa"/>
              <w:bottom w:w="40" w:type="dxa"/>
              <w:right w:w="80" w:type="dxa"/>
            </w:tcMar>
          </w:tcPr>
          <w:p w14:paraId="242629F7"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Paradigm</w:t>
            </w:r>
          </w:p>
        </w:tc>
        <w:tc>
          <w:tcPr>
            <w:tcW w:w="2913" w:type="dxa"/>
            <w:tcBorders>
              <w:bottom w:val="single" w:sz="6" w:space="0" w:color="auto"/>
            </w:tcBorders>
            <w:tcMar>
              <w:top w:w="40" w:type="dxa"/>
              <w:left w:w="80" w:type="dxa"/>
              <w:bottom w:w="40" w:type="dxa"/>
              <w:right w:w="80" w:type="dxa"/>
            </w:tcMar>
          </w:tcPr>
          <w:p w14:paraId="6724B86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Data Inputs</w:t>
            </w:r>
          </w:p>
        </w:tc>
        <w:tc>
          <w:tcPr>
            <w:tcW w:w="3214" w:type="dxa"/>
            <w:tcBorders>
              <w:bottom w:val="single" w:sz="6" w:space="0" w:color="auto"/>
            </w:tcBorders>
            <w:tcMar>
              <w:top w:w="40" w:type="dxa"/>
              <w:left w:w="80" w:type="dxa"/>
              <w:bottom w:w="40" w:type="dxa"/>
              <w:right w:w="80" w:type="dxa"/>
            </w:tcMar>
          </w:tcPr>
          <w:p w14:paraId="06C23E4E"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System Architecture</w:t>
            </w:r>
          </w:p>
        </w:tc>
        <w:tc>
          <w:tcPr>
            <w:tcW w:w="2321" w:type="dxa"/>
            <w:tcBorders>
              <w:bottom w:val="single" w:sz="6" w:space="0" w:color="auto"/>
            </w:tcBorders>
            <w:tcMar>
              <w:top w:w="40" w:type="dxa"/>
              <w:left w:w="80" w:type="dxa"/>
              <w:bottom w:w="40" w:type="dxa"/>
              <w:right w:w="80" w:type="dxa"/>
            </w:tcMar>
          </w:tcPr>
          <w:p w14:paraId="64DCDA60"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Primary Decision Output</w:t>
            </w:r>
          </w:p>
        </w:tc>
        <w:tc>
          <w:tcPr>
            <w:tcW w:w="3632" w:type="dxa"/>
            <w:tcBorders>
              <w:bottom w:val="single" w:sz="6" w:space="0" w:color="auto"/>
            </w:tcBorders>
            <w:tcMar>
              <w:top w:w="40" w:type="dxa"/>
              <w:left w:w="80" w:type="dxa"/>
              <w:bottom w:w="40" w:type="dxa"/>
              <w:right w:w="80" w:type="dxa"/>
            </w:tcMar>
          </w:tcPr>
          <w:p w14:paraId="07B27CE1"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Principal Adoption Constraint</w:t>
            </w:r>
          </w:p>
        </w:tc>
      </w:tr>
      <w:tr w:rsidR="001207A1" w:rsidRPr="003A4922" w14:paraId="20D345C2" w14:textId="77777777" w:rsidTr="00923163">
        <w:tc>
          <w:tcPr>
            <w:tcW w:w="1600" w:type="dxa"/>
            <w:tcMar>
              <w:top w:w="40" w:type="dxa"/>
              <w:left w:w="80" w:type="dxa"/>
              <w:bottom w:w="40" w:type="dxa"/>
              <w:right w:w="80" w:type="dxa"/>
            </w:tcMar>
          </w:tcPr>
          <w:p w14:paraId="342FC2E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2913" w:type="dxa"/>
            <w:tcMar>
              <w:top w:w="40" w:type="dxa"/>
              <w:left w:w="80" w:type="dxa"/>
              <w:bottom w:w="40" w:type="dxa"/>
              <w:right w:w="80" w:type="dxa"/>
            </w:tcMar>
          </w:tcPr>
          <w:p w14:paraId="27549380"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 records, machinery telematics (ISOBUS/ISO 11783), input/output logs, compliance data</w:t>
            </w:r>
          </w:p>
        </w:tc>
        <w:tc>
          <w:tcPr>
            <w:tcW w:w="3214" w:type="dxa"/>
            <w:tcMar>
              <w:top w:w="40" w:type="dxa"/>
              <w:left w:w="80" w:type="dxa"/>
              <w:bottom w:w="40" w:type="dxa"/>
              <w:right w:w="80" w:type="dxa"/>
            </w:tcMar>
          </w:tcPr>
          <w:p w14:paraId="72AB53D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Client–server or cloud database with API/ADAPT-layer connectors to machinery and third-party services</w:t>
            </w:r>
          </w:p>
        </w:tc>
        <w:tc>
          <w:tcPr>
            <w:tcW w:w="2321" w:type="dxa"/>
            <w:tcMar>
              <w:top w:w="40" w:type="dxa"/>
              <w:left w:w="80" w:type="dxa"/>
              <w:bottom w:w="40" w:type="dxa"/>
              <w:right w:w="80" w:type="dxa"/>
            </w:tcMar>
          </w:tcPr>
          <w:p w14:paraId="31BC3DB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Operational planning, compliance documentation, cost allocation</w:t>
            </w:r>
          </w:p>
        </w:tc>
        <w:tc>
          <w:tcPr>
            <w:tcW w:w="3632" w:type="dxa"/>
            <w:tcMar>
              <w:top w:w="40" w:type="dxa"/>
              <w:left w:w="80" w:type="dxa"/>
              <w:bottom w:w="40" w:type="dxa"/>
              <w:right w:w="80" w:type="dxa"/>
            </w:tcMar>
          </w:tcPr>
          <w:p w14:paraId="1D99656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Capital cost and integration burden for small/mid-sized operations (Carrer </w:t>
            </w:r>
            <w:r w:rsidRPr="003A4922">
              <w:rPr>
                <w:rFonts w:ascii="Arial" w:hAnsi="Arial"/>
                <w:i/>
                <w:iCs/>
                <w:color w:val="000000" w:themeColor="text1"/>
                <w:sz w:val="16"/>
                <w:szCs w:val="24"/>
              </w:rPr>
              <w:t>et al.,</w:t>
            </w:r>
            <w:r w:rsidRPr="003A4922">
              <w:rPr>
                <w:rFonts w:ascii="Arial" w:hAnsi="Arial"/>
                <w:color w:val="000000" w:themeColor="text1"/>
                <w:sz w:val="16"/>
                <w:szCs w:val="24"/>
              </w:rPr>
              <w:t xml:space="preserve"> 2017)</w:t>
            </w:r>
          </w:p>
        </w:tc>
      </w:tr>
      <w:tr w:rsidR="001207A1" w:rsidRPr="003A4922" w14:paraId="01E1E4AF" w14:textId="77777777" w:rsidTr="00923163">
        <w:tc>
          <w:tcPr>
            <w:tcW w:w="1600" w:type="dxa"/>
            <w:tcMar>
              <w:top w:w="40" w:type="dxa"/>
              <w:left w:w="80" w:type="dxa"/>
              <w:bottom w:w="40" w:type="dxa"/>
              <w:right w:w="80" w:type="dxa"/>
            </w:tcMar>
          </w:tcPr>
          <w:p w14:paraId="6427DF3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Edge-AI IoT</w:t>
            </w:r>
          </w:p>
        </w:tc>
        <w:tc>
          <w:tcPr>
            <w:tcW w:w="2913" w:type="dxa"/>
            <w:tcMar>
              <w:top w:w="40" w:type="dxa"/>
              <w:left w:w="80" w:type="dxa"/>
              <w:bottom w:w="40" w:type="dxa"/>
              <w:right w:w="80" w:type="dxa"/>
            </w:tcMar>
          </w:tcPr>
          <w:p w14:paraId="68AA521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In-field sensor telemetry, imagery, acoustic and environmental signals</w:t>
            </w:r>
          </w:p>
        </w:tc>
        <w:tc>
          <w:tcPr>
            <w:tcW w:w="3214" w:type="dxa"/>
            <w:tcMar>
              <w:top w:w="40" w:type="dxa"/>
              <w:left w:w="80" w:type="dxa"/>
              <w:bottom w:w="40" w:type="dxa"/>
              <w:right w:w="80" w:type="dxa"/>
            </w:tcMar>
          </w:tcPr>
          <w:p w14:paraId="691BF66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On-device inference (TinyML/lightweight CNNs) with intermittent cloud synchronization</w:t>
            </w:r>
          </w:p>
        </w:tc>
        <w:tc>
          <w:tcPr>
            <w:tcW w:w="2321" w:type="dxa"/>
            <w:tcMar>
              <w:top w:w="40" w:type="dxa"/>
              <w:left w:w="80" w:type="dxa"/>
              <w:bottom w:w="40" w:type="dxa"/>
              <w:right w:w="80" w:type="dxa"/>
            </w:tcMar>
          </w:tcPr>
          <w:p w14:paraId="70C984A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Real-time triage: irrigation timing, pest/disease alerts, anomaly flags</w:t>
            </w:r>
          </w:p>
        </w:tc>
        <w:tc>
          <w:tcPr>
            <w:tcW w:w="3632" w:type="dxa"/>
            <w:tcMar>
              <w:top w:w="40" w:type="dxa"/>
              <w:left w:w="80" w:type="dxa"/>
              <w:bottom w:w="40" w:type="dxa"/>
              <w:right w:w="80" w:type="dxa"/>
            </w:tcMar>
          </w:tcPr>
          <w:p w14:paraId="7DF3827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Device cost, power constraints, and model-update logistics in connectivity-limited areas (Srivastav &amp; Das, 2025)</w:t>
            </w:r>
          </w:p>
        </w:tc>
      </w:tr>
      <w:tr w:rsidR="001207A1" w:rsidRPr="003A4922" w14:paraId="3D9D62D4" w14:textId="77777777" w:rsidTr="00923163">
        <w:tc>
          <w:tcPr>
            <w:tcW w:w="1600" w:type="dxa"/>
            <w:tcMar>
              <w:top w:w="40" w:type="dxa"/>
              <w:left w:w="80" w:type="dxa"/>
              <w:bottom w:w="40" w:type="dxa"/>
              <w:right w:w="80" w:type="dxa"/>
            </w:tcMar>
          </w:tcPr>
          <w:p w14:paraId="520EB70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Blockchain-enabled supply-chain analytics</w:t>
            </w:r>
          </w:p>
        </w:tc>
        <w:tc>
          <w:tcPr>
            <w:tcW w:w="2913" w:type="dxa"/>
            <w:tcMar>
              <w:top w:w="40" w:type="dxa"/>
              <w:left w:w="80" w:type="dxa"/>
              <w:bottom w:w="40" w:type="dxa"/>
              <w:right w:w="80" w:type="dxa"/>
            </w:tcMar>
          </w:tcPr>
          <w:p w14:paraId="198FB2B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Provenance events, transaction records, certification data across custody transfers</w:t>
            </w:r>
          </w:p>
        </w:tc>
        <w:tc>
          <w:tcPr>
            <w:tcW w:w="3214" w:type="dxa"/>
            <w:tcMar>
              <w:top w:w="40" w:type="dxa"/>
              <w:left w:w="80" w:type="dxa"/>
              <w:bottom w:w="40" w:type="dxa"/>
              <w:right w:w="80" w:type="dxa"/>
            </w:tcMar>
          </w:tcPr>
          <w:p w14:paraId="38C862B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Distributed ledger with smart-contract validation, integrated with logistics and ERP systems</w:t>
            </w:r>
          </w:p>
        </w:tc>
        <w:tc>
          <w:tcPr>
            <w:tcW w:w="2321" w:type="dxa"/>
            <w:tcMar>
              <w:top w:w="40" w:type="dxa"/>
              <w:left w:w="80" w:type="dxa"/>
              <w:bottom w:w="40" w:type="dxa"/>
              <w:right w:w="80" w:type="dxa"/>
            </w:tcMar>
          </w:tcPr>
          <w:p w14:paraId="7A80A5FA"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Traceability verification, fraud reduction, procurement/logistics optimization</w:t>
            </w:r>
          </w:p>
        </w:tc>
        <w:tc>
          <w:tcPr>
            <w:tcW w:w="3632" w:type="dxa"/>
            <w:tcMar>
              <w:top w:w="40" w:type="dxa"/>
              <w:left w:w="80" w:type="dxa"/>
              <w:bottom w:w="40" w:type="dxa"/>
              <w:right w:w="80" w:type="dxa"/>
            </w:tcMar>
          </w:tcPr>
          <w:p w14:paraId="346C664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 xml:space="preserve">Cross-organizational coordination cost; requires all supply-chain nodes to participate (Ellahi </w:t>
            </w:r>
            <w:r w:rsidRPr="003A4922">
              <w:rPr>
                <w:rFonts w:ascii="Arial" w:hAnsi="Arial"/>
                <w:i/>
                <w:iCs/>
                <w:color w:val="000000" w:themeColor="text1"/>
                <w:sz w:val="16"/>
                <w:szCs w:val="24"/>
              </w:rPr>
              <w:t>et al.</w:t>
            </w:r>
            <w:r w:rsidRPr="003A4922">
              <w:rPr>
                <w:rFonts w:ascii="Arial" w:hAnsi="Arial"/>
                <w:color w:val="000000" w:themeColor="text1"/>
                <w:sz w:val="16"/>
                <w:szCs w:val="24"/>
              </w:rPr>
              <w:t>, 2023)</w:t>
            </w:r>
          </w:p>
        </w:tc>
      </w:tr>
      <w:tr w:rsidR="001207A1" w:rsidRPr="003A4922" w14:paraId="558606AA" w14:textId="77777777" w:rsidTr="00923163">
        <w:tc>
          <w:tcPr>
            <w:tcW w:w="1600" w:type="dxa"/>
            <w:tcMar>
              <w:top w:w="40" w:type="dxa"/>
              <w:left w:w="80" w:type="dxa"/>
              <w:bottom w:w="40" w:type="dxa"/>
              <w:right w:w="80" w:type="dxa"/>
            </w:tcMar>
          </w:tcPr>
          <w:p w14:paraId="59E5241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 compliance dashboards</w:t>
            </w:r>
          </w:p>
        </w:tc>
        <w:tc>
          <w:tcPr>
            <w:tcW w:w="2913" w:type="dxa"/>
            <w:tcMar>
              <w:top w:w="40" w:type="dxa"/>
              <w:left w:w="80" w:type="dxa"/>
              <w:bottom w:w="40" w:type="dxa"/>
              <w:right w:w="80" w:type="dxa"/>
            </w:tcMar>
          </w:tcPr>
          <w:p w14:paraId="46A6BF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Farm-level activity data (fuel, fertilizer, water use), supplier-level emissions data, certification records</w:t>
            </w:r>
          </w:p>
        </w:tc>
        <w:tc>
          <w:tcPr>
            <w:tcW w:w="3214" w:type="dxa"/>
            <w:tcMar>
              <w:top w:w="40" w:type="dxa"/>
              <w:left w:w="80" w:type="dxa"/>
              <w:bottom w:w="40" w:type="dxa"/>
              <w:right w:w="80" w:type="dxa"/>
            </w:tcMar>
          </w:tcPr>
          <w:p w14:paraId="05FC4C1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Aggregation layer feeding GHG Protocol/CSRD-ESRS-aligned calculation engines and investor-reporting dashboards</w:t>
            </w:r>
          </w:p>
        </w:tc>
        <w:tc>
          <w:tcPr>
            <w:tcW w:w="2321" w:type="dxa"/>
            <w:tcMar>
              <w:top w:w="40" w:type="dxa"/>
              <w:left w:w="80" w:type="dxa"/>
              <w:bottom w:w="40" w:type="dxa"/>
              <w:right w:w="80" w:type="dxa"/>
            </w:tcMar>
          </w:tcPr>
          <w:p w14:paraId="3B00A7B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Regulatory disclosure, investor reporting, supplier scoring</w:t>
            </w:r>
          </w:p>
        </w:tc>
        <w:tc>
          <w:tcPr>
            <w:tcW w:w="3632" w:type="dxa"/>
            <w:tcMar>
              <w:top w:w="40" w:type="dxa"/>
              <w:left w:w="80" w:type="dxa"/>
              <w:bottom w:w="40" w:type="dxa"/>
              <w:right w:w="80" w:type="dxa"/>
            </w:tcMar>
          </w:tcPr>
          <w:p w14:paraId="232ECD4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Establishing traceable farm-to-shipment data links across identity-preservation or book-and-claim systems (Talkington, 2026)</w:t>
            </w:r>
          </w:p>
        </w:tc>
      </w:tr>
    </w:tbl>
    <w:p w14:paraId="11BA9ADA" w14:textId="77777777" w:rsidR="00D67B6C" w:rsidRPr="003A4922" w:rsidRDefault="00D67B6C">
      <w:pPr>
        <w:sectPr w:rsidR="00D67B6C" w:rsidRPr="003A4922" w:rsidSect="00944DF7">
          <w:headerReference w:type="even" r:id="rId40"/>
          <w:headerReference w:type="default" r:id="rId41"/>
          <w:footerReference w:type="default" r:id="rId42"/>
          <w:headerReference w:type="first" r:id="rId43"/>
          <w:type w:val="continuous"/>
          <w:pgSz w:w="15840" w:h="12240" w:orient="landscape"/>
          <w:pgMar w:top="864" w:right="1080" w:bottom="864" w:left="1080" w:header="432" w:footer="432" w:gutter="0"/>
          <w:cols w:space="720"/>
          <w:docGrid w:linePitch="360"/>
        </w:sectPr>
      </w:pPr>
    </w:p>
    <w:p w14:paraId="3ED350AC"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lastRenderedPageBreak/>
        <w:t>13. Discussion: Research Gaps and Future Directions</w:t>
      </w:r>
    </w:p>
    <w:p w14:paraId="4BCAA828"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Three overarching implications follow from this synthesis. First, research and investment attention in digital agriculture should shift further toward the information-systems layer, interoperability standards, data-governance frameworks, and </w:t>
      </w:r>
      <w:r w:rsidRPr="003A4922">
        <w:rPr>
          <w:rFonts w:ascii="Arial" w:hAnsi="Arial"/>
          <w:color w:val="000000"/>
          <w:szCs w:val="24"/>
          <w:highlight w:val="yellow"/>
        </w:rPr>
        <w:t>organisational</w:t>
      </w:r>
      <w:r w:rsidRPr="003A4922">
        <w:rPr>
          <w:rFonts w:ascii="Arial" w:hAnsi="Arial"/>
          <w:color w:val="000000"/>
          <w:szCs w:val="24"/>
        </w:rPr>
        <w:t xml:space="preserve"> change management, rather than continuing to concentrate primarily on sensor accuracy or model performance, which the literature increasingly treats as a largely solved problem relative to integration. Second, the data-justice critique of privacy-</w:t>
      </w:r>
      <w:r w:rsidRPr="003A4922">
        <w:rPr>
          <w:rFonts w:ascii="Arial" w:hAnsi="Arial"/>
          <w:color w:val="000000"/>
          <w:szCs w:val="24"/>
          <w:highlight w:val="yellow"/>
        </w:rPr>
        <w:t>centred</w:t>
      </w:r>
      <w:r w:rsidRPr="003A4922">
        <w:rPr>
          <w:rFonts w:ascii="Arial" w:hAnsi="Arial"/>
          <w:color w:val="000000"/>
          <w:szCs w:val="24"/>
        </w:rPr>
        <w:t xml:space="preserve"> governance solutions suggests that future FMIS and platform design should be evaluated not only on technical interoperability but on how value and risk are distributed between farmers, agricultural technology providers, and downstream buyers, an evaluative dimension largely absent from current precision-agriculture scholarship. Third, the adoption literature indicates that infrastructure and affordability barriers in developing regions are unlikely to be resolved by technology design alone, implying a continued role for public investment in rural connectivity, </w:t>
      </w:r>
      <w:r w:rsidRPr="003A4922">
        <w:rPr>
          <w:rFonts w:ascii="Arial" w:hAnsi="Arial"/>
          <w:color w:val="000000"/>
          <w:szCs w:val="24"/>
          <w:highlight w:val="yellow"/>
        </w:rPr>
        <w:t>subsidised</w:t>
      </w:r>
      <w:r w:rsidRPr="003A4922">
        <w:rPr>
          <w:rFonts w:ascii="Arial" w:hAnsi="Arial"/>
          <w:color w:val="000000"/>
          <w:szCs w:val="24"/>
        </w:rPr>
        <w:t xml:space="preserve"> access, and locally adapted digital-literacy training alongside private-sector platform development.</w:t>
      </w:r>
    </w:p>
    <w:p w14:paraId="38A1DFEC" w14:textId="77777777" w:rsidR="00DB769D" w:rsidRPr="003A4922" w:rsidRDefault="00B32603" w:rsidP="00965274">
      <w:pPr>
        <w:spacing w:after="200"/>
        <w:jc w:val="both"/>
        <w:rPr>
          <w:color w:val="000000" w:themeColor="text1"/>
          <w:sz w:val="24"/>
          <w:szCs w:val="24"/>
        </w:rPr>
        <w:sectPr w:rsidR="00DB769D" w:rsidRPr="003A4922" w:rsidSect="00944DF7">
          <w:headerReference w:type="even" r:id="rId44"/>
          <w:headerReference w:type="default" r:id="rId45"/>
          <w:footerReference w:type="default" r:id="rId46"/>
          <w:headerReference w:type="first" r:id="rId47"/>
          <w:type w:val="continuous"/>
          <w:pgSz w:w="12240" w:h="15840"/>
          <w:pgMar w:top="1440" w:right="2016" w:bottom="2016" w:left="2016" w:header="708" w:footer="708" w:gutter="0"/>
          <w:cols w:space="720"/>
          <w:docGrid w:linePitch="360"/>
        </w:sectPr>
      </w:pPr>
      <w:r w:rsidRPr="003A4922">
        <w:rPr>
          <w:rFonts w:ascii="Arial" w:hAnsi="Arial"/>
          <w:color w:val="000000"/>
          <w:szCs w:val="24"/>
        </w:rPr>
        <w:t xml:space="preserve">Table 5 sets out an actionable, domain-specific research agenda, giving each of the ten thematic domains equal analytical weight rather than concentrating disproportionately on the technically best-documented areas (big data, predictive analytics). This is deliberate: the review's central finding, that governance and </w:t>
      </w:r>
      <w:r w:rsidRPr="003A4922">
        <w:rPr>
          <w:rFonts w:ascii="Arial" w:hAnsi="Arial"/>
          <w:color w:val="000000"/>
          <w:szCs w:val="24"/>
          <w:highlight w:val="yellow"/>
        </w:rPr>
        <w:t>organisational</w:t>
      </w:r>
      <w:r w:rsidRPr="003A4922">
        <w:rPr>
          <w:rFonts w:ascii="Arial" w:hAnsi="Arial"/>
          <w:color w:val="000000"/>
          <w:szCs w:val="24"/>
        </w:rPr>
        <w:t xml:space="preserve"> capacity, not sensing or algorithmic sophistication, is now the binding constraint, implies that the domains with the thinnest empirical base (interoperability standards adoption, Scope 3 farm-level data architecture, circular-agriculture </w:t>
      </w:r>
      <w:r w:rsidRPr="003A4922">
        <w:rPr>
          <w:rFonts w:ascii="Arial" w:hAnsi="Arial"/>
          <w:color w:val="000000"/>
          <w:szCs w:val="24"/>
          <w:highlight w:val="yellow"/>
        </w:rPr>
        <w:t>digitalisation</w:t>
      </w:r>
      <w:r w:rsidRPr="003A4922">
        <w:rPr>
          <w:rFonts w:ascii="Arial" w:hAnsi="Arial"/>
          <w:color w:val="000000"/>
          <w:szCs w:val="24"/>
        </w:rPr>
        <w:t>) merit research investment disproportionate to their current publication volume.</w:t>
      </w:r>
    </w:p>
    <w:p w14:paraId="35182EF6" w14:textId="77777777" w:rsidR="00A16A7E" w:rsidRPr="003A4922" w:rsidRDefault="00A16A7E" w:rsidP="00965274">
      <w:pPr>
        <w:spacing w:before="120" w:after="300"/>
        <w:rPr>
          <w:color w:val="000000" w:themeColor="text1"/>
          <w:sz w:val="24"/>
          <w:szCs w:val="24"/>
        </w:rPr>
      </w:pPr>
      <w:r w:rsidRPr="003A4922">
        <w:rPr>
          <w:rFonts w:ascii="Arial" w:hAnsi="Arial"/>
          <w:b/>
          <w:color w:val="000000"/>
          <w:szCs w:val="24"/>
        </w:rPr>
        <w:lastRenderedPageBreak/>
        <w:t>Table 5. Forward-looking, domain-specific research agenda across the ten thematic domains of AI- and data-driven agribusiness transformation.</w:t>
      </w:r>
    </w:p>
    <w:tbl>
      <w:tblPr>
        <w:tblW w:w="13680" w:type="dxa"/>
        <w:tblBorders>
          <w:top w:val="single" w:sz="6" w:space="0" w:color="auto"/>
          <w:bottom w:val="single" w:sz="6" w:space="0" w:color="auto"/>
        </w:tblBorders>
        <w:tblCellMar>
          <w:left w:w="10" w:type="dxa"/>
          <w:right w:w="10" w:type="dxa"/>
        </w:tblCellMar>
        <w:tblLook w:val="04A0" w:firstRow="1" w:lastRow="0" w:firstColumn="1" w:lastColumn="0" w:noHBand="0" w:noVBand="1"/>
      </w:tblPr>
      <w:tblGrid>
        <w:gridCol w:w="1725"/>
        <w:gridCol w:w="11955"/>
      </w:tblGrid>
      <w:tr w:rsidR="001207A1" w:rsidRPr="003A4922" w14:paraId="795DA930" w14:textId="77777777" w:rsidTr="00A16A7E">
        <w:trPr>
          <w:tblHeader/>
        </w:trPr>
        <w:tc>
          <w:tcPr>
            <w:tcW w:w="1453" w:type="dxa"/>
            <w:tcBorders>
              <w:bottom w:val="single" w:sz="6" w:space="0" w:color="auto"/>
            </w:tcBorders>
            <w:tcMar>
              <w:top w:w="40" w:type="dxa"/>
              <w:left w:w="80" w:type="dxa"/>
              <w:bottom w:w="40" w:type="dxa"/>
              <w:right w:w="80" w:type="dxa"/>
            </w:tcMar>
          </w:tcPr>
          <w:p w14:paraId="7BCE5F1E"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Thematic Domain</w:t>
            </w:r>
          </w:p>
        </w:tc>
        <w:tc>
          <w:tcPr>
            <w:tcW w:w="12227" w:type="dxa"/>
            <w:tcBorders>
              <w:bottom w:val="single" w:sz="6" w:space="0" w:color="auto"/>
            </w:tcBorders>
            <w:tcMar>
              <w:top w:w="40" w:type="dxa"/>
              <w:left w:w="80" w:type="dxa"/>
              <w:bottom w:w="40" w:type="dxa"/>
              <w:right w:w="80" w:type="dxa"/>
            </w:tcMar>
          </w:tcPr>
          <w:p w14:paraId="3723F43D" w14:textId="77777777" w:rsidR="00DB769D" w:rsidRPr="003A4922" w:rsidRDefault="00B32603" w:rsidP="00965274">
            <w:pPr>
              <w:rPr>
                <w:color w:val="000000" w:themeColor="text1"/>
                <w:sz w:val="24"/>
                <w:szCs w:val="24"/>
              </w:rPr>
            </w:pPr>
            <w:r w:rsidRPr="003A4922">
              <w:rPr>
                <w:rFonts w:ascii="Arial" w:hAnsi="Arial"/>
                <w:b/>
                <w:bCs/>
                <w:color w:val="000000" w:themeColor="text1"/>
                <w:sz w:val="16"/>
                <w:szCs w:val="24"/>
              </w:rPr>
              <w:t>Priority Research Question</w:t>
            </w:r>
          </w:p>
        </w:tc>
      </w:tr>
      <w:tr w:rsidR="001207A1" w:rsidRPr="003A4922" w14:paraId="1E3538CF" w14:textId="77777777" w:rsidTr="00A16A7E">
        <w:tc>
          <w:tcPr>
            <w:tcW w:w="1453" w:type="dxa"/>
            <w:tcMar>
              <w:top w:w="40" w:type="dxa"/>
              <w:left w:w="80" w:type="dxa"/>
              <w:bottom w:w="40" w:type="dxa"/>
              <w:right w:w="80" w:type="dxa"/>
            </w:tcMar>
          </w:tcPr>
          <w:p w14:paraId="19309F4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Big data &amp; integration</w:t>
            </w:r>
          </w:p>
        </w:tc>
        <w:tc>
          <w:tcPr>
            <w:tcW w:w="12227" w:type="dxa"/>
            <w:tcMar>
              <w:top w:w="40" w:type="dxa"/>
              <w:left w:w="80" w:type="dxa"/>
              <w:bottom w:w="40" w:type="dxa"/>
              <w:right w:w="80" w:type="dxa"/>
            </w:tcMar>
          </w:tcPr>
          <w:p w14:paraId="795A7486"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data-governance arrangements (cooperative data trusts, tiered access, purpose limitation) allow smallholder and mid-sized agribusinesses to benefit from aggregated big-data analytics without ceding disproportionate value to platform operators?</w:t>
            </w:r>
          </w:p>
        </w:tc>
      </w:tr>
      <w:tr w:rsidR="001207A1" w:rsidRPr="003A4922" w14:paraId="552E6BBE" w14:textId="77777777" w:rsidTr="00A16A7E">
        <w:tc>
          <w:tcPr>
            <w:tcW w:w="1453" w:type="dxa"/>
            <w:tcMar>
              <w:top w:w="40" w:type="dxa"/>
              <w:left w:w="80" w:type="dxa"/>
              <w:bottom w:w="40" w:type="dxa"/>
              <w:right w:w="80" w:type="dxa"/>
            </w:tcMar>
          </w:tcPr>
          <w:p w14:paraId="7AD1280D"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Predictive/prescriptive analytics</w:t>
            </w:r>
          </w:p>
        </w:tc>
        <w:tc>
          <w:tcPr>
            <w:tcW w:w="12227" w:type="dxa"/>
            <w:tcMar>
              <w:top w:w="40" w:type="dxa"/>
              <w:left w:w="80" w:type="dxa"/>
              <w:bottom w:w="40" w:type="dxa"/>
              <w:right w:w="80" w:type="dxa"/>
            </w:tcMar>
          </w:tcPr>
          <w:p w14:paraId="44FA662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How should uncertainty be communicated at the prescriptive-output stage (Section 5) so that farm managers can distinguish a well-calibrated recommendation from one operating outside its validated domain?</w:t>
            </w:r>
          </w:p>
        </w:tc>
      </w:tr>
      <w:tr w:rsidR="001207A1" w:rsidRPr="003A4922" w14:paraId="1EF79C75" w14:textId="77777777" w:rsidTr="00A16A7E">
        <w:tc>
          <w:tcPr>
            <w:tcW w:w="1453" w:type="dxa"/>
            <w:tcMar>
              <w:top w:w="40" w:type="dxa"/>
              <w:left w:w="80" w:type="dxa"/>
              <w:bottom w:w="40" w:type="dxa"/>
              <w:right w:w="80" w:type="dxa"/>
            </w:tcMar>
          </w:tcPr>
          <w:p w14:paraId="70E835FB"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FMIS</w:t>
            </w:r>
          </w:p>
        </w:tc>
        <w:tc>
          <w:tcPr>
            <w:tcW w:w="12227" w:type="dxa"/>
            <w:tcMar>
              <w:top w:w="40" w:type="dxa"/>
              <w:left w:w="80" w:type="dxa"/>
              <w:bottom w:w="40" w:type="dxa"/>
              <w:right w:w="80" w:type="dxa"/>
            </w:tcMar>
          </w:tcPr>
          <w:p w14:paraId="176BD5D9"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Which combination of ADAPT-layer and semantic-layer (agroXML/RDF) standards adoption most reduces integration cost for small and mid-sized agribusinesses, and does standards adoption itself require public subsidy to reach critical mass?</w:t>
            </w:r>
          </w:p>
        </w:tc>
      </w:tr>
      <w:tr w:rsidR="001207A1" w:rsidRPr="003A4922" w14:paraId="7B6B1AA8" w14:textId="77777777" w:rsidTr="00A16A7E">
        <w:tc>
          <w:tcPr>
            <w:tcW w:w="1453" w:type="dxa"/>
            <w:tcMar>
              <w:top w:w="40" w:type="dxa"/>
              <w:left w:w="80" w:type="dxa"/>
              <w:bottom w:w="40" w:type="dxa"/>
              <w:right w:w="80" w:type="dxa"/>
            </w:tcMar>
          </w:tcPr>
          <w:p w14:paraId="1C39F7F1"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AI-enabled supply chain</w:t>
            </w:r>
          </w:p>
        </w:tc>
        <w:tc>
          <w:tcPr>
            <w:tcW w:w="12227" w:type="dxa"/>
            <w:tcMar>
              <w:top w:w="40" w:type="dxa"/>
              <w:left w:w="80" w:type="dxa"/>
              <w:bottom w:w="40" w:type="dxa"/>
              <w:right w:w="80" w:type="dxa"/>
            </w:tcMar>
          </w:tcPr>
          <w:p w14:paraId="76E99E4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Under what governance conditions does blockchain-enabled traceability produce verifiable trust gains for smallholder suppliers, rather than simply shifting documentation burden onto the least-resourced actor in the chain?</w:t>
            </w:r>
          </w:p>
        </w:tc>
      </w:tr>
      <w:tr w:rsidR="001207A1" w:rsidRPr="003A4922" w14:paraId="06936B1A" w14:textId="77777777" w:rsidTr="00A16A7E">
        <w:tc>
          <w:tcPr>
            <w:tcW w:w="1453" w:type="dxa"/>
            <w:tcMar>
              <w:top w:w="40" w:type="dxa"/>
              <w:left w:w="80" w:type="dxa"/>
              <w:bottom w:w="40" w:type="dxa"/>
              <w:right w:w="80" w:type="dxa"/>
            </w:tcMar>
          </w:tcPr>
          <w:p w14:paraId="56EA96D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Climate-risk adaptation</w:t>
            </w:r>
          </w:p>
        </w:tc>
        <w:tc>
          <w:tcPr>
            <w:tcW w:w="12227" w:type="dxa"/>
            <w:tcMar>
              <w:top w:w="40" w:type="dxa"/>
              <w:left w:w="80" w:type="dxa"/>
              <w:bottom w:w="40" w:type="dxa"/>
              <w:right w:w="80" w:type="dxa"/>
            </w:tcMar>
          </w:tcPr>
          <w:p w14:paraId="00A9A10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How should AI-based climate-risk models be locally validated and recalibrated as climate non-stationarity erodes the historical training data on which they are built?</w:t>
            </w:r>
          </w:p>
        </w:tc>
      </w:tr>
      <w:tr w:rsidR="001207A1" w:rsidRPr="003A4922" w14:paraId="73E60F94" w14:textId="77777777" w:rsidTr="00A16A7E">
        <w:tc>
          <w:tcPr>
            <w:tcW w:w="1453" w:type="dxa"/>
            <w:tcMar>
              <w:top w:w="40" w:type="dxa"/>
              <w:left w:w="80" w:type="dxa"/>
              <w:bottom w:w="40" w:type="dxa"/>
              <w:right w:w="80" w:type="dxa"/>
            </w:tcMar>
          </w:tcPr>
          <w:p w14:paraId="60808AF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ESG / Scope 3 compliance</w:t>
            </w:r>
          </w:p>
        </w:tc>
        <w:tc>
          <w:tcPr>
            <w:tcW w:w="12227" w:type="dxa"/>
            <w:tcMar>
              <w:top w:w="40" w:type="dxa"/>
              <w:left w:w="80" w:type="dxa"/>
              <w:bottom w:w="40" w:type="dxa"/>
              <w:right w:w="80" w:type="dxa"/>
            </w:tcMar>
          </w:tcPr>
          <w:p w14:paraId="3E5F950E"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minimum viable farm-level data architecture satisfies GHG Protocol/CSRD-ESRS Scope 3 traceability requirements without imposing prohibitive reporting cost on smallholder suppliers?</w:t>
            </w:r>
          </w:p>
        </w:tc>
      </w:tr>
      <w:tr w:rsidR="001207A1" w:rsidRPr="003A4922" w14:paraId="22499B79" w14:textId="77777777" w:rsidTr="00A16A7E">
        <w:tc>
          <w:tcPr>
            <w:tcW w:w="1453" w:type="dxa"/>
            <w:tcMar>
              <w:top w:w="40" w:type="dxa"/>
              <w:left w:w="80" w:type="dxa"/>
              <w:bottom w:w="40" w:type="dxa"/>
              <w:right w:w="80" w:type="dxa"/>
            </w:tcMar>
          </w:tcPr>
          <w:p w14:paraId="5BF08445"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Data governance &amp; cybersecurity</w:t>
            </w:r>
          </w:p>
        </w:tc>
        <w:tc>
          <w:tcPr>
            <w:tcW w:w="12227" w:type="dxa"/>
            <w:tcMar>
              <w:top w:w="40" w:type="dxa"/>
              <w:left w:w="80" w:type="dxa"/>
              <w:bottom w:w="40" w:type="dxa"/>
              <w:right w:w="80" w:type="dxa"/>
            </w:tcMar>
          </w:tcPr>
          <w:p w14:paraId="350F2D4C"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Would a dedicated agricultural-data regulatory body (comparable to HIPAA for healthcare) measurably improve farmer trust and platform participation relative to the current voluntary-agreement regime?</w:t>
            </w:r>
          </w:p>
        </w:tc>
      </w:tr>
      <w:tr w:rsidR="001207A1" w:rsidRPr="003A4922" w14:paraId="40E9016F" w14:textId="77777777" w:rsidTr="00A16A7E">
        <w:tc>
          <w:tcPr>
            <w:tcW w:w="1453" w:type="dxa"/>
            <w:tcMar>
              <w:top w:w="40" w:type="dxa"/>
              <w:left w:w="80" w:type="dxa"/>
              <w:bottom w:w="40" w:type="dxa"/>
              <w:right w:w="80" w:type="dxa"/>
            </w:tcMar>
          </w:tcPr>
          <w:p w14:paraId="7CDE22C8"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Digital infrastructure &amp; adoption</w:t>
            </w:r>
          </w:p>
        </w:tc>
        <w:tc>
          <w:tcPr>
            <w:tcW w:w="12227" w:type="dxa"/>
            <w:tcMar>
              <w:top w:w="40" w:type="dxa"/>
              <w:left w:w="80" w:type="dxa"/>
              <w:bottom w:w="40" w:type="dxa"/>
              <w:right w:w="80" w:type="dxa"/>
            </w:tcMar>
          </w:tcPr>
          <w:p w14:paraId="70E94AD7"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Which combination of connectivity subsidy, digital-literacy training, and locally adapted interface design most durably closes the adoption gap documented among smallholder and marginalized farmers?</w:t>
            </w:r>
          </w:p>
        </w:tc>
      </w:tr>
      <w:tr w:rsidR="001207A1" w:rsidRPr="003A4922" w14:paraId="41B3DDB7" w14:textId="77777777" w:rsidTr="00A16A7E">
        <w:tc>
          <w:tcPr>
            <w:tcW w:w="1453" w:type="dxa"/>
            <w:tcMar>
              <w:top w:w="40" w:type="dxa"/>
              <w:left w:w="80" w:type="dxa"/>
              <w:bottom w:w="40" w:type="dxa"/>
              <w:right w:w="80" w:type="dxa"/>
            </w:tcMar>
          </w:tcPr>
          <w:p w14:paraId="45E8C562"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Circular agriculture</w:t>
            </w:r>
          </w:p>
        </w:tc>
        <w:tc>
          <w:tcPr>
            <w:tcW w:w="12227" w:type="dxa"/>
            <w:tcMar>
              <w:top w:w="40" w:type="dxa"/>
              <w:left w:w="80" w:type="dxa"/>
              <w:bottom w:w="40" w:type="dxa"/>
              <w:right w:w="80" w:type="dxa"/>
            </w:tcMar>
          </w:tcPr>
          <w:p w14:paraId="0DE9141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Can AI-driven waste-flow forecasting be integrated into the same FMIS/ESG data architecture used for Scope 3 reporting, so that circularity metrics are a byproduct of existing compliance data rather than a separate collection burden?</w:t>
            </w:r>
          </w:p>
        </w:tc>
      </w:tr>
      <w:tr w:rsidR="001207A1" w:rsidRPr="003A4922" w14:paraId="307ED997" w14:textId="77777777" w:rsidTr="00A16A7E">
        <w:tc>
          <w:tcPr>
            <w:tcW w:w="1453" w:type="dxa"/>
            <w:tcMar>
              <w:top w:w="40" w:type="dxa"/>
              <w:left w:w="80" w:type="dxa"/>
              <w:bottom w:w="40" w:type="dxa"/>
              <w:right w:w="80" w:type="dxa"/>
            </w:tcMar>
          </w:tcPr>
          <w:p w14:paraId="2C4D93E4"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Decision-support systems</w:t>
            </w:r>
          </w:p>
        </w:tc>
        <w:tc>
          <w:tcPr>
            <w:tcW w:w="12227" w:type="dxa"/>
            <w:tcMar>
              <w:top w:w="40" w:type="dxa"/>
              <w:left w:w="80" w:type="dxa"/>
              <w:bottom w:w="40" w:type="dxa"/>
              <w:right w:w="80" w:type="dxa"/>
            </w:tcMar>
          </w:tcPr>
          <w:p w14:paraId="372F6693" w14:textId="77777777" w:rsidR="00DB769D" w:rsidRPr="003A4922" w:rsidRDefault="00B32603" w:rsidP="00965274">
            <w:pPr>
              <w:rPr>
                <w:color w:val="000000" w:themeColor="text1"/>
                <w:sz w:val="24"/>
                <w:szCs w:val="24"/>
              </w:rPr>
            </w:pPr>
            <w:r w:rsidRPr="003A4922">
              <w:rPr>
                <w:rFonts w:ascii="Arial" w:hAnsi="Arial"/>
                <w:color w:val="000000" w:themeColor="text1"/>
                <w:sz w:val="16"/>
                <w:szCs w:val="24"/>
              </w:rPr>
              <w:t>What organizational and interface design principles allow a DSS to function as a genuine decision-support tool, preserving human judgement and escalation, rather than as a de facto automated decision-maker?</w:t>
            </w:r>
          </w:p>
        </w:tc>
      </w:tr>
    </w:tbl>
    <w:p w14:paraId="0D6E3493" w14:textId="77777777" w:rsidR="00D67B6C" w:rsidRPr="003A4922" w:rsidRDefault="00D67B6C">
      <w:pPr>
        <w:sectPr w:rsidR="00D67B6C" w:rsidRPr="003A4922" w:rsidSect="00944DF7">
          <w:headerReference w:type="even" r:id="rId48"/>
          <w:headerReference w:type="default" r:id="rId49"/>
          <w:footerReference w:type="default" r:id="rId50"/>
          <w:headerReference w:type="first" r:id="rId51"/>
          <w:type w:val="continuous"/>
          <w:pgSz w:w="15840" w:h="12240" w:orient="landscape"/>
          <w:pgMar w:top="864" w:right="1080" w:bottom="864" w:left="1080" w:header="432" w:footer="432" w:gutter="0"/>
          <w:cols w:space="720"/>
          <w:docGrid w:linePitch="360"/>
        </w:sectPr>
      </w:pPr>
    </w:p>
    <w:p w14:paraId="57E3A027"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lastRenderedPageBreak/>
        <w:t>14. Limitations</w:t>
      </w:r>
    </w:p>
    <w:p w14:paraId="5283CD36"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As a critical narrative review, this synthesis is intrinsically vulnerable to selection and interpretive bias despite the use of transparent search concepts, source verification, and structured appraisal. Direct access to subscription bibliographic databases was not available, and the review relied on accessible scholarly indexes, publisher pages, and citation tracing; relevant studies may therefore have been missed. Only English-language literature was included. The evidence base is highly heterogeneous in intervention, geography, and study design, which prevents quantitative synthesis and limits precise comparison across regions and farm scales. A subset of sources used to </w:t>
      </w:r>
      <w:r w:rsidRPr="003A4922">
        <w:rPr>
          <w:rFonts w:ascii="Arial" w:hAnsi="Arial"/>
          <w:color w:val="000000"/>
          <w:szCs w:val="24"/>
          <w:highlight w:val="yellow"/>
        </w:rPr>
        <w:t>characterise</w:t>
      </w:r>
      <w:r w:rsidRPr="003A4922">
        <w:rPr>
          <w:rFonts w:ascii="Arial" w:hAnsi="Arial"/>
          <w:color w:val="000000"/>
          <w:szCs w:val="24"/>
        </w:rPr>
        <w:t xml:space="preserve"> current market and platform practice are industry or market-analysis publications rather than peer-reviewed research; these are flagged in-text and were not used to support causal or effectiveness claims. Geographic coverage is uneven, with European, Brazilian, and selected sub-Saharan African cases more thoroughly represented than others. The rapid pace of change in AI-enabled agricultural platforms also means that specific tools and business models may evolve faster than the peer-reviewed evidence describing them.</w:t>
      </w:r>
    </w:p>
    <w:p w14:paraId="256470AD" w14:textId="77777777" w:rsidR="00DB769D" w:rsidRPr="003A4922" w:rsidRDefault="00B32603" w:rsidP="00965274">
      <w:pPr>
        <w:pStyle w:val="Heading1"/>
        <w:spacing w:before="320" w:after="160"/>
        <w:rPr>
          <w:color w:val="000000" w:themeColor="text1"/>
          <w:sz w:val="24"/>
          <w:szCs w:val="24"/>
        </w:rPr>
      </w:pPr>
      <w:r w:rsidRPr="003A4922">
        <w:rPr>
          <w:rFonts w:ascii="Arial" w:hAnsi="Arial"/>
          <w:b/>
          <w:bCs/>
          <w:caps/>
          <w:color w:val="000000"/>
          <w:sz w:val="22"/>
          <w:szCs w:val="24"/>
        </w:rPr>
        <w:t>15. Conclusion</w:t>
      </w:r>
    </w:p>
    <w:p w14:paraId="19437172" w14:textId="77777777" w:rsidR="00DB769D" w:rsidRPr="003A4922" w:rsidRDefault="00B32603" w:rsidP="00965274">
      <w:pPr>
        <w:spacing w:after="200"/>
        <w:jc w:val="both"/>
        <w:rPr>
          <w:color w:val="000000" w:themeColor="text1"/>
          <w:sz w:val="24"/>
          <w:szCs w:val="24"/>
        </w:rPr>
      </w:pPr>
      <w:r w:rsidRPr="003A4922">
        <w:rPr>
          <w:rFonts w:ascii="Arial" w:hAnsi="Arial"/>
          <w:color w:val="000000"/>
          <w:szCs w:val="24"/>
        </w:rPr>
        <w:t xml:space="preserve">This review has argued for reframing the study of digital agriculture </w:t>
      </w:r>
      <w:r w:rsidRPr="003A4922">
        <w:rPr>
          <w:rFonts w:ascii="Arial" w:hAnsi="Arial"/>
          <w:color w:val="000000"/>
          <w:szCs w:val="24"/>
          <w:highlight w:val="yellow"/>
        </w:rPr>
        <w:t>around an integrated agribusiness-intelligence pathway (data, analytics, artificial intelligence, information systems, decisions, and sustainable agribusiness outcomes) in place of a device-centred precision-agriculture framing.</w:t>
      </w:r>
      <w:r w:rsidRPr="003A4922">
        <w:rPr>
          <w:rFonts w:ascii="Arial" w:hAnsi="Arial"/>
          <w:color w:val="000000"/>
          <w:szCs w:val="24"/>
        </w:rPr>
        <w:t xml:space="preserve"> </w:t>
      </w:r>
      <w:r w:rsidRPr="003A4922">
        <w:rPr>
          <w:rFonts w:ascii="Arial" w:hAnsi="Arial"/>
          <w:color w:val="000000"/>
          <w:szCs w:val="24"/>
          <w:highlight w:val="yellow"/>
        </w:rPr>
        <w:t>Synthesising evidence across ten thematic domains (agricultural big data, predictive and prescriptive analytics, farm management information systems, AI-enabled supply-chain analytics, climate-risk adaptation, sustainability and ESG analytics, data governance and cybersecurity, digital infrastructure and adoption, and circular agriculture), the review finds</w:t>
      </w:r>
      <w:r w:rsidRPr="003A4922">
        <w:rPr>
          <w:rFonts w:ascii="Arial" w:hAnsi="Arial"/>
          <w:color w:val="000000"/>
          <w:szCs w:val="24"/>
        </w:rPr>
        <w:t xml:space="preserve"> a consistent pattern: technical sophistication in sensing and algorithms has outpaced the </w:t>
      </w:r>
      <w:r w:rsidRPr="003A4922">
        <w:rPr>
          <w:rFonts w:ascii="Arial" w:hAnsi="Arial"/>
          <w:color w:val="000000"/>
          <w:szCs w:val="24"/>
          <w:highlight w:val="yellow"/>
        </w:rPr>
        <w:t>organisational</w:t>
      </w:r>
      <w:r w:rsidRPr="003A4922">
        <w:rPr>
          <w:rFonts w:ascii="Arial" w:hAnsi="Arial"/>
          <w:color w:val="000000"/>
          <w:szCs w:val="24"/>
        </w:rPr>
        <w:t>, governance, and interoperability capacity required to convert that sophistication into adopted agribusiness decisions. Advancing the field will require research, investment, and policy attention to shift toward the systems and governance layer that determines whether data-driven insight</w:t>
      </w:r>
      <w:r w:rsidR="00814A6C" w:rsidRPr="003A4922">
        <w:rPr>
          <w:rFonts w:ascii="Arial" w:hAnsi="Arial"/>
          <w:color w:val="000000"/>
          <w:szCs w:val="24"/>
        </w:rPr>
        <w:t>s</w:t>
      </w:r>
      <w:r w:rsidRPr="003A4922">
        <w:rPr>
          <w:rFonts w:ascii="Arial" w:hAnsi="Arial"/>
          <w:color w:val="000000"/>
          <w:szCs w:val="24"/>
        </w:rPr>
        <w:t xml:space="preserve"> </w:t>
      </w:r>
      <w:r w:rsidR="00814A6C" w:rsidRPr="003A4922">
        <w:rPr>
          <w:rFonts w:ascii="Arial" w:hAnsi="Arial"/>
          <w:color w:val="000000"/>
          <w:szCs w:val="24"/>
        </w:rPr>
        <w:t>translate into</w:t>
      </w:r>
      <w:r w:rsidRPr="003A4922">
        <w:rPr>
          <w:rFonts w:ascii="Arial" w:hAnsi="Arial"/>
          <w:color w:val="000000"/>
          <w:szCs w:val="24"/>
        </w:rPr>
        <w:t xml:space="preserve"> sustainable agribusiness transformation.</w:t>
      </w:r>
    </w:p>
    <w:p w14:paraId="4B63D8A9" w14:textId="77777777" w:rsidR="00923163" w:rsidRPr="003A4922" w:rsidRDefault="00923163" w:rsidP="00965274">
      <w:pPr>
        <w:pStyle w:val="Heading2"/>
        <w:spacing w:before="260" w:after="140"/>
        <w:rPr>
          <w:color w:val="000000" w:themeColor="text1"/>
          <w:sz w:val="24"/>
          <w:szCs w:val="24"/>
        </w:rPr>
      </w:pPr>
      <w:r w:rsidRPr="003A4922">
        <w:rPr>
          <w:rFonts w:ascii="Arial" w:hAnsi="Arial"/>
          <w:b/>
          <w:bCs/>
          <w:color w:val="000000"/>
          <w:sz w:val="22"/>
          <w:szCs w:val="24"/>
        </w:rPr>
        <w:t>Declaration of competing interests</w:t>
      </w:r>
    </w:p>
    <w:p w14:paraId="507BB8B7" w14:textId="77777777" w:rsidR="00923163" w:rsidRPr="003A4922" w:rsidRDefault="00923163" w:rsidP="00965274">
      <w:pPr>
        <w:spacing w:after="160"/>
        <w:jc w:val="both"/>
        <w:rPr>
          <w:color w:val="000000" w:themeColor="text1"/>
          <w:sz w:val="24"/>
          <w:szCs w:val="24"/>
        </w:rPr>
      </w:pPr>
      <w:r w:rsidRPr="003A4922">
        <w:rPr>
          <w:rFonts w:ascii="Arial" w:hAnsi="Arial"/>
          <w:color w:val="000000"/>
          <w:szCs w:val="24"/>
        </w:rPr>
        <w:t>The author declares no known competing financial interests or personal relationships that could have appeared to influence the work reported in this paper.</w:t>
      </w:r>
    </w:p>
    <w:p w14:paraId="356A1ED8" w14:textId="77777777" w:rsidR="00944DF7" w:rsidRPr="003A4922" w:rsidRDefault="00944DF7" w:rsidP="00944DF7">
      <w:pPr>
        <w:spacing w:after="200"/>
        <w:rPr>
          <w:b/>
          <w:bCs/>
          <w:color w:val="000000" w:themeColor="text1"/>
          <w:sz w:val="24"/>
          <w:szCs w:val="24"/>
        </w:rPr>
      </w:pPr>
      <w:r w:rsidRPr="003A4922">
        <w:rPr>
          <w:rFonts w:ascii="Arial" w:hAnsi="Arial"/>
          <w:b/>
          <w:bCs/>
          <w:caps/>
          <w:color w:val="000000"/>
          <w:sz w:val="22"/>
          <w:szCs w:val="24"/>
        </w:rPr>
        <w:t>Highlights</w:t>
      </w:r>
    </w:p>
    <w:p w14:paraId="432E208E"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Reframes precision agriculture as an integrated data-to-decision pathway.</w:t>
      </w:r>
    </w:p>
    <w:p w14:paraId="5BA3CA7D"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Synthesizes evidence across ten AI- and data-driven agribusiness domains.</w:t>
      </w:r>
    </w:p>
    <w:p w14:paraId="359C149F"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Shows data governance, not sensing technology, now limits IS integration.</w:t>
      </w:r>
    </w:p>
    <w:p w14:paraId="3FCFF13A"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 xml:space="preserve">Maps ISOBUS, </w:t>
      </w:r>
      <w:proofErr w:type="spellStart"/>
      <w:r w:rsidRPr="003A4922">
        <w:rPr>
          <w:rFonts w:ascii="Arial" w:hAnsi="Arial"/>
          <w:color w:val="000000"/>
          <w:szCs w:val="24"/>
        </w:rPr>
        <w:t>AgGateway</w:t>
      </w:r>
      <w:proofErr w:type="spellEnd"/>
      <w:r w:rsidRPr="003A4922">
        <w:rPr>
          <w:rFonts w:ascii="Arial" w:hAnsi="Arial"/>
          <w:color w:val="000000"/>
          <w:szCs w:val="24"/>
        </w:rPr>
        <w:t>/ADAPT, and RDF standards underlying FMIS integration.</w:t>
      </w:r>
    </w:p>
    <w:p w14:paraId="27661344" w14:textId="77777777" w:rsidR="00944DF7" w:rsidRPr="003A4922" w:rsidRDefault="00944DF7" w:rsidP="00944DF7">
      <w:pPr>
        <w:pStyle w:val="ListParagraph"/>
        <w:numPr>
          <w:ilvl w:val="0"/>
          <w:numId w:val="2"/>
        </w:numPr>
        <w:spacing w:after="120"/>
        <w:jc w:val="both"/>
        <w:rPr>
          <w:color w:val="000000" w:themeColor="text1"/>
          <w:sz w:val="24"/>
          <w:szCs w:val="24"/>
        </w:rPr>
      </w:pPr>
      <w:r w:rsidRPr="003A4922">
        <w:rPr>
          <w:rFonts w:ascii="Arial" w:hAnsi="Arial"/>
          <w:color w:val="000000"/>
          <w:szCs w:val="24"/>
        </w:rPr>
        <w:t>Proposes a domain-specific research agenda spanning technical to governance layers.</w:t>
      </w:r>
    </w:p>
    <w:p w14:paraId="11FDDF56" w14:textId="77777777" w:rsidR="00D02F48" w:rsidRPr="003A4922" w:rsidRDefault="00D02F48" w:rsidP="00D02F48">
      <w:pPr>
        <w:pStyle w:val="ListParagraph"/>
        <w:ind w:left="460"/>
        <w:rPr>
          <w:b/>
        </w:rPr>
      </w:pPr>
      <w:r w:rsidRPr="003A4922">
        <w:rPr>
          <w:b/>
        </w:rPr>
        <w:t>Declaration of AI Use</w:t>
      </w:r>
    </w:p>
    <w:p w14:paraId="536DB298" w14:textId="77777777" w:rsidR="00D02F48" w:rsidRPr="003A4922" w:rsidRDefault="00D02F48" w:rsidP="00D02F48">
      <w:pPr>
        <w:pStyle w:val="ListParagraph"/>
        <w:ind w:left="460"/>
        <w:rPr>
          <w:b/>
        </w:rPr>
      </w:pPr>
    </w:p>
    <w:p w14:paraId="32694E95" w14:textId="77777777" w:rsidR="00D02F48" w:rsidRPr="003A4922" w:rsidRDefault="00D02F48" w:rsidP="00D02F48">
      <w:pPr>
        <w:pStyle w:val="ListParagraph"/>
        <w:ind w:left="460"/>
        <w:rPr>
          <w:b/>
        </w:rPr>
      </w:pPr>
    </w:p>
    <w:p w14:paraId="0CF86A0C" w14:textId="77777777" w:rsidR="00D02F48" w:rsidRPr="003A4922" w:rsidRDefault="00D02F48" w:rsidP="00D02F48">
      <w:pPr>
        <w:pStyle w:val="ListParagraph"/>
        <w:ind w:left="460"/>
        <w:rPr>
          <w:b/>
        </w:rPr>
      </w:pPr>
    </w:p>
    <w:p w14:paraId="3108FF83" w14:textId="77777777" w:rsidR="00D02F48" w:rsidRPr="003A4922" w:rsidRDefault="00D02F48" w:rsidP="00D02F48">
      <w:pPr>
        <w:pStyle w:val="ListParagraph"/>
        <w:ind w:left="460"/>
        <w:rPr>
          <w:rFonts w:ascii="Arial" w:hAnsi="Arial" w:cs="Arial"/>
        </w:rPr>
      </w:pPr>
      <w:r w:rsidRPr="003A4922">
        <w:rPr>
          <w:rFonts w:ascii="Arial" w:hAnsi="Arial" w:cs="Arial"/>
        </w:rPr>
        <w:lastRenderedPageBreak/>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13F246C" w14:textId="77777777" w:rsidR="00944DF7" w:rsidRPr="003A4922" w:rsidRDefault="00944DF7" w:rsidP="00654149">
      <w:pPr>
        <w:spacing w:after="160"/>
        <w:jc w:val="both"/>
        <w:rPr>
          <w:color w:val="000000" w:themeColor="text1"/>
          <w:sz w:val="24"/>
          <w:szCs w:val="24"/>
        </w:rPr>
      </w:pPr>
    </w:p>
    <w:p w14:paraId="2E65294A" w14:textId="77777777" w:rsidR="00902B52" w:rsidRPr="003A4922" w:rsidRDefault="00902B52" w:rsidP="00965274">
      <w:pPr>
        <w:rPr>
          <w:b/>
          <w:bCs/>
          <w:color w:val="000000" w:themeColor="text1"/>
          <w:sz w:val="24"/>
          <w:szCs w:val="24"/>
        </w:rPr>
      </w:pPr>
    </w:p>
    <w:p w14:paraId="79EDBE7E" w14:textId="77777777" w:rsidR="00DB769D" w:rsidRPr="003A4922" w:rsidRDefault="00B32603" w:rsidP="00965274">
      <w:pPr>
        <w:spacing w:after="240"/>
        <w:rPr>
          <w:color w:val="000000" w:themeColor="text1"/>
          <w:sz w:val="24"/>
          <w:szCs w:val="24"/>
        </w:rPr>
      </w:pPr>
      <w:r w:rsidRPr="003A4922">
        <w:rPr>
          <w:rFonts w:ascii="Arial" w:hAnsi="Arial"/>
          <w:b/>
          <w:bCs/>
          <w:caps/>
          <w:color w:val="000000"/>
          <w:sz w:val="22"/>
          <w:szCs w:val="24"/>
        </w:rPr>
        <w:t>References</w:t>
      </w:r>
    </w:p>
    <w:p w14:paraId="30B1D3F9" w14:textId="77777777" w:rsidR="00DB769D" w:rsidRPr="003A4922" w:rsidRDefault="00B32603" w:rsidP="00965274">
      <w:pPr>
        <w:spacing w:after="160"/>
        <w:ind w:left="720" w:hanging="720"/>
        <w:jc w:val="both"/>
        <w:rPr>
          <w:color w:val="000000" w:themeColor="text1"/>
          <w:sz w:val="24"/>
          <w:szCs w:val="24"/>
        </w:rPr>
      </w:pPr>
      <w:r>
        <w:rPr>
          <w:b w:val="0"/>
        </w:rPr>
        <w:t>1. AlZubi, A. A., &amp; Galyna, K. (2023). Artificial intelligence and Internet of Things for sustainable farming and smart agriculture. IEEE Access, 11, 78686–78692.</w:t>
      </w:r>
      <w:r>
        <w:t xml:space="preserve"> </w:t>
      </w:r>
      <w:hyperlink r:id="rId58">
        <w:r>
          <w:rPr>
            <w:color w:val="0563C1"/>
            <w:u w:val="single"/>
          </w:rPr>
          <w:t>https://doi.org/10.1109/ACCESS.2023.3298215</w:t>
        </w:r>
      </w:hyperlink>
    </w:p>
    <w:p w14:paraId="311DB606" w14:textId="77777777" w:rsidR="00DB769D" w:rsidRPr="003A4922" w:rsidRDefault="00B32603" w:rsidP="00965274">
      <w:pPr>
        <w:spacing w:after="160"/>
        <w:ind w:left="720" w:hanging="720"/>
        <w:jc w:val="both"/>
        <w:rPr>
          <w:color w:val="000000" w:themeColor="text1"/>
          <w:sz w:val="24"/>
          <w:szCs w:val="24"/>
        </w:rPr>
      </w:pPr>
      <w:r>
        <w:rPr>
          <w:b w:val="0"/>
        </w:rPr>
        <w:t>2. Alahmad, T., Neményi, M., &amp; Nyéki, A. (2023). Applying IoT sensors and big data to improve precision crop production: A review. Agronomy, 13(10), 2603.</w:t>
      </w:r>
      <w:r>
        <w:t xml:space="preserve"> </w:t>
      </w:r>
      <w:hyperlink r:id="rId59">
        <w:r>
          <w:rPr>
            <w:color w:val="0563C1"/>
            <w:u w:val="single"/>
          </w:rPr>
          <w:t>https://doi.org/10.3390/agronomy13102603</w:t>
        </w:r>
      </w:hyperlink>
    </w:p>
    <w:p w14:paraId="5BDCD15B" w14:textId="77777777" w:rsidR="00DB769D" w:rsidRPr="003A4922" w:rsidRDefault="00B32603" w:rsidP="00965274">
      <w:pPr>
        <w:spacing w:after="160"/>
        <w:ind w:left="720" w:hanging="720"/>
        <w:jc w:val="both"/>
        <w:rPr>
          <w:color w:val="000000" w:themeColor="text1"/>
          <w:sz w:val="24"/>
          <w:szCs w:val="24"/>
        </w:rPr>
      </w:pPr>
      <w:r>
        <w:rPr>
          <w:b w:val="0"/>
        </w:rPr>
        <w:t>3. Abbasi, R., Martinez, P., &amp; Ahmad, R. (2022). The digitization of agricultural industry—A systematic literature review on Agriculture 4.0. Smart Agricultural Technology, 2, 100042.</w:t>
      </w:r>
      <w:r>
        <w:t xml:space="preserve"> </w:t>
      </w:r>
      <w:hyperlink r:id="rId60">
        <w:r>
          <w:rPr>
            <w:color w:val="0563C1"/>
            <w:u w:val="single"/>
          </w:rPr>
          <w:t>https://doi.org/10.1016/j.atech.2022.100042</w:t>
        </w:r>
      </w:hyperlink>
    </w:p>
    <w:p w14:paraId="41586D58" w14:textId="77777777" w:rsidR="00DB769D" w:rsidRPr="003A4922" w:rsidRDefault="00B32603" w:rsidP="00965274">
      <w:pPr>
        <w:spacing w:after="160"/>
        <w:ind w:left="720" w:hanging="720"/>
        <w:jc w:val="both"/>
        <w:rPr>
          <w:color w:val="000000" w:themeColor="text1"/>
          <w:sz w:val="24"/>
          <w:szCs w:val="24"/>
        </w:rPr>
      </w:pPr>
      <w:r>
        <w:rPr>
          <w:b w:val="0"/>
        </w:rPr>
        <w:t>4. Tantalaki, N., Souravlas, S., &amp; Roumeliotis, M. (2019). Data-driven decision making in precision agriculture: The rise of big data in agricultural systems. Journal of Agricultural &amp; Food Information, 20(4), 344–380.</w:t>
      </w:r>
      <w:r>
        <w:t xml:space="preserve"> </w:t>
      </w:r>
      <w:hyperlink r:id="rId61">
        <w:r>
          <w:rPr>
            <w:color w:val="0563C1"/>
            <w:u w:val="single"/>
          </w:rPr>
          <w:t>https://doi.org/10.1080/10496505.2019.1638264</w:t>
        </w:r>
      </w:hyperlink>
    </w:p>
    <w:p w14:paraId="7867A846" w14:textId="77777777" w:rsidR="00DB769D" w:rsidRPr="003A4922" w:rsidRDefault="00B32603" w:rsidP="00965274">
      <w:pPr>
        <w:spacing w:after="160"/>
        <w:ind w:left="720" w:hanging="720"/>
        <w:jc w:val="both"/>
        <w:rPr>
          <w:color w:val="000000" w:themeColor="text1"/>
          <w:sz w:val="24"/>
          <w:szCs w:val="24"/>
        </w:rPr>
      </w:pPr>
      <w:r>
        <w:rPr>
          <w:b w:val="0"/>
        </w:rPr>
        <w:t>5. Abiri, R., Rizan, N., Balasundram, S. K., Shahbazi, A. B., &amp; Abdul-Hamid, H. (2023). Application of digital technologies for ensuring agricultural productivity. Heliyon, 9(12), e22601.</w:t>
      </w:r>
      <w:r>
        <w:t xml:space="preserve"> </w:t>
      </w:r>
      <w:hyperlink r:id="rId62">
        <w:r>
          <w:rPr>
            <w:color w:val="0563C1"/>
            <w:u w:val="single"/>
          </w:rPr>
          <w:t>https://doi.org/10.1016/j.heliyon.2023.e22601</w:t>
        </w:r>
      </w:hyperlink>
    </w:p>
    <w:p w14:paraId="3BAF876E" w14:textId="77777777" w:rsidR="00DB769D" w:rsidRPr="003A4922" w:rsidRDefault="00B32603" w:rsidP="00965274">
      <w:pPr>
        <w:spacing w:after="160"/>
        <w:ind w:left="720" w:hanging="720"/>
        <w:jc w:val="both"/>
        <w:rPr>
          <w:color w:val="000000" w:themeColor="text1"/>
          <w:sz w:val="24"/>
          <w:szCs w:val="24"/>
        </w:rPr>
      </w:pPr>
      <w:r>
        <w:rPr>
          <w:b w:val="0"/>
        </w:rPr>
        <w:t>6. Papadopoulos, G., Arduini, S., Uyar, H., Psiroukis, V., Kasimati, A., &amp; Fountas, S. (2024). Economic and environmental benefits of digital agricultural technologies in crop production: A review. Smart Agricultural Technology, 8, 100441.</w:t>
      </w:r>
      <w:r>
        <w:t xml:space="preserve"> </w:t>
      </w:r>
      <w:hyperlink r:id="rId63">
        <w:r>
          <w:rPr>
            <w:color w:val="0563C1"/>
            <w:u w:val="single"/>
          </w:rPr>
          <w:t>https://doi.org/10.1016/j.atech.2024.100441</w:t>
        </w:r>
      </w:hyperlink>
    </w:p>
    <w:p w14:paraId="57EB667E" w14:textId="77777777" w:rsidR="00DB769D" w:rsidRPr="003A4922" w:rsidRDefault="00B32603" w:rsidP="00965274">
      <w:pPr>
        <w:spacing w:after="160"/>
        <w:ind w:left="720" w:hanging="720"/>
        <w:jc w:val="both"/>
        <w:rPr>
          <w:color w:val="000000" w:themeColor="text1"/>
          <w:sz w:val="24"/>
          <w:szCs w:val="24"/>
        </w:rPr>
      </w:pPr>
      <w:r>
        <w:rPr>
          <w:b w:val="0"/>
        </w:rPr>
        <w:t>7. Rejeb, A., Rejeb, K., &amp; Zailani, S. (2021). Big data for sustainable agri-food supply chains: A review and future research perspectives. Journal of Data, Information and Management, 3, 167–182.</w:t>
      </w:r>
      <w:r>
        <w:t xml:space="preserve"> </w:t>
      </w:r>
      <w:hyperlink r:id="rId64">
        <w:r>
          <w:rPr>
            <w:color w:val="0563C1"/>
            <w:u w:val="single"/>
          </w:rPr>
          <w:t>https://doi.org/10.1007/s42488-021-00045-3</w:t>
        </w:r>
      </w:hyperlink>
    </w:p>
    <w:p w14:paraId="7CC7E050" w14:textId="77777777" w:rsidR="00DB769D" w:rsidRPr="003A4922" w:rsidRDefault="00B32603" w:rsidP="00965274">
      <w:pPr>
        <w:spacing w:after="160"/>
        <w:ind w:left="720" w:hanging="720"/>
        <w:jc w:val="both"/>
        <w:rPr>
          <w:color w:val="000000" w:themeColor="text1"/>
          <w:sz w:val="24"/>
          <w:szCs w:val="24"/>
        </w:rPr>
      </w:pPr>
      <w:r>
        <w:rPr>
          <w:b w:val="0"/>
        </w:rPr>
        <w:t>8. Cravero, A., Sepúlveda, S., Gutiérrez, F., &amp; Muñoz, L. (2026). From precision agriculture to intelligent agricultural ecosystems: A systematic review of machine learning and big data applications. Agronomy, 16(5), 516.</w:t>
      </w:r>
      <w:r>
        <w:t xml:space="preserve"> </w:t>
      </w:r>
      <w:hyperlink r:id="rId65">
        <w:r>
          <w:rPr>
            <w:color w:val="0563C1"/>
            <w:u w:val="single"/>
          </w:rPr>
          <w:t>https://doi.org/10.3390/agronomy16050516</w:t>
        </w:r>
      </w:hyperlink>
    </w:p>
    <w:p w14:paraId="1AF55686" w14:textId="77777777" w:rsidR="00DB769D" w:rsidRPr="003A4922" w:rsidRDefault="00B32603" w:rsidP="00965274">
      <w:pPr>
        <w:spacing w:after="160"/>
        <w:ind w:left="720" w:hanging="720"/>
        <w:jc w:val="both"/>
        <w:rPr>
          <w:color w:val="000000" w:themeColor="text1"/>
          <w:sz w:val="24"/>
          <w:szCs w:val="24"/>
        </w:rPr>
      </w:pPr>
      <w:r>
        <w:rPr>
          <w:b w:val="0"/>
        </w:rPr>
        <w:t>9. Coulibaly, S., Kamsu-Foguem, B., Kamissoko, D., &amp; Traore, D. (2022). Deep learning for precision agriculture: A bibliometric analysis. Intelligent Systems with Applications, 16, 200102.</w:t>
      </w:r>
      <w:r>
        <w:t xml:space="preserve"> </w:t>
      </w:r>
      <w:hyperlink r:id="rId66">
        <w:r>
          <w:rPr>
            <w:color w:val="0563C1"/>
            <w:u w:val="single"/>
          </w:rPr>
          <w:t>https://doi.org/10.1016/j.iswa.2022.200102</w:t>
        </w:r>
      </w:hyperlink>
    </w:p>
    <w:p w14:paraId="51051717" w14:textId="77777777" w:rsidR="00DB769D" w:rsidRPr="003A4922" w:rsidRDefault="00B32603" w:rsidP="00965274">
      <w:pPr>
        <w:spacing w:after="160"/>
        <w:ind w:left="720" w:hanging="720"/>
        <w:jc w:val="both"/>
        <w:rPr>
          <w:color w:val="000000" w:themeColor="text1"/>
          <w:sz w:val="24"/>
          <w:szCs w:val="24"/>
        </w:rPr>
      </w:pPr>
      <w:r>
        <w:rPr>
          <w:b w:val="0"/>
        </w:rPr>
        <w:t>10. International Organization for Standardization. (2017). ISO 11783-1:2017: Tractors and machinery for agriculture and forestry—Serial control and communications data network—Part 1: General standard for mobile data communication.</w:t>
      </w:r>
      <w:r>
        <w:t xml:space="preserve"> </w:t>
      </w:r>
      <w:hyperlink r:id="rId67">
        <w:r>
          <w:rPr>
            <w:color w:val="0563C1"/>
            <w:u w:val="single"/>
          </w:rPr>
          <w:t>https://www.iso.org/standard/57556.html</w:t>
        </w:r>
      </w:hyperlink>
    </w:p>
    <w:p w14:paraId="4B53A0FA" w14:textId="77777777" w:rsidR="00DB769D" w:rsidRPr="003A4922" w:rsidRDefault="00B32603" w:rsidP="00965274">
      <w:pPr>
        <w:spacing w:after="160"/>
        <w:ind w:left="720" w:hanging="720"/>
        <w:jc w:val="both"/>
        <w:rPr>
          <w:color w:val="000000" w:themeColor="text1"/>
          <w:sz w:val="24"/>
          <w:szCs w:val="24"/>
        </w:rPr>
      </w:pPr>
      <w:r>
        <w:rPr>
          <w:b w:val="0"/>
        </w:rPr>
        <w:t>11. CEMA–European Agricultural Machinery. (2017). Connected agricultural machines in digital farming.</w:t>
      </w:r>
      <w:r>
        <w:t xml:space="preserve"> </w:t>
      </w:r>
      <w:hyperlink r:id="rId68">
        <w:r>
          <w:rPr>
            <w:color w:val="0563C1"/>
            <w:u w:val="single"/>
          </w:rPr>
          <w:t>https://cema-agri.org/publication/position-papers/255-connected-agricultural-machines-in-digital-farming</w:t>
        </w:r>
      </w:hyperlink>
    </w:p>
    <w:p w14:paraId="62536591" w14:textId="77777777" w:rsidR="00DB769D" w:rsidRPr="003A4922" w:rsidRDefault="00B32603" w:rsidP="00965274">
      <w:pPr>
        <w:spacing w:after="160"/>
        <w:ind w:left="720" w:hanging="720"/>
        <w:jc w:val="both"/>
        <w:rPr>
          <w:color w:val="000000" w:themeColor="text1"/>
          <w:sz w:val="24"/>
          <w:szCs w:val="24"/>
        </w:rPr>
      </w:pPr>
      <w:r>
        <w:rPr>
          <w:b w:val="0"/>
        </w:rPr>
        <w:t>12. Grassi, M. J. (2014, July 22). AgGateway’s SPADE data project releases ISOBUS extension. Global Ag Tech Initiative.</w:t>
      </w:r>
      <w:r>
        <w:t xml:space="preserve"> </w:t>
      </w:r>
      <w:hyperlink r:id="rId69">
        <w:r>
          <w:rPr>
            <w:color w:val="0563C1"/>
            <w:u w:val="single"/>
          </w:rPr>
          <w:t>https://www.globalagtechinitiative.com/digital-farming/data-management/aggateways-spade-data-project-releases-isobus-extension/</w:t>
        </w:r>
      </w:hyperlink>
    </w:p>
    <w:p w14:paraId="346C6835" w14:textId="77777777" w:rsidR="00DB769D" w:rsidRPr="003A4922" w:rsidRDefault="00B32603" w:rsidP="00965274">
      <w:pPr>
        <w:spacing w:after="160"/>
        <w:ind w:left="720" w:hanging="720"/>
        <w:jc w:val="both"/>
        <w:rPr>
          <w:color w:val="000000" w:themeColor="text1"/>
          <w:sz w:val="24"/>
          <w:szCs w:val="24"/>
        </w:rPr>
      </w:pPr>
      <w:r>
        <w:rPr>
          <w:b w:val="0"/>
        </w:rPr>
        <w:t>13. Dhal, S. B., &amp; Kar, D. (2024). Transforming agricultural productivity with AI-driven forecasting: Innovations in food security and supply chain optimization. Forecasting, 6(4), 925–951.</w:t>
      </w:r>
      <w:r>
        <w:t xml:space="preserve"> </w:t>
      </w:r>
      <w:hyperlink r:id="rId70">
        <w:r>
          <w:rPr>
            <w:color w:val="0563C1"/>
            <w:u w:val="single"/>
          </w:rPr>
          <w:t>https://doi.org/10.3390/forecast6040046</w:t>
        </w:r>
      </w:hyperlink>
    </w:p>
    <w:p w14:paraId="3DE68EBF" w14:textId="77777777" w:rsidR="00DB769D" w:rsidRPr="003A4922" w:rsidRDefault="00B32603" w:rsidP="00965274">
      <w:pPr>
        <w:spacing w:after="160"/>
        <w:ind w:left="720" w:hanging="720"/>
        <w:jc w:val="both"/>
        <w:rPr>
          <w:color w:val="000000" w:themeColor="text1"/>
          <w:sz w:val="24"/>
          <w:szCs w:val="24"/>
        </w:rPr>
      </w:pPr>
      <w:r>
        <w:rPr>
          <w:b w:val="0"/>
        </w:rPr>
        <w:t>14. Kamilaris, A., &amp; Prenafeta-Boldú, F. X. (2018). Deep learning in agriculture: A survey. Computers and Electronics in Agriculture, 147, 70–90.</w:t>
      </w:r>
      <w:r>
        <w:t xml:space="preserve"> </w:t>
      </w:r>
      <w:hyperlink r:id="rId71">
        <w:r>
          <w:rPr>
            <w:color w:val="0563C1"/>
            <w:u w:val="single"/>
          </w:rPr>
          <w:t>https://doi.org/10.1016/j.compag.2018.02.016</w:t>
        </w:r>
      </w:hyperlink>
    </w:p>
    <w:p w14:paraId="50FF18E4" w14:textId="77777777" w:rsidR="00DB769D" w:rsidRPr="003A4922" w:rsidRDefault="00B32603" w:rsidP="00965274">
      <w:pPr>
        <w:spacing w:after="160"/>
        <w:ind w:left="720" w:hanging="720"/>
        <w:jc w:val="both"/>
        <w:rPr>
          <w:color w:val="000000" w:themeColor="text1"/>
          <w:sz w:val="24"/>
          <w:szCs w:val="24"/>
        </w:rPr>
      </w:pPr>
      <w:r>
        <w:rPr>
          <w:b w:val="0"/>
        </w:rPr>
        <w:t>15. Ugwu, O. P.-C., Ogenyi, F. C., Alum, E. U., Eze, V. H. U., Basajja, M., Ugwu, J. N., Ugwu, C. N., Ejemot-Nwadiaro, R. I., Okon, M. B., Egba, S. I., &amp; Ejima, U. D. (2025). Implementing artificial intelligence and machine learning algorithms for optimized crop management: A systematic review on data-driven approach to enhancing resource use and agricultural sustainability. Cogent Food &amp; Agriculture, 11(1), 2569982.</w:t>
      </w:r>
      <w:r>
        <w:t xml:space="preserve"> </w:t>
      </w:r>
      <w:hyperlink r:id="rId72">
        <w:r>
          <w:rPr>
            <w:color w:val="0563C1"/>
            <w:u w:val="single"/>
          </w:rPr>
          <w:t>https://doi.org/10.1080/23311932.2025.2569982</w:t>
        </w:r>
      </w:hyperlink>
    </w:p>
    <w:p w14:paraId="656AC50F" w14:textId="77777777" w:rsidR="00DB769D" w:rsidRPr="003A4922" w:rsidRDefault="00B32603" w:rsidP="00965274">
      <w:pPr>
        <w:spacing w:after="160"/>
        <w:ind w:left="720" w:hanging="720"/>
        <w:jc w:val="both"/>
        <w:rPr>
          <w:color w:val="000000" w:themeColor="text1"/>
          <w:sz w:val="24"/>
          <w:szCs w:val="24"/>
        </w:rPr>
      </w:pPr>
      <w:r>
        <w:rPr>
          <w:b w:val="0"/>
        </w:rPr>
        <w:t>16. Srivastav, A. K., &amp; Das, P. (2025). Edge computing and AI in agricultural IoT. In Biotechnology and IoT in Agriculture and Food Production. Apress.</w:t>
      </w:r>
      <w:r>
        <w:t xml:space="preserve"> </w:t>
      </w:r>
      <w:hyperlink r:id="rId73">
        <w:r>
          <w:rPr>
            <w:color w:val="0563C1"/>
            <w:u w:val="single"/>
          </w:rPr>
          <w:t>https://doi.org/10.1007/979-8-8688-1469-3_21</w:t>
        </w:r>
      </w:hyperlink>
    </w:p>
    <w:p w14:paraId="4C16AF4F" w14:textId="77777777" w:rsidR="00DB769D" w:rsidRPr="003A4922" w:rsidRDefault="00B32603" w:rsidP="00965274">
      <w:pPr>
        <w:spacing w:after="160"/>
        <w:ind w:left="720" w:hanging="720"/>
        <w:jc w:val="both"/>
        <w:rPr>
          <w:color w:val="000000" w:themeColor="text1"/>
          <w:sz w:val="24"/>
          <w:szCs w:val="24"/>
        </w:rPr>
      </w:pPr>
      <w:r>
        <w:rPr>
          <w:b w:val="0"/>
        </w:rPr>
        <w:t>17. Sapna, Gauttam, H., Chauhan, V., Pattanaik, K. K., Trivedi, A., &amp; Ghosh, H. (2026). A comprehensive review of edge computing empowered smart agriculture: Trends, opportunities and future directions. Computers and Electronics in Agriculture, 241, 111252.</w:t>
      </w:r>
      <w:r>
        <w:t xml:space="preserve"> </w:t>
      </w:r>
      <w:hyperlink r:id="rId74">
        <w:r>
          <w:rPr>
            <w:color w:val="0563C1"/>
            <w:u w:val="single"/>
          </w:rPr>
          <w:t>https://doi.org/10.1016/j.compag.2025.111252</w:t>
        </w:r>
      </w:hyperlink>
    </w:p>
    <w:p w14:paraId="1D5041E4" w14:textId="77777777" w:rsidR="00DB769D" w:rsidRPr="003A4922" w:rsidRDefault="00B32603" w:rsidP="00965274">
      <w:pPr>
        <w:spacing w:after="160"/>
        <w:ind w:left="720" w:hanging="720"/>
        <w:jc w:val="both"/>
        <w:rPr>
          <w:color w:val="000000" w:themeColor="text1"/>
          <w:sz w:val="24"/>
          <w:szCs w:val="24"/>
        </w:rPr>
      </w:pPr>
      <w:r>
        <w:rPr>
          <w:b w:val="0"/>
        </w:rPr>
        <w:t>18. Fountas, S., Carli, G., Sørensen, C. G., Tsiropoulos, Z., Cavalaris, C., Vatsanidou, A., Liakos, B., Canavari, M., Wiebensohn, J., &amp; Tisserye, B. (2015). Farm management information systems: Current situation and future perspectives. Computers and Electronics in Agriculture, 115, 40–50.</w:t>
      </w:r>
      <w:r>
        <w:t xml:space="preserve"> </w:t>
      </w:r>
      <w:hyperlink r:id="rId75">
        <w:r>
          <w:rPr>
            <w:color w:val="0563C1"/>
            <w:u w:val="single"/>
          </w:rPr>
          <w:t>https://doi.org/10.1016/j.compag.2015.05.011</w:t>
        </w:r>
      </w:hyperlink>
    </w:p>
    <w:p w14:paraId="2AFC99A7" w14:textId="77777777" w:rsidR="00DB769D" w:rsidRPr="003A4922" w:rsidRDefault="00B32603" w:rsidP="00965274">
      <w:pPr>
        <w:spacing w:after="160"/>
        <w:ind w:left="720" w:hanging="720"/>
        <w:jc w:val="both"/>
        <w:rPr>
          <w:color w:val="000000" w:themeColor="text1"/>
          <w:sz w:val="24"/>
          <w:szCs w:val="24"/>
        </w:rPr>
      </w:pPr>
      <w:r>
        <w:rPr>
          <w:b w:val="0"/>
        </w:rPr>
        <w:t>19. Giua, C., Materia, V. C., &amp; Camanzi, L. (2021). Management information systems adoption at the farm level: Evidence from the literature. British Food Journal, 123(3), 884–909.</w:t>
      </w:r>
      <w:r>
        <w:t xml:space="preserve"> </w:t>
      </w:r>
      <w:hyperlink r:id="rId76">
        <w:r>
          <w:rPr>
            <w:color w:val="0563C1"/>
            <w:u w:val="single"/>
          </w:rPr>
          <w:t>https://doi.org/10.1108/BFJ-05-2020-0420</w:t>
        </w:r>
      </w:hyperlink>
    </w:p>
    <w:p w14:paraId="379F5CA2" w14:textId="77777777" w:rsidR="00DB769D" w:rsidRPr="003A4922" w:rsidRDefault="00B32603" w:rsidP="00965274">
      <w:pPr>
        <w:spacing w:after="160"/>
        <w:ind w:left="720" w:hanging="720"/>
        <w:jc w:val="both"/>
        <w:rPr>
          <w:color w:val="000000" w:themeColor="text1"/>
          <w:sz w:val="24"/>
          <w:szCs w:val="24"/>
        </w:rPr>
      </w:pPr>
      <w:r>
        <w:rPr>
          <w:b w:val="0"/>
        </w:rPr>
        <w:t>20. Carrer, M. J., de Souza Filho, H. M., &amp; Batalha, M. O. (2017). Factors influencing the adoption of farm management information systems (FMIS) by Brazilian citrus farmers. Computers and Electronics in Agriculture, 138, 11–19.</w:t>
      </w:r>
      <w:r>
        <w:t xml:space="preserve"> </w:t>
      </w:r>
      <w:hyperlink r:id="rId77">
        <w:r>
          <w:rPr>
            <w:color w:val="0563C1"/>
            <w:u w:val="single"/>
          </w:rPr>
          <w:t>https://doi.org/10.1016/j.compag.2017.04.004</w:t>
        </w:r>
      </w:hyperlink>
    </w:p>
    <w:p w14:paraId="77B178D5" w14:textId="77777777" w:rsidR="00DB769D" w:rsidRPr="003A4922" w:rsidRDefault="00B32603" w:rsidP="00965274">
      <w:pPr>
        <w:spacing w:after="160"/>
        <w:ind w:left="720" w:hanging="720"/>
        <w:jc w:val="both"/>
        <w:rPr>
          <w:color w:val="000000" w:themeColor="text1"/>
          <w:sz w:val="24"/>
          <w:szCs w:val="24"/>
        </w:rPr>
      </w:pPr>
      <w:r>
        <w:rPr>
          <w:b w:val="0"/>
        </w:rPr>
        <w:t>21. de Souza Filho, H. M., Vinholis, M. de M. B., Carrer, M. J., &amp; Mozambani, C. I. (2025). Adoption of farm management information systems (FMIS): The case of Brazilian sugarcane farmers. Information Development, 41(4), 1131–1145.</w:t>
      </w:r>
      <w:r>
        <w:t xml:space="preserve"> </w:t>
      </w:r>
      <w:hyperlink r:id="rId78">
        <w:r>
          <w:rPr>
            <w:color w:val="0563C1"/>
            <w:u w:val="single"/>
          </w:rPr>
          <w:t>https://doi.org/10.1177/02666669231177864</w:t>
        </w:r>
      </w:hyperlink>
    </w:p>
    <w:p w14:paraId="6E75763E" w14:textId="77777777" w:rsidR="00DB769D" w:rsidRPr="003A4922" w:rsidRDefault="00B32603" w:rsidP="00965274">
      <w:pPr>
        <w:spacing w:after="160"/>
        <w:ind w:left="720" w:hanging="720"/>
        <w:jc w:val="both"/>
        <w:rPr>
          <w:color w:val="000000" w:themeColor="text1"/>
          <w:sz w:val="24"/>
          <w:szCs w:val="24"/>
        </w:rPr>
      </w:pPr>
      <w:r>
        <w:rPr>
          <w:b w:val="0"/>
        </w:rPr>
        <w:t>22. Ellahi, R. M., Wood, L. C., &amp; Bekhit, A. E. A. (2023). Blockchain-based frameworks for food traceability: A systematic review. Foods, 12(16), 3026.</w:t>
      </w:r>
      <w:r>
        <w:t xml:space="preserve"> </w:t>
      </w:r>
      <w:hyperlink r:id="rId79">
        <w:r>
          <w:rPr>
            <w:color w:val="0563C1"/>
            <w:u w:val="single"/>
          </w:rPr>
          <w:t>https://doi.org/10.3390/foods12163026</w:t>
        </w:r>
      </w:hyperlink>
    </w:p>
    <w:p w14:paraId="2B4613E6" w14:textId="77777777" w:rsidR="00DB769D" w:rsidRPr="003A4922" w:rsidRDefault="00B32603" w:rsidP="00965274">
      <w:pPr>
        <w:spacing w:after="160"/>
        <w:ind w:left="720" w:hanging="720"/>
        <w:jc w:val="both"/>
        <w:rPr>
          <w:color w:val="000000" w:themeColor="text1"/>
          <w:sz w:val="24"/>
          <w:szCs w:val="24"/>
        </w:rPr>
      </w:pPr>
      <w:r>
        <w:rPr>
          <w:b w:val="0"/>
        </w:rPr>
        <w:t>23. Runck, B. C., Joglekar, A., Silverstein, K. A. T., Chan-Kang, C., Pardey, P. G., &amp; Wilgenbusch, J. C. (2021). Digital agriculture platforms: Driving data-enabled agricultural innovation in a world fraught with privacy and security concerns. Agronomy Journal.</w:t>
      </w:r>
      <w:r>
        <w:t xml:space="preserve"> </w:t>
      </w:r>
      <w:hyperlink r:id="rId80">
        <w:r>
          <w:rPr>
            <w:color w:val="0563C1"/>
            <w:u w:val="single"/>
          </w:rPr>
          <w:t>https://doi.org/10.1002/agj2.20873</w:t>
        </w:r>
      </w:hyperlink>
    </w:p>
    <w:p w14:paraId="3A761D45" w14:textId="77777777" w:rsidR="00DB769D" w:rsidRPr="003A4922" w:rsidRDefault="00B32603" w:rsidP="00965274">
      <w:pPr>
        <w:spacing w:after="160"/>
        <w:ind w:left="720" w:hanging="720"/>
        <w:jc w:val="both"/>
        <w:rPr>
          <w:color w:val="000000" w:themeColor="text1"/>
          <w:sz w:val="24"/>
          <w:szCs w:val="24"/>
        </w:rPr>
      </w:pPr>
      <w:r>
        <w:rPr>
          <w:b w:val="0"/>
        </w:rPr>
        <w:t>24. Agribusiness Academy. (2025). Sustainability (ESG) reporting in food and agribusiness: Challenges, best practices, and success stories.</w:t>
      </w:r>
      <w:r>
        <w:rPr>
          <w:b/>
        </w:rPr>
        <w:t xml:space="preserve"> ONLINE version not available</w:t>
      </w:r>
    </w:p>
    <w:p w14:paraId="604DBB2D" w14:textId="77777777" w:rsidR="00DB769D" w:rsidRPr="003A4922" w:rsidRDefault="00B32603" w:rsidP="00965274">
      <w:pPr>
        <w:spacing w:after="160"/>
        <w:ind w:left="720" w:hanging="720"/>
        <w:jc w:val="both"/>
        <w:rPr>
          <w:color w:val="000000" w:themeColor="text1"/>
          <w:sz w:val="24"/>
          <w:szCs w:val="24"/>
        </w:rPr>
      </w:pPr>
      <w:r>
        <w:rPr>
          <w:b w:val="0"/>
        </w:rPr>
        <w:t>25. World Resources Institute, &amp; World Business Council for Sustainable Development. (2011). Corporate value chain (Scope 3) accounting and reporting standard. Greenhouse Gas Protocol.</w:t>
      </w:r>
      <w:r>
        <w:t xml:space="preserve"> </w:t>
      </w:r>
      <w:hyperlink r:id="rId81">
        <w:r>
          <w:rPr>
            <w:color w:val="0563C1"/>
            <w:u w:val="single"/>
          </w:rPr>
          <w:t>https://www.wri.org/research/greenhouse-gas-protocol-corporate-value-chain-scope-3-accounting-and-reporting-standard</w:t>
        </w:r>
      </w:hyperlink>
    </w:p>
    <w:p w14:paraId="2112A8C2" w14:textId="77777777" w:rsidR="00DB769D" w:rsidRPr="003A4922" w:rsidRDefault="00B32603" w:rsidP="00965274">
      <w:pPr>
        <w:spacing w:after="160"/>
        <w:ind w:left="720" w:hanging="720"/>
        <w:jc w:val="both"/>
        <w:rPr>
          <w:color w:val="000000" w:themeColor="text1"/>
          <w:sz w:val="24"/>
          <w:szCs w:val="24"/>
        </w:rPr>
      </w:pPr>
      <w:r>
        <w:rPr>
          <w:b w:val="0"/>
        </w:rPr>
        <w:t>26. European Commission. (2023, July 31). The Commission adopts the European Sustainability Reporting Standards.</w:t>
      </w:r>
      <w:r>
        <w:t xml:space="preserve"> </w:t>
      </w:r>
      <w:hyperlink r:id="rId82">
        <w:r>
          <w:rPr>
            <w:color w:val="0563C1"/>
            <w:u w:val="single"/>
          </w:rPr>
          <w:t>https://finance.ec.europa.eu/news/commission-adopts-european-sustainability-reporting-standards-2023-07-31_en</w:t>
        </w:r>
      </w:hyperlink>
    </w:p>
    <w:p w14:paraId="63E0D42B" w14:textId="77777777" w:rsidR="00DB769D" w:rsidRPr="003A4922" w:rsidRDefault="00B32603" w:rsidP="00965274">
      <w:pPr>
        <w:spacing w:after="160"/>
        <w:ind w:left="720" w:hanging="720"/>
        <w:jc w:val="both"/>
        <w:rPr>
          <w:color w:val="000000" w:themeColor="text1"/>
          <w:sz w:val="24"/>
          <w:szCs w:val="24"/>
        </w:rPr>
      </w:pPr>
      <w:r>
        <w:rPr>
          <w:b w:val="0"/>
        </w:rPr>
        <w:t>27. Science Based Targets initiative. (2024). SBTi corporate near-term criteria: Version 5.2.</w:t>
      </w:r>
      <w:r>
        <w:t xml:space="preserve"> </w:t>
      </w:r>
      <w:hyperlink r:id="rId83">
        <w:r>
          <w:rPr>
            <w:color w:val="0563C1"/>
            <w:u w:val="single"/>
          </w:rPr>
          <w:t>https://docs.sbtiservices.com/resources/SBTi-criteria.pdf</w:t>
        </w:r>
      </w:hyperlink>
    </w:p>
    <w:p w14:paraId="43387094" w14:textId="77777777" w:rsidR="00DB769D" w:rsidRPr="003A4922" w:rsidRDefault="00B32603" w:rsidP="00965274">
      <w:pPr>
        <w:spacing w:after="160"/>
        <w:ind w:left="720" w:hanging="720"/>
        <w:jc w:val="both"/>
        <w:rPr>
          <w:color w:val="000000" w:themeColor="text1"/>
          <w:sz w:val="24"/>
          <w:szCs w:val="24"/>
        </w:rPr>
      </w:pPr>
      <w:r>
        <w:rPr>
          <w:b w:val="0"/>
        </w:rPr>
        <w:t>28. Talkington, I. (2026, May 21). Supply chain disclosure: What Scope 3 buyers are asking ag producers to prove. FarmRaise.</w:t>
      </w:r>
      <w:r>
        <w:t xml:space="preserve"> </w:t>
      </w:r>
      <w:hyperlink r:id="rId84">
        <w:r>
          <w:rPr>
            <w:color w:val="0563C1"/>
            <w:u w:val="single"/>
          </w:rPr>
          <w:t>https://www.farmraise.com/blog/2026-supply-chain-disclosure-scope-3-buyers-ag-producers</w:t>
        </w:r>
      </w:hyperlink>
    </w:p>
    <w:p w14:paraId="6743BA60" w14:textId="77777777" w:rsidR="00DB769D" w:rsidRPr="003A4922" w:rsidRDefault="00B32603" w:rsidP="00965274">
      <w:pPr>
        <w:spacing w:after="160"/>
        <w:ind w:left="720" w:hanging="720"/>
        <w:jc w:val="both"/>
        <w:rPr>
          <w:color w:val="000000" w:themeColor="text1"/>
          <w:sz w:val="24"/>
          <w:szCs w:val="24"/>
        </w:rPr>
      </w:pPr>
      <w:r>
        <w:rPr>
          <w:b w:val="0"/>
        </w:rPr>
        <w:t>29. Ahoa, E., Kassahun, A., Verdouw, C., &amp; Tekinerdogan, B. (2025). Challenges and solution directions for the integration of smart information systems in the agri-food sector. Sensors, 25(8), 2362.</w:t>
      </w:r>
      <w:r>
        <w:t xml:space="preserve"> </w:t>
      </w:r>
      <w:hyperlink r:id="rId85">
        <w:r>
          <w:rPr>
            <w:color w:val="0563C1"/>
            <w:u w:val="single"/>
          </w:rPr>
          <w:t>https://doi.org/10.3390/s25082362</w:t>
        </w:r>
      </w:hyperlink>
    </w:p>
    <w:p w14:paraId="2C51E232" w14:textId="77777777" w:rsidR="00DB769D" w:rsidRPr="003A4922" w:rsidRDefault="00B32603" w:rsidP="00965274">
      <w:pPr>
        <w:spacing w:after="160"/>
        <w:ind w:left="720" w:hanging="720"/>
        <w:jc w:val="both"/>
        <w:rPr>
          <w:color w:val="000000" w:themeColor="text1"/>
          <w:sz w:val="24"/>
          <w:szCs w:val="24"/>
        </w:rPr>
      </w:pPr>
      <w:r>
        <w:rPr>
          <w:b w:val="0"/>
        </w:rPr>
        <w:t>30. Rouzky, R., Sarrafzadeh, A., Sowells-Boone, E., Pasandi, H. B., &amp; Goins, G. (2026). Data governance in smart farming: A systematic review of challenges and gaps. Information Processing in Agriculture, 13(2), 303–317.</w:t>
      </w:r>
      <w:r>
        <w:t xml:space="preserve"> </w:t>
      </w:r>
      <w:hyperlink r:id="rId86">
        <w:r>
          <w:rPr>
            <w:color w:val="0563C1"/>
            <w:u w:val="single"/>
          </w:rPr>
          <w:t>https://doi.org/10.1016/j.inpa.2025.11.006</w:t>
        </w:r>
      </w:hyperlink>
    </w:p>
    <w:p w14:paraId="5C5F7287" w14:textId="77777777" w:rsidR="00DB769D" w:rsidRPr="003A4922" w:rsidRDefault="00B32603" w:rsidP="00965274">
      <w:pPr>
        <w:spacing w:after="160"/>
        <w:ind w:left="720" w:hanging="720"/>
        <w:jc w:val="both"/>
        <w:rPr>
          <w:color w:val="000000" w:themeColor="text1"/>
          <w:sz w:val="24"/>
          <w:szCs w:val="24"/>
        </w:rPr>
      </w:pPr>
      <w:r>
        <w:rPr>
          <w:b w:val="0"/>
        </w:rPr>
        <w:t>31. Jayashankar, P., Nilakanta, S., Johnston, W. J., Gill, P., &amp; Burres, R. (2018). IoT adoption in agriculture: The role of trust, perceived value and risk. Journal of Business &amp; Industrial Marketing, 33(6), 804–821.</w:t>
      </w:r>
      <w:r>
        <w:t xml:space="preserve"> </w:t>
      </w:r>
      <w:hyperlink r:id="rId87">
        <w:r>
          <w:rPr>
            <w:color w:val="0563C1"/>
            <w:u w:val="single"/>
          </w:rPr>
          <w:t>https://doi.org/10.1108/JBIM-01-2018-0023</w:t>
        </w:r>
      </w:hyperlink>
    </w:p>
    <w:p w14:paraId="54B98121" w14:textId="77777777" w:rsidR="00DB769D" w:rsidRPr="003A4922" w:rsidRDefault="00B32603" w:rsidP="00965274">
      <w:pPr>
        <w:spacing w:after="160"/>
        <w:ind w:left="720" w:hanging="720"/>
        <w:jc w:val="both"/>
        <w:rPr>
          <w:color w:val="000000" w:themeColor="text1"/>
          <w:sz w:val="24"/>
          <w:szCs w:val="24"/>
        </w:rPr>
      </w:pPr>
      <w:r>
        <w:rPr>
          <w:b w:val="0"/>
        </w:rPr>
        <w:t>32. Shepherd, M., Turner, J. A., Small, B., &amp; Wheeler, D. (2020). Priorities for science to overcome hurdles thwarting the full promise of the digital agriculture revolution. Journal of the Science of Food and Agriculture, 100(14), 5083–5092.</w:t>
      </w:r>
      <w:r>
        <w:t xml:space="preserve"> </w:t>
      </w:r>
      <w:hyperlink r:id="rId88">
        <w:r>
          <w:rPr>
            <w:color w:val="0563C1"/>
            <w:u w:val="single"/>
          </w:rPr>
          <w:t>https://doi.org/10.1002/jsfa.9346</w:t>
        </w:r>
      </w:hyperlink>
    </w:p>
    <w:p w14:paraId="6B9BB1E4" w14:textId="77777777" w:rsidR="00DB769D" w:rsidRPr="003A4922" w:rsidRDefault="00B32603" w:rsidP="00965274">
      <w:pPr>
        <w:spacing w:after="160"/>
        <w:ind w:left="720" w:hanging="720"/>
        <w:jc w:val="both"/>
        <w:rPr>
          <w:color w:val="000000" w:themeColor="text1"/>
          <w:sz w:val="24"/>
          <w:szCs w:val="24"/>
        </w:rPr>
      </w:pPr>
      <w:r>
        <w:rPr>
          <w:b w:val="0"/>
        </w:rPr>
        <w:t>33. Tychola, K. A., &amp; Rantos, K. (2025). Cyberthreats and security measures in drone-assisted agriculture. Electronics, 14(1), 149.</w:t>
      </w:r>
      <w:r>
        <w:t xml:space="preserve"> </w:t>
      </w:r>
      <w:hyperlink r:id="rId89">
        <w:r>
          <w:rPr>
            <w:color w:val="0563C1"/>
            <w:u w:val="single"/>
          </w:rPr>
          <w:t>https://doi.org/10.3390/electronics14010149</w:t>
        </w:r>
      </w:hyperlink>
    </w:p>
    <w:p w14:paraId="4F046F0A" w14:textId="77777777" w:rsidR="00DB769D" w:rsidRPr="003A4922" w:rsidRDefault="00B32603" w:rsidP="00965274">
      <w:pPr>
        <w:spacing w:after="160"/>
        <w:ind w:left="720" w:hanging="720"/>
        <w:jc w:val="both"/>
        <w:rPr>
          <w:color w:val="000000" w:themeColor="text1"/>
          <w:sz w:val="24"/>
          <w:szCs w:val="24"/>
        </w:rPr>
      </w:pPr>
      <w:r>
        <w:rPr>
          <w:b w:val="0"/>
        </w:rPr>
        <w:t>34. Dencik, L., Redden, J., Hintz, A., &amp; Warne, H. (2019). The ‘golden view’: Data-driven governance in the scoring society. Internet Policy Review, 8(2).</w:t>
      </w:r>
      <w:r>
        <w:t xml:space="preserve"> </w:t>
      </w:r>
      <w:hyperlink r:id="rId90">
        <w:r>
          <w:rPr>
            <w:color w:val="0563C1"/>
            <w:u w:val="single"/>
          </w:rPr>
          <w:t>https://doi.org/10.14763/2019.2.1413</w:t>
        </w:r>
      </w:hyperlink>
    </w:p>
    <w:p w14:paraId="7824AC2B" w14:textId="77777777" w:rsidR="00DB769D" w:rsidRPr="003A4922" w:rsidRDefault="00B32603" w:rsidP="00965274">
      <w:pPr>
        <w:spacing w:after="160"/>
        <w:ind w:left="720" w:hanging="720"/>
        <w:jc w:val="both"/>
        <w:rPr>
          <w:color w:val="000000" w:themeColor="text1"/>
          <w:sz w:val="24"/>
          <w:szCs w:val="24"/>
        </w:rPr>
      </w:pPr>
      <w:r>
        <w:rPr>
          <w:b w:val="0"/>
        </w:rPr>
        <w:t>35. World Bank. (2024). Agriculture and food overview.</w:t>
      </w:r>
      <w:r>
        <w:t xml:space="preserve"> </w:t>
      </w:r>
      <w:hyperlink r:id="rId91">
        <w:r>
          <w:rPr>
            <w:color w:val="0563C1"/>
            <w:u w:val="single"/>
          </w:rPr>
          <w:t>https://www.worldbank.org/en/topic/agriculture/overview</w:t>
        </w:r>
      </w:hyperlink>
    </w:p>
    <w:p w14:paraId="31EDF026" w14:textId="77777777" w:rsidR="00DB769D" w:rsidRPr="003A4922" w:rsidRDefault="00B32603" w:rsidP="00965274">
      <w:pPr>
        <w:spacing w:after="160"/>
        <w:ind w:left="720" w:hanging="720"/>
        <w:jc w:val="both"/>
        <w:rPr>
          <w:color w:val="000000" w:themeColor="text1"/>
          <w:sz w:val="24"/>
          <w:szCs w:val="24"/>
        </w:rPr>
      </w:pPr>
      <w:r>
        <w:rPr>
          <w:b w:val="0"/>
        </w:rPr>
        <w:t>36. Bontsa, N. V., Mushunje, A., Ngarava, S., &amp; Zhou, L. (2023). Utilisation of digital technologies by smallholder farmers in South Africa. South African Journal of Agricultural Extension, 51(4), 104–146.</w:t>
      </w:r>
      <w:r>
        <w:t xml:space="preserve"> </w:t>
      </w:r>
      <w:hyperlink r:id="rId92">
        <w:r>
          <w:rPr>
            <w:color w:val="0563C1"/>
            <w:u w:val="single"/>
          </w:rPr>
          <w:t>https://doi.org/10.17159/2413-3221/2023/v51n4a15337</w:t>
        </w:r>
      </w:hyperlink>
    </w:p>
    <w:p w14:paraId="1022A578" w14:textId="77777777" w:rsidR="00DB769D" w:rsidRPr="003A4922" w:rsidRDefault="00B32603" w:rsidP="00965274">
      <w:pPr>
        <w:spacing w:after="160"/>
        <w:ind w:left="720" w:hanging="720"/>
        <w:jc w:val="both"/>
        <w:rPr>
          <w:color w:val="000000" w:themeColor="text1"/>
          <w:sz w:val="24"/>
          <w:szCs w:val="24"/>
        </w:rPr>
      </w:pPr>
      <w:r>
        <w:rPr>
          <w:b w:val="0"/>
        </w:rPr>
        <w:t>37. Tzachor, A., Devare, M., Richards, C., Pypers, P., Ghosh, A., Koo, J., Johal, S., &amp; King, B. (2023). Large language models and agricultural extension services. Nature Food, 4(11), 941–948.</w:t>
      </w:r>
      <w:r>
        <w:t xml:space="preserve"> </w:t>
      </w:r>
      <w:hyperlink r:id="rId93">
        <w:r>
          <w:rPr>
            <w:color w:val="0563C1"/>
            <w:u w:val="single"/>
          </w:rPr>
          <w:t>https://doi.org/10.1038/s43016-023-00867-x</w:t>
        </w:r>
      </w:hyperlink>
    </w:p>
    <w:p w14:paraId="1C32A0E5" w14:textId="77777777" w:rsidR="00DB769D" w:rsidRPr="003A4922" w:rsidRDefault="00B32603" w:rsidP="00965274">
      <w:pPr>
        <w:spacing w:after="160"/>
        <w:ind w:left="720" w:hanging="720"/>
        <w:jc w:val="both"/>
        <w:rPr>
          <w:color w:val="000000" w:themeColor="text1"/>
          <w:sz w:val="24"/>
          <w:szCs w:val="24"/>
        </w:rPr>
      </w:pPr>
      <w:r>
        <w:rPr>
          <w:b w:val="0"/>
        </w:rPr>
        <w:t>38. Sen, L. T. H., Phuong, L. T. H., Chou, P., Dacuyan, F. B., Nyberg, Y., &amp; Wetterlind, J. (2025). The opportunities and barriers in developing interactive digital extension services for smallholder farmers as a pathway to sustainable agriculture: A systematic review. Sustainability, 17(7), 3007.</w:t>
      </w:r>
      <w:r>
        <w:t xml:space="preserve"> </w:t>
      </w:r>
      <w:hyperlink r:id="rId94">
        <w:r>
          <w:rPr>
            <w:color w:val="0563C1"/>
            <w:u w:val="single"/>
          </w:rPr>
          <w:t>https://doi.org/10.3390/su17073007</w:t>
        </w:r>
      </w:hyperlink>
    </w:p>
    <w:p w14:paraId="5D5342C9" w14:textId="77777777" w:rsidR="00DB769D" w:rsidRPr="003A4922" w:rsidRDefault="00B32603" w:rsidP="00965274">
      <w:pPr>
        <w:spacing w:after="160"/>
        <w:ind w:left="720" w:hanging="720"/>
        <w:jc w:val="both"/>
        <w:rPr>
          <w:color w:val="000000" w:themeColor="text1"/>
          <w:sz w:val="24"/>
          <w:szCs w:val="24"/>
        </w:rPr>
      </w:pPr>
      <w:r>
        <w:rPr>
          <w:b w:val="0"/>
        </w:rPr>
        <w:t>39. Meemken, E.-M., &amp; Bellemare, M. F. (2020). Smallholder farmers and contract farming in developing countries. Proceedings of the National Academy of Sciences of the United States of America, 117(1), 259–264.</w:t>
      </w:r>
      <w:r>
        <w:t xml:space="preserve"> </w:t>
      </w:r>
      <w:hyperlink r:id="rId95">
        <w:r>
          <w:rPr>
            <w:color w:val="0563C1"/>
            <w:u w:val="single"/>
          </w:rPr>
          <w:t>https://doi.org/10.1073/pnas.1909501116</w:t>
        </w:r>
      </w:hyperlink>
    </w:p>
    <w:p w14:paraId="5E3611CD" w14:textId="77777777" w:rsidR="00DB769D" w:rsidRPr="003A4922" w:rsidRDefault="00B32603" w:rsidP="00965274">
      <w:pPr>
        <w:spacing w:after="160"/>
        <w:ind w:left="720" w:hanging="720"/>
        <w:jc w:val="both"/>
        <w:rPr>
          <w:color w:val="000000" w:themeColor="text1"/>
          <w:sz w:val="24"/>
          <w:szCs w:val="24"/>
        </w:rPr>
      </w:pPr>
      <w:r>
        <w:rPr>
          <w:b w:val="0"/>
        </w:rPr>
        <w:t>40. Censi, R., Campana, P., Tarola, A. M., &amp; Ruggieri, R. (2025). Digital pathways toward sustainability in agri-food waste: A systematic review. Resources, 14(8), 126.</w:t>
      </w:r>
      <w:r>
        <w:t xml:space="preserve"> </w:t>
      </w:r>
      <w:hyperlink r:id="rId96">
        <w:r>
          <w:rPr>
            <w:color w:val="0563C1"/>
            <w:u w:val="single"/>
          </w:rPr>
          <w:t>https://doi.org/10.3390/resources14080126</w:t>
        </w:r>
      </w:hyperlink>
    </w:p>
    <w:p w14:paraId="5B55DE2E" w14:textId="77777777" w:rsidR="00DB769D" w:rsidRPr="003A4922" w:rsidRDefault="00B32603" w:rsidP="00965274">
      <w:pPr>
        <w:spacing w:after="160"/>
        <w:ind w:left="720" w:hanging="720"/>
        <w:jc w:val="both"/>
        <w:rPr>
          <w:color w:val="000000" w:themeColor="text1"/>
          <w:sz w:val="24"/>
          <w:szCs w:val="24"/>
        </w:rPr>
      </w:pPr>
      <w:r>
        <w:rPr>
          <w:b w:val="0"/>
        </w:rPr>
        <w:t>41. Pienwisetkaew, T., Wongsaichia, S., Pinyosap, B., Prasertsil, S., Poonsakpaisarn, K., &amp; Ketkaew, C. (2023). The behavioral intention to adopt circular economy-based digital technology for agricultural waste valorization. Foods, 12(12), 2341.</w:t>
      </w:r>
      <w:r>
        <w:t xml:space="preserve"> </w:t>
      </w:r>
      <w:hyperlink r:id="rId97">
        <w:r>
          <w:rPr>
            <w:color w:val="0563C1"/>
            <w:u w:val="single"/>
          </w:rPr>
          <w:t>https://doi.org/10.3390/foods12122341</w:t>
        </w:r>
      </w:hyperlink>
    </w:p>
    <w:p w14:paraId="08397C75" w14:textId="77777777" w:rsidR="00DB769D" w:rsidRPr="003A4922" w:rsidRDefault="00B32603" w:rsidP="00965274">
      <w:pPr>
        <w:spacing w:after="160"/>
        <w:ind w:left="720" w:hanging="720"/>
        <w:jc w:val="both"/>
        <w:rPr>
          <w:color w:val="000000" w:themeColor="text1"/>
          <w:sz w:val="24"/>
          <w:szCs w:val="24"/>
        </w:rPr>
      </w:pPr>
      <w:r>
        <w:rPr>
          <w:b w:val="0"/>
        </w:rPr>
        <w:t>42. Carrer, M. J. (2023). Farm management information systems (FMIS). In Q. Zhang (Ed.), Encyclopedia of Smart Agriculture Technologies (pp. 1–7). Springer Nature Switzerland.</w:t>
      </w:r>
      <w:r>
        <w:t xml:space="preserve"> </w:t>
      </w:r>
      <w:hyperlink r:id="rId98">
        <w:r>
          <w:rPr>
            <w:color w:val="0563C1"/>
            <w:u w:val="single"/>
          </w:rPr>
          <w:t>https://doi.org/10.1007/978-3-030-89123-7_16-2</w:t>
        </w:r>
      </w:hyperlink>
    </w:p>
    <w:p w14:paraId="20683DA4" w14:textId="77777777" w:rsidR="00DB769D" w:rsidRPr="003A4922" w:rsidRDefault="00B32603" w:rsidP="00965274">
      <w:pPr>
        <w:spacing w:after="160"/>
        <w:ind w:left="720" w:hanging="720"/>
        <w:jc w:val="both"/>
        <w:rPr>
          <w:color w:val="000000" w:themeColor="text1"/>
          <w:sz w:val="24"/>
          <w:szCs w:val="24"/>
        </w:rPr>
      </w:pPr>
      <w:r>
        <w:rPr>
          <w:b w:val="0"/>
        </w:rPr>
        <w:t>43. Nxumalo, G. S., &amp; Chauke, H. (2025). Challenges and opportunities in smallholder agriculture digitization in South Africa. Frontiers in Sustainable Food Systems, 9, 1583224.</w:t>
      </w:r>
      <w:r>
        <w:t xml:space="preserve"> </w:t>
      </w:r>
      <w:hyperlink r:id="rId99">
        <w:r>
          <w:rPr>
            <w:color w:val="0563C1"/>
            <w:u w:val="single"/>
          </w:rPr>
          <w:t>https://doi.org/10.3389/fsufs.2025.1583224</w:t>
        </w:r>
      </w:hyperlink>
    </w:p>
    <w:p w14:paraId="5A118BB3" w14:textId="77777777" w:rsidR="00DB769D" w:rsidRPr="003A4922" w:rsidRDefault="00B32603" w:rsidP="00965274">
      <w:pPr>
        <w:spacing w:after="160"/>
        <w:ind w:left="720" w:hanging="720"/>
        <w:jc w:val="both"/>
        <w:rPr>
          <w:color w:val="000000" w:themeColor="text1"/>
          <w:sz w:val="24"/>
          <w:szCs w:val="24"/>
        </w:rPr>
      </w:pPr>
      <w:r>
        <w:rPr>
          <w:b w:val="0"/>
        </w:rPr>
        <w:t>44. Miine, L. K., Akorsu, A. D., Boampong, O., &amp; Bukari, S. (2023). Drivers and intensity of adoption of digital agricultural services by smallholder farmers in Ghana. Heliyon, 9(12), e23023.</w:t>
      </w:r>
      <w:r>
        <w:t xml:space="preserve"> </w:t>
      </w:r>
      <w:hyperlink r:id="rId100">
        <w:r>
          <w:rPr>
            <w:color w:val="0563C1"/>
            <w:u w:val="single"/>
          </w:rPr>
          <w:t>https://doi.org/10.1016/j.heliyon.2023.e23023</w:t>
        </w:r>
      </w:hyperlink>
    </w:p>
    <w:p w14:paraId="6E294B09" w14:textId="77777777" w:rsidR="00DB769D" w:rsidRPr="003A4922" w:rsidRDefault="00B32603" w:rsidP="00965274">
      <w:pPr>
        <w:spacing w:after="160"/>
        <w:ind w:left="720" w:hanging="720"/>
        <w:jc w:val="both"/>
        <w:rPr>
          <w:color w:val="000000" w:themeColor="text1"/>
          <w:sz w:val="24"/>
          <w:szCs w:val="24"/>
        </w:rPr>
      </w:pPr>
      <w:r>
        <w:rPr>
          <w:b w:val="0"/>
        </w:rPr>
        <w:t>45. Ahmed, N., &amp; Shakoor, N. (2025). Advancing agriculture through IoT, big data, and AI: A review of smart technologies enabling sustainability. Smart Agricultural Technology, 10, 100848.</w:t>
      </w:r>
      <w:r>
        <w:t xml:space="preserve"> </w:t>
      </w:r>
      <w:hyperlink r:id="rId101">
        <w:r>
          <w:rPr>
            <w:color w:val="0563C1"/>
            <w:u w:val="single"/>
          </w:rPr>
          <w:t>https://doi.org/10.1016/j.atech.2025.100848</w:t>
        </w:r>
      </w:hyperlink>
    </w:p>
    <w:p w14:paraId="41307F85" w14:textId="77777777" w:rsidR="00DB769D" w:rsidRPr="003A4922" w:rsidRDefault="00B32603" w:rsidP="00965274">
      <w:pPr>
        <w:spacing w:after="160"/>
        <w:ind w:left="720" w:hanging="720"/>
        <w:jc w:val="both"/>
        <w:rPr>
          <w:color w:val="000000" w:themeColor="text1"/>
          <w:sz w:val="24"/>
          <w:szCs w:val="24"/>
        </w:rPr>
      </w:pPr>
      <w:r>
        <w:rPr>
          <w:b w:val="0"/>
        </w:rPr>
        <w:t>46. Sykuta, M. E. (2016). Big data in agriculture: Property rights, privacy and competition in ag data services. International Food and Agribusiness Management Review, 19, 57–74.</w:t>
      </w:r>
      <w:r>
        <w:t xml:space="preserve"> </w:t>
      </w:r>
      <w:hyperlink r:id="rId102">
        <w:r>
          <w:rPr>
            <w:color w:val="0563C1"/>
            <w:u w:val="single"/>
          </w:rPr>
          <w:t>https://doi.org/10.22004/ag.econ.240696</w:t>
        </w:r>
      </w:hyperlink>
    </w:p>
    <w:p w14:paraId="7C98F6D7" w14:textId="77777777" w:rsidR="00DB769D" w:rsidRPr="003A4922" w:rsidRDefault="00B32603" w:rsidP="00965274">
      <w:pPr>
        <w:spacing w:after="160"/>
        <w:ind w:left="720" w:hanging="720"/>
        <w:jc w:val="both"/>
        <w:rPr>
          <w:color w:val="000000" w:themeColor="text1"/>
          <w:sz w:val="24"/>
          <w:szCs w:val="24"/>
        </w:rPr>
      </w:pPr>
      <w:r>
        <w:rPr>
          <w:b w:val="0"/>
        </w:rPr>
        <w:t>47. Zafar, O., Santa González, R., Namazi, M., Morales, A., &amp; Ayday, E. (2025). Empowering digital agriculture: A privacy-preserving framework for data sharing and collaborative research [Preprint]. arXiv.</w:t>
      </w:r>
      <w:r>
        <w:t xml:space="preserve"> </w:t>
      </w:r>
      <w:hyperlink r:id="rId103">
        <w:r>
          <w:rPr>
            <w:color w:val="0563C1"/>
            <w:u w:val="single"/>
          </w:rPr>
          <w:t>https://doi.org/10.48550/arXiv.2506.20872</w:t>
        </w:r>
      </w:hyperlink>
    </w:p>
    <w:p w14:paraId="13429B08" w14:textId="77777777" w:rsidR="00DB769D" w:rsidRPr="003A4922" w:rsidRDefault="00B32603" w:rsidP="00965274">
      <w:pPr>
        <w:spacing w:after="160"/>
        <w:ind w:left="720" w:hanging="720"/>
        <w:jc w:val="both"/>
        <w:rPr>
          <w:color w:val="000000" w:themeColor="text1"/>
          <w:sz w:val="24"/>
          <w:szCs w:val="24"/>
        </w:rPr>
      </w:pPr>
      <w:r>
        <w:rPr>
          <w:b w:val="0"/>
        </w:rPr>
        <w:t>48. Ruder, S.-L., &amp; Wittman, H. (2025). Agricultural data governance from the ground up: Exploring data justice with agri-food movements. Big Data &amp; Society, 12(1).</w:t>
      </w:r>
      <w:r>
        <w:t xml:space="preserve"> </w:t>
      </w:r>
      <w:hyperlink r:id="rId104">
        <w:r>
          <w:rPr>
            <w:color w:val="0563C1"/>
            <w:u w:val="single"/>
          </w:rPr>
          <w:t>https://doi.org/10.1177/20539517251330182</w:t>
        </w:r>
      </w:hyperlink>
    </w:p>
    <w:p w14:paraId="7D423E5F" w14:textId="77777777" w:rsidR="00DB769D" w:rsidRPr="003A4922" w:rsidRDefault="00B32603" w:rsidP="00965274">
      <w:pPr>
        <w:spacing w:after="160"/>
        <w:ind w:left="720" w:hanging="720"/>
        <w:jc w:val="both"/>
        <w:rPr>
          <w:color w:val="000000" w:themeColor="text1"/>
          <w:sz w:val="24"/>
          <w:szCs w:val="24"/>
        </w:rPr>
      </w:pPr>
      <w:r>
        <w:rPr>
          <w:b w:val="0"/>
        </w:rPr>
        <w:t>49. Carrer, M. J., de Souza Filho, H. M., Batalha, M. O., &amp; Rossi, F. R. (2015). Farm management information systems (FMIS) and technical efficiency: An analysis of citrus farms in Brazil. Computers and Electronics in Agriculture, 119, 105–111.</w:t>
      </w:r>
      <w:r>
        <w:t xml:space="preserve"> </w:t>
      </w:r>
      <w:hyperlink r:id="rId105">
        <w:r>
          <w:rPr>
            <w:color w:val="0563C1"/>
            <w:u w:val="single"/>
          </w:rPr>
          <w:t>https://doi.org/10.1016/j.compag.2015.10.013</w:t>
        </w:r>
      </w:hyperlink>
    </w:p>
    <w:p w14:paraId="715FB2C0" w14:textId="77777777" w:rsidR="00DB769D" w:rsidRPr="003A4922" w:rsidRDefault="00B32603" w:rsidP="00965274">
      <w:pPr>
        <w:spacing w:after="160"/>
        <w:ind w:left="720" w:hanging="720"/>
        <w:jc w:val="both"/>
        <w:rPr>
          <w:color w:val="000000" w:themeColor="text1"/>
          <w:sz w:val="24"/>
          <w:szCs w:val="24"/>
        </w:rPr>
      </w:pPr>
      <w:r>
        <w:rPr>
          <w:b w:val="0"/>
        </w:rPr>
        <w:t>50. Kaur, J., Hazrati Fard, S. M., Amiri-Zarandi, M., &amp; Dara, R. (2022). Protecting farmers’ data privacy and confidentiality: Recommendations and considerations. Frontiers in Sustainable Food Systems, 6, 903230.</w:t>
      </w:r>
      <w:r>
        <w:t xml:space="preserve"> </w:t>
      </w:r>
      <w:hyperlink r:id="rId106">
        <w:r>
          <w:rPr>
            <w:color w:val="0563C1"/>
            <w:u w:val="single"/>
          </w:rPr>
          <w:t>https://doi.org/10.3389/fsufs.2022.903230</w:t>
        </w:r>
      </w:hyperlink>
    </w:p>
    <w:p w14:paraId="7F5973D8" w14:textId="77777777" w:rsidR="00DB769D" w:rsidRPr="003A4922" w:rsidRDefault="00B32603" w:rsidP="00965274">
      <w:pPr>
        <w:spacing w:after="160"/>
        <w:ind w:left="720" w:hanging="720"/>
        <w:jc w:val="both"/>
        <w:rPr>
          <w:color w:val="000000" w:themeColor="text1"/>
          <w:sz w:val="24"/>
          <w:szCs w:val="24"/>
        </w:rPr>
      </w:pPr>
      <w:r>
        <w:rPr>
          <w:b w:val="0"/>
        </w:rPr>
        <w:t>51. Dembani, R., Karvelas, I., Akbar, N. A., Rizou, S., Tegolo, D., &amp; Fountas, S. (2025). Agricultural data privacy and federated learning: A review of challenges and opportunities. Computers and Electronics in Agriculture, 232, 110048.</w:t>
      </w:r>
      <w:r>
        <w:t xml:space="preserve"> </w:t>
      </w:r>
      <w:hyperlink r:id="rId107">
        <w:r>
          <w:rPr>
            <w:color w:val="0563C1"/>
            <w:u w:val="single"/>
          </w:rPr>
          <w:t>https://doi.org/10.1016/j.compag.2025.110048</w:t>
        </w:r>
      </w:hyperlink>
    </w:p>
    <w:p w14:paraId="25BE2EAA" w14:textId="77777777" w:rsidR="00DB769D" w:rsidRPr="00034A62" w:rsidRDefault="00B32603" w:rsidP="00965274">
      <w:pPr>
        <w:spacing w:after="160"/>
        <w:ind w:left="720" w:hanging="720"/>
        <w:jc w:val="both"/>
        <w:rPr>
          <w:color w:val="000000" w:themeColor="text1"/>
          <w:sz w:val="24"/>
          <w:szCs w:val="24"/>
        </w:rPr>
      </w:pPr>
      <w:r>
        <w:rPr>
          <w:b w:val="0"/>
        </w:rPr>
        <w:t>52. Paudel, B., Riaz, S., Teng, S. W., Kolluri, R. R., &amp; Sandhu, H. (2025). The digital future of farming: A bibliometric analysis of big data in smart farming research. Cleaner and Circular Bioeconomy, 10, 100132.</w:t>
      </w:r>
      <w:r>
        <w:t xml:space="preserve"> </w:t>
      </w:r>
      <w:hyperlink r:id="rId108">
        <w:r>
          <w:rPr>
            <w:color w:val="0563C1"/>
            <w:u w:val="single"/>
          </w:rPr>
          <w:t>https://doi.org/10.1016/j.clcb.2024.100132</w:t>
        </w:r>
      </w:hyperlink>
    </w:p>
    <w:p w14:paraId="0C10F9B7" w14:textId="77777777" w:rsidR="00356EC4" w:rsidRDefault="00000000">
      <w:pPr>
        <w:spacing w:after="160"/>
        <w:ind w:left="720" w:hanging="720"/>
        <w:jc w:val="both"/>
        <w:rPr>
          <w:color w:val="000000" w:themeColor="text1"/>
          <w:sz w:val="24"/>
          <w:szCs w:val="24"/>
        </w:rPr>
      </w:pPr>
      <w:r>
        <w:rPr>
          <w:b w:val="0"/>
        </w:rPr>
        <w:t>53. Ghosh, A., Rai, S., Ashoka, P., Kotyal, K., Sabarinathan, B., Saran, S., Anjali, Sivakumar, K. P., Panotra, N., &amp; Pandey, S. K. (2025). Data-driven decision making in agriculture with sensors, satellite imagery and AI analytics by digital farming. Archives of Current Research International, 25(5), 37–52.</w:t>
      </w:r>
      <w:r>
        <w:t xml:space="preserve"> </w:t>
      </w:r>
      <w:hyperlink r:id="rId109">
        <w:r>
          <w:rPr>
            <w:color w:val="0563C1"/>
            <w:u w:val="single"/>
          </w:rPr>
          <w:t>https://doi.org/10.9734/acri/2025/v25i51186</w:t>
        </w:r>
      </w:hyperlink>
    </w:p>
    <w:p w14:paraId="02489FAD" w14:textId="77777777" w:rsidR="00356EC4" w:rsidRDefault="00000000">
      <w:pPr>
        <w:spacing w:after="160"/>
        <w:ind w:left="720" w:hanging="720"/>
        <w:jc w:val="both"/>
        <w:rPr>
          <w:color w:val="000000" w:themeColor="text1"/>
          <w:sz w:val="24"/>
          <w:szCs w:val="24"/>
        </w:rPr>
      </w:pPr>
      <w:r>
        <w:rPr>
          <w:b w:val="0"/>
        </w:rPr>
        <w:t>54. Urdu, D., Berre, A. J., Sundmaeker, H., Rilling, S., Roussaki, I., Marguglio, A., Doolin, K., Zaborowski, P., Atkinson, R., Palma, R., Faraldi, M., &amp; Wolfert, S. (2024). Aligning interoperability architectures for digital agri-food platforms. Computers and Electronics in Agriculture, 224, 109194.</w:t>
      </w:r>
      <w:r>
        <w:t xml:space="preserve"> </w:t>
      </w:r>
      <w:hyperlink r:id="rId110">
        <w:r>
          <w:rPr>
            <w:color w:val="0563C1"/>
            <w:u w:val="single"/>
          </w:rPr>
          <w:t>https://doi.org/10.1016/j.compag.2024.109194</w:t>
        </w:r>
      </w:hyperlink>
    </w:p>
    <w:p w14:paraId="37225A2F" w14:textId="77777777" w:rsidR="00356EC4" w:rsidRDefault="00000000">
      <w:pPr>
        <w:spacing w:after="160"/>
        <w:ind w:left="720" w:hanging="720"/>
        <w:jc w:val="both"/>
        <w:rPr>
          <w:color w:val="000000" w:themeColor="text1"/>
          <w:sz w:val="24"/>
          <w:szCs w:val="24"/>
        </w:rPr>
      </w:pPr>
      <w:r>
        <w:rPr>
          <w:b w:val="0"/>
        </w:rPr>
        <w:t>55. Meemken, E.-M., Becker-Reshef, I., Klerkx, L., Kloppenburg, S., Wegner, J. D., &amp; Finger, R. (2024). Digital innovations for monitoring sustainability in food systems. Nature Food, 5(8), 656–660.</w:t>
      </w:r>
      <w:r>
        <w:t xml:space="preserve"> </w:t>
      </w:r>
      <w:hyperlink r:id="rId111">
        <w:r>
          <w:rPr>
            <w:color w:val="0563C1"/>
            <w:u w:val="single"/>
          </w:rPr>
          <w:t>https://doi.org/10.1038/s43016-024-01018-6</w:t>
        </w:r>
      </w:hyperlink>
    </w:p>
    <w:p w14:paraId="3BEA889B" w14:textId="77777777" w:rsidR="00356EC4" w:rsidRDefault="00000000">
      <w:pPr>
        <w:spacing w:after="160"/>
        <w:ind w:left="720" w:hanging="720"/>
        <w:jc w:val="both"/>
        <w:rPr>
          <w:color w:val="000000" w:themeColor="text1"/>
          <w:sz w:val="24"/>
          <w:szCs w:val="24"/>
        </w:rPr>
      </w:pPr>
      <w:r>
        <w:rPr>
          <w:b w:val="0"/>
        </w:rPr>
        <w:t>56. de Avila, F. R., &amp; Barbosa, J. L. V. (2025). Smart environments in digital agriculture: A systematic review and taxonomy. Computers and Electronics in Agriculture, 236, 110393.</w:t>
      </w:r>
      <w:r>
        <w:t xml:space="preserve"> </w:t>
      </w:r>
      <w:hyperlink r:id="rId112">
        <w:r>
          <w:rPr>
            <w:color w:val="0563C1"/>
            <w:u w:val="single"/>
          </w:rPr>
          <w:t>https://doi.org/10.1016/j.compag.2025.110393</w:t>
        </w:r>
      </w:hyperlink>
    </w:p>
    <w:p w14:paraId="2F877063" w14:textId="77777777" w:rsidR="00356EC4" w:rsidRDefault="00000000">
      <w:pPr>
        <w:spacing w:after="160"/>
        <w:ind w:left="720" w:hanging="720"/>
        <w:jc w:val="both"/>
        <w:rPr>
          <w:color w:val="000000" w:themeColor="text1"/>
          <w:sz w:val="24"/>
          <w:szCs w:val="24"/>
        </w:rPr>
      </w:pPr>
      <w:r>
        <w:rPr>
          <w:b w:val="0"/>
        </w:rPr>
        <w:t>57. Bollagani, D., Chowdhary, K., &amp; Shireesha, C. (2026). Precision farming for sustainable and efficient agribusiness in India: A critical narrative review with descriptive evidence synthesis. Journal of Global Agriculture and Ecology, 18(3), 231–255.</w:t>
      </w:r>
      <w:r>
        <w:t xml:space="preserve"> </w:t>
      </w:r>
      <w:hyperlink r:id="rId113">
        <w:r>
          <w:rPr>
            <w:color w:val="0563C1"/>
            <w:u w:val="single"/>
          </w:rPr>
          <w:t>https://doi.org/10.56557/jogae/2026/v18i311028</w:t>
        </w:r>
      </w:hyperlink>
    </w:p>
    <w:sectPr w:rsidR="00356EC4" w:rsidSect="00944DF7">
      <w:headerReference w:type="even" r:id="rId52"/>
      <w:headerReference w:type="default" r:id="rId53"/>
      <w:footerReference w:type="default" r:id="rId54"/>
      <w:headerReference w:type="first" r:id="rId55"/>
      <w:type w:val="continuous"/>
      <w:pgSz w:w="12240" w:h="15840"/>
      <w:pgMar w:top="1440" w:right="2016" w:bottom="2016" w:left="201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9C02C" w14:textId="77777777" w:rsidR="00CB31FB" w:rsidRDefault="00CB31FB">
      <w:r>
        <w:separator/>
      </w:r>
    </w:p>
  </w:endnote>
  <w:endnote w:type="continuationSeparator" w:id="0">
    <w:p w14:paraId="32085023" w14:textId="77777777" w:rsidR="00CB31FB" w:rsidRDefault="00CB3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14673" w14:textId="77777777" w:rsidR="00496688" w:rsidRDefault="004966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7062" w14:textId="77777777" w:rsidR="00496688" w:rsidRDefault="004966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FE54" w14:textId="77777777" w:rsidR="00496688" w:rsidRDefault="004966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CCD6" w14:textId="77777777" w:rsidR="00D67B6C" w:rsidRPr="00B85732" w:rsidRDefault="00D67B6C" w:rsidP="00B8573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AD10F" w14:textId="77777777" w:rsidR="00D67B6C" w:rsidRPr="00B85732" w:rsidRDefault="00D67B6C" w:rsidP="00B8573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D16F6" w14:textId="77777777" w:rsidR="00D67B6C" w:rsidRPr="003A4922" w:rsidRDefault="00D67B6C" w:rsidP="003A49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2D2B0" w14:textId="77777777" w:rsidR="00D67B6C" w:rsidRPr="003A4922" w:rsidRDefault="00D67B6C" w:rsidP="003A49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A90A0" w14:textId="77777777" w:rsidR="00D67B6C" w:rsidRPr="003A4922" w:rsidRDefault="00D67B6C" w:rsidP="003A49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3D5E" w14:textId="77777777" w:rsidR="00D67B6C" w:rsidRPr="003A4922" w:rsidRDefault="00D67B6C" w:rsidP="003A49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0C13" w14:textId="77777777" w:rsidR="00D67B6C" w:rsidRPr="003A4922" w:rsidRDefault="00D67B6C" w:rsidP="003A49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3979E" w14:textId="77777777" w:rsidR="00D67B6C" w:rsidRPr="00496688" w:rsidRDefault="00D67B6C" w:rsidP="00496688">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3C9D4" w14:textId="77777777" w:rsidR="00D67B6C" w:rsidRPr="003A4922" w:rsidRDefault="00D67B6C" w:rsidP="003A49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2A5E3" w14:textId="77777777" w:rsidR="00D67B6C" w:rsidRPr="00944DF7" w:rsidRDefault="00D67B6C" w:rsidP="00944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DD93" w14:textId="77777777" w:rsidR="00CB31FB" w:rsidRDefault="00CB31FB">
      <w:r>
        <w:separator/>
      </w:r>
    </w:p>
  </w:footnote>
  <w:footnote w:type="continuationSeparator" w:id="0">
    <w:p w14:paraId="65395D29" w14:textId="77777777" w:rsidR="00CB31FB" w:rsidRDefault="00CB31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0C2E4" w14:textId="77777777" w:rsidR="00496688" w:rsidRDefault="00000000">
    <w:pPr>
      <w:pStyle w:val="Header"/>
    </w:pPr>
    <w:r>
      <w:rPr>
        <w:noProof/>
      </w:rPr>
      <w:pict w14:anchorId="6F9252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8"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93BEE" w14:textId="77777777" w:rsidR="00496688" w:rsidRDefault="00000000">
    <w:pPr>
      <w:pStyle w:val="Header"/>
    </w:pPr>
    <w:r>
      <w:rPr>
        <w:noProof/>
      </w:rPr>
      <w:pict w14:anchorId="6C5210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9"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722C9" w14:textId="77777777" w:rsidR="00496688" w:rsidRDefault="00000000">
    <w:pPr>
      <w:pStyle w:val="Header"/>
    </w:pPr>
    <w:r>
      <w:rPr>
        <w:noProof/>
      </w:rPr>
      <w:pict w14:anchorId="6DC019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87"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6B911" w14:textId="77777777" w:rsidR="00496688" w:rsidRDefault="00000000">
    <w:pPr>
      <w:pStyle w:val="Header"/>
    </w:pPr>
    <w:r>
      <w:rPr>
        <w:noProof/>
      </w:rPr>
      <w:pict w14:anchorId="38E506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1" o:spid="_x0000_s1031" type="#_x0000_t136" style="position:absolute;margin-left:0;margin-top:0;width:520.65pt;height:57.85pt;rotation:315;z-index:-251644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F594DF4">
        <v:shape id="_x0000_s1030" type="#_x0000_t136" style="position:absolute;margin-left:0;margin-top:0;width:520.65pt;height:57.85pt;rotation:315;z-index:-251646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88972" w14:textId="77777777" w:rsidR="00496688" w:rsidRDefault="00000000">
    <w:pPr>
      <w:pStyle w:val="Header"/>
    </w:pPr>
    <w:r>
      <w:rPr>
        <w:noProof/>
      </w:rPr>
      <w:pict w14:anchorId="742B0B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2" o:spid="_x0000_s1033" type="#_x0000_t136" style="position:absolute;margin-left:0;margin-top:0;width:520.65pt;height:57.85pt;rotation:315;z-index:-251640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49F418F">
        <v:shape id="_x0000_s1032" type="#_x0000_t136" style="position:absolute;margin-left:0;margin-top:0;width:520.65pt;height:57.85pt;rotation:315;z-index:-251642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01EA4" w14:textId="77777777" w:rsidR="00496688" w:rsidRDefault="00000000">
    <w:pPr>
      <w:pStyle w:val="Header"/>
    </w:pPr>
    <w:r>
      <w:rPr>
        <w:noProof/>
      </w:rPr>
      <w:pict w14:anchorId="18BB787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0" o:spid="_x0000_s1029" type="#_x0000_t136" style="position:absolute;margin-left:0;margin-top:0;width:520.65pt;height:57.85pt;rotation:315;z-index:-251649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482808D">
        <v:shape id="_x0000_s1028" type="#_x0000_t136" style="position:absolute;margin-left:0;margin-top:0;width:520.65pt;height:57.85pt;rotation:315;z-index:-251651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43D0" w14:textId="77777777" w:rsidR="00496688" w:rsidRDefault="00000000">
    <w:pPr>
      <w:pStyle w:val="Header"/>
    </w:pPr>
    <w:r>
      <w:rPr>
        <w:noProof/>
      </w:rPr>
      <w:pict w14:anchorId="009A10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4" o:spid="_x0000_s1039" type="#_x0000_t136" style="position:absolute;margin-left:0;margin-top:0;width:520.65pt;height:57.85pt;rotation:315;z-index:-251630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9F231D">
        <v:shape id="_x0000_s1038" type="#_x0000_t136" style="position:absolute;margin-left:0;margin-top:0;width:520.65pt;height:57.85pt;rotation:315;z-index:-251632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112D778">
        <v:shape id="_x0000_s1037" type="#_x0000_t136" style="position:absolute;margin-left:0;margin-top:0;width:520.65pt;height:57.85pt;rotation:315;z-index:-2516336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4ED5" w14:textId="77777777" w:rsidR="00496688" w:rsidRDefault="00000000">
    <w:pPr>
      <w:pStyle w:val="Header"/>
    </w:pPr>
    <w:r>
      <w:rPr>
        <w:noProof/>
      </w:rPr>
      <w:pict w14:anchorId="21F7F2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5" o:spid="_x0000_s1042" type="#_x0000_t136" style="position:absolute;margin-left:0;margin-top:0;width:520.65pt;height:57.85pt;rotation:315;z-index:-2516254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AF68B1D">
        <v:shape id="_x0000_s1041" type="#_x0000_t136" style="position:absolute;margin-left:0;margin-top:0;width:520.65pt;height:57.85pt;rotation:315;z-index:-2516275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F43C36E">
        <v:shape id="_x0000_s1040" type="#_x0000_t136" style="position:absolute;margin-left:0;margin-top:0;width:520.65pt;height:57.85pt;rotation:315;z-index:-251628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33A4" w14:textId="77777777" w:rsidR="00496688" w:rsidRDefault="00000000">
    <w:pPr>
      <w:pStyle w:val="Header"/>
    </w:pPr>
    <w:r>
      <w:rPr>
        <w:noProof/>
      </w:rPr>
      <w:pict w14:anchorId="07CCB7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3" o:spid="_x0000_s1036" type="#_x0000_t136" style="position:absolute;margin-left:0;margin-top:0;width:520.65pt;height:57.85pt;rotation:315;z-index:-2516357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9091AD2">
        <v:shape id="_x0000_s1035" type="#_x0000_t136" style="position:absolute;margin-left:0;margin-top:0;width:520.65pt;height:57.85pt;rotation:315;z-index:-2516377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D56B824">
        <v:shape id="_x0000_s1034" type="#_x0000_t136" style="position:absolute;margin-left:0;margin-top:0;width:520.65pt;height:57.85pt;rotation:315;z-index:-251638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0C1CC" w14:textId="77777777" w:rsidR="00496688" w:rsidRDefault="00000000">
    <w:pPr>
      <w:pStyle w:val="Header"/>
    </w:pPr>
    <w:r>
      <w:rPr>
        <w:noProof/>
      </w:rPr>
      <w:pict w14:anchorId="70D041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7" o:spid="_x0000_s1050" type="#_x0000_t136" style="position:absolute;margin-left:0;margin-top:0;width:520.65pt;height:57.85pt;rotation:315;z-index:-2516131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20F3E2">
        <v:shape id="_x0000_s1049" type="#_x0000_t136" style="position:absolute;margin-left:0;margin-top:0;width:520.65pt;height:57.85pt;rotation:315;z-index:-2516152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13911D3">
        <v:shape id="_x0000_s1048" type="#_x0000_t136" style="position:absolute;margin-left:0;margin-top:0;width:520.65pt;height:57.85pt;rotation:315;z-index:-2516162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56D94A1">
        <v:shape id="_x0000_s1047" type="#_x0000_t136" style="position:absolute;margin-left:0;margin-top:0;width:520.65pt;height:57.85pt;rotation:315;z-index:-2516172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288C" w14:textId="77777777" w:rsidR="00496688" w:rsidRDefault="00000000">
    <w:pPr>
      <w:pStyle w:val="Header"/>
    </w:pPr>
    <w:r>
      <w:rPr>
        <w:noProof/>
      </w:rPr>
      <w:pict w14:anchorId="6F48BD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8" o:spid="_x0000_s1054" type="#_x0000_t136" style="position:absolute;margin-left:0;margin-top:0;width:520.65pt;height:57.85pt;rotation:315;z-index:-2516070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894AB19">
        <v:shape id="_x0000_s1053" type="#_x0000_t136" style="position:absolute;margin-left:0;margin-top:0;width:520.65pt;height:57.85pt;rotation:315;z-index:-2516090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A74D1C5">
        <v:shape id="_x0000_s1052" type="#_x0000_t136" style="position:absolute;margin-left:0;margin-top:0;width:520.65pt;height:57.85pt;rotation:315;z-index:-2516101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EA05DCA">
        <v:shape id="_x0000_s1051" type="#_x0000_t136" style="position:absolute;margin-left:0;margin-top:0;width:520.65pt;height:57.85pt;rotation:315;z-index:-2516111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63B73" w14:textId="77777777" w:rsidR="00496688" w:rsidRDefault="00000000">
    <w:pPr>
      <w:pStyle w:val="Header"/>
    </w:pPr>
    <w:r>
      <w:rPr>
        <w:noProof/>
      </w:rPr>
      <w:pict w14:anchorId="101A21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6" o:spid="_x0000_s1046" type="#_x0000_t136" style="position:absolute;margin-left:0;margin-top:0;width:520.65pt;height:57.85pt;rotation:315;z-index:-2516193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D48BDC0">
        <v:shape id="_x0000_s1045" type="#_x0000_t136" style="position:absolute;margin-left:0;margin-top:0;width:520.65pt;height:57.85pt;rotation:315;z-index:-2516213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AA44165">
        <v:shape id="_x0000_s1044" type="#_x0000_t136" style="position:absolute;margin-left:0;margin-top:0;width:520.65pt;height:57.85pt;rotation:315;z-index:-2516224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A6DA6F2">
        <v:shape id="_x0000_s1043" type="#_x0000_t136" style="position:absolute;margin-left:0;margin-top:0;width:520.65pt;height:57.85pt;rotation:315;z-index:-2516234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D3D1A" w14:textId="77777777" w:rsidR="00496688" w:rsidRDefault="00000000">
    <w:pPr>
      <w:pStyle w:val="Header"/>
    </w:pPr>
    <w:r>
      <w:rPr>
        <w:noProof/>
      </w:rPr>
      <w:pict w14:anchorId="1B6FAD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0" o:spid="_x0000_s1064" type="#_x0000_t136" style="position:absolute;margin-left:0;margin-top:0;width:520.65pt;height:57.85pt;rotation:315;z-index:-2515927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805108">
        <v:shape id="_x0000_s1063" type="#_x0000_t136" style="position:absolute;margin-left:0;margin-top:0;width:520.65pt;height:57.85pt;rotation:315;z-index:-2515947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8B16584">
        <v:shape id="_x0000_s1062" type="#_x0000_t136" style="position:absolute;margin-left:0;margin-top:0;width:520.65pt;height:57.85pt;rotation:315;z-index:-2515957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89048FB">
        <v:shape id="_x0000_s1061" type="#_x0000_t136" style="position:absolute;margin-left:0;margin-top:0;width:520.65pt;height:57.85pt;rotation:315;z-index:-2515968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4C785D">
        <v:shape id="_x0000_s1060" type="#_x0000_t136" style="position:absolute;margin-left:0;margin-top:0;width:520.65pt;height:57.85pt;rotation:315;z-index:-2515978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270C9" w14:textId="77777777" w:rsidR="00496688" w:rsidRDefault="00000000">
    <w:pPr>
      <w:pStyle w:val="Header"/>
    </w:pPr>
    <w:r>
      <w:rPr>
        <w:noProof/>
      </w:rPr>
      <w:pict w14:anchorId="316B50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1" o:spid="_x0000_s1069" type="#_x0000_t136" style="position:absolute;margin-left:0;margin-top:0;width:520.65pt;height:57.85pt;rotation:315;z-index:-2515855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A0122DC">
        <v:shape id="_x0000_s1068" type="#_x0000_t136" style="position:absolute;margin-left:0;margin-top:0;width:520.65pt;height:57.85pt;rotation:315;z-index:-2515875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8A3471C">
        <v:shape id="_x0000_s1067" type="#_x0000_t136" style="position:absolute;margin-left:0;margin-top:0;width:520.65pt;height:57.85pt;rotation:315;z-index:-2515886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AEBDA4F">
        <v:shape id="_x0000_s1066" type="#_x0000_t136" style="position:absolute;margin-left:0;margin-top:0;width:520.65pt;height:57.85pt;rotation:315;z-index:-2515896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22DA13">
        <v:shape id="_x0000_s1065" type="#_x0000_t136" style="position:absolute;margin-left:0;margin-top:0;width:520.65pt;height:57.85pt;rotation:315;z-index:-2515906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0485C" w14:textId="77777777" w:rsidR="00496688" w:rsidRDefault="00000000">
    <w:pPr>
      <w:pStyle w:val="Header"/>
    </w:pPr>
    <w:r>
      <w:rPr>
        <w:noProof/>
      </w:rPr>
      <w:pict w14:anchorId="075FB8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199" o:spid="_x0000_s1059" type="#_x0000_t136" style="position:absolute;margin-left:0;margin-top:0;width:520.65pt;height:57.85pt;rotation:315;z-index:-2515998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BB5B9F2">
        <v:shape id="_x0000_s1058" type="#_x0000_t136" style="position:absolute;margin-left:0;margin-top:0;width:520.65pt;height:57.85pt;rotation:315;z-index:-2516019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AB602B">
        <v:shape id="_x0000_s1057" type="#_x0000_t136" style="position:absolute;margin-left:0;margin-top:0;width:520.65pt;height:57.85pt;rotation:315;z-index:-2516029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A9510CA">
        <v:shape id="_x0000_s1056" type="#_x0000_t136" style="position:absolute;margin-left:0;margin-top:0;width:520.65pt;height:57.85pt;rotation:315;z-index:-2516039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B1CD94">
        <v:shape id="_x0000_s1055" type="#_x0000_t136" style="position:absolute;margin-left:0;margin-top:0;width:520.65pt;height:57.85pt;rotation:315;z-index:-2516049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62F31" w14:textId="77777777" w:rsidR="00496688" w:rsidRDefault="00000000">
    <w:pPr>
      <w:pStyle w:val="Header"/>
    </w:pPr>
    <w:r>
      <w:rPr>
        <w:noProof/>
      </w:rPr>
      <w:pict w14:anchorId="2693FC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3" o:spid="_x0000_s1081" type="#_x0000_t136" style="position:absolute;margin-left:0;margin-top:0;width:520.65pt;height:57.85pt;rotation:315;z-index:-2515691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96824A">
        <v:shape id="_x0000_s1080" type="#_x0000_t136" style="position:absolute;margin-left:0;margin-top:0;width:520.65pt;height:57.85pt;rotation:315;z-index:-2515712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61109AD">
        <v:shape id="_x0000_s1079" type="#_x0000_t136" style="position:absolute;margin-left:0;margin-top:0;width:520.65pt;height:57.85pt;rotation:315;z-index:-2515722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AD25E9">
        <v:shape id="_x0000_s1078" type="#_x0000_t136" style="position:absolute;margin-left:0;margin-top:0;width:520.65pt;height:57.85pt;rotation:315;z-index:-2515732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B944359">
        <v:shape id="_x0000_s1077" type="#_x0000_t136" style="position:absolute;margin-left:0;margin-top:0;width:520.65pt;height:57.85pt;rotation:315;z-index:-2515742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1E86FCC">
        <v:shape id="_x0000_s1076" type="#_x0000_t136" style="position:absolute;margin-left:0;margin-top:0;width:520.65pt;height:57.85pt;rotation:315;z-index:-2515752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9AC47" w14:textId="77777777" w:rsidR="00496688" w:rsidRDefault="00000000">
    <w:pPr>
      <w:pStyle w:val="Header"/>
    </w:pPr>
    <w:r>
      <w:rPr>
        <w:noProof/>
      </w:rPr>
      <w:pict w14:anchorId="13137E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4" o:spid="_x0000_s1087" type="#_x0000_t136" style="position:absolute;margin-left:0;margin-top:0;width:520.65pt;height:57.85pt;rotation:315;z-index:-2515609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C5BA0E9">
        <v:shape id="_x0000_s1086" type="#_x0000_t136" style="position:absolute;margin-left:0;margin-top:0;width:520.65pt;height:57.85pt;rotation:315;z-index:-2515630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238F891">
        <v:shape id="_x0000_s1085" type="#_x0000_t136" style="position:absolute;margin-left:0;margin-top:0;width:520.65pt;height:57.85pt;rotation:315;z-index:-2515640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EA49810">
        <v:shape id="_x0000_s1084" type="#_x0000_t136" style="position:absolute;margin-left:0;margin-top:0;width:520.65pt;height:57.85pt;rotation:315;z-index:-2515650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B6A58EF">
        <v:shape id="_x0000_s1083" type="#_x0000_t136" style="position:absolute;margin-left:0;margin-top:0;width:520.65pt;height:57.85pt;rotation:315;z-index:-2515660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E2885D">
        <v:shape id="_x0000_s1082" type="#_x0000_t136" style="position:absolute;margin-left:0;margin-top:0;width:520.65pt;height:57.85pt;rotation:315;z-index:-2515671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126E6" w14:textId="77777777" w:rsidR="00496688" w:rsidRDefault="00000000">
    <w:pPr>
      <w:pStyle w:val="Header"/>
    </w:pPr>
    <w:r>
      <w:rPr>
        <w:noProof/>
      </w:rPr>
      <w:pict w14:anchorId="63B68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2" o:spid="_x0000_s1075" type="#_x0000_t136" style="position:absolute;margin-left:0;margin-top:0;width:520.65pt;height:57.85pt;rotation:315;z-index:-2515773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2981423">
        <v:shape id="_x0000_s1074" type="#_x0000_t136" style="position:absolute;margin-left:0;margin-top:0;width:520.65pt;height:57.85pt;rotation:315;z-index:-2515793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F496B77">
        <v:shape id="_x0000_s1073" type="#_x0000_t136" style="position:absolute;margin-left:0;margin-top:0;width:520.65pt;height:57.85pt;rotation:315;z-index:-2515804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EAC8BAC">
        <v:shape id="_x0000_s1072" type="#_x0000_t136" style="position:absolute;margin-left:0;margin-top:0;width:520.65pt;height:57.85pt;rotation:315;z-index:-2515814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C771E59">
        <v:shape id="_x0000_s1071" type="#_x0000_t136" style="position:absolute;margin-left:0;margin-top:0;width:520.65pt;height:57.85pt;rotation:315;z-index:-2515824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0D42682">
        <v:shape id="_x0000_s1070" type="#_x0000_t136" style="position:absolute;margin-left:0;margin-top:0;width:520.65pt;height:57.85pt;rotation:315;z-index:-2515834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C239" w14:textId="77777777" w:rsidR="00496688" w:rsidRDefault="00000000">
    <w:pPr>
      <w:pStyle w:val="Header"/>
    </w:pPr>
    <w:r>
      <w:rPr>
        <w:noProof/>
      </w:rPr>
      <w:pict w14:anchorId="63FDB1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6" o:spid="_x0000_s1101" type="#_x0000_t136" style="position:absolute;margin-left:0;margin-top:0;width:520.65pt;height:57.85pt;rotation:315;z-index:-2515425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94101C">
        <v:shape id="_x0000_s1100" type="#_x0000_t136" style="position:absolute;margin-left:0;margin-top:0;width:520.65pt;height:57.85pt;rotation:315;z-index:-2515445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3AEA53">
        <v:shape id="_x0000_s1099" type="#_x0000_t136" style="position:absolute;margin-left:0;margin-top:0;width:520.65pt;height:57.85pt;rotation:315;z-index:-2515456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3C4F23">
        <v:shape id="_x0000_s1098" type="#_x0000_t136" style="position:absolute;margin-left:0;margin-top:0;width:520.65pt;height:57.85pt;rotation:315;z-index:-2515466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2B4DB84">
        <v:shape id="_x0000_s1097" type="#_x0000_t136" style="position:absolute;margin-left:0;margin-top:0;width:520.65pt;height:57.85pt;rotation:315;z-index:-2515476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F561CB6">
        <v:shape id="_x0000_s1096" type="#_x0000_t136" style="position:absolute;margin-left:0;margin-top:0;width:520.65pt;height:57.85pt;rotation:315;z-index:-2515486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985015">
        <v:shape id="_x0000_s1095" type="#_x0000_t136" style="position:absolute;margin-left:0;margin-top:0;width:520.65pt;height:57.85pt;rotation:315;z-index:-2515496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F6F8A" w14:textId="77777777" w:rsidR="00496688" w:rsidRDefault="00000000">
    <w:pPr>
      <w:pStyle w:val="Header"/>
    </w:pPr>
    <w:r>
      <w:rPr>
        <w:noProof/>
      </w:rPr>
      <w:pict w14:anchorId="77F8E4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7" o:spid="_x0000_s1108" type="#_x0000_t136" style="position:absolute;margin-left:0;margin-top:0;width:520.65pt;height:57.85pt;rotation:315;z-index:-2515333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0C74E6E">
        <v:shape id="_x0000_s1107" type="#_x0000_t136" style="position:absolute;margin-left:0;margin-top:0;width:520.65pt;height:57.85pt;rotation:315;z-index:-2515353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1890C1">
        <v:shape id="_x0000_s1106" type="#_x0000_t136" style="position:absolute;margin-left:0;margin-top:0;width:520.65pt;height:57.85pt;rotation:315;z-index:-2515363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75F7D4">
        <v:shape id="_x0000_s1105" type="#_x0000_t136" style="position:absolute;margin-left:0;margin-top:0;width:520.65pt;height:57.85pt;rotation:315;z-index:-2515374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EB1774D">
        <v:shape id="_x0000_s1104" type="#_x0000_t136" style="position:absolute;margin-left:0;margin-top:0;width:520.65pt;height:57.85pt;rotation:315;z-index:-2515384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3AA568">
        <v:shape id="_x0000_s1103" type="#_x0000_t136" style="position:absolute;margin-left:0;margin-top:0;width:520.65pt;height:57.85pt;rotation:315;z-index:-2515394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9E857EE">
        <v:shape id="_x0000_s1102" type="#_x0000_t136" style="position:absolute;margin-left:0;margin-top:0;width:520.65pt;height:57.85pt;rotation:315;z-index:-2515404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42E27" w14:textId="77777777" w:rsidR="00496688" w:rsidRDefault="00000000">
    <w:pPr>
      <w:pStyle w:val="Header"/>
    </w:pPr>
    <w:r>
      <w:rPr>
        <w:noProof/>
      </w:rPr>
      <w:pict w14:anchorId="3121BD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5" o:spid="_x0000_s1094" type="#_x0000_t136" style="position:absolute;margin-left:0;margin-top:0;width:520.65pt;height:57.85pt;rotation:315;z-index:-2515517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3B7A77">
        <v:shape id="_x0000_s1093" type="#_x0000_t136" style="position:absolute;margin-left:0;margin-top:0;width:520.65pt;height:57.85pt;rotation:315;z-index:-2515537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AD60EDC">
        <v:shape id="_x0000_s1092" type="#_x0000_t136" style="position:absolute;margin-left:0;margin-top:0;width:520.65pt;height:57.85pt;rotation:315;z-index:-2515548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104C96A">
        <v:shape id="_x0000_s1091" type="#_x0000_t136" style="position:absolute;margin-left:0;margin-top:0;width:520.65pt;height:57.85pt;rotation:315;z-index:-2515558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AFC9E4">
        <v:shape id="_x0000_s1090" type="#_x0000_t136" style="position:absolute;margin-left:0;margin-top:0;width:520.65pt;height:57.85pt;rotation:315;z-index:-2515568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5E0F642">
        <v:shape id="_x0000_s1089" type="#_x0000_t136" style="position:absolute;margin-left:0;margin-top:0;width:520.65pt;height:57.85pt;rotation:315;z-index:-2515578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254384A">
        <v:shape id="_x0000_s1088" type="#_x0000_t136" style="position:absolute;margin-left:0;margin-top:0;width:520.65pt;height:57.85pt;rotation:315;z-index:-2515589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F8910" w14:textId="77777777" w:rsidR="00496688" w:rsidRDefault="00000000">
    <w:pPr>
      <w:pStyle w:val="Header"/>
    </w:pPr>
    <w:r>
      <w:rPr>
        <w:noProof/>
      </w:rPr>
      <w:pict w14:anchorId="17E2B8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9" o:spid="_x0000_s1124" type="#_x0000_t136" style="position:absolute;margin-left:0;margin-top:0;width:520.65pt;height:57.85pt;rotation:315;z-index:-2515128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B58DCA">
        <v:shape id="_x0000_s1123" type="#_x0000_t136" style="position:absolute;margin-left:0;margin-top:0;width:520.65pt;height:57.85pt;rotation:315;z-index:-2515148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B0D7A8A">
        <v:shape id="_x0000_s1122" type="#_x0000_t136" style="position:absolute;margin-left:0;margin-top:0;width:520.65pt;height:57.85pt;rotation:315;z-index:-2515159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F22D927">
        <v:shape id="_x0000_s1121" type="#_x0000_t136" style="position:absolute;margin-left:0;margin-top:0;width:520.65pt;height:57.85pt;rotation:315;z-index:-2515169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6F1588D">
        <v:shape id="_x0000_s1120" type="#_x0000_t136" style="position:absolute;margin-left:0;margin-top:0;width:520.65pt;height:57.85pt;rotation:315;z-index:-2515179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3DEF995">
        <v:shape id="_x0000_s1119" type="#_x0000_t136" style="position:absolute;margin-left:0;margin-top:0;width:520.65pt;height:57.85pt;rotation:315;z-index:-2515189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C19933D">
        <v:shape id="_x0000_s1118" type="#_x0000_t136" style="position:absolute;margin-left:0;margin-top:0;width:520.65pt;height:57.85pt;rotation:315;z-index:-2515200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C3230EC">
        <v:shape id="_x0000_s1117" type="#_x0000_t136" style="position:absolute;margin-left:0;margin-top:0;width:520.65pt;height:57.85pt;rotation:315;z-index:-2515210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F9D0B" w14:textId="77777777" w:rsidR="00496688" w:rsidRDefault="00000000">
    <w:pPr>
      <w:pStyle w:val="Header"/>
    </w:pPr>
    <w:r>
      <w:rPr>
        <w:noProof/>
      </w:rPr>
      <w:pict w14:anchorId="2214AA0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0" o:spid="_x0000_s1132" type="#_x0000_t136" style="position:absolute;margin-left:0;margin-top:0;width:520.65pt;height:57.85pt;rotation:315;z-index:-2515025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8F9753D">
        <v:shape id="_x0000_s1131" type="#_x0000_t136" style="position:absolute;margin-left:0;margin-top:0;width:520.65pt;height:57.85pt;rotation:315;z-index:-2515046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5137CC0">
        <v:shape id="_x0000_s1130" type="#_x0000_t136" style="position:absolute;margin-left:0;margin-top:0;width:520.65pt;height:57.85pt;rotation:315;z-index:-2515056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A5B88D">
        <v:shape id="_x0000_s1129" type="#_x0000_t136" style="position:absolute;margin-left:0;margin-top:0;width:520.65pt;height:57.85pt;rotation:315;z-index:-2515066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BA5DB27">
        <v:shape id="_x0000_s1128" type="#_x0000_t136" style="position:absolute;margin-left:0;margin-top:0;width:520.65pt;height:57.85pt;rotation:315;z-index:-2515077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4D55085">
        <v:shape id="_x0000_s1127" type="#_x0000_t136" style="position:absolute;margin-left:0;margin-top:0;width:520.65pt;height:57.85pt;rotation:315;z-index:-2515087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67EC0A2">
        <v:shape id="_x0000_s1126" type="#_x0000_t136" style="position:absolute;margin-left:0;margin-top:0;width:520.65pt;height:57.85pt;rotation:315;z-index:-2515097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7B0B0D0">
        <v:shape id="_x0000_s1125" type="#_x0000_t136" style="position:absolute;margin-left:0;margin-top:0;width:520.65pt;height:57.85pt;rotation:315;z-index:-2515107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7279" w14:textId="77777777" w:rsidR="00496688" w:rsidRDefault="00000000">
    <w:pPr>
      <w:pStyle w:val="Header"/>
    </w:pPr>
    <w:r>
      <w:rPr>
        <w:noProof/>
      </w:rPr>
      <w:pict w14:anchorId="3F079C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08" o:spid="_x0000_s1116" type="#_x0000_t136" style="position:absolute;margin-left:0;margin-top:0;width:520.65pt;height:57.85pt;rotation:315;z-index:-251523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C4D3F9A">
        <v:shape id="_x0000_s1115" type="#_x0000_t136" style="position:absolute;margin-left:0;margin-top:0;width:520.65pt;height:57.85pt;rotation:315;z-index:-251525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A8DF5F2">
        <v:shape id="_x0000_s1114" type="#_x0000_t136" style="position:absolute;margin-left:0;margin-top:0;width:520.65pt;height:57.85pt;rotation:315;z-index:-2515261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21409E">
        <v:shape id="_x0000_s1113" type="#_x0000_t136" style="position:absolute;margin-left:0;margin-top:0;width:520.65pt;height:57.85pt;rotation:315;z-index:-251527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DB8E955">
        <v:shape id="_x0000_s1112" type="#_x0000_t136" style="position:absolute;margin-left:0;margin-top:0;width:520.65pt;height:57.85pt;rotation:315;z-index:-2515281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9DC25FE">
        <v:shape id="_x0000_s1111" type="#_x0000_t136" style="position:absolute;margin-left:0;margin-top:0;width:520.65pt;height:57.85pt;rotation:315;z-index:-251529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DAA3905">
        <v:shape id="_x0000_s1110" type="#_x0000_t136" style="position:absolute;margin-left:0;margin-top:0;width:520.65pt;height:57.85pt;rotation:315;z-index:-2515302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5A540C">
        <v:shape id="_x0000_s1109" type="#_x0000_t136" style="position:absolute;margin-left:0;margin-top:0;width:520.65pt;height:57.85pt;rotation:315;z-index:-2515312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F87CC" w14:textId="77777777" w:rsidR="00496688" w:rsidRDefault="00000000">
    <w:pPr>
      <w:pStyle w:val="Header"/>
    </w:pPr>
    <w:r>
      <w:rPr>
        <w:noProof/>
      </w:rPr>
      <w:pict w14:anchorId="2EDCEE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2" o:spid="_x0000_s1150" type="#_x0000_t136" style="position:absolute;margin-left:0;margin-top:0;width:520.65pt;height:57.85pt;rotation:315;z-index:-2514800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937348">
        <v:shape id="_x0000_s1149" type="#_x0000_t136" style="position:absolute;margin-left:0;margin-top:0;width:520.65pt;height:57.85pt;rotation:315;z-index:-2514821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9BA65AD">
        <v:shape id="_x0000_s1148" type="#_x0000_t136" style="position:absolute;margin-left:0;margin-top:0;width:520.65pt;height:57.85pt;rotation:315;z-index:-2514831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EDB737E">
        <v:shape id="_x0000_s1147" type="#_x0000_t136" style="position:absolute;margin-left:0;margin-top:0;width:520.65pt;height:57.85pt;rotation:315;z-index:-2514841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3EA73DB">
        <v:shape id="_x0000_s1146" type="#_x0000_t136" style="position:absolute;margin-left:0;margin-top:0;width:520.65pt;height:57.85pt;rotation:315;z-index:-2514851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46B4C2F">
        <v:shape id="_x0000_s1145" type="#_x0000_t136" style="position:absolute;margin-left:0;margin-top:0;width:520.65pt;height:57.85pt;rotation:315;z-index:-2514862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35686AF">
        <v:shape id="_x0000_s1144" type="#_x0000_t136" style="position:absolute;margin-left:0;margin-top:0;width:520.65pt;height:57.85pt;rotation:315;z-index:-2514872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79B8B9">
        <v:shape id="_x0000_s1143" type="#_x0000_t136" style="position:absolute;margin-left:0;margin-top:0;width:520.65pt;height:57.85pt;rotation:315;z-index:-2514882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DB0602E">
        <v:shape id="_x0000_s1142" type="#_x0000_t136" style="position:absolute;margin-left:0;margin-top:0;width:520.65pt;height:57.85pt;rotation:315;z-index:-2514892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08AC6" w14:textId="77777777" w:rsidR="00496688" w:rsidRDefault="00000000">
    <w:pPr>
      <w:pStyle w:val="Header"/>
    </w:pPr>
    <w:r>
      <w:rPr>
        <w:noProof/>
      </w:rPr>
      <w:pict w14:anchorId="22D37D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3" o:spid="_x0000_s1159" type="#_x0000_t136" style="position:absolute;margin-left:0;margin-top:0;width:520.65pt;height:57.85pt;rotation:315;z-index:-2514688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410292F">
        <v:shape id="_x0000_s1158" type="#_x0000_t136" style="position:absolute;margin-left:0;margin-top:0;width:520.65pt;height:57.85pt;rotation:315;z-index:-2514708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B08E50A">
        <v:shape id="_x0000_s1157" type="#_x0000_t136" style="position:absolute;margin-left:0;margin-top:0;width:520.65pt;height:57.85pt;rotation:315;z-index:-2514718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F4778DC">
        <v:shape id="_x0000_s1156" type="#_x0000_t136" style="position:absolute;margin-left:0;margin-top:0;width:520.65pt;height:57.85pt;rotation:315;z-index:-2514728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3F49406">
        <v:shape id="_x0000_s1155" type="#_x0000_t136" style="position:absolute;margin-left:0;margin-top:0;width:520.65pt;height:57.85pt;rotation:315;z-index:-2514739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DF66A5">
        <v:shape id="_x0000_s1154" type="#_x0000_t136" style="position:absolute;margin-left:0;margin-top:0;width:520.65pt;height:57.85pt;rotation:315;z-index:-2514749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D71B82F">
        <v:shape id="_x0000_s1153" type="#_x0000_t136" style="position:absolute;margin-left:0;margin-top:0;width:520.65pt;height:57.85pt;rotation:315;z-index:-2514759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EB3C0CE">
        <v:shape id="_x0000_s1152" type="#_x0000_t136" style="position:absolute;margin-left:0;margin-top:0;width:520.65pt;height:57.85pt;rotation:315;z-index:-2514769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0F8A7F4">
        <v:shape id="_x0000_s1151" type="#_x0000_t136" style="position:absolute;margin-left:0;margin-top:0;width:520.65pt;height:57.85pt;rotation:315;z-index:-2514780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A2F71" w14:textId="77777777" w:rsidR="00496688" w:rsidRDefault="00000000">
    <w:pPr>
      <w:pStyle w:val="Header"/>
    </w:pPr>
    <w:r>
      <w:rPr>
        <w:noProof/>
      </w:rPr>
      <w:pict w14:anchorId="4FDA9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1" o:spid="_x0000_s1141" type="#_x0000_t136" style="position:absolute;margin-left:0;margin-top:0;width:520.65pt;height:57.85pt;rotation:315;z-index:-2514913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9E00564">
        <v:shape id="_x0000_s1140" type="#_x0000_t136" style="position:absolute;margin-left:0;margin-top:0;width:520.65pt;height:57.85pt;rotation:315;z-index:-2514933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3BB70E">
        <v:shape id="_x0000_s1139" type="#_x0000_t136" style="position:absolute;margin-left:0;margin-top:0;width:520.65pt;height:57.85pt;rotation:315;z-index:-2514944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EA52F3">
        <v:shape id="_x0000_s1138" type="#_x0000_t136" style="position:absolute;margin-left:0;margin-top:0;width:520.65pt;height:57.85pt;rotation:315;z-index:-2514954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37D1D54">
        <v:shape id="_x0000_s1137" type="#_x0000_t136" style="position:absolute;margin-left:0;margin-top:0;width:520.65pt;height:57.85pt;rotation:315;z-index:-2514964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1DAEC52">
        <v:shape id="_x0000_s1136" type="#_x0000_t136" style="position:absolute;margin-left:0;margin-top:0;width:520.65pt;height:57.85pt;rotation:315;z-index:-2514974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6A8C03C">
        <v:shape id="_x0000_s1135" type="#_x0000_t136" style="position:absolute;margin-left:0;margin-top:0;width:520.65pt;height:57.85pt;rotation:315;z-index:-2514984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2E38B59">
        <v:shape id="_x0000_s1134" type="#_x0000_t136" style="position:absolute;margin-left:0;margin-top:0;width:520.65pt;height:57.85pt;rotation:315;z-index:-2514995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E65AF18">
        <v:shape id="_x0000_s1133" type="#_x0000_t136" style="position:absolute;margin-left:0;margin-top:0;width:520.65pt;height:57.85pt;rotation:315;z-index:-2515005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6BF66" w14:textId="77777777" w:rsidR="00496688" w:rsidRDefault="00000000">
    <w:pPr>
      <w:pStyle w:val="Header"/>
    </w:pPr>
    <w:r>
      <w:rPr>
        <w:noProof/>
      </w:rPr>
      <w:pict w14:anchorId="5B4D4A3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5" o:spid="_x0000_s1179" type="#_x0000_t136" style="position:absolute;margin-left:0;margin-top:0;width:520.65pt;height:57.85pt;rotation:315;z-index:-2514442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37BF216">
        <v:shape id="_x0000_s1178" type="#_x0000_t136" style="position:absolute;margin-left:0;margin-top:0;width:520.65pt;height:57.85pt;rotation:315;z-index:-2514462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02FCE1">
        <v:shape id="_x0000_s1177" type="#_x0000_t136" style="position:absolute;margin-left:0;margin-top:0;width:520.65pt;height:57.85pt;rotation:315;z-index:-2514472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ABF0C5">
        <v:shape id="_x0000_s1176" type="#_x0000_t136" style="position:absolute;margin-left:0;margin-top:0;width:520.65pt;height:57.85pt;rotation:315;z-index:-2514483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4095C7">
        <v:shape id="_x0000_s1175" type="#_x0000_t136" style="position:absolute;margin-left:0;margin-top:0;width:520.65pt;height:57.85pt;rotation:315;z-index:-2514493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BEAF77">
        <v:shape id="_x0000_s1174" type="#_x0000_t136" style="position:absolute;margin-left:0;margin-top:0;width:520.65pt;height:57.85pt;rotation:315;z-index:-2514503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35E163D">
        <v:shape id="_x0000_s1173" type="#_x0000_t136" style="position:absolute;margin-left:0;margin-top:0;width:520.65pt;height:57.85pt;rotation:315;z-index:-2514513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B87E9DF">
        <v:shape id="_x0000_s1172" type="#_x0000_t136" style="position:absolute;margin-left:0;margin-top:0;width:520.65pt;height:57.85pt;rotation:315;z-index:-2514524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23BCF7">
        <v:shape id="_x0000_s1171" type="#_x0000_t136" style="position:absolute;margin-left:0;margin-top:0;width:520.65pt;height:57.85pt;rotation:315;z-index:-2514534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E154F56">
        <v:shape id="_x0000_s1170" type="#_x0000_t136" style="position:absolute;margin-left:0;margin-top:0;width:520.65pt;height:57.85pt;rotation:315;z-index:-2514544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07C59" w14:textId="77777777" w:rsidR="00496688" w:rsidRDefault="00000000">
    <w:pPr>
      <w:pStyle w:val="Header"/>
    </w:pPr>
    <w:r>
      <w:rPr>
        <w:noProof/>
      </w:rPr>
      <w:pict w14:anchorId="627ED7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6" o:spid="_x0000_s1189" type="#_x0000_t136" style="position:absolute;margin-left:0;margin-top:0;width:520.65pt;height:57.85pt;rotation:315;z-index:-25143193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440CE5F">
        <v:shape id="_x0000_s1188" type="#_x0000_t136" style="position:absolute;margin-left:0;margin-top:0;width:520.65pt;height:57.85pt;rotation:315;z-index:-2514339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539DC52">
        <v:shape id="_x0000_s1187" type="#_x0000_t136" style="position:absolute;margin-left:0;margin-top:0;width:520.65pt;height:57.85pt;rotation:315;z-index:-2514350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7C5E60C">
        <v:shape id="_x0000_s1186" type="#_x0000_t136" style="position:absolute;margin-left:0;margin-top:0;width:520.65pt;height:57.85pt;rotation:315;z-index:-2514360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E170CF0">
        <v:shape id="_x0000_s1185" type="#_x0000_t136" style="position:absolute;margin-left:0;margin-top:0;width:520.65pt;height:57.85pt;rotation:315;z-index:-2514370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5581DF7">
        <v:shape id="_x0000_s1184" type="#_x0000_t136" style="position:absolute;margin-left:0;margin-top:0;width:520.65pt;height:57.85pt;rotation:315;z-index:-2514380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0827135">
        <v:shape id="_x0000_s1183" type="#_x0000_t136" style="position:absolute;margin-left:0;margin-top:0;width:520.65pt;height:57.85pt;rotation:315;z-index:-2514391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73DEE6C">
        <v:shape id="_x0000_s1182" type="#_x0000_t136" style="position:absolute;margin-left:0;margin-top:0;width:520.65pt;height:57.85pt;rotation:315;z-index:-2514401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DF07BDA">
        <v:shape id="_x0000_s1181" type="#_x0000_t136" style="position:absolute;margin-left:0;margin-top:0;width:520.65pt;height:57.85pt;rotation:315;z-index:-2514411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DCC3322">
        <v:shape id="_x0000_s1180" type="#_x0000_t136" style="position:absolute;margin-left:0;margin-top:0;width:520.65pt;height:57.85pt;rotation:315;z-index:-2514421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E8D4" w14:textId="77777777" w:rsidR="00496688" w:rsidRDefault="00000000">
    <w:pPr>
      <w:pStyle w:val="Header"/>
    </w:pPr>
    <w:r>
      <w:rPr>
        <w:noProof/>
      </w:rPr>
      <w:pict w14:anchorId="44EB87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4" o:spid="_x0000_s1169" type="#_x0000_t136" style="position:absolute;margin-left:0;margin-top:0;width:520.65pt;height:57.85pt;rotation:315;z-index:-2514565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1171D62">
        <v:shape id="_x0000_s1168" type="#_x0000_t136" style="position:absolute;margin-left:0;margin-top:0;width:520.65pt;height:57.85pt;rotation:315;z-index:-2514585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ECF2E8B">
        <v:shape id="_x0000_s1167" type="#_x0000_t136" style="position:absolute;margin-left:0;margin-top:0;width:520.65pt;height:57.85pt;rotation:315;z-index:-2514595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D393A61">
        <v:shape id="_x0000_s1166" type="#_x0000_t136" style="position:absolute;margin-left:0;margin-top:0;width:520.65pt;height:57.85pt;rotation:315;z-index:-2514606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815156">
        <v:shape id="_x0000_s1165" type="#_x0000_t136" style="position:absolute;margin-left:0;margin-top:0;width:520.65pt;height:57.85pt;rotation:315;z-index:-2514616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1A2FA0">
        <v:shape id="_x0000_s1164" type="#_x0000_t136" style="position:absolute;margin-left:0;margin-top:0;width:520.65pt;height:57.85pt;rotation:315;z-index:-2514626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2A1EFBA">
        <v:shape id="_x0000_s1163" type="#_x0000_t136" style="position:absolute;margin-left:0;margin-top:0;width:520.65pt;height:57.85pt;rotation:315;z-index:-2514636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976B445">
        <v:shape id="_x0000_s1162" type="#_x0000_t136" style="position:absolute;margin-left:0;margin-top:0;width:520.65pt;height:57.85pt;rotation:315;z-index:-2514647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9EEA516">
        <v:shape id="_x0000_s1161" type="#_x0000_t136" style="position:absolute;margin-left:0;margin-top:0;width:520.65pt;height:57.85pt;rotation:315;z-index:-2514657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3403E06">
        <v:shape id="_x0000_s1160" type="#_x0000_t136" style="position:absolute;margin-left:0;margin-top:0;width:520.65pt;height:57.85pt;rotation:315;z-index:-2514667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E3455" w14:textId="77777777" w:rsidR="00496688" w:rsidRDefault="00000000">
    <w:pPr>
      <w:pStyle w:val="Header"/>
    </w:pPr>
    <w:r>
      <w:rPr>
        <w:noProof/>
      </w:rPr>
      <w:pict w14:anchorId="772F78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8" o:spid="_x0000_s1211" type="#_x0000_t136" style="position:absolute;margin-left:0;margin-top:0;width:520.65pt;height:57.85pt;rotation:315;z-index:-25140531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31E2FD3">
        <v:shape id="_x0000_s1210" type="#_x0000_t136" style="position:absolute;margin-left:0;margin-top:0;width:520.65pt;height:57.85pt;rotation:315;z-index:-25140736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81D97ED">
        <v:shape id="_x0000_s1209" type="#_x0000_t136" style="position:absolute;margin-left:0;margin-top:0;width:520.65pt;height:57.85pt;rotation:315;z-index:-25140838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5A5CFB">
        <v:shape id="_x0000_s1208" type="#_x0000_t136" style="position:absolute;margin-left:0;margin-top:0;width:520.65pt;height:57.85pt;rotation:315;z-index:-25140940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FADC2A6">
        <v:shape id="_x0000_s1207" type="#_x0000_t136" style="position:absolute;margin-left:0;margin-top:0;width:520.65pt;height:57.85pt;rotation:315;z-index:-25141043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81166B8">
        <v:shape id="_x0000_s1206" type="#_x0000_t136" style="position:absolute;margin-left:0;margin-top:0;width:520.65pt;height:57.85pt;rotation:315;z-index:-25141145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E9E89F7">
        <v:shape id="_x0000_s1205" type="#_x0000_t136" style="position:absolute;margin-left:0;margin-top:0;width:520.65pt;height:57.85pt;rotation:315;z-index:-25141248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31FC2DE">
        <v:shape id="_x0000_s1204" type="#_x0000_t136" style="position:absolute;margin-left:0;margin-top:0;width:520.65pt;height:57.85pt;rotation:315;z-index:-25141350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48374F8">
        <v:shape id="_x0000_s1203" type="#_x0000_t136" style="position:absolute;margin-left:0;margin-top:0;width:520.65pt;height:57.85pt;rotation:315;z-index:-25141452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722B4262">
        <v:shape id="_x0000_s1202" type="#_x0000_t136" style="position:absolute;margin-left:0;margin-top:0;width:520.65pt;height:57.85pt;rotation:315;z-index:-25141555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09E96ED">
        <v:shape id="_x0000_s1201" type="#_x0000_t136" style="position:absolute;margin-left:0;margin-top:0;width:520.65pt;height:57.85pt;rotation:315;z-index:-25141657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5115" w14:textId="77777777" w:rsidR="00496688" w:rsidRDefault="00000000">
    <w:pPr>
      <w:pStyle w:val="Header"/>
    </w:pPr>
    <w:r>
      <w:rPr>
        <w:noProof/>
      </w:rPr>
      <w:pict w14:anchorId="08591B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9" o:spid="_x0000_s1222" type="#_x0000_t136" style="position:absolute;margin-left:0;margin-top:0;width:520.65pt;height:57.85pt;rotation:315;z-index:-25139200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3214E94">
        <v:shape id="_x0000_s1221" type="#_x0000_t136" style="position:absolute;margin-left:0;margin-top:0;width:520.65pt;height:57.85pt;rotation:315;z-index:-25139404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D05D61">
        <v:shape id="_x0000_s1220" type="#_x0000_t136" style="position:absolute;margin-left:0;margin-top:0;width:520.65pt;height:57.85pt;rotation:315;z-index:-2513950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79B355F">
        <v:shape id="_x0000_s1219" type="#_x0000_t136" style="position:absolute;margin-left:0;margin-top:0;width:520.65pt;height:57.85pt;rotation:315;z-index:-2513960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585B3CE6">
        <v:shape id="_x0000_s1218" type="#_x0000_t136" style="position:absolute;margin-left:0;margin-top:0;width:520.65pt;height:57.85pt;rotation:315;z-index:-251397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3F3C3705">
        <v:shape id="_x0000_s1217" type="#_x0000_t136" style="position:absolute;margin-left:0;margin-top:0;width:520.65pt;height:57.85pt;rotation:315;z-index:-2513981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04179123">
        <v:shape id="_x0000_s1216" type="#_x0000_t136" style="position:absolute;margin-left:0;margin-top:0;width:520.65pt;height:57.85pt;rotation:315;z-index:-251399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727A8C9">
        <v:shape id="_x0000_s1215" type="#_x0000_t136" style="position:absolute;margin-left:0;margin-top:0;width:520.65pt;height:57.85pt;rotation:315;z-index:-2514001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782DBEB">
        <v:shape id="_x0000_s1214" type="#_x0000_t136" style="position:absolute;margin-left:0;margin-top:0;width:520.65pt;height:57.85pt;rotation:315;z-index:-251401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3BA95A">
        <v:shape id="_x0000_s1213" type="#_x0000_t136" style="position:absolute;margin-left:0;margin-top:0;width:520.65pt;height:57.85pt;rotation:315;z-index:-2514022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5DCB982">
        <v:shape id="_x0000_s1212" type="#_x0000_t136" style="position:absolute;margin-left:0;margin-top:0;width:520.65pt;height:57.85pt;rotation:315;z-index:-2514032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75396" w14:textId="77777777" w:rsidR="00496688" w:rsidRDefault="00000000">
    <w:pPr>
      <w:pStyle w:val="Header"/>
    </w:pPr>
    <w:r>
      <w:rPr>
        <w:noProof/>
      </w:rPr>
      <w:pict w14:anchorId="560E14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0683217" o:spid="_x0000_s1200" type="#_x0000_t136" style="position:absolute;margin-left:0;margin-top:0;width:520.65pt;height:57.85pt;rotation:315;z-index:-25141862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FA0E138">
        <v:shape id="_x0000_s1199" type="#_x0000_t136" style="position:absolute;margin-left:0;margin-top:0;width:520.65pt;height:57.85pt;rotation:315;z-index:-25142067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9ED1029">
        <v:shape id="_x0000_s1198" type="#_x0000_t136" style="position:absolute;margin-left:0;margin-top:0;width:520.65pt;height:57.85pt;rotation:315;z-index:-25142169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691E789">
        <v:shape id="_x0000_s1197" type="#_x0000_t136" style="position:absolute;margin-left:0;margin-top:0;width:520.65pt;height:57.85pt;rotation:315;z-index:-2514227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66C4929">
        <v:shape id="_x0000_s1196" type="#_x0000_t136" style="position:absolute;margin-left:0;margin-top:0;width:520.65pt;height:57.85pt;rotation:315;z-index:-25142374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3F944A">
        <v:shape id="_x0000_s1195" type="#_x0000_t136" style="position:absolute;margin-left:0;margin-top:0;width:520.65pt;height:57.85pt;rotation:315;z-index:-2514247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1928D864">
        <v:shape id="_x0000_s1194" type="#_x0000_t136" style="position:absolute;margin-left:0;margin-top:0;width:520.65pt;height:57.85pt;rotation:315;z-index:-251425792;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4F023152">
        <v:shape id="_x0000_s1193" type="#_x0000_t136" style="position:absolute;margin-left:0;margin-top:0;width:520.65pt;height:57.85pt;rotation:315;z-index:-2514268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22AEB16">
        <v:shape id="_x0000_s1192" type="#_x0000_t136" style="position:absolute;margin-left:0;margin-top:0;width:520.65pt;height:57.85pt;rotation:315;z-index:-25142784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63896BBA">
        <v:shape id="_x0000_s1191" type="#_x0000_t136" style="position:absolute;margin-left:0;margin-top:0;width:520.65pt;height:57.85pt;rotation:315;z-index:-251428864;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r>
      <w:rPr>
        <w:noProof/>
      </w:rPr>
      <w:pict w14:anchorId="29F6BC60">
        <v:shape id="_x0000_s1190" type="#_x0000_t136" style="position:absolute;margin-left:0;margin-top:0;width:520.65pt;height:57.85pt;rotation:315;z-index:-25142988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14454"/>
    <w:multiLevelType w:val="hybridMultilevel"/>
    <w:tmpl w:val="FF5CF5A2"/>
    <w:lvl w:ilvl="0" w:tplc="EE4C8856">
      <w:start w:val="1"/>
      <w:numFmt w:val="bullet"/>
      <w:lvlText w:val="●"/>
      <w:lvlJc w:val="left"/>
      <w:pPr>
        <w:ind w:left="720" w:hanging="360"/>
      </w:pPr>
    </w:lvl>
    <w:lvl w:ilvl="1" w:tplc="C18C9E98">
      <w:start w:val="1"/>
      <w:numFmt w:val="bullet"/>
      <w:lvlText w:val="○"/>
      <w:lvlJc w:val="left"/>
      <w:pPr>
        <w:ind w:left="1440" w:hanging="360"/>
      </w:pPr>
    </w:lvl>
    <w:lvl w:ilvl="2" w:tplc="C888C2F2">
      <w:start w:val="1"/>
      <w:numFmt w:val="bullet"/>
      <w:lvlText w:val="■"/>
      <w:lvlJc w:val="left"/>
      <w:pPr>
        <w:ind w:left="2160" w:hanging="360"/>
      </w:pPr>
    </w:lvl>
    <w:lvl w:ilvl="3" w:tplc="380A5F3C">
      <w:start w:val="1"/>
      <w:numFmt w:val="bullet"/>
      <w:lvlText w:val="●"/>
      <w:lvlJc w:val="left"/>
      <w:pPr>
        <w:ind w:left="2880" w:hanging="360"/>
      </w:pPr>
    </w:lvl>
    <w:lvl w:ilvl="4" w:tplc="F35CBD02">
      <w:start w:val="1"/>
      <w:numFmt w:val="bullet"/>
      <w:lvlText w:val="○"/>
      <w:lvlJc w:val="left"/>
      <w:pPr>
        <w:ind w:left="3600" w:hanging="360"/>
      </w:pPr>
    </w:lvl>
    <w:lvl w:ilvl="5" w:tplc="9C92238C">
      <w:start w:val="1"/>
      <w:numFmt w:val="bullet"/>
      <w:lvlText w:val="■"/>
      <w:lvlJc w:val="left"/>
      <w:pPr>
        <w:ind w:left="4320" w:hanging="360"/>
      </w:pPr>
    </w:lvl>
    <w:lvl w:ilvl="6" w:tplc="034011C0">
      <w:start w:val="1"/>
      <w:numFmt w:val="bullet"/>
      <w:lvlText w:val="●"/>
      <w:lvlJc w:val="left"/>
      <w:pPr>
        <w:ind w:left="5040" w:hanging="360"/>
      </w:pPr>
    </w:lvl>
    <w:lvl w:ilvl="7" w:tplc="376C924C">
      <w:start w:val="1"/>
      <w:numFmt w:val="bullet"/>
      <w:lvlText w:val="●"/>
      <w:lvlJc w:val="left"/>
      <w:pPr>
        <w:ind w:left="5760" w:hanging="360"/>
      </w:pPr>
    </w:lvl>
    <w:lvl w:ilvl="8" w:tplc="E146F10C">
      <w:start w:val="1"/>
      <w:numFmt w:val="bullet"/>
      <w:lvlText w:val="●"/>
      <w:lvlJc w:val="left"/>
      <w:pPr>
        <w:ind w:left="6480" w:hanging="360"/>
      </w:pPr>
    </w:lvl>
  </w:abstractNum>
  <w:abstractNum w:abstractNumId="1" w15:restartNumberingAfterBreak="0">
    <w:nsid w:val="656E02FD"/>
    <w:multiLevelType w:val="hybridMultilevel"/>
    <w:tmpl w:val="C49ABCFE"/>
    <w:lvl w:ilvl="0" w:tplc="E814CE56">
      <w:start w:val="1"/>
      <w:numFmt w:val="bullet"/>
      <w:lvlText w:val="•"/>
      <w:lvlJc w:val="left"/>
      <w:pPr>
        <w:ind w:left="460" w:hanging="260"/>
      </w:pPr>
    </w:lvl>
    <w:lvl w:ilvl="1" w:tplc="3BE2DD68">
      <w:numFmt w:val="decimal"/>
      <w:lvlText w:val=""/>
      <w:lvlJc w:val="left"/>
    </w:lvl>
    <w:lvl w:ilvl="2" w:tplc="622CC0DC">
      <w:numFmt w:val="decimal"/>
      <w:lvlText w:val=""/>
      <w:lvlJc w:val="left"/>
    </w:lvl>
    <w:lvl w:ilvl="3" w:tplc="41FCBC2E">
      <w:numFmt w:val="decimal"/>
      <w:lvlText w:val=""/>
      <w:lvlJc w:val="left"/>
    </w:lvl>
    <w:lvl w:ilvl="4" w:tplc="D00C0A72">
      <w:numFmt w:val="decimal"/>
      <w:lvlText w:val=""/>
      <w:lvlJc w:val="left"/>
    </w:lvl>
    <w:lvl w:ilvl="5" w:tplc="0ACEF982">
      <w:numFmt w:val="decimal"/>
      <w:lvlText w:val=""/>
      <w:lvlJc w:val="left"/>
    </w:lvl>
    <w:lvl w:ilvl="6" w:tplc="AB567E82">
      <w:numFmt w:val="decimal"/>
      <w:lvlText w:val=""/>
      <w:lvlJc w:val="left"/>
    </w:lvl>
    <w:lvl w:ilvl="7" w:tplc="CAE2B50C">
      <w:numFmt w:val="decimal"/>
      <w:lvlText w:val=""/>
      <w:lvlJc w:val="left"/>
    </w:lvl>
    <w:lvl w:ilvl="8" w:tplc="3AB0F6A0">
      <w:numFmt w:val="decimal"/>
      <w:lvlText w:val=""/>
      <w:lvlJc w:val="left"/>
    </w:lvl>
  </w:abstractNum>
  <w:num w:numId="1" w16cid:durableId="1928927897">
    <w:abstractNumId w:val="0"/>
    <w:lvlOverride w:ilvl="0">
      <w:startOverride w:val="1"/>
    </w:lvlOverride>
  </w:num>
  <w:num w:numId="2" w16cid:durableId="1538929619">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69D"/>
    <w:rsid w:val="00027F1D"/>
    <w:rsid w:val="00034A62"/>
    <w:rsid w:val="000404B5"/>
    <w:rsid w:val="000A4323"/>
    <w:rsid w:val="000C2687"/>
    <w:rsid w:val="000D7E56"/>
    <w:rsid w:val="000E02BE"/>
    <w:rsid w:val="000E3236"/>
    <w:rsid w:val="000F1AB5"/>
    <w:rsid w:val="001207A1"/>
    <w:rsid w:val="00136737"/>
    <w:rsid w:val="001411D6"/>
    <w:rsid w:val="0015426F"/>
    <w:rsid w:val="0016150F"/>
    <w:rsid w:val="00161C0F"/>
    <w:rsid w:val="001E3AD8"/>
    <w:rsid w:val="001E43F6"/>
    <w:rsid w:val="001F7657"/>
    <w:rsid w:val="002122B4"/>
    <w:rsid w:val="002249E7"/>
    <w:rsid w:val="00241164"/>
    <w:rsid w:val="002A1CD2"/>
    <w:rsid w:val="002A7EC2"/>
    <w:rsid w:val="002B77AC"/>
    <w:rsid w:val="00317B69"/>
    <w:rsid w:val="00324DCC"/>
    <w:rsid w:val="00341888"/>
    <w:rsid w:val="00344F07"/>
    <w:rsid w:val="00356EC4"/>
    <w:rsid w:val="0036003E"/>
    <w:rsid w:val="003814FD"/>
    <w:rsid w:val="00383CE6"/>
    <w:rsid w:val="003A0425"/>
    <w:rsid w:val="003A4922"/>
    <w:rsid w:val="003B245C"/>
    <w:rsid w:val="003F6A3C"/>
    <w:rsid w:val="00412135"/>
    <w:rsid w:val="00477F45"/>
    <w:rsid w:val="00480912"/>
    <w:rsid w:val="00496688"/>
    <w:rsid w:val="00545597"/>
    <w:rsid w:val="005634D9"/>
    <w:rsid w:val="005651D8"/>
    <w:rsid w:val="005C117E"/>
    <w:rsid w:val="005E166E"/>
    <w:rsid w:val="00612D3C"/>
    <w:rsid w:val="006466D2"/>
    <w:rsid w:val="00647520"/>
    <w:rsid w:val="00654149"/>
    <w:rsid w:val="006D4233"/>
    <w:rsid w:val="00734C9E"/>
    <w:rsid w:val="007C190F"/>
    <w:rsid w:val="007C243B"/>
    <w:rsid w:val="007E7B13"/>
    <w:rsid w:val="007F76E3"/>
    <w:rsid w:val="00806DEC"/>
    <w:rsid w:val="008116D3"/>
    <w:rsid w:val="00814A6C"/>
    <w:rsid w:val="00815720"/>
    <w:rsid w:val="008203B6"/>
    <w:rsid w:val="00842D33"/>
    <w:rsid w:val="00853569"/>
    <w:rsid w:val="0085596A"/>
    <w:rsid w:val="00870F44"/>
    <w:rsid w:val="00881B7B"/>
    <w:rsid w:val="008871A9"/>
    <w:rsid w:val="00892ABE"/>
    <w:rsid w:val="008B3369"/>
    <w:rsid w:val="00902B52"/>
    <w:rsid w:val="009110CB"/>
    <w:rsid w:val="00915C8F"/>
    <w:rsid w:val="00923163"/>
    <w:rsid w:val="00944DF7"/>
    <w:rsid w:val="00965274"/>
    <w:rsid w:val="009A61A1"/>
    <w:rsid w:val="009C74B0"/>
    <w:rsid w:val="00A054E8"/>
    <w:rsid w:val="00A06620"/>
    <w:rsid w:val="00A14BC6"/>
    <w:rsid w:val="00A16A7E"/>
    <w:rsid w:val="00A347D1"/>
    <w:rsid w:val="00A50CF1"/>
    <w:rsid w:val="00A64B48"/>
    <w:rsid w:val="00AE70D9"/>
    <w:rsid w:val="00B020DB"/>
    <w:rsid w:val="00B07BAF"/>
    <w:rsid w:val="00B127DE"/>
    <w:rsid w:val="00B1596F"/>
    <w:rsid w:val="00B15DB0"/>
    <w:rsid w:val="00B27389"/>
    <w:rsid w:val="00B30B02"/>
    <w:rsid w:val="00B32603"/>
    <w:rsid w:val="00B70741"/>
    <w:rsid w:val="00B85732"/>
    <w:rsid w:val="00BA1071"/>
    <w:rsid w:val="00BA4E38"/>
    <w:rsid w:val="00BC3671"/>
    <w:rsid w:val="00C7492C"/>
    <w:rsid w:val="00CA278D"/>
    <w:rsid w:val="00CB31FB"/>
    <w:rsid w:val="00CF12AC"/>
    <w:rsid w:val="00D02F48"/>
    <w:rsid w:val="00D04BAF"/>
    <w:rsid w:val="00D05F21"/>
    <w:rsid w:val="00D36C71"/>
    <w:rsid w:val="00D36F3B"/>
    <w:rsid w:val="00D67B6C"/>
    <w:rsid w:val="00DB769D"/>
    <w:rsid w:val="00DD6583"/>
    <w:rsid w:val="00DF1797"/>
    <w:rsid w:val="00E16C10"/>
    <w:rsid w:val="00E8783B"/>
    <w:rsid w:val="00EB1F2B"/>
    <w:rsid w:val="00F800A5"/>
    <w:rsid w:val="00F92664"/>
    <w:rsid w:val="00FB564C"/>
    <w:rsid w:val="00FC0F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0AEF6"/>
  <w15:docId w15:val="{7BC279E5-79A1-A84D-A42E-E3E0DD7D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link w:val="Heading2Char"/>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customStyle="1" w:styleId="Heading1Char">
    <w:name w:val="Heading 1 Char"/>
    <w:basedOn w:val="DefaultParagraphFont"/>
    <w:link w:val="Heading1"/>
    <w:uiPriority w:val="9"/>
    <w:rsid w:val="001207A1"/>
    <w:rPr>
      <w:color w:val="2E74B5"/>
      <w:sz w:val="32"/>
      <w:szCs w:val="32"/>
    </w:rPr>
  </w:style>
  <w:style w:type="character" w:customStyle="1" w:styleId="Heading2Char">
    <w:name w:val="Heading 2 Char"/>
    <w:basedOn w:val="DefaultParagraphFont"/>
    <w:link w:val="Heading2"/>
    <w:uiPriority w:val="9"/>
    <w:rsid w:val="00923163"/>
    <w:rPr>
      <w:color w:val="2E74B5"/>
      <w:sz w:val="26"/>
      <w:szCs w:val="26"/>
    </w:rPr>
  </w:style>
  <w:style w:type="character" w:styleId="UnresolvedMention">
    <w:name w:val="Unresolved Mention"/>
    <w:basedOn w:val="DefaultParagraphFont"/>
    <w:uiPriority w:val="99"/>
    <w:semiHidden/>
    <w:unhideWhenUsed/>
    <w:rsid w:val="005E166E"/>
    <w:rPr>
      <w:color w:val="605E5C"/>
      <w:shd w:val="clear" w:color="auto" w:fill="E1DFDD"/>
    </w:rPr>
  </w:style>
  <w:style w:type="character" w:styleId="LineNumber">
    <w:name w:val="line number"/>
    <w:basedOn w:val="DefaultParagraphFont"/>
    <w:uiPriority w:val="99"/>
    <w:semiHidden/>
    <w:unhideWhenUsed/>
    <w:rsid w:val="00D04BAF"/>
  </w:style>
  <w:style w:type="paragraph" w:styleId="Header">
    <w:name w:val="header"/>
    <w:basedOn w:val="Normal"/>
    <w:link w:val="HeaderChar"/>
    <w:uiPriority w:val="99"/>
    <w:unhideWhenUsed/>
    <w:rsid w:val="000D7E56"/>
    <w:pPr>
      <w:tabs>
        <w:tab w:val="center" w:pos="4513"/>
        <w:tab w:val="right" w:pos="9026"/>
      </w:tabs>
    </w:pPr>
  </w:style>
  <w:style w:type="character" w:customStyle="1" w:styleId="HeaderChar">
    <w:name w:val="Header Char"/>
    <w:basedOn w:val="DefaultParagraphFont"/>
    <w:link w:val="Header"/>
    <w:uiPriority w:val="99"/>
    <w:rsid w:val="000D7E56"/>
  </w:style>
  <w:style w:type="paragraph" w:styleId="Footer">
    <w:name w:val="footer"/>
    <w:basedOn w:val="Normal"/>
    <w:link w:val="FooterChar"/>
    <w:uiPriority w:val="99"/>
    <w:unhideWhenUsed/>
    <w:rsid w:val="000D7E56"/>
    <w:pPr>
      <w:tabs>
        <w:tab w:val="center" w:pos="4513"/>
        <w:tab w:val="right" w:pos="9026"/>
      </w:tabs>
    </w:pPr>
  </w:style>
  <w:style w:type="character" w:customStyle="1" w:styleId="FooterChar">
    <w:name w:val="Footer Char"/>
    <w:basedOn w:val="DefaultParagraphFont"/>
    <w:link w:val="Footer"/>
    <w:uiPriority w:val="99"/>
    <w:rsid w:val="000D7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footer" Target="footer6.xml"/><Relationship Id="rId39" Type="http://schemas.openxmlformats.org/officeDocument/2006/relationships/header" Target="header21.xml"/><Relationship Id="rId21" Type="http://schemas.openxmlformats.org/officeDocument/2006/relationships/header" Target="header8.xml"/><Relationship Id="rId34" Type="http://schemas.openxmlformats.org/officeDocument/2006/relationships/footer" Target="footer8.xml"/><Relationship Id="rId42" Type="http://schemas.openxmlformats.org/officeDocument/2006/relationships/footer" Target="footer10.xml"/><Relationship Id="rId47" Type="http://schemas.openxmlformats.org/officeDocument/2006/relationships/header" Target="header27.xml"/><Relationship Id="rId50" Type="http://schemas.openxmlformats.org/officeDocument/2006/relationships/footer" Target="footer12.xml"/><Relationship Id="rId55" Type="http://schemas.openxmlformats.org/officeDocument/2006/relationships/header" Target="header33.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9.xml"/><Relationship Id="rId46" Type="http://schemas.openxmlformats.org/officeDocument/2006/relationships/footer" Target="foot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41" Type="http://schemas.openxmlformats.org/officeDocument/2006/relationships/header" Target="header23.xml"/><Relationship Id="rId54"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6.xml"/><Relationship Id="rId53" Type="http://schemas.openxmlformats.org/officeDocument/2006/relationships/header" Target="header3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49" Type="http://schemas.openxmlformats.org/officeDocument/2006/relationships/header" Target="header29.xml"/><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3.jpeg"/><Relationship Id="rId31" Type="http://schemas.openxmlformats.org/officeDocument/2006/relationships/header" Target="header15.xml"/><Relationship Id="rId44" Type="http://schemas.openxmlformats.org/officeDocument/2006/relationships/header" Target="header25.xml"/><Relationship Id="rId52"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header" Target="header18.xml"/><Relationship Id="rId43" Type="http://schemas.openxmlformats.org/officeDocument/2006/relationships/header" Target="header24.xml"/><Relationship Id="rId48" Type="http://schemas.openxmlformats.org/officeDocument/2006/relationships/header" Target="header28.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30.xml"/><Relationship Id="rId3" Type="http://schemas.openxmlformats.org/officeDocument/2006/relationships/settings" Target="settings.xml"/><Relationship Id="rId58" Type="http://schemas.openxmlformats.org/officeDocument/2006/relationships/hyperlink" Target="https://doi.org/10.1109/ACCESS.2023.3298215" TargetMode="External"/><Relationship Id="rId59" Type="http://schemas.openxmlformats.org/officeDocument/2006/relationships/hyperlink" Target="https://doi.org/10.3390/agronomy13102603" TargetMode="External"/><Relationship Id="rId60" Type="http://schemas.openxmlformats.org/officeDocument/2006/relationships/hyperlink" Target="https://doi.org/10.1016/j.atech.2022.100042" TargetMode="External"/><Relationship Id="rId61" Type="http://schemas.openxmlformats.org/officeDocument/2006/relationships/hyperlink" Target="https://doi.org/10.1080/10496505.2019.1638264" TargetMode="External"/><Relationship Id="rId62" Type="http://schemas.openxmlformats.org/officeDocument/2006/relationships/hyperlink" Target="https://doi.org/10.1016/j.heliyon.2023.e22601" TargetMode="External"/><Relationship Id="rId63" Type="http://schemas.openxmlformats.org/officeDocument/2006/relationships/hyperlink" Target="https://doi.org/10.1016/j.atech.2024.100441" TargetMode="External"/><Relationship Id="rId64" Type="http://schemas.openxmlformats.org/officeDocument/2006/relationships/hyperlink" Target="https://doi.org/10.1007/s42488-021-00045-3" TargetMode="External"/><Relationship Id="rId65" Type="http://schemas.openxmlformats.org/officeDocument/2006/relationships/hyperlink" Target="https://doi.org/10.3390/agronomy16050516" TargetMode="External"/><Relationship Id="rId66" Type="http://schemas.openxmlformats.org/officeDocument/2006/relationships/hyperlink" Target="https://doi.org/10.1016/j.iswa.2022.200102" TargetMode="External"/><Relationship Id="rId67" Type="http://schemas.openxmlformats.org/officeDocument/2006/relationships/hyperlink" Target="https://www.iso.org/standard/57556.html" TargetMode="External"/><Relationship Id="rId68" Type="http://schemas.openxmlformats.org/officeDocument/2006/relationships/hyperlink" Target="https://cema-agri.org/publication/position-papers/255-connected-agricultural-machines-in-digital-farming" TargetMode="External"/><Relationship Id="rId69" Type="http://schemas.openxmlformats.org/officeDocument/2006/relationships/hyperlink" Target="https://www.globalagtechinitiative.com/digital-farming/data-management/aggateways-spade-data-project-releases-isobus-extension/" TargetMode="External"/><Relationship Id="rId70" Type="http://schemas.openxmlformats.org/officeDocument/2006/relationships/hyperlink" Target="https://doi.org/10.3390/forecast6040046" TargetMode="External"/><Relationship Id="rId71" Type="http://schemas.openxmlformats.org/officeDocument/2006/relationships/hyperlink" Target="https://doi.org/10.1016/j.compag.2018.02.016" TargetMode="External"/><Relationship Id="rId72" Type="http://schemas.openxmlformats.org/officeDocument/2006/relationships/hyperlink" Target="https://doi.org/10.1080/23311932.2025.2569982" TargetMode="External"/><Relationship Id="rId73" Type="http://schemas.openxmlformats.org/officeDocument/2006/relationships/hyperlink" Target="https://doi.org/10.1007/979-8-8688-1469-3_21" TargetMode="External"/><Relationship Id="rId74" Type="http://schemas.openxmlformats.org/officeDocument/2006/relationships/hyperlink" Target="https://doi.org/10.1016/j.compag.2025.111252" TargetMode="External"/><Relationship Id="rId75" Type="http://schemas.openxmlformats.org/officeDocument/2006/relationships/hyperlink" Target="https://doi.org/10.1016/j.compag.2015.05.011" TargetMode="External"/><Relationship Id="rId76" Type="http://schemas.openxmlformats.org/officeDocument/2006/relationships/hyperlink" Target="https://doi.org/10.1108/BFJ-05-2020-0420" TargetMode="External"/><Relationship Id="rId77" Type="http://schemas.openxmlformats.org/officeDocument/2006/relationships/hyperlink" Target="https://doi.org/10.1016/j.compag.2017.04.004" TargetMode="External"/><Relationship Id="rId78" Type="http://schemas.openxmlformats.org/officeDocument/2006/relationships/hyperlink" Target="https://doi.org/10.1177/02666669231177864" TargetMode="External"/><Relationship Id="rId79" Type="http://schemas.openxmlformats.org/officeDocument/2006/relationships/hyperlink" Target="https://doi.org/10.3390/foods12163026" TargetMode="External"/><Relationship Id="rId80" Type="http://schemas.openxmlformats.org/officeDocument/2006/relationships/hyperlink" Target="https://doi.org/10.1002/agj2.20873" TargetMode="External"/><Relationship Id="rId81" Type="http://schemas.openxmlformats.org/officeDocument/2006/relationships/hyperlink" Target="https://www.wri.org/research/greenhouse-gas-protocol-corporate-value-chain-scope-3-accounting-and-reporting-standard" TargetMode="External"/><Relationship Id="rId82" Type="http://schemas.openxmlformats.org/officeDocument/2006/relationships/hyperlink" Target="https://finance.ec.europa.eu/news/commission-adopts-european-sustainability-reporting-standards-2023-07-31_en" TargetMode="External"/><Relationship Id="rId83" Type="http://schemas.openxmlformats.org/officeDocument/2006/relationships/hyperlink" Target="https://docs.sbtiservices.com/resources/SBTi-criteria.pdf" TargetMode="External"/><Relationship Id="rId84" Type="http://schemas.openxmlformats.org/officeDocument/2006/relationships/hyperlink" Target="https://www.farmraise.com/blog/2026-supply-chain-disclosure-scope-3-buyers-ag-producers" TargetMode="External"/><Relationship Id="rId85" Type="http://schemas.openxmlformats.org/officeDocument/2006/relationships/hyperlink" Target="https://doi.org/10.3390/s25082362" TargetMode="External"/><Relationship Id="rId86" Type="http://schemas.openxmlformats.org/officeDocument/2006/relationships/hyperlink" Target="https://doi.org/10.1016/j.inpa.2025.11.006" TargetMode="External"/><Relationship Id="rId87" Type="http://schemas.openxmlformats.org/officeDocument/2006/relationships/hyperlink" Target="https://doi.org/10.1108/JBIM-01-2018-0023" TargetMode="External"/><Relationship Id="rId88" Type="http://schemas.openxmlformats.org/officeDocument/2006/relationships/hyperlink" Target="https://doi.org/10.1002/jsfa.9346" TargetMode="External"/><Relationship Id="rId89" Type="http://schemas.openxmlformats.org/officeDocument/2006/relationships/hyperlink" Target="https://doi.org/10.3390/electronics14010149" TargetMode="External"/><Relationship Id="rId90" Type="http://schemas.openxmlformats.org/officeDocument/2006/relationships/hyperlink" Target="https://doi.org/10.14763/2019.2.1413" TargetMode="External"/><Relationship Id="rId91" Type="http://schemas.openxmlformats.org/officeDocument/2006/relationships/hyperlink" Target="https://www.worldbank.org/en/topic/agriculture/overview" TargetMode="External"/><Relationship Id="rId92" Type="http://schemas.openxmlformats.org/officeDocument/2006/relationships/hyperlink" Target="https://doi.org/10.17159/2413-3221/2023/v51n4a15337" TargetMode="External"/><Relationship Id="rId93" Type="http://schemas.openxmlformats.org/officeDocument/2006/relationships/hyperlink" Target="https://doi.org/10.1038/s43016-023-00867-x" TargetMode="External"/><Relationship Id="rId94" Type="http://schemas.openxmlformats.org/officeDocument/2006/relationships/hyperlink" Target="https://doi.org/10.3390/su17073007" TargetMode="External"/><Relationship Id="rId95" Type="http://schemas.openxmlformats.org/officeDocument/2006/relationships/hyperlink" Target="https://doi.org/10.1073/pnas.1909501116" TargetMode="External"/><Relationship Id="rId96" Type="http://schemas.openxmlformats.org/officeDocument/2006/relationships/hyperlink" Target="https://doi.org/10.3390/resources14080126" TargetMode="External"/><Relationship Id="rId97" Type="http://schemas.openxmlformats.org/officeDocument/2006/relationships/hyperlink" Target="https://doi.org/10.3390/foods12122341" TargetMode="External"/><Relationship Id="rId98" Type="http://schemas.openxmlformats.org/officeDocument/2006/relationships/hyperlink" Target="https://doi.org/10.1007/978-3-030-89123-7_16-2" TargetMode="External"/><Relationship Id="rId99" Type="http://schemas.openxmlformats.org/officeDocument/2006/relationships/hyperlink" Target="https://doi.org/10.3389/fsufs.2025.1583224" TargetMode="External"/><Relationship Id="rId100" Type="http://schemas.openxmlformats.org/officeDocument/2006/relationships/hyperlink" Target="https://doi.org/10.1016/j.heliyon.2023.e23023" TargetMode="External"/><Relationship Id="rId101" Type="http://schemas.openxmlformats.org/officeDocument/2006/relationships/hyperlink" Target="https://doi.org/10.1016/j.atech.2025.100848" TargetMode="External"/><Relationship Id="rId102" Type="http://schemas.openxmlformats.org/officeDocument/2006/relationships/hyperlink" Target="https://doi.org/10.22004/ag.econ.240696" TargetMode="External"/><Relationship Id="rId103" Type="http://schemas.openxmlformats.org/officeDocument/2006/relationships/hyperlink" Target="https://doi.org/10.48550/arXiv.2506.20872" TargetMode="External"/><Relationship Id="rId104" Type="http://schemas.openxmlformats.org/officeDocument/2006/relationships/hyperlink" Target="https://doi.org/10.1177/20539517251330182" TargetMode="External"/><Relationship Id="rId105" Type="http://schemas.openxmlformats.org/officeDocument/2006/relationships/hyperlink" Target="https://doi.org/10.1016/j.compag.2015.10.013" TargetMode="External"/><Relationship Id="rId106" Type="http://schemas.openxmlformats.org/officeDocument/2006/relationships/hyperlink" Target="https://doi.org/10.3389/fsufs.2022.903230" TargetMode="External"/><Relationship Id="rId107" Type="http://schemas.openxmlformats.org/officeDocument/2006/relationships/hyperlink" Target="https://doi.org/10.1016/j.compag.2025.110048" TargetMode="External"/><Relationship Id="rId108" Type="http://schemas.openxmlformats.org/officeDocument/2006/relationships/hyperlink" Target="https://doi.org/10.1016/j.clcb.2024.100132" TargetMode="External"/><Relationship Id="rId109" Type="http://schemas.openxmlformats.org/officeDocument/2006/relationships/hyperlink" Target="https://doi.org/10.9734/acri/2025/v25i51186" TargetMode="External"/><Relationship Id="rId110" Type="http://schemas.openxmlformats.org/officeDocument/2006/relationships/hyperlink" Target="https://doi.org/10.1016/j.compag.2024.109194" TargetMode="External"/><Relationship Id="rId111" Type="http://schemas.openxmlformats.org/officeDocument/2006/relationships/hyperlink" Target="https://doi.org/10.1038/s43016-024-01018-6" TargetMode="External"/><Relationship Id="rId112" Type="http://schemas.openxmlformats.org/officeDocument/2006/relationships/hyperlink" Target="https://doi.org/10.1016/j.compag.2025.110393" TargetMode="External"/><Relationship Id="rId113" Type="http://schemas.openxmlformats.org/officeDocument/2006/relationships/hyperlink" Target="https://doi.org/10.56557/jogae/2026/v18i3110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27</Pages>
  <Words>11389</Words>
  <Characters>64918</Characters>
  <Application>Microsoft Office Word</Application>
  <DocSecurity>0</DocSecurity>
  <Lines>540</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1065</cp:lastModifiedBy>
  <cp:revision>9</cp:revision>
  <dcterms:created xsi:type="dcterms:W3CDTF">2026-08-30T20:41:00Z</dcterms:created>
  <dcterms:modified xsi:type="dcterms:W3CDTF">2026-09-16T10:13:00Z</dcterms:modified>
</cp:coreProperties>
</file>