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1466B" w14:textId="77777777" w:rsidR="000F64E0" w:rsidRPr="000F64E0" w:rsidRDefault="000F64E0" w:rsidP="000F64E0">
      <w:pPr>
        <w:pStyle w:val="Title"/>
        <w:jc w:val="both"/>
        <w:rPr>
          <w:rFonts w:ascii="Arial" w:hAnsi="Arial" w:cs="Arial"/>
          <w:bCs/>
          <w:i/>
          <w:iCs/>
          <w:u w:val="single"/>
          <w:lang w:val="en-US"/>
        </w:rPr>
      </w:pPr>
      <w:r w:rsidRPr="000F64E0">
        <w:rPr>
          <w:rFonts w:ascii="Arial" w:hAnsi="Arial" w:cs="Arial"/>
          <w:bCs/>
          <w:i/>
          <w:iCs/>
          <w:u w:val="single"/>
          <w:lang w:val="en-US"/>
        </w:rPr>
        <w:t>Original Research Article</w:t>
      </w:r>
    </w:p>
    <w:p w14:paraId="598759A0" w14:textId="77777777" w:rsidR="00754C9A" w:rsidRDefault="00754C9A" w:rsidP="00441B6F">
      <w:pPr>
        <w:pStyle w:val="Title"/>
        <w:spacing w:after="0"/>
        <w:jc w:val="both"/>
        <w:rPr>
          <w:rFonts w:ascii="Arial" w:hAnsi="Arial" w:cs="Arial"/>
        </w:rPr>
      </w:pPr>
    </w:p>
    <w:p w14:paraId="38863866" w14:textId="77777777" w:rsidR="00163BC4" w:rsidRPr="00163BC4" w:rsidRDefault="00CA36B7" w:rsidP="00441B6F">
      <w:pPr>
        <w:pStyle w:val="Author"/>
        <w:spacing w:line="240" w:lineRule="auto"/>
        <w:rPr>
          <w:rFonts w:ascii="Arial" w:hAnsi="Arial" w:cs="Arial"/>
          <w:bCs/>
          <w:iCs/>
          <w:kern w:val="28"/>
          <w:sz w:val="36"/>
        </w:rPr>
      </w:pPr>
      <w:r w:rsidRPr="00CA36B7">
        <w:rPr>
          <w:rFonts w:ascii="Arial" w:hAnsi="Arial" w:cs="Arial"/>
          <w:color w:val="000000"/>
          <w:sz w:val="36"/>
          <w:szCs w:val="36"/>
        </w:rPr>
        <w:t>Human Capital Responsiveness to Emerging Workforce Skill Demand: An Analysis of Philippine BSBA Competency Standards</w:t>
      </w:r>
      <w:r w:rsidR="00231920">
        <w:rPr>
          <w:rFonts w:ascii="Arial" w:hAnsi="Arial" w:cs="Arial"/>
          <w:bCs/>
          <w:iCs/>
          <w:kern w:val="28"/>
          <w:sz w:val="36"/>
        </w:rPr>
        <w:t xml:space="preserve"> </w:t>
      </w:r>
    </w:p>
    <w:p w14:paraId="102E82C4" w14:textId="77777777" w:rsidR="00A258C3" w:rsidRPr="00790ADA" w:rsidRDefault="00A258C3" w:rsidP="00441B6F">
      <w:pPr>
        <w:pStyle w:val="Author"/>
        <w:spacing w:line="240" w:lineRule="auto"/>
        <w:jc w:val="both"/>
        <w:rPr>
          <w:rFonts w:ascii="Arial" w:hAnsi="Arial" w:cs="Arial"/>
          <w:sz w:val="36"/>
        </w:rPr>
      </w:pPr>
    </w:p>
    <w:p w14:paraId="635B4748" w14:textId="77777777" w:rsidR="00B01FCD" w:rsidRPr="00FB3A86" w:rsidRDefault="00FC4AE7" w:rsidP="00441B6F">
      <w:pPr>
        <w:pStyle w:val="Copyright"/>
        <w:spacing w:after="0" w:line="240" w:lineRule="auto"/>
        <w:jc w:val="both"/>
        <w:rPr>
          <w:rFonts w:ascii="Arial" w:hAnsi="Arial" w:cs="Arial"/>
        </w:rPr>
        <w:sectPr w:rsidR="00B01FCD" w:rsidRPr="00FB3A86" w:rsidSect="00D7083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3FCA8A32"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58246F5D"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593B582F" w14:textId="77777777" w:rsidTr="001E44FE">
        <w:tc>
          <w:tcPr>
            <w:tcW w:w="9576" w:type="dxa"/>
            <w:shd w:val="clear" w:color="auto" w:fill="F2F2F2"/>
          </w:tcPr>
          <w:p w14:paraId="08D11C67" w14:textId="77777777" w:rsidR="00505F06" w:rsidRPr="00CA36B7" w:rsidRDefault="00CA36B7" w:rsidP="00B2615A">
            <w:pPr>
              <w:pStyle w:val="NormalWeb"/>
              <w:spacing w:before="0" w:beforeAutospacing="0" w:after="0" w:afterAutospacing="0"/>
              <w:rPr>
                <w:sz w:val="20"/>
                <w:szCs w:val="20"/>
              </w:rPr>
            </w:pPr>
            <w:r w:rsidRPr="00CA36B7">
              <w:rPr>
                <w:rFonts w:ascii="Arial" w:hAnsi="Arial" w:cs="Arial"/>
                <w:color w:val="000000"/>
                <w:sz w:val="20"/>
                <w:szCs w:val="20"/>
              </w:rPr>
              <w:t xml:space="preserve">Rapid technological and </w:t>
            </w:r>
            <w:r w:rsidRPr="00CA36B7">
              <w:rPr>
                <w:rFonts w:ascii="Arial" w:hAnsi="Arial" w:cs="Arial"/>
                <w:color w:val="000000"/>
                <w:sz w:val="20"/>
                <w:szCs w:val="20"/>
                <w:highlight w:val="yellow"/>
              </w:rPr>
              <w:t>organisational</w:t>
            </w:r>
            <w:r w:rsidRPr="00CA36B7">
              <w:rPr>
                <w:rFonts w:ascii="Arial" w:hAnsi="Arial" w:cs="Arial"/>
                <w:color w:val="000000"/>
                <w:sz w:val="20"/>
                <w:szCs w:val="20"/>
              </w:rPr>
              <w:t xml:space="preserve"> changes are reshaping the skills required in contemporary </w:t>
            </w:r>
            <w:r w:rsidRPr="00CA36B7">
              <w:rPr>
                <w:rFonts w:ascii="Arial" w:hAnsi="Arial" w:cs="Arial"/>
                <w:color w:val="000000"/>
                <w:sz w:val="20"/>
                <w:szCs w:val="20"/>
                <w:highlight w:val="yellow"/>
              </w:rPr>
              <w:t>labour</w:t>
            </w:r>
            <w:r w:rsidRPr="00CA36B7">
              <w:rPr>
                <w:rFonts w:ascii="Arial" w:hAnsi="Arial" w:cs="Arial"/>
                <w:color w:val="000000"/>
                <w:sz w:val="20"/>
                <w:szCs w:val="20"/>
              </w:rPr>
              <w:t xml:space="preserve"> markets, presenting ongoing challenges for higher education as a source of human capital development. This study examines the responsiveness of Philippine Bachelor of Science in Business Administration (BSBA) competency standards to current and emerging workforce skill requirements. Using a qualitative comparative documentary research design, the analysis draws on the World Economic Forum's </w:t>
            </w:r>
            <w:r w:rsidRPr="00CA36B7">
              <w:rPr>
                <w:rFonts w:ascii="Arial" w:hAnsi="Arial" w:cs="Arial"/>
                <w:i/>
                <w:iCs/>
                <w:color w:val="000000"/>
                <w:sz w:val="20"/>
                <w:szCs w:val="20"/>
              </w:rPr>
              <w:t>Future of Jobs Report 2025</w:t>
            </w:r>
            <w:r w:rsidRPr="00CA36B7">
              <w:rPr>
                <w:rFonts w:ascii="Arial" w:hAnsi="Arial" w:cs="Arial"/>
                <w:color w:val="000000"/>
                <w:sz w:val="20"/>
                <w:szCs w:val="20"/>
              </w:rPr>
              <w:t xml:space="preserve"> and the Commission on Higher Education's Revised Policies, Standards, and Guidelines for BSBA under CMO No. 17, s. </w:t>
            </w:r>
            <w:r w:rsidRPr="004520B1">
              <w:rPr>
                <w:rFonts w:ascii="Arial" w:hAnsi="Arial" w:cs="Arial"/>
                <w:color w:val="000000"/>
                <w:sz w:val="20"/>
                <w:szCs w:val="20"/>
              </w:rPr>
              <w:t xml:space="preserve">2017. </w:t>
            </w:r>
            <w:r w:rsidR="004520B1" w:rsidRPr="004520B1">
              <w:rPr>
                <w:rFonts w:ascii="Arial" w:hAnsi="Arial" w:cs="Arial"/>
                <w:sz w:val="20"/>
                <w:szCs w:val="20"/>
              </w:rPr>
              <w:t xml:space="preserve">Guided by Human Capital Theory, the study identifies workforce skills projected to be important in 2025 and expected to increase in significance </w:t>
            </w:r>
            <w:r w:rsidR="004520B1" w:rsidRPr="004520B1">
              <w:rPr>
                <w:rFonts w:ascii="Arial" w:hAnsi="Arial" w:cs="Arial"/>
                <w:sz w:val="20"/>
                <w:szCs w:val="20"/>
                <w:highlight w:val="yellow"/>
              </w:rPr>
              <w:t>towards</w:t>
            </w:r>
            <w:r w:rsidR="004520B1" w:rsidRPr="004520B1">
              <w:rPr>
                <w:rFonts w:ascii="Arial" w:hAnsi="Arial" w:cs="Arial"/>
                <w:sz w:val="20"/>
                <w:szCs w:val="20"/>
              </w:rPr>
              <w:t xml:space="preserve"> 2030, then examines their </w:t>
            </w:r>
            <w:r w:rsidR="004520B1" w:rsidRPr="004520B1">
              <w:rPr>
                <w:rStyle w:val="Strong"/>
                <w:rFonts w:ascii="Arial" w:hAnsi="Arial" w:cs="Arial"/>
                <w:b w:val="0"/>
                <w:bCs w:val="0"/>
                <w:sz w:val="20"/>
                <w:szCs w:val="20"/>
              </w:rPr>
              <w:t>correspondence</w:t>
            </w:r>
            <w:r w:rsidR="004520B1" w:rsidRPr="004520B1">
              <w:rPr>
                <w:rFonts w:ascii="Arial" w:hAnsi="Arial" w:cs="Arial"/>
                <w:b/>
                <w:bCs/>
                <w:sz w:val="20"/>
                <w:szCs w:val="20"/>
              </w:rPr>
              <w:t xml:space="preserve"> </w:t>
            </w:r>
            <w:r w:rsidR="004520B1" w:rsidRPr="004520B1">
              <w:rPr>
                <w:rFonts w:ascii="Arial" w:hAnsi="Arial" w:cs="Arial"/>
                <w:sz w:val="20"/>
                <w:szCs w:val="20"/>
              </w:rPr>
              <w:t>with national BSBA competencies.</w:t>
            </w:r>
            <w:r w:rsidRPr="004520B1">
              <w:rPr>
                <w:rFonts w:ascii="Arial" w:hAnsi="Arial" w:cs="Arial"/>
                <w:color w:val="000000"/>
                <w:sz w:val="20"/>
                <w:szCs w:val="20"/>
              </w:rPr>
              <w:t xml:space="preserve"> The results reveal substantial but uneven </w:t>
            </w:r>
            <w:r w:rsidR="004916F3">
              <w:rPr>
                <w:rFonts w:ascii="Arial" w:hAnsi="Arial" w:cs="Arial"/>
                <w:color w:val="000000"/>
                <w:sz w:val="20"/>
                <w:szCs w:val="20"/>
              </w:rPr>
              <w:t>correspondence</w:t>
            </w:r>
            <w:r w:rsidRPr="004520B1">
              <w:rPr>
                <w:rFonts w:ascii="Arial" w:hAnsi="Arial" w:cs="Arial"/>
                <w:color w:val="000000"/>
                <w:sz w:val="20"/>
                <w:szCs w:val="20"/>
              </w:rPr>
              <w:t>. Philippine BSBA competencies offer a</w:t>
            </w:r>
            <w:r w:rsidRPr="00CA36B7">
              <w:rPr>
                <w:rFonts w:ascii="Arial" w:hAnsi="Arial" w:cs="Arial"/>
                <w:color w:val="000000"/>
                <w:sz w:val="20"/>
                <w:szCs w:val="20"/>
              </w:rPr>
              <w:t xml:space="preserve"> strong foundation in transferable cognitive, creative, managerial, interpersonal, communication, research, and general technological skills, while rapidly emerging technology-specific skills are less explicitly addressed. These findings indicate that the responsiveness of BSBA education should be evaluated not only through direct </w:t>
            </w:r>
            <w:r w:rsidRPr="00CA36B7">
              <w:rPr>
                <w:rFonts w:ascii="Arial" w:hAnsi="Arial" w:cs="Arial"/>
                <w:color w:val="000000"/>
                <w:sz w:val="20"/>
                <w:szCs w:val="20"/>
                <w:highlight w:val="yellow"/>
              </w:rPr>
              <w:t>skill matching but also</w:t>
            </w:r>
            <w:r w:rsidRPr="00CA36B7">
              <w:rPr>
                <w:rFonts w:ascii="Arial" w:hAnsi="Arial" w:cs="Arial"/>
                <w:color w:val="000000"/>
                <w:sz w:val="20"/>
                <w:szCs w:val="20"/>
              </w:rPr>
              <w:t xml:space="preserve"> through its capacity to foster durable human capital and support adaptation to evolving skill requirements. Curriculum responsiveness is thus framed as an economic issue of human capital development. As the analysis is limited to two publicly available documentary frameworks, it does not evaluate institutional implementation, graduate proficiency, or </w:t>
            </w:r>
            <w:r w:rsidRPr="00CA36B7">
              <w:rPr>
                <w:rFonts w:ascii="Arial" w:hAnsi="Arial" w:cs="Arial"/>
                <w:color w:val="000000"/>
                <w:sz w:val="20"/>
                <w:szCs w:val="20"/>
                <w:highlight w:val="yellow"/>
              </w:rPr>
              <w:t>labour</w:t>
            </w:r>
            <w:r w:rsidRPr="00CA36B7">
              <w:rPr>
                <w:rFonts w:ascii="Arial" w:hAnsi="Arial" w:cs="Arial"/>
                <w:color w:val="000000"/>
                <w:sz w:val="20"/>
                <w:szCs w:val="20"/>
              </w:rPr>
              <w:t>-market outcomes. Future research should extend the analysis to institution-level curricula, Philippine employer perspectives, and graduate outcomes.</w:t>
            </w:r>
          </w:p>
        </w:tc>
      </w:tr>
    </w:tbl>
    <w:p w14:paraId="54B2E8D3" w14:textId="77777777" w:rsidR="00636EB2" w:rsidRDefault="00636EB2" w:rsidP="00441B6F">
      <w:pPr>
        <w:pStyle w:val="Body"/>
        <w:spacing w:after="0"/>
        <w:rPr>
          <w:rFonts w:ascii="Arial" w:hAnsi="Arial" w:cs="Arial"/>
          <w:i/>
        </w:rPr>
      </w:pPr>
    </w:p>
    <w:p w14:paraId="6E9ADA1D" w14:textId="77777777" w:rsidR="00505F06" w:rsidRDefault="00B379FA" w:rsidP="00441B6F">
      <w:pPr>
        <w:pStyle w:val="Body"/>
        <w:spacing w:after="0"/>
        <w:rPr>
          <w:rFonts w:ascii="Arial" w:hAnsi="Arial" w:cs="Arial"/>
          <w:i/>
          <w:iCs/>
          <w:color w:val="000000"/>
          <w:sz w:val="20"/>
          <w:szCs w:val="20"/>
        </w:rPr>
      </w:pPr>
      <w:r w:rsidRPr="00B379FA">
        <w:rPr>
          <w:rFonts w:ascii="Arial" w:hAnsi="Arial" w:cs="Arial"/>
          <w:i/>
          <w:iCs/>
          <w:color w:val="000000"/>
          <w:sz w:val="20"/>
          <w:szCs w:val="20"/>
        </w:rPr>
        <w:t>Keywords:</w:t>
      </w:r>
      <w:r>
        <w:rPr>
          <w:rFonts w:ascii="Arial" w:hAnsi="Arial" w:cs="Arial"/>
          <w:i/>
          <w:iCs/>
          <w:color w:val="000000"/>
          <w:sz w:val="20"/>
          <w:szCs w:val="20"/>
        </w:rPr>
        <w:t xml:space="preserve"> Human capital; workforce skills; higher education; business education; curriculum responsiveness; Philippines</w:t>
      </w:r>
    </w:p>
    <w:p w14:paraId="45AE8737" w14:textId="77777777" w:rsidR="00B379FA" w:rsidRPr="00A24E7E" w:rsidRDefault="00B379FA" w:rsidP="00441B6F">
      <w:pPr>
        <w:pStyle w:val="Body"/>
        <w:spacing w:after="0"/>
        <w:rPr>
          <w:rFonts w:ascii="Arial" w:hAnsi="Arial" w:cs="Arial"/>
          <w:i/>
        </w:rPr>
      </w:pPr>
    </w:p>
    <w:p w14:paraId="53862C69"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5D629368" w14:textId="77777777" w:rsidR="00790ADA" w:rsidRPr="00FB3A86" w:rsidRDefault="00790ADA" w:rsidP="00441B6F">
      <w:pPr>
        <w:pStyle w:val="AbstHead"/>
        <w:spacing w:after="0"/>
        <w:jc w:val="both"/>
        <w:rPr>
          <w:rFonts w:ascii="Arial" w:hAnsi="Arial" w:cs="Arial"/>
        </w:rPr>
      </w:pPr>
    </w:p>
    <w:p w14:paraId="29BDDFC3"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Technological change is fundamentally altering the skill sets demanded in contemporary </w:t>
      </w:r>
      <w:r>
        <w:rPr>
          <w:rFonts w:ascii="Arial" w:hAnsi="Arial" w:cs="Arial"/>
          <w:color w:val="000000"/>
          <w:sz w:val="20"/>
          <w:szCs w:val="20"/>
          <w:highlight w:val="yellow"/>
        </w:rPr>
        <w:t>labour</w:t>
      </w:r>
      <w:r>
        <w:rPr>
          <w:rFonts w:ascii="Arial" w:hAnsi="Arial" w:cs="Arial"/>
          <w:color w:val="000000"/>
          <w:sz w:val="20"/>
          <w:szCs w:val="20"/>
        </w:rPr>
        <w:t xml:space="preserve"> markets. The proliferation of artificial intelligence (AI), digital technologies, data-intensive processes, and new forms of human–technology collaboration is transforming both the nature of available occupations and the capabilities necessary for effective job performance. </w:t>
      </w:r>
      <w:r>
        <w:rPr>
          <w:rFonts w:ascii="Arial" w:hAnsi="Arial" w:cs="Arial"/>
          <w:color w:val="000000"/>
          <w:sz w:val="20"/>
          <w:szCs w:val="20"/>
          <w:highlight w:val="yellow"/>
        </w:rPr>
        <w:t>The World Economic Forum (WEF, 2025)</w:t>
      </w:r>
      <w:r>
        <w:rPr>
          <w:rFonts w:ascii="Arial" w:hAnsi="Arial" w:cs="Arial"/>
          <w:color w:val="000000"/>
          <w:sz w:val="20"/>
          <w:szCs w:val="20"/>
        </w:rPr>
        <w:t xml:space="preserve"> identifies analytical thinking, resilience, flexibility and agility, leadership and social influence, and creative thinking as among the most critical skills required by employers in 2025. Additionally, AI and big data, networks and cybersecurity, and technological literacy are projected to become increasingly </w:t>
      </w:r>
      <w:r>
        <w:rPr>
          <w:rFonts w:ascii="Arial" w:hAnsi="Arial" w:cs="Arial"/>
          <w:color w:val="000000"/>
          <w:sz w:val="20"/>
          <w:szCs w:val="20"/>
        </w:rPr>
        <w:lastRenderedPageBreak/>
        <w:t xml:space="preserve">important by 2030. The simultaneous demand for both </w:t>
      </w:r>
      <w:r>
        <w:rPr>
          <w:rFonts w:ascii="Arial" w:hAnsi="Arial" w:cs="Arial"/>
          <w:color w:val="000000"/>
          <w:sz w:val="20"/>
          <w:szCs w:val="20"/>
          <w:highlight w:val="yellow"/>
        </w:rPr>
        <w:t>human-centred</w:t>
      </w:r>
      <w:r>
        <w:rPr>
          <w:rFonts w:ascii="Arial" w:hAnsi="Arial" w:cs="Arial"/>
          <w:color w:val="000000"/>
          <w:sz w:val="20"/>
          <w:szCs w:val="20"/>
        </w:rPr>
        <w:t xml:space="preserve"> and technology-related capabilities indicates that workforce preparation must extend beyond technical </w:t>
      </w:r>
      <w:r>
        <w:rPr>
          <w:rFonts w:ascii="Arial" w:hAnsi="Arial" w:cs="Arial"/>
          <w:color w:val="000000"/>
          <w:sz w:val="20"/>
          <w:szCs w:val="20"/>
          <w:highlight w:val="yellow"/>
        </w:rPr>
        <w:t>specialisation</w:t>
      </w:r>
      <w:r>
        <w:rPr>
          <w:rFonts w:ascii="Arial" w:hAnsi="Arial" w:cs="Arial"/>
          <w:color w:val="000000"/>
          <w:sz w:val="20"/>
          <w:szCs w:val="20"/>
        </w:rPr>
        <w:t>. Workers now require integrated combinations of cognitive, interpersonal, adaptive, and technological skills.</w:t>
      </w:r>
    </w:p>
    <w:p w14:paraId="743E13A7"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This evolving skill landscape has significant implications for the economic function of education. Human Capital Theory frames education as an investment that cultivates productive capabilities and influences economic outcomes (Becker, 1964). Within this framework, the value of education is partly determined by the extent to which the knowledge and skills acquired remain relevant in the </w:t>
      </w:r>
      <w:r>
        <w:rPr>
          <w:rFonts w:ascii="Arial" w:hAnsi="Arial" w:cs="Arial"/>
          <w:color w:val="000000"/>
          <w:sz w:val="20"/>
          <w:szCs w:val="20"/>
          <w:highlight w:val="yellow"/>
        </w:rPr>
        <w:t>labour</w:t>
      </w:r>
      <w:r>
        <w:rPr>
          <w:rFonts w:ascii="Arial" w:hAnsi="Arial" w:cs="Arial"/>
          <w:color w:val="000000"/>
          <w:sz w:val="20"/>
          <w:szCs w:val="20"/>
        </w:rPr>
        <w:t xml:space="preserve"> market. Recent developments in </w:t>
      </w:r>
      <w:r>
        <w:rPr>
          <w:rFonts w:ascii="Arial" w:hAnsi="Arial" w:cs="Arial"/>
          <w:color w:val="000000"/>
          <w:sz w:val="20"/>
          <w:szCs w:val="20"/>
          <w:highlight w:val="yellow"/>
        </w:rPr>
        <w:t>labour</w:t>
      </w:r>
      <w:r>
        <w:rPr>
          <w:rFonts w:ascii="Arial" w:hAnsi="Arial" w:cs="Arial"/>
          <w:color w:val="000000"/>
          <w:sz w:val="20"/>
          <w:szCs w:val="20"/>
        </w:rPr>
        <w:t xml:space="preserve"> economics highlight that human capital is multidimensional, encompassing not only traditional cognitive abilities but also advanced social and decision-making skills that shape worker performance and task allocation (Deming &amp; Silliman, 2025). As work </w:t>
      </w:r>
      <w:r>
        <w:rPr>
          <w:rFonts w:ascii="Arial" w:hAnsi="Arial" w:cs="Arial"/>
          <w:color w:val="000000"/>
          <w:sz w:val="20"/>
          <w:szCs w:val="20"/>
          <w:highlight w:val="yellow"/>
        </w:rPr>
        <w:t>organisation</w:t>
      </w:r>
      <w:r>
        <w:rPr>
          <w:rFonts w:ascii="Arial" w:hAnsi="Arial" w:cs="Arial"/>
          <w:color w:val="000000"/>
          <w:sz w:val="20"/>
          <w:szCs w:val="20"/>
        </w:rPr>
        <w:t xml:space="preserve"> evolves, the central issue becomes whether education fosters capabilities that are both economically valuable and adaptable to shifting requirements, rather than merely increasing the quantity of skills.</w:t>
      </w:r>
    </w:p>
    <w:p w14:paraId="0C84E961"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The alignment between higher education and evolving </w:t>
      </w:r>
      <w:r>
        <w:rPr>
          <w:rFonts w:ascii="Arial" w:hAnsi="Arial" w:cs="Arial"/>
          <w:color w:val="000000"/>
          <w:sz w:val="20"/>
          <w:szCs w:val="20"/>
          <w:highlight w:val="yellow"/>
        </w:rPr>
        <w:t>labour</w:t>
      </w:r>
      <w:r>
        <w:rPr>
          <w:rFonts w:ascii="Arial" w:hAnsi="Arial" w:cs="Arial"/>
          <w:color w:val="000000"/>
          <w:sz w:val="20"/>
          <w:szCs w:val="20"/>
        </w:rPr>
        <w:t xml:space="preserve">-market demands has attracted growing scholarly attention. Research on graduate employability underscores the need to understand how higher education develops skills, knowledge, and capabilities relevant to employment conditions (Rathee &amp; Mittal, 2024). Concurrently, studies on education–occupation mismatch reveal that the economic value of educational attainment often depends on the degree of correspondence between education and job requirements (Murillo Huertas &amp; Raymond, 2024). This has prompted increased focus on curriculum alignment and the identification of employer-demanded skills. Investigations into curriculum and </w:t>
      </w:r>
      <w:r>
        <w:rPr>
          <w:rFonts w:ascii="Arial" w:hAnsi="Arial" w:cs="Arial"/>
          <w:color w:val="000000"/>
          <w:sz w:val="20"/>
          <w:szCs w:val="20"/>
          <w:highlight w:val="yellow"/>
        </w:rPr>
        <w:t>labour</w:t>
      </w:r>
      <w:r>
        <w:rPr>
          <w:rFonts w:ascii="Arial" w:hAnsi="Arial" w:cs="Arial"/>
          <w:color w:val="000000"/>
          <w:sz w:val="20"/>
          <w:szCs w:val="20"/>
        </w:rPr>
        <w:t>-market relationships continue to highlight persistent challenges in ensuring that educational offerings keep pace with industry changes, especially regarding digital and analytical skills (Tee et al., 2024; Nyale et al., 2026). These trends indicate that higher education must maintain relevance while avoiding an overly narrow focus on immediate job requirements.</w:t>
      </w:r>
    </w:p>
    <w:p w14:paraId="61F9DD84" w14:textId="77777777" w:rsidR="0030673A" w:rsidRDefault="00000000">
      <w:pPr>
        <w:pStyle w:val="NormalWeb"/>
        <w:spacing w:before="0" w:beforeAutospacing="0" w:after="0" w:afterAutospacing="0"/>
      </w:pPr>
      <w:r>
        <w:rPr>
          <w:b/>
          <w:highlight w:val="yellow"/>
        </w:rPr>
        <w:t>Recent evidence from higher education and employers in business and health sectors likewise identifies persistent gaps between graduate digital preparation and workplace expectations, particularly for applied digital capabilities, underscoring the relevance of curriculum responsiveness to changing skill demands (Kingdom et al., 2026). Within business education, contemporary office technologies have also been associated with a growing need for technological proficiency among graduates preparing for digitally mediated work (Emaziye &amp; Ito, 2025).</w:t>
      </w:r>
    </w:p>
    <w:p w14:paraId="49B40265"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This challenge is especially pronounced regarding technological capabilities. Recent studies have explored the increasing significance of AI literacy and digital skills in higher education and their impact on students’ readiness for employment. Tzirides et al. (2024) illustrate that higher education can foster AI literacy by integrating technical knowledge with critical evaluation and responsible application. In contrast, Salhab (2024) finds that college instructors view AI literacy as a relatively underdeveloped aspect of curriculum design, underscoring the difficulty of integrating rapidly evolving technologies into established educational structures. Wut et al. (2025) identify a positive association between perceived AI literacy and university students’ perceived employability, indicating that technological skills are becoming integral to graduates’ human capital. However, digital capabilities are intertwined with broader employability development. Evidence from business-service graduates shows that digital literacy encompasses information, data, visual, communication, and collaboration skills (Deja et al., 2024). Additionally, research on work-integrated learning continues to stress the importance of linking academic knowledge with practical experience (Jackson, 2024; Mabungela &amp; Mtiki, 2024). The central issue is not whether higher education should </w:t>
      </w:r>
      <w:r>
        <w:rPr>
          <w:rFonts w:ascii="Arial" w:hAnsi="Arial" w:cs="Arial"/>
          <w:color w:val="000000"/>
          <w:sz w:val="20"/>
          <w:szCs w:val="20"/>
          <w:highlight w:val="yellow"/>
        </w:rPr>
        <w:t>prioritise</w:t>
      </w:r>
      <w:r>
        <w:rPr>
          <w:rFonts w:ascii="Arial" w:hAnsi="Arial" w:cs="Arial"/>
          <w:color w:val="000000"/>
          <w:sz w:val="20"/>
          <w:szCs w:val="20"/>
        </w:rPr>
        <w:t xml:space="preserve"> technology over other skills, but rather how technological and transferable human capabilities can be developed concurrently.</w:t>
      </w:r>
    </w:p>
    <w:p w14:paraId="19CCB6AF" w14:textId="77777777" w:rsidR="0030673A" w:rsidRDefault="00000000">
      <w:pPr>
        <w:pStyle w:val="NormalWeb"/>
        <w:spacing w:before="0" w:beforeAutospacing="0" w:after="0" w:afterAutospacing="0"/>
      </w:pPr>
      <w:r>
        <w:rPr>
          <w:b/>
          <w:highlight w:val="yellow"/>
        </w:rPr>
        <w:lastRenderedPageBreak/>
        <w:t>Recent business-education scholarship further emphasises regular curriculum renewal and digital integration as mechanisms for maintaining alignment with technology-enabled workplaces (Philip et al., 2026). Evidence from non-STEM university students also indicates that structured AI education can strengthen AI-related knowledge, skills, and capabilities, while AI capital is associated with employment outcomes after graduation (Drydakis, 2025).</w:t>
      </w:r>
    </w:p>
    <w:p w14:paraId="5D8910D1" w14:textId="77777777" w:rsidR="008E368C" w:rsidRPr="008E368C" w:rsidRDefault="008E368C" w:rsidP="00B379FA">
      <w:pPr>
        <w:pStyle w:val="NormalWeb"/>
        <w:spacing w:before="0" w:beforeAutospacing="0" w:after="0" w:afterAutospacing="0"/>
        <w:rPr>
          <w:rFonts w:ascii="Arial" w:hAnsi="Arial" w:cs="Arial"/>
          <w:sz w:val="20"/>
          <w:szCs w:val="20"/>
        </w:rPr>
      </w:pPr>
      <w:r w:rsidRPr="008E368C">
        <w:rPr>
          <w:rFonts w:ascii="Arial" w:hAnsi="Arial" w:cs="Arial"/>
          <w:sz w:val="20"/>
          <w:szCs w:val="20"/>
        </w:rPr>
        <w:t xml:space="preserve">This issue is particularly significant in Philippine higher education, where persistent concerns remain regarding skills mismatch and the correspondence between educational preparation and </w:t>
      </w:r>
      <w:r w:rsidRPr="008E368C">
        <w:rPr>
          <w:rFonts w:ascii="Arial" w:hAnsi="Arial" w:cs="Arial"/>
          <w:sz w:val="20"/>
          <w:szCs w:val="20"/>
          <w:highlight w:val="yellow"/>
        </w:rPr>
        <w:t>labour</w:t>
      </w:r>
      <w:r w:rsidRPr="008E368C">
        <w:rPr>
          <w:rFonts w:ascii="Arial" w:hAnsi="Arial" w:cs="Arial"/>
          <w:sz w:val="20"/>
          <w:szCs w:val="20"/>
        </w:rPr>
        <w:t xml:space="preserve">-market requirements. Evidence from Pakistan similarly identifies gaps between university curricula and job-market demands, </w:t>
      </w:r>
      <w:r w:rsidRPr="008E368C">
        <w:rPr>
          <w:rFonts w:ascii="Arial" w:hAnsi="Arial" w:cs="Arial"/>
          <w:sz w:val="20"/>
          <w:szCs w:val="20"/>
          <w:highlight w:val="yellow"/>
        </w:rPr>
        <w:t>emphasising</w:t>
      </w:r>
      <w:r w:rsidRPr="008E368C">
        <w:rPr>
          <w:rFonts w:ascii="Arial" w:hAnsi="Arial" w:cs="Arial"/>
          <w:sz w:val="20"/>
          <w:szCs w:val="20"/>
        </w:rPr>
        <w:t xml:space="preserve"> the importance of curriculum responsiveness, industry input, and stronger university–industry collaboration in improving graduates’ preparedness for employment (Pervez et al., 2024). In the Philippine context, studies likewise point to continuing challenges in ensuring that higher-education priorities and training systems keep pace with changing </w:t>
      </w:r>
      <w:r w:rsidRPr="008E368C">
        <w:rPr>
          <w:rFonts w:ascii="Arial" w:hAnsi="Arial" w:cs="Arial"/>
          <w:sz w:val="20"/>
          <w:szCs w:val="20"/>
          <w:highlight w:val="yellow"/>
        </w:rPr>
        <w:t>labour</w:t>
      </w:r>
      <w:r w:rsidRPr="008E368C">
        <w:rPr>
          <w:rFonts w:ascii="Arial" w:hAnsi="Arial" w:cs="Arial"/>
          <w:sz w:val="20"/>
          <w:szCs w:val="20"/>
        </w:rPr>
        <w:t xml:space="preserve">-market needs (Bustos, 2024; Bayudan-Dacuycuy et al., 2024). Further evidence indicates that education–occupation alignment is associated with </w:t>
      </w:r>
      <w:r w:rsidRPr="008E368C">
        <w:rPr>
          <w:rFonts w:ascii="Arial" w:hAnsi="Arial" w:cs="Arial"/>
          <w:sz w:val="20"/>
          <w:szCs w:val="20"/>
          <w:highlight w:val="yellow"/>
        </w:rPr>
        <w:t>labour</w:t>
      </w:r>
      <w:r w:rsidRPr="008E368C">
        <w:rPr>
          <w:rFonts w:ascii="Arial" w:hAnsi="Arial" w:cs="Arial"/>
          <w:sz w:val="20"/>
          <w:szCs w:val="20"/>
        </w:rPr>
        <w:t xml:space="preserve">-market outcomes, underscoring the importance of examining how educational preparation corresponds with workplace requirements </w:t>
      </w:r>
      <w:r w:rsidRPr="008E368C">
        <w:rPr>
          <w:rFonts w:ascii="Arial" w:hAnsi="Arial" w:cs="Arial"/>
          <w:sz w:val="20"/>
          <w:szCs w:val="20"/>
          <w:highlight w:val="yellow"/>
        </w:rPr>
        <w:t>(Bayudan-Dacuycuy, Vargas, &amp; Luzon, 2025)</w:t>
      </w:r>
      <w:r w:rsidRPr="008E368C">
        <w:rPr>
          <w:rFonts w:ascii="Arial" w:hAnsi="Arial" w:cs="Arial"/>
          <w:sz w:val="20"/>
          <w:szCs w:val="20"/>
        </w:rPr>
        <w:t>. These concerns are particularly relevant to business education, where graduates enter diverse occupations that increasingly require a combination of technological, analytical, managerial, interpersonal, and adaptive capabilities.</w:t>
      </w:r>
    </w:p>
    <w:p w14:paraId="6E57196F" w14:textId="77777777" w:rsidR="00B379FA" w:rsidRDefault="00B379FA" w:rsidP="00E11D8C">
      <w:pPr>
        <w:pStyle w:val="NormalWeb"/>
        <w:spacing w:before="0" w:beforeAutospacing="0" w:after="0" w:afterAutospacing="0"/>
      </w:pPr>
      <w:r>
        <w:rPr>
          <w:rFonts w:ascii="Arial" w:hAnsi="Arial" w:cs="Arial"/>
          <w:color w:val="000000"/>
          <w:sz w:val="20"/>
          <w:szCs w:val="20"/>
        </w:rPr>
        <w:t xml:space="preserve">In this context, the Bachelor of Science in Business Administration (BSBA) serves as a suitable case for </w:t>
      </w:r>
      <w:r>
        <w:rPr>
          <w:rFonts w:ascii="Arial" w:hAnsi="Arial" w:cs="Arial"/>
          <w:color w:val="000000"/>
          <w:sz w:val="20"/>
          <w:szCs w:val="20"/>
          <w:highlight w:val="yellow"/>
        </w:rPr>
        <w:t>analysing</w:t>
      </w:r>
      <w:r>
        <w:rPr>
          <w:rFonts w:ascii="Arial" w:hAnsi="Arial" w:cs="Arial"/>
          <w:color w:val="000000"/>
          <w:sz w:val="20"/>
          <w:szCs w:val="20"/>
        </w:rPr>
        <w:t xml:space="preserve"> human-capital responsiveness. The BSBA is designed as a comprehensive business degree that prepares graduates for a range of functional and managerial roles rather than a single occupation. In the Philippines, its national competency framework is defined by the Commission on Higher Education’s (CHED) Revised Policies, Standards and Guidelines for the Bachelor of Science in Business Administration (CMO No. 17, s. 2017). This framework outlines the core competencies expected of BSBA graduates while allowing higher education institutions the flexibility to tailor curricula to their specific contexts and missions (Commission on Higher Education [CHED], 2017). The combination of a </w:t>
      </w:r>
      <w:r>
        <w:rPr>
          <w:rFonts w:ascii="Arial" w:hAnsi="Arial" w:cs="Arial"/>
          <w:color w:val="000000"/>
          <w:sz w:val="20"/>
          <w:szCs w:val="20"/>
          <w:highlight w:val="yellow"/>
        </w:rPr>
        <w:t>standardised</w:t>
      </w:r>
      <w:r>
        <w:rPr>
          <w:rFonts w:ascii="Arial" w:hAnsi="Arial" w:cs="Arial"/>
          <w:color w:val="000000"/>
          <w:sz w:val="20"/>
          <w:szCs w:val="20"/>
        </w:rPr>
        <w:t xml:space="preserve"> national competency base and institutional curricular flexibility positions the BSBA as an effective context for examining the </w:t>
      </w:r>
      <w:r>
        <w:rPr>
          <w:rFonts w:ascii="Arial" w:hAnsi="Arial" w:cs="Arial"/>
          <w:color w:val="000000"/>
          <w:sz w:val="20"/>
          <w:szCs w:val="20"/>
          <w:highlight w:val="yellow"/>
        </w:rPr>
        <w:t xml:space="preserve">relationship between formal educational competencies and evolving workforce requirements. </w:t>
      </w:r>
      <w:r w:rsidR="00E11D8C" w:rsidRPr="00E11D8C">
        <w:rPr>
          <w:rFonts w:ascii="Arial" w:hAnsi="Arial" w:cs="Arial"/>
          <w:sz w:val="20"/>
          <w:szCs w:val="20"/>
        </w:rPr>
        <w:t>While prior research has addressed employability, skills gaps, curriculum alignment, digital skills, and education–occupation mismatch, recent evidence continues to show that gaps between higher education and workforce requirements can arise from curriculum misalignment, limited academia–industry collaboration, and insufficient opportunities for practical learning (Poniman et al., 2026). A critical question therefore persists regarding the responsiveness of national business-education competency frameworks to both current and emerging workforce needs</w:t>
      </w:r>
      <w:r w:rsidR="00E11D8C">
        <w:rPr>
          <w:rFonts w:ascii="Arial" w:hAnsi="Arial" w:cs="Arial"/>
          <w:sz w:val="20"/>
          <w:szCs w:val="20"/>
        </w:rPr>
        <w:t xml:space="preserve">. </w:t>
      </w:r>
      <w:r w:rsidRPr="00E11D8C">
        <w:rPr>
          <w:rFonts w:ascii="Arial" w:hAnsi="Arial" w:cs="Arial"/>
          <w:color w:val="000000"/>
          <w:sz w:val="20"/>
          <w:szCs w:val="20"/>
        </w:rPr>
        <w:t>Much of the literature focuses on specific skills, curricula, student perspectives, or employment</w:t>
      </w:r>
      <w:r>
        <w:rPr>
          <w:rFonts w:ascii="Arial" w:hAnsi="Arial" w:cs="Arial"/>
          <w:color w:val="000000"/>
          <w:sz w:val="20"/>
          <w:szCs w:val="20"/>
        </w:rPr>
        <w:t xml:space="preserve"> outcomes. However, there is limited examination of whether national competency frameworks offer a robust and adaptable human-capital foundation that anticipates the growing importance of certain capabilities in the </w:t>
      </w:r>
      <w:r>
        <w:rPr>
          <w:rFonts w:ascii="Arial" w:hAnsi="Arial" w:cs="Arial"/>
          <w:color w:val="000000"/>
          <w:sz w:val="20"/>
          <w:szCs w:val="20"/>
          <w:highlight w:val="yellow"/>
        </w:rPr>
        <w:t>labour</w:t>
      </w:r>
      <w:r>
        <w:rPr>
          <w:rFonts w:ascii="Arial" w:hAnsi="Arial" w:cs="Arial"/>
          <w:color w:val="000000"/>
          <w:sz w:val="20"/>
          <w:szCs w:val="20"/>
        </w:rPr>
        <w:t xml:space="preserve"> market. Addressing this issue requires more than verifying the presence of individual workforce skills in educational standards. It necessitates a thorough analysis of the correspondence between workforce requirements and educational competencies, as well as an interpretation of what this </w:t>
      </w:r>
      <w:r w:rsidR="00EA01BA">
        <w:rPr>
          <w:rFonts w:ascii="Arial" w:hAnsi="Arial" w:cs="Arial"/>
          <w:color w:val="000000"/>
          <w:sz w:val="20"/>
          <w:szCs w:val="20"/>
        </w:rPr>
        <w:t>correspondence</w:t>
      </w:r>
      <w:r>
        <w:rPr>
          <w:rFonts w:ascii="Arial" w:hAnsi="Arial" w:cs="Arial"/>
          <w:color w:val="000000"/>
          <w:sz w:val="20"/>
          <w:szCs w:val="20"/>
        </w:rPr>
        <w:t xml:space="preserve"> signifies for human-capital development.</w:t>
      </w:r>
    </w:p>
    <w:p w14:paraId="1E77ACAA" w14:textId="77777777" w:rsidR="00B379FA" w:rsidRDefault="00B379FA" w:rsidP="00B379FA">
      <w:pPr>
        <w:pStyle w:val="NormalWeb"/>
        <w:spacing w:before="0" w:beforeAutospacing="0" w:after="0" w:afterAutospacing="0"/>
      </w:pPr>
      <w:r>
        <w:rPr>
          <w:rFonts w:ascii="Arial" w:hAnsi="Arial" w:cs="Arial"/>
          <w:color w:val="000000"/>
          <w:sz w:val="20"/>
          <w:szCs w:val="20"/>
        </w:rPr>
        <w:t xml:space="preserve">Accordingly, this study investigates the responsiveness of Philippine BSBA education to evolving workforce skill requirements from a human-capital perspective. Specifically, the study aims to: (1) identify workforce skills that are important in 2025 and projected to increase in significance by 2030; (2) </w:t>
      </w:r>
      <w:r>
        <w:rPr>
          <w:rFonts w:ascii="Arial" w:hAnsi="Arial" w:cs="Arial"/>
          <w:color w:val="000000"/>
          <w:sz w:val="20"/>
          <w:szCs w:val="20"/>
          <w:highlight w:val="yellow"/>
        </w:rPr>
        <w:t>analyse</w:t>
      </w:r>
      <w:r>
        <w:rPr>
          <w:rFonts w:ascii="Arial" w:hAnsi="Arial" w:cs="Arial"/>
          <w:color w:val="000000"/>
          <w:sz w:val="20"/>
          <w:szCs w:val="20"/>
        </w:rPr>
        <w:t xml:space="preserve"> the correspondence between CHED BSBA competencies and both current and emerging workforce skills; and (3) interpret the </w:t>
      </w:r>
      <w:r>
        <w:rPr>
          <w:rFonts w:ascii="Arial" w:hAnsi="Arial" w:cs="Arial"/>
          <w:color w:val="000000"/>
          <w:sz w:val="20"/>
          <w:szCs w:val="20"/>
        </w:rPr>
        <w:lastRenderedPageBreak/>
        <w:t>implications of this correspondence for the responsiveness of Philippine BSBA education as a form of human-capital development. The research is guided by the following questions:</w:t>
      </w:r>
    </w:p>
    <w:p w14:paraId="7027BA9D" w14:textId="77777777"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RQ1. </w:t>
      </w:r>
      <w:r>
        <w:rPr>
          <w:rFonts w:ascii="Arial" w:hAnsi="Arial" w:cs="Arial"/>
          <w:color w:val="000000"/>
          <w:sz w:val="20"/>
          <w:szCs w:val="20"/>
        </w:rPr>
        <w:t xml:space="preserve">What workforce skills are important in 2025 and expected to increase </w:t>
      </w:r>
      <w:r>
        <w:rPr>
          <w:rFonts w:ascii="Arial" w:hAnsi="Arial" w:cs="Arial"/>
          <w:color w:val="000000"/>
          <w:sz w:val="20"/>
          <w:szCs w:val="20"/>
          <w:highlight w:val="yellow"/>
        </w:rPr>
        <w:t>towards</w:t>
      </w:r>
      <w:r>
        <w:rPr>
          <w:rFonts w:ascii="Arial" w:hAnsi="Arial" w:cs="Arial"/>
          <w:color w:val="000000"/>
          <w:sz w:val="20"/>
          <w:szCs w:val="20"/>
        </w:rPr>
        <w:t xml:space="preserve"> 2030?</w:t>
      </w:r>
    </w:p>
    <w:p w14:paraId="3F2F1677" w14:textId="77777777"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RQ2. </w:t>
      </w:r>
      <w:r>
        <w:rPr>
          <w:rFonts w:ascii="Arial" w:hAnsi="Arial" w:cs="Arial"/>
          <w:color w:val="000000"/>
          <w:sz w:val="20"/>
          <w:szCs w:val="20"/>
        </w:rPr>
        <w:t>How do CHED BSBA competencies correspond to those current and emerging workforce skills?</w:t>
      </w:r>
    </w:p>
    <w:p w14:paraId="0C7DAFC5" w14:textId="77777777" w:rsidR="00B379FA" w:rsidRDefault="00B379FA" w:rsidP="00B379FA">
      <w:pPr>
        <w:pStyle w:val="NormalWeb"/>
        <w:spacing w:before="0" w:beforeAutospacing="0" w:after="0" w:afterAutospacing="0"/>
        <w:textAlignment w:val="baseline"/>
        <w:rPr>
          <w:rFonts w:ascii="Arial" w:hAnsi="Arial" w:cs="Arial"/>
          <w:color w:val="000000"/>
          <w:sz w:val="20"/>
          <w:szCs w:val="20"/>
        </w:rPr>
      </w:pPr>
      <w:r>
        <w:rPr>
          <w:rFonts w:ascii="Arial" w:hAnsi="Arial" w:cs="Arial"/>
          <w:b/>
          <w:bCs/>
          <w:color w:val="000000"/>
          <w:sz w:val="20"/>
          <w:szCs w:val="20"/>
        </w:rPr>
        <w:t xml:space="preserve">RQ3. </w:t>
      </w:r>
      <w:r>
        <w:rPr>
          <w:rFonts w:ascii="Arial" w:hAnsi="Arial" w:cs="Arial"/>
          <w:color w:val="000000"/>
          <w:sz w:val="20"/>
          <w:szCs w:val="20"/>
        </w:rPr>
        <w:t>What does that correspondence indicate about the responsiveness of Philippine BSBA education as human-capital development?</w:t>
      </w:r>
    </w:p>
    <w:p w14:paraId="4CCCD88E" w14:textId="77777777" w:rsidR="00790ADA" w:rsidRDefault="00790ADA" w:rsidP="00441B6F">
      <w:pPr>
        <w:pStyle w:val="Body"/>
        <w:spacing w:after="0"/>
        <w:rPr>
          <w:rFonts w:ascii="Arial" w:hAnsi="Arial" w:cs="Arial"/>
          <w:sz w:val="20"/>
          <w:szCs w:val="20"/>
        </w:rPr>
      </w:pPr>
    </w:p>
    <w:p w14:paraId="699C9E11" w14:textId="77777777" w:rsidR="00B379FA" w:rsidRPr="00244F25" w:rsidRDefault="00B379FA" w:rsidP="00441B6F">
      <w:pPr>
        <w:pStyle w:val="Body"/>
        <w:spacing w:after="0"/>
        <w:rPr>
          <w:rFonts w:ascii="Arial" w:hAnsi="Arial" w:cs="Arial"/>
          <w:sz w:val="20"/>
          <w:szCs w:val="20"/>
        </w:rPr>
      </w:pPr>
    </w:p>
    <w:p w14:paraId="3868F441" w14:textId="77777777"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2D6F21AE" w14:textId="77777777" w:rsidR="00790ADA" w:rsidRPr="00FB3A86" w:rsidRDefault="00790ADA" w:rsidP="00441B6F">
      <w:pPr>
        <w:pStyle w:val="AbstHead"/>
        <w:spacing w:after="0"/>
        <w:jc w:val="both"/>
        <w:rPr>
          <w:rFonts w:ascii="Arial" w:hAnsi="Arial" w:cs="Arial"/>
        </w:rPr>
      </w:pPr>
    </w:p>
    <w:p w14:paraId="1B6BCF4E"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11FC9491" w14:textId="77777777" w:rsidR="00B57BC1" w:rsidRDefault="00B57BC1" w:rsidP="00B57BC1"/>
    <w:p w14:paraId="21DC3F1E" w14:textId="77777777" w:rsidR="009D39F0" w:rsidRPr="009D39F0" w:rsidRDefault="00D2014E" w:rsidP="00D2014E">
      <w:pPr>
        <w:pStyle w:val="NormalWeb"/>
        <w:spacing w:before="0" w:beforeAutospacing="0" w:after="0" w:afterAutospacing="0"/>
        <w:rPr>
          <w:rFonts w:ascii="Arial" w:hAnsi="Arial" w:cs="Arial"/>
          <w:sz w:val="20"/>
          <w:szCs w:val="20"/>
        </w:rPr>
      </w:pPr>
      <w:r>
        <w:rPr>
          <w:rFonts w:ascii="Arial" w:hAnsi="Arial" w:cs="Arial"/>
          <w:color w:val="000000"/>
          <w:sz w:val="20"/>
          <w:szCs w:val="20"/>
        </w:rPr>
        <w:t xml:space="preserve">A qualitative documentary research design was employed to examine the correspondence between evolving workforce skill requirements and the competency framework prescribed for Bachelor of Science in Business Administration (BSBA) </w:t>
      </w:r>
      <w:r>
        <w:rPr>
          <w:rFonts w:ascii="Arial" w:hAnsi="Arial" w:cs="Arial"/>
          <w:color w:val="000000"/>
          <w:sz w:val="20"/>
          <w:szCs w:val="20"/>
          <w:highlight w:val="yellow"/>
        </w:rPr>
        <w:t>programmes</w:t>
      </w:r>
      <w:r>
        <w:rPr>
          <w:rFonts w:ascii="Arial" w:hAnsi="Arial" w:cs="Arial"/>
          <w:color w:val="000000"/>
          <w:sz w:val="20"/>
          <w:szCs w:val="20"/>
        </w:rPr>
        <w:t xml:space="preserve"> in the Philippines. This approach was selected due to its focus on comparing two established documentary frameworks: the workforce skills identified by the World Economic Forum (WEF, 2025) and the competencies and </w:t>
      </w:r>
      <w:r>
        <w:rPr>
          <w:rFonts w:ascii="Arial" w:hAnsi="Arial" w:cs="Arial"/>
          <w:color w:val="000000"/>
          <w:sz w:val="20"/>
          <w:szCs w:val="20"/>
          <w:highlight w:val="yellow"/>
        </w:rPr>
        <w:t>programme</w:t>
      </w:r>
      <w:r>
        <w:rPr>
          <w:rFonts w:ascii="Arial" w:hAnsi="Arial" w:cs="Arial"/>
          <w:color w:val="000000"/>
          <w:sz w:val="20"/>
          <w:szCs w:val="20"/>
        </w:rPr>
        <w:t xml:space="preserve"> outcomes prescribed by the Commission on Higher Education for BSBA </w:t>
      </w:r>
      <w:r>
        <w:rPr>
          <w:rFonts w:ascii="Arial" w:hAnsi="Arial" w:cs="Arial"/>
          <w:color w:val="000000"/>
          <w:sz w:val="20"/>
          <w:szCs w:val="20"/>
          <w:highlight w:val="yellow"/>
        </w:rPr>
        <w:t>programmes</w:t>
      </w:r>
      <w:r>
        <w:rPr>
          <w:rFonts w:ascii="Arial" w:hAnsi="Arial" w:cs="Arial"/>
          <w:color w:val="000000"/>
          <w:sz w:val="20"/>
          <w:szCs w:val="20"/>
        </w:rPr>
        <w:t xml:space="preserve"> (Commission on Higher Education [CHED], 2017). The use of these documents facilitated an examination of current </w:t>
      </w:r>
      <w:r>
        <w:rPr>
          <w:rFonts w:ascii="Arial" w:hAnsi="Arial" w:cs="Arial"/>
          <w:color w:val="000000"/>
          <w:sz w:val="20"/>
          <w:szCs w:val="20"/>
          <w:highlight w:val="yellow"/>
        </w:rPr>
        <w:t>labour</w:t>
      </w:r>
      <w:r>
        <w:rPr>
          <w:rFonts w:ascii="Arial" w:hAnsi="Arial" w:cs="Arial"/>
          <w:color w:val="000000"/>
          <w:sz w:val="20"/>
          <w:szCs w:val="20"/>
        </w:rPr>
        <w:t xml:space="preserve"> market expectations alongside the </w:t>
      </w:r>
      <w:r w:rsidRPr="009D39F0">
        <w:rPr>
          <w:rFonts w:ascii="Arial" w:hAnsi="Arial" w:cs="Arial"/>
          <w:color w:val="000000"/>
          <w:sz w:val="20"/>
          <w:szCs w:val="20"/>
        </w:rPr>
        <w:t xml:space="preserve">formal competency requirements governing BSBA education, without requiring new data from participants. </w:t>
      </w:r>
      <w:r w:rsidR="009D39F0" w:rsidRPr="009D39F0">
        <w:rPr>
          <w:rFonts w:ascii="Arial" w:hAnsi="Arial" w:cs="Arial"/>
          <w:sz w:val="20"/>
          <w:szCs w:val="20"/>
        </w:rPr>
        <w:t>The comparative and systematic nature of this design enabled an evidence-based examination of how prescribed competencies correspond to changing workforce requirements (Chand, 2025).</w:t>
      </w:r>
    </w:p>
    <w:p w14:paraId="196E1D78" w14:textId="77777777" w:rsidR="00D2014E" w:rsidRDefault="00D2014E" w:rsidP="00D2014E">
      <w:pPr>
        <w:pStyle w:val="NormalWeb"/>
        <w:spacing w:before="0" w:beforeAutospacing="0" w:after="0" w:afterAutospacing="0"/>
      </w:pPr>
      <w:r w:rsidRPr="009D39F0">
        <w:rPr>
          <w:rFonts w:ascii="Arial" w:hAnsi="Arial" w:cs="Arial"/>
          <w:color w:val="000000"/>
          <w:sz w:val="20"/>
          <w:szCs w:val="20"/>
        </w:rPr>
        <w:t>The analysis was guided by Human Capital Theory</w:t>
      </w:r>
      <w:r>
        <w:rPr>
          <w:rFonts w:ascii="Arial" w:hAnsi="Arial" w:cs="Arial"/>
          <w:color w:val="000000"/>
          <w:sz w:val="20"/>
          <w:szCs w:val="20"/>
        </w:rPr>
        <w:t xml:space="preserve">, which </w:t>
      </w:r>
      <w:r>
        <w:rPr>
          <w:rFonts w:ascii="Arial" w:hAnsi="Arial" w:cs="Arial"/>
          <w:color w:val="000000"/>
          <w:sz w:val="20"/>
          <w:szCs w:val="20"/>
          <w:highlight w:val="yellow"/>
        </w:rPr>
        <w:t>conceptualises</w:t>
      </w:r>
      <w:r>
        <w:rPr>
          <w:rFonts w:ascii="Arial" w:hAnsi="Arial" w:cs="Arial"/>
          <w:color w:val="000000"/>
          <w:sz w:val="20"/>
          <w:szCs w:val="20"/>
        </w:rPr>
        <w:t xml:space="preserve"> education and training as investments that develop knowledge and skills to enhance productive capacity (Becker, 1964). Recent research further </w:t>
      </w:r>
      <w:r>
        <w:rPr>
          <w:rFonts w:ascii="Arial" w:hAnsi="Arial" w:cs="Arial"/>
          <w:color w:val="000000"/>
          <w:sz w:val="20"/>
          <w:szCs w:val="20"/>
          <w:highlight w:val="yellow"/>
        </w:rPr>
        <w:t>emphasises</w:t>
      </w:r>
      <w:r>
        <w:rPr>
          <w:rFonts w:ascii="Arial" w:hAnsi="Arial" w:cs="Arial"/>
          <w:color w:val="000000"/>
          <w:sz w:val="20"/>
          <w:szCs w:val="20"/>
        </w:rPr>
        <w:t xml:space="preserve"> that human capital comprises multiple skill dimensions and that the relationship between skill supply and </w:t>
      </w:r>
      <w:r>
        <w:rPr>
          <w:rFonts w:ascii="Arial" w:hAnsi="Arial" w:cs="Arial"/>
          <w:color w:val="000000"/>
          <w:sz w:val="20"/>
          <w:szCs w:val="20"/>
          <w:highlight w:val="yellow"/>
        </w:rPr>
        <w:t>labour</w:t>
      </w:r>
      <w:r>
        <w:rPr>
          <w:rFonts w:ascii="Arial" w:hAnsi="Arial" w:cs="Arial"/>
          <w:color w:val="000000"/>
          <w:sz w:val="20"/>
          <w:szCs w:val="20"/>
        </w:rPr>
        <w:t>-market demand is central to understanding its economic value (Deming &amp; Silliman, 2025; Woessmann, 2025). Therefore, correspondence between workforce skills and educational competencies was not treated as a simple checklist. Instead, the analysis focused on what the observed pattern of correspondence reveals about the responsiveness of BSBA education to evolving workforce requirements.</w:t>
      </w:r>
    </w:p>
    <w:p w14:paraId="306D4795"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Existing skill categories and competency statements from the source documents were </w:t>
      </w:r>
      <w:r>
        <w:rPr>
          <w:rFonts w:ascii="Arial" w:hAnsi="Arial" w:cs="Arial"/>
          <w:color w:val="000000"/>
          <w:sz w:val="20"/>
          <w:szCs w:val="20"/>
          <w:highlight w:val="yellow"/>
        </w:rPr>
        <w:t>utilised</w:t>
      </w:r>
      <w:r>
        <w:rPr>
          <w:rFonts w:ascii="Arial" w:hAnsi="Arial" w:cs="Arial"/>
          <w:color w:val="000000"/>
          <w:sz w:val="20"/>
          <w:szCs w:val="20"/>
        </w:rPr>
        <w:t xml:space="preserve"> rather than introducing a researcher-developed competency taxonomy. The WEF Global Skills Taxonomy supplied the workforce-side categories, while the competency standards and </w:t>
      </w:r>
      <w:r>
        <w:rPr>
          <w:rFonts w:ascii="Arial" w:hAnsi="Arial" w:cs="Arial"/>
          <w:color w:val="000000"/>
          <w:sz w:val="20"/>
          <w:szCs w:val="20"/>
          <w:highlight w:val="yellow"/>
        </w:rPr>
        <w:t>programme</w:t>
      </w:r>
      <w:r>
        <w:rPr>
          <w:rFonts w:ascii="Arial" w:hAnsi="Arial" w:cs="Arial"/>
          <w:color w:val="000000"/>
          <w:sz w:val="20"/>
          <w:szCs w:val="20"/>
        </w:rPr>
        <w:t xml:space="preserve"> outcomes specified in CHED Memorandum Order No. 17, s. 2017 supplied the education-side categories. Human Capital Theory was subsequently applied to interpret the implications of the correspondence between these two frameworks.</w:t>
      </w:r>
    </w:p>
    <w:p w14:paraId="6B5FE170" w14:textId="77777777" w:rsidR="00D2014E" w:rsidRDefault="00D2014E" w:rsidP="00D2014E"/>
    <w:p w14:paraId="58587C5F"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2.2 Documentary Data Sources</w:t>
      </w:r>
    </w:p>
    <w:p w14:paraId="55A83DEC" w14:textId="77777777" w:rsidR="00D2014E" w:rsidRDefault="00D2014E" w:rsidP="00D2014E"/>
    <w:p w14:paraId="325C78C7"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Two publicly available documents were selected to represent the workforce-demand and higher-education aspects of the human-capital relationship: the </w:t>
      </w:r>
      <w:r>
        <w:rPr>
          <w:rFonts w:ascii="Arial" w:hAnsi="Arial" w:cs="Arial"/>
          <w:i/>
          <w:iCs/>
          <w:color w:val="000000"/>
          <w:sz w:val="20"/>
          <w:szCs w:val="20"/>
        </w:rPr>
        <w:t>Future of Jobs Report 2025</w:t>
      </w:r>
      <w:r>
        <w:rPr>
          <w:rFonts w:ascii="Arial" w:hAnsi="Arial" w:cs="Arial"/>
          <w:color w:val="000000"/>
          <w:sz w:val="20"/>
          <w:szCs w:val="20"/>
        </w:rPr>
        <w:t xml:space="preserve"> published by the World Economic Forum (WEF) </w:t>
      </w:r>
      <w:r>
        <w:rPr>
          <w:rFonts w:ascii="Arial" w:hAnsi="Arial" w:cs="Arial"/>
          <w:color w:val="000000"/>
          <w:sz w:val="20"/>
          <w:szCs w:val="20"/>
          <w:highlight w:val="yellow"/>
        </w:rPr>
        <w:t>and the Commission on Higher Education</w:t>
      </w:r>
      <w:r>
        <w:rPr>
          <w:rFonts w:ascii="Arial" w:hAnsi="Arial" w:cs="Arial"/>
          <w:color w:val="000000"/>
          <w:sz w:val="20"/>
          <w:szCs w:val="20"/>
        </w:rPr>
        <w:t xml:space="preserve"> (CHED) Memorandum Order No. 17, s. 2017, </w:t>
      </w:r>
      <w:r>
        <w:rPr>
          <w:rFonts w:ascii="Arial" w:hAnsi="Arial" w:cs="Arial"/>
          <w:i/>
          <w:iCs/>
          <w:color w:val="000000"/>
          <w:sz w:val="20"/>
          <w:szCs w:val="20"/>
        </w:rPr>
        <w:t>Revised Policies, Standards and Guidelines for Bachelor of Science in Business Administration</w:t>
      </w:r>
      <w:r>
        <w:rPr>
          <w:rFonts w:ascii="Arial" w:hAnsi="Arial" w:cs="Arial"/>
          <w:color w:val="000000"/>
          <w:sz w:val="20"/>
          <w:szCs w:val="20"/>
        </w:rPr>
        <w:t>. Selection was based on the documents’ relevance, authority, and temporal appropriateness to the research objectives.</w:t>
      </w:r>
    </w:p>
    <w:p w14:paraId="20922F4E"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The </w:t>
      </w:r>
      <w:r>
        <w:rPr>
          <w:rFonts w:ascii="Arial" w:hAnsi="Arial" w:cs="Arial"/>
          <w:i/>
          <w:iCs/>
          <w:color w:val="000000"/>
          <w:sz w:val="20"/>
          <w:szCs w:val="20"/>
        </w:rPr>
        <w:t>Future of Jobs Report 2025</w:t>
      </w:r>
      <w:r>
        <w:rPr>
          <w:rFonts w:ascii="Arial" w:hAnsi="Arial" w:cs="Arial"/>
          <w:color w:val="000000"/>
          <w:sz w:val="20"/>
          <w:szCs w:val="20"/>
        </w:rPr>
        <w:t xml:space="preserve"> was selected as the workforce-demand source because it provides current evidence on employers’ expectations regarding jobs and skills for the 2025–2030 period. Based on the Future of Jobs Survey, the report draws on the perspectives of </w:t>
      </w:r>
      <w:r>
        <w:rPr>
          <w:rFonts w:ascii="Arial" w:hAnsi="Arial" w:cs="Arial"/>
          <w:color w:val="000000"/>
          <w:sz w:val="20"/>
          <w:szCs w:val="20"/>
        </w:rPr>
        <w:lastRenderedPageBreak/>
        <w:t xml:space="preserve">more than 1,000 employers representing more than 14 million workers across 55 economies and 22 industry clusters (WEF, 2025). Its Global Skills Taxonomy provides an established classification of workforce skills, while the report examines both skills considered important in 2025 and those expected to become increasingly important </w:t>
      </w:r>
      <w:r>
        <w:rPr>
          <w:rFonts w:ascii="Arial" w:hAnsi="Arial" w:cs="Arial"/>
          <w:color w:val="000000"/>
          <w:sz w:val="20"/>
          <w:szCs w:val="20"/>
          <w:highlight w:val="yellow"/>
        </w:rPr>
        <w:t>towards</w:t>
      </w:r>
      <w:r>
        <w:rPr>
          <w:rFonts w:ascii="Arial" w:hAnsi="Arial" w:cs="Arial"/>
          <w:color w:val="000000"/>
          <w:sz w:val="20"/>
          <w:szCs w:val="20"/>
        </w:rPr>
        <w:t xml:space="preserve"> 2030. This makes the 2025 edition well-suited to examining the responsiveness of educational competency standards to changing </w:t>
      </w:r>
      <w:r>
        <w:rPr>
          <w:rFonts w:ascii="Arial" w:hAnsi="Arial" w:cs="Arial"/>
          <w:color w:val="000000"/>
          <w:sz w:val="20"/>
          <w:szCs w:val="20"/>
          <w:highlight w:val="yellow"/>
        </w:rPr>
        <w:t>labour</w:t>
      </w:r>
      <w:r>
        <w:rPr>
          <w:rFonts w:ascii="Arial" w:hAnsi="Arial" w:cs="Arial"/>
          <w:color w:val="000000"/>
          <w:sz w:val="20"/>
          <w:szCs w:val="20"/>
        </w:rPr>
        <w:t xml:space="preserve"> market requirements.</w:t>
      </w:r>
    </w:p>
    <w:p w14:paraId="232D81FA"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CHED CMO No. 17, s. 2017 was selected as the education-side source </w:t>
      </w:r>
      <w:r>
        <w:rPr>
          <w:rFonts w:ascii="Arial" w:hAnsi="Arial" w:cs="Arial"/>
          <w:color w:val="000000"/>
          <w:sz w:val="20"/>
          <w:szCs w:val="20"/>
          <w:highlight w:val="yellow"/>
        </w:rPr>
        <w:t>because it contains the revised national policies</w:t>
      </w:r>
      <w:r>
        <w:rPr>
          <w:rFonts w:ascii="Arial" w:hAnsi="Arial" w:cs="Arial"/>
          <w:color w:val="000000"/>
          <w:sz w:val="20"/>
          <w:szCs w:val="20"/>
        </w:rPr>
        <w:t xml:space="preserve">, standards, and guidelines specifically established for BSBA </w:t>
      </w:r>
      <w:r>
        <w:rPr>
          <w:rFonts w:ascii="Arial" w:hAnsi="Arial" w:cs="Arial"/>
          <w:color w:val="000000"/>
          <w:sz w:val="20"/>
          <w:szCs w:val="20"/>
          <w:highlight w:val="yellow"/>
        </w:rPr>
        <w:t>programmes</w:t>
      </w:r>
      <w:r>
        <w:rPr>
          <w:rFonts w:ascii="Arial" w:hAnsi="Arial" w:cs="Arial"/>
          <w:color w:val="000000"/>
          <w:sz w:val="20"/>
          <w:szCs w:val="20"/>
        </w:rPr>
        <w:t xml:space="preserve">. The CMO specifies the competencies and </w:t>
      </w:r>
      <w:r>
        <w:rPr>
          <w:rFonts w:ascii="Arial" w:hAnsi="Arial" w:cs="Arial"/>
          <w:color w:val="000000"/>
          <w:sz w:val="20"/>
          <w:szCs w:val="20"/>
          <w:highlight w:val="yellow"/>
        </w:rPr>
        <w:t>programme</w:t>
      </w:r>
      <w:r>
        <w:rPr>
          <w:rFonts w:ascii="Arial" w:hAnsi="Arial" w:cs="Arial"/>
          <w:color w:val="000000"/>
          <w:sz w:val="20"/>
          <w:szCs w:val="20"/>
        </w:rPr>
        <w:t xml:space="preserve"> outcomes expected of BSBA graduates and provides the regulatory framework within which BSBA </w:t>
      </w:r>
      <w:r>
        <w:rPr>
          <w:rFonts w:ascii="Arial" w:hAnsi="Arial" w:cs="Arial"/>
          <w:color w:val="000000"/>
          <w:sz w:val="20"/>
          <w:szCs w:val="20"/>
          <w:highlight w:val="yellow"/>
        </w:rPr>
        <w:t>programmes</w:t>
      </w:r>
      <w:r>
        <w:rPr>
          <w:rFonts w:ascii="Arial" w:hAnsi="Arial" w:cs="Arial"/>
          <w:color w:val="000000"/>
          <w:sz w:val="20"/>
          <w:szCs w:val="20"/>
        </w:rPr>
        <w:t xml:space="preserve"> develop their curricula (CHED, 2017). It is the latest BSBA-specific CMO listed by CHED and therefore provides the appropriate regulatory benchmark for the study.</w:t>
      </w:r>
    </w:p>
    <w:p w14:paraId="23E027F8" w14:textId="77777777" w:rsidR="00D2014E" w:rsidRDefault="00D2014E" w:rsidP="00D2014E">
      <w:pPr>
        <w:pStyle w:val="NormalWeb"/>
        <w:spacing w:before="0" w:beforeAutospacing="0" w:after="0" w:afterAutospacing="0"/>
      </w:pPr>
      <w:r>
        <w:rPr>
          <w:rFonts w:ascii="Arial" w:hAnsi="Arial" w:cs="Arial"/>
          <w:color w:val="000000"/>
          <w:sz w:val="20"/>
          <w:szCs w:val="20"/>
        </w:rPr>
        <w:t>These two documents provide complementary evidence: WEF represents contemporary employer-defined workforce demand, while CHED represents the formally prescribed competency expectations for Philippine BSBA education. Both documents are publicly accessible, enabling independent examination of the documentary evidence and analytical procedure.</w:t>
      </w:r>
    </w:p>
    <w:p w14:paraId="696A07E5" w14:textId="77777777" w:rsidR="00D2014E" w:rsidRDefault="00D2014E" w:rsidP="00D2014E"/>
    <w:p w14:paraId="23BDBBE0"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2.3 Analytical Framework</w:t>
      </w:r>
    </w:p>
    <w:p w14:paraId="40DD587E" w14:textId="77777777" w:rsidR="00D2014E" w:rsidRDefault="00D2014E" w:rsidP="00D2014E"/>
    <w:p w14:paraId="0698A4A1"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The analytical framework consisted of three source-based components. First, the WEF Global Skills Taxonomy was used to identify and classify workforce skills. The taxonomy provides the skill categories used by the WEF to examine skills required across sectors and economies (WEF, 2025). Second, the competency standards and </w:t>
      </w:r>
      <w:r>
        <w:rPr>
          <w:rFonts w:ascii="Arial" w:hAnsi="Arial" w:cs="Arial"/>
          <w:color w:val="000000"/>
          <w:sz w:val="20"/>
          <w:szCs w:val="20"/>
          <w:highlight w:val="yellow"/>
        </w:rPr>
        <w:t>programme</w:t>
      </w:r>
      <w:r>
        <w:rPr>
          <w:rFonts w:ascii="Arial" w:hAnsi="Arial" w:cs="Arial"/>
          <w:color w:val="000000"/>
          <w:sz w:val="20"/>
          <w:szCs w:val="20"/>
        </w:rPr>
        <w:t xml:space="preserve"> outcomes contained in CHED CMO No. 17, s. 2017 were used to identify the competencies formally expected of BSBA graduates. Third, Human Capital Theory provided the theoretical basis for interpreting the relationship between the two frameworks.</w:t>
      </w:r>
    </w:p>
    <w:p w14:paraId="28F07993"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No researcher-developed skill taxonomy was introduced. WEF skill categories were retained in their original form, and CHED competencies and </w:t>
      </w:r>
      <w:r>
        <w:rPr>
          <w:rFonts w:ascii="Arial" w:hAnsi="Arial" w:cs="Arial"/>
          <w:color w:val="000000"/>
          <w:sz w:val="20"/>
          <w:szCs w:val="20"/>
          <w:highlight w:val="yellow"/>
        </w:rPr>
        <w:t>programme</w:t>
      </w:r>
      <w:r>
        <w:rPr>
          <w:rFonts w:ascii="Arial" w:hAnsi="Arial" w:cs="Arial"/>
          <w:color w:val="000000"/>
          <w:sz w:val="20"/>
          <w:szCs w:val="20"/>
        </w:rPr>
        <w:t xml:space="preserve"> outcomes were examined according to their original substantive meaning. This approach ensured that the comparison remained grounded in the categories established by the two source documents, while Human Capital Theory informed the interpretation of their correspondence.</w:t>
      </w:r>
    </w:p>
    <w:p w14:paraId="2C74C203" w14:textId="77777777" w:rsidR="00D2014E" w:rsidRDefault="00D2014E" w:rsidP="00D2014E"/>
    <w:p w14:paraId="1643BD1E"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2.4 Data Analysis Procedure</w:t>
      </w:r>
    </w:p>
    <w:p w14:paraId="3FBADB13" w14:textId="77777777" w:rsidR="00D2014E" w:rsidRDefault="00D2014E" w:rsidP="00D2014E"/>
    <w:p w14:paraId="7E734410" w14:textId="77777777" w:rsidR="00D2014E" w:rsidRDefault="00D2014E" w:rsidP="00D2014E">
      <w:pPr>
        <w:pStyle w:val="NormalWeb"/>
        <w:spacing w:before="0" w:beforeAutospacing="0" w:after="0" w:afterAutospacing="0"/>
      </w:pPr>
      <w:r>
        <w:rPr>
          <w:rFonts w:ascii="Arial" w:hAnsi="Arial" w:cs="Arial"/>
          <w:color w:val="000000"/>
          <w:sz w:val="20"/>
          <w:szCs w:val="20"/>
        </w:rPr>
        <w:t>The analysis proceeded in four stages. First, the WEF report was examined to identify the skills in its Global Skills Taxonomy and the workforce information associated with them. Attention was given to the report’s assessment of skills considered important in 2025 and skills expected to increase in importance through 2030 (WEF, 2025).</w:t>
      </w:r>
    </w:p>
    <w:p w14:paraId="270703B0"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Second, the relevant competency standards and </w:t>
      </w:r>
      <w:r>
        <w:rPr>
          <w:rFonts w:ascii="Arial" w:hAnsi="Arial" w:cs="Arial"/>
          <w:color w:val="000000"/>
          <w:sz w:val="20"/>
          <w:szCs w:val="20"/>
          <w:highlight w:val="yellow"/>
        </w:rPr>
        <w:t>programme</w:t>
      </w:r>
      <w:r>
        <w:rPr>
          <w:rFonts w:ascii="Arial" w:hAnsi="Arial" w:cs="Arial"/>
          <w:color w:val="000000"/>
          <w:sz w:val="20"/>
          <w:szCs w:val="20"/>
        </w:rPr>
        <w:t xml:space="preserve"> outcomes in CMO No. 17, s. 2017 were extracted. The analysis considered both the common business and management outcomes and the outcomes specifically prescribed for BSBA </w:t>
      </w:r>
      <w:r>
        <w:rPr>
          <w:rFonts w:ascii="Arial" w:hAnsi="Arial" w:cs="Arial"/>
          <w:color w:val="000000"/>
          <w:sz w:val="20"/>
          <w:szCs w:val="20"/>
          <w:highlight w:val="yellow"/>
        </w:rPr>
        <w:t>programmes</w:t>
      </w:r>
      <w:r>
        <w:rPr>
          <w:rFonts w:ascii="Arial" w:hAnsi="Arial" w:cs="Arial"/>
          <w:color w:val="000000"/>
          <w:sz w:val="20"/>
          <w:szCs w:val="20"/>
        </w:rPr>
        <w:t>.</w:t>
      </w:r>
    </w:p>
    <w:p w14:paraId="532543BD" w14:textId="77777777" w:rsidR="00D2014E" w:rsidRDefault="00D2014E" w:rsidP="00D2014E">
      <w:pPr>
        <w:pStyle w:val="NormalWeb"/>
        <w:spacing w:before="0" w:beforeAutospacing="0" w:after="0" w:afterAutospacing="0"/>
      </w:pPr>
      <w:r>
        <w:rPr>
          <w:rFonts w:ascii="Arial" w:hAnsi="Arial" w:cs="Arial"/>
          <w:color w:val="000000"/>
          <w:sz w:val="20"/>
          <w:szCs w:val="20"/>
        </w:rPr>
        <w:t>Third, a comparative crosswalk was conducted by examining each WEF skill against the CHED competency and outcome statements. A correspondence was established when a CHED statement addressed the same or a substantively encompassing capability represented by a WEF skill. The analysis distinguished between explicit correspondence, broader correspondence, and the absence of a sufficiently clear correspondence. These distinctions served as interpretive descriptions rather than numerical codes or an alignment score.</w:t>
      </w:r>
    </w:p>
    <w:p w14:paraId="57A48A77" w14:textId="77777777" w:rsidR="00D2014E" w:rsidRDefault="00D2014E" w:rsidP="00D2014E">
      <w:pPr>
        <w:pStyle w:val="NormalWeb"/>
        <w:spacing w:before="0" w:beforeAutospacing="0" w:after="0" w:afterAutospacing="0"/>
      </w:pPr>
      <w:r>
        <w:rPr>
          <w:rFonts w:ascii="Arial" w:hAnsi="Arial" w:cs="Arial"/>
          <w:color w:val="000000"/>
          <w:sz w:val="20"/>
          <w:szCs w:val="20"/>
        </w:rPr>
        <w:t xml:space="preserve">Fourth, the resulting pattern was interpreted through Human Capital Theory. The analysis examined whether the competencies prescribed for BSBA education correspond to workforce capabilities that remain important as well as those whose importance is </w:t>
      </w:r>
      <w:r>
        <w:rPr>
          <w:rFonts w:ascii="Arial" w:hAnsi="Arial" w:cs="Arial"/>
          <w:color w:val="000000"/>
          <w:sz w:val="20"/>
          <w:szCs w:val="20"/>
        </w:rPr>
        <w:lastRenderedPageBreak/>
        <w:t xml:space="preserve">increasing. Particular attention was given to whether the competency framework demonstrates responsiveness to changes in the skill composition required for productive participation in the </w:t>
      </w:r>
      <w:r>
        <w:rPr>
          <w:rFonts w:ascii="Arial" w:hAnsi="Arial" w:cs="Arial"/>
          <w:color w:val="000000"/>
          <w:sz w:val="20"/>
          <w:szCs w:val="20"/>
          <w:highlight w:val="yellow"/>
        </w:rPr>
        <w:t>labour</w:t>
      </w:r>
      <w:r>
        <w:rPr>
          <w:rFonts w:ascii="Arial" w:hAnsi="Arial" w:cs="Arial"/>
          <w:color w:val="000000"/>
          <w:sz w:val="20"/>
          <w:szCs w:val="20"/>
        </w:rPr>
        <w:t xml:space="preserve"> market. This interpretive stage moved the analysis beyond identifying similarities and differences to examining the implications of the competency framework for human capital development.</w:t>
      </w:r>
    </w:p>
    <w:p w14:paraId="5E60EB25" w14:textId="77777777" w:rsidR="00D2014E" w:rsidRDefault="00D2014E" w:rsidP="00D2014E"/>
    <w:p w14:paraId="4729C435" w14:textId="77777777" w:rsidR="00D2014E" w:rsidRPr="00D2014E" w:rsidRDefault="00D2014E" w:rsidP="00D2014E">
      <w:pPr>
        <w:pStyle w:val="Heading3"/>
        <w:spacing w:before="0"/>
        <w:rPr>
          <w:b/>
          <w:bCs/>
          <w:sz w:val="22"/>
          <w:szCs w:val="22"/>
        </w:rPr>
      </w:pPr>
      <w:r w:rsidRPr="00D2014E">
        <w:rPr>
          <w:rFonts w:ascii="Arial" w:hAnsi="Arial" w:cs="Arial"/>
          <w:b/>
          <w:bCs/>
          <w:color w:val="000000"/>
          <w:sz w:val="22"/>
          <w:szCs w:val="22"/>
        </w:rPr>
        <w:t>2.5 Trustworthiness</w:t>
      </w:r>
    </w:p>
    <w:p w14:paraId="2858EFF6" w14:textId="77777777" w:rsidR="00D2014E" w:rsidRDefault="00D2014E" w:rsidP="00D2014E"/>
    <w:p w14:paraId="76FA6783" w14:textId="77777777" w:rsidR="00D2014E" w:rsidRDefault="00D2014E" w:rsidP="00D2014E">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Trustworthiness was established through the use of authoritative, publicly accessible primary documents, transparent source selection, and preservation of the original terminology of both frameworks. The analysis maintained an evidence trail from each workforce skill to the corresponding CHED competency or outcome and based interpretive </w:t>
      </w:r>
      <w:r>
        <w:rPr>
          <w:rFonts w:ascii="Arial" w:hAnsi="Arial" w:cs="Arial"/>
          <w:color w:val="000000"/>
          <w:sz w:val="20"/>
          <w:szCs w:val="20"/>
          <w:highlight w:val="yellow"/>
        </w:rPr>
        <w:t>judgements</w:t>
      </w:r>
      <w:r>
        <w:rPr>
          <w:rFonts w:ascii="Arial" w:hAnsi="Arial" w:cs="Arial"/>
          <w:color w:val="000000"/>
          <w:sz w:val="20"/>
          <w:szCs w:val="20"/>
        </w:rPr>
        <w:t xml:space="preserve"> on the substantive meaning of the source statements rather than isolated keywords. The use of clearly defined documentary sources and a systematic analysis procedure enhanced the transparency and consistency of the analysis (Chand, 2025). Source-derived categories were retained throughout to </w:t>
      </w:r>
      <w:r>
        <w:rPr>
          <w:rFonts w:ascii="Arial" w:hAnsi="Arial" w:cs="Arial"/>
          <w:color w:val="000000"/>
          <w:sz w:val="20"/>
          <w:szCs w:val="20"/>
          <w:highlight w:val="yellow"/>
        </w:rPr>
        <w:t>minimise</w:t>
      </w:r>
      <w:r>
        <w:rPr>
          <w:rFonts w:ascii="Arial" w:hAnsi="Arial" w:cs="Arial"/>
          <w:color w:val="000000"/>
          <w:sz w:val="20"/>
          <w:szCs w:val="20"/>
        </w:rPr>
        <w:t xml:space="preserve"> the introduction of researcher-created competency categories.</w:t>
      </w:r>
    </w:p>
    <w:p w14:paraId="7F6200CD" w14:textId="77777777" w:rsidR="00432CC1" w:rsidRDefault="00432CC1" w:rsidP="00D2014E">
      <w:pPr>
        <w:pStyle w:val="NormalWeb"/>
        <w:spacing w:before="0" w:beforeAutospacing="0" w:after="0" w:afterAutospacing="0"/>
        <w:rPr>
          <w:rFonts w:ascii="Arial" w:hAnsi="Arial" w:cs="Arial"/>
          <w:color w:val="000000"/>
          <w:sz w:val="20"/>
          <w:szCs w:val="20"/>
        </w:rPr>
      </w:pPr>
    </w:p>
    <w:p w14:paraId="6DC5AE2F" w14:textId="77777777" w:rsidR="00432CC1" w:rsidRPr="00432CC1" w:rsidRDefault="00432CC1" w:rsidP="00432CC1">
      <w:pPr>
        <w:pStyle w:val="Heading3"/>
        <w:spacing w:before="0"/>
        <w:rPr>
          <w:b/>
          <w:bCs/>
          <w:sz w:val="22"/>
          <w:szCs w:val="22"/>
        </w:rPr>
      </w:pPr>
      <w:r w:rsidRPr="00432CC1">
        <w:rPr>
          <w:rFonts w:ascii="Arial" w:hAnsi="Arial" w:cs="Arial"/>
          <w:b/>
          <w:bCs/>
          <w:color w:val="000000"/>
          <w:sz w:val="22"/>
          <w:szCs w:val="22"/>
        </w:rPr>
        <w:t>2.6 Ethical Considerations</w:t>
      </w:r>
    </w:p>
    <w:p w14:paraId="53B828B3" w14:textId="77777777" w:rsidR="00432CC1" w:rsidRDefault="00432CC1" w:rsidP="00432CC1"/>
    <w:p w14:paraId="5AFE3CF5" w14:textId="77777777" w:rsidR="00D2014E" w:rsidRDefault="00432CC1" w:rsidP="00432CC1">
      <w:pPr>
        <w:pStyle w:val="NormalWeb"/>
        <w:spacing w:before="0" w:beforeAutospacing="0" w:after="0" w:afterAutospacing="0"/>
      </w:pPr>
      <w:r>
        <w:rPr>
          <w:rFonts w:ascii="Arial" w:hAnsi="Arial" w:cs="Arial"/>
          <w:color w:val="000000"/>
          <w:sz w:val="20"/>
          <w:szCs w:val="20"/>
        </w:rPr>
        <w:t>This study utilized only publicly accessible institutional and organizational documents, without the involvement of human participants, personal data, interviews, surveys, or any direct participant engagement. Ethical considerations were therefore centered on ensuring accurate representation, responsible interpretation, and proper attribution of all documentary sources. Documents from the World Economic Forum and CHED were analyzed using their original terminology and cited accordingly, with interpretations strictly grounded in the documented content. No confidential, restricted, or personally identifiable information was collected or examined.</w:t>
      </w:r>
    </w:p>
    <w:p w14:paraId="66756C5A" w14:textId="77777777" w:rsidR="00790ADA" w:rsidRPr="00FB3A86" w:rsidRDefault="00790ADA" w:rsidP="00441B6F">
      <w:pPr>
        <w:pStyle w:val="Body"/>
        <w:spacing w:after="0"/>
        <w:rPr>
          <w:rFonts w:ascii="Arial" w:hAnsi="Arial" w:cs="Arial"/>
        </w:rPr>
      </w:pPr>
    </w:p>
    <w:p w14:paraId="41CAA15F"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59D89D6" w14:textId="77777777" w:rsidR="00790ADA" w:rsidRPr="00FB3A86" w:rsidRDefault="00790ADA" w:rsidP="00441B6F">
      <w:pPr>
        <w:pStyle w:val="Head1"/>
        <w:spacing w:after="0"/>
        <w:jc w:val="both"/>
        <w:rPr>
          <w:rFonts w:ascii="Arial" w:hAnsi="Arial" w:cs="Arial"/>
        </w:rPr>
      </w:pPr>
    </w:p>
    <w:p w14:paraId="57BDA5CA" w14:textId="77777777" w:rsidR="00432CC1" w:rsidRPr="00432CC1" w:rsidRDefault="00432CC1" w:rsidP="00432CC1">
      <w:pPr>
        <w:pStyle w:val="Heading3"/>
        <w:spacing w:before="0"/>
        <w:rPr>
          <w:b/>
          <w:bCs/>
          <w:sz w:val="22"/>
          <w:szCs w:val="22"/>
        </w:rPr>
      </w:pPr>
      <w:r w:rsidRPr="00432CC1">
        <w:rPr>
          <w:rFonts w:ascii="Arial" w:hAnsi="Arial" w:cs="Arial"/>
          <w:b/>
          <w:bCs/>
          <w:color w:val="000000"/>
          <w:sz w:val="20"/>
          <w:szCs w:val="20"/>
        </w:rPr>
        <w:t>3</w:t>
      </w:r>
      <w:r w:rsidRPr="00432CC1">
        <w:rPr>
          <w:rFonts w:ascii="Arial" w:hAnsi="Arial" w:cs="Arial"/>
          <w:b/>
          <w:bCs/>
          <w:color w:val="000000"/>
          <w:sz w:val="22"/>
          <w:szCs w:val="22"/>
        </w:rPr>
        <w:t xml:space="preserve">.1 Workforce Skills Important in 2025 and Expected to Increase </w:t>
      </w:r>
      <w:r w:rsidRPr="00432CC1">
        <w:rPr>
          <w:rFonts w:ascii="Arial" w:hAnsi="Arial" w:cs="Arial"/>
          <w:b/>
          <w:bCs/>
          <w:color w:val="000000"/>
          <w:sz w:val="22"/>
          <w:szCs w:val="22"/>
          <w:highlight w:val="yellow"/>
        </w:rPr>
        <w:t>Towards</w:t>
      </w:r>
      <w:r w:rsidRPr="00432CC1">
        <w:rPr>
          <w:rFonts w:ascii="Arial" w:hAnsi="Arial" w:cs="Arial"/>
          <w:b/>
          <w:bCs/>
          <w:color w:val="000000"/>
          <w:sz w:val="22"/>
          <w:szCs w:val="22"/>
        </w:rPr>
        <w:t xml:space="preserve"> 2030</w:t>
      </w:r>
    </w:p>
    <w:p w14:paraId="218E286D" w14:textId="77777777" w:rsidR="00432CC1" w:rsidRPr="00432CC1" w:rsidRDefault="00432CC1" w:rsidP="00432CC1"/>
    <w:p w14:paraId="65B1A29B"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first research question addresses workforce skills identified as important in 2025 and those projected to increase in importance by 2030. The World Economic Forum (WEF, 2025) classifies 26 skills within its Global Skills Taxonomy, distinguishing between current importance and anticipated changes in use. This distinction clarifies that a skill's present significance does not automatically indicate its emergence as a future priority. The WEF framework thus enables analysis of both the current composition of workforce skills and the evolving direction of skill demand.</w:t>
      </w:r>
    </w:p>
    <w:p w14:paraId="6AB7F94F"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 xml:space="preserve">In 2025, the primary core skills are largely transferable human capabilities. Skills such as resilience, flexibility and agility, analytical thinking, leadership and social influence, creative thinking, motivation and self-awareness, technological literacy, empathy and active listening, curiosity and lifelong learning, talent management, and service orientation and customer service are identified as core. These findings suggest that contemporary workforce demand continues to </w:t>
      </w:r>
      <w:r w:rsidRPr="00432CC1">
        <w:rPr>
          <w:rFonts w:ascii="Arial" w:hAnsi="Arial" w:cs="Arial"/>
          <w:color w:val="000000"/>
          <w:sz w:val="20"/>
          <w:szCs w:val="20"/>
          <w:highlight w:val="yellow"/>
        </w:rPr>
        <w:t>prioritise</w:t>
      </w:r>
      <w:r w:rsidRPr="00432CC1">
        <w:rPr>
          <w:rFonts w:ascii="Arial" w:hAnsi="Arial" w:cs="Arial"/>
          <w:color w:val="000000"/>
          <w:sz w:val="20"/>
          <w:szCs w:val="20"/>
        </w:rPr>
        <w:t xml:space="preserve"> cognitive, interpersonal, managerial, and adaptive capabilities over technical skills alone (WEF, 2025). Recent research on graduate </w:t>
      </w:r>
      <w:r w:rsidRPr="00432CC1">
        <w:rPr>
          <w:rFonts w:ascii="Arial" w:hAnsi="Arial" w:cs="Arial"/>
          <w:color w:val="000000"/>
          <w:sz w:val="20"/>
          <w:szCs w:val="20"/>
          <w:highlight w:val="yellow"/>
        </w:rPr>
        <w:t>labour</w:t>
      </w:r>
      <w:r w:rsidRPr="00432CC1">
        <w:rPr>
          <w:rFonts w:ascii="Arial" w:hAnsi="Arial" w:cs="Arial"/>
          <w:color w:val="000000"/>
          <w:sz w:val="20"/>
          <w:szCs w:val="20"/>
        </w:rPr>
        <w:t xml:space="preserve"> markets also demonstrates that employers seek combinations of skills spanning disciplinary and functional boundaries (Kmiotek-Meier et al., 2024).</w:t>
      </w:r>
    </w:p>
    <w:p w14:paraId="2EE44635"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 xml:space="preserve">By 2030, workforce skill demand is expected to feature a more pronounced technological emphasis. Skills such as AI and big data, networks and cybersecurity, and technological literacy are among the fastest-growing, while creative thinking, resilience, flexibility and </w:t>
      </w:r>
      <w:r w:rsidRPr="00432CC1">
        <w:rPr>
          <w:rFonts w:ascii="Arial" w:hAnsi="Arial" w:cs="Arial"/>
          <w:color w:val="000000"/>
          <w:sz w:val="20"/>
          <w:szCs w:val="20"/>
        </w:rPr>
        <w:lastRenderedPageBreak/>
        <w:t xml:space="preserve">agility, analytical thinking, leadership and social influence, curiosity and lifelong learning, and talent management are also projected to increase in importance (WEF, 2025). The WEF thus </w:t>
      </w:r>
      <w:r w:rsidRPr="00432CC1">
        <w:rPr>
          <w:rFonts w:ascii="Arial" w:hAnsi="Arial" w:cs="Arial"/>
          <w:color w:val="000000"/>
          <w:sz w:val="20"/>
          <w:szCs w:val="20"/>
          <w:highlight w:val="yellow"/>
        </w:rPr>
        <w:t>characterises</w:t>
      </w:r>
      <w:r w:rsidRPr="00432CC1">
        <w:rPr>
          <w:rFonts w:ascii="Arial" w:hAnsi="Arial" w:cs="Arial"/>
          <w:color w:val="000000"/>
          <w:sz w:val="20"/>
          <w:szCs w:val="20"/>
        </w:rPr>
        <w:t xml:space="preserve"> workforce transformation as a combination of sustained demand for transferable human capabilities and rising demand for technology-related skills. This distinction is essential for evaluating educational responsiveness, as future skill requirements are not merely an extension of those needed in 2025.</w:t>
      </w:r>
    </w:p>
    <w:p w14:paraId="0666386C"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The WEF further reports that approximately 39% of workers' current skill sets are expected to be transformed or rendered obsolete between 2025 and 2030. As a result, employers identify reskilling and upskilling as critical responses to workforce transformation, while skills gaps persist as significant barriers to business transformation (WEF, 2025). This underscores the need to assess whether higher education equips graduates with both immediately productive and adaptable capabilities for ongoing skill development.</w:t>
      </w:r>
    </w:p>
    <w:p w14:paraId="1A8F408F" w14:textId="77777777" w:rsidR="00432CC1" w:rsidRPr="00543FD6" w:rsidRDefault="00432CC1" w:rsidP="00432CC1">
      <w:pPr>
        <w:pStyle w:val="NormalWeb"/>
        <w:spacing w:before="0" w:beforeAutospacing="0" w:after="0" w:afterAutospacing="0"/>
        <w:rPr>
          <w:rFonts w:ascii="Arial" w:hAnsi="Arial" w:cs="Arial"/>
          <w:sz w:val="20"/>
          <w:szCs w:val="20"/>
        </w:rPr>
      </w:pPr>
      <w:r w:rsidRPr="00432CC1">
        <w:rPr>
          <w:rFonts w:ascii="Arial" w:hAnsi="Arial" w:cs="Arial"/>
          <w:color w:val="000000"/>
          <w:sz w:val="20"/>
          <w:szCs w:val="20"/>
        </w:rPr>
        <w:t>Recent research corroborates this interpretation of the evolving skill environment. Akhtar et al. (2024) found that modern business education should integrate qualitative and quantitative capabilities with big data, analytical, programming, and information technology skills. Andonovikj</w:t>
      </w:r>
      <w:r w:rsidRPr="00432CC1">
        <w:rPr>
          <w:rFonts w:ascii="Arial" w:hAnsi="Arial" w:cs="Arial"/>
          <w:color w:val="000000"/>
          <w:sz w:val="20"/>
          <w:szCs w:val="20"/>
          <w:highlight w:val="yellow"/>
        </w:rPr>
        <w:t xml:space="preserve"> et al. (2024) demonstrated the evolution of labour-market competency requirements and assessed their alignment with university </w:t>
      </w:r>
      <w:r w:rsidRPr="00543FD6">
        <w:rPr>
          <w:rFonts w:ascii="Arial" w:hAnsi="Arial" w:cs="Arial"/>
          <w:color w:val="000000"/>
          <w:sz w:val="20"/>
          <w:szCs w:val="20"/>
        </w:rPr>
        <w:t xml:space="preserve">curricula. </w:t>
      </w:r>
      <w:r w:rsidR="00543FD6" w:rsidRPr="00543FD6">
        <w:rPr>
          <w:rFonts w:ascii="Arial" w:hAnsi="Arial" w:cs="Arial"/>
          <w:sz w:val="20"/>
          <w:szCs w:val="20"/>
        </w:rPr>
        <w:t xml:space="preserve">Boshkoska et al. (2024) further established that current and emerging skills can be discerned from </w:t>
      </w:r>
      <w:r w:rsidR="00543FD6" w:rsidRPr="00543FD6">
        <w:rPr>
          <w:rFonts w:ascii="Arial" w:hAnsi="Arial" w:cs="Arial"/>
          <w:sz w:val="20"/>
          <w:szCs w:val="20"/>
          <w:highlight w:val="yellow"/>
        </w:rPr>
        <w:t>labour</w:t>
      </w:r>
      <w:r w:rsidR="00543FD6" w:rsidRPr="00543FD6">
        <w:rPr>
          <w:rFonts w:ascii="Arial" w:hAnsi="Arial" w:cs="Arial"/>
          <w:sz w:val="20"/>
          <w:szCs w:val="20"/>
        </w:rPr>
        <w:t>-market evidence for business-related occupations.</w:t>
      </w:r>
    </w:p>
    <w:p w14:paraId="04AC5FB5" w14:textId="77777777" w:rsidR="00432CC1" w:rsidRPr="00432CC1" w:rsidRDefault="00432CC1" w:rsidP="00432CC1">
      <w:pPr>
        <w:pStyle w:val="NormalWeb"/>
        <w:spacing w:before="0" w:beforeAutospacing="0" w:after="0" w:afterAutospacing="0"/>
      </w:pPr>
      <w:r w:rsidRPr="00543FD6">
        <w:rPr>
          <w:rFonts w:ascii="Arial" w:hAnsi="Arial" w:cs="Arial"/>
          <w:color w:val="000000"/>
          <w:sz w:val="20"/>
          <w:szCs w:val="20"/>
        </w:rPr>
        <w:t xml:space="preserve">In summary, the findings for RQ1 reveal a dual workforce trajectory. The 2025 workforce continues to </w:t>
      </w:r>
      <w:r w:rsidRPr="00543FD6">
        <w:rPr>
          <w:rFonts w:ascii="Arial" w:hAnsi="Arial" w:cs="Arial"/>
          <w:color w:val="000000"/>
          <w:sz w:val="20"/>
          <w:szCs w:val="20"/>
          <w:highlight w:val="yellow"/>
        </w:rPr>
        <w:t>prioritise</w:t>
      </w:r>
      <w:r w:rsidRPr="00543FD6">
        <w:rPr>
          <w:rFonts w:ascii="Arial" w:hAnsi="Arial" w:cs="Arial"/>
          <w:color w:val="000000"/>
          <w:sz w:val="20"/>
          <w:szCs w:val="20"/>
        </w:rPr>
        <w:t xml:space="preserve"> analytical, creative, interpersonal, managerial, and adaptive capabilities, while the trajectory </w:t>
      </w:r>
      <w:r w:rsidRPr="00543FD6">
        <w:rPr>
          <w:rFonts w:ascii="Arial" w:hAnsi="Arial" w:cs="Arial"/>
          <w:color w:val="000000"/>
          <w:sz w:val="20"/>
          <w:szCs w:val="20"/>
          <w:highlight w:val="yellow"/>
        </w:rPr>
        <w:t>towards</w:t>
      </w:r>
      <w:r w:rsidRPr="00543FD6">
        <w:rPr>
          <w:rFonts w:ascii="Arial" w:hAnsi="Arial" w:cs="Arial"/>
          <w:color w:val="000000"/>
          <w:sz w:val="20"/>
          <w:szCs w:val="20"/>
        </w:rPr>
        <w:t xml:space="preserve"> 2030 places significantly greater emphasis on AI, big data, cybersecurity, and technological literacy. For higher education</w:t>
      </w:r>
      <w:r w:rsidRPr="00432CC1">
        <w:rPr>
          <w:rFonts w:ascii="Arial" w:hAnsi="Arial" w:cs="Arial"/>
          <w:color w:val="000000"/>
          <w:sz w:val="20"/>
          <w:szCs w:val="20"/>
        </w:rPr>
        <w:t>, the key implication is not to replace transferable human capabilities with technical skills, but to prepare graduates to integrate both skill sets.</w:t>
      </w:r>
    </w:p>
    <w:p w14:paraId="63E0473E" w14:textId="77777777" w:rsidR="00432CC1" w:rsidRPr="00432CC1" w:rsidRDefault="00432CC1" w:rsidP="00432CC1"/>
    <w:p w14:paraId="2E1A00F9" w14:textId="77777777" w:rsidR="00432CC1" w:rsidRPr="00432CC1" w:rsidRDefault="00432CC1" w:rsidP="00432CC1">
      <w:pPr>
        <w:pStyle w:val="Heading2"/>
        <w:spacing w:before="0"/>
        <w:rPr>
          <w:b/>
          <w:bCs/>
          <w:sz w:val="22"/>
          <w:szCs w:val="22"/>
        </w:rPr>
      </w:pPr>
      <w:r w:rsidRPr="00432CC1">
        <w:rPr>
          <w:rFonts w:ascii="Arial" w:hAnsi="Arial" w:cs="Arial"/>
          <w:b/>
          <w:bCs/>
          <w:color w:val="000000"/>
          <w:sz w:val="22"/>
          <w:szCs w:val="22"/>
        </w:rPr>
        <w:t>3.2 Correspondence Between CHED BSBA Competencies and Current and Emerging Workforce Skills</w:t>
      </w:r>
    </w:p>
    <w:p w14:paraId="36A41611" w14:textId="77777777" w:rsidR="00432CC1" w:rsidRPr="00432CC1" w:rsidRDefault="00432CC1" w:rsidP="00432CC1"/>
    <w:p w14:paraId="4FEF5A33"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 xml:space="preserve">The second research question investigates the extent to which competencies prescribed for BSBA </w:t>
      </w:r>
      <w:r w:rsidRPr="00432CC1">
        <w:rPr>
          <w:rFonts w:ascii="Arial" w:hAnsi="Arial" w:cs="Arial"/>
          <w:color w:val="000000"/>
          <w:sz w:val="20"/>
          <w:szCs w:val="20"/>
          <w:highlight w:val="yellow"/>
        </w:rPr>
        <w:t>programmes</w:t>
      </w:r>
      <w:r w:rsidRPr="00432CC1">
        <w:rPr>
          <w:rFonts w:ascii="Arial" w:hAnsi="Arial" w:cs="Arial"/>
          <w:color w:val="000000"/>
          <w:sz w:val="20"/>
          <w:szCs w:val="20"/>
        </w:rPr>
        <w:t xml:space="preserve"> </w:t>
      </w:r>
      <w:r w:rsidR="00600120">
        <w:rPr>
          <w:rFonts w:ascii="Arial" w:hAnsi="Arial" w:cs="Arial"/>
          <w:color w:val="000000"/>
          <w:sz w:val="20"/>
          <w:szCs w:val="20"/>
        </w:rPr>
        <w:t>correspond to</w:t>
      </w:r>
      <w:r w:rsidRPr="00432CC1">
        <w:rPr>
          <w:rFonts w:ascii="Arial" w:hAnsi="Arial" w:cs="Arial"/>
          <w:color w:val="000000"/>
          <w:sz w:val="20"/>
          <w:szCs w:val="20"/>
        </w:rPr>
        <w:t xml:space="preserve"> current and emerging workforce skills identified by the World Economic Forum (WEF). This comparison </w:t>
      </w:r>
      <w:r w:rsidRPr="00432CC1">
        <w:rPr>
          <w:rFonts w:ascii="Arial" w:hAnsi="Arial" w:cs="Arial"/>
          <w:color w:val="000000"/>
          <w:sz w:val="20"/>
          <w:szCs w:val="20"/>
          <w:highlight w:val="yellow"/>
        </w:rPr>
        <w:t>utilises</w:t>
      </w:r>
      <w:r w:rsidRPr="00432CC1">
        <w:rPr>
          <w:rFonts w:ascii="Arial" w:hAnsi="Arial" w:cs="Arial"/>
          <w:color w:val="000000"/>
          <w:sz w:val="20"/>
          <w:szCs w:val="20"/>
        </w:rPr>
        <w:t xml:space="preserve"> the competency and </w:t>
      </w:r>
      <w:r w:rsidRPr="00432CC1">
        <w:rPr>
          <w:rFonts w:ascii="Arial" w:hAnsi="Arial" w:cs="Arial"/>
          <w:color w:val="000000"/>
          <w:sz w:val="20"/>
          <w:szCs w:val="20"/>
          <w:highlight w:val="yellow"/>
        </w:rPr>
        <w:t>programme</w:t>
      </w:r>
      <w:r w:rsidRPr="00432CC1">
        <w:rPr>
          <w:rFonts w:ascii="Arial" w:hAnsi="Arial" w:cs="Arial"/>
          <w:color w:val="000000"/>
          <w:sz w:val="20"/>
          <w:szCs w:val="20"/>
        </w:rPr>
        <w:t>-outcome framework outlined in CHED Memorandum Order No. 17, s. 2017. The CMO defines minimum BSBA learning outcomes and grants higher education institutions flexibility to design curricula within an outcomes-based framework. Specified outcomes include effective communication, teamwork, professional and social responsibility, service orientation, decision-making, ICT application, stakeholder relations, management, strategic analysis, operational planning, innovation, strategic business-unit management, and business research (CHED, 2017).</w:t>
      </w:r>
    </w:p>
    <w:p w14:paraId="2C643011" w14:textId="77777777" w:rsidR="00432CC1" w:rsidRPr="00432CC1" w:rsidRDefault="00432CC1" w:rsidP="00432CC1">
      <w:pPr>
        <w:pStyle w:val="NormalWeb"/>
        <w:spacing w:before="0" w:beforeAutospacing="0" w:after="0" w:afterAutospacing="0"/>
      </w:pPr>
      <w:r w:rsidRPr="00432CC1">
        <w:rPr>
          <w:rFonts w:ascii="Arial" w:hAnsi="Arial" w:cs="Arial"/>
          <w:color w:val="000000"/>
          <w:sz w:val="20"/>
          <w:szCs w:val="20"/>
        </w:rPr>
        <w:t xml:space="preserve">The correspondence between CHED competencies and WEF workforce skills was </w:t>
      </w:r>
      <w:r w:rsidRPr="00432CC1">
        <w:rPr>
          <w:rFonts w:ascii="Arial" w:hAnsi="Arial" w:cs="Arial"/>
          <w:color w:val="000000"/>
          <w:sz w:val="20"/>
          <w:szCs w:val="20"/>
          <w:highlight w:val="yellow"/>
        </w:rPr>
        <w:t>categorised</w:t>
      </w:r>
      <w:r w:rsidRPr="00432CC1">
        <w:rPr>
          <w:rFonts w:ascii="Arial" w:hAnsi="Arial" w:cs="Arial"/>
          <w:color w:val="000000"/>
          <w:sz w:val="20"/>
          <w:szCs w:val="20"/>
        </w:rPr>
        <w:t xml:space="preserve"> into three distinct types.</w:t>
      </w:r>
    </w:p>
    <w:p w14:paraId="1A94D857"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 xml:space="preserve">Explicit </w:t>
      </w:r>
      <w:r w:rsidRPr="00432CC1">
        <w:rPr>
          <w:rFonts w:ascii="Arial" w:hAnsi="Arial" w:cs="Arial"/>
          <w:color w:val="000000"/>
          <w:sz w:val="20"/>
          <w:szCs w:val="20"/>
        </w:rPr>
        <w:t xml:space="preserve">correspondence indicates that a CHED competency or </w:t>
      </w:r>
      <w:r w:rsidRPr="00432CC1">
        <w:rPr>
          <w:rFonts w:ascii="Arial" w:hAnsi="Arial" w:cs="Arial"/>
          <w:color w:val="000000"/>
          <w:sz w:val="20"/>
          <w:szCs w:val="20"/>
          <w:highlight w:val="yellow"/>
        </w:rPr>
        <w:t>programme</w:t>
      </w:r>
      <w:r w:rsidRPr="00432CC1">
        <w:rPr>
          <w:rFonts w:ascii="Arial" w:hAnsi="Arial" w:cs="Arial"/>
          <w:color w:val="000000"/>
          <w:sz w:val="20"/>
          <w:szCs w:val="20"/>
        </w:rPr>
        <w:t xml:space="preserve"> outcome directly articulates the same or a substantially equivalent capability as the WEF skill.</w:t>
      </w:r>
    </w:p>
    <w:p w14:paraId="5B3C451D"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 xml:space="preserve">Broader </w:t>
      </w:r>
      <w:r w:rsidRPr="00432CC1">
        <w:rPr>
          <w:rFonts w:ascii="Arial" w:hAnsi="Arial" w:cs="Arial"/>
          <w:color w:val="000000"/>
          <w:sz w:val="20"/>
          <w:szCs w:val="20"/>
        </w:rPr>
        <w:t>correspondence refers to cases where a CHED competency addresses a more comprehensive capability that reasonably includes the WEF skill, even if the specific skill is not explicitly stated.</w:t>
      </w:r>
    </w:p>
    <w:p w14:paraId="32345CA0" w14:textId="77777777" w:rsidR="00432CC1" w:rsidRPr="00432CC1" w:rsidRDefault="00432CC1" w:rsidP="00432CC1">
      <w:pPr>
        <w:pStyle w:val="NormalWeb"/>
        <w:spacing w:before="0" w:beforeAutospacing="0" w:after="0" w:afterAutospacing="0"/>
      </w:pPr>
      <w:r w:rsidRPr="00432CC1">
        <w:rPr>
          <w:rFonts w:ascii="Arial" w:hAnsi="Arial" w:cs="Arial"/>
          <w:b/>
          <w:bCs/>
          <w:color w:val="000000"/>
          <w:sz w:val="20"/>
          <w:szCs w:val="20"/>
        </w:rPr>
        <w:t>Not explicit</w:t>
      </w:r>
      <w:r w:rsidRPr="00432CC1">
        <w:rPr>
          <w:rFonts w:ascii="Arial" w:hAnsi="Arial" w:cs="Arial"/>
          <w:color w:val="000000"/>
          <w:sz w:val="20"/>
          <w:szCs w:val="20"/>
        </w:rPr>
        <w:t xml:space="preserve"> denotes instances where no CHED competency or </w:t>
      </w:r>
      <w:r w:rsidRPr="00432CC1">
        <w:rPr>
          <w:rFonts w:ascii="Arial" w:hAnsi="Arial" w:cs="Arial"/>
          <w:color w:val="000000"/>
          <w:sz w:val="20"/>
          <w:szCs w:val="20"/>
          <w:highlight w:val="yellow"/>
        </w:rPr>
        <w:t>programme</w:t>
      </w:r>
      <w:r w:rsidRPr="00432CC1">
        <w:rPr>
          <w:rFonts w:ascii="Arial" w:hAnsi="Arial" w:cs="Arial"/>
          <w:color w:val="000000"/>
          <w:sz w:val="20"/>
          <w:szCs w:val="20"/>
        </w:rPr>
        <w:t xml:space="preserve"> outcome was identified that directly or sufficiently broadly represents the WEF skill.</w:t>
      </w:r>
    </w:p>
    <w:p w14:paraId="1DD23FF7" w14:textId="77777777" w:rsidR="00432CC1" w:rsidRDefault="00432CC1" w:rsidP="00432CC1">
      <w:pPr>
        <w:pStyle w:val="NormalWeb"/>
        <w:spacing w:before="0" w:beforeAutospacing="0" w:after="0" w:afterAutospacing="0"/>
        <w:rPr>
          <w:rFonts w:ascii="Arial" w:hAnsi="Arial" w:cs="Arial"/>
          <w:color w:val="000000"/>
          <w:sz w:val="20"/>
          <w:szCs w:val="20"/>
        </w:rPr>
      </w:pPr>
      <w:r w:rsidRPr="00432CC1">
        <w:rPr>
          <w:rFonts w:ascii="Arial" w:hAnsi="Arial" w:cs="Arial"/>
          <w:color w:val="000000"/>
          <w:sz w:val="20"/>
          <w:szCs w:val="20"/>
        </w:rPr>
        <w:t xml:space="preserve">These classifications </w:t>
      </w:r>
      <w:r w:rsidRPr="00432CC1">
        <w:rPr>
          <w:rFonts w:ascii="Arial" w:hAnsi="Arial" w:cs="Arial"/>
          <w:color w:val="000000"/>
          <w:sz w:val="20"/>
          <w:szCs w:val="20"/>
          <w:highlight w:val="yellow"/>
        </w:rPr>
        <w:t>characterise</w:t>
      </w:r>
      <w:r w:rsidRPr="00432CC1">
        <w:rPr>
          <w:rFonts w:ascii="Arial" w:hAnsi="Arial" w:cs="Arial"/>
          <w:color w:val="000000"/>
          <w:sz w:val="20"/>
          <w:szCs w:val="20"/>
        </w:rPr>
        <w:t xml:space="preserve"> the substantive relationship between the two documentary frameworks and do not constitute quantitative measures of curriculum alignment.</w:t>
      </w:r>
    </w:p>
    <w:p w14:paraId="25ECB867" w14:textId="77777777" w:rsidR="00432CC1" w:rsidRDefault="00432CC1" w:rsidP="00432CC1">
      <w:pPr>
        <w:pStyle w:val="NormalWeb"/>
        <w:spacing w:before="0" w:beforeAutospacing="0" w:after="0" w:afterAutospacing="0"/>
        <w:rPr>
          <w:rFonts w:ascii="Arial" w:hAnsi="Arial" w:cs="Arial"/>
          <w:color w:val="000000"/>
          <w:sz w:val="20"/>
          <w:szCs w:val="20"/>
        </w:rPr>
      </w:pPr>
    </w:p>
    <w:p w14:paraId="056B20D0" w14:textId="77777777" w:rsidR="00432CC1" w:rsidRPr="00432CC1" w:rsidRDefault="00432CC1" w:rsidP="00432CC1">
      <w:pPr>
        <w:pStyle w:val="NormalWeb"/>
        <w:spacing w:before="0" w:beforeAutospacing="0" w:after="0" w:afterAutospacing="0"/>
        <w:jc w:val="center"/>
      </w:pPr>
      <w:r>
        <w:rPr>
          <w:rFonts w:ascii="Arial" w:hAnsi="Arial" w:cs="Arial"/>
          <w:b/>
          <w:bCs/>
          <w:color w:val="000000"/>
          <w:sz w:val="20"/>
          <w:szCs w:val="20"/>
        </w:rPr>
        <w:t>Table 1. Correspondence Between WEF Workforce Skills and CHED BSBA Competencies</w:t>
      </w:r>
    </w:p>
    <w:p w14:paraId="79D6736C" w14:textId="77777777" w:rsidR="00432CC1" w:rsidRDefault="00432CC1" w:rsidP="00432CC1"/>
    <w:tbl>
      <w:tblPr>
        <w:tblW w:w="9090" w:type="dxa"/>
        <w:jc w:val="center"/>
        <w:tblCellMar>
          <w:top w:w="15" w:type="dxa"/>
          <w:left w:w="15" w:type="dxa"/>
          <w:bottom w:w="15" w:type="dxa"/>
          <w:right w:w="15" w:type="dxa"/>
        </w:tblCellMar>
        <w:tblLook w:val="04A0" w:firstRow="1" w:lastRow="0" w:firstColumn="1" w:lastColumn="0" w:noHBand="0" w:noVBand="1"/>
      </w:tblPr>
      <w:tblGrid>
        <w:gridCol w:w="2418"/>
        <w:gridCol w:w="4692"/>
        <w:gridCol w:w="1980"/>
      </w:tblGrid>
      <w:tr w:rsidR="00432CC1" w14:paraId="26B30F8F" w14:textId="77777777" w:rsidTr="00432CC1">
        <w:trPr>
          <w:trHeight w:val="209"/>
          <w:jc w:val="center"/>
        </w:trPr>
        <w:tc>
          <w:tcPr>
            <w:tcW w:w="2418" w:type="dxa"/>
            <w:tcBorders>
              <w:top w:val="single" w:sz="4" w:space="0" w:color="auto"/>
              <w:bottom w:val="single" w:sz="4" w:space="0" w:color="auto"/>
            </w:tcBorders>
            <w:tcMar>
              <w:top w:w="100" w:type="dxa"/>
              <w:left w:w="100" w:type="dxa"/>
              <w:bottom w:w="100" w:type="dxa"/>
              <w:right w:w="100" w:type="dxa"/>
            </w:tcMar>
            <w:hideMark/>
          </w:tcPr>
          <w:p w14:paraId="3316E85A" w14:textId="77777777" w:rsidR="00432CC1" w:rsidRDefault="00432CC1">
            <w:pPr>
              <w:pStyle w:val="NormalWeb"/>
              <w:spacing w:before="0" w:beforeAutospacing="0" w:after="0" w:afterAutospacing="0"/>
            </w:pPr>
            <w:r>
              <w:rPr>
                <w:rFonts w:ascii="Arial" w:hAnsi="Arial" w:cs="Arial"/>
                <w:b/>
                <w:bCs/>
                <w:color w:val="000000"/>
                <w:sz w:val="20"/>
                <w:szCs w:val="20"/>
              </w:rPr>
              <w:t>WEF workforce skill</w:t>
            </w:r>
          </w:p>
        </w:tc>
        <w:tc>
          <w:tcPr>
            <w:tcW w:w="4692" w:type="dxa"/>
            <w:tcBorders>
              <w:top w:val="single" w:sz="4" w:space="0" w:color="auto"/>
              <w:bottom w:val="single" w:sz="4" w:space="0" w:color="auto"/>
            </w:tcBorders>
            <w:tcMar>
              <w:top w:w="100" w:type="dxa"/>
              <w:left w:w="100" w:type="dxa"/>
              <w:bottom w:w="100" w:type="dxa"/>
              <w:right w:w="100" w:type="dxa"/>
            </w:tcMar>
            <w:hideMark/>
          </w:tcPr>
          <w:p w14:paraId="10DC90C0" w14:textId="77777777" w:rsidR="00432CC1" w:rsidRDefault="00432CC1">
            <w:pPr>
              <w:pStyle w:val="NormalWeb"/>
              <w:spacing w:before="0" w:beforeAutospacing="0" w:after="0" w:afterAutospacing="0"/>
            </w:pPr>
            <w:r>
              <w:rPr>
                <w:rFonts w:ascii="Arial" w:hAnsi="Arial" w:cs="Arial"/>
                <w:b/>
                <w:bCs/>
                <w:color w:val="000000"/>
                <w:sz w:val="20"/>
                <w:szCs w:val="20"/>
              </w:rPr>
              <w:t>Corresponding CHED BSBA competency/program outcome</w:t>
            </w:r>
          </w:p>
        </w:tc>
        <w:tc>
          <w:tcPr>
            <w:tcW w:w="1980" w:type="dxa"/>
            <w:tcBorders>
              <w:top w:val="single" w:sz="4" w:space="0" w:color="auto"/>
              <w:bottom w:val="single" w:sz="4" w:space="0" w:color="auto"/>
            </w:tcBorders>
            <w:tcMar>
              <w:top w:w="100" w:type="dxa"/>
              <w:left w:w="100" w:type="dxa"/>
              <w:bottom w:w="100" w:type="dxa"/>
              <w:right w:w="100" w:type="dxa"/>
            </w:tcMar>
            <w:hideMark/>
          </w:tcPr>
          <w:p w14:paraId="78A9D73C" w14:textId="77777777" w:rsidR="00432CC1" w:rsidRDefault="00432CC1">
            <w:pPr>
              <w:pStyle w:val="NormalWeb"/>
              <w:spacing w:before="0" w:beforeAutospacing="0" w:after="0" w:afterAutospacing="0"/>
            </w:pPr>
            <w:r>
              <w:rPr>
                <w:rFonts w:ascii="Arial" w:hAnsi="Arial" w:cs="Arial"/>
                <w:b/>
                <w:bCs/>
                <w:color w:val="000000"/>
                <w:sz w:val="20"/>
                <w:szCs w:val="20"/>
              </w:rPr>
              <w:t>Correspondence</w:t>
            </w:r>
          </w:p>
        </w:tc>
      </w:tr>
      <w:tr w:rsidR="00432CC1" w14:paraId="27BD0769" w14:textId="77777777" w:rsidTr="00432CC1">
        <w:trPr>
          <w:trHeight w:val="529"/>
          <w:jc w:val="center"/>
        </w:trPr>
        <w:tc>
          <w:tcPr>
            <w:tcW w:w="2418" w:type="dxa"/>
            <w:tcBorders>
              <w:top w:val="single" w:sz="4" w:space="0" w:color="auto"/>
            </w:tcBorders>
            <w:tcMar>
              <w:top w:w="100" w:type="dxa"/>
              <w:left w:w="100" w:type="dxa"/>
              <w:bottom w:w="100" w:type="dxa"/>
              <w:right w:w="100" w:type="dxa"/>
            </w:tcMar>
            <w:hideMark/>
          </w:tcPr>
          <w:p w14:paraId="3E68B70B" w14:textId="77777777" w:rsidR="00432CC1" w:rsidRDefault="00432CC1">
            <w:pPr>
              <w:pStyle w:val="NormalWeb"/>
              <w:spacing w:before="0" w:beforeAutospacing="0" w:after="0" w:afterAutospacing="0"/>
            </w:pPr>
            <w:r>
              <w:rPr>
                <w:rFonts w:ascii="Arial" w:hAnsi="Arial" w:cs="Arial"/>
                <w:color w:val="000000"/>
                <w:sz w:val="20"/>
                <w:szCs w:val="20"/>
              </w:rPr>
              <w:t>Analytical thinking</w:t>
            </w:r>
          </w:p>
        </w:tc>
        <w:tc>
          <w:tcPr>
            <w:tcW w:w="4692" w:type="dxa"/>
            <w:tcBorders>
              <w:top w:val="single" w:sz="4" w:space="0" w:color="auto"/>
            </w:tcBorders>
            <w:tcMar>
              <w:top w:w="100" w:type="dxa"/>
              <w:left w:w="100" w:type="dxa"/>
              <w:bottom w:w="100" w:type="dxa"/>
              <w:right w:w="100" w:type="dxa"/>
            </w:tcMar>
            <w:hideMark/>
          </w:tcPr>
          <w:p w14:paraId="5242EF85" w14:textId="77777777" w:rsidR="00432CC1" w:rsidRDefault="00432CC1">
            <w:pPr>
              <w:pStyle w:val="NormalWeb"/>
              <w:spacing w:before="0" w:beforeAutospacing="0" w:after="0" w:afterAutospacing="0"/>
            </w:pPr>
            <w:r>
              <w:rPr>
                <w:rFonts w:ascii="Arial" w:hAnsi="Arial" w:cs="Arial"/>
                <w:color w:val="000000"/>
                <w:sz w:val="20"/>
                <w:szCs w:val="20"/>
              </w:rPr>
              <w:t>Select decision tools to critically and analytically solve problems; analyze the business environment; conduct business research</w:t>
            </w:r>
          </w:p>
        </w:tc>
        <w:tc>
          <w:tcPr>
            <w:tcW w:w="1980" w:type="dxa"/>
            <w:tcBorders>
              <w:top w:val="single" w:sz="4" w:space="0" w:color="auto"/>
            </w:tcBorders>
            <w:tcMar>
              <w:top w:w="100" w:type="dxa"/>
              <w:left w:w="100" w:type="dxa"/>
              <w:bottom w:w="100" w:type="dxa"/>
              <w:right w:w="100" w:type="dxa"/>
            </w:tcMar>
            <w:hideMark/>
          </w:tcPr>
          <w:p w14:paraId="6CEBA8F1"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66B4B039" w14:textId="77777777" w:rsidTr="00432CC1">
        <w:trPr>
          <w:trHeight w:val="440"/>
          <w:jc w:val="center"/>
        </w:trPr>
        <w:tc>
          <w:tcPr>
            <w:tcW w:w="2418" w:type="dxa"/>
            <w:tcMar>
              <w:top w:w="100" w:type="dxa"/>
              <w:left w:w="100" w:type="dxa"/>
              <w:bottom w:w="100" w:type="dxa"/>
              <w:right w:w="100" w:type="dxa"/>
            </w:tcMar>
            <w:hideMark/>
          </w:tcPr>
          <w:p w14:paraId="19D20351" w14:textId="77777777" w:rsidR="00432CC1" w:rsidRDefault="00432CC1">
            <w:pPr>
              <w:pStyle w:val="NormalWeb"/>
              <w:spacing w:before="0" w:beforeAutospacing="0" w:after="0" w:afterAutospacing="0"/>
            </w:pPr>
            <w:r>
              <w:rPr>
                <w:rFonts w:ascii="Arial" w:hAnsi="Arial" w:cs="Arial"/>
                <w:color w:val="000000"/>
                <w:sz w:val="20"/>
                <w:szCs w:val="20"/>
              </w:rPr>
              <w:t>Resilience, flexibility and agility</w:t>
            </w:r>
          </w:p>
        </w:tc>
        <w:tc>
          <w:tcPr>
            <w:tcW w:w="4692" w:type="dxa"/>
            <w:tcMar>
              <w:top w:w="100" w:type="dxa"/>
              <w:left w:w="100" w:type="dxa"/>
              <w:bottom w:w="100" w:type="dxa"/>
              <w:right w:w="100" w:type="dxa"/>
            </w:tcMar>
            <w:hideMark/>
          </w:tcPr>
          <w:p w14:paraId="28D5E86F" w14:textId="77777777" w:rsidR="00432CC1" w:rsidRDefault="00432CC1">
            <w:pPr>
              <w:pStyle w:val="NormalWeb"/>
              <w:spacing w:before="0" w:beforeAutospacing="0" w:after="0" w:afterAutospacing="0"/>
            </w:pPr>
            <w:r>
              <w:rPr>
                <w:rFonts w:ascii="Arial" w:hAnsi="Arial" w:cs="Arial"/>
                <w:color w:val="000000"/>
                <w:sz w:val="20"/>
                <w:szCs w:val="20"/>
              </w:rPr>
              <w:t>Innovate business ideas based on emerging industry; manage a strategic business unit</w:t>
            </w:r>
          </w:p>
        </w:tc>
        <w:tc>
          <w:tcPr>
            <w:tcW w:w="1980" w:type="dxa"/>
            <w:tcMar>
              <w:top w:w="100" w:type="dxa"/>
              <w:left w:w="100" w:type="dxa"/>
              <w:bottom w:w="100" w:type="dxa"/>
              <w:right w:w="100" w:type="dxa"/>
            </w:tcMar>
            <w:hideMark/>
          </w:tcPr>
          <w:p w14:paraId="3142B208"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0E1B289B" w14:textId="77777777" w:rsidTr="00432CC1">
        <w:trPr>
          <w:trHeight w:val="107"/>
          <w:jc w:val="center"/>
        </w:trPr>
        <w:tc>
          <w:tcPr>
            <w:tcW w:w="2418" w:type="dxa"/>
            <w:tcMar>
              <w:top w:w="100" w:type="dxa"/>
              <w:left w:w="100" w:type="dxa"/>
              <w:bottom w:w="100" w:type="dxa"/>
              <w:right w:w="100" w:type="dxa"/>
            </w:tcMar>
            <w:hideMark/>
          </w:tcPr>
          <w:p w14:paraId="3CD97A4F" w14:textId="77777777" w:rsidR="00432CC1" w:rsidRDefault="00432CC1">
            <w:pPr>
              <w:pStyle w:val="NormalWeb"/>
              <w:spacing w:before="0" w:beforeAutospacing="0" w:after="0" w:afterAutospacing="0"/>
            </w:pPr>
            <w:r>
              <w:rPr>
                <w:rFonts w:ascii="Arial" w:hAnsi="Arial" w:cs="Arial"/>
                <w:color w:val="000000"/>
                <w:sz w:val="20"/>
                <w:szCs w:val="20"/>
              </w:rPr>
              <w:t>Leadership and social influence</w:t>
            </w:r>
          </w:p>
        </w:tc>
        <w:tc>
          <w:tcPr>
            <w:tcW w:w="4692" w:type="dxa"/>
            <w:tcMar>
              <w:top w:w="100" w:type="dxa"/>
              <w:left w:w="100" w:type="dxa"/>
              <w:bottom w:w="100" w:type="dxa"/>
              <w:right w:w="100" w:type="dxa"/>
            </w:tcMar>
            <w:hideMark/>
          </w:tcPr>
          <w:p w14:paraId="7E360F59" w14:textId="77777777" w:rsidR="00432CC1" w:rsidRDefault="00432CC1">
            <w:pPr>
              <w:pStyle w:val="NormalWeb"/>
              <w:spacing w:before="0" w:beforeAutospacing="0" w:after="0" w:afterAutospacing="0"/>
            </w:pPr>
            <w:r>
              <w:rPr>
                <w:rFonts w:ascii="Arial" w:hAnsi="Arial" w:cs="Arial"/>
                <w:color w:val="000000"/>
                <w:sz w:val="20"/>
                <w:szCs w:val="20"/>
              </w:rPr>
              <w:t>Perform management functions; work with stakeholders; manage a strategic business unit</w:t>
            </w:r>
          </w:p>
        </w:tc>
        <w:tc>
          <w:tcPr>
            <w:tcW w:w="1980" w:type="dxa"/>
            <w:tcMar>
              <w:top w:w="100" w:type="dxa"/>
              <w:left w:w="100" w:type="dxa"/>
              <w:bottom w:w="100" w:type="dxa"/>
              <w:right w:w="100" w:type="dxa"/>
            </w:tcMar>
            <w:hideMark/>
          </w:tcPr>
          <w:p w14:paraId="7AF7C3B0" w14:textId="77777777" w:rsidR="00432CC1" w:rsidRDefault="00432CC1">
            <w:pPr>
              <w:pStyle w:val="NormalWeb"/>
              <w:spacing w:before="0" w:beforeAutospacing="0" w:after="0" w:afterAutospacing="0"/>
            </w:pPr>
            <w:r>
              <w:rPr>
                <w:rFonts w:ascii="Arial" w:hAnsi="Arial" w:cs="Arial"/>
                <w:color w:val="000000"/>
                <w:sz w:val="20"/>
                <w:szCs w:val="20"/>
              </w:rPr>
              <w:t>Explicit/Broader</w:t>
            </w:r>
          </w:p>
        </w:tc>
      </w:tr>
      <w:tr w:rsidR="00432CC1" w14:paraId="6BA4E9B4" w14:textId="77777777" w:rsidTr="00432CC1">
        <w:trPr>
          <w:trHeight w:val="170"/>
          <w:jc w:val="center"/>
        </w:trPr>
        <w:tc>
          <w:tcPr>
            <w:tcW w:w="2418" w:type="dxa"/>
            <w:tcMar>
              <w:top w:w="100" w:type="dxa"/>
              <w:left w:w="100" w:type="dxa"/>
              <w:bottom w:w="100" w:type="dxa"/>
              <w:right w:w="100" w:type="dxa"/>
            </w:tcMar>
            <w:hideMark/>
          </w:tcPr>
          <w:p w14:paraId="42F18AEA" w14:textId="77777777" w:rsidR="00432CC1" w:rsidRDefault="00432CC1">
            <w:pPr>
              <w:pStyle w:val="NormalWeb"/>
              <w:spacing w:before="0" w:beforeAutospacing="0" w:after="0" w:afterAutospacing="0"/>
            </w:pPr>
            <w:r>
              <w:rPr>
                <w:rFonts w:ascii="Arial" w:hAnsi="Arial" w:cs="Arial"/>
                <w:color w:val="000000"/>
                <w:sz w:val="20"/>
                <w:szCs w:val="20"/>
              </w:rPr>
              <w:t>Creative thinking</w:t>
            </w:r>
          </w:p>
        </w:tc>
        <w:tc>
          <w:tcPr>
            <w:tcW w:w="4692" w:type="dxa"/>
            <w:tcMar>
              <w:top w:w="100" w:type="dxa"/>
              <w:left w:w="100" w:type="dxa"/>
              <w:bottom w:w="100" w:type="dxa"/>
              <w:right w:w="100" w:type="dxa"/>
            </w:tcMar>
            <w:hideMark/>
          </w:tcPr>
          <w:p w14:paraId="476B0D39" w14:textId="77777777" w:rsidR="00432CC1" w:rsidRDefault="00432CC1">
            <w:pPr>
              <w:pStyle w:val="NormalWeb"/>
              <w:spacing w:before="0" w:beforeAutospacing="0" w:after="0" w:afterAutospacing="0"/>
            </w:pPr>
            <w:r>
              <w:rPr>
                <w:rFonts w:ascii="Arial" w:hAnsi="Arial" w:cs="Arial"/>
                <w:color w:val="000000"/>
                <w:sz w:val="20"/>
                <w:szCs w:val="20"/>
              </w:rPr>
              <w:t>Select decision tools to solve problems critically, analytically, and creatively; innovate business ideas</w:t>
            </w:r>
          </w:p>
        </w:tc>
        <w:tc>
          <w:tcPr>
            <w:tcW w:w="1980" w:type="dxa"/>
            <w:tcMar>
              <w:top w:w="100" w:type="dxa"/>
              <w:left w:w="100" w:type="dxa"/>
              <w:bottom w:w="100" w:type="dxa"/>
              <w:right w:w="100" w:type="dxa"/>
            </w:tcMar>
            <w:hideMark/>
          </w:tcPr>
          <w:p w14:paraId="70E711DB"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14BB6483" w14:textId="77777777" w:rsidTr="00432CC1">
        <w:trPr>
          <w:trHeight w:val="188"/>
          <w:jc w:val="center"/>
        </w:trPr>
        <w:tc>
          <w:tcPr>
            <w:tcW w:w="2418" w:type="dxa"/>
            <w:tcMar>
              <w:top w:w="100" w:type="dxa"/>
              <w:left w:w="100" w:type="dxa"/>
              <w:bottom w:w="100" w:type="dxa"/>
              <w:right w:w="100" w:type="dxa"/>
            </w:tcMar>
            <w:hideMark/>
          </w:tcPr>
          <w:p w14:paraId="30A69501" w14:textId="77777777" w:rsidR="00432CC1" w:rsidRDefault="00432CC1">
            <w:pPr>
              <w:pStyle w:val="NormalWeb"/>
              <w:spacing w:before="0" w:beforeAutospacing="0" w:after="0" w:afterAutospacing="0"/>
            </w:pPr>
            <w:r>
              <w:rPr>
                <w:rFonts w:ascii="Arial" w:hAnsi="Arial" w:cs="Arial"/>
                <w:color w:val="000000"/>
                <w:sz w:val="20"/>
                <w:szCs w:val="20"/>
              </w:rPr>
              <w:t>Motivation and self-awareness</w:t>
            </w:r>
          </w:p>
        </w:tc>
        <w:tc>
          <w:tcPr>
            <w:tcW w:w="4692" w:type="dxa"/>
            <w:tcMar>
              <w:top w:w="100" w:type="dxa"/>
              <w:left w:w="100" w:type="dxa"/>
              <w:bottom w:w="100" w:type="dxa"/>
              <w:right w:w="100" w:type="dxa"/>
            </w:tcMar>
            <w:hideMark/>
          </w:tcPr>
          <w:p w14:paraId="01AF0F86"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33F33816"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4E544FF0" w14:textId="77777777" w:rsidTr="00432CC1">
        <w:trPr>
          <w:trHeight w:val="23"/>
          <w:jc w:val="center"/>
        </w:trPr>
        <w:tc>
          <w:tcPr>
            <w:tcW w:w="2418" w:type="dxa"/>
            <w:tcMar>
              <w:top w:w="100" w:type="dxa"/>
              <w:left w:w="100" w:type="dxa"/>
              <w:bottom w:w="100" w:type="dxa"/>
              <w:right w:w="100" w:type="dxa"/>
            </w:tcMar>
            <w:hideMark/>
          </w:tcPr>
          <w:p w14:paraId="740BA8C3" w14:textId="77777777" w:rsidR="00432CC1" w:rsidRDefault="00432CC1">
            <w:pPr>
              <w:pStyle w:val="NormalWeb"/>
              <w:spacing w:before="0" w:beforeAutospacing="0" w:after="0" w:afterAutospacing="0"/>
            </w:pPr>
            <w:r>
              <w:rPr>
                <w:rFonts w:ascii="Arial" w:hAnsi="Arial" w:cs="Arial"/>
                <w:color w:val="000000"/>
                <w:sz w:val="20"/>
                <w:szCs w:val="20"/>
              </w:rPr>
              <w:t>Technological literacy</w:t>
            </w:r>
          </w:p>
        </w:tc>
        <w:tc>
          <w:tcPr>
            <w:tcW w:w="4692" w:type="dxa"/>
            <w:tcMar>
              <w:top w:w="100" w:type="dxa"/>
              <w:left w:w="100" w:type="dxa"/>
              <w:bottom w:w="100" w:type="dxa"/>
              <w:right w:w="100" w:type="dxa"/>
            </w:tcMar>
            <w:hideMark/>
          </w:tcPr>
          <w:p w14:paraId="7E56435D" w14:textId="77777777" w:rsidR="00432CC1" w:rsidRDefault="00432CC1">
            <w:pPr>
              <w:pStyle w:val="NormalWeb"/>
              <w:spacing w:before="0" w:beforeAutospacing="0" w:after="0" w:afterAutospacing="0"/>
            </w:pPr>
            <w:r>
              <w:rPr>
                <w:rFonts w:ascii="Arial" w:hAnsi="Arial" w:cs="Arial"/>
                <w:color w:val="000000"/>
                <w:sz w:val="20"/>
                <w:szCs w:val="20"/>
              </w:rPr>
              <w:t>Apply ICT effectively and efficiently</w:t>
            </w:r>
          </w:p>
        </w:tc>
        <w:tc>
          <w:tcPr>
            <w:tcW w:w="1980" w:type="dxa"/>
            <w:tcMar>
              <w:top w:w="100" w:type="dxa"/>
              <w:left w:w="100" w:type="dxa"/>
              <w:bottom w:w="100" w:type="dxa"/>
              <w:right w:w="100" w:type="dxa"/>
            </w:tcMar>
            <w:hideMark/>
          </w:tcPr>
          <w:p w14:paraId="4E6330CF"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24BFF44B" w14:textId="77777777" w:rsidTr="00432CC1">
        <w:trPr>
          <w:trHeight w:val="23"/>
          <w:jc w:val="center"/>
        </w:trPr>
        <w:tc>
          <w:tcPr>
            <w:tcW w:w="2418" w:type="dxa"/>
            <w:tcMar>
              <w:top w:w="100" w:type="dxa"/>
              <w:left w:w="100" w:type="dxa"/>
              <w:bottom w:w="100" w:type="dxa"/>
              <w:right w:w="100" w:type="dxa"/>
            </w:tcMar>
            <w:hideMark/>
          </w:tcPr>
          <w:p w14:paraId="138B82C1" w14:textId="77777777" w:rsidR="00432CC1" w:rsidRDefault="00432CC1">
            <w:pPr>
              <w:pStyle w:val="NormalWeb"/>
              <w:spacing w:before="0" w:beforeAutospacing="0" w:after="0" w:afterAutospacing="0"/>
            </w:pPr>
            <w:r>
              <w:rPr>
                <w:rFonts w:ascii="Arial" w:hAnsi="Arial" w:cs="Arial"/>
                <w:color w:val="000000"/>
                <w:sz w:val="20"/>
                <w:szCs w:val="20"/>
              </w:rPr>
              <w:t>Empathy and active listening</w:t>
            </w:r>
          </w:p>
        </w:tc>
        <w:tc>
          <w:tcPr>
            <w:tcW w:w="4692" w:type="dxa"/>
            <w:tcMar>
              <w:top w:w="100" w:type="dxa"/>
              <w:left w:w="100" w:type="dxa"/>
              <w:bottom w:w="100" w:type="dxa"/>
              <w:right w:w="100" w:type="dxa"/>
            </w:tcMar>
            <w:hideMark/>
          </w:tcPr>
          <w:p w14:paraId="6A23F469" w14:textId="77777777" w:rsidR="00432CC1" w:rsidRDefault="00432CC1">
            <w:pPr>
              <w:pStyle w:val="NormalWeb"/>
              <w:spacing w:before="0" w:beforeAutospacing="0" w:after="0" w:afterAutospacing="0"/>
            </w:pPr>
            <w:r>
              <w:rPr>
                <w:rFonts w:ascii="Arial" w:hAnsi="Arial" w:cs="Arial"/>
                <w:color w:val="000000"/>
                <w:sz w:val="20"/>
                <w:szCs w:val="20"/>
              </w:rPr>
              <w:t>Work effectively with stakeholders and manage conflict</w:t>
            </w:r>
          </w:p>
        </w:tc>
        <w:tc>
          <w:tcPr>
            <w:tcW w:w="1980" w:type="dxa"/>
            <w:tcMar>
              <w:top w:w="100" w:type="dxa"/>
              <w:left w:w="100" w:type="dxa"/>
              <w:bottom w:w="100" w:type="dxa"/>
              <w:right w:w="100" w:type="dxa"/>
            </w:tcMar>
            <w:hideMark/>
          </w:tcPr>
          <w:p w14:paraId="0064593C"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5D67FA2A" w14:textId="77777777" w:rsidTr="00432CC1">
        <w:trPr>
          <w:trHeight w:val="23"/>
          <w:jc w:val="center"/>
        </w:trPr>
        <w:tc>
          <w:tcPr>
            <w:tcW w:w="2418" w:type="dxa"/>
            <w:tcMar>
              <w:top w:w="100" w:type="dxa"/>
              <w:left w:w="100" w:type="dxa"/>
              <w:bottom w:w="100" w:type="dxa"/>
              <w:right w:w="100" w:type="dxa"/>
            </w:tcMar>
            <w:hideMark/>
          </w:tcPr>
          <w:p w14:paraId="730B9C23" w14:textId="77777777" w:rsidR="00432CC1" w:rsidRDefault="00432CC1">
            <w:pPr>
              <w:pStyle w:val="NormalWeb"/>
              <w:spacing w:before="0" w:beforeAutospacing="0" w:after="0" w:afterAutospacing="0"/>
            </w:pPr>
            <w:r>
              <w:rPr>
                <w:rFonts w:ascii="Arial" w:hAnsi="Arial" w:cs="Arial"/>
                <w:color w:val="000000"/>
                <w:sz w:val="20"/>
                <w:szCs w:val="20"/>
              </w:rPr>
              <w:t>Curiosity and lifelong learning</w:t>
            </w:r>
          </w:p>
        </w:tc>
        <w:tc>
          <w:tcPr>
            <w:tcW w:w="4692" w:type="dxa"/>
            <w:tcMar>
              <w:top w:w="100" w:type="dxa"/>
              <w:left w:w="100" w:type="dxa"/>
              <w:bottom w:w="100" w:type="dxa"/>
              <w:right w:w="100" w:type="dxa"/>
            </w:tcMar>
            <w:hideMark/>
          </w:tcPr>
          <w:p w14:paraId="1F71F077" w14:textId="77777777" w:rsidR="00432CC1" w:rsidRDefault="00432CC1">
            <w:pPr>
              <w:pStyle w:val="NormalWeb"/>
              <w:spacing w:before="0" w:beforeAutospacing="0" w:after="0" w:afterAutospacing="0"/>
            </w:pPr>
            <w:r>
              <w:rPr>
                <w:rFonts w:ascii="Arial" w:hAnsi="Arial" w:cs="Arial"/>
                <w:color w:val="000000"/>
                <w:sz w:val="20"/>
                <w:szCs w:val="20"/>
              </w:rPr>
              <w:t>Articulate developments in the field; conduct research and pursue professional development</w:t>
            </w:r>
          </w:p>
        </w:tc>
        <w:tc>
          <w:tcPr>
            <w:tcW w:w="1980" w:type="dxa"/>
            <w:tcMar>
              <w:top w:w="100" w:type="dxa"/>
              <w:left w:w="100" w:type="dxa"/>
              <w:bottom w:w="100" w:type="dxa"/>
              <w:right w:w="100" w:type="dxa"/>
            </w:tcMar>
            <w:hideMark/>
          </w:tcPr>
          <w:p w14:paraId="7122C18C"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79547745" w14:textId="77777777" w:rsidTr="00432CC1">
        <w:trPr>
          <w:trHeight w:val="23"/>
          <w:jc w:val="center"/>
        </w:trPr>
        <w:tc>
          <w:tcPr>
            <w:tcW w:w="2418" w:type="dxa"/>
            <w:tcMar>
              <w:top w:w="100" w:type="dxa"/>
              <w:left w:w="100" w:type="dxa"/>
              <w:bottom w:w="100" w:type="dxa"/>
              <w:right w:w="100" w:type="dxa"/>
            </w:tcMar>
            <w:hideMark/>
          </w:tcPr>
          <w:p w14:paraId="78F50315" w14:textId="77777777" w:rsidR="00432CC1" w:rsidRDefault="00432CC1">
            <w:pPr>
              <w:pStyle w:val="NormalWeb"/>
              <w:spacing w:before="0" w:beforeAutospacing="0" w:after="0" w:afterAutospacing="0"/>
            </w:pPr>
            <w:r>
              <w:rPr>
                <w:rFonts w:ascii="Arial" w:hAnsi="Arial" w:cs="Arial"/>
                <w:color w:val="000000"/>
                <w:sz w:val="20"/>
                <w:szCs w:val="20"/>
              </w:rPr>
              <w:t>Talent management</w:t>
            </w:r>
          </w:p>
        </w:tc>
        <w:tc>
          <w:tcPr>
            <w:tcW w:w="4692" w:type="dxa"/>
            <w:tcMar>
              <w:top w:w="100" w:type="dxa"/>
              <w:left w:w="100" w:type="dxa"/>
              <w:bottom w:w="100" w:type="dxa"/>
              <w:right w:w="100" w:type="dxa"/>
            </w:tcMar>
            <w:hideMark/>
          </w:tcPr>
          <w:p w14:paraId="6A84370F" w14:textId="77777777" w:rsidR="00432CC1" w:rsidRDefault="00432CC1">
            <w:pPr>
              <w:pStyle w:val="NormalWeb"/>
              <w:spacing w:before="0" w:beforeAutospacing="0" w:after="0" w:afterAutospacing="0"/>
            </w:pPr>
            <w:r>
              <w:rPr>
                <w:rFonts w:ascii="Arial" w:hAnsi="Arial" w:cs="Arial"/>
                <w:color w:val="000000"/>
                <w:sz w:val="20"/>
                <w:szCs w:val="20"/>
              </w:rPr>
              <w:t>Management functions including staffing; human-resource-related competencies</w:t>
            </w:r>
          </w:p>
        </w:tc>
        <w:tc>
          <w:tcPr>
            <w:tcW w:w="1980" w:type="dxa"/>
            <w:tcMar>
              <w:top w:w="100" w:type="dxa"/>
              <w:left w:w="100" w:type="dxa"/>
              <w:bottom w:w="100" w:type="dxa"/>
              <w:right w:w="100" w:type="dxa"/>
            </w:tcMar>
            <w:hideMark/>
          </w:tcPr>
          <w:p w14:paraId="6D413328"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5B40CD43" w14:textId="77777777" w:rsidTr="00432CC1">
        <w:trPr>
          <w:trHeight w:val="23"/>
          <w:jc w:val="center"/>
        </w:trPr>
        <w:tc>
          <w:tcPr>
            <w:tcW w:w="2418" w:type="dxa"/>
            <w:tcMar>
              <w:top w:w="100" w:type="dxa"/>
              <w:left w:w="100" w:type="dxa"/>
              <w:bottom w:w="100" w:type="dxa"/>
              <w:right w:w="100" w:type="dxa"/>
            </w:tcMar>
            <w:hideMark/>
          </w:tcPr>
          <w:p w14:paraId="38708814" w14:textId="77777777" w:rsidR="00432CC1" w:rsidRDefault="00432CC1">
            <w:pPr>
              <w:pStyle w:val="NormalWeb"/>
              <w:spacing w:before="0" w:beforeAutospacing="0" w:after="0" w:afterAutospacing="0"/>
            </w:pPr>
            <w:r>
              <w:rPr>
                <w:rFonts w:ascii="Arial" w:hAnsi="Arial" w:cs="Arial"/>
                <w:color w:val="000000"/>
                <w:sz w:val="20"/>
                <w:szCs w:val="20"/>
              </w:rPr>
              <w:t>Service orientation and customer service</w:t>
            </w:r>
          </w:p>
        </w:tc>
        <w:tc>
          <w:tcPr>
            <w:tcW w:w="4692" w:type="dxa"/>
            <w:tcMar>
              <w:top w:w="100" w:type="dxa"/>
              <w:left w:w="100" w:type="dxa"/>
              <w:bottom w:w="100" w:type="dxa"/>
              <w:right w:w="100" w:type="dxa"/>
            </w:tcMar>
            <w:hideMark/>
          </w:tcPr>
          <w:p w14:paraId="50214467" w14:textId="77777777" w:rsidR="00432CC1" w:rsidRDefault="00432CC1">
            <w:pPr>
              <w:pStyle w:val="NormalWeb"/>
              <w:spacing w:before="0" w:beforeAutospacing="0" w:after="0" w:afterAutospacing="0"/>
            </w:pPr>
            <w:r>
              <w:rPr>
                <w:rFonts w:ascii="Arial" w:hAnsi="Arial" w:cs="Arial"/>
                <w:color w:val="000000"/>
                <w:sz w:val="20"/>
                <w:szCs w:val="20"/>
              </w:rPr>
              <w:t>Service orientation and stakeholder engagement</w:t>
            </w:r>
          </w:p>
        </w:tc>
        <w:tc>
          <w:tcPr>
            <w:tcW w:w="1980" w:type="dxa"/>
            <w:tcMar>
              <w:top w:w="100" w:type="dxa"/>
              <w:left w:w="100" w:type="dxa"/>
              <w:bottom w:w="100" w:type="dxa"/>
              <w:right w:w="100" w:type="dxa"/>
            </w:tcMar>
            <w:hideMark/>
          </w:tcPr>
          <w:p w14:paraId="2749F4CB"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02905AAF" w14:textId="77777777" w:rsidTr="00432CC1">
        <w:trPr>
          <w:trHeight w:val="23"/>
          <w:jc w:val="center"/>
        </w:trPr>
        <w:tc>
          <w:tcPr>
            <w:tcW w:w="2418" w:type="dxa"/>
            <w:tcMar>
              <w:top w:w="100" w:type="dxa"/>
              <w:left w:w="100" w:type="dxa"/>
              <w:bottom w:w="100" w:type="dxa"/>
              <w:right w:w="100" w:type="dxa"/>
            </w:tcMar>
            <w:hideMark/>
          </w:tcPr>
          <w:p w14:paraId="600F620C" w14:textId="77777777" w:rsidR="00432CC1" w:rsidRDefault="00432CC1">
            <w:pPr>
              <w:pStyle w:val="NormalWeb"/>
              <w:spacing w:before="0" w:beforeAutospacing="0" w:after="0" w:afterAutospacing="0"/>
            </w:pPr>
            <w:r>
              <w:rPr>
                <w:rFonts w:ascii="Arial" w:hAnsi="Arial" w:cs="Arial"/>
                <w:color w:val="000000"/>
                <w:sz w:val="20"/>
                <w:szCs w:val="20"/>
              </w:rPr>
              <w:t>AI and big data</w:t>
            </w:r>
          </w:p>
        </w:tc>
        <w:tc>
          <w:tcPr>
            <w:tcW w:w="4692" w:type="dxa"/>
            <w:tcMar>
              <w:top w:w="100" w:type="dxa"/>
              <w:left w:w="100" w:type="dxa"/>
              <w:bottom w:w="100" w:type="dxa"/>
              <w:right w:w="100" w:type="dxa"/>
            </w:tcMar>
            <w:hideMark/>
          </w:tcPr>
          <w:p w14:paraId="493156FA" w14:textId="77777777" w:rsidR="00432CC1" w:rsidRDefault="00432CC1">
            <w:pPr>
              <w:pStyle w:val="NormalWeb"/>
              <w:spacing w:before="0" w:beforeAutospacing="0" w:after="0" w:afterAutospacing="0"/>
            </w:pPr>
            <w:r>
              <w:rPr>
                <w:rFonts w:ascii="Arial" w:hAnsi="Arial" w:cs="Arial"/>
                <w:color w:val="000000"/>
                <w:sz w:val="20"/>
                <w:szCs w:val="20"/>
              </w:rPr>
              <w:t>No explicit AI or big-data capability identified</w:t>
            </w:r>
          </w:p>
        </w:tc>
        <w:tc>
          <w:tcPr>
            <w:tcW w:w="1980" w:type="dxa"/>
            <w:tcMar>
              <w:top w:w="100" w:type="dxa"/>
              <w:left w:w="100" w:type="dxa"/>
              <w:bottom w:w="100" w:type="dxa"/>
              <w:right w:w="100" w:type="dxa"/>
            </w:tcMar>
            <w:hideMark/>
          </w:tcPr>
          <w:p w14:paraId="04E28EE3"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0061648F" w14:textId="77777777" w:rsidTr="00432CC1">
        <w:trPr>
          <w:trHeight w:val="23"/>
          <w:jc w:val="center"/>
        </w:trPr>
        <w:tc>
          <w:tcPr>
            <w:tcW w:w="2418" w:type="dxa"/>
            <w:tcMar>
              <w:top w:w="100" w:type="dxa"/>
              <w:left w:w="100" w:type="dxa"/>
              <w:bottom w:w="100" w:type="dxa"/>
              <w:right w:w="100" w:type="dxa"/>
            </w:tcMar>
            <w:hideMark/>
          </w:tcPr>
          <w:p w14:paraId="76F3923C" w14:textId="77777777" w:rsidR="00432CC1" w:rsidRDefault="00432CC1">
            <w:pPr>
              <w:pStyle w:val="NormalWeb"/>
              <w:spacing w:before="0" w:beforeAutospacing="0" w:after="0" w:afterAutospacing="0"/>
            </w:pPr>
            <w:r>
              <w:rPr>
                <w:rFonts w:ascii="Arial" w:hAnsi="Arial" w:cs="Arial"/>
                <w:color w:val="000000"/>
                <w:sz w:val="20"/>
                <w:szCs w:val="20"/>
              </w:rPr>
              <w:t>Systems thinking</w:t>
            </w:r>
          </w:p>
        </w:tc>
        <w:tc>
          <w:tcPr>
            <w:tcW w:w="4692" w:type="dxa"/>
            <w:tcMar>
              <w:top w:w="100" w:type="dxa"/>
              <w:left w:w="100" w:type="dxa"/>
              <w:bottom w:w="100" w:type="dxa"/>
              <w:right w:w="100" w:type="dxa"/>
            </w:tcMar>
            <w:hideMark/>
          </w:tcPr>
          <w:p w14:paraId="793DFD82" w14:textId="77777777" w:rsidR="00432CC1" w:rsidRDefault="00432CC1">
            <w:pPr>
              <w:pStyle w:val="NormalWeb"/>
              <w:spacing w:before="0" w:beforeAutospacing="0" w:after="0" w:afterAutospacing="0"/>
            </w:pPr>
            <w:r>
              <w:rPr>
                <w:rFonts w:ascii="Arial" w:hAnsi="Arial" w:cs="Arial"/>
                <w:color w:val="000000"/>
                <w:sz w:val="20"/>
                <w:szCs w:val="20"/>
              </w:rPr>
              <w:t>Analyze the business environment for strategic direction; integrate business functions</w:t>
            </w:r>
          </w:p>
        </w:tc>
        <w:tc>
          <w:tcPr>
            <w:tcW w:w="1980" w:type="dxa"/>
            <w:tcMar>
              <w:top w:w="100" w:type="dxa"/>
              <w:left w:w="100" w:type="dxa"/>
              <w:bottom w:w="100" w:type="dxa"/>
              <w:right w:w="100" w:type="dxa"/>
            </w:tcMar>
            <w:hideMark/>
          </w:tcPr>
          <w:p w14:paraId="5A3362C7"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1D73B571" w14:textId="77777777" w:rsidTr="00432CC1">
        <w:trPr>
          <w:trHeight w:val="23"/>
          <w:jc w:val="center"/>
        </w:trPr>
        <w:tc>
          <w:tcPr>
            <w:tcW w:w="2418" w:type="dxa"/>
            <w:tcMar>
              <w:top w:w="100" w:type="dxa"/>
              <w:left w:w="100" w:type="dxa"/>
              <w:bottom w:w="100" w:type="dxa"/>
              <w:right w:w="100" w:type="dxa"/>
            </w:tcMar>
            <w:hideMark/>
          </w:tcPr>
          <w:p w14:paraId="335B6385" w14:textId="77777777" w:rsidR="00432CC1" w:rsidRDefault="00432CC1">
            <w:pPr>
              <w:pStyle w:val="NormalWeb"/>
              <w:spacing w:before="0" w:beforeAutospacing="0" w:after="0" w:afterAutospacing="0"/>
            </w:pPr>
            <w:r>
              <w:rPr>
                <w:rFonts w:ascii="Arial" w:hAnsi="Arial" w:cs="Arial"/>
                <w:color w:val="000000"/>
                <w:sz w:val="20"/>
                <w:szCs w:val="20"/>
              </w:rPr>
              <w:t>Resource management and operations</w:t>
            </w:r>
          </w:p>
        </w:tc>
        <w:tc>
          <w:tcPr>
            <w:tcW w:w="4692" w:type="dxa"/>
            <w:tcMar>
              <w:top w:w="100" w:type="dxa"/>
              <w:left w:w="100" w:type="dxa"/>
              <w:bottom w:w="100" w:type="dxa"/>
              <w:right w:w="100" w:type="dxa"/>
            </w:tcMar>
            <w:hideMark/>
          </w:tcPr>
          <w:p w14:paraId="5405A72E" w14:textId="77777777" w:rsidR="00432CC1" w:rsidRDefault="00432CC1">
            <w:pPr>
              <w:pStyle w:val="NormalWeb"/>
              <w:spacing w:before="0" w:beforeAutospacing="0" w:after="0" w:afterAutospacing="0"/>
            </w:pPr>
            <w:r>
              <w:rPr>
                <w:rFonts w:ascii="Arial" w:hAnsi="Arial" w:cs="Arial"/>
                <w:color w:val="000000"/>
                <w:sz w:val="20"/>
                <w:szCs w:val="20"/>
              </w:rPr>
              <w:t>Perform management functions; prepare operational plans</w:t>
            </w:r>
          </w:p>
        </w:tc>
        <w:tc>
          <w:tcPr>
            <w:tcW w:w="1980" w:type="dxa"/>
            <w:tcMar>
              <w:top w:w="100" w:type="dxa"/>
              <w:left w:w="100" w:type="dxa"/>
              <w:bottom w:w="100" w:type="dxa"/>
              <w:right w:w="100" w:type="dxa"/>
            </w:tcMar>
            <w:hideMark/>
          </w:tcPr>
          <w:p w14:paraId="77EB6AF8"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3189800B" w14:textId="77777777" w:rsidTr="00432CC1">
        <w:trPr>
          <w:trHeight w:val="23"/>
          <w:jc w:val="center"/>
        </w:trPr>
        <w:tc>
          <w:tcPr>
            <w:tcW w:w="2418" w:type="dxa"/>
            <w:tcMar>
              <w:top w:w="100" w:type="dxa"/>
              <w:left w:w="100" w:type="dxa"/>
              <w:bottom w:w="100" w:type="dxa"/>
              <w:right w:w="100" w:type="dxa"/>
            </w:tcMar>
            <w:hideMark/>
          </w:tcPr>
          <w:p w14:paraId="7B046193" w14:textId="77777777" w:rsidR="00432CC1" w:rsidRDefault="00432CC1">
            <w:pPr>
              <w:pStyle w:val="NormalWeb"/>
              <w:spacing w:before="0" w:beforeAutospacing="0" w:after="0" w:afterAutospacing="0"/>
            </w:pPr>
            <w:r>
              <w:rPr>
                <w:rFonts w:ascii="Arial" w:hAnsi="Arial" w:cs="Arial"/>
                <w:color w:val="000000"/>
                <w:sz w:val="20"/>
                <w:szCs w:val="20"/>
              </w:rPr>
              <w:t>Dependability and attention to detail</w:t>
            </w:r>
          </w:p>
        </w:tc>
        <w:tc>
          <w:tcPr>
            <w:tcW w:w="4692" w:type="dxa"/>
            <w:tcMar>
              <w:top w:w="100" w:type="dxa"/>
              <w:left w:w="100" w:type="dxa"/>
              <w:bottom w:w="100" w:type="dxa"/>
              <w:right w:w="100" w:type="dxa"/>
            </w:tcMar>
            <w:hideMark/>
          </w:tcPr>
          <w:p w14:paraId="72204713"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5B539BB6"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158C5EEE" w14:textId="77777777" w:rsidTr="00432CC1">
        <w:trPr>
          <w:trHeight w:val="23"/>
          <w:jc w:val="center"/>
        </w:trPr>
        <w:tc>
          <w:tcPr>
            <w:tcW w:w="2418" w:type="dxa"/>
            <w:tcMar>
              <w:top w:w="100" w:type="dxa"/>
              <w:left w:w="100" w:type="dxa"/>
              <w:bottom w:w="100" w:type="dxa"/>
              <w:right w:w="100" w:type="dxa"/>
            </w:tcMar>
            <w:hideMark/>
          </w:tcPr>
          <w:p w14:paraId="0301E132" w14:textId="77777777" w:rsidR="00432CC1" w:rsidRDefault="00432CC1">
            <w:pPr>
              <w:pStyle w:val="NormalWeb"/>
              <w:spacing w:before="0" w:beforeAutospacing="0" w:after="0" w:afterAutospacing="0"/>
            </w:pPr>
            <w:r>
              <w:rPr>
                <w:rFonts w:ascii="Arial" w:hAnsi="Arial" w:cs="Arial"/>
                <w:color w:val="000000"/>
                <w:sz w:val="20"/>
                <w:szCs w:val="20"/>
              </w:rPr>
              <w:t>Quality control</w:t>
            </w:r>
          </w:p>
        </w:tc>
        <w:tc>
          <w:tcPr>
            <w:tcW w:w="4692" w:type="dxa"/>
            <w:tcMar>
              <w:top w:w="100" w:type="dxa"/>
              <w:left w:w="100" w:type="dxa"/>
              <w:bottom w:w="100" w:type="dxa"/>
              <w:right w:w="100" w:type="dxa"/>
            </w:tcMar>
            <w:hideMark/>
          </w:tcPr>
          <w:p w14:paraId="7A28DB4E" w14:textId="77777777" w:rsidR="00432CC1" w:rsidRDefault="00432CC1">
            <w:pPr>
              <w:pStyle w:val="NormalWeb"/>
              <w:spacing w:before="0" w:beforeAutospacing="0" w:after="0" w:afterAutospacing="0"/>
            </w:pPr>
            <w:r>
              <w:rPr>
                <w:rFonts w:ascii="Arial" w:hAnsi="Arial" w:cs="Arial"/>
                <w:color w:val="000000"/>
                <w:sz w:val="20"/>
                <w:szCs w:val="20"/>
              </w:rPr>
              <w:t>Manage operations and quality-related business activities</w:t>
            </w:r>
          </w:p>
        </w:tc>
        <w:tc>
          <w:tcPr>
            <w:tcW w:w="1980" w:type="dxa"/>
            <w:tcMar>
              <w:top w:w="100" w:type="dxa"/>
              <w:left w:w="100" w:type="dxa"/>
              <w:bottom w:w="100" w:type="dxa"/>
              <w:right w:w="100" w:type="dxa"/>
            </w:tcMar>
            <w:hideMark/>
          </w:tcPr>
          <w:p w14:paraId="0C723C9F"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75850C0F" w14:textId="77777777" w:rsidTr="00432CC1">
        <w:trPr>
          <w:trHeight w:val="23"/>
          <w:jc w:val="center"/>
        </w:trPr>
        <w:tc>
          <w:tcPr>
            <w:tcW w:w="2418" w:type="dxa"/>
            <w:tcMar>
              <w:top w:w="100" w:type="dxa"/>
              <w:left w:w="100" w:type="dxa"/>
              <w:bottom w:w="100" w:type="dxa"/>
              <w:right w:w="100" w:type="dxa"/>
            </w:tcMar>
            <w:hideMark/>
          </w:tcPr>
          <w:p w14:paraId="452288A8" w14:textId="77777777" w:rsidR="00432CC1" w:rsidRDefault="00432CC1">
            <w:pPr>
              <w:pStyle w:val="NormalWeb"/>
              <w:spacing w:before="0" w:beforeAutospacing="0" w:after="0" w:afterAutospacing="0"/>
            </w:pPr>
            <w:r>
              <w:rPr>
                <w:rFonts w:ascii="Arial" w:hAnsi="Arial" w:cs="Arial"/>
                <w:color w:val="000000"/>
                <w:sz w:val="20"/>
                <w:szCs w:val="20"/>
              </w:rPr>
              <w:t>Teaching and mentoring</w:t>
            </w:r>
          </w:p>
        </w:tc>
        <w:tc>
          <w:tcPr>
            <w:tcW w:w="4692" w:type="dxa"/>
            <w:tcMar>
              <w:top w:w="100" w:type="dxa"/>
              <w:left w:w="100" w:type="dxa"/>
              <w:bottom w:w="100" w:type="dxa"/>
              <w:right w:w="100" w:type="dxa"/>
            </w:tcMar>
            <w:hideMark/>
          </w:tcPr>
          <w:p w14:paraId="58E177B6"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Mar>
              <w:top w:w="100" w:type="dxa"/>
              <w:left w:w="100" w:type="dxa"/>
              <w:bottom w:w="100" w:type="dxa"/>
              <w:right w:w="100" w:type="dxa"/>
            </w:tcMar>
            <w:hideMark/>
          </w:tcPr>
          <w:p w14:paraId="5CBA636C"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69E47207" w14:textId="77777777" w:rsidTr="00432CC1">
        <w:trPr>
          <w:trHeight w:val="23"/>
          <w:jc w:val="center"/>
        </w:trPr>
        <w:tc>
          <w:tcPr>
            <w:tcW w:w="2418" w:type="dxa"/>
            <w:tcMar>
              <w:top w:w="100" w:type="dxa"/>
              <w:left w:w="100" w:type="dxa"/>
              <w:bottom w:w="100" w:type="dxa"/>
              <w:right w:w="100" w:type="dxa"/>
            </w:tcMar>
            <w:hideMark/>
          </w:tcPr>
          <w:p w14:paraId="0C2C95E3" w14:textId="77777777" w:rsidR="00432CC1" w:rsidRDefault="00432CC1">
            <w:pPr>
              <w:pStyle w:val="NormalWeb"/>
              <w:spacing w:before="0" w:beforeAutospacing="0" w:after="0" w:afterAutospacing="0"/>
            </w:pPr>
            <w:r>
              <w:rPr>
                <w:rFonts w:ascii="Arial" w:hAnsi="Arial" w:cs="Arial"/>
                <w:color w:val="000000"/>
                <w:sz w:val="20"/>
                <w:szCs w:val="20"/>
              </w:rPr>
              <w:t>Networks and cybersecurity</w:t>
            </w:r>
          </w:p>
        </w:tc>
        <w:tc>
          <w:tcPr>
            <w:tcW w:w="4692" w:type="dxa"/>
            <w:tcMar>
              <w:top w:w="100" w:type="dxa"/>
              <w:left w:w="100" w:type="dxa"/>
              <w:bottom w:w="100" w:type="dxa"/>
              <w:right w:w="100" w:type="dxa"/>
            </w:tcMar>
            <w:hideMark/>
          </w:tcPr>
          <w:p w14:paraId="257ED173" w14:textId="77777777" w:rsidR="00432CC1" w:rsidRDefault="00432CC1">
            <w:pPr>
              <w:pStyle w:val="NormalWeb"/>
              <w:spacing w:before="0" w:beforeAutospacing="0" w:after="0" w:afterAutospacing="0"/>
            </w:pPr>
            <w:r>
              <w:rPr>
                <w:rFonts w:ascii="Arial" w:hAnsi="Arial" w:cs="Arial"/>
                <w:color w:val="000000"/>
                <w:sz w:val="20"/>
                <w:szCs w:val="20"/>
              </w:rPr>
              <w:t>No explicit cybersecurity or network competency identified</w:t>
            </w:r>
          </w:p>
        </w:tc>
        <w:tc>
          <w:tcPr>
            <w:tcW w:w="1980" w:type="dxa"/>
            <w:tcMar>
              <w:top w:w="100" w:type="dxa"/>
              <w:left w:w="100" w:type="dxa"/>
              <w:bottom w:w="100" w:type="dxa"/>
              <w:right w:w="100" w:type="dxa"/>
            </w:tcMar>
            <w:hideMark/>
          </w:tcPr>
          <w:p w14:paraId="0D35F429"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1296D835" w14:textId="77777777" w:rsidTr="00432CC1">
        <w:trPr>
          <w:trHeight w:val="23"/>
          <w:jc w:val="center"/>
        </w:trPr>
        <w:tc>
          <w:tcPr>
            <w:tcW w:w="2418" w:type="dxa"/>
            <w:tcMar>
              <w:top w:w="100" w:type="dxa"/>
              <w:left w:w="100" w:type="dxa"/>
              <w:bottom w:w="100" w:type="dxa"/>
              <w:right w:w="100" w:type="dxa"/>
            </w:tcMar>
            <w:hideMark/>
          </w:tcPr>
          <w:p w14:paraId="7BF76C07" w14:textId="77777777" w:rsidR="00432CC1" w:rsidRDefault="00432CC1">
            <w:pPr>
              <w:pStyle w:val="NormalWeb"/>
              <w:spacing w:before="0" w:beforeAutospacing="0" w:after="0" w:afterAutospacing="0"/>
            </w:pPr>
            <w:r>
              <w:rPr>
                <w:rFonts w:ascii="Arial" w:hAnsi="Arial" w:cs="Arial"/>
                <w:color w:val="000000"/>
                <w:sz w:val="20"/>
                <w:szCs w:val="20"/>
              </w:rPr>
              <w:lastRenderedPageBreak/>
              <w:t>Design and user experience</w:t>
            </w:r>
          </w:p>
        </w:tc>
        <w:tc>
          <w:tcPr>
            <w:tcW w:w="4692" w:type="dxa"/>
            <w:tcMar>
              <w:top w:w="100" w:type="dxa"/>
              <w:left w:w="100" w:type="dxa"/>
              <w:bottom w:w="100" w:type="dxa"/>
              <w:right w:w="100" w:type="dxa"/>
            </w:tcMar>
            <w:hideMark/>
          </w:tcPr>
          <w:p w14:paraId="5DF8418D" w14:textId="77777777" w:rsidR="00432CC1" w:rsidRDefault="00432CC1">
            <w:pPr>
              <w:pStyle w:val="NormalWeb"/>
              <w:spacing w:before="0" w:beforeAutospacing="0" w:after="0" w:afterAutospacing="0"/>
            </w:pPr>
            <w:r>
              <w:rPr>
                <w:rFonts w:ascii="Arial" w:hAnsi="Arial" w:cs="Arial"/>
                <w:color w:val="000000"/>
                <w:sz w:val="20"/>
                <w:szCs w:val="20"/>
              </w:rPr>
              <w:t>No clearly corresponding minimum outcome identified</w:t>
            </w:r>
          </w:p>
        </w:tc>
        <w:tc>
          <w:tcPr>
            <w:tcW w:w="1980" w:type="dxa"/>
            <w:tcMar>
              <w:top w:w="100" w:type="dxa"/>
              <w:left w:w="100" w:type="dxa"/>
              <w:bottom w:w="100" w:type="dxa"/>
              <w:right w:w="100" w:type="dxa"/>
            </w:tcMar>
            <w:hideMark/>
          </w:tcPr>
          <w:p w14:paraId="17F7A58D"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340686FA" w14:textId="77777777" w:rsidTr="00432CC1">
        <w:trPr>
          <w:trHeight w:val="23"/>
          <w:jc w:val="center"/>
        </w:trPr>
        <w:tc>
          <w:tcPr>
            <w:tcW w:w="2418" w:type="dxa"/>
            <w:tcMar>
              <w:top w:w="100" w:type="dxa"/>
              <w:left w:w="100" w:type="dxa"/>
              <w:bottom w:w="100" w:type="dxa"/>
              <w:right w:w="100" w:type="dxa"/>
            </w:tcMar>
            <w:hideMark/>
          </w:tcPr>
          <w:p w14:paraId="3FF135C2" w14:textId="77777777" w:rsidR="00432CC1" w:rsidRDefault="00432CC1">
            <w:pPr>
              <w:pStyle w:val="NormalWeb"/>
              <w:spacing w:before="0" w:beforeAutospacing="0" w:after="0" w:afterAutospacing="0"/>
            </w:pPr>
            <w:r>
              <w:rPr>
                <w:rFonts w:ascii="Arial" w:hAnsi="Arial" w:cs="Arial"/>
                <w:color w:val="000000"/>
                <w:sz w:val="20"/>
                <w:szCs w:val="20"/>
              </w:rPr>
              <w:t>Multi-lingualism</w:t>
            </w:r>
          </w:p>
        </w:tc>
        <w:tc>
          <w:tcPr>
            <w:tcW w:w="4692" w:type="dxa"/>
            <w:tcMar>
              <w:top w:w="100" w:type="dxa"/>
              <w:left w:w="100" w:type="dxa"/>
              <w:bottom w:w="100" w:type="dxa"/>
              <w:right w:w="100" w:type="dxa"/>
            </w:tcMar>
            <w:hideMark/>
          </w:tcPr>
          <w:p w14:paraId="23A8186A" w14:textId="77777777" w:rsidR="00432CC1" w:rsidRDefault="00432CC1">
            <w:pPr>
              <w:pStyle w:val="NormalWeb"/>
              <w:spacing w:before="0" w:beforeAutospacing="0" w:after="0" w:afterAutospacing="0"/>
            </w:pPr>
            <w:r>
              <w:rPr>
                <w:rFonts w:ascii="Arial" w:hAnsi="Arial" w:cs="Arial"/>
                <w:color w:val="000000"/>
                <w:sz w:val="20"/>
                <w:szCs w:val="20"/>
              </w:rPr>
              <w:t>Communicate effectively using English and Filipino</w:t>
            </w:r>
          </w:p>
        </w:tc>
        <w:tc>
          <w:tcPr>
            <w:tcW w:w="1980" w:type="dxa"/>
            <w:tcMar>
              <w:top w:w="100" w:type="dxa"/>
              <w:left w:w="100" w:type="dxa"/>
              <w:bottom w:w="100" w:type="dxa"/>
              <w:right w:w="100" w:type="dxa"/>
            </w:tcMar>
            <w:hideMark/>
          </w:tcPr>
          <w:p w14:paraId="02BD522F"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7DFCB65D" w14:textId="77777777" w:rsidTr="00432CC1">
        <w:trPr>
          <w:trHeight w:val="107"/>
          <w:jc w:val="center"/>
        </w:trPr>
        <w:tc>
          <w:tcPr>
            <w:tcW w:w="2418" w:type="dxa"/>
            <w:tcMar>
              <w:top w:w="100" w:type="dxa"/>
              <w:left w:w="100" w:type="dxa"/>
              <w:bottom w:w="100" w:type="dxa"/>
              <w:right w:w="100" w:type="dxa"/>
            </w:tcMar>
            <w:hideMark/>
          </w:tcPr>
          <w:p w14:paraId="7974FD9C" w14:textId="77777777" w:rsidR="00432CC1" w:rsidRDefault="00432CC1">
            <w:pPr>
              <w:pStyle w:val="NormalWeb"/>
              <w:spacing w:before="0" w:beforeAutospacing="0" w:after="0" w:afterAutospacing="0"/>
            </w:pPr>
            <w:r>
              <w:rPr>
                <w:rFonts w:ascii="Arial" w:hAnsi="Arial" w:cs="Arial"/>
                <w:color w:val="000000"/>
                <w:sz w:val="20"/>
                <w:szCs w:val="20"/>
              </w:rPr>
              <w:t>Marketing and media</w:t>
            </w:r>
          </w:p>
        </w:tc>
        <w:tc>
          <w:tcPr>
            <w:tcW w:w="4692" w:type="dxa"/>
            <w:tcMar>
              <w:top w:w="100" w:type="dxa"/>
              <w:left w:w="100" w:type="dxa"/>
              <w:bottom w:w="100" w:type="dxa"/>
              <w:right w:w="100" w:type="dxa"/>
            </w:tcMar>
            <w:hideMark/>
          </w:tcPr>
          <w:p w14:paraId="183243E2" w14:textId="77777777" w:rsidR="00432CC1" w:rsidRDefault="00432CC1">
            <w:pPr>
              <w:pStyle w:val="NormalWeb"/>
              <w:spacing w:before="0" w:beforeAutospacing="0" w:after="0" w:afterAutospacing="0"/>
            </w:pPr>
            <w:r>
              <w:rPr>
                <w:rFonts w:ascii="Arial" w:hAnsi="Arial" w:cs="Arial"/>
                <w:color w:val="000000"/>
                <w:sz w:val="20"/>
                <w:szCs w:val="20"/>
              </w:rPr>
              <w:t>Marketing-related competencies and business applications</w:t>
            </w:r>
          </w:p>
        </w:tc>
        <w:tc>
          <w:tcPr>
            <w:tcW w:w="1980" w:type="dxa"/>
            <w:tcMar>
              <w:top w:w="100" w:type="dxa"/>
              <w:left w:w="100" w:type="dxa"/>
              <w:bottom w:w="100" w:type="dxa"/>
              <w:right w:w="100" w:type="dxa"/>
            </w:tcMar>
            <w:hideMark/>
          </w:tcPr>
          <w:p w14:paraId="5B62F277"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0652DF91" w14:textId="77777777" w:rsidTr="00432CC1">
        <w:trPr>
          <w:trHeight w:val="23"/>
          <w:jc w:val="center"/>
        </w:trPr>
        <w:tc>
          <w:tcPr>
            <w:tcW w:w="2418" w:type="dxa"/>
            <w:tcMar>
              <w:top w:w="100" w:type="dxa"/>
              <w:left w:w="100" w:type="dxa"/>
              <w:bottom w:w="100" w:type="dxa"/>
              <w:right w:w="100" w:type="dxa"/>
            </w:tcMar>
            <w:hideMark/>
          </w:tcPr>
          <w:p w14:paraId="62ED06A5" w14:textId="77777777" w:rsidR="00432CC1" w:rsidRDefault="00432CC1">
            <w:pPr>
              <w:pStyle w:val="NormalWeb"/>
              <w:spacing w:before="0" w:beforeAutospacing="0" w:after="0" w:afterAutospacing="0"/>
            </w:pPr>
            <w:r>
              <w:rPr>
                <w:rFonts w:ascii="Arial" w:hAnsi="Arial" w:cs="Arial"/>
                <w:color w:val="000000"/>
                <w:sz w:val="20"/>
                <w:szCs w:val="20"/>
              </w:rPr>
              <w:t>Reading, writing and mathematics</w:t>
            </w:r>
          </w:p>
        </w:tc>
        <w:tc>
          <w:tcPr>
            <w:tcW w:w="4692" w:type="dxa"/>
            <w:tcMar>
              <w:top w:w="100" w:type="dxa"/>
              <w:left w:w="100" w:type="dxa"/>
              <w:bottom w:w="100" w:type="dxa"/>
              <w:right w:w="100" w:type="dxa"/>
            </w:tcMar>
            <w:hideMark/>
          </w:tcPr>
          <w:p w14:paraId="3A24C155" w14:textId="77777777" w:rsidR="00432CC1" w:rsidRDefault="00432CC1">
            <w:pPr>
              <w:pStyle w:val="NormalWeb"/>
              <w:spacing w:before="0" w:beforeAutospacing="0" w:after="0" w:afterAutospacing="0"/>
            </w:pPr>
            <w:r>
              <w:rPr>
                <w:rFonts w:ascii="Arial" w:hAnsi="Arial" w:cs="Arial"/>
                <w:color w:val="000000"/>
                <w:sz w:val="20"/>
                <w:szCs w:val="20"/>
              </w:rPr>
              <w:t>Communication, quantitative decision tools, and business research</w:t>
            </w:r>
          </w:p>
        </w:tc>
        <w:tc>
          <w:tcPr>
            <w:tcW w:w="1980" w:type="dxa"/>
            <w:tcMar>
              <w:top w:w="100" w:type="dxa"/>
              <w:left w:w="100" w:type="dxa"/>
              <w:bottom w:w="100" w:type="dxa"/>
              <w:right w:w="100" w:type="dxa"/>
            </w:tcMar>
            <w:hideMark/>
          </w:tcPr>
          <w:p w14:paraId="2F19A81B" w14:textId="77777777" w:rsidR="00432CC1" w:rsidRDefault="00432CC1">
            <w:pPr>
              <w:pStyle w:val="NormalWeb"/>
              <w:spacing w:before="0" w:beforeAutospacing="0" w:after="0" w:afterAutospacing="0"/>
            </w:pPr>
            <w:r>
              <w:rPr>
                <w:rFonts w:ascii="Arial" w:hAnsi="Arial" w:cs="Arial"/>
                <w:color w:val="000000"/>
                <w:sz w:val="20"/>
                <w:szCs w:val="20"/>
              </w:rPr>
              <w:t>Explicit</w:t>
            </w:r>
          </w:p>
        </w:tc>
      </w:tr>
      <w:tr w:rsidR="00432CC1" w14:paraId="6147F3D9" w14:textId="77777777" w:rsidTr="00432CC1">
        <w:trPr>
          <w:trHeight w:val="23"/>
          <w:jc w:val="center"/>
        </w:trPr>
        <w:tc>
          <w:tcPr>
            <w:tcW w:w="2418" w:type="dxa"/>
            <w:tcMar>
              <w:top w:w="100" w:type="dxa"/>
              <w:left w:w="100" w:type="dxa"/>
              <w:bottom w:w="100" w:type="dxa"/>
              <w:right w:w="100" w:type="dxa"/>
            </w:tcMar>
            <w:hideMark/>
          </w:tcPr>
          <w:p w14:paraId="3457634A" w14:textId="77777777" w:rsidR="00432CC1" w:rsidRDefault="00432CC1">
            <w:pPr>
              <w:pStyle w:val="NormalWeb"/>
              <w:spacing w:before="0" w:beforeAutospacing="0" w:after="0" w:afterAutospacing="0"/>
            </w:pPr>
            <w:r>
              <w:rPr>
                <w:rFonts w:ascii="Arial" w:hAnsi="Arial" w:cs="Arial"/>
                <w:color w:val="000000"/>
                <w:sz w:val="20"/>
                <w:szCs w:val="20"/>
              </w:rPr>
              <w:t>Environmental stewardship</w:t>
            </w:r>
          </w:p>
        </w:tc>
        <w:tc>
          <w:tcPr>
            <w:tcW w:w="4692" w:type="dxa"/>
            <w:tcMar>
              <w:top w:w="100" w:type="dxa"/>
              <w:left w:w="100" w:type="dxa"/>
              <w:bottom w:w="100" w:type="dxa"/>
              <w:right w:w="100" w:type="dxa"/>
            </w:tcMar>
            <w:hideMark/>
          </w:tcPr>
          <w:p w14:paraId="1788EEC5" w14:textId="77777777" w:rsidR="00432CC1" w:rsidRDefault="00432CC1">
            <w:pPr>
              <w:pStyle w:val="NormalWeb"/>
              <w:spacing w:before="0" w:beforeAutospacing="0" w:after="0" w:afterAutospacing="0"/>
            </w:pPr>
            <w:r>
              <w:rPr>
                <w:rFonts w:ascii="Arial" w:hAnsi="Arial" w:cs="Arial"/>
                <w:color w:val="000000"/>
                <w:sz w:val="20"/>
                <w:szCs w:val="20"/>
              </w:rPr>
              <w:t>Corporate/social responsibility and sustainability-related outcomes</w:t>
            </w:r>
          </w:p>
        </w:tc>
        <w:tc>
          <w:tcPr>
            <w:tcW w:w="1980" w:type="dxa"/>
            <w:tcMar>
              <w:top w:w="100" w:type="dxa"/>
              <w:left w:w="100" w:type="dxa"/>
              <w:bottom w:w="100" w:type="dxa"/>
              <w:right w:w="100" w:type="dxa"/>
            </w:tcMar>
            <w:hideMark/>
          </w:tcPr>
          <w:p w14:paraId="7B3CA9B8"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387FD809" w14:textId="77777777" w:rsidTr="00432CC1">
        <w:trPr>
          <w:trHeight w:val="23"/>
          <w:jc w:val="center"/>
        </w:trPr>
        <w:tc>
          <w:tcPr>
            <w:tcW w:w="2418" w:type="dxa"/>
            <w:tcMar>
              <w:top w:w="100" w:type="dxa"/>
              <w:left w:w="100" w:type="dxa"/>
              <w:bottom w:w="100" w:type="dxa"/>
              <w:right w:w="100" w:type="dxa"/>
            </w:tcMar>
            <w:hideMark/>
          </w:tcPr>
          <w:p w14:paraId="2062BD5A" w14:textId="77777777" w:rsidR="00432CC1" w:rsidRDefault="00432CC1">
            <w:pPr>
              <w:pStyle w:val="NormalWeb"/>
              <w:spacing w:before="0" w:beforeAutospacing="0" w:after="0" w:afterAutospacing="0"/>
            </w:pPr>
            <w:r>
              <w:rPr>
                <w:rFonts w:ascii="Arial" w:hAnsi="Arial" w:cs="Arial"/>
                <w:color w:val="000000"/>
                <w:sz w:val="20"/>
                <w:szCs w:val="20"/>
              </w:rPr>
              <w:t>Programming</w:t>
            </w:r>
          </w:p>
        </w:tc>
        <w:tc>
          <w:tcPr>
            <w:tcW w:w="4692" w:type="dxa"/>
            <w:tcMar>
              <w:top w:w="100" w:type="dxa"/>
              <w:left w:w="100" w:type="dxa"/>
              <w:bottom w:w="100" w:type="dxa"/>
              <w:right w:w="100" w:type="dxa"/>
            </w:tcMar>
            <w:hideMark/>
          </w:tcPr>
          <w:p w14:paraId="0706E04B" w14:textId="77777777" w:rsidR="00432CC1" w:rsidRDefault="00432CC1">
            <w:pPr>
              <w:pStyle w:val="NormalWeb"/>
              <w:spacing w:before="0" w:beforeAutospacing="0" w:after="0" w:afterAutospacing="0"/>
            </w:pPr>
            <w:r>
              <w:rPr>
                <w:rFonts w:ascii="Arial" w:hAnsi="Arial" w:cs="Arial"/>
                <w:color w:val="000000"/>
                <w:sz w:val="20"/>
                <w:szCs w:val="20"/>
              </w:rPr>
              <w:t>No explicit programming competency identified</w:t>
            </w:r>
          </w:p>
        </w:tc>
        <w:tc>
          <w:tcPr>
            <w:tcW w:w="1980" w:type="dxa"/>
            <w:tcMar>
              <w:top w:w="100" w:type="dxa"/>
              <w:left w:w="100" w:type="dxa"/>
              <w:bottom w:w="100" w:type="dxa"/>
              <w:right w:w="100" w:type="dxa"/>
            </w:tcMar>
            <w:hideMark/>
          </w:tcPr>
          <w:p w14:paraId="2DD7525F"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7C814C4A" w14:textId="77777777" w:rsidTr="00432CC1">
        <w:trPr>
          <w:trHeight w:val="23"/>
          <w:jc w:val="center"/>
        </w:trPr>
        <w:tc>
          <w:tcPr>
            <w:tcW w:w="2418" w:type="dxa"/>
            <w:tcMar>
              <w:top w:w="100" w:type="dxa"/>
              <w:left w:w="100" w:type="dxa"/>
              <w:bottom w:w="100" w:type="dxa"/>
              <w:right w:w="100" w:type="dxa"/>
            </w:tcMar>
            <w:hideMark/>
          </w:tcPr>
          <w:p w14:paraId="1B8F9CBA" w14:textId="77777777" w:rsidR="00432CC1" w:rsidRDefault="00432CC1">
            <w:pPr>
              <w:pStyle w:val="NormalWeb"/>
              <w:spacing w:before="0" w:beforeAutospacing="0" w:after="0" w:afterAutospacing="0"/>
            </w:pPr>
            <w:r>
              <w:rPr>
                <w:rFonts w:ascii="Arial" w:hAnsi="Arial" w:cs="Arial"/>
                <w:color w:val="000000"/>
                <w:sz w:val="20"/>
                <w:szCs w:val="20"/>
              </w:rPr>
              <w:t>Manual dexterity, endurance and precision</w:t>
            </w:r>
          </w:p>
        </w:tc>
        <w:tc>
          <w:tcPr>
            <w:tcW w:w="4692" w:type="dxa"/>
            <w:tcMar>
              <w:top w:w="100" w:type="dxa"/>
              <w:left w:w="100" w:type="dxa"/>
              <w:bottom w:w="100" w:type="dxa"/>
              <w:right w:w="100" w:type="dxa"/>
            </w:tcMar>
            <w:hideMark/>
          </w:tcPr>
          <w:p w14:paraId="6F7C3BAC"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Mar>
              <w:top w:w="100" w:type="dxa"/>
              <w:left w:w="100" w:type="dxa"/>
              <w:bottom w:w="100" w:type="dxa"/>
              <w:right w:w="100" w:type="dxa"/>
            </w:tcMar>
            <w:hideMark/>
          </w:tcPr>
          <w:p w14:paraId="0C0A26DB"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r w:rsidR="00432CC1" w14:paraId="376600FD" w14:textId="77777777" w:rsidTr="00432CC1">
        <w:trPr>
          <w:trHeight w:val="23"/>
          <w:jc w:val="center"/>
        </w:trPr>
        <w:tc>
          <w:tcPr>
            <w:tcW w:w="2418" w:type="dxa"/>
            <w:tcMar>
              <w:top w:w="100" w:type="dxa"/>
              <w:left w:w="100" w:type="dxa"/>
              <w:bottom w:w="100" w:type="dxa"/>
              <w:right w:w="100" w:type="dxa"/>
            </w:tcMar>
            <w:hideMark/>
          </w:tcPr>
          <w:p w14:paraId="07589D96" w14:textId="77777777" w:rsidR="00432CC1" w:rsidRDefault="00432CC1">
            <w:pPr>
              <w:pStyle w:val="NormalWeb"/>
              <w:spacing w:before="0" w:beforeAutospacing="0" w:after="0" w:afterAutospacing="0"/>
            </w:pPr>
            <w:r>
              <w:rPr>
                <w:rFonts w:ascii="Arial" w:hAnsi="Arial" w:cs="Arial"/>
                <w:color w:val="000000"/>
                <w:sz w:val="20"/>
                <w:szCs w:val="20"/>
              </w:rPr>
              <w:t>Global citizenship</w:t>
            </w:r>
          </w:p>
        </w:tc>
        <w:tc>
          <w:tcPr>
            <w:tcW w:w="4692" w:type="dxa"/>
            <w:tcMar>
              <w:top w:w="100" w:type="dxa"/>
              <w:left w:w="100" w:type="dxa"/>
              <w:bottom w:w="100" w:type="dxa"/>
              <w:right w:w="100" w:type="dxa"/>
            </w:tcMar>
            <w:hideMark/>
          </w:tcPr>
          <w:p w14:paraId="6DA229C7" w14:textId="77777777" w:rsidR="00432CC1" w:rsidRDefault="00432CC1">
            <w:pPr>
              <w:pStyle w:val="NormalWeb"/>
              <w:spacing w:before="0" w:beforeAutospacing="0" w:after="0" w:afterAutospacing="0"/>
            </w:pPr>
            <w:r>
              <w:rPr>
                <w:rFonts w:ascii="Arial" w:hAnsi="Arial" w:cs="Arial"/>
                <w:color w:val="000000"/>
                <w:sz w:val="20"/>
                <w:szCs w:val="20"/>
              </w:rPr>
              <w:t>Professional, social, and ethical responsibility; multicultural teamwork</w:t>
            </w:r>
          </w:p>
        </w:tc>
        <w:tc>
          <w:tcPr>
            <w:tcW w:w="1980" w:type="dxa"/>
            <w:tcMar>
              <w:top w:w="100" w:type="dxa"/>
              <w:left w:w="100" w:type="dxa"/>
              <w:bottom w:w="100" w:type="dxa"/>
              <w:right w:w="100" w:type="dxa"/>
            </w:tcMar>
            <w:hideMark/>
          </w:tcPr>
          <w:p w14:paraId="0129B088" w14:textId="77777777" w:rsidR="00432CC1" w:rsidRDefault="00432CC1">
            <w:pPr>
              <w:pStyle w:val="NormalWeb"/>
              <w:spacing w:before="0" w:beforeAutospacing="0" w:after="0" w:afterAutospacing="0"/>
            </w:pPr>
            <w:r>
              <w:rPr>
                <w:rFonts w:ascii="Arial" w:hAnsi="Arial" w:cs="Arial"/>
                <w:color w:val="000000"/>
                <w:sz w:val="20"/>
                <w:szCs w:val="20"/>
              </w:rPr>
              <w:t>Broader</w:t>
            </w:r>
          </w:p>
        </w:tc>
      </w:tr>
      <w:tr w:rsidR="00432CC1" w14:paraId="333EC34A" w14:textId="77777777" w:rsidTr="00432CC1">
        <w:trPr>
          <w:trHeight w:val="23"/>
          <w:jc w:val="center"/>
        </w:trPr>
        <w:tc>
          <w:tcPr>
            <w:tcW w:w="2418" w:type="dxa"/>
            <w:tcBorders>
              <w:bottom w:val="single" w:sz="4" w:space="0" w:color="auto"/>
            </w:tcBorders>
            <w:tcMar>
              <w:top w:w="100" w:type="dxa"/>
              <w:left w:w="100" w:type="dxa"/>
              <w:bottom w:w="100" w:type="dxa"/>
              <w:right w:w="100" w:type="dxa"/>
            </w:tcMar>
            <w:hideMark/>
          </w:tcPr>
          <w:p w14:paraId="5F40AA7F" w14:textId="77777777" w:rsidR="00432CC1" w:rsidRDefault="00432CC1">
            <w:pPr>
              <w:pStyle w:val="NormalWeb"/>
              <w:spacing w:before="0" w:beforeAutospacing="0" w:after="0" w:afterAutospacing="0"/>
            </w:pPr>
            <w:r>
              <w:rPr>
                <w:rFonts w:ascii="Arial" w:hAnsi="Arial" w:cs="Arial"/>
                <w:color w:val="000000"/>
                <w:sz w:val="20"/>
                <w:szCs w:val="20"/>
              </w:rPr>
              <w:t>Sensory-processing abilities</w:t>
            </w:r>
          </w:p>
        </w:tc>
        <w:tc>
          <w:tcPr>
            <w:tcW w:w="4692" w:type="dxa"/>
            <w:tcBorders>
              <w:bottom w:val="single" w:sz="4" w:space="0" w:color="auto"/>
            </w:tcBorders>
            <w:tcMar>
              <w:top w:w="100" w:type="dxa"/>
              <w:left w:w="100" w:type="dxa"/>
              <w:bottom w:w="100" w:type="dxa"/>
              <w:right w:w="100" w:type="dxa"/>
            </w:tcMar>
            <w:hideMark/>
          </w:tcPr>
          <w:p w14:paraId="4ED9C578" w14:textId="77777777" w:rsidR="00432CC1" w:rsidRDefault="00432CC1">
            <w:pPr>
              <w:pStyle w:val="NormalWeb"/>
              <w:spacing w:before="0" w:beforeAutospacing="0" w:after="0" w:afterAutospacing="0"/>
            </w:pPr>
            <w:r>
              <w:rPr>
                <w:rFonts w:ascii="Arial" w:hAnsi="Arial" w:cs="Arial"/>
                <w:color w:val="000000"/>
                <w:sz w:val="20"/>
                <w:szCs w:val="20"/>
              </w:rPr>
              <w:t>No clearly corresponding graduate outcome identified</w:t>
            </w:r>
          </w:p>
        </w:tc>
        <w:tc>
          <w:tcPr>
            <w:tcW w:w="1980" w:type="dxa"/>
            <w:tcBorders>
              <w:bottom w:val="single" w:sz="4" w:space="0" w:color="auto"/>
            </w:tcBorders>
            <w:tcMar>
              <w:top w:w="100" w:type="dxa"/>
              <w:left w:w="100" w:type="dxa"/>
              <w:bottom w:w="100" w:type="dxa"/>
              <w:right w:w="100" w:type="dxa"/>
            </w:tcMar>
            <w:hideMark/>
          </w:tcPr>
          <w:p w14:paraId="137965B0" w14:textId="77777777" w:rsidR="00432CC1" w:rsidRDefault="00432CC1">
            <w:pPr>
              <w:pStyle w:val="NormalWeb"/>
              <w:spacing w:before="0" w:beforeAutospacing="0" w:after="0" w:afterAutospacing="0"/>
            </w:pPr>
            <w:r>
              <w:rPr>
                <w:rFonts w:ascii="Arial" w:hAnsi="Arial" w:cs="Arial"/>
                <w:color w:val="000000"/>
                <w:sz w:val="20"/>
                <w:szCs w:val="20"/>
              </w:rPr>
              <w:t>Not explicit</w:t>
            </w:r>
          </w:p>
        </w:tc>
      </w:tr>
    </w:tbl>
    <w:p w14:paraId="09D6CA20" w14:textId="77777777" w:rsidR="00432CC1" w:rsidRPr="007253F3" w:rsidRDefault="00432CC1" w:rsidP="00432CC1">
      <w:pPr>
        <w:rPr>
          <w:sz w:val="20"/>
          <w:szCs w:val="20"/>
        </w:rPr>
      </w:pPr>
    </w:p>
    <w:p w14:paraId="1014D1BE"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results indicate that the strongest correspondence is observed in analytical thinking, creative thinking, leadership, technological literacy, communication, management, research, and operational capabilities. These findings align with the outcomes specified by CHED. The CMO mandates that graduates select appropriate decision tools to solve problems critically, analytically, and creatively; apply ICT effectively; collaborate with stakeholders; perform management functions; </w:t>
      </w:r>
      <w:r w:rsidRPr="007253F3">
        <w:rPr>
          <w:rFonts w:ascii="Arial" w:hAnsi="Arial" w:cs="Arial"/>
          <w:color w:val="000000"/>
          <w:sz w:val="20"/>
          <w:szCs w:val="20"/>
          <w:highlight w:val="yellow"/>
        </w:rPr>
        <w:t>analyse</w:t>
      </w:r>
      <w:r w:rsidRPr="007253F3">
        <w:rPr>
          <w:rFonts w:ascii="Arial" w:hAnsi="Arial" w:cs="Arial"/>
          <w:color w:val="000000"/>
          <w:sz w:val="20"/>
          <w:szCs w:val="20"/>
        </w:rPr>
        <w:t xml:space="preserve"> the business environment; prepare operational plans; innovate business ideas; manage strategic business units; and conduct business research (CHED, 2017).</w:t>
      </w:r>
    </w:p>
    <w:p w14:paraId="09BF2EA2"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highlight w:val="yellow"/>
        </w:rPr>
        <w:t>The correspondence for analytical thinking</w:t>
      </w:r>
      <w:r w:rsidRPr="007253F3">
        <w:rPr>
          <w:rFonts w:ascii="Arial" w:hAnsi="Arial" w:cs="Arial"/>
          <w:color w:val="000000"/>
          <w:sz w:val="20"/>
          <w:szCs w:val="20"/>
        </w:rPr>
        <w:t xml:space="preserve"> is particularly significant. The WEF identifies analytical thinking as a core skill, and CHED integrates analytical capability into decision-making, environmental analysis, and business research outcomes. This </w:t>
      </w:r>
      <w:r w:rsidR="006C1D74">
        <w:rPr>
          <w:rFonts w:ascii="Arial" w:hAnsi="Arial" w:cs="Arial"/>
          <w:color w:val="000000"/>
          <w:sz w:val="20"/>
          <w:szCs w:val="20"/>
        </w:rPr>
        <w:t xml:space="preserve">correspondence </w:t>
      </w:r>
      <w:r w:rsidRPr="007253F3">
        <w:rPr>
          <w:rFonts w:ascii="Arial" w:hAnsi="Arial" w:cs="Arial"/>
          <w:color w:val="000000"/>
          <w:sz w:val="20"/>
          <w:szCs w:val="20"/>
        </w:rPr>
        <w:t xml:space="preserve">indicates that the BSBA framework already acknowledges a cognitive capability central to both current and future workforce demands. This finding is consistent with recent curriculum research that </w:t>
      </w:r>
      <w:r w:rsidRPr="007253F3">
        <w:rPr>
          <w:rFonts w:ascii="Arial" w:hAnsi="Arial" w:cs="Arial"/>
          <w:color w:val="000000"/>
          <w:sz w:val="20"/>
          <w:szCs w:val="20"/>
          <w:highlight w:val="yellow"/>
        </w:rPr>
        <w:t>emphasises</w:t>
      </w:r>
      <w:r w:rsidRPr="007253F3">
        <w:rPr>
          <w:rFonts w:ascii="Arial" w:hAnsi="Arial" w:cs="Arial"/>
          <w:color w:val="000000"/>
          <w:sz w:val="20"/>
          <w:szCs w:val="20"/>
        </w:rPr>
        <w:t xml:space="preserve"> the growing importance of analytical and data-related capabilities in business education (Akhtar et al., 2024; Javadian Sabet et al., 2024).</w:t>
      </w:r>
    </w:p>
    <w:p w14:paraId="066CB0B5"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Creative thinking also exhibits explicit correspondence. The WEF identifies creative thinking as a major skill projected to grow in importance by 2030, while CHED explicitly incorporates creative problem-solving and innovation in response to emerging industry needs. This is significant because it demonstrates that the regulatory framework extends beyond established business knowledge and acknowledges the need for graduates to develop new responses to evolving environments.</w:t>
      </w:r>
    </w:p>
    <w:p w14:paraId="12C3B78B"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Correspondence is also evident in leadership and interpersonal capabilities. CHED requires graduates to engage with stakeholders, manage conflict, perform management functions, and oversee strategic business units. These outcomes broadly support the WEF's emphasis on leadership and social influence, empathy and active listening, and talent management. Recent research similarly highlights that graduate employability increasingly depends on combinations of interpersonal, leadership, and transferable capabilities rather than narrowly </w:t>
      </w:r>
      <w:r w:rsidRPr="007253F3">
        <w:rPr>
          <w:rFonts w:ascii="Arial" w:hAnsi="Arial" w:cs="Arial"/>
          <w:color w:val="000000"/>
          <w:sz w:val="20"/>
          <w:szCs w:val="20"/>
          <w:highlight w:val="yellow"/>
        </w:rPr>
        <w:lastRenderedPageBreak/>
        <w:t>specialised</w:t>
      </w:r>
      <w:r w:rsidRPr="007253F3">
        <w:rPr>
          <w:rFonts w:ascii="Arial" w:hAnsi="Arial" w:cs="Arial"/>
          <w:color w:val="000000"/>
          <w:sz w:val="20"/>
          <w:szCs w:val="20"/>
        </w:rPr>
        <w:t xml:space="preserve"> knowledge (Bilderback &amp; Thompson, 2025; Hruby, 2026; Kmiotek-Meier et al., 2024).</w:t>
      </w:r>
    </w:p>
    <w:p w14:paraId="79651447"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most significant divergence arises in technology-specific skills. While CHED explicitly requires ICT capability, the framework does not specifically identify AI and big data, networks and cybersecurity, or programming as minimum BSBA graduate competencies. This distinction is important because the WEF identifies AI and big data, networks and cybersecurity, and technological literacy as among the fastest-growing skills </w:t>
      </w:r>
      <w:r w:rsidRPr="007253F3">
        <w:rPr>
          <w:rFonts w:ascii="Arial" w:hAnsi="Arial" w:cs="Arial"/>
          <w:color w:val="000000"/>
          <w:sz w:val="20"/>
          <w:szCs w:val="20"/>
          <w:highlight w:val="yellow"/>
        </w:rPr>
        <w:t>towards</w:t>
      </w:r>
      <w:r w:rsidRPr="007253F3">
        <w:rPr>
          <w:rFonts w:ascii="Arial" w:hAnsi="Arial" w:cs="Arial"/>
          <w:color w:val="000000"/>
          <w:sz w:val="20"/>
          <w:szCs w:val="20"/>
        </w:rPr>
        <w:t xml:space="preserve"> 2030 (WEF, 2025).</w:t>
      </w:r>
    </w:p>
    <w:p w14:paraId="35C7DE41"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finding does not imply that BSBA students lack exposure to technology. Instead, it indicates that the national competency framework articulates general technological capability more clearly than emerging technological </w:t>
      </w:r>
      <w:r w:rsidRPr="007253F3">
        <w:rPr>
          <w:rFonts w:ascii="Arial" w:hAnsi="Arial" w:cs="Arial"/>
          <w:color w:val="000000"/>
          <w:sz w:val="20"/>
          <w:szCs w:val="20"/>
          <w:highlight w:val="yellow"/>
        </w:rPr>
        <w:t>specialisations</w:t>
      </w:r>
      <w:r w:rsidRPr="007253F3">
        <w:rPr>
          <w:rFonts w:ascii="Arial" w:hAnsi="Arial" w:cs="Arial"/>
          <w:color w:val="000000"/>
          <w:sz w:val="20"/>
          <w:szCs w:val="20"/>
        </w:rPr>
        <w:t>. This distinction is significant because technological literacy and the ability to work with AI, large datasets, cybersecurity systems, or programming environments are related but distinct capabilities. Recent research on business education similarly identifies data analytics, programming, AI, and other technology-intensive competencies as areas requiring enhanced curricular attention (Akhtar et al., 2024; Brattin, 2025; Jha &amp; Doshi, 2025).</w:t>
      </w:r>
    </w:p>
    <w:p w14:paraId="4FA64432" w14:textId="77777777" w:rsidR="007253F3" w:rsidRPr="00E60926" w:rsidRDefault="007253F3" w:rsidP="007253F3">
      <w:pPr>
        <w:pStyle w:val="NormalWeb"/>
        <w:spacing w:before="0" w:beforeAutospacing="0" w:after="0" w:afterAutospacing="0"/>
        <w:rPr>
          <w:rFonts w:ascii="Arial" w:hAnsi="Arial" w:cs="Arial"/>
          <w:sz w:val="20"/>
          <w:szCs w:val="20"/>
        </w:rPr>
      </w:pPr>
      <w:r w:rsidRPr="007253F3">
        <w:rPr>
          <w:rFonts w:ascii="Arial" w:hAnsi="Arial" w:cs="Arial"/>
          <w:color w:val="000000"/>
          <w:sz w:val="20"/>
          <w:szCs w:val="20"/>
        </w:rPr>
        <w:t xml:space="preserve">The correspondence analysis further illustrates why a simple keyword-matching approach is inadequate. Certain WEF skills are reflected in CHED through broader outcomes. For instance, systems thinking is not listed as a standalone competency, but the requirement to </w:t>
      </w:r>
      <w:r w:rsidRPr="007253F3">
        <w:rPr>
          <w:rFonts w:ascii="Arial" w:hAnsi="Arial" w:cs="Arial"/>
          <w:color w:val="000000"/>
          <w:sz w:val="20"/>
          <w:szCs w:val="20"/>
          <w:highlight w:val="yellow"/>
        </w:rPr>
        <w:t>analyse</w:t>
      </w:r>
      <w:r w:rsidRPr="007253F3">
        <w:rPr>
          <w:rFonts w:ascii="Arial" w:hAnsi="Arial" w:cs="Arial"/>
          <w:color w:val="000000"/>
          <w:sz w:val="20"/>
          <w:szCs w:val="20"/>
        </w:rPr>
        <w:t xml:space="preserve"> the business environment for strategic direction and manage strategic business units encompasses a broader systems-oriented capability. Similarly, empathy and active listening are not explicitly named, yet stakeholder engagement and conflict management provide a broader competency context in which these abilities may be developed. Felby et al. (2024) also demonstrate that curriculum–</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alignment often depends on the level at which </w:t>
      </w:r>
      <w:r w:rsidRPr="00E60926">
        <w:rPr>
          <w:rFonts w:ascii="Arial" w:hAnsi="Arial" w:cs="Arial"/>
          <w:color w:val="000000"/>
          <w:sz w:val="20"/>
          <w:szCs w:val="20"/>
        </w:rPr>
        <w:t>competencies are articulated rather than on exact terminology.</w:t>
      </w:r>
    </w:p>
    <w:p w14:paraId="3893112D" w14:textId="77777777" w:rsidR="007253F3" w:rsidRPr="00E60926" w:rsidRDefault="007253F3" w:rsidP="007253F3">
      <w:pPr>
        <w:pStyle w:val="NormalWeb"/>
        <w:spacing w:before="0" w:beforeAutospacing="0" w:after="0" w:afterAutospacing="0"/>
        <w:rPr>
          <w:rFonts w:ascii="Arial" w:hAnsi="Arial" w:cs="Arial"/>
          <w:sz w:val="20"/>
          <w:szCs w:val="20"/>
        </w:rPr>
      </w:pPr>
      <w:r w:rsidRPr="00E60926">
        <w:rPr>
          <w:rFonts w:ascii="Arial" w:hAnsi="Arial" w:cs="Arial"/>
          <w:color w:val="000000"/>
          <w:sz w:val="20"/>
          <w:szCs w:val="20"/>
        </w:rPr>
        <w:t xml:space="preserve">Accordingly, the analysis of RQ2 reveals a pattern of substantial but uneven correspondence. </w:t>
      </w:r>
      <w:r w:rsidR="00E60926" w:rsidRPr="00E60926">
        <w:rPr>
          <w:rFonts w:ascii="Arial" w:hAnsi="Arial" w:cs="Arial"/>
          <w:sz w:val="20"/>
          <w:szCs w:val="20"/>
        </w:rPr>
        <w:t xml:space="preserve">The CHED framework demonstrates strong correspondence with transferable cognitive, managerial, interpersonal, communication, and general technological capabilities. </w:t>
      </w:r>
      <w:r w:rsidRPr="00E60926">
        <w:rPr>
          <w:rFonts w:ascii="Arial" w:hAnsi="Arial" w:cs="Arial"/>
          <w:color w:val="000000"/>
          <w:sz w:val="20"/>
          <w:szCs w:val="20"/>
        </w:rPr>
        <w:t xml:space="preserve">However, correspondence is weaker in areas where the WEF identifies rapidly emerging, </w:t>
      </w:r>
      <w:r w:rsidRPr="00E60926">
        <w:rPr>
          <w:rFonts w:ascii="Arial" w:hAnsi="Arial" w:cs="Arial"/>
          <w:color w:val="000000"/>
          <w:sz w:val="20"/>
          <w:szCs w:val="20"/>
          <w:highlight w:val="yellow"/>
        </w:rPr>
        <w:t>specialised</w:t>
      </w:r>
      <w:r w:rsidRPr="00E60926">
        <w:rPr>
          <w:rFonts w:ascii="Arial" w:hAnsi="Arial" w:cs="Arial"/>
          <w:color w:val="000000"/>
          <w:sz w:val="20"/>
          <w:szCs w:val="20"/>
        </w:rPr>
        <w:t xml:space="preserve"> technology-related skills.</w:t>
      </w:r>
    </w:p>
    <w:p w14:paraId="7D06AB1C" w14:textId="77777777" w:rsidR="007253F3" w:rsidRPr="00E60926" w:rsidRDefault="007253F3" w:rsidP="007253F3">
      <w:pPr>
        <w:rPr>
          <w:rFonts w:ascii="Arial" w:hAnsi="Arial" w:cs="Arial"/>
          <w:sz w:val="20"/>
          <w:szCs w:val="20"/>
        </w:rPr>
      </w:pPr>
    </w:p>
    <w:p w14:paraId="03DF411E" w14:textId="77777777"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3.3 What the Correspondence Indicates About Philippine BSBA Education as Human-Capital Development</w:t>
      </w:r>
    </w:p>
    <w:p w14:paraId="26D1DDC3" w14:textId="77777777" w:rsidR="007253F3" w:rsidRPr="007253F3" w:rsidRDefault="007253F3" w:rsidP="007253F3">
      <w:pPr>
        <w:rPr>
          <w:sz w:val="20"/>
          <w:szCs w:val="20"/>
        </w:rPr>
      </w:pPr>
    </w:p>
    <w:p w14:paraId="5C354EB7"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third research question extends the analysis from identifying correspondence to interpreting its implications for BSBA education as a form of human-capital development. Human Capital Theory frames the central issue as whether education cultivates capabilities that enable productive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 market participation and retain value amid evolving work environments (Becker, 1964). Recent research by Deming and Silliman (2025) further underscores that human capital is multidimensional, encompassing higher-order capacities such as social and decision-making skills, rather than being limited to years of education or a single cognitive metric.</w:t>
      </w:r>
    </w:p>
    <w:p w14:paraId="0419AA43"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findings suggest that Philippine BSBA education establishes a durable foundation of transferable human capital. The strong </w:t>
      </w:r>
      <w:r w:rsidR="00A12FB7">
        <w:rPr>
          <w:rFonts w:ascii="Arial" w:hAnsi="Arial" w:cs="Arial"/>
          <w:color w:val="000000"/>
          <w:sz w:val="20"/>
          <w:szCs w:val="20"/>
        </w:rPr>
        <w:t xml:space="preserve">correspondence </w:t>
      </w:r>
      <w:r w:rsidRPr="007253F3">
        <w:rPr>
          <w:rFonts w:ascii="Arial" w:hAnsi="Arial" w:cs="Arial"/>
          <w:color w:val="000000"/>
          <w:sz w:val="20"/>
          <w:szCs w:val="20"/>
        </w:rPr>
        <w:t>with analytical thinking, creative thinking, leadership, communication, stakeholder engagement, management, research, innovation, and ICT indicates that the regulatory framework fosters capabilities applicable across diverse business functions and evolving work environments. These capabilities are not tied to specific technologies or occupations, enhancing their value as the nature of work changes.</w:t>
      </w:r>
    </w:p>
    <w:p w14:paraId="67A56F67"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interpretation aligns with evidence that higher education enhances employability through both occupation-specific knowledge and transferable capabilities. Kmiotek-Meier et al. (2024) found that graduate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requirements span multiple occupational domains, while Bilderback and Thompson (2025) highlight the significance of </w:t>
      </w:r>
      <w:r w:rsidRPr="007253F3">
        <w:rPr>
          <w:rFonts w:ascii="Arial" w:hAnsi="Arial" w:cs="Arial"/>
          <w:color w:val="000000"/>
          <w:sz w:val="20"/>
          <w:szCs w:val="20"/>
        </w:rPr>
        <w:lastRenderedPageBreak/>
        <w:t>interdisciplinary, global, technological, and leadership skills in preparing graduates for interconnected economies.</w:t>
      </w:r>
    </w:p>
    <w:p w14:paraId="50AFC2EB" w14:textId="77777777" w:rsidR="007253F3" w:rsidRPr="00A76ED7" w:rsidRDefault="007253F3" w:rsidP="007253F3">
      <w:pPr>
        <w:pStyle w:val="NormalWeb"/>
        <w:spacing w:before="0" w:beforeAutospacing="0" w:after="0" w:afterAutospacing="0"/>
        <w:rPr>
          <w:rFonts w:ascii="Arial" w:hAnsi="Arial" w:cs="Arial"/>
          <w:sz w:val="20"/>
          <w:szCs w:val="20"/>
        </w:rPr>
      </w:pPr>
      <w:r w:rsidRPr="007253F3">
        <w:rPr>
          <w:rFonts w:ascii="Arial" w:hAnsi="Arial" w:cs="Arial"/>
          <w:color w:val="000000"/>
          <w:sz w:val="20"/>
          <w:szCs w:val="20"/>
        </w:rPr>
        <w:t xml:space="preserve">The findings do not support the assertion that Philippine BSBA education is fundamentally misaligned with current workforce requirements. Such a claim would disregard the substantial correspondence identified in the analysis. Instead, the results indicate that the </w:t>
      </w:r>
      <w:r w:rsidRPr="00A76ED7">
        <w:rPr>
          <w:rFonts w:ascii="Arial" w:hAnsi="Arial" w:cs="Arial"/>
          <w:color w:val="000000"/>
          <w:sz w:val="20"/>
          <w:szCs w:val="20"/>
        </w:rPr>
        <w:t>framework is more attuned to enduring and transferable forms of human capital than to rapidly emerging, technology-specific competencies.</w:t>
      </w:r>
    </w:p>
    <w:p w14:paraId="01D59EEC" w14:textId="77777777" w:rsidR="007253F3" w:rsidRPr="007253F3" w:rsidRDefault="00A76ED7" w:rsidP="007253F3">
      <w:pPr>
        <w:pStyle w:val="NormalWeb"/>
        <w:spacing w:before="0" w:beforeAutospacing="0" w:after="0" w:afterAutospacing="0"/>
        <w:rPr>
          <w:sz w:val="20"/>
          <w:szCs w:val="20"/>
        </w:rPr>
      </w:pPr>
      <w:r w:rsidRPr="00A76ED7">
        <w:rPr>
          <w:rFonts w:ascii="Arial" w:hAnsi="Arial" w:cs="Arial"/>
          <w:sz w:val="20"/>
          <w:szCs w:val="20"/>
        </w:rPr>
        <w:t>This distinction is central to interpreting the findings.</w:t>
      </w:r>
      <w:r w:rsidRPr="00A76ED7">
        <w:rPr>
          <w:rFonts w:ascii="Arial" w:hAnsi="Arial" w:cs="Arial"/>
          <w:color w:val="000000"/>
          <w:sz w:val="20"/>
          <w:szCs w:val="20"/>
        </w:rPr>
        <w:t xml:space="preserve"> </w:t>
      </w:r>
      <w:r w:rsidR="007253F3" w:rsidRPr="00A76ED7">
        <w:rPr>
          <w:rFonts w:ascii="Arial" w:hAnsi="Arial" w:cs="Arial"/>
          <w:color w:val="000000"/>
          <w:sz w:val="20"/>
          <w:szCs w:val="20"/>
        </w:rPr>
        <w:t>A curriculum can foster adaptable graduates without explicitly referencing every emerging technology. Analytical thinking, creativity, research capability, communication, leadership, and problem</w:t>
      </w:r>
      <w:r w:rsidR="007253F3" w:rsidRPr="007253F3">
        <w:rPr>
          <w:rFonts w:ascii="Arial" w:hAnsi="Arial" w:cs="Arial"/>
          <w:color w:val="000000"/>
          <w:sz w:val="20"/>
          <w:szCs w:val="20"/>
        </w:rPr>
        <w:t>-solving skills enable graduates to acquire new knowledge and adapt to evolving work conditions. Recent evidence on graduate work readiness also demonstrates that technological adaptability is distinct from basic digital literacy and serves as a key mechanism for responding to changing work environments .</w:t>
      </w:r>
      <w:r>
        <w:rPr>
          <w:highlight w:val="yellow"/>
        </w:rPr>
        <w:t>(Dara et al., 2026)</w:t>
      </w:r>
    </w:p>
    <w:p w14:paraId="7B3E6646"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However, transferable capabilities do not eliminate the need for technology-specific skills. AI, big data, cybersecurity, and programming are increasingly integral to contemporary business processes. As these competencies become more critical to productive work, general ICT proficiency may not suffice for certain emerging roles. Akhtar et al. (2024) found that modern business curricula must increasingly incorporate analytical, big-data, programming, and IT-based skills, while Brattin (2025) demonstrated that competency-based academic frameworks may overlook the process-oriented demands of industry practice.</w:t>
      </w:r>
    </w:p>
    <w:p w14:paraId="23E68185"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The issue can thus be framed as a distinction between durability and specificity. Durable competencies offer human capital that retains value through occupational and technological changes, while specific technological skills provide immediate capability for particular roles. The results suggest that CHED has established a strong foundation of durable competencies, while allowing institutions flexibility to address the technological specificity required by emerging work.</w:t>
      </w:r>
    </w:p>
    <w:p w14:paraId="5D03A00F"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interpretation aligns with the design of CMO No. 17, s. 2017, which sets minimum outcomes while granting higher education institutions the flexibility to innovate curricula based on their context and mission. Therefore, the lack of explicit AI, big-data, cybersecurity, and programming outcomes at the national level does not preclude individual BSBA </w:t>
      </w:r>
      <w:r w:rsidRPr="007253F3">
        <w:rPr>
          <w:rFonts w:ascii="Arial" w:hAnsi="Arial" w:cs="Arial"/>
          <w:color w:val="000000"/>
          <w:sz w:val="20"/>
          <w:szCs w:val="20"/>
          <w:highlight w:val="yellow"/>
        </w:rPr>
        <w:t>programmes</w:t>
      </w:r>
      <w:r w:rsidRPr="007253F3">
        <w:rPr>
          <w:rFonts w:ascii="Arial" w:hAnsi="Arial" w:cs="Arial"/>
          <w:color w:val="000000"/>
          <w:sz w:val="20"/>
          <w:szCs w:val="20"/>
        </w:rPr>
        <w:t xml:space="preserve"> from offering these competencies. Rather, it indicates that such emerging capabilities are not yet explicitly incorporated into the national minimum competency framework.</w:t>
      </w:r>
    </w:p>
    <w:p w14:paraId="6F2049FF"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Recent curriculum research affirms the value of curricular flexibility. Andonovikj et al. (2024) demonstrate that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data can inform curriculum adjustments, while Cheung et al. (2026) show that systematic alignment between learning outcomes and professional requirements enhances employability without sacrificing disciplinary depth. Felby et al. (2024) also highlight the importance of systematically comparing the supply of educational competence with </w:t>
      </w:r>
      <w:r w:rsidRPr="007253F3">
        <w:rPr>
          <w:rFonts w:ascii="Arial" w:hAnsi="Arial" w:cs="Arial"/>
          <w:color w:val="000000"/>
          <w:sz w:val="20"/>
          <w:szCs w:val="20"/>
          <w:highlight w:val="yellow"/>
        </w:rPr>
        <w:t>labour</w:t>
      </w:r>
      <w:r w:rsidRPr="007253F3">
        <w:rPr>
          <w:rFonts w:ascii="Arial" w:hAnsi="Arial" w:cs="Arial"/>
          <w:color w:val="000000"/>
          <w:sz w:val="20"/>
          <w:szCs w:val="20"/>
        </w:rPr>
        <w:t>-market demand.</w:t>
      </w:r>
    </w:p>
    <w:p w14:paraId="44C3A0B7"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issue is particularly salient in the Philippine context. Recent evidence highlights persistent mismatches between education, occupation, and skills, underscoring the need for enhanced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information and skills-anticipation mechanisms </w:t>
      </w:r>
      <w:r w:rsidRPr="007253F3">
        <w:rPr>
          <w:rFonts w:ascii="Arial" w:hAnsi="Arial" w:cs="Arial"/>
          <w:color w:val="000000"/>
          <w:sz w:val="20"/>
          <w:szCs w:val="20"/>
          <w:highlight w:val="yellow"/>
        </w:rPr>
        <w:t>(Bayudan-Dacuycuy, Epetia, et al., 2025; Bayudan-Dacuycuy, Vargas, &amp; Luzon, 2025)</w:t>
      </w:r>
      <w:r w:rsidRPr="007253F3">
        <w:rPr>
          <w:rFonts w:ascii="Arial" w:hAnsi="Arial" w:cs="Arial"/>
          <w:color w:val="000000"/>
          <w:sz w:val="20"/>
          <w:szCs w:val="20"/>
        </w:rPr>
        <w:t xml:space="preserve">. The Philippine Institute for Development Studies has called for improved skills taxonomies, more detailed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data, and stronger institutional coordination to support skills anticipation. Monteverde et al. (2025) similarly identify ongoing mismatches between training provision and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 demand, </w:t>
      </w:r>
      <w:r w:rsidRPr="007253F3">
        <w:rPr>
          <w:rFonts w:ascii="Arial" w:hAnsi="Arial" w:cs="Arial"/>
          <w:color w:val="000000"/>
          <w:sz w:val="20"/>
          <w:szCs w:val="20"/>
          <w:highlight w:val="yellow"/>
        </w:rPr>
        <w:t>emphasising</w:t>
      </w:r>
      <w:r w:rsidRPr="007253F3">
        <w:rPr>
          <w:rFonts w:ascii="Arial" w:hAnsi="Arial" w:cs="Arial"/>
          <w:color w:val="000000"/>
          <w:sz w:val="20"/>
          <w:szCs w:val="20"/>
        </w:rPr>
        <w:t xml:space="preserve"> the importance of aligning workforce development with technological advancements.</w:t>
      </w:r>
    </w:p>
    <w:p w14:paraId="1FF967AC"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These Philippine findings reinforce the interpretation presented in this study. The central issue is not merely whether CHED should incorporate additional skills into the BSBA framework, but whether the national competency framework and the HEIs implementing it possess adequate mechanisms to continuously translate </w:t>
      </w:r>
      <w:r w:rsidRPr="007253F3">
        <w:rPr>
          <w:rFonts w:ascii="Arial" w:hAnsi="Arial" w:cs="Arial"/>
          <w:color w:val="000000"/>
          <w:sz w:val="20"/>
          <w:szCs w:val="20"/>
          <w:highlight w:val="yellow"/>
        </w:rPr>
        <w:t>labour</w:t>
      </w:r>
      <w:r w:rsidRPr="007253F3">
        <w:rPr>
          <w:rFonts w:ascii="Arial" w:hAnsi="Arial" w:cs="Arial"/>
          <w:color w:val="000000"/>
          <w:sz w:val="20"/>
          <w:szCs w:val="20"/>
        </w:rPr>
        <w:t xml:space="preserve">-market intelligence into </w:t>
      </w:r>
      <w:r w:rsidRPr="007253F3">
        <w:rPr>
          <w:rFonts w:ascii="Arial" w:hAnsi="Arial" w:cs="Arial"/>
          <w:color w:val="000000"/>
          <w:sz w:val="20"/>
          <w:szCs w:val="20"/>
        </w:rPr>
        <w:lastRenderedPageBreak/>
        <w:t>human capital development. As workforce demand evolves more rapidly than formal regulatory frameworks, a static competency framework may retain relevance in its transferable foundations while becoming less explicit regarding emerging technologies.</w:t>
      </w:r>
    </w:p>
    <w:p w14:paraId="3E0AE722"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This interpretation also avoids an overly deterministic perspective on curriculum alignment. Nelson et al. (2025) caution against viewing mismatch as a straightforward relationship between education and employment outcomes, </w:t>
      </w:r>
      <w:r w:rsidRPr="007253F3">
        <w:rPr>
          <w:rFonts w:ascii="Arial" w:hAnsi="Arial" w:cs="Arial"/>
          <w:color w:val="000000"/>
          <w:sz w:val="20"/>
          <w:szCs w:val="20"/>
          <w:highlight w:val="yellow"/>
        </w:rPr>
        <w:t>emphasising</w:t>
      </w:r>
      <w:r w:rsidRPr="007253F3">
        <w:rPr>
          <w:rFonts w:ascii="Arial" w:hAnsi="Arial" w:cs="Arial"/>
          <w:color w:val="000000"/>
          <w:sz w:val="20"/>
          <w:szCs w:val="20"/>
        </w:rPr>
        <w:t xml:space="preserve"> the complexity of long-term work-life trajectories. Similarly, Juma (2025) contends that addressing skills gaps requires more than technical curriculum adjustments, encompassing reskilling, digital literacy, experiential learning, and stronger education–industry partnerships.</w:t>
      </w:r>
    </w:p>
    <w:p w14:paraId="4351DF4A"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results suggest that human-capital development should be </w:t>
      </w:r>
      <w:r w:rsidRPr="007253F3">
        <w:rPr>
          <w:rFonts w:ascii="Arial" w:hAnsi="Arial" w:cs="Arial"/>
          <w:color w:val="000000"/>
          <w:sz w:val="20"/>
          <w:szCs w:val="20"/>
          <w:highlight w:val="yellow"/>
        </w:rPr>
        <w:t>conceptualised</w:t>
      </w:r>
      <w:r w:rsidRPr="007253F3">
        <w:rPr>
          <w:rFonts w:ascii="Arial" w:hAnsi="Arial" w:cs="Arial"/>
          <w:color w:val="000000"/>
          <w:sz w:val="20"/>
          <w:szCs w:val="20"/>
        </w:rPr>
        <w:t xml:space="preserve"> as a continuum rather than a singular curricular outcome. Formal BSBA education provides foundational capabilities, while subsequent </w:t>
      </w:r>
      <w:r w:rsidRPr="007253F3">
        <w:rPr>
          <w:rFonts w:ascii="Arial" w:hAnsi="Arial" w:cs="Arial"/>
          <w:color w:val="000000"/>
          <w:sz w:val="20"/>
          <w:szCs w:val="20"/>
          <w:highlight w:val="yellow"/>
        </w:rPr>
        <w:t>specialisation</w:t>
      </w:r>
      <w:r w:rsidRPr="007253F3">
        <w:rPr>
          <w:rFonts w:ascii="Arial" w:hAnsi="Arial" w:cs="Arial"/>
          <w:color w:val="000000"/>
          <w:sz w:val="20"/>
          <w:szCs w:val="20"/>
        </w:rPr>
        <w:t>, work-integrated learning, professional development, and continuing education build more specific competencies as technologies and occupations evolve. This perspective aligns with the World Economic Forum's emphasis on upskilling and reskilling as essential responses to changing work environments (WEF, 2025).</w:t>
      </w:r>
    </w:p>
    <w:p w14:paraId="36EFEEDA" w14:textId="77777777" w:rsidR="00432CC1" w:rsidRPr="007253F3" w:rsidRDefault="00432CC1" w:rsidP="00964D0D">
      <w:pPr>
        <w:rPr>
          <w:sz w:val="20"/>
          <w:szCs w:val="20"/>
        </w:rPr>
      </w:pPr>
    </w:p>
    <w:p w14:paraId="2DAAFA49" w14:textId="77777777"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3.4 Overall Synthesis of the Three Research Questions</w:t>
      </w:r>
    </w:p>
    <w:p w14:paraId="13509B3D" w14:textId="77777777" w:rsidR="007253F3" w:rsidRPr="007253F3" w:rsidRDefault="007253F3" w:rsidP="007253F3">
      <w:pPr>
        <w:rPr>
          <w:sz w:val="20"/>
          <w:szCs w:val="20"/>
        </w:rPr>
      </w:pPr>
    </w:p>
    <w:p w14:paraId="16602909"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Collectively, the three research questions yield a coherent set of findings.</w:t>
      </w:r>
    </w:p>
    <w:p w14:paraId="021308C1" w14:textId="77777777" w:rsidR="007253F3" w:rsidRPr="00827D4D" w:rsidRDefault="007253F3" w:rsidP="007253F3">
      <w:pPr>
        <w:pStyle w:val="NormalWeb"/>
        <w:spacing w:before="0" w:beforeAutospacing="0" w:after="0" w:afterAutospacing="0"/>
        <w:rPr>
          <w:rFonts w:ascii="Arial" w:hAnsi="Arial" w:cs="Arial"/>
          <w:sz w:val="20"/>
          <w:szCs w:val="20"/>
        </w:rPr>
      </w:pPr>
      <w:r w:rsidRPr="007253F3">
        <w:rPr>
          <w:rFonts w:ascii="Arial" w:hAnsi="Arial" w:cs="Arial"/>
          <w:color w:val="000000"/>
          <w:sz w:val="20"/>
          <w:szCs w:val="20"/>
        </w:rPr>
        <w:t xml:space="preserve">RQ1 established that workforce demand is evolving in two concurrent directions. Enduring human capabilities, including analytical thinking, creativity, resilience, leadership, and interpersonal skills, remain essential. In contrast, technology-intensive capabilities, such as artificial intelligence, big data, cybersecurity, and technological literacy, are projected to </w:t>
      </w:r>
      <w:r w:rsidRPr="00827D4D">
        <w:rPr>
          <w:rFonts w:ascii="Arial" w:hAnsi="Arial" w:cs="Arial"/>
          <w:color w:val="000000"/>
          <w:sz w:val="20"/>
          <w:szCs w:val="20"/>
        </w:rPr>
        <w:t>increase substantially by 2030.</w:t>
      </w:r>
    </w:p>
    <w:p w14:paraId="2F43765B" w14:textId="77777777" w:rsidR="00827D4D" w:rsidRDefault="00827D4D" w:rsidP="007253F3">
      <w:pPr>
        <w:pStyle w:val="NormalWeb"/>
        <w:spacing w:before="0" w:beforeAutospacing="0" w:after="0" w:afterAutospacing="0"/>
        <w:rPr>
          <w:rFonts w:ascii="Arial" w:hAnsi="Arial" w:cs="Arial"/>
          <w:sz w:val="20"/>
          <w:szCs w:val="20"/>
        </w:rPr>
      </w:pPr>
      <w:r w:rsidRPr="00827D4D">
        <w:rPr>
          <w:rFonts w:ascii="Arial" w:hAnsi="Arial" w:cs="Arial"/>
          <w:sz w:val="20"/>
          <w:szCs w:val="20"/>
        </w:rPr>
        <w:t>RQ2 demonstrated that the CHED BSBA framework shows strong correspondence with enduring human capabilities but less explicit correspondence with technology-intensive skills. The strongest correspondence is observed in analytical, creative, managerial, interpersonal, communication, research, innovation, and general information and communications technology (ICT) capabilities. The weakest correspondence pertains to rapidly emerging technical skills, particularly artificial intelligence, big data, networks, cybersecurity, and programming.</w:t>
      </w:r>
    </w:p>
    <w:p w14:paraId="4A205B46" w14:textId="77777777" w:rsidR="007253F3" w:rsidRPr="007253F3" w:rsidRDefault="007253F3" w:rsidP="007253F3">
      <w:pPr>
        <w:pStyle w:val="NormalWeb"/>
        <w:spacing w:before="0" w:beforeAutospacing="0" w:after="0" w:afterAutospacing="0"/>
        <w:rPr>
          <w:sz w:val="20"/>
          <w:szCs w:val="20"/>
        </w:rPr>
      </w:pPr>
      <w:r w:rsidRPr="00827D4D">
        <w:rPr>
          <w:rFonts w:ascii="Arial" w:hAnsi="Arial" w:cs="Arial"/>
          <w:color w:val="000000"/>
          <w:sz w:val="20"/>
          <w:szCs w:val="20"/>
        </w:rPr>
        <w:t>RQ3 indicates that</w:t>
      </w:r>
      <w:r w:rsidRPr="007253F3">
        <w:rPr>
          <w:rFonts w:ascii="Arial" w:hAnsi="Arial" w:cs="Arial"/>
          <w:color w:val="000000"/>
          <w:sz w:val="20"/>
          <w:szCs w:val="20"/>
        </w:rPr>
        <w:t xml:space="preserve"> this pattern reflects neither </w:t>
      </w:r>
      <w:r w:rsidR="00B97571">
        <w:rPr>
          <w:rFonts w:ascii="Arial" w:hAnsi="Arial" w:cs="Arial"/>
          <w:color w:val="000000"/>
          <w:sz w:val="20"/>
          <w:szCs w:val="20"/>
        </w:rPr>
        <w:t>comprehensive correspondence</w:t>
      </w:r>
      <w:r w:rsidRPr="007253F3">
        <w:rPr>
          <w:rFonts w:ascii="Arial" w:hAnsi="Arial" w:cs="Arial"/>
          <w:color w:val="000000"/>
          <w:sz w:val="20"/>
          <w:szCs w:val="20"/>
        </w:rPr>
        <w:t xml:space="preserve"> nor fundamental curricular obsolescence. Instead, Philippine BSBA education provides a durable foundation of transferable human capital, while assigning greater responsibility for developing emerging technology-specific capabilities to curricular enhancement, </w:t>
      </w:r>
      <w:r w:rsidRPr="007253F3">
        <w:rPr>
          <w:rFonts w:ascii="Arial" w:hAnsi="Arial" w:cs="Arial"/>
          <w:color w:val="000000"/>
          <w:sz w:val="20"/>
          <w:szCs w:val="20"/>
          <w:highlight w:val="yellow"/>
        </w:rPr>
        <w:t>specialisation</w:t>
      </w:r>
      <w:r w:rsidRPr="007253F3">
        <w:rPr>
          <w:rFonts w:ascii="Arial" w:hAnsi="Arial" w:cs="Arial"/>
          <w:color w:val="000000"/>
          <w:sz w:val="20"/>
          <w:szCs w:val="20"/>
        </w:rPr>
        <w:t>, work-integrated learning, and continuing education. This interpretation broadens the concept of curriculum–workforce alignment beyond a simple checklist of matching competencies. The central issue is not whether every workforce skill is explicitly listed in the CHED framework. Rather, the more meaningful human-capital question concerns whether the framework cultivates a portfolio of capabilities that is productive, transferable, and sufficiently responsive to evolving work requirements.</w:t>
      </w:r>
    </w:p>
    <w:p w14:paraId="565A7195" w14:textId="77777777" w:rsidR="007253F3" w:rsidRPr="007253F3" w:rsidRDefault="007253F3" w:rsidP="007253F3">
      <w:pPr>
        <w:pStyle w:val="NormalWeb"/>
        <w:spacing w:before="0" w:beforeAutospacing="0" w:after="0" w:afterAutospacing="0"/>
        <w:rPr>
          <w:sz w:val="20"/>
          <w:szCs w:val="20"/>
        </w:rPr>
      </w:pPr>
      <w:r w:rsidRPr="007253F3">
        <w:rPr>
          <w:rFonts w:ascii="Arial" w:hAnsi="Arial" w:cs="Arial"/>
          <w:color w:val="000000"/>
          <w:sz w:val="20"/>
          <w:szCs w:val="20"/>
        </w:rPr>
        <w:t xml:space="preserve">The findings indicate that Philippine BSBA education performs relatively well in developing broadly applicable capabilities across business contexts and occupations. Its primary limitation lies in the explicit anticipation of rapidly emerging technological capabilities. This limitation does not undermine the existing framework; instead, it highlights </w:t>
      </w:r>
      <w:r w:rsidRPr="007253F3">
        <w:rPr>
          <w:rFonts w:ascii="Arial" w:hAnsi="Arial" w:cs="Arial"/>
          <w:color w:val="000000"/>
          <w:sz w:val="20"/>
          <w:szCs w:val="20"/>
          <w:highlight w:val="yellow"/>
        </w:rPr>
        <w:t>a potential responsiveness issue in which the durable</w:t>
      </w:r>
      <w:r w:rsidRPr="007253F3">
        <w:rPr>
          <w:rFonts w:ascii="Arial" w:hAnsi="Arial" w:cs="Arial"/>
          <w:color w:val="000000"/>
          <w:sz w:val="20"/>
          <w:szCs w:val="20"/>
        </w:rPr>
        <w:t xml:space="preserve"> human-capital foundation is more robust than its explicit technological component.</w:t>
      </w:r>
    </w:p>
    <w:p w14:paraId="66C44335" w14:textId="77777777" w:rsidR="007253F3" w:rsidRDefault="007253F3" w:rsidP="00964D0D"/>
    <w:p w14:paraId="12533F8B" w14:textId="77777777" w:rsidR="008A5658" w:rsidRPr="0093290C" w:rsidRDefault="008A5658" w:rsidP="0093290C">
      <w:pPr>
        <w:pStyle w:val="Heading1"/>
        <w:spacing w:before="0" w:after="0"/>
        <w:rPr>
          <w:rFonts w:cs="Arial"/>
          <w:sz w:val="20"/>
          <w:szCs w:val="20"/>
        </w:rPr>
      </w:pPr>
      <w:r w:rsidRPr="007253F3">
        <w:rPr>
          <w:rFonts w:cs="Arial"/>
          <w:color w:val="000000"/>
          <w:sz w:val="22"/>
          <w:szCs w:val="22"/>
        </w:rPr>
        <w:t>4. CONCLUSION</w:t>
      </w:r>
    </w:p>
    <w:p w14:paraId="1EB97191" w14:textId="77777777" w:rsidR="008A5658" w:rsidRPr="0093290C" w:rsidRDefault="008A5658" w:rsidP="0093290C">
      <w:pPr>
        <w:rPr>
          <w:rFonts w:ascii="Arial" w:hAnsi="Arial" w:cs="Arial"/>
          <w:sz w:val="20"/>
          <w:szCs w:val="20"/>
        </w:rPr>
      </w:pPr>
    </w:p>
    <w:p w14:paraId="4B4698BF" w14:textId="77777777" w:rsidR="0093290C" w:rsidRPr="0093290C" w:rsidRDefault="0093290C" w:rsidP="0093290C">
      <w:pPr>
        <w:pStyle w:val="pdq2pgselectionanchorcontainer"/>
        <w:spacing w:before="0" w:beforeAutospacing="0" w:after="0" w:afterAutospacing="0"/>
        <w:rPr>
          <w:rFonts w:ascii="Arial" w:hAnsi="Arial" w:cs="Arial"/>
          <w:sz w:val="20"/>
          <w:szCs w:val="20"/>
        </w:rPr>
      </w:pPr>
      <w:r w:rsidRPr="0093290C">
        <w:rPr>
          <w:rFonts w:ascii="Arial" w:hAnsi="Arial" w:cs="Arial"/>
          <w:sz w:val="20"/>
          <w:szCs w:val="20"/>
        </w:rPr>
        <w:t xml:space="preserve">This study demonstrates that the responsiveness of Philippine BSBA education is best understood in terms of its capacity to develop human capital that retains value as </w:t>
      </w:r>
      <w:r w:rsidRPr="0093290C">
        <w:rPr>
          <w:rFonts w:ascii="Arial" w:hAnsi="Arial" w:cs="Arial"/>
          <w:sz w:val="20"/>
          <w:szCs w:val="20"/>
          <w:highlight w:val="yellow"/>
        </w:rPr>
        <w:t>labour</w:t>
      </w:r>
      <w:r w:rsidRPr="0093290C">
        <w:rPr>
          <w:rFonts w:ascii="Arial" w:hAnsi="Arial" w:cs="Arial"/>
          <w:sz w:val="20"/>
          <w:szCs w:val="20"/>
        </w:rPr>
        <w:t>-</w:t>
      </w:r>
      <w:r w:rsidRPr="0093290C">
        <w:rPr>
          <w:rFonts w:ascii="Arial" w:hAnsi="Arial" w:cs="Arial"/>
          <w:sz w:val="20"/>
          <w:szCs w:val="20"/>
        </w:rPr>
        <w:lastRenderedPageBreak/>
        <w:t>market requirements evolve. The findings show substantial correspondence between the CHED BSBA competency framework and workforce capabilities that remain important across changing business environments, particularly analytical thinking, creative thinking, leadership, communication, management, research, innovation, and general technological literacy. However, the framework provides less explicit coverage of rapidly emerging technology-specific capabilities, including artificial intelligence, big data, cybersecurity, and programming.</w:t>
      </w:r>
    </w:p>
    <w:p w14:paraId="6E5EC5C1" w14:textId="77777777" w:rsidR="0093290C" w:rsidRPr="0093290C" w:rsidRDefault="0093290C" w:rsidP="0093290C">
      <w:pPr>
        <w:pStyle w:val="NormalWeb"/>
        <w:spacing w:before="0" w:beforeAutospacing="0" w:after="0" w:afterAutospacing="0"/>
        <w:rPr>
          <w:rFonts w:ascii="Arial" w:hAnsi="Arial" w:cs="Arial"/>
          <w:sz w:val="20"/>
          <w:szCs w:val="20"/>
        </w:rPr>
      </w:pPr>
      <w:r w:rsidRPr="0093290C">
        <w:rPr>
          <w:rFonts w:ascii="Arial" w:hAnsi="Arial" w:cs="Arial"/>
          <w:sz w:val="20"/>
          <w:szCs w:val="20"/>
        </w:rPr>
        <w:t xml:space="preserve">From the perspective of Human Capital Theory, these findings highlight the importance of balancing durable and adaptable capabilities with the capacity to acquire more </w:t>
      </w:r>
      <w:r w:rsidRPr="0093290C">
        <w:rPr>
          <w:rFonts w:ascii="Arial" w:hAnsi="Arial" w:cs="Arial"/>
          <w:sz w:val="20"/>
          <w:szCs w:val="20"/>
          <w:highlight w:val="yellow"/>
        </w:rPr>
        <w:t>specialised</w:t>
      </w:r>
      <w:r w:rsidRPr="0093290C">
        <w:rPr>
          <w:rFonts w:ascii="Arial" w:hAnsi="Arial" w:cs="Arial"/>
          <w:sz w:val="20"/>
          <w:szCs w:val="20"/>
        </w:rPr>
        <w:t xml:space="preserve"> skills as </w:t>
      </w:r>
      <w:r w:rsidRPr="0093290C">
        <w:rPr>
          <w:rFonts w:ascii="Arial" w:hAnsi="Arial" w:cs="Arial"/>
          <w:sz w:val="20"/>
          <w:szCs w:val="20"/>
          <w:highlight w:val="yellow"/>
        </w:rPr>
        <w:t>labour</w:t>
      </w:r>
      <w:r w:rsidRPr="0093290C">
        <w:rPr>
          <w:rFonts w:ascii="Arial" w:hAnsi="Arial" w:cs="Arial"/>
          <w:sz w:val="20"/>
          <w:szCs w:val="20"/>
        </w:rPr>
        <w:t>-market requirements change (Becker, 1964; Deming &amp; Silliman, 2025). The absence of explicit technology-specific competencies at the national level does not necessarily indicate curricular obsolescence, particularly because CMO No. 17, s. 2017 provides higher education institutions with flexibility to develop curricula according to their contexts and missions. Rather, it suggests that national standards provide a relatively strong foundation of transferable human capital while leaving room for institutions to respond to emerging technological requirements.</w:t>
      </w:r>
    </w:p>
    <w:p w14:paraId="44D56C4F" w14:textId="77777777" w:rsidR="0093290C" w:rsidRPr="0093290C" w:rsidRDefault="0093290C" w:rsidP="0093290C">
      <w:pPr>
        <w:pStyle w:val="NormalWeb"/>
        <w:spacing w:before="0" w:beforeAutospacing="0" w:after="0" w:afterAutospacing="0"/>
        <w:rPr>
          <w:rFonts w:ascii="Arial" w:hAnsi="Arial" w:cs="Arial"/>
          <w:sz w:val="20"/>
          <w:szCs w:val="20"/>
        </w:rPr>
      </w:pPr>
      <w:r w:rsidRPr="0093290C">
        <w:rPr>
          <w:rFonts w:ascii="Arial" w:hAnsi="Arial" w:cs="Arial"/>
          <w:sz w:val="20"/>
          <w:szCs w:val="20"/>
        </w:rPr>
        <w:t xml:space="preserve">The primary contribution of this study is its framing of curriculum responsiveness as an economic issue of human-capital development. Rather than treating curriculum relevance as a simple matter of matching educational competencies with individual workforce skills, the study </w:t>
      </w:r>
      <w:r w:rsidRPr="0093290C">
        <w:rPr>
          <w:rFonts w:ascii="Arial" w:hAnsi="Arial" w:cs="Arial"/>
          <w:sz w:val="20"/>
          <w:szCs w:val="20"/>
          <w:highlight w:val="yellow"/>
        </w:rPr>
        <w:t>emphasises</w:t>
      </w:r>
      <w:r w:rsidRPr="0093290C">
        <w:rPr>
          <w:rFonts w:ascii="Arial" w:hAnsi="Arial" w:cs="Arial"/>
          <w:sz w:val="20"/>
          <w:szCs w:val="20"/>
        </w:rPr>
        <w:t xml:space="preserve"> the need to consider whether education develops capabilities that remain productive and transferable while enabling individuals to adapt to changing skill requirements. This perspective provides a more dynamic basis for understanding the role of higher education in developing </w:t>
      </w:r>
      <w:r w:rsidRPr="0093290C">
        <w:rPr>
          <w:rFonts w:ascii="Arial" w:hAnsi="Arial" w:cs="Arial"/>
          <w:sz w:val="20"/>
          <w:szCs w:val="20"/>
          <w:highlight w:val="yellow"/>
        </w:rPr>
        <w:t>labour</w:t>
      </w:r>
      <w:r w:rsidRPr="0093290C">
        <w:rPr>
          <w:rFonts w:ascii="Arial" w:hAnsi="Arial" w:cs="Arial"/>
          <w:sz w:val="20"/>
          <w:szCs w:val="20"/>
        </w:rPr>
        <w:t>-market capabilities.</w:t>
      </w:r>
    </w:p>
    <w:p w14:paraId="4AA8DB74" w14:textId="77777777" w:rsidR="0093290C" w:rsidRPr="0093290C" w:rsidRDefault="0093290C" w:rsidP="0093290C">
      <w:pPr>
        <w:pStyle w:val="NormalWeb"/>
        <w:spacing w:before="0" w:beforeAutospacing="0" w:after="0" w:afterAutospacing="0"/>
        <w:rPr>
          <w:rFonts w:ascii="Arial" w:hAnsi="Arial" w:cs="Arial"/>
          <w:sz w:val="20"/>
          <w:szCs w:val="20"/>
        </w:rPr>
      </w:pPr>
      <w:r w:rsidRPr="0093290C">
        <w:rPr>
          <w:rFonts w:ascii="Arial" w:hAnsi="Arial" w:cs="Arial"/>
          <w:sz w:val="20"/>
          <w:szCs w:val="20"/>
        </w:rPr>
        <w:t xml:space="preserve">For Philippine BSBA education, the findings suggest the need for sustained curricular responsiveness rather than comprehensive curricular replacement. National standards can continue to provide broad and durable competencies, while higher education institutions can incorporate emerging technological capabilities through curricular enhancement, </w:t>
      </w:r>
      <w:r w:rsidRPr="0093290C">
        <w:rPr>
          <w:rFonts w:ascii="Arial" w:hAnsi="Arial" w:cs="Arial"/>
          <w:sz w:val="20"/>
          <w:szCs w:val="20"/>
          <w:highlight w:val="yellow"/>
        </w:rPr>
        <w:t>specialisation</w:t>
      </w:r>
      <w:r w:rsidRPr="0093290C">
        <w:rPr>
          <w:rFonts w:ascii="Arial" w:hAnsi="Arial" w:cs="Arial"/>
          <w:sz w:val="20"/>
          <w:szCs w:val="20"/>
        </w:rPr>
        <w:t>, work-integrated learning, and continuing education. Maintaining this balance can strengthen the economic relevance of BSBA education while preserving the transferable capabilities that remain valuable across changing occupations and technologies.</w:t>
      </w:r>
    </w:p>
    <w:p w14:paraId="4AF7D94A" w14:textId="77777777" w:rsidR="007253F3" w:rsidRDefault="007253F3" w:rsidP="007253F3"/>
    <w:p w14:paraId="2157D828" w14:textId="239398F6" w:rsidR="007253F3" w:rsidRPr="007253F3" w:rsidRDefault="007253F3" w:rsidP="007253F3">
      <w:pPr>
        <w:pStyle w:val="Heading3"/>
        <w:spacing w:before="0"/>
        <w:rPr>
          <w:b/>
          <w:bCs/>
          <w:sz w:val="22"/>
          <w:szCs w:val="22"/>
        </w:rPr>
      </w:pPr>
      <w:r w:rsidRPr="007253F3">
        <w:rPr>
          <w:rFonts w:ascii="Arial" w:hAnsi="Arial" w:cs="Arial"/>
          <w:b/>
          <w:bCs/>
          <w:color w:val="000000"/>
          <w:sz w:val="22"/>
          <w:szCs w:val="22"/>
        </w:rPr>
        <w:t>Limitations and Directions for Future Research</w:t>
      </w:r>
    </w:p>
    <w:p w14:paraId="420C3C11" w14:textId="77777777" w:rsidR="007253F3" w:rsidRDefault="007253F3" w:rsidP="007253F3"/>
    <w:p w14:paraId="6A69213B" w14:textId="77777777" w:rsidR="007253F3" w:rsidRDefault="007253F3" w:rsidP="007253F3">
      <w:pPr>
        <w:pStyle w:val="NormalWeb"/>
        <w:spacing w:before="0" w:beforeAutospacing="0" w:after="0" w:afterAutospacing="0"/>
      </w:pPr>
      <w:r>
        <w:rPr>
          <w:rFonts w:ascii="Arial" w:hAnsi="Arial" w:cs="Arial"/>
          <w:color w:val="000000"/>
          <w:sz w:val="20"/>
          <w:szCs w:val="20"/>
        </w:rPr>
        <w:t xml:space="preserve">This study has three principal limitations. First, its scope of comparison is intentionally limited to the World Economic Forum's </w:t>
      </w:r>
      <w:r>
        <w:rPr>
          <w:rFonts w:ascii="Arial" w:hAnsi="Arial" w:cs="Arial"/>
          <w:i/>
          <w:iCs/>
          <w:color w:val="000000"/>
          <w:sz w:val="20"/>
          <w:szCs w:val="20"/>
        </w:rPr>
        <w:t>Future of Jobs Report 2025</w:t>
      </w:r>
      <w:r>
        <w:rPr>
          <w:rFonts w:ascii="Arial" w:hAnsi="Arial" w:cs="Arial"/>
          <w:color w:val="000000"/>
          <w:sz w:val="20"/>
          <w:szCs w:val="20"/>
        </w:rPr>
        <w:t xml:space="preserve"> and the Commission on Higher Education's BSBA competency framework under CMO No. 17, s. 2017; as a result, it does not capture the full spectrum of Philippine </w:t>
      </w:r>
      <w:r>
        <w:rPr>
          <w:rFonts w:ascii="Arial" w:hAnsi="Arial" w:cs="Arial"/>
          <w:color w:val="000000"/>
          <w:sz w:val="20"/>
          <w:szCs w:val="20"/>
          <w:highlight w:val="yellow"/>
        </w:rPr>
        <w:t>labour</w:t>
      </w:r>
      <w:r>
        <w:rPr>
          <w:rFonts w:ascii="Arial" w:hAnsi="Arial" w:cs="Arial"/>
          <w:color w:val="000000"/>
          <w:sz w:val="20"/>
          <w:szCs w:val="20"/>
        </w:rPr>
        <w:t xml:space="preserve">-market requirements or institutional curricula. Second, the analysis focuses on national competency standards rather than their implementation at the level of individual higher education institutions. Third, the qualitative correspondence analysis identifies relationships between documentary frameworks but does not assess graduates' actual skill proficiency, employment outcomes, productivity, or returns to education. Future research could address these limitations by examining institution-level curricula and learning outcomes, integrating evidence from Philippine employers and </w:t>
      </w:r>
      <w:r>
        <w:rPr>
          <w:rFonts w:ascii="Arial" w:hAnsi="Arial" w:cs="Arial"/>
          <w:color w:val="000000"/>
          <w:sz w:val="20"/>
          <w:szCs w:val="20"/>
          <w:highlight w:val="yellow"/>
        </w:rPr>
        <w:t>labour</w:t>
      </w:r>
      <w:r>
        <w:rPr>
          <w:rFonts w:ascii="Arial" w:hAnsi="Arial" w:cs="Arial"/>
          <w:color w:val="000000"/>
          <w:sz w:val="20"/>
          <w:szCs w:val="20"/>
        </w:rPr>
        <w:t xml:space="preserve"> market data, and evaluating whether the competencies specified in national standards are associated with graduate employment and other </w:t>
      </w:r>
      <w:r>
        <w:rPr>
          <w:rFonts w:ascii="Arial" w:hAnsi="Arial" w:cs="Arial"/>
          <w:color w:val="000000"/>
          <w:sz w:val="20"/>
          <w:szCs w:val="20"/>
          <w:highlight w:val="yellow"/>
        </w:rPr>
        <w:t>labour</w:t>
      </w:r>
      <w:r>
        <w:rPr>
          <w:rFonts w:ascii="Arial" w:hAnsi="Arial" w:cs="Arial"/>
          <w:color w:val="000000"/>
          <w:sz w:val="20"/>
          <w:szCs w:val="20"/>
        </w:rPr>
        <w:t xml:space="preserve"> market outcomes.</w:t>
      </w:r>
    </w:p>
    <w:p w14:paraId="5E2CB218" w14:textId="77777777" w:rsidR="00315186" w:rsidRPr="004C2541" w:rsidRDefault="00315186" w:rsidP="004C2541">
      <w:pPr>
        <w:rPr>
          <w:rFonts w:ascii="Arial" w:hAnsi="Arial" w:cs="Arial"/>
          <w:color w:val="000000" w:themeColor="text1"/>
          <w:sz w:val="20"/>
          <w:szCs w:val="20"/>
        </w:rPr>
      </w:pPr>
    </w:p>
    <w:p w14:paraId="73B91E81" w14:textId="77777777" w:rsidR="00B937BD" w:rsidRDefault="00B937BD" w:rsidP="00B937BD">
      <w:pPr>
        <w:rPr>
          <w:b/>
        </w:rPr>
      </w:pPr>
      <w:r w:rsidRPr="000839CE">
        <w:rPr>
          <w:b/>
        </w:rPr>
        <w:t>Declaration of AI Use</w:t>
      </w:r>
    </w:p>
    <w:p w14:paraId="1FD42843" w14:textId="77777777" w:rsidR="00B937BD" w:rsidRDefault="00B937BD" w:rsidP="00B937BD">
      <w:pPr>
        <w:rPr>
          <w:b/>
        </w:rPr>
      </w:pPr>
    </w:p>
    <w:p w14:paraId="29194D4F" w14:textId="77777777" w:rsidR="00B937BD" w:rsidRDefault="00B937BD" w:rsidP="00B937BD">
      <w:pPr>
        <w:rPr>
          <w:b/>
        </w:rPr>
      </w:pPr>
    </w:p>
    <w:p w14:paraId="4AB7A7AA" w14:textId="77777777" w:rsidR="00B937BD" w:rsidRDefault="00B937BD" w:rsidP="00B937BD">
      <w:pPr>
        <w:rPr>
          <w:b/>
        </w:rPr>
      </w:pPr>
    </w:p>
    <w:p w14:paraId="02A8080B" w14:textId="77777777" w:rsidR="00B937BD" w:rsidRPr="002D08AC" w:rsidRDefault="00B937BD" w:rsidP="00B937BD">
      <w:pPr>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w:t>
      </w:r>
      <w:r w:rsidRPr="002D08AC">
        <w:rPr>
          <w:rFonts w:ascii="Arial" w:hAnsi="Arial" w:cs="Arial"/>
          <w:sz w:val="20"/>
          <w:szCs w:val="20"/>
        </w:rPr>
        <w:lastRenderedPageBreak/>
        <w:t>ChatGPT were used solely to assist with grammatical refinement and reference formatting during manuscript revision. The author(s) accept full responsibility for the accuracy, integrity, and final content of the manuscript.</w:t>
      </w:r>
    </w:p>
    <w:p w14:paraId="034934F6" w14:textId="77777777" w:rsidR="004C2541" w:rsidRPr="00D43A6E" w:rsidRDefault="004C2541" w:rsidP="00D43A6E">
      <w:pPr>
        <w:rPr>
          <w:rFonts w:ascii="Arial" w:hAnsi="Arial" w:cs="Arial"/>
          <w:color w:val="000000" w:themeColor="text1"/>
          <w:sz w:val="20"/>
          <w:szCs w:val="20"/>
        </w:rPr>
      </w:pPr>
    </w:p>
    <w:p w14:paraId="2A81863B" w14:textId="77777777" w:rsidR="004C2541" w:rsidRPr="00D43A6E" w:rsidRDefault="004C2541" w:rsidP="00D43A6E">
      <w:pPr>
        <w:rPr>
          <w:rFonts w:ascii="Arial" w:hAnsi="Arial" w:cs="Arial"/>
          <w:color w:val="000000" w:themeColor="text1"/>
          <w:sz w:val="20"/>
          <w:szCs w:val="20"/>
        </w:rPr>
      </w:pPr>
    </w:p>
    <w:p w14:paraId="46074D23"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t>Competing interests</w:t>
      </w:r>
    </w:p>
    <w:p w14:paraId="21270365" w14:textId="77777777" w:rsidR="00860000" w:rsidRPr="004C2541" w:rsidRDefault="00860000" w:rsidP="004C2541">
      <w:pPr>
        <w:pStyle w:val="ReferHead"/>
        <w:spacing w:after="0"/>
        <w:jc w:val="both"/>
        <w:rPr>
          <w:rFonts w:ascii="Arial" w:hAnsi="Arial" w:cs="Arial"/>
          <w:sz w:val="20"/>
          <w:szCs w:val="20"/>
        </w:rPr>
      </w:pPr>
    </w:p>
    <w:p w14:paraId="70B9FEB3" w14:textId="77777777"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2A6CFE08" w14:textId="77777777" w:rsidR="00860000" w:rsidRDefault="00860000" w:rsidP="00441B6F">
      <w:pPr>
        <w:pStyle w:val="ReferHead"/>
        <w:spacing w:after="0"/>
        <w:jc w:val="both"/>
        <w:rPr>
          <w:rFonts w:ascii="Arial" w:hAnsi="Arial" w:cs="Arial"/>
          <w:b w:val="0"/>
          <w:caps w:val="0"/>
          <w:sz w:val="20"/>
        </w:rPr>
      </w:pPr>
    </w:p>
    <w:p w14:paraId="325A4D0D" w14:textId="77777777" w:rsidR="00C42725" w:rsidRDefault="00C42725" w:rsidP="00441B6F">
      <w:pPr>
        <w:pStyle w:val="ReferHead"/>
        <w:spacing w:after="0"/>
        <w:jc w:val="both"/>
        <w:rPr>
          <w:rFonts w:ascii="Arial" w:hAnsi="Arial" w:cs="Arial"/>
        </w:rPr>
      </w:pPr>
    </w:p>
    <w:p w14:paraId="4D4AC4E3"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8701826" w14:textId="77777777" w:rsidR="00790ADA" w:rsidRPr="00FB3A86" w:rsidRDefault="00790ADA" w:rsidP="00441B6F">
      <w:pPr>
        <w:pStyle w:val="ReferHead"/>
        <w:spacing w:after="0"/>
        <w:jc w:val="both"/>
        <w:rPr>
          <w:rFonts w:ascii="Arial" w:hAnsi="Arial" w:cs="Arial"/>
        </w:rPr>
      </w:pPr>
    </w:p>
    <w:p w14:paraId="0F5B41EC" w14:textId="77777777" w:rsidR="004D4277" w:rsidRPr="00FB3A86" w:rsidRDefault="004D4277" w:rsidP="00441B6F">
      <w:pPr>
        <w:pStyle w:val="Appendix"/>
        <w:spacing w:after="0"/>
        <w:jc w:val="both"/>
        <w:rPr>
          <w:rFonts w:ascii="Arial" w:hAnsi="Arial" w:cs="Arial"/>
          <w:b w:val="0"/>
        </w:rPr>
        <w:sectPr w:rsidR="004D4277" w:rsidRPr="00FB3A86" w:rsidSect="00D7083A">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AFCC597"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Akhtar, P., Moazzam, M., Ashraf, A., &amp; Khan, M. N. (2024). The interdisciplinary curriculum alignment to enhance graduates' employability and universities' sustainability. </w:t>
      </w:r>
      <w:r w:rsidRPr="00CA1E6B">
        <w:rPr>
          <w:i/>
          <w:iCs/>
          <w:lang w:val="en-US"/>
        </w:rPr>
        <w:t>The International Journal of Management Education, 22</w:t>
      </w:r>
      <w:r w:rsidRPr="00CA1E6B">
        <w:rPr>
          <w:lang w:val="en-US"/>
        </w:rPr>
        <w:t xml:space="preserve">(3), Article 101037. </w:t>
      </w:r>
      <w:hyperlink r:id="rId18" w:history="1">
        <w:r w:rsidRPr="00CA1E6B">
          <w:rPr>
            <w:color w:val="0000FF"/>
            <w:u w:val="single"/>
            <w:lang w:val="en-US"/>
          </w:rPr>
          <w:t>https://doi.org/10.1016/j.ijme.2024.101037</w:t>
        </w:r>
      </w:hyperlink>
    </w:p>
    <w:p w14:paraId="0E34F6F1"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Andonovikj, V., Mileva Boshkoska, B., Redek, T., &amp; Boškoski, P. (2024). A data-driven approach to aligning academic offerings with industry needs for business and economy in Slovenia. </w:t>
      </w:r>
      <w:r w:rsidRPr="00CA1E6B">
        <w:rPr>
          <w:i/>
          <w:iCs/>
          <w:lang w:val="en-US"/>
        </w:rPr>
        <w:t>Journal of Decision Systems, 33</w:t>
      </w:r>
      <w:r w:rsidRPr="00CA1E6B">
        <w:rPr>
          <w:lang w:val="en-US"/>
        </w:rPr>
        <w:t xml:space="preserve">(Suppl. 1), 284–296. </w:t>
      </w:r>
      <w:hyperlink r:id="rId19" w:history="1">
        <w:r w:rsidRPr="00CA1E6B">
          <w:rPr>
            <w:color w:val="0000FF"/>
            <w:u w:val="single"/>
            <w:lang w:val="en-US"/>
          </w:rPr>
          <w:t>https://doi.org/10.1080/12460125.2024.2354587</w:t>
        </w:r>
      </w:hyperlink>
    </w:p>
    <w:p w14:paraId="20F24129"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Bayudan-Dacuycuy, C., Epetia, M. C. F., Vargas, A. R. P., &amp; Ocbina, J. J. S. (2024). </w:t>
      </w:r>
      <w:r w:rsidRPr="00CA1E6B">
        <w:rPr>
          <w:i/>
          <w:iCs/>
          <w:lang w:val="en-US"/>
        </w:rPr>
        <w:t>Inputs to the Philippine Labor Market Information System and TESDA's Skills Anticipation and Prioritization of Skills Requirements Framework</w:t>
      </w:r>
      <w:r w:rsidRPr="00CA1E6B">
        <w:rPr>
          <w:lang w:val="en-US"/>
        </w:rPr>
        <w:t xml:space="preserve"> (Discussion Paper No. 2024-06). Philippine Institute for Development Studies. </w:t>
      </w:r>
      <w:hyperlink r:id="rId20" w:history="1">
        <w:r w:rsidRPr="00CA1E6B">
          <w:rPr>
            <w:color w:val="0000FF"/>
            <w:u w:val="single"/>
            <w:lang w:val="en-US"/>
          </w:rPr>
          <w:t>https://doi.org/10.62986/dp2024.06</w:t>
        </w:r>
      </w:hyperlink>
    </w:p>
    <w:p w14:paraId="08BA91EC"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Bayudan-Dacuycuy, C., Epetia, M. C. F., Vargas, A. R. P., &amp; Ocbina, J. J. S. (2025). </w:t>
      </w:r>
      <w:r w:rsidRPr="00CA1E6B">
        <w:rPr>
          <w:i/>
          <w:iCs/>
          <w:lang w:val="en-US"/>
        </w:rPr>
        <w:t>Enhancing the Philippine Labor Market Information System and TESDA's Skills Anticipation and Prioritization of Skills Requirements Framework</w:t>
      </w:r>
      <w:r w:rsidRPr="00CA1E6B">
        <w:rPr>
          <w:lang w:val="en-US"/>
        </w:rPr>
        <w:t xml:space="preserve"> (Research Paper Series No. 2025-03). Philippine Institute for Development Studies. </w:t>
      </w:r>
      <w:hyperlink r:id="rId21" w:history="1">
        <w:r w:rsidRPr="00CA1E6B">
          <w:rPr>
            <w:color w:val="0000FF"/>
            <w:u w:val="single"/>
            <w:lang w:val="en-US"/>
          </w:rPr>
          <w:t>https://doi.org/10.62986/rps2025.03</w:t>
        </w:r>
      </w:hyperlink>
    </w:p>
    <w:p w14:paraId="787CBDE8"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Bayudan-Dacuycuy, C., Vargas, A. R. P., &amp; Luzon, P. E. D. (2025). </w:t>
      </w:r>
      <w:r w:rsidRPr="00CA1E6B">
        <w:rPr>
          <w:i/>
          <w:iCs/>
          <w:lang w:val="en-US"/>
        </w:rPr>
        <w:t>Returns to professional licenses and education-occupation (mis)matching</w:t>
      </w:r>
      <w:r w:rsidRPr="00CA1E6B">
        <w:rPr>
          <w:lang w:val="en-US"/>
        </w:rPr>
        <w:t xml:space="preserve"> (Discussion Paper No. 2025-32). Philippine Institute for Development Studies. </w:t>
      </w:r>
      <w:hyperlink r:id="rId22" w:history="1">
        <w:r w:rsidRPr="00CA1E6B">
          <w:rPr>
            <w:color w:val="0000FF"/>
            <w:u w:val="single"/>
            <w:lang w:val="en-US"/>
          </w:rPr>
          <w:t>https://doi.org/10.62986/dp2025.32</w:t>
        </w:r>
      </w:hyperlink>
    </w:p>
    <w:p w14:paraId="648E6FCE"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Becker, G. S. (1964). </w:t>
      </w:r>
      <w:r w:rsidRPr="00CA1E6B">
        <w:rPr>
          <w:i/>
          <w:iCs/>
          <w:lang w:val="en-US"/>
        </w:rPr>
        <w:t>Human capital: A theoretical and empirical analysis, with special reference to education</w:t>
      </w:r>
      <w:r w:rsidRPr="00CA1E6B">
        <w:rPr>
          <w:lang w:val="en-US"/>
        </w:rPr>
        <w:t xml:space="preserve">. National Bureau of Economic Research. </w:t>
      </w:r>
    </w:p>
    <w:p w14:paraId="47641BDC"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Bilderback, S., &amp; Thompson, C. B. (2025). Developing global leadership competence: Redefining higher education for interconnected economies. </w:t>
      </w:r>
      <w:r w:rsidRPr="00CA1E6B">
        <w:rPr>
          <w:i/>
          <w:iCs/>
          <w:lang w:val="en-US"/>
        </w:rPr>
        <w:t xml:space="preserve">Higher Education, </w:t>
      </w:r>
      <w:r w:rsidRPr="00CA1E6B">
        <w:rPr>
          <w:i/>
          <w:iCs/>
          <w:lang w:val="en-US"/>
        </w:rPr>
        <w:lastRenderedPageBreak/>
        <w:t>Skills and Work-based Learning, 15</w:t>
      </w:r>
      <w:r w:rsidRPr="00CA1E6B">
        <w:rPr>
          <w:lang w:val="en-US"/>
        </w:rPr>
        <w:t xml:space="preserve">(4), 724–739. </w:t>
      </w:r>
      <w:hyperlink r:id="rId23" w:history="1">
        <w:r w:rsidRPr="00CA1E6B">
          <w:rPr>
            <w:color w:val="0000FF"/>
            <w:u w:val="single"/>
            <w:lang w:val="en-US"/>
          </w:rPr>
          <w:t>https://doi.org/10.1108/HESWBL-10-2024-0301</w:t>
        </w:r>
      </w:hyperlink>
    </w:p>
    <w:p w14:paraId="668DA195"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Boshkoska, B. M., Sen, S., &amp; Boškoski, P. (2024). A market driven identification of current and emerging skills requiring an MBA degree: A topic modelling approach. </w:t>
      </w:r>
      <w:r w:rsidRPr="00CA1E6B">
        <w:rPr>
          <w:i/>
          <w:iCs/>
          <w:lang w:val="en-US"/>
        </w:rPr>
        <w:t>Journal of Decision Systems, 33</w:t>
      </w:r>
      <w:r w:rsidRPr="00CA1E6B">
        <w:rPr>
          <w:lang w:val="en-US"/>
        </w:rPr>
        <w:t xml:space="preserve">(Suppl. 1), 297–310. </w:t>
      </w:r>
      <w:hyperlink r:id="rId24" w:history="1">
        <w:r w:rsidRPr="00CA1E6B">
          <w:rPr>
            <w:color w:val="0000FF"/>
            <w:u w:val="single"/>
            <w:lang w:val="en-US"/>
          </w:rPr>
          <w:t>https://doi.org/10.1080/12460125.2024.2348932</w:t>
        </w:r>
      </w:hyperlink>
    </w:p>
    <w:p w14:paraId="627CC916"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Brattin, R. (2025). The process deficit in data analytics education: Addressing workforce readiness gaps. </w:t>
      </w:r>
      <w:r w:rsidRPr="00CA1E6B">
        <w:rPr>
          <w:i/>
          <w:iCs/>
          <w:lang w:val="en-US"/>
        </w:rPr>
        <w:t>Higher Education, Skills and Work-based Learning, 15</w:t>
      </w:r>
      <w:r w:rsidRPr="00CA1E6B">
        <w:rPr>
          <w:lang w:val="en-US"/>
        </w:rPr>
        <w:t xml:space="preserve">(5), 1129–1145. </w:t>
      </w:r>
      <w:hyperlink r:id="rId25" w:history="1">
        <w:r w:rsidRPr="00CA1E6B">
          <w:rPr>
            <w:color w:val="0000FF"/>
            <w:u w:val="single"/>
            <w:lang w:val="en-US"/>
          </w:rPr>
          <w:t>https://doi.org/10.1108/HESWBL-03-2025-0101</w:t>
        </w:r>
      </w:hyperlink>
    </w:p>
    <w:p w14:paraId="683B49C6"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Bustos, R. (2024). Bridging the gap: Aligning higher education priorities with the shifting job landscape in the Philippines. </w:t>
      </w:r>
      <w:r w:rsidRPr="00CA1E6B">
        <w:rPr>
          <w:i/>
          <w:iCs/>
          <w:lang w:val="en-US"/>
        </w:rPr>
        <w:t>Recoletos Multidisciplinary Research Journal, 12</w:t>
      </w:r>
      <w:r w:rsidRPr="00CA1E6B">
        <w:rPr>
          <w:lang w:val="en-US"/>
        </w:rPr>
        <w:t xml:space="preserve">(1), 9–24. </w:t>
      </w:r>
      <w:hyperlink r:id="rId26" w:history="1">
        <w:r w:rsidRPr="00CA1E6B">
          <w:rPr>
            <w:color w:val="0000FF"/>
            <w:u w:val="single"/>
            <w:lang w:val="en-US"/>
          </w:rPr>
          <w:t>https://doi.org/10.32871/rmrj2412.01.02</w:t>
        </w:r>
      </w:hyperlink>
    </w:p>
    <w:p w14:paraId="458A29A4"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Chand, S. P. (2025). Methods of data collection in qualitative research: Interviews, focus groups, observations, and document analysis. </w:t>
      </w:r>
      <w:r w:rsidRPr="00CA1E6B">
        <w:rPr>
          <w:i/>
          <w:iCs/>
          <w:lang w:val="en-US"/>
        </w:rPr>
        <w:t>Advances in Educational Research and Evaluation, 6</w:t>
      </w:r>
      <w:r w:rsidRPr="00CA1E6B">
        <w:rPr>
          <w:lang w:val="en-US"/>
        </w:rPr>
        <w:t xml:space="preserve">(1), 303–317. </w:t>
      </w:r>
      <w:hyperlink r:id="rId27" w:history="1">
        <w:r w:rsidRPr="00CA1E6B">
          <w:rPr>
            <w:color w:val="0000FF"/>
            <w:u w:val="single"/>
            <w:lang w:val="en-US"/>
          </w:rPr>
          <w:t>https://doi.org/10.25082/AERE.2025.01.001</w:t>
        </w:r>
      </w:hyperlink>
    </w:p>
    <w:p w14:paraId="606C43F4" w14:textId="77777777" w:rsidR="00CA1E6B" w:rsidRPr="00CA1E6B" w:rsidRDefault="00CA1E6B" w:rsidP="00CA1E6B">
      <w:pPr>
        <w:spacing w:before="100" w:beforeAutospacing="1" w:after="100" w:afterAutospacing="1"/>
        <w:ind w:left="540" w:hanging="540"/>
        <w:jc w:val="both"/>
        <w:rPr>
          <w:lang w:val="en-US"/>
        </w:rPr>
      </w:pPr>
      <w:r w:rsidRPr="00CA1E6B">
        <w:rPr>
          <w:lang w:val="nl-BE"/>
        </w:rPr>
        <w:t xml:space="preserve">Cheung, K. S., Geertshuis, S., Liu, Q., &amp; Albashiry, N. (2026). </w:t>
      </w:r>
      <w:r w:rsidRPr="00CA1E6B">
        <w:rPr>
          <w:lang w:val="en-US"/>
        </w:rPr>
        <w:t xml:space="preserve">A systematic curriculum intervention: Embedding employability through constructive alignment to enhance student learning. </w:t>
      </w:r>
      <w:r w:rsidRPr="00CA1E6B">
        <w:rPr>
          <w:i/>
          <w:iCs/>
          <w:lang w:val="en-US"/>
        </w:rPr>
        <w:t>The Curriculum Journal, 37</w:t>
      </w:r>
      <w:r w:rsidRPr="00CA1E6B">
        <w:rPr>
          <w:lang w:val="en-US"/>
        </w:rPr>
        <w:t xml:space="preserve">(2), 465–483. </w:t>
      </w:r>
      <w:hyperlink r:id="rId28" w:history="1">
        <w:r w:rsidRPr="00CA1E6B">
          <w:rPr>
            <w:color w:val="0000FF"/>
            <w:u w:val="single"/>
            <w:lang w:val="en-US"/>
          </w:rPr>
          <w:t>https://doi.org/10.1002/curj.70016</w:t>
        </w:r>
      </w:hyperlink>
    </w:p>
    <w:p w14:paraId="3477DD81"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Commission on Higher Education. (2017). </w:t>
      </w:r>
      <w:r w:rsidRPr="00CA1E6B">
        <w:rPr>
          <w:i/>
          <w:iCs/>
          <w:lang w:val="en-US"/>
        </w:rPr>
        <w:t>Revised policies, standards and guidelines for Bachelor of Science in Business Administration</w:t>
      </w:r>
      <w:r w:rsidRPr="00CA1E6B">
        <w:rPr>
          <w:lang w:val="en-US"/>
        </w:rPr>
        <w:t xml:space="preserve"> (CHED Memorandum Order No. 17, s. 2017). </w:t>
      </w:r>
      <w:hyperlink r:id="rId29" w:history="1">
        <w:r w:rsidRPr="00CA1E6B">
          <w:rPr>
            <w:color w:val="0000FF"/>
            <w:u w:val="single"/>
            <w:lang w:val="en-US"/>
          </w:rPr>
          <w:t>https://legacy.ched.gov.ph/wp-content/uploads/2017/10/CMO-17-s-2017.pdf</w:t>
        </w:r>
      </w:hyperlink>
    </w:p>
    <w:p w14:paraId="75796CFC"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Dara, D., Nguyen, T. T., &amp; Putra, D. M. (2026). Beyond digital skills: Work-integrated learning, adaptability, and the thresholds for graduate work readiness. </w:t>
      </w:r>
      <w:r w:rsidRPr="00CA1E6B">
        <w:rPr>
          <w:i/>
          <w:iCs/>
          <w:lang w:val="en-US"/>
        </w:rPr>
        <w:t>Higher Education, Skills and Work-based Learning, 16</w:t>
      </w:r>
      <w:r w:rsidRPr="00CA1E6B">
        <w:rPr>
          <w:lang w:val="en-US"/>
        </w:rPr>
        <w:t xml:space="preserve">(3), 616–630. </w:t>
      </w:r>
      <w:hyperlink r:id="rId30" w:history="1">
        <w:r w:rsidRPr="00CA1E6B">
          <w:rPr>
            <w:color w:val="0000FF"/>
            <w:u w:val="single"/>
            <w:lang w:val="en-US"/>
          </w:rPr>
          <w:t>https://doi.org/10.1108/HESWBL-10-2025-0446</w:t>
        </w:r>
      </w:hyperlink>
    </w:p>
    <w:p w14:paraId="4E56F88E"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Deja, M., Bobkowski, P., Huvila, I., &amp; Mierzecka, A. (2024). Empowering through digital skills: A case of alumni in the business services sector. </w:t>
      </w:r>
      <w:r w:rsidRPr="00CA1E6B">
        <w:rPr>
          <w:i/>
          <w:iCs/>
          <w:lang w:val="en-US"/>
        </w:rPr>
        <w:t>Journal of the Association for Information Science and Technology, 75</w:t>
      </w:r>
      <w:r w:rsidRPr="00CA1E6B">
        <w:rPr>
          <w:lang w:val="en-US"/>
        </w:rPr>
        <w:t xml:space="preserve">(11), 1288–1303. </w:t>
      </w:r>
      <w:hyperlink r:id="rId31" w:history="1">
        <w:r w:rsidRPr="00CA1E6B">
          <w:rPr>
            <w:color w:val="0000FF"/>
            <w:u w:val="single"/>
            <w:lang w:val="en-US"/>
          </w:rPr>
          <w:t>https://doi.org/10.1002/asi.24890</w:t>
        </w:r>
      </w:hyperlink>
    </w:p>
    <w:p w14:paraId="798A46E9"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Deming, D., &amp; Silliman, M. (2025). Skills and human capital in the labor market. In C. Dustmann &amp; T. Lemieux (Eds.), </w:t>
      </w:r>
      <w:r w:rsidRPr="00CA1E6B">
        <w:rPr>
          <w:i/>
          <w:iCs/>
          <w:lang w:val="en-US"/>
        </w:rPr>
        <w:t>Handbook of labor economics</w:t>
      </w:r>
      <w:r w:rsidRPr="00CA1E6B">
        <w:rPr>
          <w:lang w:val="en-US"/>
        </w:rPr>
        <w:t xml:space="preserve"> (Vol. 6, pp. 115–157). Elsevier. </w:t>
      </w:r>
      <w:hyperlink r:id="rId32" w:history="1">
        <w:r w:rsidRPr="00CA1E6B">
          <w:rPr>
            <w:color w:val="0000FF"/>
            <w:u w:val="single"/>
            <w:lang w:val="en-US"/>
          </w:rPr>
          <w:t>https://doi.org/10.1016/bs.heslab.2025.07.001</w:t>
        </w:r>
      </w:hyperlink>
    </w:p>
    <w:p w14:paraId="48CF44FE" w14:textId="77777777" w:rsidR="0030673A" w:rsidRDefault="00000000">
      <w:pPr>
        <w:spacing w:before="100" w:beforeAutospacing="1" w:after="100" w:afterAutospacing="1"/>
        <w:ind w:left="540" w:hanging="540"/>
        <w:jc w:val="both"/>
        <w:rPr>
          <w:lang w:val="en-US"/>
        </w:rPr>
      </w:pPr>
      <w:r>
        <w:rPr>
          <w:b/>
          <w:highlight w:val="yellow"/>
        </w:rPr>
        <w:lastRenderedPageBreak/>
        <w:t xml:space="preserve">Drydakis, N. (2025). The formation of AI capital in higher education: Enhancing students’ academic performance and employment rates. </w:t>
      </w:r>
      <w:r>
        <w:rPr>
          <w:b/>
          <w:i/>
          <w:highlight w:val="yellow"/>
        </w:rPr>
        <w:t>Computers and Education: Artificial Intelligence, 9</w:t>
      </w:r>
      <w:r>
        <w:rPr>
          <w:b/>
          <w:highlight w:val="yellow"/>
        </w:rPr>
        <w:t>, 100476. https://doi.org/10.1016/j.caeai.2025.100476</w:t>
      </w:r>
    </w:p>
    <w:p w14:paraId="529690ED" w14:textId="77777777" w:rsidR="0030673A" w:rsidRDefault="00000000">
      <w:pPr>
        <w:spacing w:before="100" w:beforeAutospacing="1" w:after="100" w:afterAutospacing="1"/>
        <w:ind w:left="540" w:hanging="540"/>
        <w:jc w:val="both"/>
        <w:rPr>
          <w:lang w:val="en-US"/>
        </w:rPr>
      </w:pPr>
      <w:r>
        <w:rPr>
          <w:b/>
          <w:highlight w:val="yellow"/>
        </w:rPr>
        <w:t xml:space="preserve">Emaziye, O., &amp; Ito, F. M. (2025). Adoption of modern office technology for efficient job delivery among business education graduates in Nigeria. </w:t>
      </w:r>
      <w:r>
        <w:rPr>
          <w:b/>
          <w:i/>
          <w:highlight w:val="yellow"/>
        </w:rPr>
        <w:t>Journal of Global Economics, Management and Business Research, 17</w:t>
      </w:r>
      <w:r>
        <w:rPr>
          <w:b/>
          <w:highlight w:val="yellow"/>
        </w:rPr>
        <w:t>(2), 160–168. https://doi.org/10.56557/jgembr/2025/v17i29602</w:t>
      </w:r>
    </w:p>
    <w:p w14:paraId="7542A6F7"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Felby, L., Nielsen, J., Roesen, A., Mathiasen, M., &amp; Müller, S. (2024). Evaluating labour market–educational programme fit: A case study on aligning supply and demand for competences using a generic approach. </w:t>
      </w:r>
      <w:r w:rsidRPr="00CA1E6B">
        <w:rPr>
          <w:i/>
          <w:iCs/>
          <w:lang w:val="en-US"/>
        </w:rPr>
        <w:t>Nordic Journal of Vocational Education and Training, 14</w:t>
      </w:r>
      <w:r w:rsidRPr="00CA1E6B">
        <w:rPr>
          <w:lang w:val="en-US"/>
        </w:rPr>
        <w:t xml:space="preserve">(4), 1–23. </w:t>
      </w:r>
      <w:hyperlink r:id="rId33" w:history="1">
        <w:r w:rsidRPr="00CA1E6B">
          <w:rPr>
            <w:color w:val="0000FF"/>
            <w:u w:val="single"/>
            <w:lang w:val="en-US"/>
          </w:rPr>
          <w:t>https://doi.org/10.3384/njvet.2242-458X.241441</w:t>
        </w:r>
      </w:hyperlink>
    </w:p>
    <w:p w14:paraId="190C4DE4"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Hruby, J. (2026). Work-integrated learning (WIL) and universal employability global leadership skills: Evidence for curriculum integration over functional specialization. </w:t>
      </w:r>
      <w:r w:rsidRPr="00CA1E6B">
        <w:rPr>
          <w:i/>
          <w:iCs/>
          <w:lang w:val="en-US"/>
        </w:rPr>
        <w:t>Higher Education, Skills and Work-based Learning, 16</w:t>
      </w:r>
      <w:r w:rsidRPr="00CA1E6B">
        <w:rPr>
          <w:lang w:val="en-US"/>
        </w:rPr>
        <w:t xml:space="preserve">(2), 376–392. </w:t>
      </w:r>
      <w:hyperlink r:id="rId34" w:history="1">
        <w:r w:rsidRPr="00CA1E6B">
          <w:rPr>
            <w:color w:val="0000FF"/>
            <w:u w:val="single"/>
            <w:lang w:val="en-US"/>
          </w:rPr>
          <w:t>https://doi.org/10.1108/HESWBL-09-2025-0425</w:t>
        </w:r>
      </w:hyperlink>
    </w:p>
    <w:p w14:paraId="0814D68F"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Jackson, D. (2024). Work-integrated learning: Opportunities and challenges in Australia. </w:t>
      </w:r>
      <w:r w:rsidRPr="00CA1E6B">
        <w:rPr>
          <w:i/>
          <w:iCs/>
          <w:lang w:val="en-US"/>
        </w:rPr>
        <w:t>Higher Education Research &amp; Development, 43</w:t>
      </w:r>
      <w:r w:rsidRPr="00CA1E6B">
        <w:rPr>
          <w:lang w:val="en-US"/>
        </w:rPr>
        <w:t xml:space="preserve">(3), 767–773. </w:t>
      </w:r>
      <w:hyperlink r:id="rId35" w:history="1">
        <w:r w:rsidRPr="00CA1E6B">
          <w:rPr>
            <w:color w:val="0000FF"/>
            <w:u w:val="single"/>
            <w:lang w:val="en-US"/>
          </w:rPr>
          <w:t>https://doi.org/10.1080/07294360.2024.2307929</w:t>
        </w:r>
      </w:hyperlink>
    </w:p>
    <w:p w14:paraId="2277DE4E"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Javadian Sabet, A., Bana, S. H., Yu, R., &amp; Frank, M. R. (2024). Course-Skill Atlas: A national longitudinal dataset of skills taught in U.S. higher education curricula. </w:t>
      </w:r>
      <w:r w:rsidRPr="00CA1E6B">
        <w:rPr>
          <w:i/>
          <w:iCs/>
          <w:lang w:val="en-US"/>
        </w:rPr>
        <w:t>Scientific Data, 11</w:t>
      </w:r>
      <w:r w:rsidRPr="00CA1E6B">
        <w:rPr>
          <w:lang w:val="en-US"/>
        </w:rPr>
        <w:t xml:space="preserve">, Article 1086. </w:t>
      </w:r>
      <w:hyperlink r:id="rId36" w:history="1">
        <w:r w:rsidRPr="00CA1E6B">
          <w:rPr>
            <w:color w:val="0000FF"/>
            <w:u w:val="single"/>
            <w:lang w:val="en-US"/>
          </w:rPr>
          <w:t>https://doi.org/10.1038/s41597-024-03931-8</w:t>
        </w:r>
      </w:hyperlink>
    </w:p>
    <w:p w14:paraId="6B980C35"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Jha, S., &amp; Doshi, V. (2025). Integrating experiential learning with technology-enhanced curriculum to address employability skill gaps in higher education. </w:t>
      </w:r>
      <w:r w:rsidRPr="00CA1E6B">
        <w:rPr>
          <w:i/>
          <w:iCs/>
          <w:lang w:val="en-US"/>
        </w:rPr>
        <w:t>Journal of Information Systems Engineering and Management, 10</w:t>
      </w:r>
      <w:r w:rsidRPr="00CA1E6B">
        <w:rPr>
          <w:lang w:val="en-US"/>
        </w:rPr>
        <w:t xml:space="preserve">(45s), 156–174. </w:t>
      </w:r>
      <w:hyperlink r:id="rId37" w:history="1">
        <w:r w:rsidRPr="00CA1E6B">
          <w:rPr>
            <w:color w:val="0000FF"/>
            <w:u w:val="single"/>
            <w:lang w:val="en-US"/>
          </w:rPr>
          <w:t>https://doi.org/10.52783/jisem.v10i45s.8717</w:t>
        </w:r>
      </w:hyperlink>
    </w:p>
    <w:p w14:paraId="43193E19"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Juma, A. A. (2025). Bridging skills gaps: Evaluating VET reskilling and curriculum reforms for enhancing graduate employability in Tanzania. </w:t>
      </w:r>
      <w:r w:rsidRPr="00CA1E6B">
        <w:rPr>
          <w:i/>
          <w:iCs/>
          <w:lang w:val="en-US"/>
        </w:rPr>
        <w:t>International Journal of Training Research</w:t>
      </w:r>
      <w:r w:rsidRPr="00CA1E6B">
        <w:rPr>
          <w:lang w:val="en-US"/>
        </w:rPr>
        <w:t xml:space="preserve">, 1–14. </w:t>
      </w:r>
      <w:hyperlink r:id="rId38" w:history="1">
        <w:r w:rsidRPr="00CA1E6B">
          <w:rPr>
            <w:color w:val="0000FF"/>
            <w:u w:val="single"/>
            <w:lang w:val="en-US"/>
          </w:rPr>
          <w:t>https://doi.org/10.1080/14480220.2025.2566044</w:t>
        </w:r>
      </w:hyperlink>
    </w:p>
    <w:p w14:paraId="3A700DD7" w14:textId="77777777" w:rsidR="0030673A" w:rsidRDefault="00000000">
      <w:pPr>
        <w:spacing w:before="100" w:beforeAutospacing="1" w:after="100" w:afterAutospacing="1"/>
        <w:ind w:left="540" w:hanging="540"/>
        <w:jc w:val="both"/>
        <w:rPr>
          <w:lang w:val="en-US"/>
        </w:rPr>
      </w:pPr>
      <w:r>
        <w:rPr>
          <w:b/>
          <w:highlight w:val="yellow"/>
        </w:rPr>
        <w:t xml:space="preserve">Kingdom, O. J., Ofori, D. W., &amp; Adebiyi, S. O. (2026). Bridging digital skills gap: Perspectives from higher education and employers in business and health sectors. </w:t>
      </w:r>
      <w:r>
        <w:rPr>
          <w:b/>
          <w:i/>
          <w:highlight w:val="yellow"/>
        </w:rPr>
        <w:t>Journal of Education, Society and Behavioural Science, 39</w:t>
      </w:r>
      <w:r>
        <w:rPr>
          <w:b/>
          <w:highlight w:val="yellow"/>
        </w:rPr>
        <w:t>(1), 77–88. https://doi.org/10.9734/jesbs/2026/v39i11459</w:t>
      </w:r>
    </w:p>
    <w:p w14:paraId="77CFB2E4" w14:textId="77777777" w:rsidR="00CA1E6B" w:rsidRPr="00CA1E6B" w:rsidRDefault="00CA1E6B" w:rsidP="00CA1E6B">
      <w:pPr>
        <w:spacing w:before="100" w:beforeAutospacing="1" w:after="100" w:afterAutospacing="1"/>
        <w:ind w:left="540" w:hanging="540"/>
        <w:jc w:val="both"/>
        <w:rPr>
          <w:lang w:val="en-US"/>
        </w:rPr>
      </w:pPr>
      <w:r w:rsidRPr="00CA1E6B">
        <w:rPr>
          <w:lang w:val="en-US"/>
        </w:rPr>
        <w:lastRenderedPageBreak/>
        <w:t xml:space="preserve">Kmiotek-Meier, E., Rossié, T., &amp; Canora, K. (2024). All good things come in threes—required skill sets in the graduate labour market in Germany. </w:t>
      </w:r>
      <w:r w:rsidRPr="00CA1E6B">
        <w:rPr>
          <w:i/>
          <w:iCs/>
          <w:lang w:val="en-US"/>
        </w:rPr>
        <w:t>Education + Training, 66</w:t>
      </w:r>
      <w:r w:rsidRPr="00CA1E6B">
        <w:rPr>
          <w:lang w:val="en-US"/>
        </w:rPr>
        <w:t xml:space="preserve">(10), 42–57. </w:t>
      </w:r>
      <w:hyperlink r:id="rId39" w:history="1">
        <w:r w:rsidRPr="00CA1E6B">
          <w:rPr>
            <w:color w:val="0000FF"/>
            <w:u w:val="single"/>
            <w:lang w:val="en-US"/>
          </w:rPr>
          <w:t>https://doi.org/10.1108/ET-04-2023-0122</w:t>
        </w:r>
      </w:hyperlink>
    </w:p>
    <w:p w14:paraId="760EC119"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Mabungela, M., &amp; Mtiki, V. (2024). Accelerating graduate employability through work-integrated learning. </w:t>
      </w:r>
      <w:r w:rsidRPr="00CA1E6B">
        <w:rPr>
          <w:i/>
          <w:iCs/>
          <w:lang w:val="en-US"/>
        </w:rPr>
        <w:t>Research in Social Sciences and Technology, 9</w:t>
      </w:r>
      <w:r w:rsidRPr="00CA1E6B">
        <w:rPr>
          <w:lang w:val="en-US"/>
        </w:rPr>
        <w:t xml:space="preserve">(1), 291–304. </w:t>
      </w:r>
      <w:hyperlink r:id="rId40" w:history="1">
        <w:r w:rsidRPr="00CA1E6B">
          <w:rPr>
            <w:color w:val="0000FF"/>
            <w:u w:val="single"/>
            <w:lang w:val="en-US"/>
          </w:rPr>
          <w:t>https://doi.org/10.46303/ressat.2024.17</w:t>
        </w:r>
      </w:hyperlink>
    </w:p>
    <w:p w14:paraId="2F12C80E"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Monteverde, R. P., Mejia, I. P., Dasas, L. B., &amp; Bazer, S. C. (2025). </w:t>
      </w:r>
      <w:r w:rsidRPr="00CA1E6B">
        <w:rPr>
          <w:i/>
          <w:iCs/>
          <w:lang w:val="en-US"/>
        </w:rPr>
        <w:t>Building a strong and sustainable pathway for middle-skilled workers</w:t>
      </w:r>
      <w:r w:rsidRPr="00CA1E6B">
        <w:rPr>
          <w:lang w:val="en-US"/>
        </w:rPr>
        <w:t xml:space="preserve"> (Policy Note No. 2025-15). Philippine Institute for Development Studies. </w:t>
      </w:r>
      <w:hyperlink r:id="rId41" w:history="1">
        <w:r w:rsidRPr="00CA1E6B">
          <w:rPr>
            <w:color w:val="0000FF"/>
            <w:u w:val="single"/>
            <w:lang w:val="en-US"/>
          </w:rPr>
          <w:t>https://doi.org/10.62986/pn2025.15</w:t>
        </w:r>
      </w:hyperlink>
    </w:p>
    <w:p w14:paraId="7E91912E"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Murillo Huertas, I. P., &amp; Raymond, J. L. (2024). Education, educational mismatch and occupational status: An analysis using PIAAC data. </w:t>
      </w:r>
      <w:r w:rsidRPr="00CA1E6B">
        <w:rPr>
          <w:i/>
          <w:iCs/>
          <w:lang w:val="en-US"/>
        </w:rPr>
        <w:t>Economia Politica, 41</w:t>
      </w:r>
      <w:r w:rsidRPr="00CA1E6B">
        <w:rPr>
          <w:lang w:val="en-US"/>
        </w:rPr>
        <w:t xml:space="preserve">, 717–738. </w:t>
      </w:r>
      <w:hyperlink r:id="rId42" w:history="1">
        <w:r w:rsidRPr="00CA1E6B">
          <w:rPr>
            <w:color w:val="0000FF"/>
            <w:u w:val="single"/>
            <w:lang w:val="en-US"/>
          </w:rPr>
          <w:t>https://doi.org/10.1007/s40888-024-00328-z</w:t>
        </w:r>
      </w:hyperlink>
    </w:p>
    <w:p w14:paraId="317B9895"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Nelson, A., Ivarsson, A., &amp; Lydell, M. (2025). Employability and long-term work life outcomes from studying at a Swedish university college: Problematizing the notion of mismatch. </w:t>
      </w:r>
      <w:r w:rsidRPr="00CA1E6B">
        <w:rPr>
          <w:i/>
          <w:iCs/>
          <w:lang w:val="en-US"/>
        </w:rPr>
        <w:t>Higher Education, Skills and Work-based Learning, 15</w:t>
      </w:r>
      <w:r w:rsidRPr="00CA1E6B">
        <w:rPr>
          <w:lang w:val="en-US"/>
        </w:rPr>
        <w:t xml:space="preserve">(7), 48–65. </w:t>
      </w:r>
      <w:hyperlink r:id="rId43" w:history="1">
        <w:r w:rsidRPr="00CA1E6B">
          <w:rPr>
            <w:color w:val="0000FF"/>
            <w:u w:val="single"/>
            <w:lang w:val="en-US"/>
          </w:rPr>
          <w:t>https://doi.org/10.1108/HESWBL-11-2023-0327</w:t>
        </w:r>
      </w:hyperlink>
    </w:p>
    <w:p w14:paraId="6D99642B"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Nyale, D., Karume, S., Kipkebut, A., Mukudi, F., &amp; Sharafat, A. (2026). An intelligent curriculum alignment model for digital skills integration in higher education: A data-driven approach to bridge academia-industry gaps. </w:t>
      </w:r>
      <w:r w:rsidRPr="00CA1E6B">
        <w:rPr>
          <w:i/>
          <w:iCs/>
          <w:lang w:val="en-US"/>
        </w:rPr>
        <w:t>Discover Education, 5</w:t>
      </w:r>
      <w:r w:rsidRPr="00CA1E6B">
        <w:rPr>
          <w:lang w:val="en-US"/>
        </w:rPr>
        <w:t xml:space="preserve">, Article 151. </w:t>
      </w:r>
      <w:hyperlink r:id="rId44" w:history="1">
        <w:r w:rsidRPr="00CA1E6B">
          <w:rPr>
            <w:color w:val="0000FF"/>
            <w:u w:val="single"/>
            <w:lang w:val="en-US"/>
          </w:rPr>
          <w:t>https://doi.org/10.1007/s44217-026-01180-y</w:t>
        </w:r>
      </w:hyperlink>
    </w:p>
    <w:p w14:paraId="30A4AFDF"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Pervez, N., Mahmood, W., Akram, M., &amp; Waqas, M. (2024). Analyzing the alignment between university curriculum and job market requirements in Pakistan: Challenges and opportunities. </w:t>
      </w:r>
      <w:r w:rsidRPr="00CA1E6B">
        <w:rPr>
          <w:i/>
          <w:iCs/>
          <w:lang w:val="en-US"/>
        </w:rPr>
        <w:t>Indus Journal of Social Sciences, 2</w:t>
      </w:r>
      <w:r w:rsidRPr="00CA1E6B">
        <w:rPr>
          <w:lang w:val="en-US"/>
        </w:rPr>
        <w:t xml:space="preserve">(2), 397–410. </w:t>
      </w:r>
      <w:hyperlink r:id="rId45" w:history="1">
        <w:r w:rsidRPr="00CA1E6B">
          <w:rPr>
            <w:color w:val="0000FF"/>
            <w:u w:val="single"/>
            <w:lang w:val="en-US"/>
          </w:rPr>
          <w:t>https://doi.org/10.59075/ijss.v2i2.269</w:t>
        </w:r>
      </w:hyperlink>
    </w:p>
    <w:p w14:paraId="38FBC75E" w14:textId="77777777" w:rsidR="0030673A" w:rsidRDefault="00000000">
      <w:pPr>
        <w:spacing w:before="100" w:beforeAutospacing="1" w:after="100" w:afterAutospacing="1"/>
        <w:ind w:left="540" w:hanging="540"/>
        <w:jc w:val="both"/>
        <w:rPr>
          <w:lang w:val="en-US"/>
        </w:rPr>
      </w:pPr>
      <w:r>
        <w:rPr>
          <w:b/>
          <w:highlight w:val="yellow"/>
        </w:rPr>
        <w:t xml:space="preserve">Philip, J., Schmidt, G., Simha, A., &amp; Rosen, D. (2026). The future is here! Recognizing the need to revitalize and transform business education via digital integration. </w:t>
      </w:r>
      <w:r>
        <w:rPr>
          <w:b/>
          <w:i/>
          <w:highlight w:val="yellow"/>
        </w:rPr>
        <w:t>Business Horizons</w:t>
      </w:r>
      <w:r>
        <w:rPr>
          <w:b/>
          <w:highlight w:val="yellow"/>
        </w:rPr>
        <w:t>. Advance online publication. https://doi.org/10.1016/j.bushor.2026.05.011</w:t>
      </w:r>
    </w:p>
    <w:p w14:paraId="2E1C3452"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Poniman, Novaldi, R. A., Desiga, H. I., &amp; Natasha. (2026). Skill gap analysis of human resources between higher education and the workforce in Bangka Belitung Province. </w:t>
      </w:r>
      <w:r w:rsidRPr="00CA1E6B">
        <w:rPr>
          <w:i/>
          <w:iCs/>
          <w:lang w:val="en-US"/>
        </w:rPr>
        <w:t>Psychological Research and Intervention, 8</w:t>
      </w:r>
      <w:r w:rsidRPr="00CA1E6B">
        <w:rPr>
          <w:lang w:val="en-US"/>
        </w:rPr>
        <w:t xml:space="preserve">(1), 47–55. </w:t>
      </w:r>
      <w:hyperlink r:id="rId46" w:history="1">
        <w:r w:rsidRPr="00CA1E6B">
          <w:rPr>
            <w:color w:val="0000FF"/>
            <w:u w:val="single"/>
            <w:lang w:val="en-US"/>
          </w:rPr>
          <w:t>https://doi.org/10.21831/pri.v8i1.91008</w:t>
        </w:r>
      </w:hyperlink>
    </w:p>
    <w:p w14:paraId="0B0FF918"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Rathee, V., &amp; Mittal, P. (2024). Employability skills among work ready professionals in higher education: Mapping the field through bibliometric analysis with R studio. </w:t>
      </w:r>
      <w:r w:rsidRPr="00CA1E6B">
        <w:rPr>
          <w:i/>
          <w:iCs/>
          <w:lang w:val="en-US"/>
        </w:rPr>
        <w:t>Higher Education, Skills and Work-based Learning, 14</w:t>
      </w:r>
      <w:r w:rsidRPr="00CA1E6B">
        <w:rPr>
          <w:lang w:val="en-US"/>
        </w:rPr>
        <w:t xml:space="preserve">(6), 1314–1339. </w:t>
      </w:r>
      <w:hyperlink r:id="rId47" w:history="1">
        <w:r w:rsidRPr="00CA1E6B">
          <w:rPr>
            <w:color w:val="0000FF"/>
            <w:u w:val="single"/>
            <w:lang w:val="en-US"/>
          </w:rPr>
          <w:t>https://doi.org/10.1108/HESWBL-10-2023-0279</w:t>
        </w:r>
      </w:hyperlink>
    </w:p>
    <w:p w14:paraId="7ED3D63F" w14:textId="77777777" w:rsidR="00CA1E6B" w:rsidRPr="00CA1E6B" w:rsidRDefault="00CA1E6B" w:rsidP="00CA1E6B">
      <w:pPr>
        <w:spacing w:before="100" w:beforeAutospacing="1" w:after="100" w:afterAutospacing="1"/>
        <w:ind w:left="540" w:hanging="540"/>
        <w:jc w:val="both"/>
        <w:rPr>
          <w:lang w:val="en-US"/>
        </w:rPr>
      </w:pPr>
      <w:r w:rsidRPr="00CA1E6B">
        <w:rPr>
          <w:lang w:val="en-US"/>
        </w:rPr>
        <w:lastRenderedPageBreak/>
        <w:t xml:space="preserve">Salhab, R. (2024). AI literacy across curriculum design: Investigating college instructor’s perspectives. </w:t>
      </w:r>
      <w:r w:rsidRPr="00CA1E6B">
        <w:rPr>
          <w:i/>
          <w:iCs/>
          <w:lang w:val="en-US"/>
        </w:rPr>
        <w:t>Online Learning, 28</w:t>
      </w:r>
      <w:r w:rsidRPr="00CA1E6B">
        <w:rPr>
          <w:lang w:val="en-US"/>
        </w:rPr>
        <w:t xml:space="preserve">(2), 22–47. </w:t>
      </w:r>
      <w:hyperlink r:id="rId48" w:history="1">
        <w:r w:rsidRPr="00CA1E6B">
          <w:rPr>
            <w:color w:val="0000FF"/>
            <w:u w:val="single"/>
            <w:lang w:val="en-US"/>
          </w:rPr>
          <w:t>https://doi.org/10.24059/olj.v28i2.4426</w:t>
        </w:r>
      </w:hyperlink>
    </w:p>
    <w:p w14:paraId="1FCF287F"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Tee, P. K., Wong, L. C., Dada, M., Song, B. L., &amp; Ng, C. P. (2024). Demand for digital skills, skill gaps and graduate employability: Evidence from employers in Malaysia. </w:t>
      </w:r>
      <w:r w:rsidRPr="00CA1E6B">
        <w:rPr>
          <w:i/>
          <w:iCs/>
          <w:lang w:val="en-US"/>
        </w:rPr>
        <w:t>F1000Research, 13</w:t>
      </w:r>
      <w:r w:rsidRPr="00CA1E6B">
        <w:rPr>
          <w:lang w:val="en-US"/>
        </w:rPr>
        <w:t xml:space="preserve">, 389. </w:t>
      </w:r>
      <w:hyperlink r:id="rId49" w:history="1">
        <w:r w:rsidRPr="00CA1E6B">
          <w:rPr>
            <w:color w:val="0000FF"/>
            <w:u w:val="single"/>
            <w:lang w:val="en-US"/>
          </w:rPr>
          <w:t>https://doi.org/10.12688/f1000research.148514.1</w:t>
        </w:r>
      </w:hyperlink>
    </w:p>
    <w:p w14:paraId="6951627B"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Tzirides, A. O., Zapata, G., Kastania, N. P., Saini, A. K., Castro, V., Ismael, S. A., You, Y.-L., Santos, T. A. dos, Searsmith, D., O'Brien, C., Cope, B., &amp; Kalantzis, M. (2024). Combining human and artificial intelligence for enhanced AI literacy in higher education. </w:t>
      </w:r>
      <w:r w:rsidRPr="00CA1E6B">
        <w:rPr>
          <w:i/>
          <w:iCs/>
          <w:lang w:val="en-US"/>
        </w:rPr>
        <w:t>Computers and Education Open, 6</w:t>
      </w:r>
      <w:r w:rsidRPr="00CA1E6B">
        <w:rPr>
          <w:lang w:val="en-US"/>
        </w:rPr>
        <w:t xml:space="preserve">, Article 100184. </w:t>
      </w:r>
      <w:hyperlink r:id="rId50" w:history="1">
        <w:r w:rsidRPr="00CA1E6B">
          <w:rPr>
            <w:color w:val="0000FF"/>
            <w:u w:val="single"/>
            <w:lang w:val="en-US"/>
          </w:rPr>
          <w:t>https://doi.org/10.1016/j.caeo.2024.100184</w:t>
        </w:r>
      </w:hyperlink>
    </w:p>
    <w:p w14:paraId="723BFA6C" w14:textId="77777777" w:rsidR="0030673A" w:rsidRDefault="00000000">
      <w:pPr>
        <w:spacing w:before="100" w:beforeAutospacing="1" w:after="100" w:afterAutospacing="1"/>
        <w:ind w:left="540" w:hanging="540"/>
        <w:jc w:val="both"/>
        <w:rPr>
          <w:lang w:val="en-US"/>
        </w:rPr>
      </w:pPr>
      <w:r>
        <w:rPr>
          <w:b/>
          <w:highlight w:val="yellow"/>
        </w:rPr>
        <w:t xml:space="preserve">Wut, T. M. E., Chan, A. H. E., Wong, S. M. H., &amp; Chan, J. K. Y. (2025). Perceived artificial intelligence literacy and employability of university students. </w:t>
      </w:r>
      <w:r>
        <w:rPr>
          <w:b/>
          <w:i/>
          <w:highlight w:val="yellow"/>
        </w:rPr>
        <w:t>Education + Training, 67</w:t>
      </w:r>
      <w:r>
        <w:rPr>
          <w:b/>
          <w:highlight w:val="yellow"/>
        </w:rPr>
        <w:t>(2), 258–274. https://doi.org/10.1108/ET-06-2024-0272</w:t>
      </w:r>
    </w:p>
    <w:p w14:paraId="0202F71A"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Woessmann, L. (2025). Skills and earnings: A multidimensional perspective on human capital. </w:t>
      </w:r>
      <w:r w:rsidRPr="00CA1E6B">
        <w:rPr>
          <w:i/>
          <w:iCs/>
          <w:lang w:val="en-US"/>
        </w:rPr>
        <w:t>Annual Review of Economics, 17</w:t>
      </w:r>
      <w:r w:rsidRPr="00CA1E6B">
        <w:rPr>
          <w:lang w:val="en-US"/>
        </w:rPr>
        <w:t xml:space="preserve">, 397–425. </w:t>
      </w:r>
      <w:hyperlink r:id="rId51" w:history="1">
        <w:r w:rsidRPr="00CA1E6B">
          <w:rPr>
            <w:color w:val="0000FF"/>
            <w:u w:val="single"/>
            <w:lang w:val="en-US"/>
          </w:rPr>
          <w:t>https://doi.org/10.1146/annurev-economics-081324-081733</w:t>
        </w:r>
      </w:hyperlink>
    </w:p>
    <w:p w14:paraId="46CE4948" w14:textId="77777777" w:rsidR="00CA1E6B" w:rsidRPr="00CA1E6B" w:rsidRDefault="00CA1E6B" w:rsidP="00CA1E6B">
      <w:pPr>
        <w:spacing w:before="100" w:beforeAutospacing="1" w:after="100" w:afterAutospacing="1"/>
        <w:ind w:left="540" w:hanging="540"/>
        <w:jc w:val="both"/>
        <w:rPr>
          <w:lang w:val="en-US"/>
        </w:rPr>
      </w:pPr>
      <w:r w:rsidRPr="00CA1E6B">
        <w:rPr>
          <w:lang w:val="en-US"/>
        </w:rPr>
        <w:t xml:space="preserve">World Economic Forum. (2025). </w:t>
      </w:r>
      <w:r w:rsidRPr="00CA1E6B">
        <w:rPr>
          <w:i/>
          <w:iCs/>
          <w:lang w:val="en-US"/>
        </w:rPr>
        <w:t>The future of jobs report 2025</w:t>
      </w:r>
      <w:r w:rsidRPr="00CA1E6B">
        <w:rPr>
          <w:lang w:val="en-US"/>
        </w:rPr>
        <w:t xml:space="preserve">. </w:t>
      </w:r>
      <w:hyperlink r:id="rId52" w:history="1">
        <w:r w:rsidRPr="00CA1E6B">
          <w:rPr>
            <w:color w:val="0000FF"/>
            <w:u w:val="single"/>
            <w:lang w:val="en-US"/>
          </w:rPr>
          <w:t>https://www.weforum.org/publications/the-future-of-jobs-report-2025/</w:t>
        </w:r>
      </w:hyperlink>
    </w:p>
    <w:p w14:paraId="72DE28C5" w14:textId="77777777" w:rsidR="00333201" w:rsidRPr="00CA1E6B" w:rsidRDefault="00333201" w:rsidP="00CA1E6B">
      <w:pPr>
        <w:pStyle w:val="NormalWeb"/>
        <w:spacing w:before="0" w:beforeAutospacing="0" w:after="0" w:afterAutospacing="0"/>
        <w:ind w:left="360" w:hanging="360"/>
        <w:rPr>
          <w:lang w:val="en-US"/>
        </w:rPr>
      </w:pPr>
    </w:p>
    <w:sectPr w:rsidR="00333201" w:rsidRPr="00CA1E6B" w:rsidSect="00D7083A">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6D45E" w14:textId="77777777" w:rsidR="00605FD5" w:rsidRDefault="00605FD5" w:rsidP="00C37E61">
      <w:r>
        <w:separator/>
      </w:r>
    </w:p>
  </w:endnote>
  <w:endnote w:type="continuationSeparator" w:id="0">
    <w:p w14:paraId="1D628FB4" w14:textId="77777777" w:rsidR="00605FD5" w:rsidRDefault="00605FD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F7B1" w14:textId="77777777" w:rsidR="00D7083A" w:rsidRDefault="00D70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7EEA" w14:textId="77777777" w:rsidR="00D7083A" w:rsidRDefault="00D70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64566" w14:textId="77777777" w:rsidR="00754C9A" w:rsidRPr="00D7083A" w:rsidRDefault="00754C9A" w:rsidP="00D708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C5BF"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96396" w14:textId="77777777" w:rsidR="00605FD5" w:rsidRDefault="00605FD5" w:rsidP="00C37E61">
      <w:r>
        <w:separator/>
      </w:r>
    </w:p>
  </w:footnote>
  <w:footnote w:type="continuationSeparator" w:id="0">
    <w:p w14:paraId="2596511E" w14:textId="77777777" w:rsidR="00605FD5" w:rsidRDefault="00605FD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FEE7" w14:textId="77777777" w:rsidR="00D7083A" w:rsidRDefault="00000000">
    <w:pPr>
      <w:pStyle w:val="Header"/>
    </w:pPr>
    <w:r>
      <w:rPr>
        <w:noProof/>
      </w:rPr>
      <w:pict w14:anchorId="371E22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8"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913A" w14:textId="77777777" w:rsidR="00D7083A" w:rsidRDefault="00000000">
    <w:pPr>
      <w:pStyle w:val="Header"/>
    </w:pPr>
    <w:r>
      <w:rPr>
        <w:noProof/>
      </w:rPr>
      <w:pict w14:anchorId="1F08DC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9"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69AE" w14:textId="77777777" w:rsidR="00296529" w:rsidRPr="00296529" w:rsidRDefault="00000000" w:rsidP="00296529">
    <w:pPr>
      <w:ind w:left="2160"/>
      <w:jc w:val="center"/>
      <w:rPr>
        <w:rFonts w:eastAsia="Calibri"/>
        <w:i/>
        <w:sz w:val="18"/>
        <w:szCs w:val="22"/>
      </w:rPr>
    </w:pPr>
    <w:r>
      <w:rPr>
        <w:noProof/>
      </w:rPr>
      <w:pict w14:anchorId="73AC01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87"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052119FF"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61EF00AF" w14:textId="77777777" w:rsidR="00296529" w:rsidRPr="00296529" w:rsidRDefault="00754C9A" w:rsidP="00296529">
    <w:pPr>
      <w:jc w:val="center"/>
      <w:rPr>
        <w:rFonts w:eastAsia="Calibri"/>
        <w:i/>
        <w:sz w:val="18"/>
        <w:szCs w:val="22"/>
      </w:rPr>
    </w:pPr>
    <w:r>
      <w:rPr>
        <w:rFonts w:eastAsia="Calibri"/>
        <w:i/>
        <w:sz w:val="18"/>
        <w:szCs w:val="22"/>
      </w:rPr>
      <w:t>.</w:t>
    </w:r>
  </w:p>
  <w:p w14:paraId="28FA2A7E"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203CF359"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5D50736C"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7268EB1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F14F" w14:textId="77777777" w:rsidR="00D7083A" w:rsidRDefault="00000000">
    <w:pPr>
      <w:pStyle w:val="Header"/>
    </w:pPr>
    <w:r>
      <w:rPr>
        <w:noProof/>
      </w:rPr>
      <w:pict w14:anchorId="6FF1E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1"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AB76835">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7919" w14:textId="77777777" w:rsidR="00D7083A" w:rsidRDefault="00000000">
    <w:pPr>
      <w:pStyle w:val="Header"/>
    </w:pPr>
    <w:r>
      <w:rPr>
        <w:noProof/>
      </w:rPr>
      <w:pict w14:anchorId="735BD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2"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7710D9F0">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578E" w14:textId="77777777" w:rsidR="00D7083A" w:rsidRPr="00296529" w:rsidRDefault="00000000" w:rsidP="00296529">
    <w:pPr>
      <w:ind w:left="2160"/>
      <w:jc w:val="center"/>
      <w:rPr>
        <w:rFonts w:eastAsia="Calibri"/>
        <w:i/>
        <w:sz w:val="18"/>
        <w:szCs w:val="22"/>
      </w:rPr>
    </w:pPr>
    <w:r>
      <w:rPr>
        <w:noProof/>
      </w:rPr>
      <w:pict w14:anchorId="08C9B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573190"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588EA2EB">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15A99743" w14:textId="77777777" w:rsidR="00D7083A" w:rsidRPr="00296529" w:rsidRDefault="00D7083A"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261CB36B" w14:textId="77777777" w:rsidR="00D7083A" w:rsidRPr="00296529" w:rsidRDefault="00D7083A" w:rsidP="00296529">
    <w:pPr>
      <w:jc w:val="center"/>
      <w:rPr>
        <w:rFonts w:eastAsia="Calibri"/>
        <w:i/>
        <w:sz w:val="18"/>
        <w:szCs w:val="22"/>
      </w:rPr>
    </w:pPr>
    <w:r>
      <w:rPr>
        <w:rFonts w:eastAsia="Calibri"/>
        <w:i/>
        <w:sz w:val="18"/>
        <w:szCs w:val="22"/>
      </w:rPr>
      <w:t>.</w:t>
    </w:r>
  </w:p>
  <w:p w14:paraId="361BCDB0" w14:textId="77777777" w:rsidR="00D7083A" w:rsidRPr="00296529" w:rsidRDefault="00D7083A"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63AEAD28" w14:textId="77777777" w:rsidR="00D7083A" w:rsidRDefault="00D7083A" w:rsidP="00296529">
    <w:pPr>
      <w:jc w:val="center"/>
      <w:rPr>
        <w:rFonts w:eastAsia="Calibri"/>
        <w:i/>
        <w:sz w:val="18"/>
        <w:szCs w:val="22"/>
      </w:rPr>
    </w:pPr>
    <w:r w:rsidRPr="00296529">
      <w:rPr>
        <w:rFonts w:eastAsia="Calibri"/>
        <w:i/>
        <w:sz w:val="18"/>
        <w:szCs w:val="22"/>
      </w:rPr>
      <w:t xml:space="preserve">                     </w:t>
    </w:r>
  </w:p>
  <w:p w14:paraId="3F35B7AA" w14:textId="77777777" w:rsidR="00D7083A" w:rsidRDefault="00D7083A" w:rsidP="00296529">
    <w:pPr>
      <w:tabs>
        <w:tab w:val="left" w:pos="2145"/>
      </w:tabs>
      <w:rPr>
        <w:rFonts w:eastAsia="Calibri"/>
        <w:i/>
        <w:sz w:val="18"/>
        <w:szCs w:val="22"/>
      </w:rPr>
    </w:pPr>
    <w:r>
      <w:rPr>
        <w:rFonts w:eastAsia="Calibri"/>
        <w:i/>
        <w:sz w:val="18"/>
        <w:szCs w:val="22"/>
      </w:rPr>
      <w:tab/>
      <w:t>.</w:t>
    </w:r>
  </w:p>
  <w:p w14:paraId="0AD3D053" w14:textId="77777777" w:rsidR="00D7083A" w:rsidRDefault="00D7083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D3717E8"/>
    <w:multiLevelType w:val="multilevel"/>
    <w:tmpl w:val="AF144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09B605B"/>
    <w:multiLevelType w:val="multilevel"/>
    <w:tmpl w:val="9C4C9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9"/>
  </w:num>
  <w:num w:numId="3" w16cid:durableId="25179208">
    <w:abstractNumId w:val="27"/>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8"/>
  </w:num>
  <w:num w:numId="6" w16cid:durableId="541678199">
    <w:abstractNumId w:val="7"/>
  </w:num>
  <w:num w:numId="7" w16cid:durableId="1753699232">
    <w:abstractNumId w:val="1"/>
  </w:num>
  <w:num w:numId="8" w16cid:durableId="592710641">
    <w:abstractNumId w:val="15"/>
  </w:num>
  <w:num w:numId="9" w16cid:durableId="976835453">
    <w:abstractNumId w:val="30"/>
  </w:num>
  <w:num w:numId="10" w16cid:durableId="249659283">
    <w:abstractNumId w:val="2"/>
  </w:num>
  <w:num w:numId="11" w16cid:durableId="1732656361">
    <w:abstractNumId w:val="22"/>
  </w:num>
  <w:num w:numId="12" w16cid:durableId="1657537769">
    <w:abstractNumId w:val="3"/>
  </w:num>
  <w:num w:numId="13" w16cid:durableId="1538161017">
    <w:abstractNumId w:val="21"/>
  </w:num>
  <w:num w:numId="14" w16cid:durableId="1156144008">
    <w:abstractNumId w:val="9"/>
  </w:num>
  <w:num w:numId="15" w16cid:durableId="283007475">
    <w:abstractNumId w:val="25"/>
  </w:num>
  <w:num w:numId="16" w16cid:durableId="1659307781">
    <w:abstractNumId w:val="5"/>
  </w:num>
  <w:num w:numId="17" w16cid:durableId="1898470046">
    <w:abstractNumId w:val="26"/>
  </w:num>
  <w:num w:numId="18" w16cid:durableId="73864778">
    <w:abstractNumId w:val="18"/>
  </w:num>
  <w:num w:numId="19" w16cid:durableId="713584812">
    <w:abstractNumId w:val="33"/>
  </w:num>
  <w:num w:numId="20" w16cid:durableId="453714349">
    <w:abstractNumId w:val="14"/>
  </w:num>
  <w:num w:numId="21" w16cid:durableId="1178041074">
    <w:abstractNumId w:val="11"/>
  </w:num>
  <w:num w:numId="22" w16cid:durableId="359479019">
    <w:abstractNumId w:val="16"/>
  </w:num>
  <w:num w:numId="23" w16cid:durableId="644360971">
    <w:abstractNumId w:val="23"/>
  </w:num>
  <w:num w:numId="24" w16cid:durableId="874537813">
    <w:abstractNumId w:val="31"/>
  </w:num>
  <w:num w:numId="25" w16cid:durableId="1393698916">
    <w:abstractNumId w:val="4"/>
  </w:num>
  <w:num w:numId="26" w16cid:durableId="629020859">
    <w:abstractNumId w:val="20"/>
  </w:num>
  <w:num w:numId="27" w16cid:durableId="1995836081">
    <w:abstractNumId w:val="24"/>
  </w:num>
  <w:num w:numId="28" w16cid:durableId="493186585">
    <w:abstractNumId w:val="32"/>
  </w:num>
  <w:num w:numId="29" w16cid:durableId="1522937024">
    <w:abstractNumId w:val="29"/>
  </w:num>
  <w:num w:numId="30" w16cid:durableId="319311731">
    <w:abstractNumId w:val="12"/>
  </w:num>
  <w:num w:numId="31" w16cid:durableId="855971305">
    <w:abstractNumId w:val="10"/>
  </w:num>
  <w:num w:numId="32" w16cid:durableId="206531686">
    <w:abstractNumId w:val="28"/>
  </w:num>
  <w:num w:numId="33" w16cid:durableId="1325476200">
    <w:abstractNumId w:val="13"/>
  </w:num>
  <w:num w:numId="34" w16cid:durableId="1941376900">
    <w:abstractNumId w:val="17"/>
  </w:num>
  <w:num w:numId="35" w16cid:durableId="8849534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57DA5"/>
    <w:rsid w:val="000A47FA"/>
    <w:rsid w:val="000A65D3"/>
    <w:rsid w:val="000B1E33"/>
    <w:rsid w:val="000B5B2A"/>
    <w:rsid w:val="000D689F"/>
    <w:rsid w:val="000E7B7B"/>
    <w:rsid w:val="000E7D62"/>
    <w:rsid w:val="000F64E0"/>
    <w:rsid w:val="00103357"/>
    <w:rsid w:val="001064A5"/>
    <w:rsid w:val="001159FD"/>
    <w:rsid w:val="00123C9F"/>
    <w:rsid w:val="00126190"/>
    <w:rsid w:val="00130F17"/>
    <w:rsid w:val="001320BF"/>
    <w:rsid w:val="00163BC4"/>
    <w:rsid w:val="001739B2"/>
    <w:rsid w:val="00191062"/>
    <w:rsid w:val="00192B72"/>
    <w:rsid w:val="001A29D8"/>
    <w:rsid w:val="001A5CAA"/>
    <w:rsid w:val="001B0427"/>
    <w:rsid w:val="001C0AC9"/>
    <w:rsid w:val="001D3A51"/>
    <w:rsid w:val="001E10D2"/>
    <w:rsid w:val="001E25B4"/>
    <w:rsid w:val="001E44FE"/>
    <w:rsid w:val="001E4A64"/>
    <w:rsid w:val="00200595"/>
    <w:rsid w:val="0020183E"/>
    <w:rsid w:val="00204835"/>
    <w:rsid w:val="00231920"/>
    <w:rsid w:val="0023195C"/>
    <w:rsid w:val="0024282C"/>
    <w:rsid w:val="00244F25"/>
    <w:rsid w:val="002460DC"/>
    <w:rsid w:val="00250985"/>
    <w:rsid w:val="002556F6"/>
    <w:rsid w:val="0026707F"/>
    <w:rsid w:val="002815E6"/>
    <w:rsid w:val="00283105"/>
    <w:rsid w:val="00284C4C"/>
    <w:rsid w:val="00287E68"/>
    <w:rsid w:val="00296529"/>
    <w:rsid w:val="002B27FB"/>
    <w:rsid w:val="002B685A"/>
    <w:rsid w:val="002C57D2"/>
    <w:rsid w:val="002E0D56"/>
    <w:rsid w:val="002F00C7"/>
    <w:rsid w:val="0030673A"/>
    <w:rsid w:val="00312CEB"/>
    <w:rsid w:val="00315186"/>
    <w:rsid w:val="00333201"/>
    <w:rsid w:val="0033343E"/>
    <w:rsid w:val="003512C2"/>
    <w:rsid w:val="00360E33"/>
    <w:rsid w:val="00371FB6"/>
    <w:rsid w:val="003763C1"/>
    <w:rsid w:val="00376BBE"/>
    <w:rsid w:val="00386261"/>
    <w:rsid w:val="0039224F"/>
    <w:rsid w:val="003A43A4"/>
    <w:rsid w:val="003A65AF"/>
    <w:rsid w:val="003A7E18"/>
    <w:rsid w:val="003C4C86"/>
    <w:rsid w:val="003C6258"/>
    <w:rsid w:val="003E2904"/>
    <w:rsid w:val="00401927"/>
    <w:rsid w:val="0041027F"/>
    <w:rsid w:val="00412475"/>
    <w:rsid w:val="00423789"/>
    <w:rsid w:val="00432CC1"/>
    <w:rsid w:val="00440F43"/>
    <w:rsid w:val="00441B6F"/>
    <w:rsid w:val="00446221"/>
    <w:rsid w:val="00450E62"/>
    <w:rsid w:val="004520B1"/>
    <w:rsid w:val="004539DB"/>
    <w:rsid w:val="00471A80"/>
    <w:rsid w:val="00472000"/>
    <w:rsid w:val="004916F3"/>
    <w:rsid w:val="004C2541"/>
    <w:rsid w:val="004C6910"/>
    <w:rsid w:val="004D305E"/>
    <w:rsid w:val="004D3E28"/>
    <w:rsid w:val="004D4277"/>
    <w:rsid w:val="005014AD"/>
    <w:rsid w:val="00502516"/>
    <w:rsid w:val="00505F06"/>
    <w:rsid w:val="00506828"/>
    <w:rsid w:val="00512C96"/>
    <w:rsid w:val="0053056E"/>
    <w:rsid w:val="00543FD6"/>
    <w:rsid w:val="00554FDA"/>
    <w:rsid w:val="005C49F2"/>
    <w:rsid w:val="005C784C"/>
    <w:rsid w:val="005D17F6"/>
    <w:rsid w:val="005E0829"/>
    <w:rsid w:val="005E5539"/>
    <w:rsid w:val="005E56F2"/>
    <w:rsid w:val="00600120"/>
    <w:rsid w:val="00602BF5"/>
    <w:rsid w:val="00605FD5"/>
    <w:rsid w:val="00617FDD"/>
    <w:rsid w:val="00633614"/>
    <w:rsid w:val="00633F68"/>
    <w:rsid w:val="00636EB2"/>
    <w:rsid w:val="006375B8"/>
    <w:rsid w:val="0066510A"/>
    <w:rsid w:val="00673F9F"/>
    <w:rsid w:val="00686953"/>
    <w:rsid w:val="00687DEA"/>
    <w:rsid w:val="00687E67"/>
    <w:rsid w:val="006909DC"/>
    <w:rsid w:val="006967F7"/>
    <w:rsid w:val="006A250C"/>
    <w:rsid w:val="006B21D3"/>
    <w:rsid w:val="006B57D0"/>
    <w:rsid w:val="006C0363"/>
    <w:rsid w:val="006C1D74"/>
    <w:rsid w:val="006D30FF"/>
    <w:rsid w:val="006D6940"/>
    <w:rsid w:val="006F11EC"/>
    <w:rsid w:val="0070082C"/>
    <w:rsid w:val="00725077"/>
    <w:rsid w:val="007253F3"/>
    <w:rsid w:val="007369E6"/>
    <w:rsid w:val="00746E59"/>
    <w:rsid w:val="00754C9A"/>
    <w:rsid w:val="0075599A"/>
    <w:rsid w:val="00761D52"/>
    <w:rsid w:val="0077749E"/>
    <w:rsid w:val="00790ADA"/>
    <w:rsid w:val="007A6430"/>
    <w:rsid w:val="007D2288"/>
    <w:rsid w:val="007E088F"/>
    <w:rsid w:val="007F7B32"/>
    <w:rsid w:val="00803527"/>
    <w:rsid w:val="00804BC2"/>
    <w:rsid w:val="0081431A"/>
    <w:rsid w:val="00827D4D"/>
    <w:rsid w:val="0083216F"/>
    <w:rsid w:val="00860000"/>
    <w:rsid w:val="00863BD3"/>
    <w:rsid w:val="008641ED"/>
    <w:rsid w:val="00866D66"/>
    <w:rsid w:val="008671C6"/>
    <w:rsid w:val="00875803"/>
    <w:rsid w:val="008A5658"/>
    <w:rsid w:val="008B3F0D"/>
    <w:rsid w:val="008B459E"/>
    <w:rsid w:val="008E13AE"/>
    <w:rsid w:val="008E1506"/>
    <w:rsid w:val="008E368C"/>
    <w:rsid w:val="008E710C"/>
    <w:rsid w:val="008F69D6"/>
    <w:rsid w:val="00902823"/>
    <w:rsid w:val="00915CA6"/>
    <w:rsid w:val="00927834"/>
    <w:rsid w:val="0093290C"/>
    <w:rsid w:val="00934061"/>
    <w:rsid w:val="009500A6"/>
    <w:rsid w:val="00957C18"/>
    <w:rsid w:val="00964D0D"/>
    <w:rsid w:val="009659BA"/>
    <w:rsid w:val="009735FB"/>
    <w:rsid w:val="00983040"/>
    <w:rsid w:val="009A0F46"/>
    <w:rsid w:val="009B3FB9"/>
    <w:rsid w:val="009B6B47"/>
    <w:rsid w:val="009C2465"/>
    <w:rsid w:val="009D35A0"/>
    <w:rsid w:val="009D39F0"/>
    <w:rsid w:val="009D7EB7"/>
    <w:rsid w:val="009E048A"/>
    <w:rsid w:val="009E08E9"/>
    <w:rsid w:val="009E3DB9"/>
    <w:rsid w:val="009E6E35"/>
    <w:rsid w:val="009F0EDA"/>
    <w:rsid w:val="00A03B96"/>
    <w:rsid w:val="00A05B19"/>
    <w:rsid w:val="00A1134E"/>
    <w:rsid w:val="00A12423"/>
    <w:rsid w:val="00A12FB7"/>
    <w:rsid w:val="00A24E7E"/>
    <w:rsid w:val="00A258C3"/>
    <w:rsid w:val="00A347C0"/>
    <w:rsid w:val="00A51431"/>
    <w:rsid w:val="00A51EB8"/>
    <w:rsid w:val="00A539AD"/>
    <w:rsid w:val="00A643A7"/>
    <w:rsid w:val="00A76ED7"/>
    <w:rsid w:val="00A94063"/>
    <w:rsid w:val="00AA6219"/>
    <w:rsid w:val="00AA74E0"/>
    <w:rsid w:val="00AB703F"/>
    <w:rsid w:val="00AC6BB8"/>
    <w:rsid w:val="00AE008F"/>
    <w:rsid w:val="00B01FCD"/>
    <w:rsid w:val="00B1776C"/>
    <w:rsid w:val="00B2615A"/>
    <w:rsid w:val="00B379FA"/>
    <w:rsid w:val="00B52583"/>
    <w:rsid w:val="00B52896"/>
    <w:rsid w:val="00B57BC1"/>
    <w:rsid w:val="00B937BD"/>
    <w:rsid w:val="00B95236"/>
    <w:rsid w:val="00B96BD9"/>
    <w:rsid w:val="00B97571"/>
    <w:rsid w:val="00BA1B01"/>
    <w:rsid w:val="00BA2641"/>
    <w:rsid w:val="00BB37AA"/>
    <w:rsid w:val="00BC53A0"/>
    <w:rsid w:val="00BE20E1"/>
    <w:rsid w:val="00BE62AD"/>
    <w:rsid w:val="00BF121F"/>
    <w:rsid w:val="00BF1F80"/>
    <w:rsid w:val="00BF5421"/>
    <w:rsid w:val="00C11991"/>
    <w:rsid w:val="00C166EF"/>
    <w:rsid w:val="00C17EB0"/>
    <w:rsid w:val="00C27F5F"/>
    <w:rsid w:val="00C30A0F"/>
    <w:rsid w:val="00C37E61"/>
    <w:rsid w:val="00C42725"/>
    <w:rsid w:val="00C70F1B"/>
    <w:rsid w:val="00C71A47"/>
    <w:rsid w:val="00C7464C"/>
    <w:rsid w:val="00C85588"/>
    <w:rsid w:val="00CA1E6B"/>
    <w:rsid w:val="00CA36B7"/>
    <w:rsid w:val="00CD6755"/>
    <w:rsid w:val="00CD6856"/>
    <w:rsid w:val="00CE0089"/>
    <w:rsid w:val="00CE793C"/>
    <w:rsid w:val="00CF193C"/>
    <w:rsid w:val="00D00462"/>
    <w:rsid w:val="00D173F1"/>
    <w:rsid w:val="00D2014E"/>
    <w:rsid w:val="00D240C9"/>
    <w:rsid w:val="00D348E9"/>
    <w:rsid w:val="00D43A6E"/>
    <w:rsid w:val="00D60426"/>
    <w:rsid w:val="00D7083A"/>
    <w:rsid w:val="00D74CB0"/>
    <w:rsid w:val="00D8295D"/>
    <w:rsid w:val="00D848F2"/>
    <w:rsid w:val="00DA05CD"/>
    <w:rsid w:val="00DC2A65"/>
    <w:rsid w:val="00DE15F0"/>
    <w:rsid w:val="00DE5663"/>
    <w:rsid w:val="00DE78AA"/>
    <w:rsid w:val="00E053D0"/>
    <w:rsid w:val="00E11D8C"/>
    <w:rsid w:val="00E15994"/>
    <w:rsid w:val="00E16642"/>
    <w:rsid w:val="00E24FB2"/>
    <w:rsid w:val="00E3114E"/>
    <w:rsid w:val="00E31A70"/>
    <w:rsid w:val="00E35B02"/>
    <w:rsid w:val="00E379DE"/>
    <w:rsid w:val="00E42DA1"/>
    <w:rsid w:val="00E57BDA"/>
    <w:rsid w:val="00E60926"/>
    <w:rsid w:val="00E66496"/>
    <w:rsid w:val="00E66B35"/>
    <w:rsid w:val="00E66E10"/>
    <w:rsid w:val="00E769F6"/>
    <w:rsid w:val="00E8407C"/>
    <w:rsid w:val="00E84F3C"/>
    <w:rsid w:val="00EA012C"/>
    <w:rsid w:val="00EA01BA"/>
    <w:rsid w:val="00EC6A55"/>
    <w:rsid w:val="00ED0288"/>
    <w:rsid w:val="00EE52CB"/>
    <w:rsid w:val="00EF581D"/>
    <w:rsid w:val="00EF7FD8"/>
    <w:rsid w:val="00F06F59"/>
    <w:rsid w:val="00F17988"/>
    <w:rsid w:val="00F469F0"/>
    <w:rsid w:val="00F53273"/>
    <w:rsid w:val="00F755E4"/>
    <w:rsid w:val="00F77D02"/>
    <w:rsid w:val="00F85EC4"/>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8C8B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32C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432CC1"/>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D43A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ijme.2024.101037" TargetMode="External"/><Relationship Id="rId26" Type="http://schemas.openxmlformats.org/officeDocument/2006/relationships/hyperlink" Target="https://doi.org/10.32871/rmrj2412.01.02" TargetMode="External"/><Relationship Id="rId39" Type="http://schemas.openxmlformats.org/officeDocument/2006/relationships/hyperlink" Target="https://doi.org/10.1108/ET-04-2023-0122" TargetMode="External"/><Relationship Id="rId21" Type="http://schemas.openxmlformats.org/officeDocument/2006/relationships/hyperlink" Target="https://doi.org/10.62986/rps2025.03" TargetMode="External"/><Relationship Id="rId34" Type="http://schemas.openxmlformats.org/officeDocument/2006/relationships/hyperlink" Target="https://doi.org/10.1108/HESWBL-09-2025-0425" TargetMode="External"/><Relationship Id="rId42" Type="http://schemas.openxmlformats.org/officeDocument/2006/relationships/hyperlink" Target="https://doi.org/10.1007/s40888-024-00328-z" TargetMode="External"/><Relationship Id="rId47" Type="http://schemas.openxmlformats.org/officeDocument/2006/relationships/hyperlink" Target="https://doi.org/10.1108/HESWBL-10-2023-0279" TargetMode="External"/><Relationship Id="rId50" Type="http://schemas.openxmlformats.org/officeDocument/2006/relationships/hyperlink" Target="https://doi.org/10.1016/j.caeo.2024.10018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legacy.ched.gov.ph/wp-content/uploads/2017/10/CMO-17-s-2017.pdf" TargetMode="External"/><Relationship Id="rId11" Type="http://schemas.openxmlformats.org/officeDocument/2006/relationships/footer" Target="footer2.xml"/><Relationship Id="rId24" Type="http://schemas.openxmlformats.org/officeDocument/2006/relationships/hyperlink" Target="https://doi.org/10.1080/12460125.2024.2348932" TargetMode="External"/><Relationship Id="rId32" Type="http://schemas.openxmlformats.org/officeDocument/2006/relationships/hyperlink" Target="https://doi.org/10.1016/bs.heslab.2025.07.001" TargetMode="External"/><Relationship Id="rId37" Type="http://schemas.openxmlformats.org/officeDocument/2006/relationships/hyperlink" Target="https://doi.org/10.52783/jisem.v10i45s.8717" TargetMode="External"/><Relationship Id="rId40" Type="http://schemas.openxmlformats.org/officeDocument/2006/relationships/hyperlink" Target="https://doi.org/10.46303/ressat.2024.17" TargetMode="External"/><Relationship Id="rId45" Type="http://schemas.openxmlformats.org/officeDocument/2006/relationships/hyperlink" Target="https://doi.org/10.59075/ijss.v2i2.269"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doi.org/10.1080/12460125.2024.2354587" TargetMode="External"/><Relationship Id="rId31" Type="http://schemas.openxmlformats.org/officeDocument/2006/relationships/hyperlink" Target="https://doi.org/10.1002/asi.24890" TargetMode="External"/><Relationship Id="rId44" Type="http://schemas.openxmlformats.org/officeDocument/2006/relationships/hyperlink" Target="https://doi.org/10.1007/s44217-026-01180-y" TargetMode="External"/><Relationship Id="rId52" Type="http://schemas.openxmlformats.org/officeDocument/2006/relationships/hyperlink" Target="https://www.weforum.org/publications/the-future-of-jobs-report-202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62986/dp2025.32" TargetMode="External"/><Relationship Id="rId27" Type="http://schemas.openxmlformats.org/officeDocument/2006/relationships/hyperlink" Target="https://doi.org/10.25082/AERE.2025.01.001" TargetMode="External"/><Relationship Id="rId30" Type="http://schemas.openxmlformats.org/officeDocument/2006/relationships/hyperlink" Target="https://doi.org/10.1108/HESWBL-10-2025-0446" TargetMode="External"/><Relationship Id="rId35" Type="http://schemas.openxmlformats.org/officeDocument/2006/relationships/hyperlink" Target="https://doi.org/10.1080/07294360.2024.2307929" TargetMode="External"/><Relationship Id="rId43" Type="http://schemas.openxmlformats.org/officeDocument/2006/relationships/hyperlink" Target="https://doi.org/10.1108/HESWBL-11-2023-0327" TargetMode="External"/><Relationship Id="rId48" Type="http://schemas.openxmlformats.org/officeDocument/2006/relationships/hyperlink" Target="https://doi.org/10.24059/olj.v28i2.4426" TargetMode="External"/><Relationship Id="rId8" Type="http://schemas.openxmlformats.org/officeDocument/2006/relationships/header" Target="header1.xml"/><Relationship Id="rId51" Type="http://schemas.openxmlformats.org/officeDocument/2006/relationships/hyperlink" Target="https://doi.org/10.1146/annurev-economics-081324-081733"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108/HESWBL-03-2025-0101" TargetMode="External"/><Relationship Id="rId33" Type="http://schemas.openxmlformats.org/officeDocument/2006/relationships/hyperlink" Target="https://doi.org/10.3384/njvet.2242-458X.241441" TargetMode="External"/><Relationship Id="rId38" Type="http://schemas.openxmlformats.org/officeDocument/2006/relationships/hyperlink" Target="https://doi.org/10.1080/14480220.2025.2566044" TargetMode="External"/><Relationship Id="rId46" Type="http://schemas.openxmlformats.org/officeDocument/2006/relationships/hyperlink" Target="https://doi.org/10.21831/pri.v8i1.91008" TargetMode="External"/><Relationship Id="rId20" Type="http://schemas.openxmlformats.org/officeDocument/2006/relationships/hyperlink" Target="https://doi.org/10.62986/dp2024.06" TargetMode="External"/><Relationship Id="rId41" Type="http://schemas.openxmlformats.org/officeDocument/2006/relationships/hyperlink" Target="https://doi.org/10.62986/pn2025.15"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08/HESWBL-10-2024-0301" TargetMode="External"/><Relationship Id="rId28" Type="http://schemas.openxmlformats.org/officeDocument/2006/relationships/hyperlink" Target="https://doi.org/10.1002/curj.70016" TargetMode="External"/><Relationship Id="rId36" Type="http://schemas.openxmlformats.org/officeDocument/2006/relationships/hyperlink" Target="https://doi.org/10.1038/s41597-024-03931-8" TargetMode="External"/><Relationship Id="rId49" Type="http://schemas.openxmlformats.org/officeDocument/2006/relationships/hyperlink" Target="https://doi.org/10.12688/f1000research.14851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36</TotalTime>
  <Pages>18</Pages>
  <Words>8518</Words>
  <Characters>51536</Characters>
  <Application>Microsoft Office Word</Application>
  <DocSecurity>0</DocSecurity>
  <Lines>831</Lines>
  <Paragraphs>276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59778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Editor-1183</cp:lastModifiedBy>
  <cp:revision>35</cp:revision>
  <cp:lastPrinted>1999-07-06T11:00:00Z</cp:lastPrinted>
  <dcterms:created xsi:type="dcterms:W3CDTF">2026-09-02T15:55:00Z</dcterms:created>
  <dcterms:modified xsi:type="dcterms:W3CDTF">2026-09-09T11:33:00Z</dcterms:modified>
</cp:coreProperties>
</file>