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2866" w14:textId="77777777" w:rsidR="00A258C3" w:rsidRDefault="00F71567" w:rsidP="00F71567">
      <w:pPr>
        <w:spacing w:after="300"/>
        <w:jc w:val="right"/>
        <w:rPr>
          <w:b/>
          <w:bCs/>
          <w:sz w:val="28"/>
          <w:szCs w:val="28"/>
        </w:rPr>
      </w:pPr>
      <w:r w:rsidRPr="00770CFC">
        <w:rPr>
          <w:b/>
          <w:bCs/>
          <w:sz w:val="28"/>
          <w:szCs w:val="28"/>
        </w:rPr>
        <w:t xml:space="preserve">Nutritional, Functional and Sensory Characteristics of Novel Edible </w:t>
      </w:r>
      <w:r>
        <w:rPr>
          <w:b/>
          <w:bCs/>
          <w:sz w:val="28"/>
          <w:szCs w:val="28"/>
        </w:rPr>
        <w:t>Cutlery</w:t>
      </w:r>
      <w:r w:rsidRPr="00770CFC">
        <w:rPr>
          <w:b/>
          <w:bCs/>
          <w:sz w:val="28"/>
          <w:szCs w:val="28"/>
        </w:rPr>
        <w:t xml:space="preserve"> Developed from Peel Powders and Flour Blends </w:t>
      </w:r>
    </w:p>
    <w:p w14:paraId="3CFBB469" w14:textId="77777777" w:rsidR="002C57D2" w:rsidRDefault="002C57D2" w:rsidP="00441B6F">
      <w:pPr>
        <w:pStyle w:val="Affiliation"/>
        <w:spacing w:after="0" w:line="240" w:lineRule="auto"/>
        <w:jc w:val="both"/>
        <w:rPr>
          <w:rFonts w:ascii="Arial" w:hAnsi="Arial" w:cs="Arial"/>
        </w:rPr>
      </w:pPr>
    </w:p>
    <w:p w14:paraId="1F44F497" w14:textId="77777777" w:rsidR="00F804BA" w:rsidRPr="00FB3A86" w:rsidRDefault="00F804BA" w:rsidP="00441B6F">
      <w:pPr>
        <w:pStyle w:val="Affiliation"/>
        <w:spacing w:after="0" w:line="240" w:lineRule="auto"/>
        <w:jc w:val="both"/>
        <w:rPr>
          <w:rFonts w:ascii="Arial" w:hAnsi="Arial" w:cs="Arial"/>
        </w:rPr>
      </w:pPr>
    </w:p>
    <w:p w14:paraId="33681388" w14:textId="77777777" w:rsidR="00B01FCD" w:rsidRPr="00FB3A86" w:rsidRDefault="00AC701B" w:rsidP="00441B6F">
      <w:pPr>
        <w:pStyle w:val="Copyright"/>
        <w:spacing w:after="0" w:line="240" w:lineRule="auto"/>
        <w:jc w:val="both"/>
        <w:rPr>
          <w:rFonts w:ascii="Arial" w:hAnsi="Arial" w:cs="Arial"/>
        </w:rPr>
        <w:sectPr w:rsidR="00B01FCD" w:rsidRPr="00FB3A86" w:rsidSect="00F804B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9370754" wp14:editId="27BC788E">
                <wp:extent cx="5303520" cy="635"/>
                <wp:effectExtent l="13335" t="16510" r="17145" b="12065"/>
                <wp:docPr id="76455457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DE11DB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AC2179B" w14:textId="77777777" w:rsidR="00B01FCD" w:rsidRDefault="00B01FCD" w:rsidP="000A5A2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3106EEC"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0051A20B" w14:textId="77777777" w:rsidTr="001E44FE">
        <w:tc>
          <w:tcPr>
            <w:tcW w:w="9576" w:type="dxa"/>
            <w:shd w:val="clear" w:color="auto" w:fill="F2F2F2"/>
          </w:tcPr>
          <w:p w14:paraId="687C36DD" w14:textId="7CC87B4E" w:rsidR="00505F06" w:rsidRPr="00F71567" w:rsidRDefault="002B5196" w:rsidP="002B5196">
            <w:pPr>
              <w:spacing w:after="200" w:line="360" w:lineRule="auto"/>
              <w:jc w:val="both"/>
            </w:pPr>
            <w:r>
              <w:t xml:space="preserve">Single-use plastic cutlery is one of the most common </w:t>
            </w:r>
            <w:r>
              <w:rPr>
                <w:highlight w:val="yellow"/>
              </w:rPr>
              <w:t xml:space="preserve">forms of </w:t>
            </w:r>
            <w:r>
              <w:t>non-biodegradable solid waste world</w:t>
            </w:r>
            <w:r>
              <w:rPr>
                <w:highlight w:val="yellow"/>
              </w:rPr>
              <w:t>wide,</w:t>
            </w:r>
            <w:r>
              <w:t xml:space="preserve"> and there is a critical need for reusable substitutes and better </w:t>
            </w:r>
            <w:r>
              <w:rPr>
                <w:highlight w:val="yellow"/>
              </w:rPr>
              <w:t>alterna</w:t>
            </w:r>
            <w:r>
              <w:t>ti</w:t>
            </w:r>
            <w:r>
              <w:rPr>
                <w:highlight w:val="yellow"/>
              </w:rPr>
              <w:t>ve</w:t>
            </w:r>
            <w:r>
              <w:t xml:space="preserve">s </w:t>
            </w:r>
            <w:r>
              <w:rPr>
                <w:highlight w:val="yellow"/>
              </w:rPr>
              <w:t>t</w:t>
            </w:r>
            <w:r>
              <w:t xml:space="preserve">o </w:t>
            </w:r>
            <w:r>
              <w:rPr>
                <w:highlight w:val="yellow"/>
              </w:rPr>
              <w:t>suc</w:t>
            </w:r>
            <w:r>
              <w:t>h cutler</w:t>
            </w:r>
            <w:r>
              <w:rPr>
                <w:highlight w:val="yellow"/>
              </w:rPr>
              <w:t>y</w:t>
            </w:r>
            <w:r>
              <w:t xml:space="preserve">. </w:t>
            </w:r>
            <w:r w:rsidR="006E145D" w:rsidRPr="006E145D">
              <w:t>This study developed edible spoons and bowls using whole wheat flour, sago starch, white sesame seed powder, cinnamon powder, and a 1:1 blend of carrot and beetroot peel powders.</w:t>
            </w:r>
            <w:r w:rsidR="006E145D">
              <w:t xml:space="preserve"> </w:t>
            </w:r>
            <w:r>
              <w:rPr>
                <w:highlight w:val="yellow"/>
              </w:rPr>
              <w:t>W</w:t>
            </w:r>
            <w:r>
              <w:t xml:space="preserve">hole wheat flour was substituted </w:t>
            </w:r>
            <w:r>
              <w:rPr>
                <w:highlight w:val="yellow"/>
              </w:rPr>
              <w:t>with the</w:t>
            </w:r>
            <w:r>
              <w:t xml:space="preserve"> combined peel powders at level</w:t>
            </w:r>
            <w:r>
              <w:rPr>
                <w:highlight w:val="yellow"/>
              </w:rPr>
              <w:t>s</w:t>
            </w:r>
            <w:r>
              <w:t xml:space="preserve"> of 5% and 10%</w:t>
            </w:r>
            <w:r>
              <w:rPr>
                <w:highlight w:val="yellow"/>
              </w:rPr>
              <w:t>,</w:t>
            </w:r>
            <w:r>
              <w:t xml:space="preserve"> and the optimum formulation was </w:t>
            </w:r>
            <w:r>
              <w:rPr>
                <w:highlight w:val="yellow"/>
              </w:rPr>
              <w:t>iden</w:t>
            </w:r>
            <w:r>
              <w:t>ti</w:t>
            </w:r>
            <w:r>
              <w:rPr>
                <w:highlight w:val="yellow"/>
              </w:rPr>
              <w:t>f</w:t>
            </w:r>
            <w:r>
              <w:t>ied. The formulation</w:t>
            </w:r>
            <w:r>
              <w:rPr>
                <w:highlight w:val="yellow"/>
              </w:rPr>
              <w:t xml:space="preserve"> incorporating 10% peel powder</w:t>
            </w:r>
            <w:r>
              <w:t xml:space="preserve"> was considered optimum </w:t>
            </w:r>
            <w:r>
              <w:rPr>
                <w:highlight w:val="yellow"/>
              </w:rPr>
              <w:t>beca</w:t>
            </w:r>
            <w:r>
              <w:t>u</w:t>
            </w:r>
            <w:r>
              <w:rPr>
                <w:highlight w:val="yellow"/>
              </w:rPr>
              <w:t>s</w:t>
            </w:r>
            <w:r>
              <w:t xml:space="preserve">e </w:t>
            </w:r>
            <w:r>
              <w:rPr>
                <w:highlight w:val="yellow"/>
              </w:rPr>
              <w:t>of i</w:t>
            </w:r>
            <w:r>
              <w:t>t</w:t>
            </w:r>
            <w:r>
              <w:rPr>
                <w:highlight w:val="yellow"/>
              </w:rPr>
              <w:t>s</w:t>
            </w:r>
            <w:r>
              <w:t xml:space="preserve"> better sensory acceptability</w:t>
            </w:r>
            <w:r>
              <w:rPr>
                <w:highlight w:val="yellow"/>
              </w:rPr>
              <w:t>,</w:t>
            </w:r>
            <w:r>
              <w:t xml:space="preserve"> as determined by</w:t>
            </w:r>
            <w:r>
              <w:rPr>
                <w:highlight w:val="yellow"/>
              </w:rPr>
              <w:t xml:space="preserve"> a</w:t>
            </w:r>
            <w:r>
              <w:t xml:space="preserve"> 20-member panel using </w:t>
            </w:r>
            <w:r>
              <w:rPr>
                <w:highlight w:val="yellow"/>
              </w:rPr>
              <w:t xml:space="preserve">a </w:t>
            </w:r>
            <w:r>
              <w:t xml:space="preserve">9-point </w:t>
            </w:r>
            <w:r>
              <w:rPr>
                <w:highlight w:val="yellow"/>
              </w:rPr>
              <w:t>h</w:t>
            </w:r>
            <w:r>
              <w:t>edonic scale. The optimi</w:t>
            </w:r>
            <w:r>
              <w:rPr>
                <w:highlight w:val="yellow"/>
              </w:rPr>
              <w:t>s</w:t>
            </w:r>
            <w:r>
              <w:t xml:space="preserve">ed cutlery exhibited a mean </w:t>
            </w:r>
            <w:r>
              <w:rPr>
                <w:highlight w:val="yellow"/>
              </w:rPr>
              <w:t xml:space="preserve">spoon </w:t>
            </w:r>
            <w:r>
              <w:t>length of 7.14 ± 0.14 cm</w:t>
            </w:r>
            <w:r>
              <w:rPr>
                <w:highlight w:val="yellow"/>
              </w:rPr>
              <w:t>,</w:t>
            </w:r>
            <w:r>
              <w:t xml:space="preserve"> a</w:t>
            </w:r>
            <w:r>
              <w:rPr>
                <w:highlight w:val="yellow"/>
              </w:rPr>
              <w:t xml:space="preserve"> mea</w:t>
            </w:r>
            <w:r>
              <w:t>n</w:t>
            </w:r>
            <w:r>
              <w:rPr>
                <w:highlight w:val="yellow"/>
              </w:rPr>
              <w:t xml:space="preserve"> spoon</w:t>
            </w:r>
            <w:r>
              <w:t xml:space="preserve"> weight of 4.31 ± 0.17 g, and</w:t>
            </w:r>
            <w:r>
              <w:rPr>
                <w:highlight w:val="yellow"/>
              </w:rPr>
              <w:t xml:space="preserve"> a</w:t>
            </w:r>
            <w:r>
              <w:t xml:space="preserve"> pH of 5.74. Based on colorimetric measurement</w:t>
            </w:r>
            <w:r>
              <w:rPr>
                <w:highlight w:val="yellow"/>
              </w:rPr>
              <w:t>s,</w:t>
            </w:r>
            <w:r>
              <w:t xml:space="preserve"> the value</w:t>
            </w:r>
            <w:r>
              <w:rPr>
                <w:highlight w:val="yellow"/>
              </w:rPr>
              <w:t>s</w:t>
            </w:r>
            <w:r>
              <w:t xml:space="preserve"> </w:t>
            </w:r>
            <w:r>
              <w:rPr>
                <w:highlight w:val="yellow"/>
              </w:rPr>
              <w:t>wer</w:t>
            </w:r>
            <w:r>
              <w:t xml:space="preserve">e </w:t>
            </w:r>
            <w:r>
              <w:rPr>
                <w:highlight w:val="yellow"/>
              </w:rPr>
              <w:t>L*</w:t>
            </w:r>
            <w:r>
              <w:t xml:space="preserve"> </w:t>
            </w:r>
            <w:r>
              <w:rPr>
                <w:highlight w:val="yellow"/>
              </w:rPr>
              <w:t>=</w:t>
            </w:r>
            <w:r>
              <w:t xml:space="preserve"> 41.35, a</w:t>
            </w:r>
            <w:r>
              <w:rPr>
                <w:highlight w:val="yellow"/>
              </w:rPr>
              <w:t>*</w:t>
            </w:r>
            <w:r>
              <w:t xml:space="preserve"> = 0.46</w:t>
            </w:r>
            <w:r>
              <w:rPr>
                <w:highlight w:val="yellow"/>
              </w:rPr>
              <w:t>,</w:t>
            </w:r>
            <w:r>
              <w:t xml:space="preserve"> and b</w:t>
            </w:r>
            <w:r>
              <w:rPr>
                <w:highlight w:val="yellow"/>
              </w:rPr>
              <w:t>*</w:t>
            </w:r>
            <w:r>
              <w:t xml:space="preserve"> = 11.32, indicat</w:t>
            </w:r>
            <w:r>
              <w:rPr>
                <w:highlight w:val="yellow"/>
              </w:rPr>
              <w:t>ing a</w:t>
            </w:r>
            <w:r>
              <w:t xml:space="preserve"> warm brownish colo</w:t>
            </w:r>
            <w:r>
              <w:rPr>
                <w:highlight w:val="yellow"/>
              </w:rPr>
              <w:t>u</w:t>
            </w:r>
            <w:r>
              <w:t xml:space="preserve">r. </w:t>
            </w:r>
            <w:r>
              <w:rPr>
                <w:highlight w:val="yellow"/>
              </w:rPr>
              <w:t>F</w:t>
            </w:r>
            <w:r>
              <w:t xml:space="preserve">unctional properties </w:t>
            </w:r>
            <w:r>
              <w:rPr>
                <w:highlight w:val="yellow"/>
              </w:rPr>
              <w:t>i</w:t>
            </w:r>
            <w:r>
              <w:t>n</w:t>
            </w:r>
            <w:r>
              <w:rPr>
                <w:highlight w:val="yellow"/>
              </w:rPr>
              <w:t>clud</w:t>
            </w:r>
            <w:r>
              <w:t>e</w:t>
            </w:r>
            <w:r>
              <w:rPr>
                <w:highlight w:val="yellow"/>
              </w:rPr>
              <w:t>d</w:t>
            </w:r>
            <w:r>
              <w:t xml:space="preserve"> water</w:t>
            </w:r>
            <w:r>
              <w:rPr>
                <w:highlight w:val="yellow"/>
              </w:rPr>
              <w:t>-</w:t>
            </w:r>
            <w:r>
              <w:t>holding capacity (83%), oil</w:t>
            </w:r>
            <w:r>
              <w:rPr>
                <w:highlight w:val="yellow"/>
              </w:rPr>
              <w:t>-</w:t>
            </w:r>
            <w:r>
              <w:t>holding capacity (118%)</w:t>
            </w:r>
            <w:r>
              <w:rPr>
                <w:highlight w:val="yellow"/>
              </w:rPr>
              <w:t>,</w:t>
            </w:r>
            <w:r>
              <w:t xml:space="preserve"> and water</w:t>
            </w:r>
            <w:r>
              <w:rPr>
                <w:highlight w:val="yellow"/>
              </w:rPr>
              <w:t>-</w:t>
            </w:r>
            <w:r>
              <w:t>absorption capacity (81.5%). Proximate composition revealed protein (16.58%), carbohydrate (72.33%), fat (3.57%), crude fibre (2.86%), ash (1.78%), and moisture (2.88</w:t>
            </w:r>
            <w:r>
              <w:rPr>
                <w:highlight w:val="yellow"/>
              </w:rPr>
              <w:t>%</w:t>
            </w:r>
            <w:r>
              <w:t>), with an energy value of 387.78 kcal/100 g. The total phenolic content of the optimi</w:t>
            </w:r>
            <w:r>
              <w:rPr>
                <w:highlight w:val="yellow"/>
              </w:rPr>
              <w:t>s</w:t>
            </w:r>
            <w:r>
              <w:t>ed</w:t>
            </w:r>
            <w:r>
              <w:rPr>
                <w:highlight w:val="yellow"/>
              </w:rPr>
              <w:t xml:space="preserve"> peel-containing</w:t>
            </w:r>
            <w:r>
              <w:t xml:space="preserve"> formulation was 1.057</w:t>
            </w:r>
            <w:r>
              <w:rPr>
                <w:highlight w:val="yellow"/>
              </w:rPr>
              <w:t xml:space="preserve"> </w:t>
            </w:r>
            <w:r>
              <w:t>mg</w:t>
            </w:r>
            <w:r>
              <w:rPr>
                <w:highlight w:val="yellow"/>
              </w:rPr>
              <w:t xml:space="preserve"> </w:t>
            </w:r>
            <w:r>
              <w:t>GAE/g</w:t>
            </w:r>
            <w:r>
              <w:rPr>
                <w:highlight w:val="yellow"/>
              </w:rPr>
              <w:t>.</w:t>
            </w:r>
            <w:r>
              <w:t xml:space="preserve"> </w:t>
            </w:r>
            <w:r>
              <w:rPr>
                <w:highlight w:val="yellow"/>
              </w:rPr>
              <w:t>A</w:t>
            </w:r>
            <w:r>
              <w:t>ntioxidant activity</w:t>
            </w:r>
            <w:r>
              <w:rPr>
                <w:highlight w:val="yellow"/>
              </w:rPr>
              <w:t>,</w:t>
            </w:r>
            <w:r>
              <w:t xml:space="preserve"> </w:t>
            </w:r>
            <w:r>
              <w:rPr>
                <w:highlight w:val="yellow"/>
              </w:rPr>
              <w:t xml:space="preserve">determined using the DPPH </w:t>
            </w:r>
            <w:r>
              <w:t>radical</w:t>
            </w:r>
            <w:r>
              <w:rPr>
                <w:highlight w:val="yellow"/>
              </w:rPr>
              <w:t>-</w:t>
            </w:r>
            <w:r>
              <w:t>scavenging assay</w:t>
            </w:r>
            <w:r>
              <w:rPr>
                <w:highlight w:val="yellow"/>
              </w:rPr>
              <w:t>,</w:t>
            </w:r>
            <w:r>
              <w:t xml:space="preserve"> </w:t>
            </w:r>
            <w:r>
              <w:rPr>
                <w:highlight w:val="yellow"/>
              </w:rPr>
              <w:t>was</w:t>
            </w:r>
            <w:r>
              <w:t xml:space="preserve"> </w:t>
            </w:r>
            <w:r>
              <w:rPr>
                <w:highlight w:val="yellow"/>
              </w:rPr>
              <w:t>hig</w:t>
            </w:r>
            <w:r>
              <w:t>he</w:t>
            </w:r>
            <w:r>
              <w:rPr>
                <w:highlight w:val="yellow"/>
              </w:rPr>
              <w:t>r</w:t>
            </w:r>
            <w:r>
              <w:t xml:space="preserve"> </w:t>
            </w:r>
            <w:r>
              <w:rPr>
                <w:highlight w:val="yellow"/>
              </w:rPr>
              <w:t>i</w:t>
            </w:r>
            <w:r>
              <w:t>n the 10% optimi</w:t>
            </w:r>
            <w:r>
              <w:rPr>
                <w:highlight w:val="yellow"/>
              </w:rPr>
              <w:t>s</w:t>
            </w:r>
            <w:r>
              <w:t>ed formulation tha</w:t>
            </w:r>
            <w:r>
              <w:rPr>
                <w:highlight w:val="yellow"/>
              </w:rPr>
              <w:t>n i</w:t>
            </w:r>
            <w:r>
              <w:t xml:space="preserve">n the base formulation, </w:t>
            </w:r>
            <w:r>
              <w:rPr>
                <w:highlight w:val="yellow"/>
              </w:rPr>
              <w:t>indic</w:t>
            </w:r>
            <w:r>
              <w:t>a</w:t>
            </w:r>
            <w:r>
              <w:rPr>
                <w:highlight w:val="yellow"/>
              </w:rPr>
              <w:t>t</w:t>
            </w:r>
            <w:r>
              <w:t xml:space="preserve">ing that inclusion of the peel </w:t>
            </w:r>
            <w:r>
              <w:rPr>
                <w:highlight w:val="yellow"/>
              </w:rPr>
              <w:t>pow</w:t>
            </w:r>
            <w:r>
              <w:t>d</w:t>
            </w:r>
            <w:r>
              <w:rPr>
                <w:highlight w:val="yellow"/>
              </w:rPr>
              <w:t>ers</w:t>
            </w:r>
            <w:r>
              <w:t xml:space="preserve"> increased the antioxidative potential of the formulation. The results </w:t>
            </w:r>
            <w:r>
              <w:rPr>
                <w:highlight w:val="yellow"/>
              </w:rPr>
              <w:t>indi</w:t>
            </w:r>
            <w:r>
              <w:t>c</w:t>
            </w:r>
            <w:r>
              <w:rPr>
                <w:highlight w:val="yellow"/>
              </w:rPr>
              <w:t>ate</w:t>
            </w:r>
            <w:r>
              <w:t xml:space="preserve"> that cutlery developed with root</w:t>
            </w:r>
            <w:r>
              <w:rPr>
                <w:highlight w:val="yellow"/>
              </w:rPr>
              <w:t>-</w:t>
            </w:r>
            <w:r>
              <w:t xml:space="preserve">vegetable peels </w:t>
            </w:r>
            <w:r>
              <w:rPr>
                <w:highlight w:val="yellow"/>
              </w:rPr>
              <w:t>m</w:t>
            </w:r>
            <w:r>
              <w:t>a</w:t>
            </w:r>
            <w:r>
              <w:rPr>
                <w:highlight w:val="yellow"/>
              </w:rPr>
              <w:t>y</w:t>
            </w:r>
            <w:r>
              <w:t xml:space="preserve"> be </w:t>
            </w:r>
            <w:r>
              <w:rPr>
                <w:highlight w:val="yellow"/>
              </w:rPr>
              <w:t>con</w:t>
            </w:r>
            <w:r>
              <w:t>s</w:t>
            </w:r>
            <w:r>
              <w:rPr>
                <w:highlight w:val="yellow"/>
              </w:rPr>
              <w:t>id</w:t>
            </w:r>
            <w:r>
              <w:t>e</w:t>
            </w:r>
            <w:r>
              <w:rPr>
                <w:highlight w:val="yellow"/>
              </w:rPr>
              <w:t>r</w:t>
            </w:r>
            <w:r>
              <w:t>e</w:t>
            </w:r>
            <w:r>
              <w:rPr>
                <w:highlight w:val="yellow"/>
              </w:rPr>
              <w:t>d</w:t>
            </w:r>
            <w:r>
              <w:t xml:space="preserve"> an environment</w:t>
            </w:r>
            <w:r>
              <w:rPr>
                <w:highlight w:val="yellow"/>
              </w:rPr>
              <w:t>ally</w:t>
            </w:r>
            <w:r>
              <w:t xml:space="preserve"> friendly, functional</w:t>
            </w:r>
            <w:r>
              <w:rPr>
                <w:highlight w:val="yellow"/>
              </w:rPr>
              <w:t>,</w:t>
            </w:r>
            <w:r>
              <w:t xml:space="preserve"> and feasible alternative </w:t>
            </w:r>
            <w:r>
              <w:rPr>
                <w:highlight w:val="yellow"/>
              </w:rPr>
              <w:t>t</w:t>
            </w:r>
            <w:r>
              <w:t>o plastic cutlery.</w:t>
            </w:r>
          </w:p>
        </w:tc>
      </w:tr>
    </w:tbl>
    <w:p w14:paraId="56C226BC" w14:textId="77777777" w:rsidR="00636EB2" w:rsidRDefault="00636EB2" w:rsidP="00441B6F">
      <w:pPr>
        <w:pStyle w:val="Body"/>
        <w:spacing w:after="0"/>
        <w:rPr>
          <w:rFonts w:ascii="Arial" w:hAnsi="Arial" w:cs="Arial"/>
          <w:i/>
        </w:rPr>
      </w:pPr>
    </w:p>
    <w:p w14:paraId="7154D09D" w14:textId="77777777" w:rsidR="00790ADA" w:rsidRDefault="00A24E7E" w:rsidP="00F71567">
      <w:pPr>
        <w:pStyle w:val="Body"/>
        <w:spacing w:after="0"/>
        <w:rPr>
          <w:i/>
          <w:iCs/>
        </w:rPr>
      </w:pPr>
      <w:r>
        <w:rPr>
          <w:rFonts w:ascii="Arial" w:hAnsi="Arial" w:cs="Arial"/>
          <w:i/>
        </w:rPr>
        <w:t>Keywords:</w:t>
      </w:r>
      <w:r w:rsidR="0030277A">
        <w:rPr>
          <w:rFonts w:ascii="Arial" w:hAnsi="Arial" w:cs="Arial"/>
          <w:i/>
        </w:rPr>
        <w:t xml:space="preserve"> non-biodegradable,</w:t>
      </w:r>
      <w:r>
        <w:rPr>
          <w:rFonts w:ascii="Arial" w:hAnsi="Arial" w:cs="Arial"/>
          <w:i/>
        </w:rPr>
        <w:t xml:space="preserve"> </w:t>
      </w:r>
      <w:r w:rsidR="00F71567" w:rsidRPr="00F71567">
        <w:rPr>
          <w:i/>
          <w:iCs/>
        </w:rPr>
        <w:t xml:space="preserve">edible cutlery, carrot peel powder, beetroot peel powder, proximate </w:t>
      </w:r>
      <w:r w:rsidR="00916AC6">
        <w:rPr>
          <w:i/>
          <w:iCs/>
        </w:rPr>
        <w:t>composition</w:t>
      </w:r>
      <w:r w:rsidR="00F71567" w:rsidRPr="00F71567">
        <w:rPr>
          <w:i/>
          <w:iCs/>
        </w:rPr>
        <w:t xml:space="preserve">, </w:t>
      </w:r>
      <w:r w:rsidR="0030277A">
        <w:rPr>
          <w:i/>
          <w:iCs/>
        </w:rPr>
        <w:t>DPPH</w:t>
      </w:r>
      <w:r w:rsidR="00916AC6">
        <w:rPr>
          <w:i/>
          <w:iCs/>
        </w:rPr>
        <w:t xml:space="preserve"> assay</w:t>
      </w:r>
      <w:r w:rsidR="0030277A">
        <w:rPr>
          <w:i/>
          <w:iCs/>
        </w:rPr>
        <w:t xml:space="preserve">, </w:t>
      </w:r>
      <w:r w:rsidR="00916AC6">
        <w:rPr>
          <w:i/>
          <w:iCs/>
        </w:rPr>
        <w:t>radical scavenging</w:t>
      </w:r>
      <w:r w:rsidR="0030277A">
        <w:rPr>
          <w:i/>
          <w:iCs/>
        </w:rPr>
        <w:t>, environment friendly</w:t>
      </w:r>
    </w:p>
    <w:p w14:paraId="5DD408DA" w14:textId="77777777" w:rsidR="00F71567" w:rsidRDefault="00F71567" w:rsidP="00F71567">
      <w:pPr>
        <w:pStyle w:val="Body"/>
        <w:spacing w:after="0"/>
        <w:rPr>
          <w:rFonts w:ascii="Arial" w:hAnsi="Arial" w:cs="Arial"/>
          <w:i/>
        </w:rPr>
      </w:pPr>
    </w:p>
    <w:p w14:paraId="2A6469BD" w14:textId="77777777" w:rsidR="0024282C" w:rsidRDefault="0024282C" w:rsidP="00441B6F">
      <w:pPr>
        <w:pStyle w:val="Body"/>
        <w:spacing w:after="0"/>
        <w:rPr>
          <w:rFonts w:ascii="Arial" w:hAnsi="Arial" w:cs="Arial"/>
          <w:i/>
          <w:sz w:val="18"/>
        </w:rPr>
      </w:pPr>
    </w:p>
    <w:p w14:paraId="693949A1" w14:textId="77777777" w:rsidR="00505F06" w:rsidRPr="00A24E7E" w:rsidRDefault="00505F06" w:rsidP="00441B6F">
      <w:pPr>
        <w:pStyle w:val="Body"/>
        <w:spacing w:after="0"/>
        <w:rPr>
          <w:rFonts w:ascii="Arial" w:hAnsi="Arial" w:cs="Arial"/>
          <w:i/>
        </w:rPr>
      </w:pPr>
    </w:p>
    <w:p w14:paraId="55CA9AC0" w14:textId="77777777" w:rsidR="00790ADA" w:rsidRPr="00FB3A86" w:rsidRDefault="00902823" w:rsidP="000A5A2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589F9BDA" w14:textId="77777777" w:rsidR="002B5196" w:rsidRDefault="002B5196" w:rsidP="002B5196">
      <w:pPr>
        <w:pStyle w:val="Body"/>
        <w:spacing w:after="0" w:line="360" w:lineRule="auto"/>
        <w:rPr>
          <w:rFonts w:cs="Helvetica"/>
        </w:rPr>
      </w:pPr>
      <w:r>
        <w:rPr>
          <w:rFonts w:cs="Helvetica"/>
        </w:rPr>
        <w:br/>
        <w:t>The rapid grow</w:t>
      </w:r>
      <w:r>
        <w:rPr>
          <w:rFonts w:cs="Helvetica"/>
          <w:highlight w:val="yellow"/>
        </w:rPr>
        <w:t>th of</w:t>
      </w:r>
      <w:r>
        <w:rPr>
          <w:rFonts w:cs="Helvetica"/>
        </w:rPr>
        <w:t xml:space="preserve"> industriali</w:t>
      </w:r>
      <w:r>
        <w:rPr>
          <w:rFonts w:cs="Helvetica"/>
          <w:highlight w:val="yellow"/>
        </w:rPr>
        <w:t>s</w:t>
      </w:r>
      <w:r>
        <w:rPr>
          <w:rFonts w:cs="Helvetica"/>
        </w:rPr>
        <w:t xml:space="preserve">ation has led to the generation of plastic waste </w:t>
      </w:r>
      <w:r>
        <w:rPr>
          <w:rFonts w:cs="Helvetica"/>
          <w:highlight w:val="yellow"/>
        </w:rPr>
        <w:t>from</w:t>
      </w:r>
      <w:r>
        <w:rPr>
          <w:rFonts w:cs="Helvetica"/>
        </w:rPr>
        <w:t xml:space="preserve"> factories</w:t>
      </w:r>
      <w:r>
        <w:rPr>
          <w:rFonts w:cs="Helvetica"/>
          <w:highlight w:val="yellow"/>
        </w:rPr>
        <w:t>,</w:t>
      </w:r>
      <w:r>
        <w:rPr>
          <w:rFonts w:cs="Helvetica"/>
        </w:rPr>
        <w:t xml:space="preserve"> which </w:t>
      </w:r>
      <w:r>
        <w:rPr>
          <w:rFonts w:cs="Helvetica"/>
          <w:highlight w:val="yellow"/>
        </w:rPr>
        <w:t>po</w:t>
      </w:r>
      <w:r>
        <w:rPr>
          <w:rFonts w:cs="Helvetica"/>
        </w:rPr>
        <w:t>se</w:t>
      </w:r>
      <w:r>
        <w:rPr>
          <w:rFonts w:cs="Helvetica"/>
          <w:highlight w:val="yellow"/>
        </w:rPr>
        <w:t>s</w:t>
      </w:r>
      <w:r>
        <w:rPr>
          <w:rFonts w:cs="Helvetica"/>
        </w:rPr>
        <w:t xml:space="preserve"> a serious threat to the environment. Plastic pollution, especially in soil ecosystem</w:t>
      </w:r>
      <w:r>
        <w:rPr>
          <w:rFonts w:cs="Helvetica"/>
          <w:highlight w:val="yellow"/>
        </w:rPr>
        <w:t>s</w:t>
      </w:r>
      <w:r>
        <w:rPr>
          <w:rFonts w:cs="Helvetica"/>
        </w:rPr>
        <w:t xml:space="preserve"> and agricultural areas </w:t>
      </w:r>
      <w:r>
        <w:rPr>
          <w:rFonts w:cs="Helvetica"/>
          <w:highlight w:val="yellow"/>
        </w:rPr>
        <w:t>beca</w:t>
      </w:r>
      <w:r>
        <w:rPr>
          <w:rFonts w:cs="Helvetica"/>
        </w:rPr>
        <w:t>u</w:t>
      </w:r>
      <w:r>
        <w:rPr>
          <w:rFonts w:cs="Helvetica"/>
          <w:highlight w:val="yellow"/>
        </w:rPr>
        <w:t>s</w:t>
      </w:r>
      <w:r>
        <w:rPr>
          <w:rFonts w:cs="Helvetica"/>
        </w:rPr>
        <w:t>e o</w:t>
      </w:r>
      <w:r>
        <w:rPr>
          <w:rFonts w:cs="Helvetica"/>
          <w:highlight w:val="yellow"/>
        </w:rPr>
        <w:t>f</w:t>
      </w:r>
      <w:r>
        <w:rPr>
          <w:rFonts w:cs="Helvetica"/>
        </w:rPr>
        <w:t xml:space="preserve"> the pervasive nature </w:t>
      </w:r>
      <w:r>
        <w:rPr>
          <w:rFonts w:cs="Helvetica"/>
          <w:highlight w:val="yellow"/>
        </w:rPr>
        <w:t xml:space="preserve">and accumulation </w:t>
      </w:r>
      <w:r>
        <w:rPr>
          <w:rFonts w:cs="Helvetica"/>
        </w:rPr>
        <w:t xml:space="preserve">of microplastics, is currently </w:t>
      </w:r>
      <w:r>
        <w:rPr>
          <w:rFonts w:cs="Helvetica"/>
          <w:highlight w:val="yellow"/>
        </w:rPr>
        <w:t>receiv</w:t>
      </w:r>
      <w:r>
        <w:rPr>
          <w:rFonts w:cs="Helvetica"/>
        </w:rPr>
        <w:t>ing world</w:t>
      </w:r>
      <w:r>
        <w:rPr>
          <w:rFonts w:cs="Helvetica"/>
          <w:highlight w:val="yellow"/>
        </w:rPr>
        <w:t>wide attention,</w:t>
      </w:r>
      <w:r>
        <w:rPr>
          <w:rFonts w:cs="Helvetica"/>
        </w:rPr>
        <w:t xml:space="preserve"> as </w:t>
      </w:r>
      <w:r>
        <w:rPr>
          <w:rFonts w:cs="Helvetica"/>
          <w:highlight w:val="yellow"/>
        </w:rPr>
        <w:t>n</w:t>
      </w:r>
      <w:r>
        <w:rPr>
          <w:rFonts w:cs="Helvetica"/>
        </w:rPr>
        <w:t xml:space="preserve">oted by Chae </w:t>
      </w:r>
      <w:r>
        <w:rPr>
          <w:rFonts w:cs="Helvetica"/>
          <w:highlight w:val="yellow"/>
        </w:rPr>
        <w:t>and</w:t>
      </w:r>
      <w:r>
        <w:rPr>
          <w:rFonts w:cs="Helvetica"/>
        </w:rPr>
        <w:t xml:space="preserve"> An (2018). Malavika </w:t>
      </w:r>
      <w:r>
        <w:rPr>
          <w:rFonts w:cs="Helvetica"/>
          <w:highlight w:val="yellow"/>
        </w:rPr>
        <w:t>e</w:t>
      </w:r>
      <w:r>
        <w:rPr>
          <w:rFonts w:cs="Helvetica"/>
        </w:rPr>
        <w:t xml:space="preserve">t </w:t>
      </w:r>
      <w:r>
        <w:rPr>
          <w:rFonts w:cs="Helvetica"/>
        </w:rPr>
        <w:lastRenderedPageBreak/>
        <w:t>a</w:t>
      </w:r>
      <w:r>
        <w:rPr>
          <w:rFonts w:cs="Helvetica"/>
          <w:highlight w:val="yellow"/>
        </w:rPr>
        <w:t>l.</w:t>
      </w:r>
      <w:r>
        <w:rPr>
          <w:rFonts w:cs="Helvetica"/>
        </w:rPr>
        <w:t xml:space="preserve"> (2025) observed that the use of </w:t>
      </w:r>
      <w:r>
        <w:rPr>
          <w:rFonts w:cs="Helvetica"/>
          <w:highlight w:val="yellow"/>
        </w:rPr>
        <w:t>s</w:t>
      </w:r>
      <w:r>
        <w:rPr>
          <w:rFonts w:cs="Helvetica"/>
        </w:rPr>
        <w:t>ingle</w:t>
      </w:r>
      <w:r>
        <w:rPr>
          <w:rFonts w:cs="Helvetica"/>
          <w:highlight w:val="yellow"/>
        </w:rPr>
        <w:t>-</w:t>
      </w:r>
      <w:r>
        <w:rPr>
          <w:rFonts w:cs="Helvetica"/>
        </w:rPr>
        <w:t xml:space="preserve">use plastic (SUP) in the food service industry has </w:t>
      </w:r>
      <w:r>
        <w:rPr>
          <w:rFonts w:cs="Helvetica"/>
          <w:highlight w:val="yellow"/>
        </w:rPr>
        <w:t>in</w:t>
      </w:r>
      <w:r>
        <w:rPr>
          <w:rFonts w:cs="Helvetica"/>
        </w:rPr>
        <w:t>t</w:t>
      </w:r>
      <w:r>
        <w:rPr>
          <w:rFonts w:cs="Helvetica"/>
          <w:highlight w:val="yellow"/>
        </w:rPr>
        <w:t>e</w:t>
      </w:r>
      <w:r>
        <w:rPr>
          <w:rFonts w:cs="Helvetica"/>
        </w:rPr>
        <w:t>n</w:t>
      </w:r>
      <w:r>
        <w:rPr>
          <w:rFonts w:cs="Helvetica"/>
          <w:highlight w:val="yellow"/>
        </w:rPr>
        <w:t>sifi</w:t>
      </w:r>
      <w:r>
        <w:rPr>
          <w:rFonts w:cs="Helvetica"/>
        </w:rPr>
        <w:t xml:space="preserve">ed environmental degradation to alarming </w:t>
      </w:r>
      <w:r>
        <w:rPr>
          <w:rFonts w:cs="Helvetica"/>
          <w:highlight w:val="yellow"/>
        </w:rPr>
        <w:t>levels; the</w:t>
      </w:r>
      <w:r>
        <w:rPr>
          <w:rFonts w:cs="Helvetica"/>
        </w:rPr>
        <w:t>r</w:t>
      </w:r>
      <w:r>
        <w:rPr>
          <w:rFonts w:cs="Helvetica"/>
          <w:highlight w:val="yellow"/>
        </w:rPr>
        <w:t>ef</w:t>
      </w:r>
      <w:r>
        <w:rPr>
          <w:rFonts w:cs="Helvetica"/>
        </w:rPr>
        <w:t>or</w:t>
      </w:r>
      <w:r>
        <w:rPr>
          <w:rFonts w:cs="Helvetica"/>
          <w:highlight w:val="yellow"/>
        </w:rPr>
        <w:t xml:space="preserve">e, </w:t>
      </w:r>
      <w:r>
        <w:rPr>
          <w:rFonts w:cs="Helvetica"/>
        </w:rPr>
        <w:t>t</w:t>
      </w:r>
      <w:r>
        <w:rPr>
          <w:rFonts w:cs="Helvetica"/>
          <w:highlight w:val="yellow"/>
        </w:rPr>
        <w:t>h</w:t>
      </w:r>
      <w:r>
        <w:rPr>
          <w:rFonts w:cs="Helvetica"/>
        </w:rPr>
        <w:t>is is</w:t>
      </w:r>
      <w:r>
        <w:rPr>
          <w:rFonts w:cs="Helvetica"/>
          <w:highlight w:val="yellow"/>
        </w:rPr>
        <w:t>sue</w:t>
      </w:r>
      <w:r>
        <w:rPr>
          <w:rFonts w:cs="Helvetica"/>
        </w:rPr>
        <w:t xml:space="preserve"> need</w:t>
      </w:r>
      <w:r>
        <w:rPr>
          <w:rFonts w:cs="Helvetica"/>
          <w:highlight w:val="yellow"/>
        </w:rPr>
        <w:t>s</w:t>
      </w:r>
      <w:r>
        <w:rPr>
          <w:rFonts w:cs="Helvetica"/>
        </w:rPr>
        <w:t xml:space="preserve"> to be addressed sustainabl</w:t>
      </w:r>
      <w:r>
        <w:rPr>
          <w:rFonts w:cs="Helvetica"/>
          <w:highlight w:val="yellow"/>
        </w:rPr>
        <w:t>y</w:t>
      </w:r>
      <w:r>
        <w:rPr>
          <w:rFonts w:cs="Helvetica"/>
        </w:rPr>
        <w:t>.</w:t>
      </w:r>
    </w:p>
    <w:p w14:paraId="7E2AEDCE" w14:textId="77777777" w:rsidR="00916AC6" w:rsidRDefault="002B5196" w:rsidP="00916AC6">
      <w:pPr>
        <w:pStyle w:val="Body"/>
        <w:spacing w:after="0" w:line="360" w:lineRule="auto"/>
        <w:rPr>
          <w:rFonts w:cs="Helvetica"/>
        </w:rPr>
      </w:pPr>
      <w:r>
        <w:rPr>
          <w:rFonts w:cs="Helvetica"/>
        </w:rPr>
        <w:t>Furthermore, Dordevic et al. (2025) noted that conventional plastics</w:t>
      </w:r>
      <w:r>
        <w:rPr>
          <w:rFonts w:cs="Helvetica"/>
          <w:highlight w:val="yellow"/>
        </w:rPr>
        <w:t>,</w:t>
      </w:r>
      <w:r>
        <w:rPr>
          <w:rFonts w:cs="Helvetica"/>
        </w:rPr>
        <w:t xml:space="preserve"> with lifecycle</w:t>
      </w:r>
      <w:r>
        <w:rPr>
          <w:rFonts w:cs="Helvetica"/>
          <w:highlight w:val="yellow"/>
        </w:rPr>
        <w:t>s</w:t>
      </w:r>
      <w:r>
        <w:rPr>
          <w:rFonts w:cs="Helvetica"/>
        </w:rPr>
        <w:t xml:space="preserve"> </w:t>
      </w:r>
      <w:r>
        <w:rPr>
          <w:rFonts w:cs="Helvetica"/>
          <w:highlight w:val="yellow"/>
        </w:rPr>
        <w:t>ranging fr</w:t>
      </w:r>
      <w:r>
        <w:rPr>
          <w:rFonts w:cs="Helvetica"/>
        </w:rPr>
        <w:t>o</w:t>
      </w:r>
      <w:r>
        <w:rPr>
          <w:rFonts w:cs="Helvetica"/>
          <w:highlight w:val="yellow"/>
        </w:rPr>
        <w:t>m</w:t>
      </w:r>
      <w:r>
        <w:rPr>
          <w:rFonts w:cs="Helvetica"/>
        </w:rPr>
        <w:t xml:space="preserve"> decades to hundreds of years in landfills</w:t>
      </w:r>
      <w:r>
        <w:rPr>
          <w:rFonts w:cs="Helvetica"/>
          <w:highlight w:val="yellow"/>
        </w:rPr>
        <w:t>,</w:t>
      </w:r>
      <w:r>
        <w:rPr>
          <w:rFonts w:cs="Helvetica"/>
        </w:rPr>
        <w:t xml:space="preserve"> have a high ecological impact. To </w:t>
      </w:r>
      <w:r>
        <w:rPr>
          <w:rFonts w:cs="Helvetica"/>
          <w:highlight w:val="yellow"/>
        </w:rPr>
        <w:t>addre</w:t>
      </w:r>
      <w:r>
        <w:rPr>
          <w:rFonts w:cs="Helvetica"/>
        </w:rPr>
        <w:t>s</w:t>
      </w:r>
      <w:r>
        <w:rPr>
          <w:rFonts w:cs="Helvetica"/>
          <w:highlight w:val="yellow"/>
        </w:rPr>
        <w:t>s</w:t>
      </w:r>
      <w:r>
        <w:rPr>
          <w:rFonts w:cs="Helvetica"/>
        </w:rPr>
        <w:t xml:space="preserve"> this problem and re</w:t>
      </w:r>
      <w:r>
        <w:rPr>
          <w:rFonts w:cs="Helvetica"/>
          <w:highlight w:val="yellow"/>
        </w:rPr>
        <w:t>duc</w:t>
      </w:r>
      <w:r>
        <w:rPr>
          <w:rFonts w:cs="Helvetica"/>
        </w:rPr>
        <w:t xml:space="preserve">e pollution, edible, biodegradable cutlery </w:t>
      </w:r>
      <w:r>
        <w:rPr>
          <w:rFonts w:cs="Helvetica"/>
          <w:highlight w:val="yellow"/>
        </w:rPr>
        <w:t>made from</w:t>
      </w:r>
      <w:r>
        <w:rPr>
          <w:rFonts w:cs="Helvetica"/>
        </w:rPr>
        <w:t xml:space="preserve"> agricultur</w:t>
      </w:r>
      <w:r>
        <w:rPr>
          <w:rFonts w:cs="Helvetica"/>
          <w:highlight w:val="yellow"/>
        </w:rPr>
        <w:t>al</w:t>
      </w:r>
      <w:r>
        <w:rPr>
          <w:rFonts w:cs="Helvetica"/>
        </w:rPr>
        <w:t xml:space="preserve"> waste</w:t>
      </w:r>
      <w:r>
        <w:rPr>
          <w:rFonts w:cs="Helvetica"/>
          <w:highlight w:val="yellow"/>
        </w:rPr>
        <w:t>,</w:t>
      </w:r>
      <w:r>
        <w:rPr>
          <w:rFonts w:cs="Helvetica"/>
        </w:rPr>
        <w:t xml:space="preserve"> such as flour blends and other no</w:t>
      </w:r>
      <w:r>
        <w:rPr>
          <w:rFonts w:cs="Helvetica"/>
          <w:highlight w:val="yellow"/>
        </w:rPr>
        <w:t>n-</w:t>
      </w:r>
      <w:r>
        <w:rPr>
          <w:rFonts w:cs="Helvetica"/>
        </w:rPr>
        <w:t xml:space="preserve">traditional </w:t>
      </w:r>
      <w:r>
        <w:rPr>
          <w:rFonts w:cs="Helvetica"/>
          <w:highlight w:val="yellow"/>
        </w:rPr>
        <w:t>b</w:t>
      </w:r>
      <w:r>
        <w:rPr>
          <w:rFonts w:cs="Helvetica"/>
        </w:rPr>
        <w:t>a</w:t>
      </w:r>
      <w:r>
        <w:rPr>
          <w:rFonts w:cs="Helvetica"/>
          <w:highlight w:val="yellow"/>
        </w:rPr>
        <w:t>s</w:t>
      </w:r>
      <w:r>
        <w:rPr>
          <w:rFonts w:cs="Helvetica"/>
        </w:rPr>
        <w:t>e</w:t>
      </w:r>
      <w:r>
        <w:rPr>
          <w:rFonts w:cs="Helvetica"/>
          <w:highlight w:val="yellow"/>
        </w:rPr>
        <w:t>s, is</w:t>
      </w:r>
      <w:r>
        <w:rPr>
          <w:rFonts w:cs="Helvetica"/>
        </w:rPr>
        <w:t xml:space="preserve"> being considered a potential alternative. For instance, Radenkovs et al. (2026) reported that wheat bran could be used as a source of dietary fibre in foods and</w:t>
      </w:r>
      <w:r>
        <w:rPr>
          <w:rFonts w:cs="Helvetica"/>
          <w:highlight w:val="yellow"/>
        </w:rPr>
        <w:t xml:space="preserve"> that</w:t>
      </w:r>
      <w:r>
        <w:rPr>
          <w:rFonts w:cs="Helvetica"/>
        </w:rPr>
        <w:t xml:space="preserve"> combining it with fruit pomace to develop</w:t>
      </w:r>
      <w:r>
        <w:rPr>
          <w:rFonts w:cs="Helvetica"/>
          <w:highlight w:val="yellow"/>
        </w:rPr>
        <w:t xml:space="preserve"> an</w:t>
      </w:r>
      <w:r>
        <w:rPr>
          <w:rFonts w:cs="Helvetica"/>
        </w:rPr>
        <w:t xml:space="preserve"> edible food plate appeared feasible. To produce mechanically strong, easily handled utensils</w:t>
      </w:r>
      <w:r>
        <w:rPr>
          <w:rFonts w:cs="Helvetica"/>
          <w:highlight w:val="yellow"/>
        </w:rPr>
        <w:t>,</w:t>
      </w:r>
      <w:r>
        <w:rPr>
          <w:rFonts w:cs="Helvetica"/>
        </w:rPr>
        <w:t xml:space="preserve"> it is essential to develop a strong starch matrix. Cassava</w:t>
      </w:r>
      <w:r>
        <w:rPr>
          <w:rFonts w:cs="Helvetica"/>
          <w:highlight w:val="yellow"/>
        </w:rPr>
        <w:t>-</w:t>
      </w:r>
      <w:r>
        <w:rPr>
          <w:rFonts w:cs="Helvetica"/>
        </w:rPr>
        <w:t xml:space="preserve">based starches show high potential </w:t>
      </w:r>
      <w:r>
        <w:rPr>
          <w:rFonts w:cs="Helvetica"/>
          <w:highlight w:val="yellow"/>
        </w:rPr>
        <w:t>i</w:t>
      </w:r>
      <w:r>
        <w:rPr>
          <w:rFonts w:cs="Helvetica"/>
        </w:rPr>
        <w:t xml:space="preserve">n </w:t>
      </w:r>
      <w:r>
        <w:rPr>
          <w:rFonts w:cs="Helvetica"/>
          <w:highlight w:val="yellow"/>
        </w:rPr>
        <w:t>this cont</w:t>
      </w:r>
      <w:r>
        <w:rPr>
          <w:rFonts w:cs="Helvetica"/>
        </w:rPr>
        <w:t>e</w:t>
      </w:r>
      <w:r>
        <w:rPr>
          <w:rFonts w:cs="Helvetica"/>
          <w:highlight w:val="yellow"/>
        </w:rPr>
        <w:t>x</w:t>
      </w:r>
      <w:r>
        <w:rPr>
          <w:rFonts w:cs="Helvetica"/>
        </w:rPr>
        <w:t>t</w:t>
      </w:r>
      <w:r>
        <w:rPr>
          <w:rFonts w:cs="Helvetica"/>
          <w:highlight w:val="yellow"/>
        </w:rPr>
        <w:t>;</w:t>
      </w:r>
      <w:r>
        <w:rPr>
          <w:rFonts w:cs="Helvetica"/>
        </w:rPr>
        <w:t xml:space="preserve"> the evaluation of dry starch sago </w:t>
      </w:r>
      <w:r>
        <w:rPr>
          <w:rFonts w:cs="Helvetica"/>
          <w:highlight w:val="yellow"/>
        </w:rPr>
        <w:t>w</w:t>
      </w:r>
      <w:r>
        <w:rPr>
          <w:rFonts w:cs="Helvetica"/>
        </w:rPr>
        <w:t>as carried out by Krishnakumar et al. (20</w:t>
      </w:r>
      <w:r>
        <w:rPr>
          <w:rFonts w:cs="Helvetica"/>
          <w:highlight w:val="yellow"/>
        </w:rPr>
        <w:t>20</w:t>
      </w:r>
      <w:r>
        <w:rPr>
          <w:rFonts w:cs="Helvetica"/>
        </w:rPr>
        <w:t>)</w:t>
      </w:r>
      <w:r>
        <w:rPr>
          <w:rFonts w:cs="Helvetica"/>
          <w:highlight w:val="yellow"/>
        </w:rPr>
        <w:t>,</w:t>
      </w:r>
      <w:r>
        <w:rPr>
          <w:rFonts w:cs="Helvetica"/>
        </w:rPr>
        <w:t xml:space="preserve"> wh</w:t>
      </w:r>
      <w:r>
        <w:rPr>
          <w:rFonts w:cs="Helvetica"/>
          <w:highlight w:val="yellow"/>
        </w:rPr>
        <w:t>o</w:t>
      </w:r>
      <w:r>
        <w:rPr>
          <w:rFonts w:cs="Helvetica"/>
        </w:rPr>
        <w:t xml:space="preserve"> focuse</w:t>
      </w:r>
      <w:r>
        <w:rPr>
          <w:rFonts w:cs="Helvetica"/>
          <w:highlight w:val="yellow"/>
        </w:rPr>
        <w:t>d</w:t>
      </w:r>
      <w:r>
        <w:rPr>
          <w:rFonts w:cs="Helvetica"/>
        </w:rPr>
        <w:t xml:space="preserve"> on </w:t>
      </w:r>
      <w:r>
        <w:rPr>
          <w:rFonts w:cs="Helvetica"/>
          <w:highlight w:val="yellow"/>
        </w:rPr>
        <w:t>i</w:t>
      </w:r>
      <w:r>
        <w:rPr>
          <w:rFonts w:cs="Helvetica"/>
        </w:rPr>
        <w:t>t</w:t>
      </w:r>
      <w:r>
        <w:rPr>
          <w:rFonts w:cs="Helvetica"/>
          <w:highlight w:val="yellow"/>
        </w:rPr>
        <w:t>s us</w:t>
      </w:r>
      <w:r>
        <w:rPr>
          <w:rFonts w:cs="Helvetica"/>
        </w:rPr>
        <w:t xml:space="preserve">e as a binder </w:t>
      </w:r>
      <w:r>
        <w:rPr>
          <w:rFonts w:cs="Helvetica"/>
          <w:highlight w:val="yellow"/>
        </w:rPr>
        <w:t>wit</w:t>
      </w:r>
      <w:r>
        <w:rPr>
          <w:rFonts w:cs="Helvetica"/>
        </w:rPr>
        <w:t xml:space="preserve">h excellent physico-functional properties. </w:t>
      </w:r>
      <w:r>
        <w:rPr>
          <w:rFonts w:cs="Helvetica"/>
          <w:highlight w:val="yellow"/>
        </w:rPr>
        <w:t>T</w:t>
      </w:r>
      <w:r>
        <w:rPr>
          <w:rFonts w:cs="Helvetica"/>
        </w:rPr>
        <w:t>hus</w:t>
      </w:r>
      <w:r>
        <w:rPr>
          <w:rFonts w:cs="Helvetica"/>
          <w:highlight w:val="yellow"/>
        </w:rPr>
        <w:t>,</w:t>
      </w:r>
      <w:r>
        <w:rPr>
          <w:rFonts w:cs="Helvetica"/>
        </w:rPr>
        <w:t xml:space="preserve"> spoon</w:t>
      </w:r>
      <w:r>
        <w:rPr>
          <w:rFonts w:cs="Helvetica"/>
          <w:highlight w:val="yellow"/>
        </w:rPr>
        <w:t xml:space="preserve"> </w:t>
      </w:r>
      <w:r>
        <w:rPr>
          <w:rFonts w:cs="Helvetica"/>
        </w:rPr>
        <w:t>materials</w:t>
      </w:r>
      <w:r>
        <w:rPr>
          <w:rFonts w:cs="Helvetica"/>
          <w:highlight w:val="yellow"/>
        </w:rPr>
        <w:t xml:space="preserve"> can be prepared</w:t>
      </w:r>
      <w:r>
        <w:rPr>
          <w:rFonts w:cs="Helvetica"/>
        </w:rPr>
        <w:t xml:space="preserve"> from wheat flour as a base and sago flour as a binding material to obtain the required binding </w:t>
      </w:r>
      <w:r>
        <w:rPr>
          <w:rFonts w:cs="Helvetica"/>
          <w:highlight w:val="yellow"/>
        </w:rPr>
        <w:t>str</w:t>
      </w:r>
      <w:r>
        <w:rPr>
          <w:rFonts w:cs="Helvetica"/>
        </w:rPr>
        <w:t>e</w:t>
      </w:r>
      <w:r>
        <w:rPr>
          <w:rFonts w:cs="Helvetica"/>
          <w:highlight w:val="yellow"/>
        </w:rPr>
        <w:t>ngth</w:t>
      </w:r>
      <w:r>
        <w:rPr>
          <w:rFonts w:cs="Helvetica"/>
        </w:rPr>
        <w:t xml:space="preserve">. In addition to its structuring properties, fortification of such biodegradable matrices </w:t>
      </w:r>
      <w:r>
        <w:rPr>
          <w:rFonts w:cs="Helvetica"/>
          <w:highlight w:val="yellow"/>
        </w:rPr>
        <w:t>w</w:t>
      </w:r>
      <w:r>
        <w:rPr>
          <w:rFonts w:cs="Helvetica"/>
        </w:rPr>
        <w:t>i</w:t>
      </w:r>
      <w:r>
        <w:rPr>
          <w:rFonts w:cs="Helvetica"/>
          <w:highlight w:val="yellow"/>
        </w:rPr>
        <w:t>th</w:t>
      </w:r>
      <w:r>
        <w:rPr>
          <w:rFonts w:cs="Helvetica"/>
        </w:rPr>
        <w:t xml:space="preserve"> agricultur</w:t>
      </w:r>
      <w:r>
        <w:rPr>
          <w:rFonts w:cs="Helvetica"/>
          <w:highlight w:val="yellow"/>
        </w:rPr>
        <w:t>al</w:t>
      </w:r>
      <w:r>
        <w:rPr>
          <w:rFonts w:cs="Helvetica"/>
        </w:rPr>
        <w:t xml:space="preserve"> by-products </w:t>
      </w:r>
      <w:r>
        <w:rPr>
          <w:rFonts w:cs="Helvetica"/>
          <w:highlight w:val="yellow"/>
        </w:rPr>
        <w:t xml:space="preserve">can </w:t>
      </w:r>
      <w:r>
        <w:rPr>
          <w:rFonts w:cs="Helvetica"/>
        </w:rPr>
        <w:t xml:space="preserve">also </w:t>
      </w:r>
      <w:r>
        <w:rPr>
          <w:rFonts w:cs="Helvetica"/>
          <w:highlight w:val="yellow"/>
        </w:rPr>
        <w:t>suppo</w:t>
      </w:r>
      <w:r>
        <w:rPr>
          <w:rFonts w:cs="Helvetica"/>
        </w:rPr>
        <w:t>r</w:t>
      </w:r>
      <w:r>
        <w:rPr>
          <w:rFonts w:cs="Helvetica"/>
          <w:highlight w:val="yellow"/>
        </w:rPr>
        <w:t>t th</w:t>
      </w:r>
      <w:r>
        <w:rPr>
          <w:rFonts w:cs="Helvetica"/>
        </w:rPr>
        <w:t>e</w:t>
      </w:r>
      <w:r>
        <w:rPr>
          <w:rFonts w:cs="Helvetica"/>
          <w:highlight w:val="yellow"/>
        </w:rPr>
        <w:t xml:space="preserve"> developmen</w:t>
      </w:r>
      <w:r>
        <w:rPr>
          <w:rFonts w:cs="Helvetica"/>
        </w:rPr>
        <w:t>t</w:t>
      </w:r>
      <w:r>
        <w:rPr>
          <w:rFonts w:cs="Helvetica"/>
          <w:highlight w:val="yellow"/>
        </w:rPr>
        <w:t xml:space="preserve"> of</w:t>
      </w:r>
      <w:r>
        <w:rPr>
          <w:rFonts w:cs="Helvetica"/>
        </w:rPr>
        <w:t xml:space="preserve"> functional foods </w:t>
      </w:r>
      <w:r>
        <w:rPr>
          <w:rFonts w:cs="Helvetica"/>
          <w:highlight w:val="yellow"/>
        </w:rPr>
        <w:t>wi</w:t>
      </w:r>
      <w:r>
        <w:rPr>
          <w:rFonts w:cs="Helvetica"/>
        </w:rPr>
        <w:t>th nutritional properties.</w:t>
      </w:r>
    </w:p>
    <w:p w14:paraId="4FF20274" w14:textId="77777777" w:rsidR="00C02591" w:rsidRPr="006E145D" w:rsidRDefault="002E2D2C">
      <w:pPr>
        <w:pStyle w:val="Body"/>
        <w:rPr>
          <w:bCs/>
        </w:rPr>
      </w:pPr>
      <w:r w:rsidRPr="006E145D">
        <w:rPr>
          <w:bCs/>
          <w:highlight w:val="yellow"/>
        </w:rPr>
        <w:t>Recent literature describes edible tableware produced from starches, cereal flours, plant fibres, and other food-grade biopolymers as a developing alternative to single-use serving items; experimental work has also demonstrated the feasibility of incorporating fruit-peel powder into cereal-based edible cutlery formulations (Meshram et al., 2025; Maheen et al., 2026).</w:t>
      </w:r>
    </w:p>
    <w:p w14:paraId="1254F77B" w14:textId="77777777" w:rsidR="002B5196" w:rsidRDefault="002B5196" w:rsidP="00916AC6">
      <w:pPr>
        <w:pStyle w:val="Body"/>
        <w:spacing w:after="0" w:line="360" w:lineRule="auto"/>
        <w:rPr>
          <w:rFonts w:cs="Helvetica"/>
        </w:rPr>
      </w:pPr>
      <w:r>
        <w:rPr>
          <w:rFonts w:cs="Helvetica"/>
        </w:rPr>
        <w:t>Singh and Mishra (2022)</w:t>
      </w:r>
      <w:r>
        <w:rPr>
          <w:rFonts w:cs="Helvetica"/>
          <w:highlight w:val="yellow"/>
        </w:rPr>
        <w:t>,</w:t>
      </w:r>
      <w:r>
        <w:rPr>
          <w:rFonts w:cs="Helvetica"/>
        </w:rPr>
        <w:t xml:space="preserve"> for instance, evaluated the organoleptic and morphological properties of citrus peel powders and their nutritional composition, indicating </w:t>
      </w:r>
      <w:r>
        <w:rPr>
          <w:rFonts w:cs="Helvetica"/>
          <w:highlight w:val="yellow"/>
        </w:rPr>
        <w:t xml:space="preserve">the </w:t>
      </w:r>
      <w:r>
        <w:rPr>
          <w:rFonts w:cs="Helvetica"/>
        </w:rPr>
        <w:t xml:space="preserve">high </w:t>
      </w:r>
      <w:r>
        <w:rPr>
          <w:rFonts w:cs="Helvetica"/>
          <w:highlight w:val="yellow"/>
        </w:rPr>
        <w:t>pot</w:t>
      </w:r>
      <w:r>
        <w:rPr>
          <w:rFonts w:cs="Helvetica"/>
        </w:rPr>
        <w:t>e</w:t>
      </w:r>
      <w:r>
        <w:rPr>
          <w:rFonts w:cs="Helvetica"/>
          <w:highlight w:val="yellow"/>
        </w:rPr>
        <w:t>ntia</w:t>
      </w:r>
      <w:r>
        <w:rPr>
          <w:rFonts w:cs="Helvetica"/>
        </w:rPr>
        <w:t>l of</w:t>
      </w:r>
      <w:r>
        <w:rPr>
          <w:rFonts w:cs="Helvetica"/>
          <w:highlight w:val="yellow"/>
        </w:rPr>
        <w:t xml:space="preserve"> this</w:t>
      </w:r>
      <w:r>
        <w:rPr>
          <w:rFonts w:cs="Helvetica"/>
        </w:rPr>
        <w:t xml:space="preserve"> underutili</w:t>
      </w:r>
      <w:r>
        <w:rPr>
          <w:rFonts w:cs="Helvetica"/>
          <w:highlight w:val="yellow"/>
        </w:rPr>
        <w:t>s</w:t>
      </w:r>
      <w:r>
        <w:rPr>
          <w:rFonts w:cs="Helvetica"/>
        </w:rPr>
        <w:t>ed raw material for</w:t>
      </w:r>
      <w:r>
        <w:rPr>
          <w:rFonts w:cs="Helvetica"/>
          <w:highlight w:val="yellow"/>
        </w:rPr>
        <w:t xml:space="preserve"> the</w:t>
      </w:r>
      <w:r>
        <w:rPr>
          <w:rFonts w:cs="Helvetica"/>
        </w:rPr>
        <w:t xml:space="preserve"> development of functional foods</w:t>
      </w:r>
      <w:r>
        <w:rPr>
          <w:rFonts w:cs="Helvetica"/>
          <w:highlight w:val="yellow"/>
        </w:rPr>
        <w:t>,</w:t>
      </w:r>
      <w:r>
        <w:rPr>
          <w:rFonts w:cs="Helvetica"/>
        </w:rPr>
        <w:t xml:space="preserve"> particularly </w:t>
      </w:r>
      <w:r>
        <w:rPr>
          <w:rFonts w:cs="Helvetica"/>
          <w:highlight w:val="yellow"/>
        </w:rPr>
        <w:t>beca</w:t>
      </w:r>
      <w:r>
        <w:rPr>
          <w:rFonts w:cs="Helvetica"/>
        </w:rPr>
        <w:t>u</w:t>
      </w:r>
      <w:r>
        <w:rPr>
          <w:rFonts w:cs="Helvetica"/>
          <w:highlight w:val="yellow"/>
        </w:rPr>
        <w:t>s</w:t>
      </w:r>
      <w:r>
        <w:rPr>
          <w:rFonts w:cs="Helvetica"/>
        </w:rPr>
        <w:t>e o</w:t>
      </w:r>
      <w:r>
        <w:rPr>
          <w:rFonts w:cs="Helvetica"/>
          <w:highlight w:val="yellow"/>
        </w:rPr>
        <w:t>f</w:t>
      </w:r>
      <w:r>
        <w:rPr>
          <w:rFonts w:cs="Helvetica"/>
        </w:rPr>
        <w:t xml:space="preserve"> it</w:t>
      </w:r>
      <w:r>
        <w:rPr>
          <w:rFonts w:cs="Helvetica"/>
          <w:highlight w:val="yellow"/>
        </w:rPr>
        <w:t>s</w:t>
      </w:r>
      <w:r>
        <w:rPr>
          <w:rFonts w:cs="Helvetica"/>
        </w:rPr>
        <w:t xml:space="preserve"> richness </w:t>
      </w:r>
      <w:r>
        <w:rPr>
          <w:rFonts w:cs="Helvetica"/>
          <w:highlight w:val="yellow"/>
        </w:rPr>
        <w:t>in</w:t>
      </w:r>
      <w:r>
        <w:rPr>
          <w:rFonts w:cs="Helvetica"/>
        </w:rPr>
        <w:t xml:space="preserve"> dietary fibre and phenolics. Likewise, root </w:t>
      </w:r>
      <w:r>
        <w:rPr>
          <w:rFonts w:cs="Helvetica"/>
          <w:highlight w:val="yellow"/>
        </w:rPr>
        <w:t>and</w:t>
      </w:r>
      <w:r>
        <w:rPr>
          <w:rFonts w:cs="Helvetica"/>
        </w:rPr>
        <w:t xml:space="preserve"> tuber</w:t>
      </w:r>
      <w:r>
        <w:rPr>
          <w:rFonts w:cs="Helvetica"/>
          <w:highlight w:val="yellow"/>
        </w:rPr>
        <w:t xml:space="preserve"> peel</w:t>
      </w:r>
      <w:r>
        <w:rPr>
          <w:rFonts w:cs="Helvetica"/>
        </w:rPr>
        <w:t xml:space="preserve">s </w:t>
      </w:r>
      <w:r>
        <w:rPr>
          <w:rFonts w:cs="Helvetica"/>
          <w:highlight w:val="yellow"/>
        </w:rPr>
        <w:t>poss</w:t>
      </w:r>
      <w:r>
        <w:rPr>
          <w:rFonts w:cs="Helvetica"/>
        </w:rPr>
        <w:t>e</w:t>
      </w:r>
      <w:r>
        <w:rPr>
          <w:rFonts w:cs="Helvetica"/>
          <w:highlight w:val="yellow"/>
        </w:rPr>
        <w:t>ss</w:t>
      </w:r>
      <w:r>
        <w:rPr>
          <w:rFonts w:cs="Helvetica"/>
        </w:rPr>
        <w:t xml:space="preserve"> </w:t>
      </w:r>
      <w:r>
        <w:rPr>
          <w:rFonts w:cs="Helvetica"/>
          <w:highlight w:val="yellow"/>
        </w:rPr>
        <w:t>us</w:t>
      </w:r>
      <w:r>
        <w:rPr>
          <w:rFonts w:cs="Helvetica"/>
        </w:rPr>
        <w:t>e</w:t>
      </w:r>
      <w:r>
        <w:rPr>
          <w:rFonts w:cs="Helvetica"/>
          <w:highlight w:val="yellow"/>
        </w:rPr>
        <w:t>ful</w:t>
      </w:r>
      <w:r>
        <w:rPr>
          <w:rFonts w:cs="Helvetica"/>
        </w:rPr>
        <w:t xml:space="preserve"> functional and nutritional properties. Recently, Mateus et al. (2024) </w:t>
      </w:r>
      <w:r>
        <w:rPr>
          <w:rFonts w:cs="Helvetica"/>
          <w:highlight w:val="yellow"/>
        </w:rPr>
        <w:t>r</w:t>
      </w:r>
      <w:r>
        <w:rPr>
          <w:rFonts w:cs="Helvetica"/>
        </w:rPr>
        <w:t>e</w:t>
      </w:r>
      <w:r>
        <w:rPr>
          <w:rFonts w:cs="Helvetica"/>
          <w:highlight w:val="yellow"/>
        </w:rPr>
        <w:t>p</w:t>
      </w:r>
      <w:r>
        <w:rPr>
          <w:rFonts w:cs="Helvetica"/>
        </w:rPr>
        <w:t>o</w:t>
      </w:r>
      <w:r>
        <w:rPr>
          <w:rFonts w:cs="Helvetica"/>
          <w:highlight w:val="yellow"/>
        </w:rPr>
        <w:t>rted</w:t>
      </w:r>
      <w:r>
        <w:rPr>
          <w:rFonts w:cs="Helvetica"/>
        </w:rPr>
        <w:t xml:space="preserve"> that carrot peel powder contains high amount</w:t>
      </w:r>
      <w:r>
        <w:rPr>
          <w:rFonts w:cs="Helvetica"/>
          <w:highlight w:val="yellow"/>
        </w:rPr>
        <w:t>s</w:t>
      </w:r>
      <w:r>
        <w:rPr>
          <w:rFonts w:cs="Helvetica"/>
        </w:rPr>
        <w:t xml:space="preserve"> of dietary fibre with high hydration and swelling capacities, which are effective </w:t>
      </w:r>
      <w:r>
        <w:rPr>
          <w:rFonts w:cs="Helvetica"/>
          <w:highlight w:val="yellow"/>
        </w:rPr>
        <w:t>f</w:t>
      </w:r>
      <w:r>
        <w:rPr>
          <w:rFonts w:cs="Helvetica"/>
        </w:rPr>
        <w:t>o</w:t>
      </w:r>
      <w:r>
        <w:rPr>
          <w:rFonts w:cs="Helvetica"/>
          <w:highlight w:val="yellow"/>
        </w:rPr>
        <w:t>r</w:t>
      </w:r>
      <w:r>
        <w:rPr>
          <w:rFonts w:cs="Helvetica"/>
        </w:rPr>
        <w:t xml:space="preserve"> texturi</w:t>
      </w:r>
      <w:r>
        <w:rPr>
          <w:rFonts w:cs="Helvetica"/>
          <w:highlight w:val="yellow"/>
        </w:rPr>
        <w:t>sing</w:t>
      </w:r>
      <w:r>
        <w:rPr>
          <w:rFonts w:cs="Helvetica"/>
        </w:rPr>
        <w:t xml:space="preserve"> food matrices. </w:t>
      </w:r>
      <w:r>
        <w:rPr>
          <w:rFonts w:cs="Helvetica"/>
          <w:highlight w:val="yellow"/>
        </w:rPr>
        <w:t>The potential c</w:t>
      </w:r>
      <w:r>
        <w:rPr>
          <w:rFonts w:cs="Helvetica"/>
        </w:rPr>
        <w:t>osmetic and health</w:t>
      </w:r>
      <w:r>
        <w:rPr>
          <w:rFonts w:cs="Helvetica"/>
          <w:highlight w:val="yellow"/>
        </w:rPr>
        <w:t>-</w:t>
      </w:r>
      <w:r>
        <w:rPr>
          <w:rFonts w:cs="Helvetica"/>
        </w:rPr>
        <w:t xml:space="preserve">protective activities of </w:t>
      </w:r>
      <w:r>
        <w:rPr>
          <w:rFonts w:cs="Helvetica"/>
          <w:highlight w:val="yellow"/>
        </w:rPr>
        <w:t>b</w:t>
      </w:r>
      <w:r>
        <w:rPr>
          <w:rFonts w:cs="Helvetica"/>
        </w:rPr>
        <w:t xml:space="preserve">eetroot skin are </w:t>
      </w:r>
      <w:r>
        <w:rPr>
          <w:rFonts w:cs="Helvetica"/>
          <w:highlight w:val="yellow"/>
        </w:rPr>
        <w:t>also considerable. Be</w:t>
      </w:r>
      <w:r>
        <w:rPr>
          <w:rFonts w:cs="Helvetica"/>
        </w:rPr>
        <w:t>et</w:t>
      </w:r>
      <w:r>
        <w:rPr>
          <w:rFonts w:cs="Helvetica"/>
          <w:highlight w:val="yellow"/>
        </w:rPr>
        <w:t>r</w:t>
      </w:r>
      <w:r>
        <w:rPr>
          <w:rFonts w:cs="Helvetica"/>
        </w:rPr>
        <w:t>oo</w:t>
      </w:r>
      <w:r>
        <w:rPr>
          <w:rFonts w:cs="Helvetica"/>
          <w:highlight w:val="yellow"/>
        </w:rPr>
        <w:t>t</w:t>
      </w:r>
      <w:r>
        <w:rPr>
          <w:rFonts w:cs="Helvetica"/>
        </w:rPr>
        <w:t xml:space="preserve"> peels </w:t>
      </w:r>
      <w:r>
        <w:rPr>
          <w:rFonts w:cs="Helvetica"/>
          <w:highlight w:val="yellow"/>
        </w:rPr>
        <w:t>ar</w:t>
      </w:r>
      <w:r>
        <w:rPr>
          <w:rFonts w:cs="Helvetica"/>
        </w:rPr>
        <w:t>e reportedly rich source</w:t>
      </w:r>
      <w:r>
        <w:rPr>
          <w:rFonts w:cs="Helvetica"/>
          <w:highlight w:val="yellow"/>
        </w:rPr>
        <w:t>s</w:t>
      </w:r>
      <w:r>
        <w:rPr>
          <w:rFonts w:cs="Helvetica"/>
        </w:rPr>
        <w:t xml:space="preserve"> of natural pigments </w:t>
      </w:r>
      <w:r>
        <w:rPr>
          <w:rFonts w:cs="Helvetica"/>
          <w:highlight w:val="yellow"/>
        </w:rPr>
        <w:t>wi</w:t>
      </w:r>
      <w:r>
        <w:rPr>
          <w:rFonts w:cs="Helvetica"/>
        </w:rPr>
        <w:t>th</w:t>
      </w:r>
      <w:r>
        <w:rPr>
          <w:rFonts w:cs="Helvetica"/>
          <w:highlight w:val="yellow"/>
        </w:rPr>
        <w:t xml:space="preserve"> prov</w:t>
      </w:r>
      <w:r>
        <w:rPr>
          <w:rFonts w:cs="Helvetica"/>
        </w:rPr>
        <w:t>e</w:t>
      </w:r>
      <w:r>
        <w:rPr>
          <w:rFonts w:cs="Helvetica"/>
          <w:highlight w:val="yellow"/>
        </w:rPr>
        <w:t>n</w:t>
      </w:r>
      <w:r>
        <w:rPr>
          <w:rFonts w:cs="Helvetica"/>
        </w:rPr>
        <w:t xml:space="preserve"> antioxidant properti</w:t>
      </w:r>
      <w:r>
        <w:rPr>
          <w:rFonts w:cs="Helvetica"/>
          <w:highlight w:val="yellow"/>
        </w:rPr>
        <w:t>e</w:t>
      </w:r>
      <w:r>
        <w:rPr>
          <w:rFonts w:cs="Helvetica"/>
        </w:rPr>
        <w:t>s and have been reported as potential sustainable natural food colo</w:t>
      </w:r>
      <w:r>
        <w:rPr>
          <w:rFonts w:cs="Helvetica"/>
          <w:highlight w:val="yellow"/>
        </w:rPr>
        <w:t>u</w:t>
      </w:r>
      <w:r>
        <w:rPr>
          <w:rFonts w:cs="Helvetica"/>
        </w:rPr>
        <w:t xml:space="preserve">rants (Shakir &amp; </w:t>
      </w:r>
      <w:r>
        <w:rPr>
          <w:rFonts w:cs="Helvetica"/>
          <w:highlight w:val="yellow"/>
        </w:rPr>
        <w:t>V</w:t>
      </w:r>
      <w:r>
        <w:rPr>
          <w:rFonts w:cs="Helvetica"/>
        </w:rPr>
        <w:t>in</w:t>
      </w:r>
      <w:r>
        <w:rPr>
          <w:rFonts w:cs="Helvetica"/>
          <w:highlight w:val="yellow"/>
        </w:rPr>
        <w:t>c</w:t>
      </w:r>
      <w:r>
        <w:rPr>
          <w:rFonts w:cs="Helvetica"/>
        </w:rPr>
        <w:t>e</w:t>
      </w:r>
      <w:r>
        <w:rPr>
          <w:rFonts w:cs="Helvetica"/>
          <w:highlight w:val="yellow"/>
        </w:rPr>
        <w:t>nzi</w:t>
      </w:r>
      <w:r>
        <w:rPr>
          <w:rFonts w:cs="Helvetica"/>
        </w:rPr>
        <w:t xml:space="preserve">, 2024). Beetroot powder supplementation in </w:t>
      </w:r>
      <w:r>
        <w:rPr>
          <w:rFonts w:cs="Helvetica"/>
          <w:highlight w:val="yellow"/>
        </w:rPr>
        <w:t xml:space="preserve">a </w:t>
      </w:r>
      <w:r>
        <w:rPr>
          <w:rFonts w:cs="Helvetica"/>
        </w:rPr>
        <w:t xml:space="preserve">food matrix could effectively </w:t>
      </w:r>
      <w:r>
        <w:rPr>
          <w:rFonts w:cs="Helvetica"/>
          <w:highlight w:val="yellow"/>
        </w:rPr>
        <w:t>enhance</w:t>
      </w:r>
      <w:r>
        <w:rPr>
          <w:rFonts w:cs="Helvetica"/>
        </w:rPr>
        <w:t xml:space="preserve"> antioxidant capacity and vitamin C content in dark chocolate</w:t>
      </w:r>
      <w:r>
        <w:rPr>
          <w:rFonts w:cs="Helvetica"/>
          <w:highlight w:val="yellow"/>
        </w:rPr>
        <w:t>,</w:t>
      </w:r>
      <w:r>
        <w:rPr>
          <w:rFonts w:cs="Helvetica"/>
        </w:rPr>
        <w:t xml:space="preserve"> as demonstrated by Kongor et al. (202</w:t>
      </w:r>
      <w:r>
        <w:rPr>
          <w:rFonts w:cs="Helvetica"/>
          <w:highlight w:val="yellow"/>
        </w:rPr>
        <w:t>4</w:t>
      </w:r>
      <w:r>
        <w:rPr>
          <w:rFonts w:cs="Helvetica"/>
        </w:rPr>
        <w:t>). Additionally, Pandey and Singh (202</w:t>
      </w:r>
      <w:r>
        <w:rPr>
          <w:rFonts w:cs="Helvetica"/>
          <w:highlight w:val="yellow"/>
        </w:rPr>
        <w:t>5</w:t>
      </w:r>
      <w:r>
        <w:rPr>
          <w:rFonts w:cs="Helvetica"/>
        </w:rPr>
        <w:t>) successfully developed antioxidant</w:t>
      </w:r>
      <w:r>
        <w:rPr>
          <w:rFonts w:cs="Helvetica"/>
          <w:highlight w:val="yellow"/>
        </w:rPr>
        <w:t>-</w:t>
      </w:r>
      <w:r>
        <w:rPr>
          <w:rFonts w:cs="Helvetica"/>
        </w:rPr>
        <w:t xml:space="preserve">rich dairy products by adding encapsulated </w:t>
      </w:r>
      <w:r>
        <w:rPr>
          <w:rFonts w:cs="Helvetica"/>
          <w:highlight w:val="yellow"/>
        </w:rPr>
        <w:t>b</w:t>
      </w:r>
      <w:r>
        <w:rPr>
          <w:rFonts w:cs="Helvetica"/>
        </w:rPr>
        <w:t xml:space="preserve">eetroot </w:t>
      </w:r>
      <w:r>
        <w:rPr>
          <w:rFonts w:cs="Helvetica"/>
          <w:highlight w:val="yellow"/>
        </w:rPr>
        <w:t>p</w:t>
      </w:r>
      <w:r>
        <w:rPr>
          <w:rFonts w:cs="Helvetica"/>
        </w:rPr>
        <w:t xml:space="preserve">eel </w:t>
      </w:r>
      <w:r>
        <w:rPr>
          <w:rFonts w:cs="Helvetica"/>
          <w:highlight w:val="yellow"/>
        </w:rPr>
        <w:t>e</w:t>
      </w:r>
      <w:r>
        <w:rPr>
          <w:rFonts w:cs="Helvetica"/>
        </w:rPr>
        <w:t xml:space="preserve">xtract </w:t>
      </w:r>
      <w:r>
        <w:rPr>
          <w:rFonts w:cs="Helvetica"/>
          <w:highlight w:val="yellow"/>
        </w:rPr>
        <w:t>p</w:t>
      </w:r>
      <w:r>
        <w:rPr>
          <w:rFonts w:cs="Helvetica"/>
        </w:rPr>
        <w:t xml:space="preserve">owder and </w:t>
      </w:r>
      <w:r>
        <w:rPr>
          <w:rFonts w:cs="Helvetica"/>
          <w:highlight w:val="yellow"/>
        </w:rPr>
        <w:t>repor</w:t>
      </w:r>
      <w:r>
        <w:rPr>
          <w:rFonts w:cs="Helvetica"/>
        </w:rPr>
        <w:t>te</w:t>
      </w:r>
      <w:r>
        <w:rPr>
          <w:rFonts w:cs="Helvetica"/>
          <w:highlight w:val="yellow"/>
        </w:rPr>
        <w:t>d</w:t>
      </w:r>
      <w:r>
        <w:rPr>
          <w:rFonts w:cs="Helvetica"/>
        </w:rPr>
        <w:t xml:space="preserve"> </w:t>
      </w:r>
      <w:r>
        <w:rPr>
          <w:rFonts w:cs="Helvetica"/>
          <w:highlight w:val="yellow"/>
        </w:rPr>
        <w:t>i</w:t>
      </w:r>
      <w:r>
        <w:rPr>
          <w:rFonts w:cs="Helvetica"/>
        </w:rPr>
        <w:t>ts effect on structural and textural changes</w:t>
      </w:r>
      <w:r>
        <w:rPr>
          <w:rFonts w:cs="Helvetica"/>
          <w:highlight w:val="yellow"/>
        </w:rPr>
        <w:t>,</w:t>
      </w:r>
      <w:r>
        <w:rPr>
          <w:rFonts w:cs="Helvetica"/>
        </w:rPr>
        <w:t xml:space="preserve"> </w:t>
      </w:r>
      <w:r>
        <w:rPr>
          <w:rFonts w:cs="Helvetica"/>
          <w:highlight w:val="yellow"/>
        </w:rPr>
        <w:t>inclu</w:t>
      </w:r>
      <w:r>
        <w:rPr>
          <w:rFonts w:cs="Helvetica"/>
        </w:rPr>
        <w:t>d</w:t>
      </w:r>
      <w:r>
        <w:rPr>
          <w:rFonts w:cs="Helvetica"/>
          <w:highlight w:val="yellow"/>
        </w:rPr>
        <w:t>i</w:t>
      </w:r>
      <w:r>
        <w:rPr>
          <w:rFonts w:cs="Helvetica"/>
        </w:rPr>
        <w:t>n</w:t>
      </w:r>
      <w:r>
        <w:rPr>
          <w:rFonts w:cs="Helvetica"/>
          <w:highlight w:val="yellow"/>
        </w:rPr>
        <w:t>g</w:t>
      </w:r>
      <w:r>
        <w:rPr>
          <w:rFonts w:cs="Helvetica"/>
        </w:rPr>
        <w:t xml:space="preserve"> hardness.</w:t>
      </w:r>
    </w:p>
    <w:p w14:paraId="60A6ED44" w14:textId="77777777" w:rsidR="00C02591" w:rsidRPr="006E145D" w:rsidRDefault="002E2D2C">
      <w:pPr>
        <w:pStyle w:val="Body"/>
        <w:rPr>
          <w:bCs/>
        </w:rPr>
      </w:pPr>
      <w:r w:rsidRPr="006E145D">
        <w:rPr>
          <w:bCs/>
          <w:highlight w:val="yellow"/>
        </w:rPr>
        <w:t>Food by-products are also being increasingly considered as sources of functional ingredients within upcycling strategies intended to retain value from food-processing side streams (Vilas-Franquesa et al., 2024).</w:t>
      </w:r>
    </w:p>
    <w:p w14:paraId="7EE943C2" w14:textId="77777777" w:rsidR="00C02591" w:rsidRPr="006E145D" w:rsidRDefault="002E2D2C">
      <w:pPr>
        <w:pStyle w:val="Body"/>
        <w:rPr>
          <w:bCs/>
        </w:rPr>
      </w:pPr>
      <w:r w:rsidRPr="006E145D">
        <w:rPr>
          <w:bCs/>
          <w:highlight w:val="yellow"/>
        </w:rPr>
        <w:t>A recent review of cinnamon further describes its nutritional and chemical composition, including dietary fibre, minerals, and constituents associated with antioxidant activity (Bansal et al., 2025).</w:t>
      </w:r>
    </w:p>
    <w:p w14:paraId="55D9658F" w14:textId="77777777" w:rsidR="002B5196" w:rsidRDefault="00E51AD7" w:rsidP="00E51AD7">
      <w:pPr>
        <w:pStyle w:val="Body"/>
        <w:spacing w:after="0" w:line="360" w:lineRule="auto"/>
        <w:rPr>
          <w:rFonts w:cs="Helvetica"/>
        </w:rPr>
      </w:pPr>
      <w:r>
        <w:rPr>
          <w:rFonts w:cs="Helvetica"/>
          <w:highlight w:val="yellow"/>
        </w:rPr>
        <w:t>T</w:t>
      </w:r>
      <w:r>
        <w:rPr>
          <w:rFonts w:cs="Helvetica"/>
        </w:rPr>
        <w:t>he</w:t>
      </w:r>
      <w:r>
        <w:rPr>
          <w:rFonts w:cs="Helvetica"/>
          <w:highlight w:val="yellow"/>
        </w:rPr>
        <w:t xml:space="preserve"> additio</w:t>
      </w:r>
      <w:r>
        <w:rPr>
          <w:rFonts w:cs="Helvetica"/>
        </w:rPr>
        <w:t>n</w:t>
      </w:r>
      <w:r>
        <w:rPr>
          <w:rFonts w:cs="Helvetica"/>
          <w:highlight w:val="yellow"/>
        </w:rPr>
        <w:t xml:space="preserve"> of</w:t>
      </w:r>
      <w:r>
        <w:rPr>
          <w:rFonts w:cs="Helvetica"/>
        </w:rPr>
        <w:t xml:space="preserve"> spices helps improve the sensory and functional characteristics of bio-composite foods. The extensive use of cinnamon as an active ingredient </w:t>
      </w:r>
      <w:r>
        <w:rPr>
          <w:rFonts w:cs="Helvetica"/>
          <w:highlight w:val="yellow"/>
        </w:rPr>
        <w:t>in food products w</w:t>
      </w:r>
      <w:r>
        <w:rPr>
          <w:rFonts w:cs="Helvetica"/>
        </w:rPr>
        <w:t>as n</w:t>
      </w:r>
      <w:r>
        <w:rPr>
          <w:rFonts w:cs="Helvetica"/>
          <w:highlight w:val="yellow"/>
        </w:rPr>
        <w:t>o</w:t>
      </w:r>
      <w:r>
        <w:rPr>
          <w:rFonts w:cs="Helvetica"/>
        </w:rPr>
        <w:t xml:space="preserve">ted </w:t>
      </w:r>
      <w:r>
        <w:rPr>
          <w:rFonts w:cs="Helvetica"/>
          <w:highlight w:val="yellow"/>
        </w:rPr>
        <w:t>by</w:t>
      </w:r>
      <w:r>
        <w:rPr>
          <w:rFonts w:cs="Helvetica"/>
        </w:rPr>
        <w:t xml:space="preserve"> Muhammad and Dewettinck (2017)</w:t>
      </w:r>
      <w:r>
        <w:rPr>
          <w:rFonts w:cs="Helvetica"/>
          <w:highlight w:val="yellow"/>
        </w:rPr>
        <w:t>,</w:t>
      </w:r>
      <w:r>
        <w:rPr>
          <w:rFonts w:cs="Helvetica"/>
        </w:rPr>
        <w:t xml:space="preserve"> </w:t>
      </w:r>
      <w:r>
        <w:rPr>
          <w:rFonts w:cs="Helvetica"/>
          <w:highlight w:val="yellow"/>
        </w:rPr>
        <w:t>w</w:t>
      </w:r>
      <w:r>
        <w:rPr>
          <w:rFonts w:cs="Helvetica"/>
        </w:rPr>
        <w:t>h</w:t>
      </w:r>
      <w:r>
        <w:rPr>
          <w:rFonts w:cs="Helvetica"/>
          <w:highlight w:val="yellow"/>
        </w:rPr>
        <w:t>o</w:t>
      </w:r>
      <w:r>
        <w:rPr>
          <w:rFonts w:cs="Helvetica"/>
        </w:rPr>
        <w:t xml:space="preserve"> emphasi</w:t>
      </w:r>
      <w:r>
        <w:rPr>
          <w:rFonts w:cs="Helvetica"/>
          <w:highlight w:val="yellow"/>
        </w:rPr>
        <w:t>s</w:t>
      </w:r>
      <w:r>
        <w:rPr>
          <w:rFonts w:cs="Helvetica"/>
        </w:rPr>
        <w:t xml:space="preserve">ed the rich </w:t>
      </w:r>
      <w:r>
        <w:rPr>
          <w:rFonts w:cs="Helvetica"/>
          <w:highlight w:val="yellow"/>
        </w:rPr>
        <w:t xml:space="preserve">polyphenol </w:t>
      </w:r>
      <w:r>
        <w:rPr>
          <w:rFonts w:cs="Helvetica"/>
        </w:rPr>
        <w:t>content of cinnamon</w:t>
      </w:r>
      <w:r>
        <w:rPr>
          <w:rFonts w:cs="Helvetica"/>
          <w:highlight w:val="yellow"/>
        </w:rPr>
        <w:t>,</w:t>
      </w:r>
      <w:r>
        <w:rPr>
          <w:rFonts w:cs="Helvetica"/>
        </w:rPr>
        <w:t xml:space="preserve"> in</w:t>
      </w:r>
      <w:r>
        <w:rPr>
          <w:rFonts w:cs="Helvetica"/>
          <w:highlight w:val="yellow"/>
        </w:rPr>
        <w:t>cluding</w:t>
      </w:r>
      <w:r>
        <w:rPr>
          <w:rFonts w:cs="Helvetica"/>
        </w:rPr>
        <w:t xml:space="preserve"> procyanidins</w:t>
      </w:r>
      <w:r>
        <w:rPr>
          <w:rFonts w:cs="Helvetica"/>
          <w:highlight w:val="yellow"/>
        </w:rPr>
        <w:t>,</w:t>
      </w:r>
      <w:r>
        <w:rPr>
          <w:rFonts w:cs="Helvetica"/>
        </w:rPr>
        <w:t xml:space="preserve"> and its natural health</w:t>
      </w:r>
      <w:r>
        <w:rPr>
          <w:rFonts w:cs="Helvetica"/>
          <w:highlight w:val="yellow"/>
        </w:rPr>
        <w:t>-</w:t>
      </w:r>
      <w:r>
        <w:rPr>
          <w:rFonts w:cs="Helvetica"/>
        </w:rPr>
        <w:t xml:space="preserve">promoting effects. The combination of vegetable peels, cinnamon, and other nutritious graham cracker components can </w:t>
      </w:r>
      <w:r>
        <w:rPr>
          <w:rFonts w:cs="Helvetica"/>
          <w:highlight w:val="yellow"/>
        </w:rPr>
        <w:t>p</w:t>
      </w:r>
      <w:r>
        <w:rPr>
          <w:rFonts w:cs="Helvetica"/>
        </w:rPr>
        <w:t>r</w:t>
      </w:r>
      <w:r>
        <w:rPr>
          <w:rFonts w:cs="Helvetica"/>
          <w:highlight w:val="yellow"/>
        </w:rPr>
        <w:t>ovid</w:t>
      </w:r>
      <w:r>
        <w:rPr>
          <w:rFonts w:cs="Helvetica"/>
        </w:rPr>
        <w:t>e a balance</w:t>
      </w:r>
      <w:r>
        <w:rPr>
          <w:rFonts w:cs="Helvetica"/>
          <w:highlight w:val="yellow"/>
        </w:rPr>
        <w:t>d formulation</w:t>
      </w:r>
      <w:r>
        <w:rPr>
          <w:rFonts w:cs="Helvetica"/>
        </w:rPr>
        <w:t>, especially when other t</w:t>
      </w:r>
      <w:r>
        <w:rPr>
          <w:rFonts w:cs="Helvetica"/>
          <w:highlight w:val="yellow"/>
        </w:rPr>
        <w:t>yp</w:t>
      </w:r>
      <w:r>
        <w:rPr>
          <w:rFonts w:cs="Helvetica"/>
        </w:rPr>
        <w:t xml:space="preserve">es of seeds are added to the mixture. </w:t>
      </w:r>
      <w:r>
        <w:rPr>
          <w:rFonts w:cs="Helvetica"/>
          <w:highlight w:val="yellow"/>
        </w:rPr>
        <w:t>Alt</w:t>
      </w:r>
      <w:r>
        <w:rPr>
          <w:rFonts w:cs="Helvetica"/>
        </w:rPr>
        <w:t xml:space="preserve">hough these ingredients have </w:t>
      </w:r>
      <w:r>
        <w:rPr>
          <w:rFonts w:cs="Helvetica"/>
          <w:highlight w:val="yellow"/>
        </w:rPr>
        <w:t>i</w:t>
      </w:r>
      <w:r>
        <w:rPr>
          <w:rFonts w:cs="Helvetica"/>
        </w:rPr>
        <w:t>n</w:t>
      </w:r>
      <w:r>
        <w:rPr>
          <w:rFonts w:cs="Helvetica"/>
          <w:highlight w:val="yellow"/>
        </w:rPr>
        <w:t>dividually</w:t>
      </w:r>
      <w:r>
        <w:rPr>
          <w:rFonts w:cs="Helvetica"/>
        </w:rPr>
        <w:t xml:space="preserve"> demonstrated benefits, less research has explored </w:t>
      </w:r>
      <w:r>
        <w:rPr>
          <w:rFonts w:cs="Helvetica"/>
          <w:highlight w:val="yellow"/>
        </w:rPr>
        <w:t>t</w:t>
      </w:r>
      <w:r>
        <w:rPr>
          <w:rFonts w:cs="Helvetica"/>
        </w:rPr>
        <w:t>h</w:t>
      </w:r>
      <w:r>
        <w:rPr>
          <w:rFonts w:cs="Helvetica"/>
          <w:highlight w:val="yellow"/>
        </w:rPr>
        <w:t xml:space="preserve">e synergistic use </w:t>
      </w:r>
      <w:r>
        <w:rPr>
          <w:rFonts w:cs="Helvetica"/>
        </w:rPr>
        <w:t>o</w:t>
      </w:r>
      <w:r>
        <w:rPr>
          <w:rFonts w:cs="Helvetica"/>
          <w:highlight w:val="yellow"/>
        </w:rPr>
        <w:t>f</w:t>
      </w:r>
      <w:r>
        <w:rPr>
          <w:rFonts w:cs="Helvetica"/>
        </w:rPr>
        <w:t xml:space="preserve"> beetroot and carrot peel powders in a composite starch matrix </w:t>
      </w:r>
      <w:r>
        <w:rPr>
          <w:rFonts w:cs="Helvetica"/>
          <w:highlight w:val="yellow"/>
        </w:rPr>
        <w:t>for</w:t>
      </w:r>
      <w:r>
        <w:rPr>
          <w:rFonts w:cs="Helvetica"/>
        </w:rPr>
        <w:t xml:space="preserve"> the fabrication of bio-composite cutlery.</w:t>
      </w:r>
    </w:p>
    <w:p w14:paraId="1019F100" w14:textId="77777777" w:rsidR="00790ADA" w:rsidRPr="002B5196" w:rsidRDefault="002B5196" w:rsidP="002B5196">
      <w:pPr>
        <w:pStyle w:val="Body"/>
        <w:spacing w:after="0" w:line="360" w:lineRule="auto"/>
        <w:rPr>
          <w:rFonts w:cs="Helvetica"/>
        </w:rPr>
      </w:pPr>
      <w:r>
        <w:rPr>
          <w:rFonts w:cs="Helvetica"/>
          <w:highlight w:val="yellow"/>
        </w:rPr>
        <w:t>Accord</w:t>
      </w:r>
      <w:r>
        <w:rPr>
          <w:rFonts w:cs="Helvetica"/>
        </w:rPr>
        <w:t>i</w:t>
      </w:r>
      <w:r>
        <w:rPr>
          <w:rFonts w:cs="Helvetica"/>
          <w:highlight w:val="yellow"/>
        </w:rPr>
        <w:t xml:space="preserve">ngly, </w:t>
      </w:r>
      <w:r>
        <w:rPr>
          <w:rFonts w:cs="Helvetica"/>
        </w:rPr>
        <w:t>th</w:t>
      </w:r>
      <w:r>
        <w:rPr>
          <w:rFonts w:cs="Helvetica"/>
          <w:highlight w:val="yellow"/>
        </w:rPr>
        <w:t>e main goal of</w:t>
      </w:r>
      <w:r>
        <w:rPr>
          <w:rFonts w:cs="Helvetica"/>
        </w:rPr>
        <w:t xml:space="preserve"> this </w:t>
      </w:r>
      <w:r>
        <w:rPr>
          <w:rFonts w:cs="Helvetica"/>
          <w:highlight w:val="yellow"/>
        </w:rPr>
        <w:t>st</w:t>
      </w:r>
      <w:r>
        <w:rPr>
          <w:rFonts w:cs="Helvetica"/>
        </w:rPr>
        <w:t>u</w:t>
      </w:r>
      <w:r>
        <w:rPr>
          <w:rFonts w:cs="Helvetica"/>
          <w:highlight w:val="yellow"/>
        </w:rPr>
        <w:t>dy is t</w:t>
      </w:r>
      <w:r>
        <w:rPr>
          <w:rFonts w:cs="Helvetica"/>
        </w:rPr>
        <w:t xml:space="preserve">o develop novel edible cutlery </w:t>
      </w:r>
      <w:r>
        <w:rPr>
          <w:rFonts w:cs="Helvetica"/>
          <w:highlight w:val="yellow"/>
        </w:rPr>
        <w:t>t</w:t>
      </w:r>
      <w:r>
        <w:rPr>
          <w:rFonts w:cs="Helvetica"/>
        </w:rPr>
        <w:t>h</w:t>
      </w:r>
      <w:r>
        <w:rPr>
          <w:rFonts w:cs="Helvetica"/>
          <w:highlight w:val="yellow"/>
        </w:rPr>
        <w:t>at</w:t>
      </w:r>
      <w:r>
        <w:rPr>
          <w:rFonts w:cs="Helvetica"/>
        </w:rPr>
        <w:t xml:space="preserve"> can </w:t>
      </w:r>
      <w:r>
        <w:rPr>
          <w:rFonts w:cs="Helvetica"/>
          <w:highlight w:val="yellow"/>
        </w:rPr>
        <w:t>addr</w:t>
      </w:r>
      <w:r>
        <w:rPr>
          <w:rFonts w:cs="Helvetica"/>
        </w:rPr>
        <w:t>e</w:t>
      </w:r>
      <w:r>
        <w:rPr>
          <w:rFonts w:cs="Helvetica"/>
          <w:highlight w:val="yellow"/>
        </w:rPr>
        <w:t>ss</w:t>
      </w:r>
      <w:r>
        <w:rPr>
          <w:rFonts w:cs="Helvetica"/>
        </w:rPr>
        <w:t xml:space="preserve"> both functional and environmental </w:t>
      </w:r>
      <w:r>
        <w:rPr>
          <w:rFonts w:cs="Helvetica"/>
          <w:highlight w:val="yellow"/>
        </w:rPr>
        <w:t>consider</w:t>
      </w:r>
      <w:r>
        <w:rPr>
          <w:rFonts w:cs="Helvetica"/>
        </w:rPr>
        <w:t>a</w:t>
      </w:r>
      <w:r>
        <w:rPr>
          <w:rFonts w:cs="Helvetica"/>
          <w:highlight w:val="yellow"/>
        </w:rPr>
        <w:t>tion</w:t>
      </w:r>
      <w:r>
        <w:rPr>
          <w:rFonts w:cs="Helvetica"/>
        </w:rPr>
        <w:t>s</w:t>
      </w:r>
      <w:r>
        <w:rPr>
          <w:rFonts w:cs="Helvetica"/>
          <w:highlight w:val="yellow"/>
        </w:rPr>
        <w:t>.</w:t>
      </w:r>
      <w:r>
        <w:rPr>
          <w:rFonts w:cs="Helvetica"/>
        </w:rPr>
        <w:t xml:space="preserve"> </w:t>
      </w:r>
      <w:r>
        <w:rPr>
          <w:rFonts w:cs="Helvetica"/>
          <w:highlight w:val="yellow"/>
        </w:rPr>
        <w:t>T</w:t>
      </w:r>
      <w:r>
        <w:rPr>
          <w:rFonts w:cs="Helvetica"/>
        </w:rPr>
        <w:t xml:space="preserve">he </w:t>
      </w:r>
      <w:r>
        <w:rPr>
          <w:rFonts w:cs="Helvetica"/>
          <w:highlight w:val="yellow"/>
        </w:rPr>
        <w:t>for</w:t>
      </w:r>
      <w:r>
        <w:rPr>
          <w:rFonts w:cs="Helvetica"/>
        </w:rPr>
        <w:t>m</w:t>
      </w:r>
      <w:r>
        <w:rPr>
          <w:rFonts w:cs="Helvetica"/>
          <w:highlight w:val="yellow"/>
        </w:rPr>
        <w:t>ul</w:t>
      </w:r>
      <w:r>
        <w:rPr>
          <w:rFonts w:cs="Helvetica"/>
        </w:rPr>
        <w:t>a</w:t>
      </w:r>
      <w:r>
        <w:rPr>
          <w:rFonts w:cs="Helvetica"/>
          <w:highlight w:val="yellow"/>
        </w:rPr>
        <w:t>tion comb</w:t>
      </w:r>
      <w:r>
        <w:rPr>
          <w:rFonts w:cs="Helvetica"/>
        </w:rPr>
        <w:t>in</w:t>
      </w:r>
      <w:r>
        <w:rPr>
          <w:rFonts w:cs="Helvetica"/>
          <w:highlight w:val="yellow"/>
        </w:rPr>
        <w:t>e</w:t>
      </w:r>
      <w:r>
        <w:rPr>
          <w:rFonts w:cs="Helvetica"/>
        </w:rPr>
        <w:t>s spices, whole wheat flour</w:t>
      </w:r>
      <w:r>
        <w:rPr>
          <w:rFonts w:cs="Helvetica"/>
          <w:highlight w:val="yellow"/>
        </w:rPr>
        <w:t>,</w:t>
      </w:r>
      <w:r>
        <w:rPr>
          <w:rFonts w:cs="Helvetica"/>
        </w:rPr>
        <w:t xml:space="preserve"> and sago starch </w:t>
      </w:r>
      <w:r>
        <w:rPr>
          <w:rFonts w:cs="Helvetica"/>
          <w:highlight w:val="yellow"/>
        </w:rPr>
        <w:t>w</w:t>
      </w:r>
      <w:r>
        <w:rPr>
          <w:rFonts w:cs="Helvetica"/>
        </w:rPr>
        <w:t>i</w:t>
      </w:r>
      <w:r>
        <w:rPr>
          <w:rFonts w:cs="Helvetica"/>
          <w:highlight w:val="yellow"/>
        </w:rPr>
        <w:t>th</w:t>
      </w:r>
      <w:r>
        <w:rPr>
          <w:rFonts w:cs="Helvetica"/>
        </w:rPr>
        <w:t xml:space="preserve"> beetroot and carrot peel powders </w:t>
      </w:r>
      <w:r>
        <w:rPr>
          <w:rFonts w:cs="Helvetica"/>
        </w:rPr>
        <w:lastRenderedPageBreak/>
        <w:t xml:space="preserve">to </w:t>
      </w:r>
      <w:r>
        <w:rPr>
          <w:rFonts w:cs="Helvetica"/>
          <w:highlight w:val="yellow"/>
        </w:rPr>
        <w:t>prov</w:t>
      </w:r>
      <w:r>
        <w:rPr>
          <w:rFonts w:cs="Helvetica"/>
        </w:rPr>
        <w:t>i</w:t>
      </w:r>
      <w:r>
        <w:rPr>
          <w:rFonts w:cs="Helvetica"/>
          <w:highlight w:val="yellow"/>
        </w:rPr>
        <w:t>d</w:t>
      </w:r>
      <w:r>
        <w:rPr>
          <w:rFonts w:cs="Helvetica"/>
        </w:rPr>
        <w:t xml:space="preserve">e </w:t>
      </w:r>
      <w:r>
        <w:rPr>
          <w:rFonts w:cs="Helvetica"/>
          <w:highlight w:val="yellow"/>
        </w:rPr>
        <w:t>desirab</w:t>
      </w:r>
      <w:r>
        <w:rPr>
          <w:rFonts w:cs="Helvetica"/>
        </w:rPr>
        <w:t>le nutritional, functional</w:t>
      </w:r>
      <w:r>
        <w:rPr>
          <w:rFonts w:cs="Helvetica"/>
          <w:highlight w:val="yellow"/>
        </w:rPr>
        <w:t>,</w:t>
      </w:r>
      <w:r>
        <w:rPr>
          <w:rFonts w:cs="Helvetica"/>
        </w:rPr>
        <w:t xml:space="preserve"> and sensory characteristic</w:t>
      </w:r>
      <w:r>
        <w:rPr>
          <w:rFonts w:cs="Helvetica"/>
          <w:highlight w:val="yellow"/>
        </w:rPr>
        <w:t>s</w:t>
      </w:r>
      <w:r>
        <w:rPr>
          <w:rFonts w:cs="Helvetica"/>
        </w:rPr>
        <w:t xml:space="preserve">. This </w:t>
      </w:r>
      <w:r>
        <w:rPr>
          <w:rFonts w:cs="Helvetica"/>
          <w:highlight w:val="yellow"/>
        </w:rPr>
        <w:t>appr</w:t>
      </w:r>
      <w:r>
        <w:rPr>
          <w:rFonts w:cs="Helvetica"/>
        </w:rPr>
        <w:t>o</w:t>
      </w:r>
      <w:r>
        <w:rPr>
          <w:rFonts w:cs="Helvetica"/>
          <w:highlight w:val="yellow"/>
        </w:rPr>
        <w:t>ach</w:t>
      </w:r>
      <w:r>
        <w:rPr>
          <w:rFonts w:cs="Helvetica"/>
        </w:rPr>
        <w:t xml:space="preserve"> o</w:t>
      </w:r>
      <w:r>
        <w:rPr>
          <w:rFonts w:cs="Helvetica"/>
          <w:highlight w:val="yellow"/>
        </w:rPr>
        <w:t>ffers</w:t>
      </w:r>
      <w:r>
        <w:rPr>
          <w:rFonts w:cs="Helvetica"/>
        </w:rPr>
        <w:t xml:space="preserve"> an environmentally sustainable solution th</w:t>
      </w:r>
      <w:r>
        <w:rPr>
          <w:rFonts w:cs="Helvetica"/>
          <w:highlight w:val="yellow"/>
        </w:rPr>
        <w:t>a</w:t>
      </w:r>
      <w:r>
        <w:rPr>
          <w:rFonts w:cs="Helvetica"/>
        </w:rPr>
        <w:t xml:space="preserve">t </w:t>
      </w:r>
      <w:r>
        <w:rPr>
          <w:rFonts w:cs="Helvetica"/>
          <w:highlight w:val="yellow"/>
        </w:rPr>
        <w:t>may r</w:t>
      </w:r>
      <w:r>
        <w:rPr>
          <w:rFonts w:cs="Helvetica"/>
        </w:rPr>
        <w:t>e</w:t>
      </w:r>
      <w:r>
        <w:rPr>
          <w:rFonts w:cs="Helvetica"/>
          <w:highlight w:val="yellow"/>
        </w:rPr>
        <w:t>duc</w:t>
      </w:r>
      <w:r>
        <w:rPr>
          <w:rFonts w:cs="Helvetica"/>
        </w:rPr>
        <w:t xml:space="preserve">e waste </w:t>
      </w:r>
      <w:r>
        <w:rPr>
          <w:rFonts w:cs="Helvetica"/>
          <w:highlight w:val="yellow"/>
        </w:rPr>
        <w:t>while</w:t>
      </w:r>
      <w:r>
        <w:rPr>
          <w:rFonts w:cs="Helvetica"/>
        </w:rPr>
        <w:t xml:space="preserve"> </w:t>
      </w:r>
      <w:r>
        <w:rPr>
          <w:rFonts w:cs="Helvetica"/>
          <w:highlight w:val="yellow"/>
        </w:rPr>
        <w:t>pr</w:t>
      </w:r>
      <w:r>
        <w:rPr>
          <w:rFonts w:cs="Helvetica"/>
        </w:rPr>
        <w:t>o</w:t>
      </w:r>
      <w:r>
        <w:rPr>
          <w:rFonts w:cs="Helvetica"/>
          <w:highlight w:val="yellow"/>
        </w:rPr>
        <w:t>vidi</w:t>
      </w:r>
      <w:r>
        <w:rPr>
          <w:rFonts w:cs="Helvetica"/>
        </w:rPr>
        <w:t>n</w:t>
      </w:r>
      <w:r>
        <w:rPr>
          <w:rFonts w:cs="Helvetica"/>
          <w:highlight w:val="yellow"/>
        </w:rPr>
        <w:t>g</w:t>
      </w:r>
      <w:r>
        <w:rPr>
          <w:rFonts w:cs="Helvetica"/>
        </w:rPr>
        <w:t xml:space="preserve"> a value</w:t>
      </w:r>
      <w:r>
        <w:rPr>
          <w:rFonts w:cs="Helvetica"/>
          <w:highlight w:val="yellow"/>
        </w:rPr>
        <w:t>-</w:t>
      </w:r>
      <w:r>
        <w:rPr>
          <w:rFonts w:cs="Helvetica"/>
        </w:rPr>
        <w:t>added, nutrient-rich e</w:t>
      </w:r>
      <w:r>
        <w:rPr>
          <w:rFonts w:cs="Helvetica"/>
          <w:highlight w:val="yellow"/>
        </w:rPr>
        <w:t>d</w:t>
      </w:r>
      <w:r>
        <w:rPr>
          <w:rFonts w:cs="Helvetica"/>
        </w:rPr>
        <w:t>i</w:t>
      </w:r>
      <w:r>
        <w:rPr>
          <w:rFonts w:cs="Helvetica"/>
          <w:highlight w:val="yellow"/>
        </w:rPr>
        <w:t>bl</w:t>
      </w:r>
      <w:r>
        <w:rPr>
          <w:rFonts w:cs="Helvetica"/>
        </w:rPr>
        <w:t>e alternative to single-use plastic</w:t>
      </w:r>
      <w:r>
        <w:rPr>
          <w:rFonts w:cs="Helvetica"/>
          <w:highlight w:val="yellow"/>
        </w:rPr>
        <w:t xml:space="preserve"> cutlery</w:t>
      </w:r>
      <w:r>
        <w:rPr>
          <w:rFonts w:cs="Helvetica"/>
        </w:rPr>
        <w:t>.</w:t>
      </w:r>
    </w:p>
    <w:p w14:paraId="4E3F3C81" w14:textId="77777777" w:rsidR="002B5196" w:rsidRPr="00FB3A86" w:rsidRDefault="002B5196" w:rsidP="002B5196">
      <w:pPr>
        <w:pStyle w:val="Body"/>
        <w:spacing w:after="0"/>
        <w:rPr>
          <w:rFonts w:ascii="Arial" w:hAnsi="Arial" w:cs="Arial"/>
        </w:rPr>
      </w:pPr>
    </w:p>
    <w:p w14:paraId="6B0100D8" w14:textId="77777777" w:rsidR="007F7B32" w:rsidRDefault="00902823" w:rsidP="000A5A2F">
      <w:pPr>
        <w:pStyle w:val="AbstHead"/>
        <w:spacing w:after="0"/>
        <w:jc w:val="both"/>
        <w:rPr>
          <w:rFonts w:ascii="Arial" w:hAnsi="Arial" w:cs="Arial"/>
        </w:rPr>
      </w:pPr>
      <w:r>
        <w:rPr>
          <w:rFonts w:ascii="Arial" w:hAnsi="Arial" w:cs="Arial"/>
        </w:rPr>
        <w:t xml:space="preserve">2. </w:t>
      </w:r>
      <w:r>
        <w:rPr>
          <w:rFonts w:ascii="Arial" w:hAnsi="Arial" w:cs="Arial"/>
          <w:highlight w:val="yellow"/>
        </w:rPr>
        <w:t>MATERIALS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METHODS</w:t>
      </w:r>
      <w:r>
        <w:rPr>
          <w:rFonts w:ascii="Arial" w:hAnsi="Arial" w:cs="Arial"/>
        </w:rPr>
        <w:t xml:space="preserve"> </w:t>
      </w:r>
    </w:p>
    <w:p w14:paraId="208A5276" w14:textId="77777777" w:rsidR="00790ADA" w:rsidRPr="00FB3A86" w:rsidRDefault="00790ADA" w:rsidP="00441B6F">
      <w:pPr>
        <w:pStyle w:val="Body"/>
        <w:spacing w:after="0"/>
        <w:rPr>
          <w:rFonts w:ascii="Arial" w:hAnsi="Arial" w:cs="Arial"/>
        </w:rPr>
      </w:pPr>
    </w:p>
    <w:p w14:paraId="758A333C"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0A5A2F" w:rsidRPr="000A5A2F">
        <w:rPr>
          <w:b/>
          <w:bCs/>
        </w:rPr>
        <w:t>Raw Materials and Procurement</w:t>
      </w:r>
    </w:p>
    <w:p w14:paraId="51DC71BE" w14:textId="77777777" w:rsidR="000A5A2F" w:rsidRDefault="000A5A2F" w:rsidP="000A5A2F">
      <w:pPr>
        <w:spacing w:before="160" w:after="100" w:line="360" w:lineRule="auto"/>
        <w:jc w:val="both"/>
      </w:pPr>
      <w:r>
        <w:t>The raw materials used were whole wheat flour, sago starch, white sesame seeds</w:t>
      </w:r>
      <w:r>
        <w:rPr>
          <w:highlight w:val="yellow"/>
        </w:rPr>
        <w:t>,</w:t>
      </w:r>
      <w:r>
        <w:t xml:space="preserve"> and cinnamon powder, procured from local retail outlets in Lucknow, Uttar Pradesh. Carrot (</w:t>
      </w:r>
      <w:r>
        <w:rPr>
          <w:i/>
          <w:iCs/>
        </w:rPr>
        <w:t>Daucus carota</w:t>
      </w:r>
      <w:r>
        <w:t>) and beetroot (</w:t>
      </w:r>
      <w:r>
        <w:rPr>
          <w:i/>
          <w:iCs/>
        </w:rPr>
        <w:t>Beta vulgaris</w:t>
      </w:r>
      <w:r>
        <w:t xml:space="preserve">) were purchased from </w:t>
      </w:r>
      <w:r>
        <w:rPr>
          <w:highlight w:val="yellow"/>
        </w:rPr>
        <w:t xml:space="preserve">a </w:t>
      </w:r>
      <w:r>
        <w:t>vegetable market</w:t>
      </w:r>
      <w:r>
        <w:rPr>
          <w:highlight w:val="yellow"/>
        </w:rPr>
        <w:t xml:space="preserve"> in</w:t>
      </w:r>
      <w:r>
        <w:t xml:space="preserve"> Lucknow, Uttar Pradesh. Chemicals used for </w:t>
      </w:r>
      <w:r>
        <w:rPr>
          <w:highlight w:val="yellow"/>
        </w:rPr>
        <w:t xml:space="preserve">the </w:t>
      </w:r>
      <w:r>
        <w:t>various analytical protocols (Folin-Cio</w:t>
      </w:r>
      <w:r>
        <w:rPr>
          <w:highlight w:val="yellow"/>
        </w:rPr>
        <w:t>c</w:t>
      </w:r>
      <w:r>
        <w:t>alteu reagent, gallic acid, 2,2-diphenyl-1-picrylhydrazyl (DPPH), ethanol</w:t>
      </w:r>
      <w:r>
        <w:rPr>
          <w:highlight w:val="yellow"/>
        </w:rPr>
        <w:t>,</w:t>
      </w:r>
      <w:r>
        <w:t xml:space="preserve"> and standard buffer solution) were of analytical grade.</w:t>
      </w:r>
    </w:p>
    <w:p w14:paraId="11046410" w14:textId="77777777" w:rsidR="000A5A2F" w:rsidRDefault="000A5A2F" w:rsidP="000A5A2F">
      <w:pPr>
        <w:pStyle w:val="Body"/>
        <w:spacing w:after="0"/>
        <w:rPr>
          <w:rFonts w:ascii="Arial" w:hAnsi="Arial" w:cs="Arial"/>
        </w:rPr>
      </w:pPr>
      <w:r w:rsidRPr="00C30A0F">
        <w:rPr>
          <w:rFonts w:ascii="Arial" w:hAnsi="Arial" w:cs="Arial"/>
          <w:b/>
          <w:caps/>
          <w:sz w:val="22"/>
        </w:rPr>
        <w:t>2.</w:t>
      </w:r>
      <w:r w:rsidR="00D107C1">
        <w:rPr>
          <w:rFonts w:ascii="Arial" w:hAnsi="Arial" w:cs="Arial"/>
          <w:b/>
          <w:caps/>
          <w:sz w:val="22"/>
        </w:rPr>
        <w:t>2</w:t>
      </w:r>
      <w:r w:rsidRPr="00C30A0F">
        <w:rPr>
          <w:rFonts w:ascii="Arial" w:hAnsi="Arial" w:cs="Arial"/>
          <w:b/>
          <w:caps/>
          <w:sz w:val="22"/>
        </w:rPr>
        <w:t xml:space="preserve"> </w:t>
      </w:r>
      <w:r w:rsidR="00D107C1" w:rsidRPr="00D107C1">
        <w:rPr>
          <w:b/>
          <w:bCs/>
        </w:rPr>
        <w:t>Preparation of Carrot and Beetroot Peel Powders</w:t>
      </w:r>
    </w:p>
    <w:p w14:paraId="707F6BB6" w14:textId="77777777" w:rsidR="00D107C1" w:rsidRPr="00D107C1" w:rsidRDefault="00D107C1" w:rsidP="00D107C1">
      <w:pPr>
        <w:spacing w:before="160" w:after="100" w:line="360" w:lineRule="auto"/>
        <w:jc w:val="both"/>
      </w:pPr>
      <w:r>
        <w:t xml:space="preserve">Fresh carrots and beetroot were washed </w:t>
      </w:r>
      <w:r>
        <w:rPr>
          <w:highlight w:val="yellow"/>
        </w:rPr>
        <w:t>thorough</w:t>
      </w:r>
      <w:r>
        <w:t>l</w:t>
      </w:r>
      <w:r>
        <w:rPr>
          <w:highlight w:val="yellow"/>
        </w:rPr>
        <w:t>y</w:t>
      </w:r>
      <w:r>
        <w:t xml:space="preserve"> under running water </w:t>
      </w:r>
      <w:r>
        <w:rPr>
          <w:highlight w:val="yellow"/>
        </w:rPr>
        <w:t>a</w:t>
      </w:r>
      <w:r>
        <w:t>n</w:t>
      </w:r>
      <w:r>
        <w:rPr>
          <w:highlight w:val="yellow"/>
        </w:rPr>
        <w:t>d</w:t>
      </w:r>
      <w:r>
        <w:t xml:space="preserve"> peeled manually using a food</w:t>
      </w:r>
      <w:r>
        <w:rPr>
          <w:highlight w:val="yellow"/>
        </w:rPr>
        <w:t>-</w:t>
      </w:r>
      <w:r>
        <w:t>grade stainless</w:t>
      </w:r>
      <w:r>
        <w:rPr>
          <w:highlight w:val="yellow"/>
        </w:rPr>
        <w:t>-</w:t>
      </w:r>
      <w:r>
        <w:t>steel peeler</w:t>
      </w:r>
      <w:r>
        <w:rPr>
          <w:highlight w:val="yellow"/>
        </w:rPr>
        <w:t>.</w:t>
      </w:r>
      <w:r>
        <w:t xml:space="preserve"> </w:t>
      </w:r>
      <w:r>
        <w:rPr>
          <w:highlight w:val="yellow"/>
        </w:rPr>
        <w:t>The peels were</w:t>
      </w:r>
      <w:r>
        <w:t xml:space="preserve"> collected</w:t>
      </w:r>
      <w:r>
        <w:rPr>
          <w:highlight w:val="yellow"/>
        </w:rPr>
        <w:t>,</w:t>
      </w:r>
      <w:r>
        <w:t xml:space="preserve"> washe</w:t>
      </w:r>
      <w:r>
        <w:rPr>
          <w:highlight w:val="yellow"/>
        </w:rPr>
        <w:t>d</w:t>
      </w:r>
      <w:r>
        <w:t xml:space="preserve"> again,</w:t>
      </w:r>
      <w:r>
        <w:rPr>
          <w:highlight w:val="yellow"/>
        </w:rPr>
        <w:t xml:space="preserve"> blanched</w:t>
      </w:r>
      <w:r>
        <w:t xml:space="preserve"> to avoid enzymatic browning, and then dried in a dehydrator at 55-60 °C until </w:t>
      </w:r>
      <w:r>
        <w:rPr>
          <w:highlight w:val="yellow"/>
        </w:rPr>
        <w:t xml:space="preserve">a </w:t>
      </w:r>
      <w:r>
        <w:t xml:space="preserve">constant weight </w:t>
      </w:r>
      <w:r>
        <w:rPr>
          <w:highlight w:val="yellow"/>
        </w:rPr>
        <w:t xml:space="preserve">was </w:t>
      </w:r>
      <w:r>
        <w:t xml:space="preserve">achieved. </w:t>
      </w:r>
      <w:r>
        <w:rPr>
          <w:highlight w:val="yellow"/>
        </w:rPr>
        <w:t>T</w:t>
      </w:r>
      <w:r>
        <w:t xml:space="preserve">he dehydrated peels were </w:t>
      </w:r>
      <w:r>
        <w:rPr>
          <w:highlight w:val="yellow"/>
        </w:rPr>
        <w:t xml:space="preserve">further </w:t>
      </w:r>
      <w:r>
        <w:t>sun</w:t>
      </w:r>
      <w:r>
        <w:rPr>
          <w:highlight w:val="yellow"/>
        </w:rPr>
        <w:t>-</w:t>
      </w:r>
      <w:r>
        <w:t xml:space="preserve">dried for </w:t>
      </w:r>
      <w:r>
        <w:rPr>
          <w:highlight w:val="yellow"/>
        </w:rPr>
        <w:t>one</w:t>
      </w:r>
      <w:r>
        <w:t xml:space="preserve"> day each. </w:t>
      </w:r>
      <w:r>
        <w:rPr>
          <w:highlight w:val="yellow"/>
        </w:rPr>
        <w:t>The d</w:t>
      </w:r>
      <w:r>
        <w:t xml:space="preserve">ried peels were subsequently ground using </w:t>
      </w:r>
      <w:r>
        <w:rPr>
          <w:highlight w:val="yellow"/>
        </w:rPr>
        <w:t>a l</w:t>
      </w:r>
      <w:r>
        <w:t>aboratory</w:t>
      </w:r>
      <w:r>
        <w:rPr>
          <w:highlight w:val="yellow"/>
        </w:rPr>
        <w:t>-g</w:t>
      </w:r>
      <w:r>
        <w:t xml:space="preserve">rade </w:t>
      </w:r>
      <w:r>
        <w:rPr>
          <w:highlight w:val="yellow"/>
        </w:rPr>
        <w:t>b</w:t>
      </w:r>
      <w:r>
        <w:t>lender and sieved through a standard 50-mesh stainless</w:t>
      </w:r>
      <w:r>
        <w:rPr>
          <w:highlight w:val="yellow"/>
        </w:rPr>
        <w:t>-</w:t>
      </w:r>
      <w:r>
        <w:t xml:space="preserve">steel sieve to obtain fine powders. Both </w:t>
      </w:r>
      <w:r>
        <w:rPr>
          <w:highlight w:val="yellow"/>
        </w:rPr>
        <w:t>c</w:t>
      </w:r>
      <w:r>
        <w:t xml:space="preserve">arrot </w:t>
      </w:r>
      <w:r>
        <w:rPr>
          <w:highlight w:val="yellow"/>
        </w:rPr>
        <w:t>p</w:t>
      </w:r>
      <w:r>
        <w:t xml:space="preserve">eel </w:t>
      </w:r>
      <w:r>
        <w:rPr>
          <w:highlight w:val="yellow"/>
        </w:rPr>
        <w:t>p</w:t>
      </w:r>
      <w:r>
        <w:t xml:space="preserve">owder (CPP) and </w:t>
      </w:r>
      <w:r>
        <w:rPr>
          <w:highlight w:val="yellow"/>
        </w:rPr>
        <w:t>b</w:t>
      </w:r>
      <w:r>
        <w:t xml:space="preserve">eetroot </w:t>
      </w:r>
      <w:r>
        <w:rPr>
          <w:highlight w:val="yellow"/>
        </w:rPr>
        <w:t>p</w:t>
      </w:r>
      <w:r>
        <w:t xml:space="preserve">eel </w:t>
      </w:r>
      <w:r>
        <w:rPr>
          <w:highlight w:val="yellow"/>
        </w:rPr>
        <w:t>p</w:t>
      </w:r>
      <w:r>
        <w:t xml:space="preserve">owder (BPP) were </w:t>
      </w:r>
      <w:r>
        <w:rPr>
          <w:highlight w:val="yellow"/>
        </w:rPr>
        <w:t>stor</w:t>
      </w:r>
      <w:r>
        <w:t>e</w:t>
      </w:r>
      <w:r>
        <w:rPr>
          <w:highlight w:val="yellow"/>
        </w:rPr>
        <w:t>d</w:t>
      </w:r>
      <w:r>
        <w:t xml:space="preserve"> in airtight containers at room temperature until use.</w:t>
      </w:r>
    </w:p>
    <w:p w14:paraId="63542445" w14:textId="77777777" w:rsidR="00D107C1" w:rsidRPr="00D107C1" w:rsidRDefault="00D107C1" w:rsidP="00D107C1">
      <w:pPr>
        <w:pStyle w:val="Body"/>
        <w:spacing w:after="0"/>
        <w:rPr>
          <w:rFonts w:ascii="Arial" w:hAnsi="Arial" w:cs="Arial"/>
        </w:rPr>
      </w:pPr>
      <w:r w:rsidRPr="00D107C1">
        <w:rPr>
          <w:rFonts w:ascii="Arial" w:hAnsi="Arial" w:cs="Arial"/>
          <w:b/>
          <w:caps/>
          <w:sz w:val="22"/>
        </w:rPr>
        <w:t>2.</w:t>
      </w:r>
      <w:r>
        <w:rPr>
          <w:rFonts w:ascii="Arial" w:hAnsi="Arial" w:cs="Arial"/>
          <w:b/>
          <w:caps/>
          <w:sz w:val="22"/>
        </w:rPr>
        <w:t>3</w:t>
      </w:r>
      <w:r w:rsidRPr="00D107C1">
        <w:rPr>
          <w:rFonts w:ascii="Arial" w:hAnsi="Arial" w:cs="Arial"/>
          <w:b/>
          <w:caps/>
          <w:sz w:val="22"/>
        </w:rPr>
        <w:t xml:space="preserve"> </w:t>
      </w:r>
      <w:r w:rsidRPr="00D107C1">
        <w:rPr>
          <w:b/>
          <w:bCs/>
        </w:rPr>
        <w:t>Formulation Development and Optimization</w:t>
      </w:r>
    </w:p>
    <w:p w14:paraId="2E004E59" w14:textId="77777777" w:rsidR="00D107C1" w:rsidRDefault="00467040" w:rsidP="00467040">
      <w:pPr>
        <w:spacing w:before="160" w:after="100" w:line="360" w:lineRule="auto"/>
        <w:jc w:val="both"/>
      </w:pPr>
      <w:r>
        <w:t xml:space="preserve">Three formulations were </w:t>
      </w:r>
      <w:r>
        <w:rPr>
          <w:highlight w:val="yellow"/>
        </w:rPr>
        <w:t>p</w:t>
      </w:r>
      <w:r>
        <w:t>r</w:t>
      </w:r>
      <w:r>
        <w:rPr>
          <w:highlight w:val="yellow"/>
        </w:rPr>
        <w:t>ep</w:t>
      </w:r>
      <w:r>
        <w:t>a</w:t>
      </w:r>
      <w:r>
        <w:rPr>
          <w:highlight w:val="yellow"/>
        </w:rPr>
        <w:t>r</w:t>
      </w:r>
      <w:r>
        <w:t>ed</w:t>
      </w:r>
      <w:r>
        <w:rPr>
          <w:highlight w:val="yellow"/>
        </w:rPr>
        <w:t>:</w:t>
      </w:r>
      <w:r>
        <w:t xml:space="preserve"> one containing whole wheat flour (base formulation</w:t>
      </w:r>
      <w:r>
        <w:rPr>
          <w:highlight w:val="yellow"/>
        </w:rPr>
        <w:t>;</w:t>
      </w:r>
      <w:r>
        <w:t xml:space="preserve"> BF) and two containing 5% (F1) and 10% (F2) of the combined mixture of CPP and BPP</w:t>
      </w:r>
      <w:r>
        <w:rPr>
          <w:highlight w:val="yellow"/>
        </w:rPr>
        <w:t>,</w:t>
      </w:r>
      <w:r>
        <w:t xml:space="preserve"> respectively. Initial trials were carried out to optimi</w:t>
      </w:r>
      <w:r>
        <w:rPr>
          <w:highlight w:val="yellow"/>
        </w:rPr>
        <w:t>s</w:t>
      </w:r>
      <w:r>
        <w:t xml:space="preserve">e the formulation </w:t>
      </w:r>
      <w:r>
        <w:rPr>
          <w:highlight w:val="yellow"/>
        </w:rPr>
        <w:t>b</w:t>
      </w:r>
      <w:r>
        <w:t>as</w:t>
      </w:r>
      <w:r>
        <w:rPr>
          <w:highlight w:val="yellow"/>
        </w:rPr>
        <w:t>ed</w:t>
      </w:r>
      <w:r>
        <w:t xml:space="preserve"> on dough consistency, mo</w:t>
      </w:r>
      <w:r>
        <w:rPr>
          <w:highlight w:val="yellow"/>
        </w:rPr>
        <w:t>u</w:t>
      </w:r>
      <w:r>
        <w:t>lding, baking properties</w:t>
      </w:r>
      <w:r>
        <w:rPr>
          <w:highlight w:val="yellow"/>
        </w:rPr>
        <w:t>,</w:t>
      </w:r>
      <w:r>
        <w:t xml:space="preserve"> and</w:t>
      </w:r>
      <w:r>
        <w:rPr>
          <w:highlight w:val="yellow"/>
        </w:rPr>
        <w:t xml:space="preserve"> product</w:t>
      </w:r>
      <w:r>
        <w:t xml:space="preserve"> quality. </w:t>
      </w:r>
      <w:r>
        <w:rPr>
          <w:highlight w:val="yellow"/>
        </w:rPr>
        <w:t>K</w:t>
      </w:r>
      <w:r>
        <w:t xml:space="preserve">ey parameters </w:t>
      </w:r>
      <w:r>
        <w:rPr>
          <w:highlight w:val="yellow"/>
        </w:rPr>
        <w:t>such as</w:t>
      </w:r>
      <w:r>
        <w:t xml:space="preserve"> appearance, texture, colo</w:t>
      </w:r>
      <w:r>
        <w:rPr>
          <w:highlight w:val="yellow"/>
        </w:rPr>
        <w:t>u</w:t>
      </w:r>
      <w:r>
        <w:t>r</w:t>
      </w:r>
      <w:r>
        <w:rPr>
          <w:highlight w:val="yellow"/>
        </w:rPr>
        <w:t>,</w:t>
      </w:r>
      <w:r>
        <w:t xml:space="preserve"> and overall acceptability were evaluated for each formulation. Based on sensory evaluation and physical properties</w:t>
      </w:r>
      <w:r>
        <w:rPr>
          <w:highlight w:val="yellow"/>
        </w:rPr>
        <w:t>,</w:t>
      </w:r>
      <w:r>
        <w:t xml:space="preserve"> the most acceptable formulation was </w:t>
      </w:r>
      <w:r>
        <w:rPr>
          <w:highlight w:val="yellow"/>
        </w:rPr>
        <w:t>selec</w:t>
      </w:r>
      <w:r>
        <w:t>te</w:t>
      </w:r>
      <w:r>
        <w:rPr>
          <w:highlight w:val="yellow"/>
        </w:rPr>
        <w:t>d</w:t>
      </w:r>
      <w:r>
        <w:t xml:space="preserve"> for further analysis. The standardi</w:t>
      </w:r>
      <w:r>
        <w:rPr>
          <w:highlight w:val="yellow"/>
        </w:rPr>
        <w:t>s</w:t>
      </w:r>
      <w:r>
        <w:t xml:space="preserve">ed formulation was then used to </w:t>
      </w:r>
      <w:r>
        <w:rPr>
          <w:highlight w:val="yellow"/>
        </w:rPr>
        <w:t>prep</w:t>
      </w:r>
      <w:r>
        <w:t>a</w:t>
      </w:r>
      <w:r>
        <w:rPr>
          <w:highlight w:val="yellow"/>
        </w:rPr>
        <w:t>r</w:t>
      </w:r>
      <w:r>
        <w:t>e edible spoon</w:t>
      </w:r>
      <w:r>
        <w:rPr>
          <w:highlight w:val="yellow"/>
        </w:rPr>
        <w:t>s</w:t>
      </w:r>
      <w:r>
        <w:t xml:space="preserve"> and bowl</w:t>
      </w:r>
      <w:r>
        <w:rPr>
          <w:highlight w:val="yellow"/>
        </w:rPr>
        <w:t>s,</w:t>
      </w:r>
      <w:r>
        <w:t xml:space="preserve"> a</w:t>
      </w:r>
      <w:r>
        <w:rPr>
          <w:highlight w:val="yellow"/>
        </w:rPr>
        <w:t>s</w:t>
      </w:r>
      <w:r>
        <w:t xml:space="preserve"> described in the formulation process. The formulation details of the developed edible cutlery are presented in Table 1.</w:t>
      </w:r>
    </w:p>
    <w:p w14:paraId="5CCA79A8" w14:textId="77777777" w:rsidR="00D107C1" w:rsidRPr="00D107C1" w:rsidRDefault="00D107C1" w:rsidP="00D107C1">
      <w:pPr>
        <w:spacing w:line="360" w:lineRule="auto"/>
        <w:ind w:right="142"/>
        <w:jc w:val="center"/>
        <w:rPr>
          <w:rFonts w:cs="Helvetica"/>
        </w:rPr>
      </w:pPr>
      <w:r w:rsidRPr="00D107C1">
        <w:rPr>
          <w:rFonts w:cs="Helvetica"/>
        </w:rPr>
        <w:t>Table 1 : Formulation of edible cutlery</w:t>
      </w:r>
    </w:p>
    <w:tbl>
      <w:tblPr>
        <w:tblStyle w:val="TableGrid"/>
        <w:tblW w:w="0" w:type="auto"/>
        <w:tblLook w:val="04A0" w:firstRow="1" w:lastRow="0" w:firstColumn="1" w:lastColumn="0" w:noHBand="0" w:noVBand="1"/>
      </w:tblPr>
      <w:tblGrid>
        <w:gridCol w:w="2614"/>
        <w:gridCol w:w="2614"/>
        <w:gridCol w:w="2614"/>
        <w:gridCol w:w="2614"/>
      </w:tblGrid>
      <w:tr w:rsidR="00D107C1" w:rsidRPr="00D107C1" w14:paraId="2294D65E" w14:textId="77777777" w:rsidTr="008A506E">
        <w:tc>
          <w:tcPr>
            <w:tcW w:w="2614" w:type="dxa"/>
          </w:tcPr>
          <w:p w14:paraId="5EAA0D41"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Ingredients</w:t>
            </w:r>
          </w:p>
        </w:tc>
        <w:tc>
          <w:tcPr>
            <w:tcW w:w="2614" w:type="dxa"/>
          </w:tcPr>
          <w:p w14:paraId="3CCB4DAE"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Control (0%)</w:t>
            </w:r>
          </w:p>
        </w:tc>
        <w:tc>
          <w:tcPr>
            <w:tcW w:w="2614" w:type="dxa"/>
          </w:tcPr>
          <w:p w14:paraId="5E6FE899"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F1 (5%)</w:t>
            </w:r>
          </w:p>
        </w:tc>
        <w:tc>
          <w:tcPr>
            <w:tcW w:w="2614" w:type="dxa"/>
          </w:tcPr>
          <w:p w14:paraId="063B0E00"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F2 (10%)</w:t>
            </w:r>
          </w:p>
        </w:tc>
      </w:tr>
      <w:tr w:rsidR="00D107C1" w:rsidRPr="00D107C1" w14:paraId="34B106DC" w14:textId="77777777" w:rsidTr="008A506E">
        <w:tc>
          <w:tcPr>
            <w:tcW w:w="2614" w:type="dxa"/>
          </w:tcPr>
          <w:p w14:paraId="42F088C0" w14:textId="77777777" w:rsidR="00D107C1" w:rsidRPr="00D107C1" w:rsidRDefault="00D107C1" w:rsidP="008A506E">
            <w:pPr>
              <w:spacing w:line="360" w:lineRule="auto"/>
              <w:ind w:right="142"/>
              <w:rPr>
                <w:rFonts w:cs="Helvetica"/>
                <w:sz w:val="20"/>
                <w:szCs w:val="20"/>
              </w:rPr>
            </w:pPr>
            <w:r w:rsidRPr="00D107C1">
              <w:rPr>
                <w:rFonts w:cs="Helvetica"/>
                <w:sz w:val="20"/>
                <w:szCs w:val="20"/>
              </w:rPr>
              <w:t>Wheat flour</w:t>
            </w:r>
          </w:p>
        </w:tc>
        <w:tc>
          <w:tcPr>
            <w:tcW w:w="2614" w:type="dxa"/>
          </w:tcPr>
          <w:p w14:paraId="20BAF4DC" w14:textId="77777777" w:rsidR="00D107C1" w:rsidRPr="00D107C1" w:rsidRDefault="00D107C1" w:rsidP="008A506E">
            <w:pPr>
              <w:spacing w:line="360" w:lineRule="auto"/>
              <w:ind w:right="142"/>
              <w:rPr>
                <w:rFonts w:cs="Helvetica"/>
                <w:sz w:val="20"/>
                <w:szCs w:val="20"/>
              </w:rPr>
            </w:pPr>
            <w:r w:rsidRPr="00D107C1">
              <w:rPr>
                <w:rFonts w:cs="Helvetica"/>
                <w:sz w:val="20"/>
                <w:szCs w:val="20"/>
              </w:rPr>
              <w:t>70 g</w:t>
            </w:r>
          </w:p>
        </w:tc>
        <w:tc>
          <w:tcPr>
            <w:tcW w:w="2614" w:type="dxa"/>
          </w:tcPr>
          <w:p w14:paraId="3F505DDC" w14:textId="77777777" w:rsidR="00D107C1" w:rsidRPr="00D107C1" w:rsidRDefault="00D107C1" w:rsidP="008A506E">
            <w:pPr>
              <w:spacing w:line="360" w:lineRule="auto"/>
              <w:ind w:right="142"/>
              <w:rPr>
                <w:rFonts w:cs="Helvetica"/>
                <w:sz w:val="20"/>
                <w:szCs w:val="20"/>
              </w:rPr>
            </w:pPr>
            <w:r w:rsidRPr="00D107C1">
              <w:rPr>
                <w:rFonts w:cs="Helvetica"/>
                <w:sz w:val="20"/>
                <w:szCs w:val="20"/>
              </w:rPr>
              <w:t>65 g</w:t>
            </w:r>
          </w:p>
        </w:tc>
        <w:tc>
          <w:tcPr>
            <w:tcW w:w="2614" w:type="dxa"/>
          </w:tcPr>
          <w:p w14:paraId="092D94C5" w14:textId="77777777" w:rsidR="00D107C1" w:rsidRPr="00D107C1" w:rsidRDefault="00D107C1" w:rsidP="008A506E">
            <w:pPr>
              <w:spacing w:line="360" w:lineRule="auto"/>
              <w:ind w:right="142"/>
              <w:rPr>
                <w:rFonts w:cs="Helvetica"/>
                <w:sz w:val="20"/>
                <w:szCs w:val="20"/>
              </w:rPr>
            </w:pPr>
            <w:r w:rsidRPr="00D107C1">
              <w:rPr>
                <w:rFonts w:cs="Helvetica"/>
                <w:sz w:val="20"/>
                <w:szCs w:val="20"/>
              </w:rPr>
              <w:t>60 g</w:t>
            </w:r>
          </w:p>
        </w:tc>
      </w:tr>
      <w:tr w:rsidR="00D107C1" w:rsidRPr="00D107C1" w14:paraId="73D888EE" w14:textId="77777777" w:rsidTr="008A506E">
        <w:tc>
          <w:tcPr>
            <w:tcW w:w="2614" w:type="dxa"/>
          </w:tcPr>
          <w:p w14:paraId="0660EFBB" w14:textId="77777777" w:rsidR="00D107C1" w:rsidRPr="00D107C1" w:rsidRDefault="00D107C1" w:rsidP="008A506E">
            <w:pPr>
              <w:spacing w:line="360" w:lineRule="auto"/>
              <w:ind w:right="142"/>
              <w:rPr>
                <w:rFonts w:cs="Helvetica"/>
                <w:sz w:val="20"/>
                <w:szCs w:val="20"/>
              </w:rPr>
            </w:pPr>
            <w:r w:rsidRPr="00D107C1">
              <w:rPr>
                <w:rFonts w:cs="Helvetica"/>
                <w:sz w:val="20"/>
                <w:szCs w:val="20"/>
              </w:rPr>
              <w:t>Sago Starch</w:t>
            </w:r>
          </w:p>
        </w:tc>
        <w:tc>
          <w:tcPr>
            <w:tcW w:w="2614" w:type="dxa"/>
          </w:tcPr>
          <w:p w14:paraId="4FD98930" w14:textId="77777777" w:rsidR="00D107C1" w:rsidRPr="00D107C1" w:rsidRDefault="00D107C1" w:rsidP="008A506E">
            <w:pPr>
              <w:spacing w:line="360" w:lineRule="auto"/>
              <w:ind w:right="142"/>
              <w:rPr>
                <w:rFonts w:cs="Helvetica"/>
                <w:sz w:val="20"/>
                <w:szCs w:val="20"/>
              </w:rPr>
            </w:pPr>
            <w:r w:rsidRPr="00D107C1">
              <w:rPr>
                <w:rFonts w:cs="Helvetica"/>
                <w:sz w:val="20"/>
                <w:szCs w:val="20"/>
              </w:rPr>
              <w:t>17 g</w:t>
            </w:r>
          </w:p>
        </w:tc>
        <w:tc>
          <w:tcPr>
            <w:tcW w:w="2614" w:type="dxa"/>
          </w:tcPr>
          <w:p w14:paraId="6770CF60"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c>
          <w:tcPr>
            <w:tcW w:w="2614" w:type="dxa"/>
          </w:tcPr>
          <w:p w14:paraId="6DD08704"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r>
      <w:tr w:rsidR="00D107C1" w:rsidRPr="00D107C1" w14:paraId="2E2838BA" w14:textId="77777777" w:rsidTr="008A506E">
        <w:tc>
          <w:tcPr>
            <w:tcW w:w="2614" w:type="dxa"/>
          </w:tcPr>
          <w:p w14:paraId="550A02A1" w14:textId="77777777" w:rsidR="00D107C1" w:rsidRPr="00D107C1" w:rsidRDefault="00D107C1" w:rsidP="008A506E">
            <w:pPr>
              <w:spacing w:line="360" w:lineRule="auto"/>
              <w:ind w:right="142"/>
              <w:rPr>
                <w:rFonts w:cs="Helvetica"/>
                <w:sz w:val="20"/>
                <w:szCs w:val="20"/>
              </w:rPr>
            </w:pPr>
            <w:r w:rsidRPr="00D107C1">
              <w:rPr>
                <w:rFonts w:cs="Helvetica"/>
                <w:sz w:val="20"/>
                <w:szCs w:val="20"/>
              </w:rPr>
              <w:t>White sesame seeds</w:t>
            </w:r>
          </w:p>
        </w:tc>
        <w:tc>
          <w:tcPr>
            <w:tcW w:w="2614" w:type="dxa"/>
          </w:tcPr>
          <w:p w14:paraId="7C13B12D"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1A81119F"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648DC76B"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r>
      <w:tr w:rsidR="00D107C1" w:rsidRPr="00D107C1" w14:paraId="748C59BE" w14:textId="77777777" w:rsidTr="008A506E">
        <w:tc>
          <w:tcPr>
            <w:tcW w:w="2614" w:type="dxa"/>
          </w:tcPr>
          <w:p w14:paraId="5814FDC7" w14:textId="77777777" w:rsidR="00D107C1" w:rsidRPr="00D107C1" w:rsidRDefault="00D107C1" w:rsidP="008A506E">
            <w:pPr>
              <w:spacing w:line="360" w:lineRule="auto"/>
              <w:ind w:right="142"/>
              <w:rPr>
                <w:rFonts w:cs="Helvetica"/>
                <w:sz w:val="20"/>
                <w:szCs w:val="20"/>
              </w:rPr>
            </w:pPr>
            <w:r w:rsidRPr="00D107C1">
              <w:rPr>
                <w:rFonts w:cs="Helvetica"/>
                <w:sz w:val="20"/>
                <w:szCs w:val="20"/>
              </w:rPr>
              <w:t>BPP</w:t>
            </w:r>
          </w:p>
        </w:tc>
        <w:tc>
          <w:tcPr>
            <w:tcW w:w="2614" w:type="dxa"/>
          </w:tcPr>
          <w:p w14:paraId="38589CB3"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3A805DF6"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69A18586"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2F0DE864" w14:textId="77777777" w:rsidTr="008A506E">
        <w:tc>
          <w:tcPr>
            <w:tcW w:w="2614" w:type="dxa"/>
          </w:tcPr>
          <w:p w14:paraId="475BB5B9" w14:textId="77777777" w:rsidR="00D107C1" w:rsidRPr="00D107C1" w:rsidRDefault="00D107C1" w:rsidP="008A506E">
            <w:pPr>
              <w:spacing w:line="360" w:lineRule="auto"/>
              <w:ind w:right="142"/>
              <w:rPr>
                <w:rFonts w:cs="Helvetica"/>
                <w:sz w:val="20"/>
                <w:szCs w:val="20"/>
              </w:rPr>
            </w:pPr>
            <w:r w:rsidRPr="00D107C1">
              <w:rPr>
                <w:rFonts w:cs="Helvetica"/>
                <w:sz w:val="20"/>
                <w:szCs w:val="20"/>
              </w:rPr>
              <w:t>CPP</w:t>
            </w:r>
          </w:p>
        </w:tc>
        <w:tc>
          <w:tcPr>
            <w:tcW w:w="2614" w:type="dxa"/>
          </w:tcPr>
          <w:p w14:paraId="24576309"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477F082A"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6F69206D"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2CA0478A" w14:textId="77777777" w:rsidTr="008A506E">
        <w:tc>
          <w:tcPr>
            <w:tcW w:w="2614" w:type="dxa"/>
          </w:tcPr>
          <w:p w14:paraId="4399024B" w14:textId="77777777" w:rsidR="00D107C1" w:rsidRPr="00D107C1" w:rsidRDefault="00D107C1" w:rsidP="008A506E">
            <w:pPr>
              <w:spacing w:line="360" w:lineRule="auto"/>
              <w:ind w:right="142"/>
              <w:rPr>
                <w:rFonts w:cs="Helvetica"/>
                <w:sz w:val="20"/>
                <w:szCs w:val="20"/>
              </w:rPr>
            </w:pPr>
            <w:r w:rsidRPr="00D107C1">
              <w:rPr>
                <w:rFonts w:cs="Helvetica"/>
                <w:sz w:val="20"/>
                <w:szCs w:val="20"/>
              </w:rPr>
              <w:t>Cinnamon Powder</w:t>
            </w:r>
          </w:p>
        </w:tc>
        <w:tc>
          <w:tcPr>
            <w:tcW w:w="2614" w:type="dxa"/>
          </w:tcPr>
          <w:p w14:paraId="5FF9D967"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0F161C50"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5E48DF02"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r>
      <w:tr w:rsidR="00D107C1" w:rsidRPr="00D107C1" w14:paraId="7D7F76D1" w14:textId="77777777" w:rsidTr="008A506E">
        <w:tc>
          <w:tcPr>
            <w:tcW w:w="2614" w:type="dxa"/>
          </w:tcPr>
          <w:p w14:paraId="1BE53D9F" w14:textId="77777777" w:rsidR="00D107C1" w:rsidRPr="00D107C1" w:rsidRDefault="00D107C1" w:rsidP="008A506E">
            <w:pPr>
              <w:spacing w:line="360" w:lineRule="auto"/>
              <w:ind w:right="142"/>
              <w:rPr>
                <w:rFonts w:cs="Helvetica"/>
                <w:sz w:val="20"/>
                <w:szCs w:val="20"/>
              </w:rPr>
            </w:pPr>
            <w:r w:rsidRPr="00D107C1">
              <w:rPr>
                <w:rFonts w:cs="Helvetica"/>
                <w:sz w:val="20"/>
                <w:szCs w:val="20"/>
              </w:rPr>
              <w:t>Salt</w:t>
            </w:r>
          </w:p>
        </w:tc>
        <w:tc>
          <w:tcPr>
            <w:tcW w:w="2614" w:type="dxa"/>
          </w:tcPr>
          <w:p w14:paraId="4479B0FD" w14:textId="77777777" w:rsidR="00D107C1" w:rsidRPr="00D107C1" w:rsidRDefault="00D107C1" w:rsidP="008A506E">
            <w:pPr>
              <w:spacing w:line="360" w:lineRule="auto"/>
              <w:ind w:right="142"/>
              <w:rPr>
                <w:rFonts w:cs="Helvetica"/>
                <w:sz w:val="20"/>
                <w:szCs w:val="20"/>
              </w:rPr>
            </w:pPr>
            <w:r w:rsidRPr="00D107C1">
              <w:rPr>
                <w:rFonts w:cs="Helvetica"/>
                <w:sz w:val="20"/>
                <w:szCs w:val="20"/>
              </w:rPr>
              <w:t>1 g</w:t>
            </w:r>
          </w:p>
        </w:tc>
        <w:tc>
          <w:tcPr>
            <w:tcW w:w="2614" w:type="dxa"/>
          </w:tcPr>
          <w:p w14:paraId="0B87A48B"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c>
          <w:tcPr>
            <w:tcW w:w="2614" w:type="dxa"/>
          </w:tcPr>
          <w:p w14:paraId="6DC018AC"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r>
      <w:tr w:rsidR="00D107C1" w:rsidRPr="00D107C1" w14:paraId="57AA0BB5" w14:textId="77777777" w:rsidTr="008A506E">
        <w:tc>
          <w:tcPr>
            <w:tcW w:w="2614" w:type="dxa"/>
          </w:tcPr>
          <w:p w14:paraId="1DFE2557" w14:textId="77777777" w:rsidR="00D107C1" w:rsidRPr="00D107C1" w:rsidRDefault="00D107C1" w:rsidP="008A506E">
            <w:pPr>
              <w:spacing w:line="360" w:lineRule="auto"/>
              <w:ind w:right="142"/>
              <w:rPr>
                <w:rFonts w:cs="Helvetica"/>
                <w:sz w:val="20"/>
                <w:szCs w:val="20"/>
              </w:rPr>
            </w:pPr>
            <w:r w:rsidRPr="00D107C1">
              <w:rPr>
                <w:rFonts w:cs="Helvetica"/>
                <w:sz w:val="20"/>
                <w:szCs w:val="20"/>
              </w:rPr>
              <w:t>Water</w:t>
            </w:r>
          </w:p>
        </w:tc>
        <w:tc>
          <w:tcPr>
            <w:tcW w:w="2614" w:type="dxa"/>
          </w:tcPr>
          <w:p w14:paraId="39EB465C"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11F70367"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4C4A40F0"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r>
    </w:tbl>
    <w:p w14:paraId="0073B57D" w14:textId="124A2BEC" w:rsidR="008E4296" w:rsidRDefault="008E4296" w:rsidP="00467040">
      <w:pPr>
        <w:spacing w:before="160" w:after="100" w:line="360" w:lineRule="auto"/>
        <w:jc w:val="both"/>
      </w:pPr>
      <w:r>
        <w:t xml:space="preserve">BPP: </w:t>
      </w:r>
      <w:r>
        <w:rPr>
          <w:highlight w:val="yellow"/>
        </w:rPr>
        <w:t>B</w:t>
      </w:r>
      <w:r>
        <w:t xml:space="preserve">eetroot </w:t>
      </w:r>
      <w:r>
        <w:rPr>
          <w:highlight w:val="yellow"/>
        </w:rPr>
        <w:t>P</w:t>
      </w:r>
      <w:r>
        <w:t xml:space="preserve">eel </w:t>
      </w:r>
      <w:r>
        <w:rPr>
          <w:highlight w:val="yellow"/>
        </w:rPr>
        <w:t>P</w:t>
      </w:r>
      <w:r>
        <w:t>owder</w:t>
      </w:r>
    </w:p>
    <w:p w14:paraId="7BD259D1" w14:textId="4A798CD9" w:rsidR="008E4296" w:rsidRDefault="008E4296" w:rsidP="00467040">
      <w:pPr>
        <w:spacing w:before="160" w:after="100" w:line="360" w:lineRule="auto"/>
        <w:jc w:val="both"/>
      </w:pPr>
      <w:r>
        <w:t xml:space="preserve">CPP: </w:t>
      </w:r>
      <w:r>
        <w:rPr>
          <w:highlight w:val="yellow"/>
        </w:rPr>
        <w:t>C</w:t>
      </w:r>
      <w:r>
        <w:t xml:space="preserve">arrot </w:t>
      </w:r>
      <w:r>
        <w:rPr>
          <w:highlight w:val="yellow"/>
        </w:rPr>
        <w:t>P</w:t>
      </w:r>
      <w:r>
        <w:t xml:space="preserve">eel </w:t>
      </w:r>
      <w:r>
        <w:rPr>
          <w:highlight w:val="yellow"/>
        </w:rPr>
        <w:t>P</w:t>
      </w:r>
      <w:r>
        <w:t>owder</w:t>
      </w:r>
    </w:p>
    <w:p w14:paraId="744513AB" w14:textId="77777777" w:rsidR="008E4296" w:rsidRDefault="008E4296" w:rsidP="00467040">
      <w:pPr>
        <w:spacing w:before="160" w:after="100" w:line="360" w:lineRule="auto"/>
        <w:jc w:val="both"/>
      </w:pPr>
    </w:p>
    <w:p w14:paraId="318FF466" w14:textId="72063C52" w:rsidR="00467040" w:rsidRDefault="00E51AD7" w:rsidP="00467040">
      <w:pPr>
        <w:spacing w:before="160" w:after="100" w:line="360" w:lineRule="auto"/>
        <w:jc w:val="both"/>
      </w:pPr>
      <w:r>
        <w:lastRenderedPageBreak/>
        <w:t xml:space="preserve">Lukewarm water was added to the dry ingredients to form a dough </w:t>
      </w:r>
      <w:r>
        <w:rPr>
          <w:highlight w:val="yellow"/>
        </w:rPr>
        <w:t>wi</w:t>
      </w:r>
      <w:r>
        <w:t>th a “workable” consistency. Th</w:t>
      </w:r>
      <w:r>
        <w:rPr>
          <w:highlight w:val="yellow"/>
        </w:rPr>
        <w:t>e</w:t>
      </w:r>
      <w:r>
        <w:t xml:space="preserve"> dough was then rolled and shaped into spoon</w:t>
      </w:r>
      <w:r>
        <w:rPr>
          <w:highlight w:val="yellow"/>
        </w:rPr>
        <w:t>s</w:t>
      </w:r>
      <w:r>
        <w:t xml:space="preserve"> and bowl</w:t>
      </w:r>
      <w:r>
        <w:rPr>
          <w:highlight w:val="yellow"/>
        </w:rPr>
        <w:t>s</w:t>
      </w:r>
      <w:r>
        <w:t xml:space="preserve"> and baked in </w:t>
      </w:r>
      <w:r>
        <w:rPr>
          <w:highlight w:val="yellow"/>
        </w:rPr>
        <w:t>a h</w:t>
      </w:r>
      <w:r>
        <w:t>ot</w:t>
      </w:r>
      <w:r>
        <w:rPr>
          <w:highlight w:val="yellow"/>
        </w:rPr>
        <w:t>-a</w:t>
      </w:r>
      <w:r>
        <w:t xml:space="preserve">ir </w:t>
      </w:r>
      <w:r>
        <w:rPr>
          <w:highlight w:val="yellow"/>
        </w:rPr>
        <w:t>o</w:t>
      </w:r>
      <w:r>
        <w:t>ven at 80°C for 8 hours. The baked cutlery w</w:t>
      </w:r>
      <w:r>
        <w:rPr>
          <w:highlight w:val="yellow"/>
        </w:rPr>
        <w:t>as</w:t>
      </w:r>
      <w:r>
        <w:t xml:space="preserve"> placed in a desiccator to cool a</w:t>
      </w:r>
      <w:r>
        <w:rPr>
          <w:highlight w:val="yellow"/>
        </w:rPr>
        <w:t>nd</w:t>
      </w:r>
      <w:r>
        <w:t xml:space="preserve"> w</w:t>
      </w:r>
      <w:r>
        <w:rPr>
          <w:highlight w:val="yellow"/>
        </w:rPr>
        <w:t>as</w:t>
      </w:r>
      <w:r>
        <w:t xml:space="preserve"> the</w:t>
      </w:r>
      <w:r>
        <w:rPr>
          <w:highlight w:val="yellow"/>
        </w:rPr>
        <w:t>n</w:t>
      </w:r>
      <w:r>
        <w:t xml:space="preserve"> </w:t>
      </w:r>
      <w:r>
        <w:rPr>
          <w:highlight w:val="yellow"/>
        </w:rPr>
        <w:t>sto</w:t>
      </w:r>
      <w:r>
        <w:t>re</w:t>
      </w:r>
      <w:r>
        <w:rPr>
          <w:highlight w:val="yellow"/>
        </w:rPr>
        <w:t>d</w:t>
      </w:r>
      <w:r>
        <w:t xml:space="preserve"> in airtight containers for subsequent analysis.</w:t>
      </w:r>
    </w:p>
    <w:p w14:paraId="7A9FB821" w14:textId="77777777" w:rsidR="00FC0977" w:rsidRDefault="00467040" w:rsidP="00FC0977">
      <w:pPr>
        <w:spacing w:before="160" w:after="100" w:line="360" w:lineRule="auto"/>
        <w:jc w:val="both"/>
      </w:pPr>
      <w:r>
        <w:t>The study by Martins et al. (2024) stated that betalains and other natural pigments are highly heat</w:t>
      </w:r>
      <w:r>
        <w:rPr>
          <w:highlight w:val="yellow"/>
        </w:rPr>
        <w:t>-</w:t>
      </w:r>
      <w:r>
        <w:t>sensitive and may degrade at high temperatures</w:t>
      </w:r>
      <w:r>
        <w:rPr>
          <w:highlight w:val="yellow"/>
        </w:rPr>
        <w:t>; therefore</w:t>
      </w:r>
      <w:r>
        <w:t xml:space="preserve">, </w:t>
      </w:r>
      <w:r>
        <w:rPr>
          <w:highlight w:val="yellow"/>
        </w:rPr>
        <w:t>u</w:t>
      </w:r>
      <w:r>
        <w:t xml:space="preserve">sing </w:t>
      </w:r>
      <w:r>
        <w:rPr>
          <w:highlight w:val="yellow"/>
        </w:rPr>
        <w:t>lowe</w:t>
      </w:r>
      <w:r>
        <w:t>r processing temperatures help</w:t>
      </w:r>
      <w:r>
        <w:rPr>
          <w:highlight w:val="yellow"/>
        </w:rPr>
        <w:t>s</w:t>
      </w:r>
      <w:r>
        <w:t xml:space="preserve"> preserve antioxidant activity and re</w:t>
      </w:r>
      <w:r>
        <w:rPr>
          <w:highlight w:val="yellow"/>
        </w:rPr>
        <w:t>duc</w:t>
      </w:r>
      <w:r>
        <w:t>e</w:t>
      </w:r>
      <w:r>
        <w:rPr>
          <w:highlight w:val="yellow"/>
        </w:rPr>
        <w:t xml:space="preserve"> pigment</w:t>
      </w:r>
      <w:r>
        <w:t xml:space="preserve"> degradation. Thus</w:t>
      </w:r>
      <w:r>
        <w:rPr>
          <w:highlight w:val="yellow"/>
        </w:rPr>
        <w:t>,</w:t>
      </w:r>
      <w:r>
        <w:t xml:space="preserve"> </w:t>
      </w:r>
      <w:r>
        <w:rPr>
          <w:highlight w:val="yellow"/>
        </w:rPr>
        <w:t>consider</w:t>
      </w:r>
      <w:r>
        <w:t>ing</w:t>
      </w:r>
      <w:r>
        <w:rPr>
          <w:highlight w:val="yellow"/>
        </w:rPr>
        <w:t xml:space="preserve"> the</w:t>
      </w:r>
      <w:r>
        <w:t xml:space="preserve"> heat sensitivity of natural pigments</w:t>
      </w:r>
      <w:r>
        <w:rPr>
          <w:highlight w:val="yellow"/>
        </w:rPr>
        <w:t>,</w:t>
      </w:r>
      <w:r>
        <w:t xml:space="preserve"> a relatively low baking temperature (80°C for 8 h) was selected to minimi</w:t>
      </w:r>
      <w:r>
        <w:rPr>
          <w:highlight w:val="yellow"/>
        </w:rPr>
        <w:t>se th</w:t>
      </w:r>
      <w:r>
        <w:t>e thermal degradation of bioactive compounds and natural pigments</w:t>
      </w:r>
      <w:r>
        <w:rPr>
          <w:highlight w:val="yellow"/>
        </w:rPr>
        <w:t>,</w:t>
      </w:r>
      <w:r>
        <w:t xml:space="preserve"> such as betalains, carotenoids, and phenolic compounds</w:t>
      </w:r>
      <w:r>
        <w:rPr>
          <w:highlight w:val="yellow"/>
        </w:rPr>
        <w:t>,</w:t>
      </w:r>
      <w:r>
        <w:t xml:space="preserve"> present in beetroot and carrot peels while achieving sufficient dehydration and structural rigidity.</w:t>
      </w:r>
    </w:p>
    <w:p w14:paraId="5C67CA57" w14:textId="77777777" w:rsidR="00FC0977" w:rsidRDefault="00FC0977" w:rsidP="00467040">
      <w:pPr>
        <w:spacing w:before="160" w:after="100" w:line="360" w:lineRule="auto"/>
        <w:jc w:val="both"/>
      </w:pPr>
    </w:p>
    <w:p w14:paraId="14CA4B4B" w14:textId="77777777" w:rsidR="00D107C1" w:rsidRDefault="00D107C1" w:rsidP="00467040">
      <w:pPr>
        <w:spacing w:before="160" w:after="100" w:line="360" w:lineRule="auto"/>
        <w:jc w:val="both"/>
      </w:pPr>
      <w:r>
        <w:rPr>
          <w:noProof/>
        </w:rPr>
        <w:drawing>
          <wp:inline distT="0" distB="0" distL="0" distR="0" wp14:anchorId="69CD4882" wp14:editId="105687DC">
            <wp:extent cx="5212080" cy="2852928"/>
            <wp:effectExtent l="0" t="57150" r="0" b="100330"/>
            <wp:docPr id="3636025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FB72E00" w14:textId="77777777" w:rsidR="00D107C1" w:rsidRDefault="00D107C1" w:rsidP="00D107C1">
      <w:pPr>
        <w:spacing w:before="160" w:after="80" w:line="360" w:lineRule="auto"/>
        <w:jc w:val="center"/>
        <w:rPr>
          <w:b/>
          <w:bCs/>
        </w:rPr>
      </w:pPr>
      <w:r>
        <w:rPr>
          <w:b/>
          <w:bCs/>
        </w:rPr>
        <w:t>Figure 1 : Flowchart of edible cutlery preparation process</w:t>
      </w:r>
    </w:p>
    <w:p w14:paraId="78AE44C9" w14:textId="77777777" w:rsidR="008E4296" w:rsidRDefault="008E4296" w:rsidP="008E4296">
      <w:pPr>
        <w:spacing w:before="160" w:after="100" w:line="360" w:lineRule="auto"/>
        <w:jc w:val="both"/>
      </w:pPr>
      <w:r>
        <w:t xml:space="preserve">BPP: </w:t>
      </w:r>
      <w:r>
        <w:rPr>
          <w:highlight w:val="yellow"/>
        </w:rPr>
        <w:t>B</w:t>
      </w:r>
      <w:r>
        <w:t xml:space="preserve">eetroot </w:t>
      </w:r>
      <w:r>
        <w:rPr>
          <w:highlight w:val="yellow"/>
        </w:rPr>
        <w:t>P</w:t>
      </w:r>
      <w:r>
        <w:t xml:space="preserve">eel </w:t>
      </w:r>
      <w:r>
        <w:rPr>
          <w:highlight w:val="yellow"/>
        </w:rPr>
        <w:t>P</w:t>
      </w:r>
      <w:r>
        <w:t>owder</w:t>
      </w:r>
    </w:p>
    <w:p w14:paraId="5091C403" w14:textId="77777777" w:rsidR="008E4296" w:rsidRDefault="008E4296" w:rsidP="008E4296">
      <w:pPr>
        <w:spacing w:before="160" w:after="100" w:line="360" w:lineRule="auto"/>
        <w:jc w:val="both"/>
      </w:pPr>
      <w:r>
        <w:t xml:space="preserve">CPP: </w:t>
      </w:r>
      <w:r>
        <w:rPr>
          <w:highlight w:val="yellow"/>
        </w:rPr>
        <w:t>C</w:t>
      </w:r>
      <w:r>
        <w:t xml:space="preserve">arrot </w:t>
      </w:r>
      <w:r>
        <w:rPr>
          <w:highlight w:val="yellow"/>
        </w:rPr>
        <w:t>P</w:t>
      </w:r>
      <w:r>
        <w:t xml:space="preserve">eel </w:t>
      </w:r>
      <w:r>
        <w:rPr>
          <w:highlight w:val="yellow"/>
        </w:rPr>
        <w:t>P</w:t>
      </w:r>
      <w:r>
        <w:t>owder</w:t>
      </w:r>
    </w:p>
    <w:p w14:paraId="7BD73106" w14:textId="77777777" w:rsidR="008E4296" w:rsidRDefault="008E4296" w:rsidP="00D107C1">
      <w:pPr>
        <w:spacing w:before="160" w:after="80" w:line="360" w:lineRule="auto"/>
        <w:jc w:val="center"/>
      </w:pPr>
    </w:p>
    <w:p w14:paraId="216C80DB" w14:textId="77777777" w:rsidR="00D107C1" w:rsidRPr="00D107C1" w:rsidRDefault="00D107C1" w:rsidP="00D107C1">
      <w:pPr>
        <w:spacing w:before="160" w:after="100" w:line="360" w:lineRule="auto"/>
      </w:pPr>
      <w:r w:rsidRPr="00D107C1">
        <w:rPr>
          <w:b/>
          <w:bCs/>
        </w:rPr>
        <w:t>2.4 Sensory Evaluation</w:t>
      </w:r>
    </w:p>
    <w:p w14:paraId="5A9816A4" w14:textId="77777777" w:rsidR="00D107C1" w:rsidRDefault="00D107C1" w:rsidP="00D107C1">
      <w:pPr>
        <w:spacing w:before="160" w:after="100" w:line="360" w:lineRule="auto"/>
        <w:jc w:val="both"/>
      </w:pPr>
      <w:r>
        <w:t xml:space="preserve">Sensory evaluation was performed by </w:t>
      </w:r>
      <w:r>
        <w:rPr>
          <w:highlight w:val="yellow"/>
        </w:rPr>
        <w:t xml:space="preserve">a </w:t>
      </w:r>
      <w:r>
        <w:t>trained and semi</w:t>
      </w:r>
      <w:r>
        <w:rPr>
          <w:highlight w:val="yellow"/>
        </w:rPr>
        <w:t>-</w:t>
      </w:r>
      <w:r>
        <w:t>trained sensory panel of 20 panel</w:t>
      </w:r>
      <w:r>
        <w:rPr>
          <w:highlight w:val="yellow"/>
        </w:rPr>
        <w:t>l</w:t>
      </w:r>
      <w:r>
        <w:t>ists (</w:t>
      </w:r>
      <w:r>
        <w:rPr>
          <w:highlight w:val="yellow"/>
        </w:rPr>
        <w:t>s</w:t>
      </w:r>
      <w:r>
        <w:t>tudents and faculty member</w:t>
      </w:r>
      <w:r>
        <w:rPr>
          <w:highlight w:val="yellow"/>
        </w:rPr>
        <w:t>s</w:t>
      </w:r>
      <w:r>
        <w:t xml:space="preserve"> from the Department of Food Science and Nutrition, BBAU, Lucknow, Uttar Pradesh) </w:t>
      </w:r>
      <w:r>
        <w:rPr>
          <w:highlight w:val="yellow"/>
        </w:rPr>
        <w:t>us</w:t>
      </w:r>
      <w:r>
        <w:t>i</w:t>
      </w:r>
      <w:r>
        <w:rPr>
          <w:highlight w:val="yellow"/>
        </w:rPr>
        <w:t>ng</w:t>
      </w:r>
      <w:r>
        <w:t xml:space="preserve"> a 9-point hedonic scale (1 = dislike extremely, 9 = like extremely). Colo</w:t>
      </w:r>
      <w:r>
        <w:rPr>
          <w:highlight w:val="yellow"/>
        </w:rPr>
        <w:t>u</w:t>
      </w:r>
      <w:r>
        <w:t>r, appearance, texture, taste, aroma</w:t>
      </w:r>
      <w:r>
        <w:rPr>
          <w:highlight w:val="yellow"/>
        </w:rPr>
        <w:t>,</w:t>
      </w:r>
      <w:r>
        <w:t xml:space="preserve"> and overall acceptability </w:t>
      </w:r>
      <w:r>
        <w:rPr>
          <w:highlight w:val="yellow"/>
        </w:rPr>
        <w:t>we</w:t>
      </w:r>
      <w:r>
        <w:t>re evaluated. Before evaluati</w:t>
      </w:r>
      <w:r>
        <w:rPr>
          <w:highlight w:val="yellow"/>
        </w:rPr>
        <w:t>o</w:t>
      </w:r>
      <w:r>
        <w:t>n, e</w:t>
      </w:r>
      <w:r>
        <w:rPr>
          <w:highlight w:val="yellow"/>
        </w:rPr>
        <w:t>ach</w:t>
      </w:r>
      <w:r>
        <w:t xml:space="preserve"> formulation was coded with a random code </w:t>
      </w:r>
      <w:r>
        <w:rPr>
          <w:highlight w:val="yellow"/>
        </w:rPr>
        <w:t>(</w:t>
      </w:r>
      <w:r>
        <w:t xml:space="preserve">A, B, </w:t>
      </w:r>
      <w:r>
        <w:rPr>
          <w:highlight w:val="yellow"/>
        </w:rPr>
        <w:t xml:space="preserve">or </w:t>
      </w:r>
      <w:r>
        <w:t>C</w:t>
      </w:r>
      <w:r>
        <w:rPr>
          <w:highlight w:val="yellow"/>
        </w:rPr>
        <w:t>)</w:t>
      </w:r>
      <w:r>
        <w:t xml:space="preserve"> and </w:t>
      </w:r>
      <w:r>
        <w:rPr>
          <w:highlight w:val="yellow"/>
        </w:rPr>
        <w:t>pr</w:t>
      </w:r>
      <w:r>
        <w:t>e</w:t>
      </w:r>
      <w:r>
        <w:rPr>
          <w:highlight w:val="yellow"/>
        </w:rPr>
        <w:t>sent</w:t>
      </w:r>
      <w:r>
        <w:t xml:space="preserve">ed to </w:t>
      </w:r>
      <w:r>
        <w:rPr>
          <w:highlight w:val="yellow"/>
        </w:rPr>
        <w:t xml:space="preserve">the </w:t>
      </w:r>
      <w:r>
        <w:t>pane</w:t>
      </w:r>
      <w:r>
        <w:rPr>
          <w:highlight w:val="yellow"/>
        </w:rPr>
        <w:t>l</w:t>
      </w:r>
      <w:r>
        <w:t>lists in random order. The pane</w:t>
      </w:r>
      <w:r>
        <w:rPr>
          <w:highlight w:val="yellow"/>
        </w:rPr>
        <w:t>l</w:t>
      </w:r>
      <w:r>
        <w:t>lists were asked to rinse their mouths with water between sample</w:t>
      </w:r>
      <w:r>
        <w:rPr>
          <w:highlight w:val="yellow"/>
        </w:rPr>
        <w:t>s</w:t>
      </w:r>
      <w:r>
        <w:t xml:space="preserve">. </w:t>
      </w:r>
      <w:r>
        <w:rPr>
          <w:highlight w:val="yellow"/>
        </w:rPr>
        <w:t>A f</w:t>
      </w:r>
      <w:r>
        <w:t>urther test o</w:t>
      </w:r>
      <w:r>
        <w:rPr>
          <w:highlight w:val="yellow"/>
        </w:rPr>
        <w:t>f</w:t>
      </w:r>
      <w:r>
        <w:t xml:space="preserve"> migration propert</w:t>
      </w:r>
      <w:r>
        <w:rPr>
          <w:highlight w:val="yellow"/>
        </w:rPr>
        <w:t>ies</w:t>
      </w:r>
      <w:r>
        <w:t xml:space="preserve"> (colour, flavour</w:t>
      </w:r>
      <w:r>
        <w:rPr>
          <w:highlight w:val="yellow"/>
        </w:rPr>
        <w:t>,</w:t>
      </w:r>
      <w:r>
        <w:t xml:space="preserve"> etc.) was conducted </w:t>
      </w:r>
      <w:r>
        <w:rPr>
          <w:highlight w:val="yellow"/>
        </w:rPr>
        <w:t>us</w:t>
      </w:r>
      <w:r>
        <w:t>i</w:t>
      </w:r>
      <w:r>
        <w:rPr>
          <w:highlight w:val="yellow"/>
        </w:rPr>
        <w:t>ng</w:t>
      </w:r>
      <w:r>
        <w:t xml:space="preserve"> strawberry yoghurt of a known </w:t>
      </w:r>
      <w:r>
        <w:rPr>
          <w:highlight w:val="yellow"/>
        </w:rPr>
        <w:t xml:space="preserve">commercial </w:t>
      </w:r>
      <w:r>
        <w:t xml:space="preserve">brand </w:t>
      </w:r>
      <w:r>
        <w:rPr>
          <w:highlight w:val="yellow"/>
        </w:rPr>
        <w:t>as</w:t>
      </w:r>
      <w:r>
        <w:t xml:space="preserve"> the test food. The formulation with</w:t>
      </w:r>
      <w:r>
        <w:rPr>
          <w:highlight w:val="yellow"/>
        </w:rPr>
        <w:t xml:space="preserve"> the</w:t>
      </w:r>
      <w:r>
        <w:t xml:space="preserve"> best overall acceptability score was </w:t>
      </w:r>
      <w:r>
        <w:rPr>
          <w:highlight w:val="yellow"/>
        </w:rPr>
        <w:t>sele</w:t>
      </w:r>
      <w:r>
        <w:t>c</w:t>
      </w:r>
      <w:r>
        <w:rPr>
          <w:highlight w:val="yellow"/>
        </w:rPr>
        <w:t>t</w:t>
      </w:r>
      <w:r>
        <w:t>ed for further evaluation.</w:t>
      </w:r>
    </w:p>
    <w:p w14:paraId="17A97D8D" w14:textId="77777777" w:rsidR="00D107C1" w:rsidRPr="00D107C1" w:rsidRDefault="00D107C1" w:rsidP="00D107C1">
      <w:pPr>
        <w:spacing w:before="160" w:after="100" w:line="360" w:lineRule="auto"/>
        <w:jc w:val="both"/>
      </w:pPr>
      <w:r w:rsidRPr="00D107C1">
        <w:rPr>
          <w:b/>
          <w:bCs/>
        </w:rPr>
        <w:lastRenderedPageBreak/>
        <w:t>2.5 Physical Characterization</w:t>
      </w:r>
    </w:p>
    <w:p w14:paraId="5C425A3F" w14:textId="77777777" w:rsidR="00D107C1" w:rsidRPr="00D107C1" w:rsidRDefault="00D107C1" w:rsidP="00D107C1">
      <w:pPr>
        <w:spacing w:before="160" w:after="100" w:line="360" w:lineRule="auto"/>
        <w:jc w:val="both"/>
      </w:pPr>
      <w:r>
        <w:t>The optimi</w:t>
      </w:r>
      <w:r>
        <w:rPr>
          <w:highlight w:val="yellow"/>
        </w:rPr>
        <w:t>s</w:t>
      </w:r>
      <w:r>
        <w:t xml:space="preserve">ed cutlery was measured for dimensional parameters </w:t>
      </w:r>
      <w:r>
        <w:rPr>
          <w:highlight w:val="yellow"/>
        </w:rPr>
        <w:t>us</w:t>
      </w:r>
      <w:r>
        <w:t>i</w:t>
      </w:r>
      <w:r>
        <w:rPr>
          <w:highlight w:val="yellow"/>
        </w:rPr>
        <w:t>ng</w:t>
      </w:r>
      <w:r>
        <w:t xml:space="preserve"> a digital vernier ca</w:t>
      </w:r>
      <w:r>
        <w:rPr>
          <w:highlight w:val="yellow"/>
        </w:rPr>
        <w:t>l</w:t>
      </w:r>
      <w:r>
        <w:t>liper. The characteristics measured were th</w:t>
      </w:r>
      <w:r>
        <w:rPr>
          <w:highlight w:val="yellow"/>
        </w:rPr>
        <w:t>e th</w:t>
      </w:r>
      <w:r>
        <w:t>ickness of</w:t>
      </w:r>
      <w:r>
        <w:rPr>
          <w:highlight w:val="yellow"/>
        </w:rPr>
        <w:t xml:space="preserve"> the</w:t>
      </w:r>
      <w:r>
        <w:t xml:space="preserve"> lower part of</w:t>
      </w:r>
      <w:r>
        <w:rPr>
          <w:highlight w:val="yellow"/>
        </w:rPr>
        <w:t xml:space="preserve"> the</w:t>
      </w:r>
      <w:r>
        <w:t xml:space="preserve"> spoon handle, middle</w:t>
      </w:r>
      <w:r>
        <w:rPr>
          <w:highlight w:val="yellow"/>
        </w:rPr>
        <w:t>-</w:t>
      </w:r>
      <w:r>
        <w:t>portion thickness, neck</w:t>
      </w:r>
      <w:r>
        <w:rPr>
          <w:highlight w:val="yellow"/>
        </w:rPr>
        <w:t>-</w:t>
      </w:r>
      <w:r>
        <w:t xml:space="preserve">region thickness, depth of the spoon bowl, thickness of the spoon head, length, width, </w:t>
      </w:r>
      <w:r>
        <w:rPr>
          <w:highlight w:val="yellow"/>
        </w:rPr>
        <w:t xml:space="preserve">bowl </w:t>
      </w:r>
      <w:r>
        <w:t>diameter</w:t>
      </w:r>
      <w:r>
        <w:rPr>
          <w:highlight w:val="yellow"/>
        </w:rPr>
        <w:t>,</w:t>
      </w:r>
      <w:r>
        <w:t xml:space="preserve"> bowl thickness</w:t>
      </w:r>
      <w:r>
        <w:rPr>
          <w:highlight w:val="yellow"/>
        </w:rPr>
        <w:t>,</w:t>
      </w:r>
      <w:r>
        <w:t xml:space="preserve"> and weight. </w:t>
      </w:r>
      <w:r>
        <w:rPr>
          <w:highlight w:val="yellow"/>
        </w:rPr>
        <w:t>M</w:t>
      </w:r>
      <w:r>
        <w:t xml:space="preserve">easurements were repeated 2-3 times for each parameter and are expressed as mean </w:t>
      </w:r>
      <w:r>
        <w:rPr>
          <w:highlight w:val="yellow"/>
        </w:rPr>
        <w:t xml:space="preserve">± </w:t>
      </w:r>
      <w:r>
        <w:t xml:space="preserve">standard deviation (SD). Three measurements were taken </w:t>
      </w:r>
      <w:r>
        <w:rPr>
          <w:highlight w:val="yellow"/>
        </w:rPr>
        <w:t>t</w:t>
      </w:r>
      <w:r>
        <w:t xml:space="preserve">o </w:t>
      </w:r>
      <w:r>
        <w:rPr>
          <w:highlight w:val="yellow"/>
        </w:rPr>
        <w:t>de</w:t>
      </w:r>
      <w:r>
        <w:t>te</w:t>
      </w:r>
      <w:r>
        <w:rPr>
          <w:highlight w:val="yellow"/>
        </w:rPr>
        <w:t>rm</w:t>
      </w:r>
      <w:r>
        <w:t>in</w:t>
      </w:r>
      <w:r>
        <w:rPr>
          <w:highlight w:val="yellow"/>
        </w:rPr>
        <w:t>e</w:t>
      </w:r>
      <w:r>
        <w:t xml:space="preserve"> pH </w:t>
      </w:r>
      <w:r>
        <w:rPr>
          <w:highlight w:val="yellow"/>
        </w:rPr>
        <w:t>us</w:t>
      </w:r>
      <w:r>
        <w:t>i</w:t>
      </w:r>
      <w:r>
        <w:rPr>
          <w:highlight w:val="yellow"/>
        </w:rPr>
        <w:t>ng</w:t>
      </w:r>
      <w:r>
        <w:t xml:space="preserve"> a 10% aqueous suspension of ground spoon powder at room temperature </w:t>
      </w:r>
      <w:r>
        <w:rPr>
          <w:highlight w:val="yellow"/>
        </w:rPr>
        <w:t>and</w:t>
      </w:r>
      <w:r>
        <w:t xml:space="preserve"> a calibrated digital pH meter (pH range 0 to 14) with a resolution of 0.01. Colorimetric analysis was carried out </w:t>
      </w:r>
      <w:r>
        <w:rPr>
          <w:highlight w:val="yellow"/>
        </w:rPr>
        <w:t>us</w:t>
      </w:r>
      <w:r>
        <w:t>i</w:t>
      </w:r>
      <w:r>
        <w:rPr>
          <w:highlight w:val="yellow"/>
        </w:rPr>
        <w:t>ng a</w:t>
      </w:r>
      <w:r>
        <w:t xml:space="preserve"> colorimeter (Hunter</w:t>
      </w:r>
      <w:r>
        <w:rPr>
          <w:highlight w:val="yellow"/>
        </w:rPr>
        <w:t>L</w:t>
      </w:r>
      <w:r>
        <w:t>ab, USA)</w:t>
      </w:r>
      <w:r>
        <w:rPr>
          <w:highlight w:val="yellow"/>
        </w:rPr>
        <w:t>,</w:t>
      </w:r>
      <w:r>
        <w:t xml:space="preserve"> which </w:t>
      </w:r>
      <w:r>
        <w:rPr>
          <w:highlight w:val="yellow"/>
        </w:rPr>
        <w:t>prov</w:t>
      </w:r>
      <w:r>
        <w:t>i</w:t>
      </w:r>
      <w:r>
        <w:rPr>
          <w:highlight w:val="yellow"/>
        </w:rPr>
        <w:t>d</w:t>
      </w:r>
      <w:r>
        <w:t>e</w:t>
      </w:r>
      <w:r>
        <w:rPr>
          <w:highlight w:val="yellow"/>
        </w:rPr>
        <w:t>d</w:t>
      </w:r>
      <w:r>
        <w:t xml:space="preserve"> CIE L* (lightness), a* (red-green)</w:t>
      </w:r>
      <w:r>
        <w:rPr>
          <w:highlight w:val="yellow"/>
        </w:rPr>
        <w:t>,</w:t>
      </w:r>
      <w:r>
        <w:t xml:space="preserve"> and b* (yellow-blue) values on the surface of the spoon.</w:t>
      </w:r>
    </w:p>
    <w:p w14:paraId="788CFC6C" w14:textId="77777777" w:rsidR="00D107C1" w:rsidRPr="00D107C1" w:rsidRDefault="00D107C1" w:rsidP="00D107C1">
      <w:pPr>
        <w:spacing w:before="160" w:after="100" w:line="360" w:lineRule="auto"/>
        <w:jc w:val="both"/>
      </w:pPr>
      <w:r w:rsidRPr="00D107C1">
        <w:rPr>
          <w:b/>
          <w:bCs/>
        </w:rPr>
        <w:t>2.6 Functional Properties</w:t>
      </w:r>
    </w:p>
    <w:p w14:paraId="53BCBDC2" w14:textId="77777777" w:rsidR="00D107C1" w:rsidRPr="00D107C1" w:rsidRDefault="00D107C1" w:rsidP="00D107C1">
      <w:pPr>
        <w:spacing w:before="160" w:after="100" w:line="360" w:lineRule="auto"/>
        <w:jc w:val="both"/>
      </w:pPr>
      <w:r>
        <w:t>Water</w:t>
      </w:r>
      <w:r>
        <w:rPr>
          <w:highlight w:val="yellow"/>
        </w:rPr>
        <w:t>-</w:t>
      </w:r>
      <w:r>
        <w:t xml:space="preserve">holding capacity (WHC) was measured using the technique of Sosulski </w:t>
      </w:r>
      <w:r>
        <w:rPr>
          <w:highlight w:val="yellow"/>
        </w:rPr>
        <w:t>and</w:t>
      </w:r>
      <w:r>
        <w:t xml:space="preserve"> </w:t>
      </w:r>
      <w:r>
        <w:rPr>
          <w:highlight w:val="yellow"/>
        </w:rPr>
        <w:t>McCurdy</w:t>
      </w:r>
      <w:r>
        <w:t xml:space="preserve"> (1987). Each sample was ground and then vortexed in 10 mL</w:t>
      </w:r>
      <w:r>
        <w:rPr>
          <w:highlight w:val="yellow"/>
        </w:rPr>
        <w:t xml:space="preserve"> of</w:t>
      </w:r>
      <w:r>
        <w:t xml:space="preserve"> distilled water </w:t>
      </w:r>
      <w:r>
        <w:rPr>
          <w:highlight w:val="yellow"/>
        </w:rPr>
        <w:t xml:space="preserve">for </w:t>
      </w:r>
      <w:r>
        <w:t>1 minute</w:t>
      </w:r>
      <w:r>
        <w:rPr>
          <w:highlight w:val="yellow"/>
        </w:rPr>
        <w:t>,</w:t>
      </w:r>
      <w:r>
        <w:t xml:space="preserve"> followed by centrifugation at 3000 rpm for 30 minutes. </w:t>
      </w:r>
      <w:r>
        <w:rPr>
          <w:highlight w:val="yellow"/>
        </w:rPr>
        <w:t>The s</w:t>
      </w:r>
      <w:r>
        <w:t>upernatant was removed</w:t>
      </w:r>
      <w:r>
        <w:rPr>
          <w:highlight w:val="yellow"/>
        </w:rPr>
        <w:t>,</w:t>
      </w:r>
      <w:r>
        <w:t xml:space="preserve"> and the weight of the sediment was measured. WHC was calculated as</w:t>
      </w:r>
      <w:r>
        <w:rPr>
          <w:highlight w:val="yellow"/>
        </w:rPr>
        <w:t xml:space="preserve"> the</w:t>
      </w:r>
      <w:r>
        <w:t xml:space="preserve"> percentage of water retained </w:t>
      </w:r>
      <w:r>
        <w:rPr>
          <w:highlight w:val="yellow"/>
        </w:rPr>
        <w:t>p</w:t>
      </w:r>
      <w:r>
        <w:t>e</w:t>
      </w:r>
      <w:r>
        <w:rPr>
          <w:highlight w:val="yellow"/>
        </w:rPr>
        <w:t>r</w:t>
      </w:r>
      <w:r>
        <w:t xml:space="preserve"> unit weight of the sample. Oil</w:t>
      </w:r>
      <w:r>
        <w:rPr>
          <w:highlight w:val="yellow"/>
        </w:rPr>
        <w:t>-</w:t>
      </w:r>
      <w:r>
        <w:t xml:space="preserve">holding capacity (OHC) was determined in the same </w:t>
      </w:r>
      <w:r>
        <w:rPr>
          <w:highlight w:val="yellow"/>
        </w:rPr>
        <w:t>m</w:t>
      </w:r>
      <w:r>
        <w:t>a</w:t>
      </w:r>
      <w:r>
        <w:rPr>
          <w:highlight w:val="yellow"/>
        </w:rPr>
        <w:t>nner</w:t>
      </w:r>
      <w:r>
        <w:t xml:space="preserve"> </w:t>
      </w:r>
      <w:r>
        <w:rPr>
          <w:highlight w:val="yellow"/>
        </w:rPr>
        <w:t>us</w:t>
      </w:r>
      <w:r>
        <w:t>i</w:t>
      </w:r>
      <w:r>
        <w:rPr>
          <w:highlight w:val="yellow"/>
        </w:rPr>
        <w:t>ng</w:t>
      </w:r>
      <w:r>
        <w:t xml:space="preserve"> refined sunflower oil instead of water.</w:t>
      </w:r>
    </w:p>
    <w:p w14:paraId="0AC8A581" w14:textId="77777777" w:rsidR="00D107C1" w:rsidRPr="00D107C1" w:rsidRDefault="00D107C1" w:rsidP="00D107C1">
      <w:pPr>
        <w:spacing w:before="160" w:after="100" w:line="360" w:lineRule="auto"/>
        <w:jc w:val="both"/>
      </w:pPr>
      <w:r w:rsidRPr="00D107C1">
        <w:rPr>
          <w:b/>
          <w:bCs/>
        </w:rPr>
        <w:t>2.7 Proximate Composition Analysis</w:t>
      </w:r>
    </w:p>
    <w:p w14:paraId="4E81FA2A" w14:textId="1FDDB073" w:rsidR="00803A41" w:rsidRDefault="00D107C1" w:rsidP="00803A41">
      <w:pPr>
        <w:spacing w:before="160" w:after="100" w:line="360" w:lineRule="auto"/>
        <w:jc w:val="both"/>
      </w:pPr>
      <w:r>
        <w:t>Proximate composition was determined according to AOAC International official methods (</w:t>
      </w:r>
      <w:r w:rsidR="00CA32B4" w:rsidRPr="00CA32B4">
        <w:t>Latimer</w:t>
      </w:r>
      <w:r>
        <w:t>, 2019).</w:t>
      </w:r>
      <w:r>
        <w:rPr>
          <w:b/>
          <w:bCs/>
        </w:rPr>
        <w:t xml:space="preserve"> </w:t>
      </w:r>
      <w:r>
        <w:t xml:space="preserve">Moisture content was </w:t>
      </w:r>
      <w:r>
        <w:rPr>
          <w:highlight w:val="yellow"/>
        </w:rPr>
        <w:t>de</w:t>
      </w:r>
      <w:r>
        <w:t>t</w:t>
      </w:r>
      <w:r>
        <w:rPr>
          <w:highlight w:val="yellow"/>
        </w:rPr>
        <w:t>ermin</w:t>
      </w:r>
      <w:r>
        <w:t>ed by drying t</w:t>
      </w:r>
      <w:r>
        <w:rPr>
          <w:highlight w:val="yellow"/>
        </w:rPr>
        <w:t>he sample</w:t>
      </w:r>
      <w:r>
        <w:t xml:space="preserve"> at 105°C in a hot</w:t>
      </w:r>
      <w:r>
        <w:rPr>
          <w:highlight w:val="yellow"/>
        </w:rPr>
        <w:t>-</w:t>
      </w:r>
      <w:r>
        <w:t xml:space="preserve">air oven to a constant weight. Crude protein was determined </w:t>
      </w:r>
      <w:r>
        <w:rPr>
          <w:highlight w:val="yellow"/>
        </w:rPr>
        <w:t>using the</w:t>
      </w:r>
      <w:r>
        <w:t xml:space="preserve"> Kjeldahl method </w:t>
      </w:r>
      <w:r>
        <w:rPr>
          <w:highlight w:val="yellow"/>
        </w:rPr>
        <w:t>wi</w:t>
      </w:r>
      <w:r>
        <w:t>t</w:t>
      </w:r>
      <w:r>
        <w:rPr>
          <w:highlight w:val="yellow"/>
        </w:rPr>
        <w:t>h a convers</w:t>
      </w:r>
      <w:r>
        <w:t>i</w:t>
      </w:r>
      <w:r>
        <w:rPr>
          <w:highlight w:val="yellow"/>
        </w:rPr>
        <w:t>on</w:t>
      </w:r>
      <w:r>
        <w:t xml:space="preserve"> factor</w:t>
      </w:r>
      <w:r>
        <w:rPr>
          <w:highlight w:val="yellow"/>
        </w:rPr>
        <w:t xml:space="preserve"> of</w:t>
      </w:r>
      <w:r>
        <w:t xml:space="preserve"> 6.25. Crude fat was extracted using petroleum ether (40-60°C) in</w:t>
      </w:r>
      <w:r>
        <w:rPr>
          <w:highlight w:val="yellow"/>
        </w:rPr>
        <w:t xml:space="preserve"> a</w:t>
      </w:r>
      <w:r>
        <w:t xml:space="preserve"> Soxhlet apparatus. Crude fibre was analysed using sequential acid-alkali digestion. Ash content was determined by incinerati</w:t>
      </w:r>
      <w:r>
        <w:rPr>
          <w:highlight w:val="yellow"/>
        </w:rPr>
        <w:t>o</w:t>
      </w:r>
      <w:r>
        <w:t>n in a muffle furnace at 550°C for 5 hours. Carbohydrate content was determined by</w:t>
      </w:r>
      <w:r>
        <w:rPr>
          <w:highlight w:val="yellow"/>
        </w:rPr>
        <w:t xml:space="preserve"> the</w:t>
      </w:r>
      <w:r>
        <w:t xml:space="preserve"> difference method: 100 – (moisture + protein + fat + crude fibre + ash). Atwater factors (4 kcal/g </w:t>
      </w:r>
      <w:r>
        <w:rPr>
          <w:highlight w:val="yellow"/>
        </w:rPr>
        <w:t xml:space="preserve">for </w:t>
      </w:r>
      <w:r>
        <w:t>protein, 9 kcal/g f</w:t>
      </w:r>
      <w:r>
        <w:rPr>
          <w:highlight w:val="yellow"/>
        </w:rPr>
        <w:t>or f</w:t>
      </w:r>
      <w:r>
        <w:t>at</w:t>
      </w:r>
      <w:r>
        <w:rPr>
          <w:highlight w:val="yellow"/>
        </w:rPr>
        <w:t>,</w:t>
      </w:r>
      <w:r>
        <w:t xml:space="preserve"> and 4 kcal/g</w:t>
      </w:r>
      <w:r>
        <w:rPr>
          <w:highlight w:val="yellow"/>
        </w:rPr>
        <w:t xml:space="preserve"> for</w:t>
      </w:r>
      <w:r>
        <w:t xml:space="preserve"> carbohydrate) were used to </w:t>
      </w:r>
      <w:r>
        <w:rPr>
          <w:highlight w:val="yellow"/>
        </w:rPr>
        <w:t>calcula</w:t>
      </w:r>
      <w:r>
        <w:t>te energy.</w:t>
      </w:r>
    </w:p>
    <w:p w14:paraId="6B66EEDA" w14:textId="77777777" w:rsidR="00803A41" w:rsidRDefault="00803A41" w:rsidP="00803A41">
      <w:pPr>
        <w:spacing w:before="160" w:after="100" w:line="360" w:lineRule="auto"/>
        <w:jc w:val="both"/>
      </w:pPr>
      <w:r w:rsidRPr="00D107C1">
        <w:rPr>
          <w:b/>
          <w:bCs/>
        </w:rPr>
        <w:t>2.</w:t>
      </w:r>
      <w:r>
        <w:rPr>
          <w:b/>
          <w:bCs/>
        </w:rPr>
        <w:t>8</w:t>
      </w:r>
      <w:r w:rsidRPr="00D107C1">
        <w:rPr>
          <w:b/>
          <w:bCs/>
        </w:rPr>
        <w:t xml:space="preserve"> </w:t>
      </w:r>
      <w:r>
        <w:rPr>
          <w:b/>
          <w:bCs/>
        </w:rPr>
        <w:t>Total Phenolic Content (TPC) and Antioxidant Activity</w:t>
      </w:r>
    </w:p>
    <w:p w14:paraId="66E619FA" w14:textId="77777777" w:rsidR="00D107C1" w:rsidRPr="00D107C1" w:rsidRDefault="00D107C1" w:rsidP="00803A41">
      <w:pPr>
        <w:spacing w:before="160" w:after="100" w:line="360" w:lineRule="auto"/>
        <w:jc w:val="both"/>
      </w:pPr>
      <w:r>
        <w:br/>
        <w:t xml:space="preserve">The total phenolic content (TPC) was measured </w:t>
      </w:r>
      <w:r>
        <w:rPr>
          <w:highlight w:val="yellow"/>
        </w:rPr>
        <w:t>using the</w:t>
      </w:r>
      <w:r>
        <w:t xml:space="preserve"> Folin-Ciocalteu colorimetric assay (Singleton &amp; Rossi, 1965). </w:t>
      </w:r>
      <w:r>
        <w:rPr>
          <w:highlight w:val="yellow"/>
        </w:rPr>
        <w:t>The procedure</w:t>
      </w:r>
      <w:r>
        <w:t xml:space="preserve"> in</w:t>
      </w:r>
      <w:r>
        <w:rPr>
          <w:highlight w:val="yellow"/>
        </w:rPr>
        <w:t>vo</w:t>
      </w:r>
      <w:r>
        <w:t>l</w:t>
      </w:r>
      <w:r>
        <w:rPr>
          <w:highlight w:val="yellow"/>
        </w:rPr>
        <w:t>ve</w:t>
      </w:r>
      <w:r>
        <w:t xml:space="preserve">d preparing an ethanol extract (80% v/v) of a ground spoon sample, </w:t>
      </w:r>
      <w:r>
        <w:rPr>
          <w:highlight w:val="yellow"/>
        </w:rPr>
        <w:t xml:space="preserve">followed by </w:t>
      </w:r>
      <w:r>
        <w:t>the add</w:t>
      </w:r>
      <w:r>
        <w:rPr>
          <w:highlight w:val="yellow"/>
        </w:rPr>
        <w:t>ition</w:t>
      </w:r>
      <w:r>
        <w:t xml:space="preserve"> </w:t>
      </w:r>
      <w:r>
        <w:rPr>
          <w:highlight w:val="yellow"/>
        </w:rPr>
        <w:t>of</w:t>
      </w:r>
      <w:r>
        <w:t xml:space="preserve"> Folin-Ciocalteu reagent and sodium carbonate solution. Absorbance was </w:t>
      </w:r>
      <w:r>
        <w:rPr>
          <w:highlight w:val="yellow"/>
        </w:rPr>
        <w:t>me</w:t>
      </w:r>
      <w:r>
        <w:t>a</w:t>
      </w:r>
      <w:r>
        <w:rPr>
          <w:highlight w:val="yellow"/>
        </w:rPr>
        <w:t>sur</w:t>
      </w:r>
      <w:r>
        <w:t>e</w:t>
      </w:r>
      <w:r>
        <w:rPr>
          <w:highlight w:val="yellow"/>
        </w:rPr>
        <w:t>d</w:t>
      </w:r>
      <w:r>
        <w:t xml:space="preserve"> at 765 nm</w:t>
      </w:r>
      <w:r>
        <w:rPr>
          <w:highlight w:val="yellow"/>
        </w:rPr>
        <w:t>,</w:t>
      </w:r>
      <w:r>
        <w:t xml:space="preserve"> and TPC was expressed as milligrams of gallic acid equivalent per gram of sample (mg GAE/g). </w:t>
      </w:r>
      <w:r>
        <w:rPr>
          <w:highlight w:val="yellow"/>
        </w:rPr>
        <w:t>A</w:t>
      </w:r>
      <w:r>
        <w:t xml:space="preserve">ntioxidant activity was determined </w:t>
      </w:r>
      <w:r>
        <w:rPr>
          <w:highlight w:val="yellow"/>
        </w:rPr>
        <w:t>using the</w:t>
      </w:r>
      <w:r>
        <w:t xml:space="preserve"> DPPH (2,2-diphenyl-1-picrylhydrazyl) free</w:t>
      </w:r>
      <w:r>
        <w:rPr>
          <w:highlight w:val="yellow"/>
        </w:rPr>
        <w:t>-</w:t>
      </w:r>
      <w:r>
        <w:t>radical scavenging assay</w:t>
      </w:r>
      <w:r>
        <w:rPr>
          <w:highlight w:val="yellow"/>
        </w:rPr>
        <w:t>,</w:t>
      </w:r>
      <w:r>
        <w:t xml:space="preserve"> as reported by Brand-Williams et al. (1995). The ethanolic extract was mixed with a 0.1 mM DPPH solution </w:t>
      </w:r>
      <w:r>
        <w:rPr>
          <w:highlight w:val="yellow"/>
        </w:rPr>
        <w:t xml:space="preserve">and kept </w:t>
      </w:r>
      <w:r>
        <w:t>in the dark for 30 minutes</w:t>
      </w:r>
      <w:r>
        <w:rPr>
          <w:highlight w:val="yellow"/>
        </w:rPr>
        <w:t>,</w:t>
      </w:r>
      <w:r>
        <w:t xml:space="preserve"> after which absorbance at 517 nm was </w:t>
      </w:r>
      <w:r>
        <w:rPr>
          <w:highlight w:val="yellow"/>
        </w:rPr>
        <w:t>me</w:t>
      </w:r>
      <w:r>
        <w:t>a</w:t>
      </w:r>
      <w:r>
        <w:rPr>
          <w:highlight w:val="yellow"/>
        </w:rPr>
        <w:t>sur</w:t>
      </w:r>
      <w:r>
        <w:t>e</w:t>
      </w:r>
      <w:r>
        <w:rPr>
          <w:highlight w:val="yellow"/>
        </w:rPr>
        <w:t>d</w:t>
      </w:r>
      <w:r>
        <w:t xml:space="preserve"> using </w:t>
      </w:r>
      <w:r>
        <w:rPr>
          <w:highlight w:val="yellow"/>
        </w:rPr>
        <w:t xml:space="preserve">a </w:t>
      </w:r>
      <w:r>
        <w:t>double</w:t>
      </w:r>
      <w:r>
        <w:rPr>
          <w:highlight w:val="yellow"/>
        </w:rPr>
        <w:t>-</w:t>
      </w:r>
      <w:r>
        <w:t>beam UV-Vis spectrophotometer.</w:t>
      </w:r>
    </w:p>
    <w:p w14:paraId="247F8488" w14:textId="77777777" w:rsidR="00D107C1" w:rsidRPr="00D107C1" w:rsidRDefault="00D107C1" w:rsidP="00D107C1">
      <w:pPr>
        <w:spacing w:before="160" w:after="100" w:line="360" w:lineRule="auto"/>
        <w:jc w:val="both"/>
      </w:pPr>
      <w:r w:rsidRPr="00D107C1">
        <w:t>Percentage inhibition was calculated as:</w:t>
      </w:r>
    </w:p>
    <w:p w14:paraId="4B0C20C9" w14:textId="77777777" w:rsidR="00D107C1" w:rsidRPr="00D107C1" w:rsidRDefault="00D107C1" w:rsidP="00D107C1">
      <w:pPr>
        <w:spacing w:before="160" w:after="100" w:line="360" w:lineRule="auto"/>
        <w:jc w:val="both"/>
      </w:pPr>
      <w:r w:rsidRPr="00D107C1">
        <w:t xml:space="preserve"> % Inhibition = [(A</w:t>
      </w:r>
      <w:r w:rsidRPr="00D107C1">
        <w:rPr>
          <w:vertAlign w:val="subscript"/>
        </w:rPr>
        <w:t>control</w:t>
      </w:r>
      <w:r w:rsidRPr="00D107C1">
        <w:t xml:space="preserve"> − A</w:t>
      </w:r>
      <w:r w:rsidRPr="00D107C1">
        <w:rPr>
          <w:vertAlign w:val="subscript"/>
        </w:rPr>
        <w:t>sample</w:t>
      </w:r>
      <w:r w:rsidRPr="00D107C1">
        <w:t>) / A</w:t>
      </w:r>
      <w:r w:rsidRPr="00D107C1">
        <w:rPr>
          <w:vertAlign w:val="subscript"/>
        </w:rPr>
        <w:t>control</w:t>
      </w:r>
      <w:r w:rsidRPr="00D107C1">
        <w:t>] × 100</w:t>
      </w:r>
    </w:p>
    <w:p w14:paraId="2B528E85" w14:textId="77777777" w:rsidR="00D107C1" w:rsidRPr="00D107C1" w:rsidRDefault="00D107C1" w:rsidP="00D107C1">
      <w:pPr>
        <w:spacing w:before="160" w:after="100" w:line="360" w:lineRule="auto"/>
        <w:jc w:val="both"/>
      </w:pPr>
      <w:r w:rsidRPr="00D107C1">
        <w:t>Where</w:t>
      </w:r>
    </w:p>
    <w:p w14:paraId="19325372" w14:textId="77777777" w:rsidR="00D107C1" w:rsidRPr="00D107C1" w:rsidRDefault="00D107C1" w:rsidP="00D107C1">
      <w:pPr>
        <w:spacing w:before="160" w:after="100" w:line="360" w:lineRule="auto"/>
        <w:jc w:val="both"/>
      </w:pPr>
      <w:r w:rsidRPr="00D107C1">
        <w:lastRenderedPageBreak/>
        <w:t>A</w:t>
      </w:r>
      <w:r w:rsidRPr="00D107C1">
        <w:rPr>
          <w:vertAlign w:val="subscript"/>
        </w:rPr>
        <w:t>control</w:t>
      </w:r>
      <w:r w:rsidRPr="00D107C1">
        <w:t xml:space="preserve"> = 0.80 and A</w:t>
      </w:r>
      <w:r w:rsidRPr="00D107C1">
        <w:rPr>
          <w:vertAlign w:val="subscript"/>
        </w:rPr>
        <w:t>sample</w:t>
      </w:r>
      <w:r w:rsidRPr="00D107C1">
        <w:t xml:space="preserve"> is the absorbance of the test sample.</w:t>
      </w:r>
    </w:p>
    <w:p w14:paraId="3AB7E8B3" w14:textId="77777777" w:rsidR="00D107C1" w:rsidRPr="00D107C1" w:rsidRDefault="00D107C1" w:rsidP="00D107C1">
      <w:pPr>
        <w:spacing w:before="160" w:after="100" w:line="360" w:lineRule="auto"/>
        <w:jc w:val="both"/>
      </w:pPr>
      <w:r w:rsidRPr="00D107C1">
        <w:rPr>
          <w:b/>
          <w:bCs/>
        </w:rPr>
        <w:t>2.9 Statistical Analysis</w:t>
      </w:r>
    </w:p>
    <w:p w14:paraId="3C66DBEA" w14:textId="77777777" w:rsidR="00F9718A" w:rsidRPr="00F9718A" w:rsidRDefault="00F9718A" w:rsidP="00F9718A">
      <w:pPr>
        <w:pStyle w:val="Body"/>
        <w:spacing w:after="0" w:line="360" w:lineRule="auto"/>
        <w:rPr>
          <w:lang w:val="en-IN"/>
        </w:rPr>
      </w:pPr>
      <w:r>
        <w:rPr>
          <w:lang w:val="en-IN"/>
        </w:rPr>
        <w:t>Triplicate measurements (n = 3) were performed for the selected analytical parameters (proximate composition, certain physical dimensions</w:t>
      </w:r>
      <w:r>
        <w:rPr>
          <w:highlight w:val="yellow"/>
          <w:lang w:val="en-IN"/>
        </w:rPr>
        <w:t>,</w:t>
      </w:r>
      <w:r>
        <w:rPr>
          <w:lang w:val="en-IN"/>
        </w:rPr>
        <w:t xml:space="preserve"> and pH), and the results </w:t>
      </w:r>
      <w:r>
        <w:rPr>
          <w:highlight w:val="yellow"/>
          <w:lang w:val="en-IN"/>
        </w:rPr>
        <w:t>we</w:t>
      </w:r>
      <w:r>
        <w:rPr>
          <w:lang w:val="en-IN"/>
        </w:rPr>
        <w:t>re expressed as mean ± standard deviation (SD). Descriptive statistics were used to summari</w:t>
      </w:r>
      <w:r>
        <w:rPr>
          <w:highlight w:val="yellow"/>
          <w:lang w:val="en-IN"/>
        </w:rPr>
        <w:t>s</w:t>
      </w:r>
      <w:r>
        <w:rPr>
          <w:lang w:val="en-IN"/>
        </w:rPr>
        <w:t>e the analytical data. Sensory attributes were evaluated by 20 pane</w:t>
      </w:r>
      <w:r>
        <w:rPr>
          <w:highlight w:val="yellow"/>
          <w:lang w:val="en-IN"/>
        </w:rPr>
        <w:t>l</w:t>
      </w:r>
      <w:r>
        <w:rPr>
          <w:lang w:val="en-IN"/>
        </w:rPr>
        <w:t>lists using a 9-point hedonic scale, and the sensory scores are presented as mean ± standard deviation (SD). The formulation exhibiting the highest mean overall acceptability score was selected as the optimi</w:t>
      </w:r>
      <w:r>
        <w:rPr>
          <w:highlight w:val="yellow"/>
          <w:lang w:val="en-IN"/>
        </w:rPr>
        <w:t>s</w:t>
      </w:r>
      <w:r>
        <w:rPr>
          <w:lang w:val="en-IN"/>
        </w:rPr>
        <w:t>ed formulation for subsequent analyses.</w:t>
      </w:r>
    </w:p>
    <w:p w14:paraId="510F8563" w14:textId="77777777" w:rsidR="00D107C1" w:rsidRPr="00F9718A" w:rsidRDefault="00D107C1" w:rsidP="00441B6F">
      <w:pPr>
        <w:pStyle w:val="Body"/>
        <w:spacing w:after="0"/>
        <w:rPr>
          <w:rFonts w:ascii="Arial" w:hAnsi="Arial" w:cs="Arial"/>
          <w:lang w:val="en-IN"/>
        </w:rPr>
      </w:pPr>
    </w:p>
    <w:p w14:paraId="5B7CF796" w14:textId="77777777" w:rsidR="00902823" w:rsidRDefault="00000F8F" w:rsidP="00441B6F">
      <w:pPr>
        <w:pStyle w:val="Head1"/>
        <w:spacing w:after="0"/>
        <w:jc w:val="both"/>
        <w:rPr>
          <w:rFonts w:ascii="Arial" w:hAnsi="Arial" w:cs="Arial"/>
        </w:rPr>
      </w:pPr>
      <w:r>
        <w:rPr>
          <w:rFonts w:ascii="Arial" w:hAnsi="Arial" w:cs="Arial"/>
        </w:rPr>
        <w:t xml:space="preserve">3. </w:t>
      </w:r>
      <w:r>
        <w:rPr>
          <w:rFonts w:ascii="Arial" w:hAnsi="Arial" w:cs="Arial"/>
          <w:highlight w:val="yellow"/>
        </w:rPr>
        <w:t>RESULTS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DISCUSSION</w:t>
      </w:r>
    </w:p>
    <w:p w14:paraId="6433206A" w14:textId="77777777" w:rsidR="00790ADA" w:rsidRPr="00FB3A86" w:rsidRDefault="00790ADA" w:rsidP="00441B6F">
      <w:pPr>
        <w:pStyle w:val="Head1"/>
        <w:spacing w:after="0"/>
        <w:jc w:val="both"/>
        <w:rPr>
          <w:rFonts w:ascii="Arial" w:hAnsi="Arial" w:cs="Arial"/>
        </w:rPr>
      </w:pPr>
    </w:p>
    <w:p w14:paraId="186F6411" w14:textId="77777777" w:rsidR="00803A41" w:rsidRPr="00803A41" w:rsidRDefault="00803A41" w:rsidP="00803A41">
      <w:pPr>
        <w:spacing w:before="160" w:after="100" w:line="360" w:lineRule="auto"/>
      </w:pPr>
      <w:r w:rsidRPr="00803A41">
        <w:rPr>
          <w:b/>
          <w:bCs/>
        </w:rPr>
        <w:t>3.1 Sensory Evaluation and Formulation Selection</w:t>
      </w:r>
    </w:p>
    <w:p w14:paraId="045EA6B0" w14:textId="77777777" w:rsidR="003E1CAD" w:rsidRDefault="003E1CAD" w:rsidP="003E1CAD">
      <w:pPr>
        <w:spacing w:after="120" w:line="360" w:lineRule="auto"/>
        <w:jc w:val="both"/>
      </w:pPr>
      <w:r>
        <w:t>The acceptability of the developed formulations was evaluated by 20 semi</w:t>
      </w:r>
      <w:r>
        <w:rPr>
          <w:highlight w:val="yellow"/>
        </w:rPr>
        <w:t>-</w:t>
      </w:r>
      <w:r>
        <w:t>trained panellists using a 9</w:t>
      </w:r>
      <w:r>
        <w:rPr>
          <w:highlight w:val="yellow"/>
        </w:rPr>
        <w:t>-</w:t>
      </w:r>
      <w:r>
        <w:t xml:space="preserve">point hedonic scale. F1 (5% peel powder incorporation) and F2 (10% peel powder incorporation) </w:t>
      </w:r>
      <w:r>
        <w:rPr>
          <w:highlight w:val="yellow"/>
        </w:rPr>
        <w:t>received</w:t>
      </w:r>
      <w:r>
        <w:t xml:space="preserve"> acceptable sensory scores. The mean scores for colour, appearance, texture</w:t>
      </w:r>
      <w:r>
        <w:rPr>
          <w:highlight w:val="yellow"/>
        </w:rPr>
        <w:t>,</w:t>
      </w:r>
      <w:r>
        <w:t xml:space="preserve"> and overall acceptability </w:t>
      </w:r>
      <w:r>
        <w:rPr>
          <w:highlight w:val="yellow"/>
        </w:rPr>
        <w:t>were higher f</w:t>
      </w:r>
      <w:r>
        <w:t>o</w:t>
      </w:r>
      <w:r>
        <w:rPr>
          <w:highlight w:val="yellow"/>
        </w:rPr>
        <w:t>r</w:t>
      </w:r>
      <w:r>
        <w:t xml:space="preserve"> the</w:t>
      </w:r>
      <w:r>
        <w:rPr>
          <w:highlight w:val="yellow"/>
        </w:rPr>
        <w:t xml:space="preserve"> peel-containing</w:t>
      </w:r>
      <w:r>
        <w:t xml:space="preserve"> formulations than</w:t>
      </w:r>
      <w:r>
        <w:rPr>
          <w:highlight w:val="yellow"/>
        </w:rPr>
        <w:t xml:space="preserve"> for</w:t>
      </w:r>
      <w:r>
        <w:t xml:space="preserve"> the base formulation, with F2 </w:t>
      </w:r>
      <w:r>
        <w:rPr>
          <w:highlight w:val="yellow"/>
        </w:rPr>
        <w:t>r</w:t>
      </w:r>
      <w:r>
        <w:t>e</w:t>
      </w:r>
      <w:r>
        <w:rPr>
          <w:highlight w:val="yellow"/>
        </w:rPr>
        <w:t>ceiv</w:t>
      </w:r>
      <w:r>
        <w:t>ing the highest scor</w:t>
      </w:r>
      <w:r>
        <w:rPr>
          <w:highlight w:val="yellow"/>
        </w:rPr>
        <w:t>es</w:t>
      </w:r>
      <w:r>
        <w:t xml:space="preserve">. The use of both carrot and beetroot peel powders could be credited </w:t>
      </w:r>
      <w:r>
        <w:rPr>
          <w:highlight w:val="yellow"/>
        </w:rPr>
        <w:t>with enhancing</w:t>
      </w:r>
      <w:r>
        <w:t xml:space="preserve"> the natural colour </w:t>
      </w:r>
      <w:r>
        <w:rPr>
          <w:highlight w:val="yellow"/>
        </w:rPr>
        <w:t>of</w:t>
      </w:r>
      <w:r>
        <w:t xml:space="preserve"> the developed cutlery, </w:t>
      </w:r>
      <w:r>
        <w:rPr>
          <w:highlight w:val="yellow"/>
        </w:rPr>
        <w:t>t</w:t>
      </w:r>
      <w:r>
        <w:t>he</w:t>
      </w:r>
      <w:r>
        <w:rPr>
          <w:highlight w:val="yellow"/>
        </w:rPr>
        <w:t>r</w:t>
      </w:r>
      <w:r>
        <w:t>e</w:t>
      </w:r>
      <w:r>
        <w:rPr>
          <w:highlight w:val="yellow"/>
        </w:rPr>
        <w:t>by</w:t>
      </w:r>
      <w:r>
        <w:t xml:space="preserve"> i</w:t>
      </w:r>
      <w:r>
        <w:rPr>
          <w:highlight w:val="yellow"/>
        </w:rPr>
        <w:t xml:space="preserve">mproving </w:t>
      </w:r>
      <w:r>
        <w:t>t</w:t>
      </w:r>
      <w:r>
        <w:rPr>
          <w:highlight w:val="yellow"/>
        </w:rPr>
        <w:t>he</w:t>
      </w:r>
      <w:r>
        <w:t xml:space="preserve"> visual appeal </w:t>
      </w:r>
      <w:r>
        <w:rPr>
          <w:highlight w:val="yellow"/>
        </w:rPr>
        <w:t>of</w:t>
      </w:r>
      <w:r>
        <w:t xml:space="preserve"> F2. The mean taste score of F2 was similar to </w:t>
      </w:r>
      <w:r>
        <w:rPr>
          <w:highlight w:val="yellow"/>
        </w:rPr>
        <w:t xml:space="preserve">that of the </w:t>
      </w:r>
      <w:r>
        <w:t xml:space="preserve">base formulation, </w:t>
      </w:r>
      <w:r>
        <w:rPr>
          <w:highlight w:val="yellow"/>
        </w:rPr>
        <w:t>whereas</w:t>
      </w:r>
      <w:r>
        <w:t xml:space="preserve"> higher mean scores were obtained for colour, appearance, texture, aroma</w:t>
      </w:r>
      <w:r>
        <w:rPr>
          <w:highlight w:val="yellow"/>
        </w:rPr>
        <w:t>,</w:t>
      </w:r>
      <w:r>
        <w:t xml:space="preserve"> and overall acceptability. The texture score for F2 was 6.50 ± </w:t>
      </w:r>
      <w:r>
        <w:rPr>
          <w:highlight w:val="yellow"/>
        </w:rPr>
        <w:t>0</w:t>
      </w:r>
      <w:r>
        <w:t>.</w:t>
      </w:r>
      <w:r>
        <w:rPr>
          <w:highlight w:val="yellow"/>
        </w:rPr>
        <w:t xml:space="preserve">26, compared with </w:t>
      </w:r>
      <w:r>
        <w:t>5</w:t>
      </w:r>
      <w:r>
        <w:rPr>
          <w:highlight w:val="yellow"/>
        </w:rPr>
        <w:t>.50</w:t>
      </w:r>
      <w:r>
        <w:t xml:space="preserve"> </w:t>
      </w:r>
      <w:r>
        <w:rPr>
          <w:highlight w:val="yellow"/>
        </w:rPr>
        <w:t>± 0.20</w:t>
      </w:r>
      <w:r>
        <w:t xml:space="preserve"> for the base formulation. </w:t>
      </w:r>
      <w:r>
        <w:rPr>
          <w:highlight w:val="yellow"/>
        </w:rPr>
        <w:t>The o</w:t>
      </w:r>
      <w:r>
        <w:t>verall acceptability score for F2 was 7.30 ± 0.</w:t>
      </w:r>
      <w:r>
        <w:rPr>
          <w:highlight w:val="yellow"/>
        </w:rPr>
        <w:t>1</w:t>
      </w:r>
      <w:r>
        <w:t>8</w:t>
      </w:r>
      <w:r>
        <w:rPr>
          <w:highlight w:val="yellow"/>
        </w:rPr>
        <w:t>,</w:t>
      </w:r>
      <w:r>
        <w:t xml:space="preserve"> which falls </w:t>
      </w:r>
      <w:r>
        <w:rPr>
          <w:highlight w:val="yellow"/>
        </w:rPr>
        <w:t>with</w:t>
      </w:r>
      <w:r>
        <w:t>in the categor</w:t>
      </w:r>
      <w:r>
        <w:rPr>
          <w:highlight w:val="yellow"/>
        </w:rPr>
        <w:t>ies</w:t>
      </w:r>
      <w:r>
        <w:t xml:space="preserve"> “like moderately” to “like very much” on the 9-point hedonic scale. F2 (10% total peel powder incorporation) was se</w:t>
      </w:r>
      <w:r>
        <w:rPr>
          <w:highlight w:val="yellow"/>
        </w:rPr>
        <w:t>lected</w:t>
      </w:r>
      <w:r>
        <w:t xml:space="preserve"> for further physicochemical and structural characterisation </w:t>
      </w:r>
      <w:r>
        <w:rPr>
          <w:highlight w:val="yellow"/>
        </w:rPr>
        <w:t>beca</w:t>
      </w:r>
      <w:r>
        <w:t>u</w:t>
      </w:r>
      <w:r>
        <w:rPr>
          <w:highlight w:val="yellow"/>
        </w:rPr>
        <w:t>s</w:t>
      </w:r>
      <w:r>
        <w:t>e o</w:t>
      </w:r>
      <w:r>
        <w:rPr>
          <w:highlight w:val="yellow"/>
        </w:rPr>
        <w:t>f</w:t>
      </w:r>
      <w:r>
        <w:t xml:space="preserve"> its favourable sensory performance and higher level of peel powder incorporation. No transfer of flavour was detected in </w:t>
      </w:r>
      <w:r>
        <w:rPr>
          <w:highlight w:val="yellow"/>
        </w:rPr>
        <w:t>the</w:t>
      </w:r>
      <w:r>
        <w:t xml:space="preserve"> taste/flavour transfer test </w:t>
      </w:r>
      <w:r>
        <w:rPr>
          <w:highlight w:val="yellow"/>
        </w:rPr>
        <w:t>us</w:t>
      </w:r>
      <w:r>
        <w:t>i</w:t>
      </w:r>
      <w:r>
        <w:rPr>
          <w:highlight w:val="yellow"/>
        </w:rPr>
        <w:t>ng</w:t>
      </w:r>
      <w:r>
        <w:t xml:space="preserve"> commercial strawberry yoghurt. The taste score of F2 was relatively low (4.45 ± </w:t>
      </w:r>
      <w:r>
        <w:rPr>
          <w:highlight w:val="yellow"/>
        </w:rPr>
        <w:t>0</w:t>
      </w:r>
      <w:r>
        <w:t>.</w:t>
      </w:r>
      <w:r>
        <w:rPr>
          <w:highlight w:val="yellow"/>
        </w:rPr>
        <w:t>25</w:t>
      </w:r>
      <w:r>
        <w:t>), but the earthy taste was detected</w:t>
      </w:r>
      <w:r>
        <w:rPr>
          <w:highlight w:val="yellow"/>
        </w:rPr>
        <w:t xml:space="preserve"> only</w:t>
      </w:r>
      <w:r>
        <w:t xml:space="preserve"> during chewing of the spoon and was not </w:t>
      </w:r>
      <w:r>
        <w:rPr>
          <w:highlight w:val="yellow"/>
        </w:rPr>
        <w:t>asso</w:t>
      </w:r>
      <w:r>
        <w:t>c</w:t>
      </w:r>
      <w:r>
        <w:rPr>
          <w:highlight w:val="yellow"/>
        </w:rPr>
        <w:t>i</w:t>
      </w:r>
      <w:r>
        <w:t>ated with detect</w:t>
      </w:r>
      <w:r>
        <w:rPr>
          <w:highlight w:val="yellow"/>
        </w:rPr>
        <w:t>able</w:t>
      </w:r>
      <w:r>
        <w:t xml:space="preserve"> earthy flavour leaching into the yog</w:t>
      </w:r>
      <w:r>
        <w:rPr>
          <w:highlight w:val="yellow"/>
        </w:rPr>
        <w:t>h</w:t>
      </w:r>
      <w:r>
        <w:t xml:space="preserve">urt. This observation </w:t>
      </w:r>
      <w:r>
        <w:rPr>
          <w:highlight w:val="yellow"/>
        </w:rPr>
        <w:t>sugg</w:t>
      </w:r>
      <w:r>
        <w:t>e</w:t>
      </w:r>
      <w:r>
        <w:rPr>
          <w:highlight w:val="yellow"/>
        </w:rPr>
        <w:t>st</w:t>
      </w:r>
      <w:r>
        <w:t>s that the optimi</w:t>
      </w:r>
      <w:r>
        <w:rPr>
          <w:highlight w:val="yellow"/>
        </w:rPr>
        <w:t>s</w:t>
      </w:r>
      <w:r>
        <w:t xml:space="preserve">ed formulation did not </w:t>
      </w:r>
      <w:r>
        <w:rPr>
          <w:highlight w:val="yellow"/>
        </w:rPr>
        <w:t>impa</w:t>
      </w:r>
      <w:r>
        <w:t>rt a detectable off-flavour</w:t>
      </w:r>
      <w:r>
        <w:rPr>
          <w:highlight w:val="yellow"/>
        </w:rPr>
        <w:t xml:space="preserve"> to the food product</w:t>
      </w:r>
      <w:r>
        <w:t xml:space="preserve"> during the transfer test.</w:t>
      </w:r>
    </w:p>
    <w:p w14:paraId="3E2D5E7E" w14:textId="77777777" w:rsidR="00803A41" w:rsidRPr="007F5E87" w:rsidRDefault="00467040" w:rsidP="003E1CAD">
      <w:pPr>
        <w:spacing w:after="120" w:line="360" w:lineRule="auto"/>
      </w:pPr>
      <w:r>
        <w:t xml:space="preserve">  </w:t>
      </w:r>
      <w:r w:rsidR="00803A41">
        <w:t xml:space="preserve">    </w:t>
      </w:r>
      <w:r w:rsidR="00803A41" w:rsidRPr="007F5E87">
        <w:t xml:space="preserve">Table </w:t>
      </w:r>
      <w:r w:rsidR="00803A41">
        <w:t>2</w:t>
      </w:r>
      <w:r w:rsidR="00803A41" w:rsidRPr="007F5E87">
        <w:t>: Sensory evaluation scores (Mean ± SD, n = 20) on a 9-point hedonic scale</w:t>
      </w:r>
    </w:p>
    <w:tbl>
      <w:tblPr>
        <w:tblStyle w:val="GridTable1Light-Accent5"/>
        <w:tblW w:w="8784" w:type="dxa"/>
        <w:tblLook w:val="04A0" w:firstRow="1" w:lastRow="0" w:firstColumn="1" w:lastColumn="0" w:noHBand="0" w:noVBand="1"/>
      </w:tblPr>
      <w:tblGrid>
        <w:gridCol w:w="1771"/>
        <w:gridCol w:w="2140"/>
        <w:gridCol w:w="2180"/>
        <w:gridCol w:w="2693"/>
      </w:tblGrid>
      <w:tr w:rsidR="00803A41" w:rsidRPr="00803A41" w14:paraId="35ED9E92" w14:textId="77777777" w:rsidTr="008A506E">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6D8ED639" w14:textId="77777777" w:rsidR="00803A41" w:rsidRPr="00803A41" w:rsidRDefault="00803A41" w:rsidP="008A506E">
            <w:pPr>
              <w:spacing w:before="40" w:after="40"/>
              <w:jc w:val="center"/>
              <w:rPr>
                <w:sz w:val="20"/>
                <w:szCs w:val="20"/>
              </w:rPr>
            </w:pPr>
            <w:r w:rsidRPr="00803A41">
              <w:rPr>
                <w:sz w:val="20"/>
                <w:szCs w:val="20"/>
              </w:rPr>
              <w:t>Sensory Attribute</w:t>
            </w:r>
          </w:p>
        </w:tc>
        <w:tc>
          <w:tcPr>
            <w:tcW w:w="0" w:type="auto"/>
            <w:hideMark/>
          </w:tcPr>
          <w:p w14:paraId="1BBD295E" w14:textId="172D9F1A" w:rsidR="00803A41" w:rsidRPr="00803A41" w:rsidRDefault="008E4296"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E4296">
              <w:rPr>
                <w:sz w:val="18"/>
                <w:szCs w:val="18"/>
              </w:rPr>
              <w:t>Base Formulation</w:t>
            </w:r>
            <w:r w:rsidRPr="008E4296">
              <w:rPr>
                <w:sz w:val="14"/>
                <w:szCs w:val="14"/>
              </w:rPr>
              <w:t xml:space="preserve"> </w:t>
            </w:r>
            <w:r w:rsidR="00803A41" w:rsidRPr="00803A41">
              <w:rPr>
                <w:sz w:val="20"/>
                <w:szCs w:val="20"/>
              </w:rPr>
              <w:t>(0% Peel)</w:t>
            </w:r>
          </w:p>
        </w:tc>
        <w:tc>
          <w:tcPr>
            <w:tcW w:w="2180" w:type="dxa"/>
            <w:hideMark/>
          </w:tcPr>
          <w:p w14:paraId="42E8BAEA"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1</w:t>
            </w:r>
            <w:r w:rsidRPr="00803A41">
              <w:rPr>
                <w:sz w:val="20"/>
                <w:szCs w:val="20"/>
              </w:rPr>
              <w:t xml:space="preserve"> (5% Peel)</w:t>
            </w:r>
          </w:p>
        </w:tc>
        <w:tc>
          <w:tcPr>
            <w:tcW w:w="2693" w:type="dxa"/>
            <w:hideMark/>
          </w:tcPr>
          <w:p w14:paraId="75576C96"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2</w:t>
            </w:r>
            <w:r w:rsidRPr="00803A41">
              <w:rPr>
                <w:sz w:val="20"/>
                <w:szCs w:val="20"/>
              </w:rPr>
              <w:t xml:space="preserve"> (10% Peel/Control)</w:t>
            </w:r>
          </w:p>
        </w:tc>
      </w:tr>
      <w:tr w:rsidR="00803A41" w:rsidRPr="00803A41" w14:paraId="31957F4A"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77E9060D" w14:textId="77777777" w:rsidR="00803A41" w:rsidRPr="00803A41" w:rsidRDefault="00803A41" w:rsidP="008A506E">
            <w:pPr>
              <w:spacing w:before="40" w:after="40"/>
              <w:jc w:val="center"/>
              <w:rPr>
                <w:b w:val="0"/>
                <w:bCs w:val="0"/>
                <w:sz w:val="20"/>
                <w:szCs w:val="20"/>
              </w:rPr>
            </w:pPr>
            <w:r w:rsidRPr="00803A41">
              <w:rPr>
                <w:b w:val="0"/>
                <w:bCs w:val="0"/>
                <w:sz w:val="20"/>
                <w:szCs w:val="20"/>
              </w:rPr>
              <w:t>Color</w:t>
            </w:r>
          </w:p>
        </w:tc>
        <w:tc>
          <w:tcPr>
            <w:tcW w:w="0" w:type="auto"/>
            <w:hideMark/>
          </w:tcPr>
          <w:p w14:paraId="419A17B6"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 xml:space="preserve">4.80 ± 0.14 </w:t>
            </w:r>
          </w:p>
        </w:tc>
        <w:tc>
          <w:tcPr>
            <w:tcW w:w="2180" w:type="dxa"/>
            <w:hideMark/>
          </w:tcPr>
          <w:p w14:paraId="4F8C65A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6.30 ± 0.16</w:t>
            </w:r>
          </w:p>
        </w:tc>
        <w:tc>
          <w:tcPr>
            <w:tcW w:w="2693" w:type="dxa"/>
            <w:hideMark/>
          </w:tcPr>
          <w:p w14:paraId="58257F67"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8.05 ± 0.18</w:t>
            </w:r>
          </w:p>
        </w:tc>
      </w:tr>
      <w:tr w:rsidR="00803A41" w:rsidRPr="00803A41" w14:paraId="2C840858"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4F4110CD" w14:textId="77777777" w:rsidR="00803A41" w:rsidRPr="00803A41" w:rsidRDefault="00803A41" w:rsidP="008A506E">
            <w:pPr>
              <w:spacing w:before="40" w:after="40"/>
              <w:jc w:val="center"/>
              <w:rPr>
                <w:b w:val="0"/>
                <w:bCs w:val="0"/>
                <w:sz w:val="20"/>
                <w:szCs w:val="20"/>
              </w:rPr>
            </w:pPr>
            <w:r w:rsidRPr="00803A41">
              <w:rPr>
                <w:b w:val="0"/>
                <w:bCs w:val="0"/>
                <w:sz w:val="20"/>
                <w:szCs w:val="20"/>
              </w:rPr>
              <w:t>Appearance</w:t>
            </w:r>
          </w:p>
        </w:tc>
        <w:tc>
          <w:tcPr>
            <w:tcW w:w="0" w:type="auto"/>
            <w:hideMark/>
          </w:tcPr>
          <w:p w14:paraId="0E2E56E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0.11</w:t>
            </w:r>
          </w:p>
        </w:tc>
        <w:tc>
          <w:tcPr>
            <w:tcW w:w="2180" w:type="dxa"/>
            <w:hideMark/>
          </w:tcPr>
          <w:p w14:paraId="22C97C65"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6.60 ± 0.13</w:t>
            </w:r>
          </w:p>
        </w:tc>
        <w:tc>
          <w:tcPr>
            <w:tcW w:w="2693" w:type="dxa"/>
            <w:hideMark/>
          </w:tcPr>
          <w:p w14:paraId="26B5EE4F"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7.20 ± 0.17</w:t>
            </w:r>
          </w:p>
        </w:tc>
      </w:tr>
      <w:tr w:rsidR="00803A41" w:rsidRPr="00803A41" w14:paraId="62D1A777"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6040E1EC" w14:textId="77777777" w:rsidR="00803A41" w:rsidRPr="00803A41" w:rsidRDefault="00803A41" w:rsidP="008A506E">
            <w:pPr>
              <w:spacing w:before="40" w:after="40"/>
              <w:jc w:val="center"/>
              <w:rPr>
                <w:b w:val="0"/>
                <w:bCs w:val="0"/>
                <w:sz w:val="20"/>
                <w:szCs w:val="20"/>
              </w:rPr>
            </w:pPr>
            <w:r w:rsidRPr="00803A41">
              <w:rPr>
                <w:b w:val="0"/>
                <w:bCs w:val="0"/>
                <w:sz w:val="20"/>
                <w:szCs w:val="20"/>
              </w:rPr>
              <w:t>Texture</w:t>
            </w:r>
          </w:p>
        </w:tc>
        <w:tc>
          <w:tcPr>
            <w:tcW w:w="0" w:type="auto"/>
            <w:hideMark/>
          </w:tcPr>
          <w:p w14:paraId="3427FF4A"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0.20</w:t>
            </w:r>
          </w:p>
        </w:tc>
        <w:tc>
          <w:tcPr>
            <w:tcW w:w="2180" w:type="dxa"/>
            <w:hideMark/>
          </w:tcPr>
          <w:p w14:paraId="7D798A94"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5.65 ± 0.15</w:t>
            </w:r>
          </w:p>
        </w:tc>
        <w:tc>
          <w:tcPr>
            <w:tcW w:w="2693" w:type="dxa"/>
            <w:hideMark/>
          </w:tcPr>
          <w:p w14:paraId="3AC641A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0.26</w:t>
            </w:r>
          </w:p>
        </w:tc>
      </w:tr>
      <w:tr w:rsidR="00803A41" w:rsidRPr="00803A41" w14:paraId="6186F9F6"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20126D7A" w14:textId="77777777" w:rsidR="00803A41" w:rsidRPr="00803A41" w:rsidRDefault="00803A41" w:rsidP="008A506E">
            <w:pPr>
              <w:spacing w:before="40" w:after="40"/>
              <w:jc w:val="center"/>
              <w:rPr>
                <w:b w:val="0"/>
                <w:bCs w:val="0"/>
                <w:sz w:val="20"/>
                <w:szCs w:val="20"/>
              </w:rPr>
            </w:pPr>
            <w:r w:rsidRPr="00803A41">
              <w:rPr>
                <w:b w:val="0"/>
                <w:bCs w:val="0"/>
                <w:sz w:val="20"/>
                <w:szCs w:val="20"/>
              </w:rPr>
              <w:t>Taste</w:t>
            </w:r>
          </w:p>
        </w:tc>
        <w:tc>
          <w:tcPr>
            <w:tcW w:w="0" w:type="auto"/>
            <w:hideMark/>
          </w:tcPr>
          <w:p w14:paraId="7DFEB4B6"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3.85 ± 0.17</w:t>
            </w:r>
          </w:p>
        </w:tc>
        <w:tc>
          <w:tcPr>
            <w:tcW w:w="2180" w:type="dxa"/>
            <w:hideMark/>
          </w:tcPr>
          <w:p w14:paraId="2F67B0B1"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4.35 ± 0.23</w:t>
            </w:r>
          </w:p>
        </w:tc>
        <w:tc>
          <w:tcPr>
            <w:tcW w:w="2693" w:type="dxa"/>
            <w:hideMark/>
          </w:tcPr>
          <w:p w14:paraId="37F2327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4.45 ± 0.25</w:t>
            </w:r>
          </w:p>
        </w:tc>
      </w:tr>
      <w:tr w:rsidR="00803A41" w:rsidRPr="00803A41" w14:paraId="7234DE98"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12304071" w14:textId="77777777" w:rsidR="00803A41" w:rsidRPr="00803A41" w:rsidRDefault="00803A41" w:rsidP="008A506E">
            <w:pPr>
              <w:spacing w:before="40" w:after="40"/>
              <w:jc w:val="center"/>
              <w:rPr>
                <w:b w:val="0"/>
                <w:bCs w:val="0"/>
                <w:sz w:val="20"/>
                <w:szCs w:val="20"/>
              </w:rPr>
            </w:pPr>
            <w:r w:rsidRPr="00803A41">
              <w:rPr>
                <w:b w:val="0"/>
                <w:bCs w:val="0"/>
                <w:sz w:val="20"/>
                <w:szCs w:val="20"/>
              </w:rPr>
              <w:t>Aroma</w:t>
            </w:r>
          </w:p>
        </w:tc>
        <w:tc>
          <w:tcPr>
            <w:tcW w:w="0" w:type="auto"/>
            <w:hideMark/>
          </w:tcPr>
          <w:p w14:paraId="6024DC0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5.05 ± 0.18</w:t>
            </w:r>
          </w:p>
        </w:tc>
        <w:tc>
          <w:tcPr>
            <w:tcW w:w="2180" w:type="dxa"/>
            <w:hideMark/>
          </w:tcPr>
          <w:p w14:paraId="011911F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5.15 ± 0.17</w:t>
            </w:r>
          </w:p>
        </w:tc>
        <w:tc>
          <w:tcPr>
            <w:tcW w:w="2693" w:type="dxa"/>
            <w:hideMark/>
          </w:tcPr>
          <w:p w14:paraId="39D3176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5.60 ± 0.17</w:t>
            </w:r>
          </w:p>
        </w:tc>
      </w:tr>
      <w:tr w:rsidR="00803A41" w:rsidRPr="00803A41" w14:paraId="3E6F7C77"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714C6A45" w14:textId="77777777" w:rsidR="00803A41" w:rsidRPr="00803A41" w:rsidRDefault="00803A41" w:rsidP="008A506E">
            <w:pPr>
              <w:spacing w:before="40" w:after="40"/>
              <w:jc w:val="center"/>
              <w:rPr>
                <w:b w:val="0"/>
                <w:bCs w:val="0"/>
                <w:sz w:val="20"/>
                <w:szCs w:val="20"/>
              </w:rPr>
            </w:pPr>
            <w:r w:rsidRPr="00803A41">
              <w:rPr>
                <w:b w:val="0"/>
                <w:bCs w:val="0"/>
                <w:sz w:val="20"/>
                <w:szCs w:val="20"/>
              </w:rPr>
              <w:lastRenderedPageBreak/>
              <w:t>Overall Acceptability</w:t>
            </w:r>
          </w:p>
        </w:tc>
        <w:tc>
          <w:tcPr>
            <w:tcW w:w="0" w:type="auto"/>
            <w:hideMark/>
          </w:tcPr>
          <w:p w14:paraId="1B95DF6A"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5.55 ± 0.11</w:t>
            </w:r>
          </w:p>
        </w:tc>
        <w:tc>
          <w:tcPr>
            <w:tcW w:w="2180" w:type="dxa"/>
            <w:hideMark/>
          </w:tcPr>
          <w:p w14:paraId="5FA8B335"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0.11</w:t>
            </w:r>
          </w:p>
        </w:tc>
        <w:tc>
          <w:tcPr>
            <w:tcW w:w="2693" w:type="dxa"/>
            <w:hideMark/>
          </w:tcPr>
          <w:p w14:paraId="65EFDFF4"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7.30 ± 0.18</w:t>
            </w:r>
          </w:p>
        </w:tc>
      </w:tr>
    </w:tbl>
    <w:p w14:paraId="5606BF7D" w14:textId="77777777" w:rsidR="00803A41" w:rsidRDefault="00803A41" w:rsidP="00803A41">
      <w:pPr>
        <w:spacing w:after="120" w:line="360" w:lineRule="auto"/>
        <w:jc w:val="both"/>
      </w:pPr>
    </w:p>
    <w:p w14:paraId="03BE8005" w14:textId="77777777" w:rsidR="003136E4" w:rsidRDefault="003136E4" w:rsidP="00803A41">
      <w:pPr>
        <w:spacing w:after="120" w:line="360" w:lineRule="auto"/>
        <w:jc w:val="both"/>
      </w:pPr>
    </w:p>
    <w:p w14:paraId="059A9957" w14:textId="2A116980" w:rsidR="003136E4" w:rsidRDefault="003136E4" w:rsidP="00803A41">
      <w:pPr>
        <w:spacing w:after="120" w:line="360" w:lineRule="auto"/>
        <w:jc w:val="both"/>
      </w:pPr>
      <w:r w:rsidRPr="003136E4">
        <w:t>Base Formulation</w:t>
      </w:r>
      <w:r>
        <w:t xml:space="preserve">: </w:t>
      </w:r>
      <w:r w:rsidRPr="003136E4">
        <w:t xml:space="preserve"> BF</w:t>
      </w:r>
    </w:p>
    <w:p w14:paraId="5BED0B94" w14:textId="77777777" w:rsidR="00803A41" w:rsidRPr="00803A41" w:rsidRDefault="00803A41" w:rsidP="00803A41">
      <w:pPr>
        <w:spacing w:before="160" w:after="100" w:line="360" w:lineRule="auto"/>
        <w:jc w:val="both"/>
      </w:pPr>
      <w:r w:rsidRPr="00803A41">
        <w:rPr>
          <w:b/>
          <w:bCs/>
        </w:rPr>
        <w:t>3.2 Physical Dimensions</w:t>
      </w:r>
    </w:p>
    <w:p w14:paraId="2FE21F8F" w14:textId="77777777" w:rsidR="00803A41" w:rsidRDefault="00803A41" w:rsidP="00803A41">
      <w:pPr>
        <w:spacing w:before="160" w:after="80" w:line="360" w:lineRule="auto"/>
        <w:jc w:val="both"/>
      </w:pPr>
      <w:r>
        <w:t>The optimi</w:t>
      </w:r>
      <w:r>
        <w:rPr>
          <w:highlight w:val="yellow"/>
        </w:rPr>
        <w:t>s</w:t>
      </w:r>
      <w:r>
        <w:t>ed dimensions of the edible spoon are shown in Table 2</w:t>
      </w:r>
      <w:r>
        <w:rPr>
          <w:highlight w:val="yellow"/>
        </w:rPr>
        <w:t>a</w:t>
      </w:r>
      <w:r>
        <w:t xml:space="preserve">. The mean length of the spoon was 7.14 ± 0.14 cm and </w:t>
      </w:r>
      <w:r>
        <w:rPr>
          <w:highlight w:val="yellow"/>
        </w:rPr>
        <w:t xml:space="preserve">the </w:t>
      </w:r>
      <w:r>
        <w:t>width</w:t>
      </w:r>
      <w:r>
        <w:rPr>
          <w:highlight w:val="yellow"/>
        </w:rPr>
        <w:t xml:space="preserve"> was</w:t>
      </w:r>
      <w:r>
        <w:t xml:space="preserve"> 0.81 ± 0.04 cm, similar to th</w:t>
      </w:r>
      <w:r>
        <w:rPr>
          <w:highlight w:val="yellow"/>
        </w:rPr>
        <w:t>ose</w:t>
      </w:r>
      <w:r>
        <w:t xml:space="preserve"> of a normal tea</w:t>
      </w:r>
      <w:r>
        <w:rPr>
          <w:highlight w:val="yellow"/>
        </w:rPr>
        <w:t>,</w:t>
      </w:r>
      <w:r>
        <w:t xml:space="preserve"> coffee</w:t>
      </w:r>
      <w:r>
        <w:rPr>
          <w:highlight w:val="yellow"/>
        </w:rPr>
        <w:t>,</w:t>
      </w:r>
      <w:r>
        <w:t xml:space="preserve"> or dessert spoon. The mean </w:t>
      </w:r>
      <w:r>
        <w:rPr>
          <w:highlight w:val="yellow"/>
        </w:rPr>
        <w:t xml:space="preserve">spoon </w:t>
      </w:r>
      <w:r>
        <w:t xml:space="preserve">weight </w:t>
      </w:r>
      <w:r>
        <w:rPr>
          <w:highlight w:val="yellow"/>
        </w:rPr>
        <w:t>was</w:t>
      </w:r>
      <w:r>
        <w:t xml:space="preserve"> 4.31 ± 0.17 g</w:t>
      </w:r>
      <w:r>
        <w:rPr>
          <w:highlight w:val="yellow"/>
        </w:rPr>
        <w:t>,</w:t>
      </w:r>
      <w:r>
        <w:t xml:space="preserve"> and </w:t>
      </w:r>
      <w:r>
        <w:rPr>
          <w:highlight w:val="yellow"/>
        </w:rPr>
        <w:t xml:space="preserve">the </w:t>
      </w:r>
      <w:r>
        <w:t>mean</w:t>
      </w:r>
      <w:r>
        <w:rPr>
          <w:highlight w:val="yellow"/>
        </w:rPr>
        <w:t xml:space="preserve"> bowl</w:t>
      </w:r>
      <w:r>
        <w:t xml:space="preserve"> weight w</w:t>
      </w:r>
      <w:r>
        <w:rPr>
          <w:highlight w:val="yellow"/>
        </w:rPr>
        <w:t>a</w:t>
      </w:r>
      <w:r>
        <w:t xml:space="preserve">s </w:t>
      </w:r>
      <w:r>
        <w:rPr>
          <w:color w:val="000000" w:themeColor="text1"/>
        </w:rPr>
        <w:t>28.21 ± 2.69 g</w:t>
      </w:r>
      <w:r>
        <w:rPr>
          <w:color w:val="000000" w:themeColor="text1"/>
          <w:highlight w:val="yellow"/>
        </w:rPr>
        <w:t>,</w:t>
      </w:r>
      <w:r>
        <w:t xml:space="preserve"> indicat</w:t>
      </w:r>
      <w:r>
        <w:rPr>
          <w:highlight w:val="yellow"/>
        </w:rPr>
        <w:t>ing</w:t>
      </w:r>
      <w:r>
        <w:t xml:space="preserve"> that the utensil</w:t>
      </w:r>
      <w:r>
        <w:rPr>
          <w:highlight w:val="yellow"/>
        </w:rPr>
        <w:t>s</w:t>
      </w:r>
      <w:r>
        <w:t xml:space="preserve"> </w:t>
      </w:r>
      <w:r>
        <w:rPr>
          <w:highlight w:val="yellow"/>
        </w:rPr>
        <w:t>were relat</w:t>
      </w:r>
      <w:r>
        <w:t>i</w:t>
      </w:r>
      <w:r>
        <w:rPr>
          <w:highlight w:val="yellow"/>
        </w:rPr>
        <w:t>vely</w:t>
      </w:r>
      <w:r>
        <w:t xml:space="preserve"> light </w:t>
      </w:r>
      <w:r>
        <w:rPr>
          <w:highlight w:val="yellow"/>
        </w:rPr>
        <w:t>while reta</w:t>
      </w:r>
      <w:r>
        <w:t>ining structura</w:t>
      </w:r>
      <w:r>
        <w:rPr>
          <w:highlight w:val="yellow"/>
        </w:rPr>
        <w:t>l</w:t>
      </w:r>
      <w:r>
        <w:t xml:space="preserve"> i</w:t>
      </w:r>
      <w:r>
        <w:rPr>
          <w:highlight w:val="yellow"/>
        </w:rPr>
        <w:t>ntegr</w:t>
      </w:r>
      <w:r>
        <w:t>it</w:t>
      </w:r>
      <w:r>
        <w:rPr>
          <w:highlight w:val="yellow"/>
        </w:rPr>
        <w:t>y</w:t>
      </w:r>
      <w:r>
        <w:t xml:space="preserve"> for single</w:t>
      </w:r>
      <w:r>
        <w:rPr>
          <w:highlight w:val="yellow"/>
        </w:rPr>
        <w:t>-</w:t>
      </w:r>
      <w:r>
        <w:t xml:space="preserve">use applications. Thickness at various locations </w:t>
      </w:r>
      <w:r>
        <w:rPr>
          <w:highlight w:val="yellow"/>
        </w:rPr>
        <w:t>r</w:t>
      </w:r>
      <w:r>
        <w:t>a</w:t>
      </w:r>
      <w:r>
        <w:rPr>
          <w:highlight w:val="yellow"/>
        </w:rPr>
        <w:t>ng</w:t>
      </w:r>
      <w:r>
        <w:t xml:space="preserve">ed </w:t>
      </w:r>
      <w:r>
        <w:rPr>
          <w:highlight w:val="yellow"/>
        </w:rPr>
        <w:t>from</w:t>
      </w:r>
      <w:r>
        <w:t xml:space="preserve"> 2.03 ± 0.18 mm </w:t>
      </w:r>
      <w:r>
        <w:rPr>
          <w:highlight w:val="yellow"/>
        </w:rPr>
        <w:t>at</w:t>
      </w:r>
      <w:r>
        <w:t xml:space="preserve"> the neck </w:t>
      </w:r>
      <w:r>
        <w:rPr>
          <w:highlight w:val="yellow"/>
        </w:rPr>
        <w:t>to</w:t>
      </w:r>
      <w:r>
        <w:t xml:space="preserve"> 2.37 ± 0.10 mm in the middle p</w:t>
      </w:r>
      <w:r>
        <w:rPr>
          <w:highlight w:val="yellow"/>
        </w:rPr>
        <w:t>o</w:t>
      </w:r>
      <w:r>
        <w:t>rt</w:t>
      </w:r>
      <w:r>
        <w:rPr>
          <w:highlight w:val="yellow"/>
        </w:rPr>
        <w:t>ion</w:t>
      </w:r>
      <w:r>
        <w:t xml:space="preserve"> of the spoon, </w:t>
      </w:r>
      <w:r>
        <w:rPr>
          <w:highlight w:val="yellow"/>
        </w:rPr>
        <w:t>ind</w:t>
      </w:r>
      <w:r>
        <w:t>ic</w:t>
      </w:r>
      <w:r>
        <w:rPr>
          <w:highlight w:val="yellow"/>
        </w:rPr>
        <w:t>at</w:t>
      </w:r>
      <w:r>
        <w:t>i</w:t>
      </w:r>
      <w:r>
        <w:rPr>
          <w:highlight w:val="yellow"/>
        </w:rPr>
        <w:t>ng</w:t>
      </w:r>
      <w:r>
        <w:t xml:space="preserve"> structural uniformity </w:t>
      </w:r>
      <w:r>
        <w:rPr>
          <w:highlight w:val="yellow"/>
        </w:rPr>
        <w:t>rele</w:t>
      </w:r>
      <w:r>
        <w:t xml:space="preserve">vant </w:t>
      </w:r>
      <w:r>
        <w:rPr>
          <w:highlight w:val="yellow"/>
        </w:rPr>
        <w:t>t</w:t>
      </w:r>
      <w:r>
        <w:t>o mechanical function. For h</w:t>
      </w:r>
      <w:r>
        <w:rPr>
          <w:highlight w:val="yellow"/>
        </w:rPr>
        <w:t>andling</w:t>
      </w:r>
      <w:r>
        <w:t xml:space="preserve"> liquid and semi</w:t>
      </w:r>
      <w:r>
        <w:rPr>
          <w:highlight w:val="yellow"/>
        </w:rPr>
        <w:t>-</w:t>
      </w:r>
      <w:r>
        <w:t>liquid food</w:t>
      </w:r>
      <w:r>
        <w:rPr>
          <w:highlight w:val="yellow"/>
        </w:rPr>
        <w:t>s,</w:t>
      </w:r>
      <w:r>
        <w:t xml:space="preserve"> the</w:t>
      </w:r>
      <w:r>
        <w:rPr>
          <w:highlight w:val="yellow"/>
        </w:rPr>
        <w:t xml:space="preserve"> spoon-bowl</w:t>
      </w:r>
      <w:r>
        <w:t xml:space="preserve"> depth </w:t>
      </w:r>
      <w:r>
        <w:rPr>
          <w:highlight w:val="yellow"/>
        </w:rPr>
        <w:t>was</w:t>
      </w:r>
      <w:r>
        <w:t xml:space="preserve"> </w:t>
      </w:r>
      <w:r>
        <w:rPr>
          <w:highlight w:val="yellow"/>
        </w:rPr>
        <w:t>3.81 ± 0.91 mm. The mea</w:t>
      </w:r>
      <w:r>
        <w:t>n bowl diameter and thickness w</w:t>
      </w:r>
      <w:r>
        <w:rPr>
          <w:highlight w:val="yellow"/>
        </w:rPr>
        <w:t>ere</w:t>
      </w:r>
      <w:r>
        <w:t xml:space="preserve"> </w:t>
      </w:r>
      <w:r>
        <w:rPr>
          <w:color w:val="000000" w:themeColor="text1"/>
        </w:rPr>
        <w:t>6.80 ± 0.12 cm and 2.58 ± 0.14 mm</w:t>
      </w:r>
      <w:r>
        <w:rPr>
          <w:color w:val="000000" w:themeColor="text1"/>
          <w:highlight w:val="yellow"/>
        </w:rPr>
        <w:t>,</w:t>
      </w:r>
      <w:r>
        <w:rPr>
          <w:color w:val="000000" w:themeColor="text1"/>
        </w:rPr>
        <w:t xml:space="preserve"> respectively.</w:t>
      </w:r>
    </w:p>
    <w:p w14:paraId="10E16EEB" w14:textId="77777777" w:rsidR="00803A41" w:rsidRPr="00CA4AD9" w:rsidRDefault="00803A41" w:rsidP="00803A41">
      <w:pPr>
        <w:spacing w:before="160" w:after="80" w:line="360" w:lineRule="auto"/>
        <w:jc w:val="both"/>
      </w:pPr>
      <w:r w:rsidRPr="00CA4AD9">
        <w:t>Table 2</w:t>
      </w:r>
      <w:r w:rsidR="00D720EF">
        <w:t>a</w:t>
      </w:r>
      <w:r w:rsidRPr="00CA4AD9">
        <w:t xml:space="preserve">: Physical Dimensions of the Optimized Edible </w:t>
      </w:r>
      <w:r w:rsidR="0089632D">
        <w:t>Cutlery</w:t>
      </w:r>
      <w:r w:rsidRPr="00CA4AD9">
        <w:t xml:space="preserve"> (10% Peel Powder Substitution)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360"/>
        <w:gridCol w:w="2400"/>
      </w:tblGrid>
      <w:tr w:rsidR="00803A41" w:rsidRPr="0022051A" w14:paraId="33D4EE59" w14:textId="77777777" w:rsidTr="008A506E">
        <w:trPr>
          <w:tblHeader/>
        </w:trPr>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3368E92A" w14:textId="77777777" w:rsidR="00803A41" w:rsidRPr="0022051A" w:rsidRDefault="00803A41" w:rsidP="008A506E">
            <w:r w:rsidRPr="0022051A">
              <w:rPr>
                <w:b/>
                <w:bCs/>
              </w:rPr>
              <w:t>Parameter</w:t>
            </w:r>
          </w:p>
        </w:tc>
        <w:tc>
          <w:tcPr>
            <w:tcW w:w="3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5AC5C826" w14:textId="77777777" w:rsidR="00803A41" w:rsidRPr="0022051A" w:rsidRDefault="00803A41" w:rsidP="008A506E">
            <w:r w:rsidRPr="0022051A">
              <w:rPr>
                <w:b/>
                <w:bCs/>
              </w:rPr>
              <w:t>Readings</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709C361D" w14:textId="77777777" w:rsidR="00803A41" w:rsidRPr="0022051A" w:rsidRDefault="00803A41" w:rsidP="008A506E">
            <w:r w:rsidRPr="0022051A">
              <w:rPr>
                <w:b/>
                <w:bCs/>
              </w:rPr>
              <w:t>Mean ± SD</w:t>
            </w:r>
          </w:p>
        </w:tc>
      </w:tr>
      <w:tr w:rsidR="00803A41" w:rsidRPr="0022051A" w14:paraId="2B85E0E0" w14:textId="77777777" w:rsidTr="008A506E">
        <w:trPr>
          <w:trHeight w:val="265"/>
        </w:trPr>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AC890E5" w14:textId="77777777" w:rsidR="00803A41" w:rsidRPr="0022051A" w:rsidRDefault="00803A41" w:rsidP="008A506E">
            <w:r w:rsidRPr="0022051A">
              <w:t>Lower part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B6B5C62" w14:textId="77777777" w:rsidR="00803A41" w:rsidRPr="0022051A" w:rsidRDefault="00803A41" w:rsidP="008A506E">
            <w:r w:rsidRPr="0022051A">
              <w:t>2.45, 2.22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0C40878" w14:textId="77777777" w:rsidR="00803A41" w:rsidRPr="0022051A" w:rsidRDefault="00803A41" w:rsidP="008A506E">
            <w:r w:rsidRPr="0022051A">
              <w:t>2.34 ± 0.16</w:t>
            </w:r>
          </w:p>
        </w:tc>
      </w:tr>
      <w:tr w:rsidR="00803A41" w:rsidRPr="0022051A" w14:paraId="04498CEF"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A10BFD3" w14:textId="77777777" w:rsidR="00803A41" w:rsidRPr="0022051A" w:rsidRDefault="00803A41" w:rsidP="008A506E">
            <w:r w:rsidRPr="0022051A">
              <w:t>Middle portion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F9BE24E" w14:textId="77777777" w:rsidR="00803A41" w:rsidRPr="0022051A" w:rsidRDefault="00803A41" w:rsidP="008A506E">
            <w:r w:rsidRPr="0022051A">
              <w:t>2.26, 2.44, 2.40</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A45D6AE" w14:textId="77777777" w:rsidR="00803A41" w:rsidRPr="0022051A" w:rsidRDefault="00803A41" w:rsidP="008A506E">
            <w:r w:rsidRPr="0022051A">
              <w:t>2.37 ± 0.10</w:t>
            </w:r>
          </w:p>
        </w:tc>
      </w:tr>
      <w:tr w:rsidR="00803A41" w:rsidRPr="0022051A" w14:paraId="7BD8FCF9"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4B05763" w14:textId="77777777" w:rsidR="00803A41" w:rsidRPr="0022051A" w:rsidRDefault="00803A41" w:rsidP="008A506E">
            <w:r w:rsidRPr="0022051A">
              <w:t>Neck region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C152B09" w14:textId="77777777" w:rsidR="00803A41" w:rsidRPr="0022051A" w:rsidRDefault="00803A41" w:rsidP="008A506E">
            <w:r w:rsidRPr="0022051A">
              <w:t>1.90, 2.16</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320C957" w14:textId="77777777" w:rsidR="00803A41" w:rsidRPr="0022051A" w:rsidRDefault="00803A41" w:rsidP="008A506E">
            <w:r w:rsidRPr="0022051A">
              <w:t>2.03 ± 0.18</w:t>
            </w:r>
          </w:p>
        </w:tc>
      </w:tr>
      <w:tr w:rsidR="00803A41" w:rsidRPr="0022051A" w14:paraId="115674E0"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E6DCBA6" w14:textId="77777777" w:rsidR="00803A41" w:rsidRPr="0022051A" w:rsidRDefault="00803A41" w:rsidP="008A506E">
            <w:r w:rsidRPr="0022051A">
              <w:t>Depth of spoon bowl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52A8E6C" w14:textId="77777777" w:rsidR="00803A41" w:rsidRPr="0022051A" w:rsidRDefault="00803A41" w:rsidP="008A506E">
            <w:r w:rsidRPr="0022051A">
              <w:t>3.20, 3.37, 4.85</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CA6AD63" w14:textId="77777777" w:rsidR="00803A41" w:rsidRPr="0022051A" w:rsidRDefault="00803A41" w:rsidP="008A506E">
            <w:r w:rsidRPr="007F5E87">
              <w:t>3.81 ± 0.91</w:t>
            </w:r>
          </w:p>
        </w:tc>
      </w:tr>
      <w:tr w:rsidR="00803A41" w:rsidRPr="0022051A" w14:paraId="06A518BA"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CCE7AE9" w14:textId="77777777" w:rsidR="00803A41" w:rsidRPr="0022051A" w:rsidRDefault="00803A41" w:rsidP="008A506E">
            <w:r w:rsidRPr="0022051A">
              <w:t>Length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84E05B3" w14:textId="77777777" w:rsidR="00803A41" w:rsidRPr="0022051A" w:rsidRDefault="00803A41" w:rsidP="008A506E">
            <w:r w:rsidRPr="0022051A">
              <w:t>7.21, 7.24, 6.98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43D81B0" w14:textId="77777777" w:rsidR="00803A41" w:rsidRPr="0022051A" w:rsidRDefault="00803A41" w:rsidP="008A506E">
            <w:r w:rsidRPr="0022051A">
              <w:t>7.14 ± 0.14</w:t>
            </w:r>
          </w:p>
        </w:tc>
      </w:tr>
      <w:tr w:rsidR="00803A41" w:rsidRPr="0022051A" w14:paraId="09FBD7C3"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6B25E9B" w14:textId="77777777" w:rsidR="00803A41" w:rsidRPr="0022051A" w:rsidRDefault="00803A41" w:rsidP="008A506E">
            <w:r w:rsidRPr="0022051A">
              <w:t>Width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3E41B48" w14:textId="77777777" w:rsidR="00803A41" w:rsidRPr="0022051A" w:rsidRDefault="00803A41" w:rsidP="008A506E">
            <w:r w:rsidRPr="0022051A">
              <w:t>0.84, 0.76, 0.82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0F74AC2" w14:textId="77777777" w:rsidR="00803A41" w:rsidRPr="0022051A" w:rsidRDefault="00803A41" w:rsidP="008A506E">
            <w:r w:rsidRPr="0022051A">
              <w:t>0.81 ± 0.04</w:t>
            </w:r>
          </w:p>
        </w:tc>
      </w:tr>
      <w:tr w:rsidR="00803A41" w:rsidRPr="0022051A" w14:paraId="64B45651"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D90FACE" w14:textId="77777777" w:rsidR="00803A41" w:rsidRPr="0022051A" w:rsidRDefault="00803A41" w:rsidP="008A506E">
            <w:r w:rsidRPr="0022051A">
              <w:t>Weight of spoon (g)</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DF275B2" w14:textId="77777777" w:rsidR="00803A41" w:rsidRPr="0022051A" w:rsidRDefault="00803A41" w:rsidP="008A506E">
            <w:r w:rsidRPr="0022051A">
              <w:t>4.45, 4.36, 4.12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99A04BB" w14:textId="77777777" w:rsidR="00803A41" w:rsidRPr="0022051A" w:rsidRDefault="00803A41" w:rsidP="008A506E">
            <w:r w:rsidRPr="0022051A">
              <w:t>4.31 ± 0.17</w:t>
            </w:r>
          </w:p>
        </w:tc>
      </w:tr>
      <w:tr w:rsidR="00803A41" w:rsidRPr="0022051A" w14:paraId="3260D7C4"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5606034" w14:textId="77777777" w:rsidR="00803A41" w:rsidRPr="0022051A" w:rsidRDefault="00803A41" w:rsidP="008A506E">
            <w:r>
              <w:rPr>
                <w:color w:val="000000" w:themeColor="text1"/>
              </w:rPr>
              <w:t xml:space="preserve">Weight of bowl (g) </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D57919F" w14:textId="77777777" w:rsidR="00803A41" w:rsidRPr="0022051A" w:rsidRDefault="00803A41" w:rsidP="008A506E">
            <w:r>
              <w:rPr>
                <w:color w:val="000000" w:themeColor="text1"/>
              </w:rPr>
              <w:t>26.31, 30.12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7A356F" w14:textId="77777777" w:rsidR="00803A41" w:rsidRPr="0022051A" w:rsidRDefault="00803A41" w:rsidP="008A506E">
            <w:r>
              <w:rPr>
                <w:color w:val="000000" w:themeColor="text1"/>
              </w:rPr>
              <w:t xml:space="preserve">28.21 </w:t>
            </w:r>
            <w:r w:rsidRPr="00130953">
              <w:rPr>
                <w:color w:val="000000" w:themeColor="text1"/>
              </w:rPr>
              <w:t>±</w:t>
            </w:r>
            <w:r>
              <w:rPr>
                <w:color w:val="000000" w:themeColor="text1"/>
              </w:rPr>
              <w:t xml:space="preserve"> 2.69</w:t>
            </w:r>
          </w:p>
        </w:tc>
      </w:tr>
      <w:tr w:rsidR="00803A41" w:rsidRPr="0022051A" w14:paraId="0F4DEC64"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842382B" w14:textId="77777777" w:rsidR="00803A41" w:rsidRDefault="00803A41" w:rsidP="008A506E">
            <w:pPr>
              <w:rPr>
                <w:color w:val="000000" w:themeColor="text1"/>
              </w:rPr>
            </w:pPr>
            <w:r w:rsidRPr="00130953">
              <w:rPr>
                <w:color w:val="000000" w:themeColor="text1"/>
              </w:rPr>
              <w:t>Diameter of bowl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F71ABC7" w14:textId="77777777" w:rsidR="00803A41" w:rsidRDefault="00803A41" w:rsidP="008A506E">
            <w:pPr>
              <w:rPr>
                <w:color w:val="000000" w:themeColor="text1"/>
              </w:rPr>
            </w:pPr>
            <w:r w:rsidRPr="00130953">
              <w:rPr>
                <w:color w:val="000000" w:themeColor="text1"/>
              </w:rPr>
              <w:t>6.71, 6.88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6D7C92F" w14:textId="77777777" w:rsidR="00803A41" w:rsidRDefault="00803A41" w:rsidP="008A506E">
            <w:pPr>
              <w:rPr>
                <w:color w:val="000000" w:themeColor="text1"/>
              </w:rPr>
            </w:pPr>
            <w:r w:rsidRPr="00130953">
              <w:rPr>
                <w:color w:val="000000" w:themeColor="text1"/>
              </w:rPr>
              <w:t>6.</w:t>
            </w:r>
            <w:r>
              <w:rPr>
                <w:color w:val="000000" w:themeColor="text1"/>
              </w:rPr>
              <w:t>80</w:t>
            </w:r>
            <w:r w:rsidRPr="00130953">
              <w:rPr>
                <w:color w:val="000000" w:themeColor="text1"/>
              </w:rPr>
              <w:t xml:space="preserve"> ± 0.</w:t>
            </w:r>
            <w:r>
              <w:rPr>
                <w:color w:val="000000" w:themeColor="text1"/>
              </w:rPr>
              <w:t>12</w:t>
            </w:r>
          </w:p>
        </w:tc>
      </w:tr>
      <w:tr w:rsidR="00803A41" w:rsidRPr="0022051A" w14:paraId="75092FE9"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B72636A" w14:textId="77777777" w:rsidR="00803A41" w:rsidRDefault="00803A41" w:rsidP="008A506E">
            <w:pPr>
              <w:rPr>
                <w:color w:val="000000" w:themeColor="text1"/>
              </w:rPr>
            </w:pPr>
            <w:r w:rsidRPr="00130953">
              <w:rPr>
                <w:color w:val="000000" w:themeColor="text1"/>
              </w:rPr>
              <w:t>Bowl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E5C9DFE" w14:textId="77777777" w:rsidR="00803A41" w:rsidRDefault="00803A41" w:rsidP="008A506E">
            <w:pPr>
              <w:rPr>
                <w:color w:val="000000" w:themeColor="text1"/>
              </w:rPr>
            </w:pPr>
            <w:r w:rsidRPr="00130953">
              <w:rPr>
                <w:color w:val="000000" w:themeColor="text1"/>
              </w:rPr>
              <w:t>2.68, 2.48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225F3DD" w14:textId="77777777" w:rsidR="00803A41" w:rsidRDefault="00803A41" w:rsidP="008A506E">
            <w:pPr>
              <w:rPr>
                <w:color w:val="000000" w:themeColor="text1"/>
              </w:rPr>
            </w:pPr>
            <w:r w:rsidRPr="00130953">
              <w:rPr>
                <w:color w:val="000000" w:themeColor="text1"/>
              </w:rPr>
              <w:t>2.58 ± 0.14</w:t>
            </w:r>
          </w:p>
        </w:tc>
      </w:tr>
    </w:tbl>
    <w:p w14:paraId="7C7FFA8C" w14:textId="77777777" w:rsidR="00803A41" w:rsidRDefault="00803A41" w:rsidP="00803A41">
      <w:pPr>
        <w:spacing w:before="160" w:after="100" w:line="360" w:lineRule="auto"/>
        <w:jc w:val="both"/>
      </w:pPr>
      <w:r>
        <w:t>It can be noted that</w:t>
      </w:r>
      <w:r>
        <w:rPr>
          <w:highlight w:val="yellow"/>
        </w:rPr>
        <w:t>,</w:t>
      </w:r>
      <w:r>
        <w:t xml:space="preserve"> despite the relatively low baking temperature, the developed spoons maintained acceptable structural integrity </w:t>
      </w:r>
      <w:r>
        <w:rPr>
          <w:highlight w:val="yellow"/>
        </w:rPr>
        <w:t>beca</w:t>
      </w:r>
      <w:r>
        <w:t>u</w:t>
      </w:r>
      <w:r>
        <w:rPr>
          <w:highlight w:val="yellow"/>
        </w:rPr>
        <w:t>s</w:t>
      </w:r>
      <w:r>
        <w:t>e o</w:t>
      </w:r>
      <w:r>
        <w:rPr>
          <w:highlight w:val="yellow"/>
        </w:rPr>
        <w:t>f</w:t>
      </w:r>
      <w:r>
        <w:t xml:space="preserve"> gradual moisture removal during prolonged drying, starch gelatini</w:t>
      </w:r>
      <w:r>
        <w:rPr>
          <w:highlight w:val="yellow"/>
        </w:rPr>
        <w:t>s</w:t>
      </w:r>
      <w:r>
        <w:t>ation from sago flour, and gluten</w:t>
      </w:r>
      <w:r>
        <w:rPr>
          <w:highlight w:val="yellow"/>
        </w:rPr>
        <w:t>-</w:t>
      </w:r>
      <w:r>
        <w:t>network formation from wheat flour.</w:t>
      </w:r>
    </w:p>
    <w:p w14:paraId="54BBC545" w14:textId="77777777" w:rsidR="00803A41" w:rsidRDefault="00803A41" w:rsidP="00803A41">
      <w:pPr>
        <w:spacing w:before="160" w:after="100" w:line="360" w:lineRule="auto"/>
        <w:ind w:left="2880" w:firstLine="720"/>
        <w:jc w:val="both"/>
      </w:pPr>
      <w:r>
        <w:rPr>
          <w:noProof/>
        </w:rPr>
        <w:drawing>
          <wp:inline distT="0" distB="0" distL="0" distR="0" wp14:anchorId="2910CE06" wp14:editId="04BC94C0">
            <wp:extent cx="1630583" cy="1382494"/>
            <wp:effectExtent l="0" t="0" r="8255" b="8255"/>
            <wp:docPr id="43145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5273" name="Picture 431455273"/>
                    <pic:cNvPicPr/>
                  </pic:nvPicPr>
                  <pic:blipFill rotWithShape="1">
                    <a:blip r:embed="rId19" cstate="print">
                      <a:extLst>
                        <a:ext uri="{28A0092B-C50C-407E-A947-70E740481C1C}">
                          <a14:useLocalDpi xmlns:a14="http://schemas.microsoft.com/office/drawing/2010/main" val="0"/>
                        </a:ext>
                      </a:extLst>
                    </a:blip>
                    <a:srcRect t="18427" b="26111"/>
                    <a:stretch>
                      <a:fillRect/>
                    </a:stretch>
                  </pic:blipFill>
                  <pic:spPr bwMode="auto">
                    <a:xfrm>
                      <a:off x="0" y="0"/>
                      <a:ext cx="1645136" cy="1394833"/>
                    </a:xfrm>
                    <a:prstGeom prst="rect">
                      <a:avLst/>
                    </a:prstGeom>
                    <a:ln>
                      <a:noFill/>
                    </a:ln>
                    <a:extLst>
                      <a:ext uri="{53640926-AAD7-44D8-BBD7-CCE9431645EC}">
                        <a14:shadowObscured xmlns:a14="http://schemas.microsoft.com/office/drawing/2010/main"/>
                      </a:ext>
                    </a:extLst>
                  </pic:spPr>
                </pic:pic>
              </a:graphicData>
            </a:graphic>
          </wp:inline>
        </w:drawing>
      </w:r>
    </w:p>
    <w:p w14:paraId="428BBE02" w14:textId="77777777" w:rsidR="00803A41" w:rsidRPr="00AA09F8" w:rsidRDefault="00803A41" w:rsidP="00803A41">
      <w:pPr>
        <w:spacing w:before="160" w:after="80" w:line="360" w:lineRule="auto"/>
        <w:ind w:left="1440" w:firstLine="720"/>
        <w:jc w:val="both"/>
        <w:rPr>
          <w:b/>
          <w:bCs/>
        </w:rPr>
      </w:pPr>
      <w:r w:rsidRPr="00AA09F8">
        <w:rPr>
          <w:b/>
          <w:bCs/>
        </w:rPr>
        <w:lastRenderedPageBreak/>
        <w:t>Figure 2 : 10% Peel incorporated edible cutlery after baking</w:t>
      </w:r>
    </w:p>
    <w:p w14:paraId="060539AF" w14:textId="77777777" w:rsidR="00803A41" w:rsidRPr="00803A41" w:rsidRDefault="00803A41" w:rsidP="00803A41">
      <w:pPr>
        <w:spacing w:before="160" w:after="100" w:line="360" w:lineRule="auto"/>
      </w:pPr>
      <w:r w:rsidRPr="00803A41">
        <w:rPr>
          <w:b/>
          <w:bCs/>
        </w:rPr>
        <w:t>3.3 pH and Colorimetric Properties</w:t>
      </w:r>
    </w:p>
    <w:p w14:paraId="118291B8" w14:textId="77777777" w:rsidR="008E0DE4" w:rsidRDefault="00467040" w:rsidP="008E0DE4">
      <w:pPr>
        <w:spacing w:before="160" w:after="100" w:line="360" w:lineRule="auto"/>
        <w:jc w:val="both"/>
      </w:pPr>
      <w:r>
        <w:t>The pH value of the optimi</w:t>
      </w:r>
      <w:r>
        <w:rPr>
          <w:highlight w:val="yellow"/>
        </w:rPr>
        <w:t>s</w:t>
      </w:r>
      <w:r>
        <w:t>ed cutlery was 5.74</w:t>
      </w:r>
      <w:r>
        <w:rPr>
          <w:highlight w:val="yellow"/>
        </w:rPr>
        <w:t>,</w:t>
      </w:r>
      <w:r>
        <w:t xml:space="preserve"> </w:t>
      </w:r>
      <w:r>
        <w:rPr>
          <w:highlight w:val="yellow"/>
        </w:rPr>
        <w:t>ind</w:t>
      </w:r>
      <w:r>
        <w:t>ica</w:t>
      </w:r>
      <w:r>
        <w:rPr>
          <w:highlight w:val="yellow"/>
        </w:rPr>
        <w:t>ting</w:t>
      </w:r>
      <w:r>
        <w:t xml:space="preserve"> mild acidi</w:t>
      </w:r>
      <w:r>
        <w:rPr>
          <w:highlight w:val="yellow"/>
        </w:rPr>
        <w:t>ty</w:t>
      </w:r>
      <w:r>
        <w:t xml:space="preserve"> (</w:t>
      </w:r>
      <w:r>
        <w:rPr>
          <w:highlight w:val="yellow"/>
        </w:rPr>
        <w:t xml:space="preserve">individual readings: </w:t>
      </w:r>
      <w:r>
        <w:t>5.76, 5.80</w:t>
      </w:r>
      <w:r>
        <w:rPr>
          <w:highlight w:val="yellow"/>
        </w:rPr>
        <w:t>,</w:t>
      </w:r>
      <w:r>
        <w:t xml:space="preserve"> and 5.65). This slight acidity may be due to the presence of organic acids naturally </w:t>
      </w:r>
      <w:r>
        <w:rPr>
          <w:highlight w:val="yellow"/>
        </w:rPr>
        <w:t>occu</w:t>
      </w:r>
      <w:r>
        <w:t>r</w:t>
      </w:r>
      <w:r>
        <w:rPr>
          <w:highlight w:val="yellow"/>
        </w:rPr>
        <w:t>ri</w:t>
      </w:r>
      <w:r>
        <w:t>n</w:t>
      </w:r>
      <w:r>
        <w:rPr>
          <w:highlight w:val="yellow"/>
        </w:rPr>
        <w:t>g</w:t>
      </w:r>
      <w:r>
        <w:t xml:space="preserve"> in carrot and beetroot</w:t>
      </w:r>
      <w:r>
        <w:rPr>
          <w:highlight w:val="yellow"/>
        </w:rPr>
        <w:t xml:space="preserve"> matrices</w:t>
      </w:r>
      <w:r>
        <w:t xml:space="preserve"> (oxalic acid, citric acid, malic acid</w:t>
      </w:r>
      <w:r>
        <w:rPr>
          <w:highlight w:val="yellow"/>
        </w:rPr>
        <w:t>,</w:t>
      </w:r>
      <w:r>
        <w:t xml:space="preserve"> etc.) as well as phenolic compounds </w:t>
      </w:r>
      <w:r>
        <w:rPr>
          <w:highlight w:val="yellow"/>
        </w:rPr>
        <w:t>fr</w:t>
      </w:r>
      <w:r>
        <w:t>o</w:t>
      </w:r>
      <w:r>
        <w:rPr>
          <w:highlight w:val="yellow"/>
        </w:rPr>
        <w:t>m</w:t>
      </w:r>
      <w:r>
        <w:t xml:space="preserve"> cinnamon. pH, one of the intrinsic factors of bakery products, plays an important role in </w:t>
      </w:r>
      <w:r>
        <w:rPr>
          <w:highlight w:val="yellow"/>
        </w:rPr>
        <w:t>produc</w:t>
      </w:r>
      <w:r>
        <w:t>t quality, browning reactions</w:t>
      </w:r>
      <w:r>
        <w:rPr>
          <w:highlight w:val="yellow"/>
        </w:rPr>
        <w:t>,</w:t>
      </w:r>
      <w:r>
        <w:t xml:space="preserve"> and microbial stability (Lukinac et al., 2022). The acidity </w:t>
      </w:r>
      <w:r>
        <w:rPr>
          <w:highlight w:val="yellow"/>
        </w:rPr>
        <w:t xml:space="preserve">may </w:t>
      </w:r>
      <w:r>
        <w:t>also provide</w:t>
      </w:r>
      <w:r>
        <w:rPr>
          <w:highlight w:val="yellow"/>
        </w:rPr>
        <w:t xml:space="preserve"> </w:t>
      </w:r>
      <w:r>
        <w:t>s</w:t>
      </w:r>
      <w:r>
        <w:rPr>
          <w:highlight w:val="yellow"/>
        </w:rPr>
        <w:t>ome</w:t>
      </w:r>
      <w:r>
        <w:t xml:space="preserve"> protection against </w:t>
      </w:r>
      <w:r>
        <w:rPr>
          <w:highlight w:val="yellow"/>
        </w:rPr>
        <w:t xml:space="preserve">the </w:t>
      </w:r>
      <w:r>
        <w:t>growth of microorganisms during storage under ambient conditions. Th</w:t>
      </w:r>
      <w:r>
        <w:rPr>
          <w:highlight w:val="yellow"/>
        </w:rPr>
        <w:t>e ob</w:t>
      </w:r>
      <w:r>
        <w:t>s</w:t>
      </w:r>
      <w:r>
        <w:rPr>
          <w:highlight w:val="yellow"/>
        </w:rPr>
        <w:t>e</w:t>
      </w:r>
      <w:r>
        <w:t>rve</w:t>
      </w:r>
      <w:r>
        <w:rPr>
          <w:highlight w:val="yellow"/>
        </w:rPr>
        <w:t>d co</w:t>
      </w:r>
      <w:r>
        <w:t>l</w:t>
      </w:r>
      <w:r>
        <w:rPr>
          <w:highlight w:val="yellow"/>
        </w:rPr>
        <w:t>our</w:t>
      </w:r>
      <w:r>
        <w:t xml:space="preserve"> (L* = 41.35) </w:t>
      </w:r>
      <w:r>
        <w:rPr>
          <w:highlight w:val="yellow"/>
        </w:rPr>
        <w:t>may refle</w:t>
      </w:r>
      <w:r>
        <w:t>c</w:t>
      </w:r>
      <w:r>
        <w:rPr>
          <w:highlight w:val="yellow"/>
        </w:rPr>
        <w:t>t</w:t>
      </w:r>
      <w:r>
        <w:t xml:space="preserve"> the darkening of beetroot and carrot pigments (betalains and carotenoids) during baking, </w:t>
      </w:r>
      <w:r>
        <w:rPr>
          <w:highlight w:val="yellow"/>
        </w:rPr>
        <w:t>t</w:t>
      </w:r>
      <w:r>
        <w:t>o</w:t>
      </w:r>
      <w:r>
        <w:rPr>
          <w:highlight w:val="yellow"/>
        </w:rPr>
        <w:t>g</w:t>
      </w:r>
      <w:r>
        <w:t>e</w:t>
      </w:r>
      <w:r>
        <w:rPr>
          <w:highlight w:val="yellow"/>
        </w:rPr>
        <w:t>ther</w:t>
      </w:r>
      <w:r>
        <w:t xml:space="preserve"> with Maillard and carameli</w:t>
      </w:r>
      <w:r>
        <w:rPr>
          <w:highlight w:val="yellow"/>
        </w:rPr>
        <w:t>s</w:t>
      </w:r>
      <w:r>
        <w:t xml:space="preserve">ation reactions. The positive b* value (11.32) indicates a yellow-orange hue, </w:t>
      </w:r>
      <w:r>
        <w:rPr>
          <w:highlight w:val="yellow"/>
        </w:rPr>
        <w:t>whi</w:t>
      </w:r>
      <w:r>
        <w:t xml:space="preserve">ch is </w:t>
      </w:r>
      <w:r>
        <w:rPr>
          <w:highlight w:val="yellow"/>
        </w:rPr>
        <w:t>consis</w:t>
      </w:r>
      <w:r>
        <w:t>t</w:t>
      </w:r>
      <w:r>
        <w:rPr>
          <w:highlight w:val="yellow"/>
        </w:rPr>
        <w:t>ent w</w:t>
      </w:r>
      <w:r>
        <w:t>i</w:t>
      </w:r>
      <w:r>
        <w:rPr>
          <w:highlight w:val="yellow"/>
        </w:rPr>
        <w:t>th</w:t>
      </w:r>
      <w:r>
        <w:t xml:space="preserve"> carotenoid pigmentation</w:t>
      </w:r>
      <w:r>
        <w:rPr>
          <w:highlight w:val="yellow"/>
        </w:rPr>
        <w:t>,</w:t>
      </w:r>
      <w:r>
        <w:t xml:space="preserve"> </w:t>
      </w:r>
      <w:r>
        <w:rPr>
          <w:highlight w:val="yellow"/>
        </w:rPr>
        <w:t>while</w:t>
      </w:r>
      <w:r>
        <w:t xml:space="preserve"> the near</w:t>
      </w:r>
      <w:r>
        <w:rPr>
          <w:highlight w:val="yellow"/>
        </w:rPr>
        <w:t>-</w:t>
      </w:r>
      <w:r>
        <w:t>neutral</w:t>
      </w:r>
      <w:r>
        <w:rPr>
          <w:highlight w:val="yellow"/>
        </w:rPr>
        <w:t xml:space="preserve"> a* value</w:t>
      </w:r>
      <w:r>
        <w:t xml:space="preserve"> (0.46) indicates a balance between red and green components, with the red component of betalains </w:t>
      </w:r>
      <w:r>
        <w:rPr>
          <w:highlight w:val="yellow"/>
        </w:rPr>
        <w:t xml:space="preserve">potentially </w:t>
      </w:r>
      <w:r>
        <w:t xml:space="preserve">masked by </w:t>
      </w:r>
      <w:r>
        <w:rPr>
          <w:highlight w:val="yellow"/>
        </w:rPr>
        <w:t>baking-rela</w:t>
      </w:r>
      <w:r>
        <w:t>te</w:t>
      </w:r>
      <w:r>
        <w:rPr>
          <w:highlight w:val="yellow"/>
        </w:rPr>
        <w:t>d</w:t>
      </w:r>
      <w:r>
        <w:t xml:space="preserve"> browning. The colorimetric properties confirm the presence of natural</w:t>
      </w:r>
      <w:r>
        <w:rPr>
          <w:highlight w:val="yellow"/>
        </w:rPr>
        <w:t>ly</w:t>
      </w:r>
      <w:r>
        <w:t xml:space="preserve"> coloured components, which </w:t>
      </w:r>
      <w:r>
        <w:rPr>
          <w:highlight w:val="yellow"/>
        </w:rPr>
        <w:t>m</w:t>
      </w:r>
      <w:r>
        <w:t>a</w:t>
      </w:r>
      <w:r>
        <w:rPr>
          <w:highlight w:val="yellow"/>
        </w:rPr>
        <w:t>y</w:t>
      </w:r>
      <w:r>
        <w:t xml:space="preserve"> be a </w:t>
      </w:r>
      <w:r>
        <w:rPr>
          <w:highlight w:val="yellow"/>
        </w:rPr>
        <w:t>usefu</w:t>
      </w:r>
      <w:r>
        <w:t>l feature for clean</w:t>
      </w:r>
      <w:r>
        <w:rPr>
          <w:highlight w:val="yellow"/>
        </w:rPr>
        <w:t>-</w:t>
      </w:r>
      <w:r>
        <w:t xml:space="preserve">label consumer products in which synthetic colourants </w:t>
      </w:r>
      <w:r>
        <w:rPr>
          <w:highlight w:val="yellow"/>
        </w:rPr>
        <w:t>a</w:t>
      </w:r>
      <w:r>
        <w:t>re</w:t>
      </w:r>
      <w:r>
        <w:rPr>
          <w:highlight w:val="yellow"/>
        </w:rPr>
        <w:t xml:space="preserve"> av</w:t>
      </w:r>
      <w:r>
        <w:t>o</w:t>
      </w:r>
      <w:r>
        <w:rPr>
          <w:highlight w:val="yellow"/>
        </w:rPr>
        <w:t>i</w:t>
      </w:r>
      <w:r>
        <w:t>ded.</w:t>
      </w:r>
    </w:p>
    <w:p w14:paraId="591CFA96" w14:textId="77777777" w:rsidR="00803A41" w:rsidRPr="00803A41" w:rsidRDefault="00803A41" w:rsidP="008E0DE4">
      <w:pPr>
        <w:spacing w:before="160" w:after="100" w:line="360" w:lineRule="auto"/>
        <w:jc w:val="both"/>
      </w:pPr>
      <w:r w:rsidRPr="00803A41">
        <w:rPr>
          <w:b/>
          <w:bCs/>
        </w:rPr>
        <w:t>3.4 Functional Properties</w:t>
      </w:r>
    </w:p>
    <w:p w14:paraId="47C635EB" w14:textId="77777777" w:rsidR="008E0DE4" w:rsidRDefault="008E0DE4" w:rsidP="008E0DE4">
      <w:pPr>
        <w:spacing w:before="160" w:after="100" w:line="360" w:lineRule="auto"/>
        <w:jc w:val="both"/>
      </w:pPr>
      <w:r>
        <w:t>The water</w:t>
      </w:r>
      <w:r>
        <w:rPr>
          <w:highlight w:val="yellow"/>
        </w:rPr>
        <w:t>-</w:t>
      </w:r>
      <w:r>
        <w:t>holding capacity (WHC) and oil</w:t>
      </w:r>
      <w:r>
        <w:rPr>
          <w:highlight w:val="yellow"/>
        </w:rPr>
        <w:t>-</w:t>
      </w:r>
      <w:r>
        <w:t>holding capacity (OHC) of the optimi</w:t>
      </w:r>
      <w:r>
        <w:rPr>
          <w:highlight w:val="yellow"/>
        </w:rPr>
        <w:t>s</w:t>
      </w:r>
      <w:r>
        <w:t xml:space="preserve">ed cutlery (F2) </w:t>
      </w:r>
      <w:r>
        <w:rPr>
          <w:highlight w:val="yellow"/>
        </w:rPr>
        <w:t>we</w:t>
      </w:r>
      <w:r>
        <w:t>re 83% and 118%</w:t>
      </w:r>
      <w:r>
        <w:rPr>
          <w:highlight w:val="yellow"/>
        </w:rPr>
        <w:t>,</w:t>
      </w:r>
      <w:r>
        <w:t xml:space="preserve"> respectively. The moderate-</w:t>
      </w:r>
      <w:r>
        <w:rPr>
          <w:highlight w:val="yellow"/>
        </w:rPr>
        <w:t>to-</w:t>
      </w:r>
      <w:r>
        <w:t xml:space="preserve">high WHC </w:t>
      </w:r>
      <w:r>
        <w:rPr>
          <w:highlight w:val="yellow"/>
        </w:rPr>
        <w:t>in</w:t>
      </w:r>
      <w:r>
        <w:t>d</w:t>
      </w:r>
      <w:r>
        <w:rPr>
          <w:highlight w:val="yellow"/>
        </w:rPr>
        <w:t>ic</w:t>
      </w:r>
      <w:r>
        <w:t xml:space="preserve">ates that </w:t>
      </w:r>
      <w:r>
        <w:rPr>
          <w:highlight w:val="yellow"/>
        </w:rPr>
        <w:t>the</w:t>
      </w:r>
      <w:r>
        <w:t xml:space="preserve"> dense starch-fib</w:t>
      </w:r>
      <w:r>
        <w:rPr>
          <w:highlight w:val="yellow"/>
        </w:rPr>
        <w:t>r</w:t>
      </w:r>
      <w:r>
        <w:t>e matrix c</w:t>
      </w:r>
      <w:r>
        <w:rPr>
          <w:highlight w:val="yellow"/>
        </w:rPr>
        <w:t>a</w:t>
      </w:r>
      <w:r>
        <w:t>n control moisture penetration</w:t>
      </w:r>
      <w:r>
        <w:rPr>
          <w:highlight w:val="yellow"/>
        </w:rPr>
        <w:t>,</w:t>
      </w:r>
      <w:r>
        <w:t xml:space="preserve"> p</w:t>
      </w:r>
      <w:r>
        <w:rPr>
          <w:highlight w:val="yellow"/>
        </w:rPr>
        <w:t>ot</w:t>
      </w:r>
      <w:r>
        <w:t>enti</w:t>
      </w:r>
      <w:r>
        <w:rPr>
          <w:highlight w:val="yellow"/>
        </w:rPr>
        <w:t>ally reduci</w:t>
      </w:r>
      <w:r>
        <w:t xml:space="preserve">ng </w:t>
      </w:r>
      <w:r>
        <w:rPr>
          <w:highlight w:val="yellow"/>
        </w:rPr>
        <w:t>r</w:t>
      </w:r>
      <w:r>
        <w:t>a</w:t>
      </w:r>
      <w:r>
        <w:rPr>
          <w:highlight w:val="yellow"/>
        </w:rPr>
        <w:t>pid</w:t>
      </w:r>
      <w:r>
        <w:t xml:space="preserve"> structural collapse and early sogginess </w:t>
      </w:r>
      <w:r>
        <w:rPr>
          <w:highlight w:val="yellow"/>
        </w:rPr>
        <w:t>when</w:t>
      </w:r>
      <w:r>
        <w:t xml:space="preserve"> the cutlery i</w:t>
      </w:r>
      <w:r>
        <w:rPr>
          <w:highlight w:val="yellow"/>
        </w:rPr>
        <w:t>s</w:t>
      </w:r>
      <w:r>
        <w:t xml:space="preserve"> e</w:t>
      </w:r>
      <w:r>
        <w:rPr>
          <w:highlight w:val="yellow"/>
        </w:rPr>
        <w:t>xpos</w:t>
      </w:r>
      <w:r>
        <w:t>e</w:t>
      </w:r>
      <w:r>
        <w:rPr>
          <w:highlight w:val="yellow"/>
        </w:rPr>
        <w:t>d</w:t>
      </w:r>
      <w:r>
        <w:t xml:space="preserve"> to aqueous food</w:t>
      </w:r>
      <w:r>
        <w:rPr>
          <w:highlight w:val="yellow"/>
        </w:rPr>
        <w:t>s</w:t>
      </w:r>
      <w:r>
        <w:t>. At the same time, the h</w:t>
      </w:r>
      <w:r>
        <w:rPr>
          <w:highlight w:val="yellow"/>
        </w:rPr>
        <w:t>i</w:t>
      </w:r>
      <w:r>
        <w:t>g</w:t>
      </w:r>
      <w:r>
        <w:rPr>
          <w:highlight w:val="yellow"/>
        </w:rPr>
        <w:t>h</w:t>
      </w:r>
      <w:r>
        <w:t xml:space="preserve">er OHC </w:t>
      </w:r>
      <w:r>
        <w:rPr>
          <w:highlight w:val="yellow"/>
        </w:rPr>
        <w:t>may</w:t>
      </w:r>
      <w:r>
        <w:t xml:space="preserve"> </w:t>
      </w:r>
      <w:r>
        <w:rPr>
          <w:highlight w:val="yellow"/>
        </w:rPr>
        <w:t>b</w:t>
      </w:r>
      <w:r>
        <w:t xml:space="preserve">e </w:t>
      </w:r>
      <w:r>
        <w:rPr>
          <w:highlight w:val="yellow"/>
        </w:rPr>
        <w:t>associa</w:t>
      </w:r>
      <w:r>
        <w:t>t</w:t>
      </w:r>
      <w:r>
        <w:rPr>
          <w:highlight w:val="yellow"/>
        </w:rPr>
        <w:t>ed with</w:t>
      </w:r>
      <w:r>
        <w:t xml:space="preserve"> hydrophobic amino acid residues in the wheat protein fraction and the lipid</w:t>
      </w:r>
      <w:r>
        <w:rPr>
          <w:highlight w:val="yellow"/>
        </w:rPr>
        <w:t>-</w:t>
      </w:r>
      <w:r>
        <w:t>rich sesame seeds</w:t>
      </w:r>
      <w:r>
        <w:rPr>
          <w:highlight w:val="yellow"/>
        </w:rPr>
        <w:t>, indicating</w:t>
      </w:r>
      <w:r>
        <w:t xml:space="preserve"> a favourable </w:t>
      </w:r>
      <w:r>
        <w:rPr>
          <w:highlight w:val="yellow"/>
        </w:rPr>
        <w:t>c</w:t>
      </w:r>
      <w:r>
        <w:t>a</w:t>
      </w:r>
      <w:r>
        <w:rPr>
          <w:highlight w:val="yellow"/>
        </w:rPr>
        <w:t>p</w:t>
      </w:r>
      <w:r>
        <w:t>ac</w:t>
      </w:r>
      <w:r>
        <w:rPr>
          <w:highlight w:val="yellow"/>
        </w:rPr>
        <w:t>i</w:t>
      </w:r>
      <w:r>
        <w:t>t</w:t>
      </w:r>
      <w:r>
        <w:rPr>
          <w:highlight w:val="yellow"/>
        </w:rPr>
        <w:t>y</w:t>
      </w:r>
      <w:r>
        <w:t xml:space="preserve"> for trapping surface</w:t>
      </w:r>
      <w:r>
        <w:rPr>
          <w:highlight w:val="yellow"/>
        </w:rPr>
        <w:t xml:space="preserve"> </w:t>
      </w:r>
      <w:r>
        <w:t xml:space="preserve">oils. </w:t>
      </w:r>
      <w:r>
        <w:rPr>
          <w:highlight w:val="yellow"/>
        </w:rPr>
        <w:t>Ma</w:t>
      </w:r>
      <w:r>
        <w:t xml:space="preserve"> </w:t>
      </w:r>
      <w:r>
        <w:rPr>
          <w:i/>
          <w:highlight w:val="yellow"/>
        </w:rPr>
        <w:t xml:space="preserve">et </w:t>
      </w:r>
      <w:r>
        <w:rPr>
          <w:i/>
        </w:rPr>
        <w:t>a</w:t>
      </w:r>
      <w:r>
        <w:rPr>
          <w:i/>
          <w:highlight w:val="yellow"/>
        </w:rPr>
        <w:t>l.</w:t>
      </w:r>
      <w:r>
        <w:t xml:space="preserve"> </w:t>
      </w:r>
      <w:r>
        <w:rPr>
          <w:highlight w:val="yellow"/>
        </w:rPr>
        <w:t>(2022)</w:t>
      </w:r>
      <w:r>
        <w:t xml:space="preserve"> explained that hydrophobic amino acid residues in food proteins contribute significantly to oil binding and retention in composite food systems. This dual amphiphilic character, which promotes </w:t>
      </w:r>
      <w:r>
        <w:rPr>
          <w:highlight w:val="yellow"/>
        </w:rPr>
        <w:t>lipid</w:t>
      </w:r>
      <w:r>
        <w:t xml:space="preserve"> retention while </w:t>
      </w:r>
      <w:r>
        <w:rPr>
          <w:highlight w:val="yellow"/>
        </w:rPr>
        <w:t>limi</w:t>
      </w:r>
      <w:r>
        <w:t>ting rapid hydration</w:t>
      </w:r>
      <w:r>
        <w:rPr>
          <w:highlight w:val="yellow"/>
        </w:rPr>
        <w:t>,</w:t>
      </w:r>
      <w:r>
        <w:t xml:space="preserve"> </w:t>
      </w:r>
      <w:r>
        <w:rPr>
          <w:highlight w:val="yellow"/>
        </w:rPr>
        <w:t>may</w:t>
      </w:r>
      <w:r>
        <w:t xml:space="preserve"> he</w:t>
      </w:r>
      <w:r>
        <w:rPr>
          <w:highlight w:val="yellow"/>
        </w:rPr>
        <w:t>lp</w:t>
      </w:r>
      <w:r>
        <w:t xml:space="preserve"> </w:t>
      </w:r>
      <w:r>
        <w:rPr>
          <w:highlight w:val="yellow"/>
        </w:rPr>
        <w:t>ma</w:t>
      </w:r>
      <w:r>
        <w:t>int</w:t>
      </w:r>
      <w:r>
        <w:rPr>
          <w:highlight w:val="yellow"/>
        </w:rPr>
        <w:t>ain</w:t>
      </w:r>
      <w:r>
        <w:t xml:space="preserve"> the mechanical rigidity of the edible spoon </w:t>
      </w:r>
      <w:r>
        <w:rPr>
          <w:highlight w:val="yellow"/>
        </w:rPr>
        <w:t xml:space="preserve">during use without adversely affecting mouthfeel </w:t>
      </w:r>
      <w:r>
        <w:t xml:space="preserve">when </w:t>
      </w:r>
      <w:r>
        <w:rPr>
          <w:highlight w:val="yellow"/>
        </w:rPr>
        <w:t xml:space="preserve">the spoon </w:t>
      </w:r>
      <w:r>
        <w:t>i</w:t>
      </w:r>
      <w:r>
        <w:rPr>
          <w:highlight w:val="yellow"/>
        </w:rPr>
        <w:t>s</w:t>
      </w:r>
      <w:r>
        <w:t xml:space="preserve"> eventually consumed </w:t>
      </w:r>
      <w:r>
        <w:rPr>
          <w:highlight w:val="yellow"/>
        </w:rPr>
        <w:t xml:space="preserve">with </w:t>
      </w:r>
      <w:r>
        <w:t>f</w:t>
      </w:r>
      <w:r>
        <w:rPr>
          <w:highlight w:val="yellow"/>
        </w:rPr>
        <w:t>oods</w:t>
      </w:r>
      <w:r>
        <w:t xml:space="preserve"> </w:t>
      </w:r>
      <w:r>
        <w:rPr>
          <w:highlight w:val="yellow"/>
        </w:rPr>
        <w:t>such</w:t>
      </w:r>
      <w:r>
        <w:t xml:space="preserve"> as soup</w:t>
      </w:r>
      <w:r>
        <w:rPr>
          <w:highlight w:val="yellow"/>
        </w:rPr>
        <w:t xml:space="preserve"> or</w:t>
      </w:r>
      <w:r>
        <w:t xml:space="preserve"> curry.</w:t>
      </w:r>
    </w:p>
    <w:p w14:paraId="1A0F41A7" w14:textId="77777777" w:rsidR="00803A41" w:rsidRPr="00803A41" w:rsidRDefault="00803A41" w:rsidP="00467040">
      <w:pPr>
        <w:spacing w:before="160" w:after="100" w:line="360" w:lineRule="auto"/>
      </w:pPr>
      <w:r w:rsidRPr="00803A41">
        <w:rPr>
          <w:b/>
          <w:bCs/>
        </w:rPr>
        <w:t>3.5 Proximate Composition</w:t>
      </w:r>
    </w:p>
    <w:p w14:paraId="56566FDE" w14:textId="77777777" w:rsidR="00467040" w:rsidRDefault="008E0DE4" w:rsidP="00467040">
      <w:pPr>
        <w:spacing w:before="160" w:after="80" w:line="360" w:lineRule="auto"/>
        <w:jc w:val="both"/>
      </w:pPr>
      <w:r>
        <w:t>The proximate composition of the optimi</w:t>
      </w:r>
      <w:r>
        <w:rPr>
          <w:highlight w:val="yellow"/>
        </w:rPr>
        <w:t>s</w:t>
      </w:r>
      <w:r>
        <w:t xml:space="preserve">ed edible cutlery (10% peel powder) is shown in </w:t>
      </w:r>
      <w:r>
        <w:rPr>
          <w:highlight w:val="yellow"/>
        </w:rPr>
        <w:t>T</w:t>
      </w:r>
      <w:r>
        <w:t xml:space="preserve">able 3. The moisture content of 2.88 ± 0.04% indicates extensive dehydration during processing; moisture content and moisture migration are important factors governing the quality and shelf stability of bakery products (Taglieri </w:t>
      </w:r>
      <w:r>
        <w:rPr>
          <w:i/>
          <w:iCs/>
        </w:rPr>
        <w:t>et al.</w:t>
      </w:r>
      <w:r>
        <w:rPr>
          <w:i/>
          <w:iCs/>
          <w:highlight w:val="yellow"/>
        </w:rPr>
        <w:t>,</w:t>
      </w:r>
      <w:r>
        <w:rPr>
          <w:i/>
          <w:iCs/>
        </w:rPr>
        <w:t xml:space="preserve"> </w:t>
      </w:r>
      <w:r>
        <w:t xml:space="preserve">2021). This low moisture content suggests </w:t>
      </w:r>
      <w:r>
        <w:rPr>
          <w:highlight w:val="yellow"/>
        </w:rPr>
        <w:t>substantial</w:t>
      </w:r>
      <w:r>
        <w:t xml:space="preserve"> moisture removal</w:t>
      </w:r>
      <w:r>
        <w:rPr>
          <w:highlight w:val="yellow"/>
        </w:rPr>
        <w:t>,</w:t>
      </w:r>
      <w:r>
        <w:t xml:space="preserve"> which could be beneficial for storage stability</w:t>
      </w:r>
      <w:r>
        <w:rPr>
          <w:highlight w:val="yellow"/>
        </w:rPr>
        <w:t>; however</w:t>
      </w:r>
      <w:r>
        <w:t xml:space="preserve">, the </w:t>
      </w:r>
      <w:r>
        <w:rPr>
          <w:highlight w:val="yellow"/>
        </w:rPr>
        <w:t>ac</w:t>
      </w:r>
      <w:r>
        <w:t>tu</w:t>
      </w:r>
      <w:r>
        <w:rPr>
          <w:highlight w:val="yellow"/>
        </w:rPr>
        <w:t>al</w:t>
      </w:r>
      <w:r>
        <w:t xml:space="preserve"> shelf life should be assessed </w:t>
      </w:r>
      <w:r>
        <w:rPr>
          <w:highlight w:val="yellow"/>
        </w:rPr>
        <w:t>through</w:t>
      </w:r>
      <w:r>
        <w:t xml:space="preserve"> storage and microbial testing. The low moisture content </w:t>
      </w:r>
      <w:r>
        <w:rPr>
          <w:highlight w:val="yellow"/>
        </w:rPr>
        <w:t xml:space="preserve">may </w:t>
      </w:r>
      <w:r>
        <w:t xml:space="preserve">also </w:t>
      </w:r>
      <w:r>
        <w:rPr>
          <w:highlight w:val="yellow"/>
        </w:rPr>
        <w:t>contribut</w:t>
      </w:r>
      <w:r>
        <w:t xml:space="preserve">e to </w:t>
      </w:r>
      <w:r>
        <w:rPr>
          <w:highlight w:val="yellow"/>
        </w:rPr>
        <w:t>th</w:t>
      </w:r>
      <w:r>
        <w:t xml:space="preserve">e mechanical stiffness </w:t>
      </w:r>
      <w:r>
        <w:rPr>
          <w:highlight w:val="yellow"/>
        </w:rPr>
        <w:t>requ</w:t>
      </w:r>
      <w:r>
        <w:t>i</w:t>
      </w:r>
      <w:r>
        <w:rPr>
          <w:highlight w:val="yellow"/>
        </w:rPr>
        <w:t>red</w:t>
      </w:r>
      <w:r>
        <w:t xml:space="preserve"> </w:t>
      </w:r>
      <w:r>
        <w:rPr>
          <w:highlight w:val="yellow"/>
        </w:rPr>
        <w:t>for</w:t>
      </w:r>
      <w:r>
        <w:t xml:space="preserve"> </w:t>
      </w:r>
      <w:r>
        <w:rPr>
          <w:highlight w:val="yellow"/>
        </w:rPr>
        <w:t>u</w:t>
      </w:r>
      <w:r>
        <w:t>sa</w:t>
      </w:r>
      <w:r>
        <w:rPr>
          <w:highlight w:val="yellow"/>
        </w:rPr>
        <w:t>bl</w:t>
      </w:r>
      <w:r>
        <w:t xml:space="preserve">e cutlery. </w:t>
      </w:r>
      <w:r>
        <w:rPr>
          <w:highlight w:val="yellow"/>
        </w:rPr>
        <w:t>The p</w:t>
      </w:r>
      <w:r>
        <w:t xml:space="preserve">rotein content </w:t>
      </w:r>
      <w:r>
        <w:rPr>
          <w:highlight w:val="yellow"/>
        </w:rPr>
        <w:t>was</w:t>
      </w:r>
      <w:r>
        <w:t xml:space="preserve"> 16.58 ± 0.04</w:t>
      </w:r>
      <w:r>
        <w:rPr>
          <w:highlight w:val="yellow"/>
        </w:rPr>
        <w:t>%,</w:t>
      </w:r>
      <w:r>
        <w:t xml:space="preserve"> </w:t>
      </w:r>
      <w:r>
        <w:rPr>
          <w:highlight w:val="yellow"/>
        </w:rPr>
        <w:t>reflecting</w:t>
      </w:r>
      <w:r>
        <w:t xml:space="preserve"> c</w:t>
      </w:r>
      <w:r>
        <w:rPr>
          <w:highlight w:val="yellow"/>
        </w:rPr>
        <w:t>o</w:t>
      </w:r>
      <w:r>
        <w:t>nt</w:t>
      </w:r>
      <w:r>
        <w:rPr>
          <w:highlight w:val="yellow"/>
        </w:rPr>
        <w:t>r</w:t>
      </w:r>
      <w:r>
        <w:t xml:space="preserve">ibutions </w:t>
      </w:r>
      <w:r>
        <w:rPr>
          <w:highlight w:val="yellow"/>
        </w:rPr>
        <w:t>f</w:t>
      </w:r>
      <w:r>
        <w:t>r</w:t>
      </w:r>
      <w:r>
        <w:rPr>
          <w:highlight w:val="yellow"/>
        </w:rPr>
        <w:t>om</w:t>
      </w:r>
      <w:r>
        <w:t xml:space="preserve"> wheat flour and sesame seed</w:t>
      </w:r>
      <w:r>
        <w:rPr>
          <w:highlight w:val="yellow"/>
        </w:rPr>
        <w:t>s</w:t>
      </w:r>
      <w:r>
        <w:t xml:space="preserve">. </w:t>
      </w:r>
      <w:r>
        <w:rPr>
          <w:highlight w:val="yellow"/>
        </w:rPr>
        <w:t>The f</w:t>
      </w:r>
      <w:r>
        <w:t>at content of 3.57 ± 0.04% was contributed m</w:t>
      </w:r>
      <w:r>
        <w:rPr>
          <w:highlight w:val="yellow"/>
        </w:rPr>
        <w:t>ainly by sesame-seed</w:t>
      </w:r>
      <w:r>
        <w:t xml:space="preserve"> lipids</w:t>
      </w:r>
      <w:r>
        <w:rPr>
          <w:highlight w:val="yellow"/>
        </w:rPr>
        <w:t>,</w:t>
      </w:r>
      <w:r>
        <w:t xml:space="preserve"> with</w:t>
      </w:r>
      <w:r>
        <w:rPr>
          <w:highlight w:val="yellow"/>
        </w:rPr>
        <w:t xml:space="preserve"> additional contributions from</w:t>
      </w:r>
      <w:r>
        <w:t xml:space="preserve"> wheat germ and th</w:t>
      </w:r>
      <w:r>
        <w:rPr>
          <w:highlight w:val="yellow"/>
        </w:rPr>
        <w:t>e</w:t>
      </w:r>
      <w:r>
        <w:t xml:space="preserve"> peel</w:t>
      </w:r>
      <w:r>
        <w:rPr>
          <w:highlight w:val="yellow"/>
        </w:rPr>
        <w:t xml:space="preserve"> powder</w:t>
      </w:r>
      <w:r>
        <w:t>s. Crude fibre (2.86 ± 0.05%) re</w:t>
      </w:r>
      <w:r>
        <w:rPr>
          <w:highlight w:val="yellow"/>
        </w:rPr>
        <w:t>fl</w:t>
      </w:r>
      <w:r>
        <w:t>e</w:t>
      </w:r>
      <w:r>
        <w:rPr>
          <w:highlight w:val="yellow"/>
        </w:rPr>
        <w:t>c</w:t>
      </w:r>
      <w:r>
        <w:t xml:space="preserve">ts </w:t>
      </w:r>
      <w:r>
        <w:rPr>
          <w:highlight w:val="yellow"/>
        </w:rPr>
        <w:t>con</w:t>
      </w:r>
      <w:r>
        <w:t>tr</w:t>
      </w:r>
      <w:r>
        <w:rPr>
          <w:highlight w:val="yellow"/>
        </w:rPr>
        <w:t>ibu</w:t>
      </w:r>
      <w:r>
        <w:t>t</w:t>
      </w:r>
      <w:r>
        <w:rPr>
          <w:highlight w:val="yellow"/>
        </w:rPr>
        <w:t>ions</w:t>
      </w:r>
      <w:r>
        <w:t xml:space="preserve"> f</w:t>
      </w:r>
      <w:r>
        <w:rPr>
          <w:highlight w:val="yellow"/>
        </w:rPr>
        <w:t>r</w:t>
      </w:r>
      <w:r>
        <w:t>o</w:t>
      </w:r>
      <w:r>
        <w:rPr>
          <w:highlight w:val="yellow"/>
        </w:rPr>
        <w:t>m</w:t>
      </w:r>
      <w:r>
        <w:t xml:space="preserve"> wheat bran, peel cell</w:t>
      </w:r>
      <w:r>
        <w:rPr>
          <w:highlight w:val="yellow"/>
        </w:rPr>
        <w:t>-</w:t>
      </w:r>
      <w:r>
        <w:t xml:space="preserve">wall polysaccharides (pectin, hemicellulose, </w:t>
      </w:r>
      <w:r>
        <w:rPr>
          <w:highlight w:val="yellow"/>
        </w:rPr>
        <w:t xml:space="preserve">and </w:t>
      </w:r>
      <w:r>
        <w:t>cellulose)</w:t>
      </w:r>
      <w:r>
        <w:rPr>
          <w:highlight w:val="yellow"/>
        </w:rPr>
        <w:t>,</w:t>
      </w:r>
      <w:r>
        <w:t xml:space="preserve"> and sesame</w:t>
      </w:r>
      <w:r>
        <w:rPr>
          <w:highlight w:val="yellow"/>
        </w:rPr>
        <w:t>-</w:t>
      </w:r>
      <w:r>
        <w:t xml:space="preserve">hull fibre. Development of functional food formulations with dietary fibre and </w:t>
      </w:r>
      <w:r>
        <w:rPr>
          <w:highlight w:val="yellow"/>
        </w:rPr>
        <w:t>useful</w:t>
      </w:r>
      <w:r>
        <w:t xml:space="preserve"> hydration properties </w:t>
      </w:r>
      <w:r>
        <w:rPr>
          <w:highlight w:val="yellow"/>
        </w:rPr>
        <w:t>h</w:t>
      </w:r>
      <w:r>
        <w:t>a</w:t>
      </w:r>
      <w:r>
        <w:rPr>
          <w:highlight w:val="yellow"/>
        </w:rPr>
        <w:t>s b</w:t>
      </w:r>
      <w:r>
        <w:t>e</w:t>
      </w:r>
      <w:r>
        <w:rPr>
          <w:highlight w:val="yellow"/>
        </w:rPr>
        <w:t>en</w:t>
      </w:r>
      <w:r>
        <w:t xml:space="preserve"> associated with carrot peel powder, as demonstrated by Mateus et al. (2024). Beetroot processing waste can </w:t>
      </w:r>
      <w:r>
        <w:rPr>
          <w:highlight w:val="yellow"/>
        </w:rPr>
        <w:t xml:space="preserve">also </w:t>
      </w:r>
      <w:r>
        <w:t>be considered a source of dietary fibre, betalains</w:t>
      </w:r>
      <w:r>
        <w:rPr>
          <w:highlight w:val="yellow"/>
        </w:rPr>
        <w:t>,</w:t>
      </w:r>
      <w:r>
        <w:t xml:space="preserve"> and antioxidant compounds (Lazăr et al., 2022). The ash content (1.78 ± 0.03%)</w:t>
      </w:r>
      <w:r>
        <w:rPr>
          <w:highlight w:val="yellow"/>
        </w:rPr>
        <w:t xml:space="preserve"> represents the mineral fraction of the composite</w:t>
      </w:r>
      <w:r>
        <w:t xml:space="preserve">. </w:t>
      </w:r>
      <w:r>
        <w:lastRenderedPageBreak/>
        <w:t>Carbohydrate content (72.33 ± 0.07%) con</w:t>
      </w:r>
      <w:r>
        <w:rPr>
          <w:highlight w:val="yellow"/>
        </w:rPr>
        <w:t>stitute</w:t>
      </w:r>
      <w:r>
        <w:t xml:space="preserve">d the </w:t>
      </w:r>
      <w:r>
        <w:rPr>
          <w:highlight w:val="yellow"/>
        </w:rPr>
        <w:t>maj</w:t>
      </w:r>
      <w:r>
        <w:t>or</w:t>
      </w:r>
      <w:r>
        <w:rPr>
          <w:highlight w:val="yellow"/>
        </w:rPr>
        <w:t xml:space="preserve"> </w:t>
      </w:r>
      <w:r>
        <w:t>c</w:t>
      </w:r>
      <w:r>
        <w:rPr>
          <w:highlight w:val="yellow"/>
        </w:rPr>
        <w:t>ompon</w:t>
      </w:r>
      <w:r>
        <w:t>e</w:t>
      </w:r>
      <w:r>
        <w:rPr>
          <w:highlight w:val="yellow"/>
        </w:rPr>
        <w:t>nt</w:t>
      </w:r>
      <w:r>
        <w:t xml:space="preserve"> of the </w:t>
      </w:r>
      <w:r>
        <w:rPr>
          <w:highlight w:val="yellow"/>
        </w:rPr>
        <w:t>formula</w:t>
      </w:r>
      <w:r>
        <w:t>t</w:t>
      </w:r>
      <w:r>
        <w:rPr>
          <w:highlight w:val="yellow"/>
        </w:rPr>
        <w:t>ion, la</w:t>
      </w:r>
      <w:r>
        <w:t>r</w:t>
      </w:r>
      <w:r>
        <w:rPr>
          <w:highlight w:val="yellow"/>
        </w:rPr>
        <w:t>gely refle</w:t>
      </w:r>
      <w:r>
        <w:t>ctin</w:t>
      </w:r>
      <w:r>
        <w:rPr>
          <w:highlight w:val="yellow"/>
        </w:rPr>
        <w:t>g</w:t>
      </w:r>
      <w:r>
        <w:t xml:space="preserve"> the starch</w:t>
      </w:r>
      <w:r>
        <w:rPr>
          <w:highlight w:val="yellow"/>
        </w:rPr>
        <w:t>-</w:t>
      </w:r>
      <w:r>
        <w:t>r</w:t>
      </w:r>
      <w:r>
        <w:rPr>
          <w:highlight w:val="yellow"/>
        </w:rPr>
        <w:t>ich</w:t>
      </w:r>
      <w:r>
        <w:t xml:space="preserve"> wheat flour </w:t>
      </w:r>
      <w:r>
        <w:rPr>
          <w:highlight w:val="yellow"/>
        </w:rPr>
        <w:t>and</w:t>
      </w:r>
      <w:r>
        <w:t xml:space="preserve"> sago</w:t>
      </w:r>
      <w:r>
        <w:rPr>
          <w:highlight w:val="yellow"/>
        </w:rPr>
        <w:t xml:space="preserve"> matrix</w:t>
      </w:r>
      <w:r>
        <w:t xml:space="preserve">. The calculated energy value </w:t>
      </w:r>
      <w:r>
        <w:rPr>
          <w:highlight w:val="yellow"/>
        </w:rPr>
        <w:t xml:space="preserve">was </w:t>
      </w:r>
      <w:r>
        <w:t>387.78 ± 0.08 kcal/100 g.</w:t>
      </w:r>
    </w:p>
    <w:p w14:paraId="4D0E8D6F" w14:textId="77777777" w:rsidR="00803A41" w:rsidRPr="00CA4AD9" w:rsidRDefault="00803A41" w:rsidP="00467040">
      <w:pPr>
        <w:spacing w:before="160" w:after="80" w:line="360" w:lineRule="auto"/>
        <w:jc w:val="both"/>
      </w:pPr>
      <w:r w:rsidRPr="00CA4AD9">
        <w:t xml:space="preserve">Table </w:t>
      </w:r>
      <w:r>
        <w:t>3</w:t>
      </w:r>
      <w:r w:rsidRPr="00CA4AD9">
        <w:t>: Proximate Composition of the Optimized Edible</w:t>
      </w:r>
      <w:r>
        <w:t xml:space="preserve"> Cutlery</w:t>
      </w:r>
      <w:r w:rsidRPr="00CA4AD9">
        <w:t xml:space="preserve"> (10% Peel Powder Substitution)</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5"/>
        <w:gridCol w:w="1984"/>
        <w:gridCol w:w="1985"/>
        <w:gridCol w:w="1843"/>
        <w:gridCol w:w="2268"/>
      </w:tblGrid>
      <w:tr w:rsidR="00803A41" w14:paraId="559EA710" w14:textId="77777777" w:rsidTr="0089632D">
        <w:trPr>
          <w:tblHeader/>
        </w:trPr>
        <w:tc>
          <w:tcPr>
            <w:tcW w:w="21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4254C9D8" w14:textId="77777777" w:rsidR="00803A41" w:rsidRDefault="00803A41" w:rsidP="008A506E">
            <w:r>
              <w:rPr>
                <w:b/>
                <w:bCs/>
              </w:rPr>
              <w:t>Parameter</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49D03A3C" w14:textId="77777777" w:rsidR="00803A41" w:rsidRDefault="00803A41" w:rsidP="008A506E">
            <w:pPr>
              <w:jc w:val="center"/>
            </w:pPr>
            <w:r>
              <w:rPr>
                <w:b/>
                <w:bCs/>
              </w:rPr>
              <w:t>Replicate 1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5456F6AC" w14:textId="77777777" w:rsidR="00803A41" w:rsidRDefault="00803A41" w:rsidP="008A506E">
            <w:pPr>
              <w:jc w:val="center"/>
            </w:pPr>
            <w:r>
              <w:rPr>
                <w:b/>
                <w:bCs/>
              </w:rPr>
              <w:t>Replicate 2 (%)</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27420D63" w14:textId="77777777" w:rsidR="00803A41" w:rsidRDefault="00803A41" w:rsidP="008A506E">
            <w:pPr>
              <w:jc w:val="center"/>
            </w:pPr>
            <w:r>
              <w:rPr>
                <w:b/>
                <w:bCs/>
              </w:rPr>
              <w:t>Replicate 3 (%)</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2C084DD5" w14:textId="77777777" w:rsidR="00803A41" w:rsidRDefault="00803A41" w:rsidP="008A506E">
            <w:pPr>
              <w:jc w:val="center"/>
            </w:pPr>
            <w:r>
              <w:rPr>
                <w:b/>
                <w:bCs/>
              </w:rPr>
              <w:t>Mean ± SD</w:t>
            </w:r>
          </w:p>
        </w:tc>
      </w:tr>
      <w:tr w:rsidR="00803A41" w14:paraId="65F2EBBA"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7C03FA" w14:textId="77777777" w:rsidR="00803A41" w:rsidRDefault="00803A41" w:rsidP="008A506E">
            <w:r>
              <w:t>Moisture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AB16EA1" w14:textId="77777777" w:rsidR="00803A41" w:rsidRDefault="00803A41" w:rsidP="008A506E">
            <w:pPr>
              <w:jc w:val="center"/>
            </w:pPr>
            <w:r>
              <w:t>2.89</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3EDE409" w14:textId="77777777" w:rsidR="00803A41" w:rsidRDefault="00803A41" w:rsidP="008A506E">
            <w:pPr>
              <w:jc w:val="center"/>
            </w:pPr>
            <w:r>
              <w:t>2.91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522D67" w14:textId="77777777" w:rsidR="00803A41" w:rsidRDefault="00803A41" w:rsidP="008A506E">
            <w:pPr>
              <w:jc w:val="center"/>
            </w:pPr>
            <w:r>
              <w:t>2.84</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3A46CE8" w14:textId="77777777" w:rsidR="00803A41" w:rsidRDefault="00803A41" w:rsidP="008A506E">
            <w:pPr>
              <w:jc w:val="center"/>
            </w:pPr>
            <w:r>
              <w:t>2.88 ± 0.04</w:t>
            </w:r>
          </w:p>
        </w:tc>
      </w:tr>
      <w:tr w:rsidR="00803A41" w14:paraId="73EAE991"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34A2A8B" w14:textId="77777777" w:rsidR="00803A41" w:rsidRDefault="00803A41" w:rsidP="008A506E">
            <w:r>
              <w:t>Protein</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4EE685" w14:textId="77777777" w:rsidR="00803A41" w:rsidRDefault="00803A41" w:rsidP="008A506E">
            <w:pPr>
              <w:jc w:val="center"/>
            </w:pPr>
            <w:r>
              <w:t>16.58</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0EE55DB" w14:textId="77777777" w:rsidR="00803A41" w:rsidRDefault="00803A41" w:rsidP="008A506E">
            <w:pPr>
              <w:jc w:val="center"/>
            </w:pPr>
            <w:r>
              <w:t>16.55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2608EB8" w14:textId="77777777" w:rsidR="00803A41" w:rsidRDefault="00803A41" w:rsidP="008A506E">
            <w:pPr>
              <w:jc w:val="center"/>
            </w:pPr>
            <w:r>
              <w:t>16.62</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D5012B8" w14:textId="77777777" w:rsidR="00803A41" w:rsidRDefault="00803A41" w:rsidP="008A506E">
            <w:pPr>
              <w:jc w:val="center"/>
            </w:pPr>
            <w:r>
              <w:t>16.58 ± 0.04</w:t>
            </w:r>
          </w:p>
        </w:tc>
      </w:tr>
      <w:tr w:rsidR="00803A41" w14:paraId="6692AB8B"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60F5FE2" w14:textId="77777777" w:rsidR="00803A41" w:rsidRDefault="00803A41" w:rsidP="008A506E">
            <w:r>
              <w:t>Fat</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6DE0C7C" w14:textId="77777777" w:rsidR="00803A41" w:rsidRDefault="00803A41" w:rsidP="008A506E">
            <w:pPr>
              <w:jc w:val="center"/>
            </w:pPr>
            <w:r>
              <w:t>3.57</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91D167" w14:textId="77777777" w:rsidR="00803A41" w:rsidRDefault="00803A41" w:rsidP="008A506E">
            <w:pPr>
              <w:jc w:val="center"/>
            </w:pPr>
            <w:r>
              <w:t>3.61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81B4CE3" w14:textId="77777777" w:rsidR="00803A41" w:rsidRDefault="00803A41" w:rsidP="008A506E">
            <w:pPr>
              <w:jc w:val="center"/>
            </w:pPr>
            <w:r>
              <w:t>3.53</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A616CAA" w14:textId="77777777" w:rsidR="00803A41" w:rsidRDefault="00803A41" w:rsidP="008A506E">
            <w:pPr>
              <w:jc w:val="center"/>
            </w:pPr>
            <w:r>
              <w:t>3.57 ± 0.04</w:t>
            </w:r>
          </w:p>
        </w:tc>
      </w:tr>
      <w:tr w:rsidR="00803A41" w14:paraId="208857CD"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3CBE204" w14:textId="77777777" w:rsidR="00803A41" w:rsidRDefault="00803A41" w:rsidP="008A506E">
            <w:r>
              <w:t>Crude Fibre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FAA8A38" w14:textId="77777777" w:rsidR="00803A41" w:rsidRDefault="00803A41" w:rsidP="008A506E">
            <w:pPr>
              <w:jc w:val="center"/>
            </w:pPr>
            <w:r>
              <w:t>2.86</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C856D39" w14:textId="77777777" w:rsidR="00803A41" w:rsidRDefault="00803A41" w:rsidP="008A506E">
            <w:pPr>
              <w:jc w:val="center"/>
            </w:pPr>
            <w:r>
              <w:t>2.90</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5BBE63F" w14:textId="77777777" w:rsidR="00803A41" w:rsidRDefault="00803A41" w:rsidP="008A506E">
            <w:pPr>
              <w:jc w:val="center"/>
            </w:pPr>
            <w:r>
              <w:t>2.81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47CBDC0" w14:textId="77777777" w:rsidR="00803A41" w:rsidRDefault="00803A41" w:rsidP="008A506E">
            <w:pPr>
              <w:jc w:val="center"/>
            </w:pPr>
            <w:r>
              <w:t>2.86 ± 0.05</w:t>
            </w:r>
          </w:p>
        </w:tc>
      </w:tr>
      <w:tr w:rsidR="00803A41" w14:paraId="3809EE17"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99D2047" w14:textId="77777777" w:rsidR="00803A41" w:rsidRDefault="00803A41" w:rsidP="008A506E">
            <w:r>
              <w:t>Ash</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BEBFE3E" w14:textId="77777777" w:rsidR="00803A41" w:rsidRDefault="00803A41" w:rsidP="008A506E">
            <w:pPr>
              <w:jc w:val="center"/>
            </w:pPr>
            <w:r>
              <w:t>1.75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78537B5" w14:textId="77777777" w:rsidR="00803A41" w:rsidRDefault="00803A41" w:rsidP="008A506E">
            <w:pPr>
              <w:jc w:val="center"/>
            </w:pPr>
            <w:r>
              <w:t>1.78</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CB71AE1" w14:textId="77777777" w:rsidR="00803A41" w:rsidRDefault="00803A41" w:rsidP="008A506E">
            <w:pPr>
              <w:jc w:val="center"/>
            </w:pPr>
            <w:r>
              <w:t>1.81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78F1AF5" w14:textId="77777777" w:rsidR="00803A41" w:rsidRDefault="00803A41" w:rsidP="008A506E">
            <w:pPr>
              <w:jc w:val="center"/>
            </w:pPr>
            <w:r>
              <w:t>1.78 ± 0.03</w:t>
            </w:r>
          </w:p>
        </w:tc>
      </w:tr>
      <w:tr w:rsidR="00803A41" w14:paraId="33E0E48E"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FFADF6" w14:textId="77777777" w:rsidR="00803A41" w:rsidRDefault="00803A41" w:rsidP="008A506E">
            <w:r>
              <w:t>Carbohydrate*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EC1ACC1" w14:textId="77777777" w:rsidR="00803A41" w:rsidRDefault="00803A41" w:rsidP="008A506E">
            <w:pPr>
              <w:jc w:val="center"/>
            </w:pPr>
            <w:r>
              <w:t>72.35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70D41A8" w14:textId="77777777" w:rsidR="00803A41" w:rsidRDefault="00803A41" w:rsidP="008A506E">
            <w:pPr>
              <w:jc w:val="center"/>
            </w:pPr>
            <w:r>
              <w:t>72.25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9C7FD4" w14:textId="77777777" w:rsidR="00803A41" w:rsidRDefault="00803A41" w:rsidP="008A506E">
            <w:pPr>
              <w:jc w:val="center"/>
            </w:pPr>
            <w:r>
              <w:t>72.39</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E0D1E5" w14:textId="77777777" w:rsidR="00803A41" w:rsidRDefault="00803A41" w:rsidP="008A506E">
            <w:pPr>
              <w:jc w:val="center"/>
            </w:pPr>
            <w:r>
              <w:t>72.33 ± 0.07</w:t>
            </w:r>
          </w:p>
        </w:tc>
      </w:tr>
      <w:tr w:rsidR="00803A41" w14:paraId="2FCD36EB"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5ACF56D" w14:textId="77777777" w:rsidR="00803A41" w:rsidRDefault="00803A41" w:rsidP="008A506E">
            <w:r>
              <w:t>Energy (kcal/100 g)</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7502844" w14:textId="77777777" w:rsidR="00803A41" w:rsidRDefault="00803A41" w:rsidP="008A506E">
            <w:pPr>
              <w:jc w:val="center"/>
            </w:pPr>
            <w:r>
              <w:t>387.85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925B876" w14:textId="77777777" w:rsidR="00803A41" w:rsidRDefault="00803A41" w:rsidP="008A506E">
            <w:pPr>
              <w:jc w:val="center"/>
            </w:pPr>
            <w:r>
              <w:t>387.69</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7222EBC" w14:textId="77777777" w:rsidR="00803A41" w:rsidRDefault="00803A41" w:rsidP="008A506E">
            <w:pPr>
              <w:jc w:val="center"/>
            </w:pPr>
            <w:r>
              <w:t>387.81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56787B0" w14:textId="77777777" w:rsidR="00803A41" w:rsidRDefault="00803A41" w:rsidP="008A506E">
            <w:pPr>
              <w:jc w:val="center"/>
            </w:pPr>
            <w:r>
              <w:t>387.78 ± 0.08</w:t>
            </w:r>
          </w:p>
        </w:tc>
      </w:tr>
    </w:tbl>
    <w:p w14:paraId="6EC08FE3" w14:textId="77777777" w:rsidR="00803A41" w:rsidRDefault="00803A41" w:rsidP="00803A41">
      <w:pPr>
        <w:spacing w:after="200" w:line="360" w:lineRule="auto"/>
        <w:jc w:val="center"/>
      </w:pPr>
      <w:r>
        <w:rPr>
          <w:i/>
          <w:iCs/>
        </w:rPr>
        <w:t>*Carbohydrate calculated by difference: 100 − (Moisture + Protein + Fat + Crude Fibre + Ash). Values are mean ± SD of three replicates.</w:t>
      </w:r>
    </w:p>
    <w:p w14:paraId="6C5CF258" w14:textId="77777777" w:rsidR="00803A41" w:rsidRPr="00803A41" w:rsidRDefault="00803A41" w:rsidP="00803A41">
      <w:pPr>
        <w:spacing w:before="160" w:after="100" w:line="360" w:lineRule="auto"/>
      </w:pPr>
      <w:r w:rsidRPr="00803A41">
        <w:rPr>
          <w:b/>
          <w:bCs/>
        </w:rPr>
        <w:t>3.6 Total Phenolic Content and Antioxidant Activity</w:t>
      </w:r>
    </w:p>
    <w:p w14:paraId="44CA15FA" w14:textId="77777777" w:rsidR="00C05472" w:rsidRDefault="00467040" w:rsidP="00467040">
      <w:pPr>
        <w:spacing w:before="160" w:after="100" w:line="360" w:lineRule="auto"/>
        <w:jc w:val="both"/>
      </w:pPr>
      <w:r>
        <w:t xml:space="preserve">The total phenolic content (TPC) </w:t>
      </w:r>
      <w:r>
        <w:rPr>
          <w:highlight w:val="yellow"/>
        </w:rPr>
        <w:t xml:space="preserve">of the optimised edible cutlery </w:t>
      </w:r>
      <w:r>
        <w:t xml:space="preserve">was 1.057 mg GAE/g sample. </w:t>
      </w:r>
      <w:r>
        <w:rPr>
          <w:highlight w:val="yellow"/>
        </w:rPr>
        <w:t>The p</w:t>
      </w:r>
      <w:r>
        <w:t xml:space="preserve">henolic </w:t>
      </w:r>
      <w:r>
        <w:rPr>
          <w:highlight w:val="yellow"/>
        </w:rPr>
        <w:t>content ref</w:t>
      </w:r>
      <w:r>
        <w:t>le</w:t>
      </w:r>
      <w:r>
        <w:rPr>
          <w:highlight w:val="yellow"/>
        </w:rPr>
        <w:t>ct</w:t>
      </w:r>
      <w:r>
        <w:t xml:space="preserve">s </w:t>
      </w:r>
      <w:r>
        <w:rPr>
          <w:highlight w:val="yellow"/>
        </w:rPr>
        <w:t>contrib</w:t>
      </w:r>
      <w:r>
        <w:t>u</w:t>
      </w:r>
      <w:r>
        <w:rPr>
          <w:highlight w:val="yellow"/>
        </w:rPr>
        <w:t>tion</w:t>
      </w:r>
      <w:r>
        <w:t>s f</w:t>
      </w:r>
      <w:r>
        <w:rPr>
          <w:highlight w:val="yellow"/>
        </w:rPr>
        <w:t>r</w:t>
      </w:r>
      <w:r>
        <w:t>o</w:t>
      </w:r>
      <w:r>
        <w:rPr>
          <w:highlight w:val="yellow"/>
        </w:rPr>
        <w:t xml:space="preserve">m </w:t>
      </w:r>
      <w:r>
        <w:t>ingre</w:t>
      </w:r>
      <w:r>
        <w:rPr>
          <w:highlight w:val="yellow"/>
        </w:rPr>
        <w:t>dient</w:t>
      </w:r>
      <w:r>
        <w:t>s such as cinnamon (</w:t>
      </w:r>
      <w:r>
        <w:rPr>
          <w:highlight w:val="yellow"/>
        </w:rPr>
        <w:t>c</w:t>
      </w:r>
      <w:r>
        <w:t>in</w:t>
      </w:r>
      <w:r>
        <w:rPr>
          <w:highlight w:val="yellow"/>
        </w:rPr>
        <w:t>n</w:t>
      </w:r>
      <w:r>
        <w:t xml:space="preserve">amaldehyde, </w:t>
      </w:r>
      <w:r>
        <w:rPr>
          <w:highlight w:val="yellow"/>
        </w:rPr>
        <w:t>e</w:t>
      </w:r>
      <w:r>
        <w:t xml:space="preserve">ugenol, </w:t>
      </w:r>
      <w:r>
        <w:rPr>
          <w:highlight w:val="yellow"/>
        </w:rPr>
        <w:t>and p</w:t>
      </w:r>
      <w:r>
        <w:t>rocyanidins), carrot peel (</w:t>
      </w:r>
      <w:r>
        <w:rPr>
          <w:highlight w:val="yellow"/>
        </w:rPr>
        <w:t>c</w:t>
      </w:r>
      <w:r>
        <w:t xml:space="preserve">hlorogenic acid, </w:t>
      </w:r>
      <w:r>
        <w:rPr>
          <w:highlight w:val="yellow"/>
        </w:rPr>
        <w:t>c</w:t>
      </w:r>
      <w:r>
        <w:t xml:space="preserve">affeic acid, </w:t>
      </w:r>
      <w:r>
        <w:rPr>
          <w:highlight w:val="yellow"/>
        </w:rPr>
        <w:t>and k</w:t>
      </w:r>
      <w:r>
        <w:t>aempferol), beetroot peel (</w:t>
      </w:r>
      <w:r>
        <w:rPr>
          <w:highlight w:val="yellow"/>
        </w:rPr>
        <w:t>b</w:t>
      </w:r>
      <w:r>
        <w:t xml:space="preserve">etalains, </w:t>
      </w:r>
      <w:r>
        <w:rPr>
          <w:highlight w:val="yellow"/>
        </w:rPr>
        <w:t>f</w:t>
      </w:r>
      <w:r>
        <w:t xml:space="preserve">erulic acid, </w:t>
      </w:r>
      <w:r>
        <w:rPr>
          <w:highlight w:val="yellow"/>
        </w:rPr>
        <w:t>and v</w:t>
      </w:r>
      <w:r>
        <w:t xml:space="preserve">anillic acid), </w:t>
      </w:r>
      <w:r>
        <w:rPr>
          <w:highlight w:val="yellow"/>
        </w:rPr>
        <w:t>s</w:t>
      </w:r>
      <w:r>
        <w:t>esame seeds (</w:t>
      </w:r>
      <w:r>
        <w:rPr>
          <w:highlight w:val="yellow"/>
        </w:rPr>
        <w:t>s</w:t>
      </w:r>
      <w:r>
        <w:t xml:space="preserve">esamin, </w:t>
      </w:r>
      <w:r>
        <w:rPr>
          <w:highlight w:val="yellow"/>
        </w:rPr>
        <w:t>s</w:t>
      </w:r>
      <w:r>
        <w:t xml:space="preserve">esamolin, </w:t>
      </w:r>
      <w:r>
        <w:rPr>
          <w:highlight w:val="yellow"/>
        </w:rPr>
        <w:t>and l</w:t>
      </w:r>
      <w:r>
        <w:t>ignans)</w:t>
      </w:r>
      <w:r>
        <w:rPr>
          <w:highlight w:val="yellow"/>
        </w:rPr>
        <w:t>,</w:t>
      </w:r>
      <w:r>
        <w:t xml:space="preserve"> and </w:t>
      </w:r>
      <w:r>
        <w:rPr>
          <w:highlight w:val="yellow"/>
        </w:rPr>
        <w:t>w</w:t>
      </w:r>
      <w:r>
        <w:t>hole</w:t>
      </w:r>
      <w:r>
        <w:rPr>
          <w:highlight w:val="yellow"/>
        </w:rPr>
        <w:t>-</w:t>
      </w:r>
      <w:r>
        <w:t>wheat bran (</w:t>
      </w:r>
      <w:r>
        <w:rPr>
          <w:highlight w:val="yellow"/>
        </w:rPr>
        <w:t>a</w:t>
      </w:r>
      <w:r>
        <w:t xml:space="preserve">lkylresorcinols </w:t>
      </w:r>
      <w:r>
        <w:rPr>
          <w:highlight w:val="yellow"/>
        </w:rPr>
        <w:t>and f</w:t>
      </w:r>
      <w:r>
        <w:t>erulic acid). Singh et al. (2021) described various characteristics of dietary phenolics</w:t>
      </w:r>
      <w:r>
        <w:rPr>
          <w:highlight w:val="yellow"/>
        </w:rPr>
        <w:t>,</w:t>
      </w:r>
      <w:r>
        <w:t xml:space="preserve"> </w:t>
      </w:r>
      <w:r>
        <w:rPr>
          <w:highlight w:val="yellow"/>
        </w:rPr>
        <w:t>incl</w:t>
      </w:r>
      <w:r>
        <w:t>u</w:t>
      </w:r>
      <w:r>
        <w:rPr>
          <w:highlight w:val="yellow"/>
        </w:rPr>
        <w:t>ding</w:t>
      </w:r>
      <w:r>
        <w:t xml:space="preserve"> antioxidant, anti-inflammatory, cardioprotective</w:t>
      </w:r>
      <w:r>
        <w:rPr>
          <w:highlight w:val="yellow"/>
        </w:rPr>
        <w:t>,</w:t>
      </w:r>
      <w:r>
        <w:t xml:space="preserve"> and antimutagenic effect</w:t>
      </w:r>
      <w:r>
        <w:rPr>
          <w:highlight w:val="yellow"/>
        </w:rPr>
        <w:t>s</w:t>
      </w:r>
      <w:r>
        <w:t xml:space="preserve">. This level of phenolic compounds (1-2 mg GAE/g) is considered moderate in baked cereal products and </w:t>
      </w:r>
      <w:r>
        <w:rPr>
          <w:highlight w:val="yellow"/>
        </w:rPr>
        <w:t xml:space="preserve">is </w:t>
      </w:r>
      <w:r>
        <w:t>similar to literature data for wheat</w:t>
      </w:r>
      <w:r>
        <w:rPr>
          <w:highlight w:val="yellow"/>
        </w:rPr>
        <w:t>-</w:t>
      </w:r>
      <w:r>
        <w:t>based products containing vegetable powders. With a</w:t>
      </w:r>
      <w:r>
        <w:rPr>
          <w:highlight w:val="yellow"/>
        </w:rPr>
        <w:t xml:space="preserve"> co</w:t>
      </w:r>
      <w:r>
        <w:t>n</w:t>
      </w:r>
      <w:r>
        <w:rPr>
          <w:highlight w:val="yellow"/>
        </w:rPr>
        <w:t>trol</w:t>
      </w:r>
      <w:r>
        <w:t xml:space="preserve"> absorbance of 0.80, the optimi</w:t>
      </w:r>
      <w:r>
        <w:rPr>
          <w:highlight w:val="yellow"/>
        </w:rPr>
        <w:t>s</w:t>
      </w:r>
      <w:r>
        <w:t>ed edible cutlery showed DPPH radical</w:t>
      </w:r>
      <w:r>
        <w:rPr>
          <w:highlight w:val="yellow"/>
        </w:rPr>
        <w:t>-</w:t>
      </w:r>
      <w:r>
        <w:t>scavenging activity of 39.06% (absorbance = 0.4875)</w:t>
      </w:r>
      <w:r>
        <w:rPr>
          <w:highlight w:val="yellow"/>
        </w:rPr>
        <w:t>,</w:t>
      </w:r>
      <w:r>
        <w:t xml:space="preserve"> </w:t>
      </w:r>
      <w:r>
        <w:rPr>
          <w:highlight w:val="yellow"/>
        </w:rPr>
        <w:t>where</w:t>
      </w:r>
      <w:r>
        <w:t>a</w:t>
      </w:r>
      <w:r>
        <w:rPr>
          <w:highlight w:val="yellow"/>
        </w:rPr>
        <w:t>s</w:t>
      </w:r>
      <w:r>
        <w:t xml:space="preserve"> the base formulation showed 15.83% (absorbance = 0.6734). The 23</w:t>
      </w:r>
      <w:r>
        <w:rPr>
          <w:highlight w:val="yellow"/>
        </w:rPr>
        <w:t>.23-percentage-po</w:t>
      </w:r>
      <w:r>
        <w:t>in</w:t>
      </w:r>
      <w:r>
        <w:rPr>
          <w:highlight w:val="yellow"/>
        </w:rPr>
        <w:t>t diffe</w:t>
      </w:r>
      <w:r>
        <w:t>re</w:t>
      </w:r>
      <w:r>
        <w:rPr>
          <w:highlight w:val="yellow"/>
        </w:rPr>
        <w:t>nc</w:t>
      </w:r>
      <w:r>
        <w:t>e in radical</w:t>
      </w:r>
      <w:r>
        <w:rPr>
          <w:highlight w:val="yellow"/>
        </w:rPr>
        <w:t>-</w:t>
      </w:r>
      <w:r>
        <w:t>scavenging activity can be attributed to the addition of carrot and beetroot peel powders in the optimi</w:t>
      </w:r>
      <w:r>
        <w:rPr>
          <w:highlight w:val="yellow"/>
        </w:rPr>
        <w:t>s</w:t>
      </w:r>
      <w:r>
        <w:t>ed formulation</w:t>
      </w:r>
      <w:r>
        <w:rPr>
          <w:highlight w:val="yellow"/>
        </w:rPr>
        <w:t>,</w:t>
      </w:r>
      <w:r>
        <w:t xml:space="preserve"> resulting in improved antioxidant potential. This </w:t>
      </w:r>
      <w:r>
        <w:rPr>
          <w:highlight w:val="yellow"/>
        </w:rPr>
        <w:t xml:space="preserve">enhancement in </w:t>
      </w:r>
      <w:r>
        <w:t>antioxidant capacity may be a</w:t>
      </w:r>
      <w:r>
        <w:rPr>
          <w:highlight w:val="yellow"/>
        </w:rPr>
        <w:t>ssoc</w:t>
      </w:r>
      <w:r>
        <w:t>i</w:t>
      </w:r>
      <w:r>
        <w:rPr>
          <w:highlight w:val="yellow"/>
        </w:rPr>
        <w:t>a</w:t>
      </w:r>
      <w:r>
        <w:t xml:space="preserve">ted </w:t>
      </w:r>
      <w:r>
        <w:rPr>
          <w:highlight w:val="yellow"/>
        </w:rPr>
        <w:t>wi</w:t>
      </w:r>
      <w:r>
        <w:t>th bioactive components in the peel powders</w:t>
      </w:r>
      <w:r>
        <w:rPr>
          <w:highlight w:val="yellow"/>
        </w:rPr>
        <w:t>,</w:t>
      </w:r>
      <w:r>
        <w:t xml:space="preserve"> such as phenolic compound</w:t>
      </w:r>
      <w:r>
        <w:rPr>
          <w:highlight w:val="yellow"/>
        </w:rPr>
        <w:t>s</w:t>
      </w:r>
      <w:r>
        <w:t xml:space="preserve"> and betalains. This observation is consistent with reports describing betalains in beetroot peels and other antioxidant phytochemicals in vegetable by-products and cinnamon (Martins </w:t>
      </w:r>
      <w:r>
        <w:rPr>
          <w:i/>
          <w:iCs/>
        </w:rPr>
        <w:t>et al.,</w:t>
      </w:r>
      <w:r>
        <w:t xml:space="preserve"> 2024; Singh </w:t>
      </w:r>
      <w:r>
        <w:rPr>
          <w:i/>
          <w:iCs/>
        </w:rPr>
        <w:t>et al</w:t>
      </w:r>
      <w:r>
        <w:t xml:space="preserve">., 2021). Based on these results, the use of fruit and vegetable processing by-products </w:t>
      </w:r>
      <w:r>
        <w:rPr>
          <w:highlight w:val="yellow"/>
        </w:rPr>
        <w:t>m</w:t>
      </w:r>
      <w:r>
        <w:t>a</w:t>
      </w:r>
      <w:r>
        <w:rPr>
          <w:highlight w:val="yellow"/>
        </w:rPr>
        <w:t>y</w:t>
      </w:r>
      <w:r>
        <w:t xml:space="preserve"> improve the functional properties of edible cutlery and contribute to the valori</w:t>
      </w:r>
      <w:r>
        <w:rPr>
          <w:highlight w:val="yellow"/>
        </w:rPr>
        <w:t>s</w:t>
      </w:r>
      <w:r>
        <w:t>ation of agro-industrial waste streams.</w:t>
      </w:r>
    </w:p>
    <w:p w14:paraId="17B9E2FA" w14:textId="77777777" w:rsidR="00C05472" w:rsidRDefault="00C05472" w:rsidP="00467040">
      <w:pPr>
        <w:spacing w:before="160" w:after="100" w:line="360" w:lineRule="auto"/>
        <w:jc w:val="both"/>
      </w:pPr>
    </w:p>
    <w:p w14:paraId="51454B6A" w14:textId="77777777" w:rsidR="00803A41" w:rsidRDefault="00803A41" w:rsidP="00467040">
      <w:pPr>
        <w:spacing w:before="160" w:after="100" w:line="360" w:lineRule="auto"/>
        <w:jc w:val="both"/>
      </w:pPr>
      <w:r>
        <w:rPr>
          <w:noProof/>
        </w:rPr>
        <w:lastRenderedPageBreak/>
        <w:drawing>
          <wp:inline distT="0" distB="0" distL="0" distR="0" wp14:anchorId="446EEF49" wp14:editId="26F76FB5">
            <wp:extent cx="6192462" cy="1892300"/>
            <wp:effectExtent l="0" t="0" r="0" b="0"/>
            <wp:docPr id="1406544117" name="Chart 1">
              <a:extLst xmlns:a="http://schemas.openxmlformats.org/drawingml/2006/main">
                <a:ext uri="{FF2B5EF4-FFF2-40B4-BE49-F238E27FC236}">
                  <a16:creationId xmlns:a16="http://schemas.microsoft.com/office/drawing/2014/main" id="{68F709BF-3EF9-485B-6FB8-A66907F84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6AFCFE" w14:textId="77777777" w:rsidR="00803A41" w:rsidRPr="00AA09F8" w:rsidRDefault="00803A41" w:rsidP="00803A41">
      <w:pPr>
        <w:jc w:val="center"/>
        <w:rPr>
          <w:b/>
          <w:bCs/>
        </w:rPr>
      </w:pPr>
      <w:r w:rsidRPr="00AA09F8">
        <w:rPr>
          <w:b/>
          <w:bCs/>
        </w:rPr>
        <w:t>Figure 3 : Comparison of DPPH Radical scavenging activity between 10% peel incorporated formulation vs base (0%) formulation</w:t>
      </w:r>
    </w:p>
    <w:p w14:paraId="25789429" w14:textId="77777777" w:rsidR="00803A41" w:rsidRDefault="00803A41" w:rsidP="00441B6F">
      <w:pPr>
        <w:pStyle w:val="Body"/>
        <w:spacing w:after="0"/>
        <w:rPr>
          <w:rFonts w:ascii="Arial" w:hAnsi="Arial" w:cs="Arial"/>
        </w:rPr>
      </w:pPr>
    </w:p>
    <w:p w14:paraId="1DD8B45A" w14:textId="77777777" w:rsidR="00803A41" w:rsidRPr="00803A41" w:rsidRDefault="00803A41" w:rsidP="00803A41">
      <w:pPr>
        <w:spacing w:before="160" w:after="100" w:line="360" w:lineRule="auto"/>
      </w:pPr>
      <w:r w:rsidRPr="00803A41">
        <w:rPr>
          <w:b/>
          <w:bCs/>
        </w:rPr>
        <w:t>3.7 Statistical Analysis Summary</w:t>
      </w:r>
    </w:p>
    <w:p w14:paraId="1D8B90CD" w14:textId="77777777" w:rsidR="00197564" w:rsidRPr="00197564" w:rsidRDefault="003E1CAD" w:rsidP="003E1CAD">
      <w:pPr>
        <w:pStyle w:val="ConcHead"/>
        <w:spacing w:after="0" w:line="360" w:lineRule="auto"/>
        <w:jc w:val="both"/>
        <w:rPr>
          <w:b w:val="0"/>
          <w:bCs/>
          <w:sz w:val="20"/>
          <w:szCs w:val="18"/>
          <w:lang w:val="en-IN"/>
        </w:rPr>
      </w:pPr>
      <w:r>
        <w:rPr>
          <w:b w:val="0"/>
          <w:bCs/>
          <w:caps w:val="0"/>
          <w:sz w:val="20"/>
          <w:szCs w:val="18"/>
        </w:rPr>
        <w:t>All quantitative data were summari</w:t>
      </w:r>
      <w:r>
        <w:rPr>
          <w:b w:val="0"/>
          <w:bCs/>
          <w:caps w:val="0"/>
          <w:sz w:val="20"/>
          <w:szCs w:val="18"/>
          <w:highlight w:val="yellow"/>
        </w:rPr>
        <w:t>s</w:t>
      </w:r>
      <w:r>
        <w:rPr>
          <w:b w:val="0"/>
          <w:bCs/>
          <w:caps w:val="0"/>
          <w:sz w:val="20"/>
          <w:szCs w:val="18"/>
        </w:rPr>
        <w:t>ed using descriptive statistics and expressed as mean ± standard deviation (SD), where applicable. SD was used to describe variability among replicate measurements for the respective parameters. Low SD values were obtained for the proximate composition parameters (moisture ± 0.04; protein ± 0.04; fat ± 0.04; crude fibre ± 0.05; ash ± 0.03; carbohydrate ± 0.07; energy ± 0.08 kcal</w:t>
      </w:r>
      <w:r>
        <w:rPr>
          <w:b w:val="0"/>
          <w:bCs/>
          <w:caps w:val="0"/>
          <w:sz w:val="20"/>
          <w:szCs w:val="18"/>
          <w:highlight w:val="yellow"/>
        </w:rPr>
        <w:t>/100 g</w:t>
      </w:r>
      <w:r>
        <w:rPr>
          <w:b w:val="0"/>
          <w:bCs/>
          <w:caps w:val="0"/>
          <w:sz w:val="20"/>
          <w:szCs w:val="18"/>
        </w:rPr>
        <w:t>)</w:t>
      </w:r>
      <w:r>
        <w:rPr>
          <w:b w:val="0"/>
          <w:bCs/>
          <w:caps w:val="0"/>
          <w:sz w:val="20"/>
          <w:szCs w:val="18"/>
          <w:highlight w:val="yellow"/>
        </w:rPr>
        <w:t>,</w:t>
      </w:r>
      <w:r>
        <w:rPr>
          <w:b w:val="0"/>
          <w:bCs/>
          <w:caps w:val="0"/>
          <w:sz w:val="20"/>
          <w:szCs w:val="18"/>
        </w:rPr>
        <w:t xml:space="preserve"> reflect</w:t>
      </w:r>
      <w:r>
        <w:rPr>
          <w:b w:val="0"/>
          <w:bCs/>
          <w:caps w:val="0"/>
          <w:sz w:val="20"/>
          <w:szCs w:val="18"/>
          <w:highlight w:val="yellow"/>
        </w:rPr>
        <w:t>ing</w:t>
      </w:r>
      <w:r>
        <w:rPr>
          <w:b w:val="0"/>
          <w:bCs/>
          <w:caps w:val="0"/>
          <w:sz w:val="20"/>
          <w:szCs w:val="18"/>
        </w:rPr>
        <w:t xml:space="preserve"> low variation </w:t>
      </w:r>
      <w:r>
        <w:rPr>
          <w:b w:val="0"/>
          <w:bCs/>
          <w:caps w:val="0"/>
          <w:sz w:val="20"/>
          <w:szCs w:val="18"/>
          <w:highlight w:val="yellow"/>
        </w:rPr>
        <w:t>amo</w:t>
      </w:r>
      <w:r>
        <w:rPr>
          <w:b w:val="0"/>
          <w:bCs/>
          <w:caps w:val="0"/>
          <w:sz w:val="20"/>
          <w:szCs w:val="18"/>
        </w:rPr>
        <w:t>n</w:t>
      </w:r>
      <w:r>
        <w:rPr>
          <w:b w:val="0"/>
          <w:bCs/>
          <w:caps w:val="0"/>
          <w:sz w:val="20"/>
          <w:szCs w:val="18"/>
          <w:highlight w:val="yellow"/>
        </w:rPr>
        <w:t>g</w:t>
      </w:r>
      <w:r>
        <w:rPr>
          <w:b w:val="0"/>
          <w:bCs/>
          <w:caps w:val="0"/>
          <w:sz w:val="20"/>
          <w:szCs w:val="18"/>
        </w:rPr>
        <w:t xml:space="preserve"> replicate measurements. Similarly, relatively low variability was observed for most measured physical parameters, except for </w:t>
      </w:r>
      <w:r>
        <w:rPr>
          <w:b w:val="0"/>
          <w:bCs/>
          <w:caps w:val="0"/>
          <w:sz w:val="20"/>
          <w:szCs w:val="18"/>
          <w:highlight w:val="yellow"/>
        </w:rPr>
        <w:t>spoon-bowl</w:t>
      </w:r>
      <w:r>
        <w:rPr>
          <w:b w:val="0"/>
          <w:bCs/>
          <w:caps w:val="0"/>
          <w:sz w:val="20"/>
          <w:szCs w:val="18"/>
        </w:rPr>
        <w:t xml:space="preserve"> depth and bowl weight. The relatively larger differences in these parameters m</w:t>
      </w:r>
      <w:r>
        <w:rPr>
          <w:b w:val="0"/>
          <w:bCs/>
          <w:caps w:val="0"/>
          <w:sz w:val="20"/>
          <w:szCs w:val="18"/>
          <w:highlight w:val="yellow"/>
        </w:rPr>
        <w:t>ay</w:t>
      </w:r>
      <w:r>
        <w:rPr>
          <w:b w:val="0"/>
          <w:bCs/>
          <w:caps w:val="0"/>
          <w:sz w:val="20"/>
          <w:szCs w:val="18"/>
        </w:rPr>
        <w:t xml:space="preserve"> be related to slight differences in size and weight caused by the manual mould-pressing method </w:t>
      </w:r>
      <w:r>
        <w:rPr>
          <w:b w:val="0"/>
          <w:bCs/>
          <w:caps w:val="0"/>
          <w:sz w:val="20"/>
          <w:szCs w:val="18"/>
          <w:highlight w:val="yellow"/>
        </w:rPr>
        <w:t>us</w:t>
      </w:r>
      <w:r>
        <w:rPr>
          <w:b w:val="0"/>
          <w:bCs/>
          <w:caps w:val="0"/>
          <w:sz w:val="20"/>
          <w:szCs w:val="18"/>
        </w:rPr>
        <w:t>ed in the laboratory</w:t>
      </w:r>
      <w:r>
        <w:rPr>
          <w:b w:val="0"/>
          <w:bCs/>
          <w:caps w:val="0"/>
          <w:sz w:val="20"/>
          <w:szCs w:val="18"/>
          <w:highlight w:val="yellow"/>
        </w:rPr>
        <w:t>-</w:t>
      </w:r>
      <w:r>
        <w:rPr>
          <w:b w:val="0"/>
          <w:bCs/>
          <w:caps w:val="0"/>
          <w:sz w:val="20"/>
          <w:szCs w:val="18"/>
        </w:rPr>
        <w:t>scale production process. Descriptive data (mean ± SD) w</w:t>
      </w:r>
      <w:r>
        <w:rPr>
          <w:b w:val="0"/>
          <w:bCs/>
          <w:caps w:val="0"/>
          <w:sz w:val="20"/>
          <w:szCs w:val="18"/>
          <w:highlight w:val="yellow"/>
        </w:rPr>
        <w:t>ere</w:t>
      </w:r>
      <w:r>
        <w:rPr>
          <w:b w:val="0"/>
          <w:bCs/>
          <w:caps w:val="0"/>
          <w:sz w:val="20"/>
          <w:szCs w:val="18"/>
        </w:rPr>
        <w:t xml:space="preserve"> also used to summari</w:t>
      </w:r>
      <w:r>
        <w:rPr>
          <w:b w:val="0"/>
          <w:bCs/>
          <w:caps w:val="0"/>
          <w:sz w:val="20"/>
          <w:szCs w:val="18"/>
          <w:highlight w:val="yellow"/>
        </w:rPr>
        <w:t>s</w:t>
      </w:r>
      <w:r>
        <w:rPr>
          <w:b w:val="0"/>
          <w:bCs/>
          <w:caps w:val="0"/>
          <w:sz w:val="20"/>
          <w:szCs w:val="18"/>
        </w:rPr>
        <w:t>e the sensory evaluation results. The mean scores of the three formulations (BF, F1</w:t>
      </w:r>
      <w:r>
        <w:rPr>
          <w:b w:val="0"/>
          <w:bCs/>
          <w:caps w:val="0"/>
          <w:sz w:val="20"/>
          <w:szCs w:val="18"/>
          <w:highlight w:val="yellow"/>
        </w:rPr>
        <w:t>,</w:t>
      </w:r>
      <w:r>
        <w:rPr>
          <w:b w:val="0"/>
          <w:bCs/>
          <w:caps w:val="0"/>
          <w:sz w:val="20"/>
          <w:szCs w:val="18"/>
        </w:rPr>
        <w:t xml:space="preserve"> and F2) were compared based on their sensory scores. The mean scores of F2 (10% peel powder incorporation) were higher than th</w:t>
      </w:r>
      <w:r>
        <w:rPr>
          <w:b w:val="0"/>
          <w:bCs/>
          <w:caps w:val="0"/>
          <w:sz w:val="20"/>
          <w:szCs w:val="18"/>
          <w:highlight w:val="yellow"/>
        </w:rPr>
        <w:t>ose of th</w:t>
      </w:r>
      <w:r>
        <w:rPr>
          <w:b w:val="0"/>
          <w:bCs/>
          <w:caps w:val="0"/>
          <w:sz w:val="20"/>
          <w:szCs w:val="18"/>
        </w:rPr>
        <w:t>e base formulation for several sensory attributes, p</w:t>
      </w:r>
      <w:r>
        <w:rPr>
          <w:b w:val="0"/>
          <w:bCs/>
          <w:caps w:val="0"/>
          <w:sz w:val="20"/>
          <w:szCs w:val="18"/>
          <w:highlight w:val="yellow"/>
        </w:rPr>
        <w:t>arti</w:t>
      </w:r>
      <w:r>
        <w:rPr>
          <w:b w:val="0"/>
          <w:bCs/>
          <w:caps w:val="0"/>
          <w:sz w:val="20"/>
          <w:szCs w:val="18"/>
        </w:rPr>
        <w:t>c</w:t>
      </w:r>
      <w:r>
        <w:rPr>
          <w:b w:val="0"/>
          <w:bCs/>
          <w:caps w:val="0"/>
          <w:sz w:val="20"/>
          <w:szCs w:val="18"/>
          <w:highlight w:val="yellow"/>
        </w:rPr>
        <w:t>ul</w:t>
      </w:r>
      <w:r>
        <w:rPr>
          <w:b w:val="0"/>
          <w:bCs/>
          <w:caps w:val="0"/>
          <w:sz w:val="20"/>
          <w:szCs w:val="18"/>
        </w:rPr>
        <w:t>a</w:t>
      </w:r>
      <w:r>
        <w:rPr>
          <w:b w:val="0"/>
          <w:bCs/>
          <w:caps w:val="0"/>
          <w:sz w:val="20"/>
          <w:szCs w:val="18"/>
          <w:highlight w:val="yellow"/>
        </w:rPr>
        <w:t>r</w:t>
      </w:r>
      <w:r>
        <w:rPr>
          <w:b w:val="0"/>
          <w:bCs/>
          <w:caps w:val="0"/>
          <w:sz w:val="20"/>
          <w:szCs w:val="18"/>
        </w:rPr>
        <w:t>ly colour, appearance, texture</w:t>
      </w:r>
      <w:r>
        <w:rPr>
          <w:b w:val="0"/>
          <w:bCs/>
          <w:caps w:val="0"/>
          <w:sz w:val="20"/>
          <w:szCs w:val="18"/>
          <w:highlight w:val="yellow"/>
        </w:rPr>
        <w:t>,</w:t>
      </w:r>
      <w:r>
        <w:rPr>
          <w:b w:val="0"/>
          <w:bCs/>
          <w:caps w:val="0"/>
          <w:sz w:val="20"/>
          <w:szCs w:val="18"/>
        </w:rPr>
        <w:t xml:space="preserve"> and overall acceptability. </w:t>
      </w:r>
      <w:r>
        <w:rPr>
          <w:b w:val="0"/>
          <w:bCs/>
          <w:caps w:val="0"/>
          <w:sz w:val="20"/>
          <w:szCs w:val="18"/>
          <w:highlight w:val="yellow"/>
        </w:rPr>
        <w:t>T</w:t>
      </w:r>
      <w:r>
        <w:rPr>
          <w:b w:val="0"/>
          <w:bCs/>
          <w:caps w:val="0"/>
          <w:sz w:val="20"/>
          <w:szCs w:val="18"/>
        </w:rPr>
        <w:t xml:space="preserve">aste scores </w:t>
      </w:r>
      <w:r>
        <w:rPr>
          <w:b w:val="0"/>
          <w:bCs/>
          <w:caps w:val="0"/>
          <w:sz w:val="20"/>
          <w:szCs w:val="18"/>
          <w:highlight w:val="yellow"/>
        </w:rPr>
        <w:t>w</w:t>
      </w:r>
      <w:r>
        <w:rPr>
          <w:b w:val="0"/>
          <w:bCs/>
          <w:caps w:val="0"/>
          <w:sz w:val="20"/>
          <w:szCs w:val="18"/>
        </w:rPr>
        <w:t>ere relatively similar between F1 and F2</w:t>
      </w:r>
      <w:r>
        <w:rPr>
          <w:b w:val="0"/>
          <w:bCs/>
          <w:caps w:val="0"/>
          <w:sz w:val="20"/>
          <w:szCs w:val="18"/>
          <w:highlight w:val="yellow"/>
        </w:rPr>
        <w:t>,</w:t>
      </w:r>
      <w:r>
        <w:rPr>
          <w:b w:val="0"/>
          <w:bCs/>
          <w:caps w:val="0"/>
          <w:sz w:val="20"/>
          <w:szCs w:val="18"/>
        </w:rPr>
        <w:t xml:space="preserve"> indicating that incorporation of peel powder at 10% did not </w:t>
      </w:r>
      <w:r>
        <w:rPr>
          <w:b w:val="0"/>
          <w:bCs/>
          <w:caps w:val="0"/>
          <w:sz w:val="20"/>
          <w:szCs w:val="18"/>
          <w:highlight w:val="yellow"/>
        </w:rPr>
        <w:t>m</w:t>
      </w:r>
      <w:r>
        <w:rPr>
          <w:b w:val="0"/>
          <w:bCs/>
          <w:caps w:val="0"/>
          <w:sz w:val="20"/>
          <w:szCs w:val="18"/>
        </w:rPr>
        <w:t>a</w:t>
      </w:r>
      <w:r>
        <w:rPr>
          <w:b w:val="0"/>
          <w:bCs/>
          <w:caps w:val="0"/>
          <w:sz w:val="20"/>
          <w:szCs w:val="18"/>
          <w:highlight w:val="yellow"/>
        </w:rPr>
        <w:t>rked</w:t>
      </w:r>
      <w:r>
        <w:rPr>
          <w:b w:val="0"/>
          <w:bCs/>
          <w:caps w:val="0"/>
          <w:sz w:val="20"/>
          <w:szCs w:val="18"/>
        </w:rPr>
        <w:t xml:space="preserve">ly </w:t>
      </w:r>
      <w:r>
        <w:rPr>
          <w:b w:val="0"/>
          <w:bCs/>
          <w:caps w:val="0"/>
          <w:sz w:val="20"/>
          <w:szCs w:val="18"/>
          <w:highlight w:val="yellow"/>
        </w:rPr>
        <w:t>r</w:t>
      </w:r>
      <w:r>
        <w:rPr>
          <w:b w:val="0"/>
          <w:bCs/>
          <w:caps w:val="0"/>
          <w:sz w:val="20"/>
          <w:szCs w:val="18"/>
        </w:rPr>
        <w:t>e</w:t>
      </w:r>
      <w:r>
        <w:rPr>
          <w:b w:val="0"/>
          <w:bCs/>
          <w:caps w:val="0"/>
          <w:sz w:val="20"/>
          <w:szCs w:val="18"/>
          <w:highlight w:val="yellow"/>
        </w:rPr>
        <w:t>du</w:t>
      </w:r>
      <w:r>
        <w:rPr>
          <w:b w:val="0"/>
          <w:bCs/>
          <w:caps w:val="0"/>
          <w:sz w:val="20"/>
          <w:szCs w:val="18"/>
        </w:rPr>
        <w:t>ce taste acceptability. F2 was se</w:t>
      </w:r>
      <w:r>
        <w:rPr>
          <w:b w:val="0"/>
          <w:bCs/>
          <w:caps w:val="0"/>
          <w:sz w:val="20"/>
          <w:szCs w:val="18"/>
          <w:highlight w:val="yellow"/>
        </w:rPr>
        <w:t>lected</w:t>
      </w:r>
      <w:r>
        <w:rPr>
          <w:b w:val="0"/>
          <w:bCs/>
          <w:caps w:val="0"/>
          <w:sz w:val="20"/>
          <w:szCs w:val="18"/>
        </w:rPr>
        <w:t xml:space="preserve"> as the optimi</w:t>
      </w:r>
      <w:r>
        <w:rPr>
          <w:b w:val="0"/>
          <w:bCs/>
          <w:caps w:val="0"/>
          <w:sz w:val="20"/>
          <w:szCs w:val="18"/>
          <w:highlight w:val="yellow"/>
        </w:rPr>
        <w:t>s</w:t>
      </w:r>
      <w:r>
        <w:rPr>
          <w:b w:val="0"/>
          <w:bCs/>
          <w:caps w:val="0"/>
          <w:sz w:val="20"/>
          <w:szCs w:val="18"/>
        </w:rPr>
        <w:t xml:space="preserve">ed formulation for further testing based on its </w:t>
      </w:r>
      <w:r>
        <w:rPr>
          <w:b w:val="0"/>
          <w:bCs/>
          <w:caps w:val="0"/>
          <w:sz w:val="20"/>
          <w:szCs w:val="18"/>
          <w:highlight w:val="yellow"/>
        </w:rPr>
        <w:t xml:space="preserve">favourable </w:t>
      </w:r>
      <w:r>
        <w:rPr>
          <w:b w:val="0"/>
          <w:bCs/>
          <w:caps w:val="0"/>
          <w:sz w:val="20"/>
          <w:szCs w:val="18"/>
        </w:rPr>
        <w:t>overall sensory performance and higher level of peel incorporation.</w:t>
      </w:r>
    </w:p>
    <w:p w14:paraId="0E3ED37B" w14:textId="77777777" w:rsidR="00C05472" w:rsidRPr="00197564" w:rsidRDefault="00C05472" w:rsidP="00C05472">
      <w:pPr>
        <w:pStyle w:val="ConcHead"/>
        <w:spacing w:after="0"/>
        <w:jc w:val="both"/>
        <w:rPr>
          <w:b w:val="0"/>
          <w:caps w:val="0"/>
          <w:sz w:val="20"/>
          <w:lang w:val="en-IN"/>
        </w:rPr>
      </w:pPr>
    </w:p>
    <w:p w14:paraId="1B43C258" w14:textId="77777777" w:rsidR="00B01FCD" w:rsidRDefault="00000F8F" w:rsidP="00C05472">
      <w:pPr>
        <w:pStyle w:val="ConcHead"/>
        <w:spacing w:after="0"/>
        <w:jc w:val="both"/>
        <w:rPr>
          <w:rFonts w:ascii="Arial" w:hAnsi="Arial" w:cs="Arial"/>
        </w:rPr>
      </w:pPr>
      <w:r>
        <w:rPr>
          <w:rFonts w:ascii="Arial" w:hAnsi="Arial" w:cs="Arial"/>
        </w:rPr>
        <w:t>4. C</w:t>
      </w:r>
      <w:r>
        <w:rPr>
          <w:rFonts w:ascii="Arial" w:hAnsi="Arial" w:cs="Arial"/>
          <w:highlight w:val="yellow"/>
        </w:rPr>
        <w:t>ONCLUSION</w:t>
      </w:r>
      <w:r>
        <w:rPr>
          <w:rFonts w:ascii="Arial" w:hAnsi="Arial" w:cs="Arial"/>
        </w:rPr>
        <w:t xml:space="preserve"> &amp; FUTURE RESEARCH DIRECTIONS</w:t>
      </w:r>
    </w:p>
    <w:p w14:paraId="11836757" w14:textId="77777777" w:rsidR="00790ADA" w:rsidRPr="00FB3A86" w:rsidRDefault="00790ADA" w:rsidP="00441B6F">
      <w:pPr>
        <w:pStyle w:val="ConcHead"/>
        <w:spacing w:after="0"/>
        <w:jc w:val="both"/>
        <w:rPr>
          <w:rFonts w:ascii="Arial" w:hAnsi="Arial" w:cs="Arial"/>
        </w:rPr>
      </w:pPr>
    </w:p>
    <w:p w14:paraId="79201F03" w14:textId="4E1E16B5" w:rsidR="00790ADA" w:rsidRDefault="00C05472" w:rsidP="00C05472">
      <w:pPr>
        <w:pStyle w:val="Body"/>
        <w:spacing w:after="0" w:line="360" w:lineRule="auto"/>
      </w:pPr>
      <w:r>
        <w:t xml:space="preserve">The results </w:t>
      </w:r>
      <w:r>
        <w:rPr>
          <w:highlight w:val="yellow"/>
        </w:rPr>
        <w:t>o</w:t>
      </w:r>
      <w:r>
        <w:t xml:space="preserve">f the present study demonstrated the feasibility of producing edible cutlery </w:t>
      </w:r>
      <w:r>
        <w:rPr>
          <w:highlight w:val="yellow"/>
        </w:rPr>
        <w:t>from a</w:t>
      </w:r>
      <w:r>
        <w:t xml:space="preserve"> bio-composite flour blend con</w:t>
      </w:r>
      <w:r>
        <w:rPr>
          <w:highlight w:val="yellow"/>
        </w:rPr>
        <w:t>ta</w:t>
      </w:r>
      <w:r>
        <w:t>i</w:t>
      </w:r>
      <w:r>
        <w:rPr>
          <w:highlight w:val="yellow"/>
        </w:rPr>
        <w:t>n</w:t>
      </w:r>
      <w:r>
        <w:t xml:space="preserve">ing carrot and beetroot peel powders </w:t>
      </w:r>
      <w:r>
        <w:rPr>
          <w:highlight w:val="yellow"/>
        </w:rPr>
        <w:t xml:space="preserve">at </w:t>
      </w:r>
      <w:r>
        <w:t>up to</w:t>
      </w:r>
      <w:r>
        <w:rPr>
          <w:highlight w:val="yellow"/>
        </w:rPr>
        <w:t xml:space="preserve"> a</w:t>
      </w:r>
      <w:r>
        <w:t xml:space="preserve"> 10% substitution level</w:t>
      </w:r>
      <w:r>
        <w:rPr>
          <w:highlight w:val="yellow"/>
        </w:rPr>
        <w:t>,</w:t>
      </w:r>
      <w:r>
        <w:t xml:space="preserve"> wi</w:t>
      </w:r>
      <w:r>
        <w:rPr>
          <w:highlight w:val="yellow"/>
        </w:rPr>
        <w:t>t</w:t>
      </w:r>
      <w:r>
        <w:t xml:space="preserve">h </w:t>
      </w:r>
      <w:r>
        <w:rPr>
          <w:highlight w:val="yellow"/>
        </w:rPr>
        <w:t>a</w:t>
      </w:r>
      <w:r>
        <w:t>c</w:t>
      </w:r>
      <w:r>
        <w:rPr>
          <w:highlight w:val="yellow"/>
        </w:rPr>
        <w:t>c</w:t>
      </w:r>
      <w:r>
        <w:t>e</w:t>
      </w:r>
      <w:r>
        <w:rPr>
          <w:highlight w:val="yellow"/>
        </w:rPr>
        <w:t>ptabl</w:t>
      </w:r>
      <w:r>
        <w:t>e nutritional</w:t>
      </w:r>
      <w:r>
        <w:rPr>
          <w:highlight w:val="yellow"/>
        </w:rPr>
        <w:t>,</w:t>
      </w:r>
      <w:r>
        <w:t xml:space="preserve"> functional</w:t>
      </w:r>
      <w:r>
        <w:rPr>
          <w:highlight w:val="yellow"/>
        </w:rPr>
        <w:t>,</w:t>
      </w:r>
      <w:r>
        <w:t xml:space="preserve"> and sensory </w:t>
      </w:r>
      <w:r>
        <w:rPr>
          <w:highlight w:val="yellow"/>
        </w:rPr>
        <w:t>char</w:t>
      </w:r>
      <w:r>
        <w:t>ac</w:t>
      </w:r>
      <w:r>
        <w:rPr>
          <w:highlight w:val="yellow"/>
        </w:rPr>
        <w:t>teristi</w:t>
      </w:r>
      <w:r>
        <w:t>c</w:t>
      </w:r>
      <w:r>
        <w:rPr>
          <w:highlight w:val="yellow"/>
        </w:rPr>
        <w:t>s</w:t>
      </w:r>
      <w:r>
        <w:t>. The optimi</w:t>
      </w:r>
      <w:r>
        <w:rPr>
          <w:highlight w:val="yellow"/>
        </w:rPr>
        <w:t>s</w:t>
      </w:r>
      <w:r>
        <w:t>ed spoon and bowl ha</w:t>
      </w:r>
      <w:r>
        <w:rPr>
          <w:highlight w:val="yellow"/>
        </w:rPr>
        <w:t>d</w:t>
      </w:r>
      <w:r>
        <w:t xml:space="preserve"> a</w:t>
      </w:r>
      <w:r>
        <w:rPr>
          <w:highlight w:val="yellow"/>
        </w:rPr>
        <w:t xml:space="preserve"> relatively</w:t>
      </w:r>
      <w:r>
        <w:t xml:space="preserve"> high protein content</w:t>
      </w:r>
      <w:r>
        <w:rPr>
          <w:highlight w:val="yellow"/>
        </w:rPr>
        <w:t>,</w:t>
      </w:r>
      <w:r>
        <w:t xml:space="preserve"> a</w:t>
      </w:r>
      <w:r>
        <w:rPr>
          <w:highlight w:val="yellow"/>
        </w:rPr>
        <w:t>pproximat</w:t>
      </w:r>
      <w:r>
        <w:t xml:space="preserve">ely </w:t>
      </w:r>
      <w:r>
        <w:rPr>
          <w:highlight w:val="yellow"/>
        </w:rPr>
        <w:t>39</w:t>
      </w:r>
      <w:r>
        <w:t>% DPPH inhibition, high oil</w:t>
      </w:r>
      <w:r>
        <w:rPr>
          <w:highlight w:val="yellow"/>
        </w:rPr>
        <w:t>-</w:t>
      </w:r>
      <w:r>
        <w:t xml:space="preserve"> </w:t>
      </w:r>
      <w:r>
        <w:rPr>
          <w:highlight w:val="yellow"/>
        </w:rPr>
        <w:t>and water-</w:t>
      </w:r>
      <w:r>
        <w:t>holding capacitie</w:t>
      </w:r>
      <w:r>
        <w:rPr>
          <w:highlight w:val="yellow"/>
        </w:rPr>
        <w:t>s</w:t>
      </w:r>
      <w:r>
        <w:t xml:space="preserve">, low moisture content, and </w:t>
      </w:r>
      <w:r>
        <w:rPr>
          <w:highlight w:val="yellow"/>
        </w:rPr>
        <w:t>acc</w:t>
      </w:r>
      <w:r>
        <w:t>e</w:t>
      </w:r>
      <w:r>
        <w:rPr>
          <w:highlight w:val="yellow"/>
        </w:rPr>
        <w:t>pt</w:t>
      </w:r>
      <w:r>
        <w:t>a</w:t>
      </w:r>
      <w:r>
        <w:rPr>
          <w:highlight w:val="yellow"/>
        </w:rPr>
        <w:t>ble</w:t>
      </w:r>
      <w:r>
        <w:t xml:space="preserve"> structural </w:t>
      </w:r>
      <w:r>
        <w:rPr>
          <w:highlight w:val="yellow"/>
        </w:rPr>
        <w:t>characteri</w:t>
      </w:r>
      <w:r>
        <w:t>s</w:t>
      </w:r>
      <w:r>
        <w:rPr>
          <w:highlight w:val="yellow"/>
        </w:rPr>
        <w:t>tics</w:t>
      </w:r>
      <w:r>
        <w:t xml:space="preserve"> and natural colour. The total phenolic content of 1.057 mg GAE/g in</w:t>
      </w:r>
      <w:r>
        <w:rPr>
          <w:highlight w:val="yellow"/>
        </w:rPr>
        <w:t>d</w:t>
      </w:r>
      <w:r>
        <w:t>ica</w:t>
      </w:r>
      <w:r>
        <w:rPr>
          <w:highlight w:val="yellow"/>
        </w:rPr>
        <w:t>t</w:t>
      </w:r>
      <w:r>
        <w:t>e</w:t>
      </w:r>
      <w:r>
        <w:rPr>
          <w:highlight w:val="yellow"/>
        </w:rPr>
        <w:t>s</w:t>
      </w:r>
      <w:r>
        <w:t xml:space="preserve"> phytochemical enrichment </w:t>
      </w:r>
      <w:r>
        <w:rPr>
          <w:highlight w:val="yellow"/>
        </w:rPr>
        <w:t>associate</w:t>
      </w:r>
      <w:r>
        <w:t xml:space="preserve">d </w:t>
      </w:r>
      <w:r>
        <w:rPr>
          <w:highlight w:val="yellow"/>
        </w:rPr>
        <w:t>wi</w:t>
      </w:r>
      <w:r>
        <w:t>t</w:t>
      </w:r>
      <w:r>
        <w:rPr>
          <w:highlight w:val="yellow"/>
        </w:rPr>
        <w:t>h</w:t>
      </w:r>
      <w:r>
        <w:t xml:space="preserve"> the inclusion of vegetable peel</w:t>
      </w:r>
      <w:r>
        <w:rPr>
          <w:highlight w:val="yellow"/>
        </w:rPr>
        <w:t xml:space="preserve"> powders</w:t>
      </w:r>
      <w:r>
        <w:t>. Based on these</w:t>
      </w:r>
      <w:r>
        <w:rPr>
          <w:highlight w:val="yellow"/>
        </w:rPr>
        <w:t xml:space="preserve"> findings</w:t>
      </w:r>
      <w:r>
        <w:t xml:space="preserve">, the developed edible cutlery </w:t>
      </w:r>
      <w:r>
        <w:rPr>
          <w:highlight w:val="yellow"/>
        </w:rPr>
        <w:t xml:space="preserve">may have potential as </w:t>
      </w:r>
      <w:r>
        <w:t xml:space="preserve">an </w:t>
      </w:r>
      <w:r>
        <w:rPr>
          <w:highlight w:val="yellow"/>
        </w:rPr>
        <w:t>edi</w:t>
      </w:r>
      <w:r>
        <w:t>b</w:t>
      </w:r>
      <w:r>
        <w:rPr>
          <w:highlight w:val="yellow"/>
        </w:rPr>
        <w:t>l</w:t>
      </w:r>
      <w:r>
        <w:t xml:space="preserve">e </w:t>
      </w:r>
      <w:r>
        <w:rPr>
          <w:highlight w:val="yellow"/>
        </w:rPr>
        <w:t>alt</w:t>
      </w:r>
      <w:r>
        <w:t>e</w:t>
      </w:r>
      <w:r>
        <w:rPr>
          <w:highlight w:val="yellow"/>
        </w:rPr>
        <w:t>rnative</w:t>
      </w:r>
      <w:r>
        <w:t xml:space="preserve"> to disposable </w:t>
      </w:r>
      <w:r>
        <w:rPr>
          <w:highlight w:val="yellow"/>
        </w:rPr>
        <w:t>plastic c</w:t>
      </w:r>
      <w:r>
        <w:t>utle</w:t>
      </w:r>
      <w:r>
        <w:rPr>
          <w:highlight w:val="yellow"/>
        </w:rPr>
        <w:t>ry</w:t>
      </w:r>
      <w:r>
        <w:t>. The conversion of food</w:t>
      </w:r>
      <w:r>
        <w:rPr>
          <w:highlight w:val="yellow"/>
        </w:rPr>
        <w:t>-</w:t>
      </w:r>
      <w:r>
        <w:t xml:space="preserve">processing waste </w:t>
      </w:r>
      <w:r>
        <w:rPr>
          <w:highlight w:val="yellow"/>
        </w:rPr>
        <w:t>in</w:t>
      </w:r>
      <w:r>
        <w:t>to value</w:t>
      </w:r>
      <w:r>
        <w:rPr>
          <w:highlight w:val="yellow"/>
        </w:rPr>
        <w:t>-</w:t>
      </w:r>
      <w:r>
        <w:t xml:space="preserve">added products is an important </w:t>
      </w:r>
      <w:r>
        <w:rPr>
          <w:highlight w:val="yellow"/>
        </w:rPr>
        <w:t>componen</w:t>
      </w:r>
      <w:r>
        <w:t xml:space="preserve">t </w:t>
      </w:r>
      <w:r>
        <w:rPr>
          <w:highlight w:val="yellow"/>
        </w:rPr>
        <w:t>of</w:t>
      </w:r>
      <w:r>
        <w:t xml:space="preserve"> circular</w:t>
      </w:r>
      <w:r>
        <w:rPr>
          <w:highlight w:val="yellow"/>
        </w:rPr>
        <w:t>-</w:t>
      </w:r>
      <w:r>
        <w:t>economy approach</w:t>
      </w:r>
      <w:r>
        <w:rPr>
          <w:highlight w:val="yellow"/>
        </w:rPr>
        <w:t>es</w:t>
      </w:r>
      <w:r>
        <w:t>,</w:t>
      </w:r>
      <w:r>
        <w:rPr>
          <w:highlight w:val="yellow"/>
        </w:rPr>
        <w:t xml:space="preserve"> as</w:t>
      </w:r>
      <w:r>
        <w:t xml:space="preserve"> highlighted by Di F</w:t>
      </w:r>
      <w:r>
        <w:rPr>
          <w:highlight w:val="yellow"/>
        </w:rPr>
        <w:t>r</w:t>
      </w:r>
      <w:r>
        <w:t xml:space="preserve">aia </w:t>
      </w:r>
      <w:r>
        <w:rPr>
          <w:i/>
          <w:iCs/>
        </w:rPr>
        <w:t>et al.</w:t>
      </w:r>
      <w:r>
        <w:t xml:space="preserve"> (2024). Th</w:t>
      </w:r>
      <w:r>
        <w:rPr>
          <w:highlight w:val="yellow"/>
        </w:rPr>
        <w:t>e</w:t>
      </w:r>
      <w:r>
        <w:t xml:space="preserve"> present study was l</w:t>
      </w:r>
      <w:r>
        <w:rPr>
          <w:highlight w:val="yellow"/>
        </w:rPr>
        <w:t>im</w:t>
      </w:r>
      <w:r>
        <w:t>it</w:t>
      </w:r>
      <w:r>
        <w:rPr>
          <w:highlight w:val="yellow"/>
        </w:rPr>
        <w:t>ed to</w:t>
      </w:r>
      <w:r>
        <w:t xml:space="preserve"> formulation</w:t>
      </w:r>
      <w:r>
        <w:rPr>
          <w:highlight w:val="yellow"/>
        </w:rPr>
        <w:t xml:space="preserve"> development</w:t>
      </w:r>
      <w:r>
        <w:t xml:space="preserve"> and physicochemical evaluation </w:t>
      </w:r>
      <w:r>
        <w:rPr>
          <w:highlight w:val="yellow"/>
        </w:rPr>
        <w:t>a</w:t>
      </w:r>
      <w:r>
        <w:t>t laboratory scale. Future work s</w:t>
      </w:r>
      <w:r>
        <w:rPr>
          <w:highlight w:val="yellow"/>
        </w:rPr>
        <w:t>h</w:t>
      </w:r>
      <w:r>
        <w:t>o</w:t>
      </w:r>
      <w:r>
        <w:rPr>
          <w:highlight w:val="yellow"/>
        </w:rPr>
        <w:t>ul</w:t>
      </w:r>
      <w:r>
        <w:t xml:space="preserve">d </w:t>
      </w:r>
      <w:r>
        <w:rPr>
          <w:highlight w:val="yellow"/>
        </w:rPr>
        <w:t>incl</w:t>
      </w:r>
      <w:r>
        <w:t>u</w:t>
      </w:r>
      <w:r>
        <w:rPr>
          <w:highlight w:val="yellow"/>
        </w:rPr>
        <w:t>de</w:t>
      </w:r>
      <w:r>
        <w:t xml:space="preserve"> mechanical durability testing </w:t>
      </w:r>
      <w:r>
        <w:rPr>
          <w:highlight w:val="yellow"/>
        </w:rPr>
        <w:t>u</w:t>
      </w:r>
      <w:r>
        <w:t>n</w:t>
      </w:r>
      <w:r>
        <w:rPr>
          <w:highlight w:val="yellow"/>
        </w:rPr>
        <w:t>d</w:t>
      </w:r>
      <w:r>
        <w:t>e</w:t>
      </w:r>
      <w:r>
        <w:rPr>
          <w:highlight w:val="yellow"/>
        </w:rPr>
        <w:t>r</w:t>
      </w:r>
      <w:r>
        <w:t xml:space="preserve"> wet conditions, shelf</w:t>
      </w:r>
      <w:r>
        <w:rPr>
          <w:highlight w:val="yellow"/>
        </w:rPr>
        <w:t>-</w:t>
      </w:r>
      <w:r>
        <w:t xml:space="preserve">life testing </w:t>
      </w:r>
      <w:r>
        <w:rPr>
          <w:highlight w:val="yellow"/>
        </w:rPr>
        <w:t>under d</w:t>
      </w:r>
      <w:r>
        <w:t>i</w:t>
      </w:r>
      <w:r>
        <w:rPr>
          <w:highlight w:val="yellow"/>
        </w:rPr>
        <w:t>ffere</w:t>
      </w:r>
      <w:r>
        <w:t>n</w:t>
      </w:r>
      <w:r>
        <w:rPr>
          <w:highlight w:val="yellow"/>
        </w:rPr>
        <w:t>t</w:t>
      </w:r>
      <w:r>
        <w:t xml:space="preserve"> storage environments, packaging development, scale</w:t>
      </w:r>
      <w:r>
        <w:rPr>
          <w:highlight w:val="yellow"/>
        </w:rPr>
        <w:t>-</w:t>
      </w:r>
      <w:r>
        <w:t>up</w:t>
      </w:r>
      <w:r>
        <w:rPr>
          <w:highlight w:val="yellow"/>
        </w:rPr>
        <w:t>,</w:t>
      </w:r>
      <w:r>
        <w:t xml:space="preserve"> and consumer acceptance </w:t>
      </w:r>
      <w:r>
        <w:rPr>
          <w:highlight w:val="yellow"/>
        </w:rPr>
        <w:t>u</w:t>
      </w:r>
      <w:r>
        <w:t>n</w:t>
      </w:r>
      <w:r>
        <w:rPr>
          <w:highlight w:val="yellow"/>
        </w:rPr>
        <w:t>der</w:t>
      </w:r>
      <w:r>
        <w:t xml:space="preserve"> real</w:t>
      </w:r>
      <w:r>
        <w:rPr>
          <w:highlight w:val="yellow"/>
        </w:rPr>
        <w:t>-use</w:t>
      </w:r>
      <w:r>
        <w:t xml:space="preserve"> </w:t>
      </w:r>
      <w:r>
        <w:rPr>
          <w:highlight w:val="yellow"/>
        </w:rPr>
        <w:t>cond</w:t>
      </w:r>
      <w:r>
        <w:t>ition</w:t>
      </w:r>
      <w:r>
        <w:rPr>
          <w:highlight w:val="yellow"/>
        </w:rPr>
        <w:t>s</w:t>
      </w:r>
      <w:r>
        <w:t xml:space="preserve">. Comparative trials </w:t>
      </w:r>
      <w:r>
        <w:rPr>
          <w:highlight w:val="yellow"/>
        </w:rPr>
        <w:t>with comme</w:t>
      </w:r>
      <w:r>
        <w:t>r</w:t>
      </w:r>
      <w:r>
        <w:rPr>
          <w:highlight w:val="yellow"/>
        </w:rPr>
        <w:t>cially avai</w:t>
      </w:r>
      <w:r>
        <w:t>la</w:t>
      </w:r>
      <w:r>
        <w:rPr>
          <w:highlight w:val="yellow"/>
        </w:rPr>
        <w:t>bl</w:t>
      </w:r>
      <w:r>
        <w:t>e edible</w:t>
      </w:r>
      <w:r>
        <w:rPr>
          <w:highlight w:val="yellow"/>
        </w:rPr>
        <w:t>-</w:t>
      </w:r>
      <w:r>
        <w:t>cutlery products</w:t>
      </w:r>
      <w:r>
        <w:rPr>
          <w:highlight w:val="yellow"/>
        </w:rPr>
        <w:t>,</w:t>
      </w:r>
      <w:r>
        <w:t xml:space="preserve"> t</w:t>
      </w:r>
      <w:r>
        <w:rPr>
          <w:highlight w:val="yellow"/>
        </w:rPr>
        <w:t>og</w:t>
      </w:r>
      <w:r>
        <w:t>ethe</w:t>
      </w:r>
      <w:r>
        <w:rPr>
          <w:highlight w:val="yellow"/>
        </w:rPr>
        <w:t>r</w:t>
      </w:r>
      <w:r>
        <w:t xml:space="preserve"> </w:t>
      </w:r>
      <w:r>
        <w:rPr>
          <w:highlight w:val="yellow"/>
        </w:rPr>
        <w:t>with in vit</w:t>
      </w:r>
      <w:r>
        <w:t>r</w:t>
      </w:r>
      <w:r>
        <w:rPr>
          <w:highlight w:val="yellow"/>
        </w:rPr>
        <w:t>o dig</w:t>
      </w:r>
      <w:r>
        <w:t>e</w:t>
      </w:r>
      <w:r>
        <w:rPr>
          <w:highlight w:val="yellow"/>
        </w:rPr>
        <w:t>s</w:t>
      </w:r>
      <w:r>
        <w:t>t</w:t>
      </w:r>
      <w:r>
        <w:rPr>
          <w:highlight w:val="yellow"/>
        </w:rPr>
        <w:t>ibility studies,</w:t>
      </w:r>
      <w:r>
        <w:t xml:space="preserve"> would </w:t>
      </w:r>
      <w:r>
        <w:rPr>
          <w:highlight w:val="yellow"/>
        </w:rPr>
        <w:t xml:space="preserve">further </w:t>
      </w:r>
      <w:r>
        <w:t>s</w:t>
      </w:r>
      <w:r>
        <w:rPr>
          <w:highlight w:val="yellow"/>
        </w:rPr>
        <w:t>t</w:t>
      </w:r>
      <w:r>
        <w:t>ren</w:t>
      </w:r>
      <w:r>
        <w:rPr>
          <w:highlight w:val="yellow"/>
        </w:rPr>
        <w:t>gth</w:t>
      </w:r>
      <w:r>
        <w:t>e</w:t>
      </w:r>
      <w:r>
        <w:rPr>
          <w:highlight w:val="yellow"/>
        </w:rPr>
        <w:t>n</w:t>
      </w:r>
      <w:r>
        <w:t xml:space="preserve"> the evidence base for this product category.</w:t>
      </w:r>
      <w:r w:rsidR="006E145D">
        <w:t xml:space="preserve"> </w:t>
      </w:r>
    </w:p>
    <w:p w14:paraId="5C15040E" w14:textId="77777777" w:rsidR="006E145D" w:rsidRDefault="006E145D" w:rsidP="00C05472">
      <w:pPr>
        <w:pStyle w:val="Body"/>
        <w:spacing w:after="0" w:line="360" w:lineRule="auto"/>
      </w:pPr>
    </w:p>
    <w:p w14:paraId="143DEBD2" w14:textId="123CBE4A" w:rsidR="006E145D" w:rsidRPr="006E145D" w:rsidRDefault="006E145D" w:rsidP="006E145D">
      <w:pPr>
        <w:spacing w:before="100" w:beforeAutospacing="1" w:after="100" w:afterAutospacing="1"/>
        <w:outlineLvl w:val="1"/>
        <w:rPr>
          <w:rFonts w:ascii="Times New Roman" w:hAnsi="Times New Roman"/>
          <w:b/>
          <w:bCs/>
          <w:sz w:val="36"/>
          <w:szCs w:val="36"/>
        </w:rPr>
      </w:pPr>
      <w:r w:rsidRPr="006E145D">
        <w:rPr>
          <w:rFonts w:ascii="Times New Roman" w:hAnsi="Times New Roman"/>
          <w:b/>
          <w:bCs/>
          <w:sz w:val="36"/>
          <w:szCs w:val="36"/>
        </w:rPr>
        <w:t xml:space="preserve">Limitations </w:t>
      </w:r>
    </w:p>
    <w:p w14:paraId="268C9FF9" w14:textId="77777777" w:rsidR="006E145D" w:rsidRPr="006E145D" w:rsidRDefault="006E145D" w:rsidP="006E145D">
      <w:pPr>
        <w:spacing w:before="100" w:beforeAutospacing="1" w:after="100" w:afterAutospacing="1"/>
        <w:rPr>
          <w:rFonts w:ascii="Times New Roman" w:hAnsi="Times New Roman"/>
          <w:sz w:val="24"/>
          <w:szCs w:val="24"/>
        </w:rPr>
      </w:pPr>
      <w:r w:rsidRPr="006E145D">
        <w:rPr>
          <w:rFonts w:ascii="Times New Roman" w:hAnsi="Times New Roman"/>
          <w:sz w:val="24"/>
          <w:szCs w:val="24"/>
        </w:rPr>
        <w:t>This study was limited to formulation development and laboratory-scale physicochemical, functional, antioxidant, and sensory evaluation. Mechanical durability under wet-use conditions, shelf life under different storage environments, packaging performance, large-scale process reproducibility, and consumer acceptance in real-use settings were not established. Comparative testing against commercially available edible cutlery was also not conducted. Accordingly, the findings should be interpreted as preliminary evidence of formulation feasibility rather than confirmation of practical or commercial performance.</w:t>
      </w:r>
    </w:p>
    <w:p w14:paraId="76658817" w14:textId="77777777" w:rsidR="006E145D" w:rsidRDefault="006E145D" w:rsidP="00C05472">
      <w:pPr>
        <w:pStyle w:val="Body"/>
        <w:spacing w:after="0" w:line="360" w:lineRule="auto"/>
      </w:pPr>
    </w:p>
    <w:p w14:paraId="6052AEF3" w14:textId="77777777" w:rsidR="00C05472" w:rsidRPr="00FB3A86" w:rsidRDefault="00C05472" w:rsidP="00C05472">
      <w:pPr>
        <w:pStyle w:val="Body"/>
        <w:spacing w:after="0"/>
        <w:rPr>
          <w:rFonts w:ascii="Arial" w:hAnsi="Arial" w:cs="Arial"/>
        </w:rPr>
      </w:pPr>
    </w:p>
    <w:p w14:paraId="5F0E79AA" w14:textId="77777777" w:rsidR="0089632D" w:rsidRDefault="0089632D" w:rsidP="00441B6F">
      <w:pPr>
        <w:pStyle w:val="Body"/>
        <w:spacing w:after="0"/>
        <w:rPr>
          <w:rFonts w:ascii="Arial" w:hAnsi="Arial" w:cs="Arial"/>
        </w:rPr>
      </w:pPr>
    </w:p>
    <w:p w14:paraId="495E6359"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w:t>
      </w:r>
      <w:r w:rsidR="0089632D">
        <w:rPr>
          <w:rFonts w:ascii="Arial" w:hAnsi="Arial" w:cs="Arial"/>
          <w:bCs/>
        </w:rPr>
        <w:t>NFLICT OF INTEREST</w:t>
      </w:r>
    </w:p>
    <w:p w14:paraId="45161916" w14:textId="77777777" w:rsidR="00860000" w:rsidRPr="00786D36" w:rsidRDefault="00860000" w:rsidP="00441B6F">
      <w:pPr>
        <w:pStyle w:val="ReferHead"/>
        <w:spacing w:after="0"/>
        <w:jc w:val="both"/>
        <w:rPr>
          <w:rFonts w:ascii="Arial" w:hAnsi="Arial" w:cs="Arial"/>
        </w:rPr>
      </w:pPr>
    </w:p>
    <w:p w14:paraId="7BCD2CF7" w14:textId="77777777" w:rsidR="00371FB6" w:rsidRDefault="0089632D" w:rsidP="00441B6F">
      <w:pPr>
        <w:pStyle w:val="ReferHead"/>
        <w:spacing w:after="0"/>
        <w:jc w:val="both"/>
        <w:rPr>
          <w:rFonts w:ascii="Arial" w:hAnsi="Arial" w:cs="Arial"/>
          <w:b w:val="0"/>
          <w:caps w:val="0"/>
          <w:sz w:val="20"/>
        </w:rPr>
      </w:pPr>
      <w:r>
        <w:rPr>
          <w:rFonts w:ascii="Arial" w:hAnsi="Arial" w:cs="Arial"/>
          <w:b w:val="0"/>
          <w:caps w:val="0"/>
          <w:sz w:val="20"/>
        </w:rPr>
        <w:t>The authors declare that there is no conflict of interest.</w:t>
      </w:r>
    </w:p>
    <w:p w14:paraId="094306FB" w14:textId="77777777" w:rsidR="002B685A" w:rsidRPr="0089632D" w:rsidRDefault="002B685A" w:rsidP="0089632D">
      <w:pPr>
        <w:pStyle w:val="ReferHead"/>
        <w:spacing w:after="0"/>
        <w:jc w:val="both"/>
        <w:rPr>
          <w:rFonts w:ascii="Arial" w:hAnsi="Arial" w:cs="Arial"/>
          <w:bCs/>
        </w:rPr>
      </w:pPr>
    </w:p>
    <w:p w14:paraId="6B6F7969" w14:textId="77777777" w:rsidR="00CE5604" w:rsidRDefault="00CE5604" w:rsidP="00CE5604">
      <w:pPr>
        <w:rPr>
          <w:rFonts w:ascii="Times New Roman" w:hAnsi="Times New Roman"/>
          <w:b/>
        </w:rPr>
      </w:pPr>
      <w:r w:rsidRPr="000839CE">
        <w:rPr>
          <w:rFonts w:ascii="Times New Roman" w:hAnsi="Times New Roman"/>
          <w:b/>
        </w:rPr>
        <w:t>Declaration of AI Use</w:t>
      </w:r>
    </w:p>
    <w:p w14:paraId="2E91B41F" w14:textId="77777777" w:rsidR="00CE5604" w:rsidRDefault="00CE5604" w:rsidP="00CE5604">
      <w:pPr>
        <w:rPr>
          <w:rFonts w:ascii="Times New Roman" w:hAnsi="Times New Roman"/>
          <w:b/>
        </w:rPr>
      </w:pPr>
    </w:p>
    <w:p w14:paraId="26B7D038" w14:textId="77777777" w:rsidR="00CE5604" w:rsidRDefault="00CE5604" w:rsidP="00CE5604">
      <w:pPr>
        <w:rPr>
          <w:rFonts w:ascii="Times New Roman" w:hAnsi="Times New Roman"/>
          <w:b/>
        </w:rPr>
      </w:pPr>
    </w:p>
    <w:p w14:paraId="74BBCEB4" w14:textId="77777777" w:rsidR="00CE5604" w:rsidRDefault="00CE5604" w:rsidP="00CE5604">
      <w:pPr>
        <w:rPr>
          <w:rFonts w:ascii="Times New Roman" w:hAnsi="Times New Roman"/>
          <w:b/>
        </w:rPr>
      </w:pPr>
    </w:p>
    <w:p w14:paraId="63F5D1D7" w14:textId="77777777" w:rsidR="00CE5604" w:rsidRPr="002D08AC" w:rsidRDefault="00CE5604" w:rsidP="00CE560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800815" w14:textId="77777777" w:rsidR="0020470E" w:rsidRDefault="0020470E" w:rsidP="0020470E">
      <w:pPr>
        <w:spacing w:before="240" w:after="120" w:line="360" w:lineRule="auto"/>
        <w:jc w:val="both"/>
      </w:pPr>
    </w:p>
    <w:p w14:paraId="12C30BD0" w14:textId="77777777" w:rsidR="0020470E" w:rsidRDefault="0020470E" w:rsidP="0020470E">
      <w:pPr>
        <w:pStyle w:val="ReferHead"/>
        <w:spacing w:after="0"/>
        <w:jc w:val="both"/>
        <w:rPr>
          <w:rFonts w:ascii="Arial" w:hAnsi="Arial" w:cs="Arial"/>
          <w:bCs/>
        </w:rPr>
      </w:pPr>
      <w:r>
        <w:rPr>
          <w:rFonts w:ascii="Arial" w:hAnsi="Arial" w:cs="Arial"/>
          <w:bCs/>
        </w:rPr>
        <w:t>REFERENCES</w:t>
      </w:r>
    </w:p>
    <w:p w14:paraId="215DF516"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Latimer, G. W., Jr. (Ed.). (2019). </w:t>
      </w:r>
      <w:r w:rsidRPr="00CA32B4">
        <w:rPr>
          <w:rFonts w:ascii="Times New Roman" w:hAnsi="Times New Roman"/>
          <w:i/>
          <w:iCs/>
          <w:sz w:val="24"/>
          <w:szCs w:val="24"/>
        </w:rPr>
        <w:t>Official methods of analysis of AOAC International</w:t>
      </w:r>
      <w:r w:rsidRPr="00CA32B4">
        <w:rPr>
          <w:rFonts w:ascii="Times New Roman" w:hAnsi="Times New Roman"/>
          <w:sz w:val="24"/>
          <w:szCs w:val="24"/>
        </w:rPr>
        <w:t xml:space="preserve"> (21st ed.). AOAC International. </w:t>
      </w:r>
      <w:hyperlink r:id="rId21" w:history="1">
        <w:r w:rsidRPr="00CA32B4">
          <w:rPr>
            <w:rFonts w:ascii="Times New Roman" w:hAnsi="Times New Roman"/>
            <w:color w:val="0000FF"/>
            <w:sz w:val="24"/>
            <w:szCs w:val="24"/>
            <w:u w:val="single"/>
          </w:rPr>
          <w:t>https://academic.oup.com/aoac-publications</w:t>
        </w:r>
      </w:hyperlink>
    </w:p>
    <w:p w14:paraId="302EB690"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Brand-Williams, W., Cuvelier, M. E., &amp; Berset, C. (1995). Use of a free radical method to evaluate antioxidant activity. </w:t>
      </w:r>
      <w:r w:rsidRPr="00CA32B4">
        <w:rPr>
          <w:rFonts w:ascii="Times New Roman" w:hAnsi="Times New Roman"/>
          <w:i/>
          <w:iCs/>
          <w:sz w:val="24"/>
          <w:szCs w:val="24"/>
        </w:rPr>
        <w:t>LWT - Food Science and Technology, 28</w:t>
      </w:r>
      <w:r w:rsidRPr="00CA32B4">
        <w:rPr>
          <w:rFonts w:ascii="Times New Roman" w:hAnsi="Times New Roman"/>
          <w:sz w:val="24"/>
          <w:szCs w:val="24"/>
        </w:rPr>
        <w:t xml:space="preserve">(1), 25–30. </w:t>
      </w:r>
      <w:hyperlink r:id="rId22" w:history="1">
        <w:r w:rsidRPr="00CA32B4">
          <w:rPr>
            <w:rFonts w:ascii="Times New Roman" w:hAnsi="Times New Roman"/>
            <w:color w:val="0000FF"/>
            <w:sz w:val="24"/>
            <w:szCs w:val="24"/>
            <w:u w:val="single"/>
          </w:rPr>
          <w:t>https://doi.org/10.1016/S0023-6438(95)80008-5</w:t>
        </w:r>
      </w:hyperlink>
    </w:p>
    <w:p w14:paraId="0B1E7AD9"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Chae, Y., &amp; An, Y.-J. (2018). Current research trends on plastic pollution and ecological impacts on the soil ecosystem: A review. </w:t>
      </w:r>
      <w:r w:rsidRPr="00CA32B4">
        <w:rPr>
          <w:rFonts w:ascii="Times New Roman" w:hAnsi="Times New Roman"/>
          <w:i/>
          <w:iCs/>
          <w:sz w:val="24"/>
          <w:szCs w:val="24"/>
        </w:rPr>
        <w:t>Environmental Pollution, 240</w:t>
      </w:r>
      <w:r w:rsidRPr="00CA32B4">
        <w:rPr>
          <w:rFonts w:ascii="Times New Roman" w:hAnsi="Times New Roman"/>
          <w:sz w:val="24"/>
          <w:szCs w:val="24"/>
        </w:rPr>
        <w:t xml:space="preserve">, 387–395. </w:t>
      </w:r>
      <w:hyperlink r:id="rId23" w:history="1">
        <w:r w:rsidRPr="00CA32B4">
          <w:rPr>
            <w:rFonts w:ascii="Times New Roman" w:hAnsi="Times New Roman"/>
            <w:color w:val="0000FF"/>
            <w:sz w:val="24"/>
            <w:szCs w:val="24"/>
            <w:u w:val="single"/>
          </w:rPr>
          <w:t>https://doi.org/10.1016/j.envpol.2018.05.008</w:t>
        </w:r>
      </w:hyperlink>
    </w:p>
    <w:p w14:paraId="2B5B83B7"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Di Fraia, S., Godvin Sharmila, V., Banu, J. R., &amp; Massarotti, N. (2024). A comprehensive review on upcycling of food waste into value added products towards a circular economy: Holistic approaches and life cycle assessments. </w:t>
      </w:r>
      <w:r w:rsidRPr="00CA32B4">
        <w:rPr>
          <w:rFonts w:ascii="Times New Roman" w:hAnsi="Times New Roman"/>
          <w:i/>
          <w:iCs/>
          <w:sz w:val="24"/>
          <w:szCs w:val="24"/>
        </w:rPr>
        <w:t>Trends in Food Science &amp; Technology, 143</w:t>
      </w:r>
      <w:r w:rsidRPr="00CA32B4">
        <w:rPr>
          <w:rFonts w:ascii="Times New Roman" w:hAnsi="Times New Roman"/>
          <w:sz w:val="24"/>
          <w:szCs w:val="24"/>
        </w:rPr>
        <w:t xml:space="preserve">, 104288. </w:t>
      </w:r>
      <w:hyperlink r:id="rId24" w:history="1">
        <w:r w:rsidRPr="00CA32B4">
          <w:rPr>
            <w:rFonts w:ascii="Times New Roman" w:hAnsi="Times New Roman"/>
            <w:color w:val="0000FF"/>
            <w:sz w:val="24"/>
            <w:szCs w:val="24"/>
            <w:u w:val="single"/>
          </w:rPr>
          <w:t>https://doi.org/10.1016/j.tifs.2023.104288</w:t>
        </w:r>
      </w:hyperlink>
    </w:p>
    <w:p w14:paraId="70D8D5C0"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Dordevic, D., Pencak, T., Slamova, D., Zeljkovic, S. C., Tremlova, B., &amp; Zamaratskaia, G. (2025). Development of edible spoons using non-traditional flours. </w:t>
      </w:r>
      <w:r w:rsidRPr="00CA32B4">
        <w:rPr>
          <w:rFonts w:ascii="Times New Roman" w:hAnsi="Times New Roman"/>
          <w:i/>
          <w:iCs/>
          <w:sz w:val="24"/>
          <w:szCs w:val="24"/>
        </w:rPr>
        <w:t>Applied Food Research, 5</w:t>
      </w:r>
      <w:r w:rsidRPr="00CA32B4">
        <w:rPr>
          <w:rFonts w:ascii="Times New Roman" w:hAnsi="Times New Roman"/>
          <w:sz w:val="24"/>
          <w:szCs w:val="24"/>
        </w:rPr>
        <w:t xml:space="preserve">(1), 100995. </w:t>
      </w:r>
      <w:hyperlink r:id="rId25" w:history="1">
        <w:r w:rsidRPr="00CA32B4">
          <w:rPr>
            <w:rFonts w:ascii="Times New Roman" w:hAnsi="Times New Roman"/>
            <w:color w:val="0000FF"/>
            <w:sz w:val="24"/>
            <w:szCs w:val="24"/>
            <w:u w:val="single"/>
          </w:rPr>
          <w:t>https://doi.org/10.1016/j.afres.2025.100995</w:t>
        </w:r>
      </w:hyperlink>
    </w:p>
    <w:p w14:paraId="498D1186"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lastRenderedPageBreak/>
        <w:t xml:space="preserve">Kongor, J. E., de Pascual-Teresa, S., Owusu, M., Kyei-Baffour, V. O., &amp; Oduro-Yeboah, C. (2024). Investigating the effect of red beetroot powder concentration and processing time on the bioactive compounds composition and antioxidant capacity of beetroot dark chocolate. </w:t>
      </w:r>
      <w:r w:rsidRPr="00CA32B4">
        <w:rPr>
          <w:rFonts w:ascii="Times New Roman" w:hAnsi="Times New Roman"/>
          <w:i/>
          <w:iCs/>
          <w:sz w:val="24"/>
          <w:szCs w:val="24"/>
        </w:rPr>
        <w:t>Journal of the Science of Food and Agriculture, 104</w:t>
      </w:r>
      <w:r w:rsidRPr="00CA32B4">
        <w:rPr>
          <w:rFonts w:ascii="Times New Roman" w:hAnsi="Times New Roman"/>
          <w:sz w:val="24"/>
          <w:szCs w:val="24"/>
        </w:rPr>
        <w:t xml:space="preserve">(1), 184–195. </w:t>
      </w:r>
      <w:hyperlink r:id="rId26" w:history="1">
        <w:r w:rsidRPr="00CA32B4">
          <w:rPr>
            <w:rFonts w:ascii="Times New Roman" w:hAnsi="Times New Roman"/>
            <w:color w:val="0000FF"/>
            <w:sz w:val="24"/>
            <w:szCs w:val="24"/>
            <w:u w:val="single"/>
          </w:rPr>
          <w:t>https://doi.org/10.1002/jsfa.12902</w:t>
        </w:r>
      </w:hyperlink>
    </w:p>
    <w:p w14:paraId="43E61560"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Krishnakumar, T., Sajeev, M. S., Raju, S., Giri, N. A., Pradeepika, C., &amp; Bansode, V. (2020). Studies on the development of cassava based reconstituted dry starch sago with modified starch as binder and characterization of its physico-functional properties. </w:t>
      </w:r>
      <w:r w:rsidRPr="00CA32B4">
        <w:rPr>
          <w:rFonts w:ascii="Times New Roman" w:hAnsi="Times New Roman"/>
          <w:i/>
          <w:iCs/>
          <w:sz w:val="24"/>
          <w:szCs w:val="24"/>
        </w:rPr>
        <w:t>Journal of Environmental Biology, 41</w:t>
      </w:r>
      <w:r w:rsidRPr="00CA32B4">
        <w:rPr>
          <w:rFonts w:ascii="Times New Roman" w:hAnsi="Times New Roman"/>
          <w:sz w:val="24"/>
          <w:szCs w:val="24"/>
        </w:rPr>
        <w:t xml:space="preserve">(1), 29–34. </w:t>
      </w:r>
      <w:hyperlink r:id="rId27" w:history="1">
        <w:r w:rsidRPr="00CA32B4">
          <w:rPr>
            <w:rFonts w:ascii="Times New Roman" w:hAnsi="Times New Roman"/>
            <w:color w:val="0000FF"/>
            <w:sz w:val="24"/>
            <w:szCs w:val="24"/>
            <w:u w:val="single"/>
          </w:rPr>
          <w:t>https://doi.org/10.22438/jeb/41/1/MRN-1190</w:t>
        </w:r>
      </w:hyperlink>
    </w:p>
    <w:p w14:paraId="6CCED997"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Lazăr, S., Constantin, O. E., Horincar, G., Andronoiu, D. G., Stănciuc, N., Mureșan, C., &amp; Râpeanu, G. (2022). Beetroot by-product as a functional ingredient for obtaining value-added mayonnaise. </w:t>
      </w:r>
      <w:r w:rsidRPr="00CA32B4">
        <w:rPr>
          <w:rFonts w:ascii="Times New Roman" w:hAnsi="Times New Roman"/>
          <w:i/>
          <w:iCs/>
          <w:sz w:val="24"/>
          <w:szCs w:val="24"/>
        </w:rPr>
        <w:t>Processes, 10</w:t>
      </w:r>
      <w:r w:rsidRPr="00CA32B4">
        <w:rPr>
          <w:rFonts w:ascii="Times New Roman" w:hAnsi="Times New Roman"/>
          <w:sz w:val="24"/>
          <w:szCs w:val="24"/>
        </w:rPr>
        <w:t xml:space="preserve">(2), 227. </w:t>
      </w:r>
      <w:hyperlink r:id="rId28" w:history="1">
        <w:r w:rsidRPr="00CA32B4">
          <w:rPr>
            <w:rFonts w:ascii="Times New Roman" w:hAnsi="Times New Roman"/>
            <w:color w:val="0000FF"/>
            <w:sz w:val="24"/>
            <w:szCs w:val="24"/>
            <w:u w:val="single"/>
          </w:rPr>
          <w:t>https://doi.org/10.3390/pr10020227</w:t>
        </w:r>
      </w:hyperlink>
    </w:p>
    <w:p w14:paraId="567E6E44"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Lukinac, J., Koceva Komlenić, D., Lučan Čolić, M., Nakov, G., &amp; Jukić, M. (2022). Modelling the browning of bakery products during baking: A review. </w:t>
      </w:r>
      <w:r w:rsidRPr="00CA32B4">
        <w:rPr>
          <w:rFonts w:ascii="Times New Roman" w:hAnsi="Times New Roman"/>
          <w:i/>
          <w:iCs/>
          <w:sz w:val="24"/>
          <w:szCs w:val="24"/>
        </w:rPr>
        <w:t>Ukrainian Food Journal, 11</w:t>
      </w:r>
      <w:r w:rsidRPr="00CA32B4">
        <w:rPr>
          <w:rFonts w:ascii="Times New Roman" w:hAnsi="Times New Roman"/>
          <w:sz w:val="24"/>
          <w:szCs w:val="24"/>
        </w:rPr>
        <w:t xml:space="preserve">(2), 217–234. </w:t>
      </w:r>
      <w:hyperlink r:id="rId29" w:history="1">
        <w:r w:rsidRPr="00CA32B4">
          <w:rPr>
            <w:rFonts w:ascii="Times New Roman" w:hAnsi="Times New Roman"/>
            <w:color w:val="0000FF"/>
            <w:sz w:val="24"/>
            <w:szCs w:val="24"/>
            <w:u w:val="single"/>
          </w:rPr>
          <w:t>https://doi.org/10.24263/2304-974X-2022-11-2-3</w:t>
        </w:r>
      </w:hyperlink>
    </w:p>
    <w:p w14:paraId="4B58FCA5"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Ma, K. K., Greis, M., Lu, J., Nolden, A. A., McClements, D. J., &amp; Kinchla, A. J. (2022). Functional performance of plant proteins. </w:t>
      </w:r>
      <w:r w:rsidRPr="00CA32B4">
        <w:rPr>
          <w:rFonts w:ascii="Times New Roman" w:hAnsi="Times New Roman"/>
          <w:i/>
          <w:iCs/>
          <w:sz w:val="24"/>
          <w:szCs w:val="24"/>
        </w:rPr>
        <w:t>Foods, 11</w:t>
      </w:r>
      <w:r w:rsidRPr="00CA32B4">
        <w:rPr>
          <w:rFonts w:ascii="Times New Roman" w:hAnsi="Times New Roman"/>
          <w:sz w:val="24"/>
          <w:szCs w:val="24"/>
        </w:rPr>
        <w:t xml:space="preserve">(4), 594. </w:t>
      </w:r>
      <w:hyperlink r:id="rId30" w:history="1">
        <w:r w:rsidRPr="00CA32B4">
          <w:rPr>
            <w:rFonts w:ascii="Times New Roman" w:hAnsi="Times New Roman"/>
            <w:color w:val="0000FF"/>
            <w:sz w:val="24"/>
            <w:szCs w:val="24"/>
            <w:u w:val="single"/>
          </w:rPr>
          <w:t>https://doi.org/10.3390/foods11040594</w:t>
        </w:r>
      </w:hyperlink>
    </w:p>
    <w:p w14:paraId="2FE12CE5"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Malavika, T. S., Prithika, M., &amp; Prathiba, P. S. (2025). Eco-friendly alternatives: Formulation and evaluation of edible cutlery from brewer’s spent grains. </w:t>
      </w:r>
      <w:r w:rsidRPr="00CA32B4">
        <w:rPr>
          <w:rFonts w:ascii="Times New Roman" w:hAnsi="Times New Roman"/>
          <w:i/>
          <w:iCs/>
          <w:sz w:val="24"/>
          <w:szCs w:val="24"/>
        </w:rPr>
        <w:t>Journal of Emerging Technologies and Innovative Research, 12</w:t>
      </w:r>
      <w:r w:rsidRPr="00CA32B4">
        <w:rPr>
          <w:rFonts w:ascii="Times New Roman" w:hAnsi="Times New Roman"/>
          <w:sz w:val="24"/>
          <w:szCs w:val="24"/>
        </w:rPr>
        <w:t xml:space="preserve">(5), c214–c218. </w:t>
      </w:r>
      <w:hyperlink r:id="rId31" w:history="1">
        <w:r w:rsidRPr="00CA32B4">
          <w:rPr>
            <w:rFonts w:ascii="Times New Roman" w:hAnsi="Times New Roman"/>
            <w:color w:val="0000FF"/>
            <w:sz w:val="24"/>
            <w:szCs w:val="24"/>
            <w:u w:val="single"/>
          </w:rPr>
          <w:t>https://www.jetir.org/papers/JETIR2505224.pdf</w:t>
        </w:r>
      </w:hyperlink>
    </w:p>
    <w:p w14:paraId="6C8416B2"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Martins, I. R., da Silva Martins, L. H., Chisté, R. C., Picone, C. S. F., &amp; Joele, M. R. S. P. (2024). Betalains from vegetable peels: Extraction methods, stability, and applications as natural food colorants. </w:t>
      </w:r>
      <w:r w:rsidRPr="00CA32B4">
        <w:rPr>
          <w:rFonts w:ascii="Times New Roman" w:hAnsi="Times New Roman"/>
          <w:i/>
          <w:iCs/>
          <w:sz w:val="24"/>
          <w:szCs w:val="24"/>
        </w:rPr>
        <w:t>Food Research International, 195</w:t>
      </w:r>
      <w:r w:rsidRPr="00CA32B4">
        <w:rPr>
          <w:rFonts w:ascii="Times New Roman" w:hAnsi="Times New Roman"/>
          <w:sz w:val="24"/>
          <w:szCs w:val="24"/>
        </w:rPr>
        <w:t xml:space="preserve">, 114956. </w:t>
      </w:r>
      <w:hyperlink r:id="rId32" w:history="1">
        <w:r w:rsidRPr="00CA32B4">
          <w:rPr>
            <w:rFonts w:ascii="Times New Roman" w:hAnsi="Times New Roman"/>
            <w:color w:val="0000FF"/>
            <w:sz w:val="24"/>
            <w:szCs w:val="24"/>
            <w:u w:val="single"/>
          </w:rPr>
          <w:t>https://doi.org/10.1016/j.foodres.2024.114956</w:t>
        </w:r>
      </w:hyperlink>
    </w:p>
    <w:p w14:paraId="22678BC6"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lang w:val="nl-BE"/>
        </w:rPr>
        <w:t xml:space="preserve">Muhammad, D. R. A., &amp; Dewettinck, K. (2017). </w:t>
      </w:r>
      <w:r w:rsidRPr="00CA32B4">
        <w:rPr>
          <w:rFonts w:ascii="Times New Roman" w:hAnsi="Times New Roman"/>
          <w:sz w:val="24"/>
          <w:szCs w:val="24"/>
        </w:rPr>
        <w:t xml:space="preserve">Cinnamon and its derivatives as potential ingredient in functional food—A review. </w:t>
      </w:r>
      <w:r w:rsidRPr="00CA32B4">
        <w:rPr>
          <w:rFonts w:ascii="Times New Roman" w:hAnsi="Times New Roman"/>
          <w:i/>
          <w:iCs/>
          <w:sz w:val="24"/>
          <w:szCs w:val="24"/>
        </w:rPr>
        <w:t>International Journal of Food Properties, 20</w:t>
      </w:r>
      <w:r w:rsidRPr="00CA32B4">
        <w:rPr>
          <w:rFonts w:ascii="Times New Roman" w:hAnsi="Times New Roman"/>
          <w:sz w:val="24"/>
          <w:szCs w:val="24"/>
        </w:rPr>
        <w:t xml:space="preserve">(sup2), 2237–2263. </w:t>
      </w:r>
      <w:hyperlink r:id="rId33" w:history="1">
        <w:r w:rsidRPr="00CA32B4">
          <w:rPr>
            <w:rFonts w:ascii="Times New Roman" w:hAnsi="Times New Roman"/>
            <w:color w:val="0000FF"/>
            <w:sz w:val="24"/>
            <w:szCs w:val="24"/>
            <w:u w:val="single"/>
          </w:rPr>
          <w:t>https://doi.org/10.1080/10942912.2017.1369102</w:t>
        </w:r>
      </w:hyperlink>
    </w:p>
    <w:p w14:paraId="7969EDFD"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Pandey, S., &amp; Singh, A. (2025). Development of antioxidant-rich curd fortified with encapsulated beetroot (</w:t>
      </w:r>
      <w:r w:rsidRPr="00CA32B4">
        <w:rPr>
          <w:rFonts w:ascii="Times New Roman" w:hAnsi="Times New Roman"/>
          <w:i/>
          <w:iCs/>
          <w:sz w:val="24"/>
          <w:szCs w:val="24"/>
        </w:rPr>
        <w:t>Beta vulgaris</w:t>
      </w:r>
      <w:r w:rsidRPr="00CA32B4">
        <w:rPr>
          <w:rFonts w:ascii="Times New Roman" w:hAnsi="Times New Roman"/>
          <w:sz w:val="24"/>
          <w:szCs w:val="24"/>
        </w:rPr>
        <w:t xml:space="preserve"> L.) peel extract powder. </w:t>
      </w:r>
      <w:r w:rsidRPr="00CA32B4">
        <w:rPr>
          <w:rFonts w:ascii="Times New Roman" w:hAnsi="Times New Roman"/>
          <w:i/>
          <w:iCs/>
          <w:sz w:val="24"/>
          <w:szCs w:val="24"/>
        </w:rPr>
        <w:t>Food Safety and Health, 3</w:t>
      </w:r>
      <w:r w:rsidRPr="00CA32B4">
        <w:rPr>
          <w:rFonts w:ascii="Times New Roman" w:hAnsi="Times New Roman"/>
          <w:sz w:val="24"/>
          <w:szCs w:val="24"/>
        </w:rPr>
        <w:t xml:space="preserve">(2), 202–216. </w:t>
      </w:r>
      <w:hyperlink r:id="rId34" w:history="1">
        <w:r w:rsidRPr="00CA32B4">
          <w:rPr>
            <w:rFonts w:ascii="Times New Roman" w:hAnsi="Times New Roman"/>
            <w:color w:val="0000FF"/>
            <w:sz w:val="24"/>
            <w:szCs w:val="24"/>
            <w:u w:val="single"/>
          </w:rPr>
          <w:t>https://doi.org/10.1002/fsh3.12075</w:t>
        </w:r>
      </w:hyperlink>
    </w:p>
    <w:p w14:paraId="6FDBF28D"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Radenkovs, V., Juhnevica-Radenkova, K., Górnaś, P., Jakovlevs, D., Andzs, M., Krasnova, I., Udalovs, D., Cinkmanis, I., Kviesis, J., Valdovska, A., &amp; Seglina, D. (2026). Edible plates from wheat bran and blackcurrant pomace: A multidisciplinary approach to by-product valorization. </w:t>
      </w:r>
      <w:r w:rsidRPr="00CA32B4">
        <w:rPr>
          <w:rFonts w:ascii="Times New Roman" w:hAnsi="Times New Roman"/>
          <w:i/>
          <w:iCs/>
          <w:sz w:val="24"/>
          <w:szCs w:val="24"/>
        </w:rPr>
        <w:t>Journal of Cleaner Production, 547</w:t>
      </w:r>
      <w:r w:rsidRPr="00CA32B4">
        <w:rPr>
          <w:rFonts w:ascii="Times New Roman" w:hAnsi="Times New Roman"/>
          <w:sz w:val="24"/>
          <w:szCs w:val="24"/>
        </w:rPr>
        <w:t xml:space="preserve">, 147817. </w:t>
      </w:r>
      <w:hyperlink r:id="rId35" w:history="1">
        <w:r w:rsidRPr="00CA32B4">
          <w:rPr>
            <w:rFonts w:ascii="Times New Roman" w:hAnsi="Times New Roman"/>
            <w:color w:val="0000FF"/>
            <w:sz w:val="24"/>
            <w:szCs w:val="24"/>
            <w:u w:val="single"/>
          </w:rPr>
          <w:t>https://doi.org/10.1016/j.jclepro.2026.147817</w:t>
        </w:r>
      </w:hyperlink>
    </w:p>
    <w:p w14:paraId="63F4FDF0"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Shakir, B. K., &amp; Vincenzi, S. (2024). Estimation of betalain content in beetroot peel powder. </w:t>
      </w:r>
      <w:r w:rsidRPr="00CA32B4">
        <w:rPr>
          <w:rFonts w:ascii="Times New Roman" w:hAnsi="Times New Roman"/>
          <w:i/>
          <w:iCs/>
          <w:sz w:val="24"/>
          <w:szCs w:val="24"/>
        </w:rPr>
        <w:t>Italian Journal of Food Science, 36</w:t>
      </w:r>
      <w:r w:rsidRPr="00CA32B4">
        <w:rPr>
          <w:rFonts w:ascii="Times New Roman" w:hAnsi="Times New Roman"/>
          <w:sz w:val="24"/>
          <w:szCs w:val="24"/>
        </w:rPr>
        <w:t xml:space="preserve">(1), 53–57. </w:t>
      </w:r>
      <w:hyperlink r:id="rId36" w:history="1">
        <w:r w:rsidRPr="00CA32B4">
          <w:rPr>
            <w:rFonts w:ascii="Times New Roman" w:hAnsi="Times New Roman"/>
            <w:color w:val="0000FF"/>
            <w:sz w:val="24"/>
            <w:szCs w:val="24"/>
            <w:u w:val="single"/>
          </w:rPr>
          <w:t>https://doi.org/10.15586/ijfs.v36i1.2438</w:t>
        </w:r>
      </w:hyperlink>
    </w:p>
    <w:p w14:paraId="48BEBD9F"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Singh, S., &amp; Mishra, S. (2022). Organoleptic and morphological analysis of citrus peel powder. </w:t>
      </w:r>
      <w:r w:rsidRPr="00CA32B4">
        <w:rPr>
          <w:rFonts w:ascii="Times New Roman" w:hAnsi="Times New Roman"/>
          <w:i/>
          <w:iCs/>
          <w:sz w:val="24"/>
          <w:szCs w:val="24"/>
        </w:rPr>
        <w:t>European Journal of Food Science and Technology, 10</w:t>
      </w:r>
      <w:r w:rsidRPr="00CA32B4">
        <w:rPr>
          <w:rFonts w:ascii="Times New Roman" w:hAnsi="Times New Roman"/>
          <w:sz w:val="24"/>
          <w:szCs w:val="24"/>
        </w:rPr>
        <w:t xml:space="preserve">(3), 24–38. </w:t>
      </w:r>
      <w:hyperlink r:id="rId37" w:history="1">
        <w:r w:rsidRPr="00CA32B4">
          <w:rPr>
            <w:rFonts w:ascii="Times New Roman" w:hAnsi="Times New Roman"/>
            <w:color w:val="0000FF"/>
            <w:sz w:val="24"/>
            <w:szCs w:val="24"/>
            <w:u w:val="single"/>
          </w:rPr>
          <w:t>https://doi.org/10.37745/ejfst.2013/vol10n32438</w:t>
        </w:r>
      </w:hyperlink>
    </w:p>
    <w:p w14:paraId="587D6A02"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lastRenderedPageBreak/>
        <w:t xml:space="preserve">Singh, N., Rao, A. S., Nandal, A., Kumar, S., Yadav, S. S., Ganaie, S. A., &amp; Narasimhan, B. (2021). Phytochemical and pharmacological review of </w:t>
      </w:r>
      <w:r w:rsidRPr="00CA32B4">
        <w:rPr>
          <w:rFonts w:ascii="Times New Roman" w:hAnsi="Times New Roman"/>
          <w:i/>
          <w:iCs/>
          <w:sz w:val="24"/>
          <w:szCs w:val="24"/>
        </w:rPr>
        <w:t>Cinnamomum verum</w:t>
      </w:r>
      <w:r w:rsidRPr="00CA32B4">
        <w:rPr>
          <w:rFonts w:ascii="Times New Roman" w:hAnsi="Times New Roman"/>
          <w:sz w:val="24"/>
          <w:szCs w:val="24"/>
        </w:rPr>
        <w:t xml:space="preserve"> J. Presl—A versatile spice used in food and nutrition. </w:t>
      </w:r>
      <w:r w:rsidRPr="00CA32B4">
        <w:rPr>
          <w:rFonts w:ascii="Times New Roman" w:hAnsi="Times New Roman"/>
          <w:i/>
          <w:iCs/>
          <w:sz w:val="24"/>
          <w:szCs w:val="24"/>
        </w:rPr>
        <w:t>Food Chemistry, 338</w:t>
      </w:r>
      <w:r w:rsidRPr="00CA32B4">
        <w:rPr>
          <w:rFonts w:ascii="Times New Roman" w:hAnsi="Times New Roman"/>
          <w:sz w:val="24"/>
          <w:szCs w:val="24"/>
        </w:rPr>
        <w:t xml:space="preserve">, 127773. </w:t>
      </w:r>
      <w:hyperlink r:id="rId38" w:history="1">
        <w:r w:rsidRPr="00CA32B4">
          <w:rPr>
            <w:rFonts w:ascii="Times New Roman" w:hAnsi="Times New Roman"/>
            <w:color w:val="0000FF"/>
            <w:sz w:val="24"/>
            <w:szCs w:val="24"/>
            <w:u w:val="single"/>
          </w:rPr>
          <w:t>https://doi.org/10.1016/j.foodchem.2020.127773</w:t>
        </w:r>
      </w:hyperlink>
    </w:p>
    <w:p w14:paraId="5E58A21F"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Singleton, V. L., &amp; Rossi, J. A., Jr. (1965). Colorimetry of total phenolics with phosphomolybdic-phosphotungstic acid reagents. </w:t>
      </w:r>
      <w:r w:rsidRPr="00CA32B4">
        <w:rPr>
          <w:rFonts w:ascii="Times New Roman" w:hAnsi="Times New Roman"/>
          <w:i/>
          <w:iCs/>
          <w:sz w:val="24"/>
          <w:szCs w:val="24"/>
        </w:rPr>
        <w:t>American Journal of Enology and Viticulture, 16</w:t>
      </w:r>
      <w:r w:rsidRPr="00CA32B4">
        <w:rPr>
          <w:rFonts w:ascii="Times New Roman" w:hAnsi="Times New Roman"/>
          <w:sz w:val="24"/>
          <w:szCs w:val="24"/>
        </w:rPr>
        <w:t xml:space="preserve">(3), 144–158. </w:t>
      </w:r>
      <w:hyperlink r:id="rId39" w:history="1">
        <w:r w:rsidRPr="00CA32B4">
          <w:rPr>
            <w:rFonts w:ascii="Times New Roman" w:hAnsi="Times New Roman"/>
            <w:color w:val="0000FF"/>
            <w:sz w:val="24"/>
            <w:szCs w:val="24"/>
            <w:u w:val="single"/>
          </w:rPr>
          <w:t>https://doi.org/10.5344/ajev.1965.16.3.144</w:t>
        </w:r>
      </w:hyperlink>
    </w:p>
    <w:p w14:paraId="09505F79"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Mateus, A. R. S., Pena, A., &amp; Sanches-Silva, A. (2024). Unveiling the potential of bioactive compounds in vegetable and fruit by-products: Exploring phytochemical properties, health benefits, and industrial opportunities. </w:t>
      </w:r>
      <w:r w:rsidRPr="00CA32B4">
        <w:rPr>
          <w:rFonts w:ascii="Times New Roman" w:hAnsi="Times New Roman"/>
          <w:i/>
          <w:iCs/>
          <w:sz w:val="24"/>
          <w:szCs w:val="24"/>
        </w:rPr>
        <w:t>Current Opinion in Green and Sustainable Chemistry, 48</w:t>
      </w:r>
      <w:r w:rsidRPr="00CA32B4">
        <w:rPr>
          <w:rFonts w:ascii="Times New Roman" w:hAnsi="Times New Roman"/>
          <w:sz w:val="24"/>
          <w:szCs w:val="24"/>
        </w:rPr>
        <w:t xml:space="preserve">, 100938. </w:t>
      </w:r>
      <w:hyperlink r:id="rId40" w:history="1">
        <w:r w:rsidRPr="00CA32B4">
          <w:rPr>
            <w:rFonts w:ascii="Times New Roman" w:hAnsi="Times New Roman"/>
            <w:color w:val="0000FF"/>
            <w:sz w:val="24"/>
            <w:szCs w:val="24"/>
            <w:u w:val="single"/>
          </w:rPr>
          <w:t>https://doi.org/10.1016/j.cogsc.2024.100938</w:t>
        </w:r>
      </w:hyperlink>
    </w:p>
    <w:p w14:paraId="6B6B611F"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Sosulski, F. W., &amp; McCurdy, A. R. (1987). Functionality of flours, protein fractions and isolates from field peas and faba bean. </w:t>
      </w:r>
      <w:r w:rsidRPr="00CA32B4">
        <w:rPr>
          <w:rFonts w:ascii="Times New Roman" w:hAnsi="Times New Roman"/>
          <w:i/>
          <w:iCs/>
          <w:sz w:val="24"/>
          <w:szCs w:val="24"/>
        </w:rPr>
        <w:t>Journal of Food Science, 52</w:t>
      </w:r>
      <w:r w:rsidRPr="00CA32B4">
        <w:rPr>
          <w:rFonts w:ascii="Times New Roman" w:hAnsi="Times New Roman"/>
          <w:sz w:val="24"/>
          <w:szCs w:val="24"/>
        </w:rPr>
        <w:t xml:space="preserve">(4), 1010–1014. </w:t>
      </w:r>
      <w:hyperlink r:id="rId41" w:history="1">
        <w:r w:rsidRPr="00CA32B4">
          <w:rPr>
            <w:rFonts w:ascii="Times New Roman" w:hAnsi="Times New Roman"/>
            <w:color w:val="0000FF"/>
            <w:sz w:val="24"/>
            <w:szCs w:val="24"/>
            <w:u w:val="single"/>
          </w:rPr>
          <w:t>https://doi.org/10.1111/j.1365-2621.1987.tb14263.x</w:t>
        </w:r>
      </w:hyperlink>
    </w:p>
    <w:p w14:paraId="1179DCFF"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Taglieri, I., Macaluso, M., Bianchi, A., Sanmartin, C., Quartacci, M. F., Zinnai, A., &amp; Venturi, F. (2021). Overcoming bread quality decay concerns: Main issues for bread shelf life as a function of biological leavening agents and different extra ingredients used in formulation: A review. </w:t>
      </w:r>
      <w:r w:rsidRPr="00CA32B4">
        <w:rPr>
          <w:rFonts w:ascii="Times New Roman" w:hAnsi="Times New Roman"/>
          <w:i/>
          <w:iCs/>
          <w:sz w:val="24"/>
          <w:szCs w:val="24"/>
        </w:rPr>
        <w:t>Journal of the Science of Food and Agriculture, 101</w:t>
      </w:r>
      <w:r w:rsidRPr="00CA32B4">
        <w:rPr>
          <w:rFonts w:ascii="Times New Roman" w:hAnsi="Times New Roman"/>
          <w:sz w:val="24"/>
          <w:szCs w:val="24"/>
        </w:rPr>
        <w:t xml:space="preserve">(5), 1732–1743. </w:t>
      </w:r>
      <w:hyperlink r:id="rId42" w:history="1">
        <w:r w:rsidRPr="00CA32B4">
          <w:rPr>
            <w:rFonts w:ascii="Times New Roman" w:hAnsi="Times New Roman"/>
            <w:color w:val="0000FF"/>
            <w:sz w:val="24"/>
            <w:szCs w:val="24"/>
            <w:u w:val="single"/>
          </w:rPr>
          <w:t>https://doi.org/10.1002/jsfa.10816</w:t>
        </w:r>
      </w:hyperlink>
    </w:p>
    <w:p w14:paraId="0B1FEA7F"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Maheen, U., Dora, J. V. V., Kumar, S., Srilatha, P., &amp; Vinay, G. M. (2026). Development of edible cutlery from orange peel: A sustainable alternative to plastic. </w:t>
      </w:r>
      <w:r w:rsidRPr="00CA32B4">
        <w:rPr>
          <w:rFonts w:ascii="Times New Roman" w:hAnsi="Times New Roman"/>
          <w:i/>
          <w:iCs/>
          <w:sz w:val="24"/>
          <w:szCs w:val="24"/>
        </w:rPr>
        <w:t>European Journal of Nutrition &amp; Food Safety, 18</w:t>
      </w:r>
      <w:r w:rsidRPr="00CA32B4">
        <w:rPr>
          <w:rFonts w:ascii="Times New Roman" w:hAnsi="Times New Roman"/>
          <w:sz w:val="24"/>
          <w:szCs w:val="24"/>
        </w:rPr>
        <w:t xml:space="preserve">(8), 132–140. </w:t>
      </w:r>
      <w:hyperlink r:id="rId43" w:history="1">
        <w:r w:rsidRPr="00CA32B4">
          <w:rPr>
            <w:rFonts w:ascii="Times New Roman" w:hAnsi="Times New Roman"/>
            <w:color w:val="0000FF"/>
            <w:sz w:val="24"/>
            <w:szCs w:val="24"/>
            <w:u w:val="single"/>
          </w:rPr>
          <w:t>https://doi.org/10.9734/ejnfs/2026/v18i82121</w:t>
        </w:r>
      </w:hyperlink>
    </w:p>
    <w:p w14:paraId="6273C507"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Bansal, P., Bansal, V., Roy, A., &amp; Kar, A. C. (2025). Cinnamon: A review on the medicinal plant and its health benefits. </w:t>
      </w:r>
      <w:r w:rsidRPr="00CA32B4">
        <w:rPr>
          <w:rFonts w:ascii="Times New Roman" w:hAnsi="Times New Roman"/>
          <w:i/>
          <w:iCs/>
          <w:sz w:val="24"/>
          <w:szCs w:val="24"/>
        </w:rPr>
        <w:t>Asian Journal of Agriculture and Allied Sciences, 8</w:t>
      </w:r>
      <w:r w:rsidRPr="00CA32B4">
        <w:rPr>
          <w:rFonts w:ascii="Times New Roman" w:hAnsi="Times New Roman"/>
          <w:sz w:val="24"/>
          <w:szCs w:val="24"/>
        </w:rPr>
        <w:t xml:space="preserve">(1), 305–315. </w:t>
      </w:r>
      <w:hyperlink r:id="rId44" w:history="1">
        <w:r w:rsidRPr="00CA32B4">
          <w:rPr>
            <w:rFonts w:ascii="Times New Roman" w:hAnsi="Times New Roman"/>
            <w:color w:val="0000FF"/>
            <w:sz w:val="24"/>
            <w:szCs w:val="24"/>
            <w:u w:val="single"/>
          </w:rPr>
          <w:t>https://doi.org/10.56557/ajaas/2025/v8i174</w:t>
        </w:r>
      </w:hyperlink>
    </w:p>
    <w:p w14:paraId="0E5A94E8"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Meshram, B. P., Patil, T. D., Tripathi, S., Kumar, P., Bisht, S., Gupta, D., &amp; Gaikwad, K. K. (2025). A comprehensive review of bio-based edible cutlery (cups, bowls, and spoons) for food and beverage serving applications. </w:t>
      </w:r>
      <w:r w:rsidRPr="00CA32B4">
        <w:rPr>
          <w:rFonts w:ascii="Times New Roman" w:hAnsi="Times New Roman"/>
          <w:i/>
          <w:iCs/>
          <w:sz w:val="24"/>
          <w:szCs w:val="24"/>
        </w:rPr>
        <w:t>Comprehensive Reviews in Food Science and Food Safety, 24</w:t>
      </w:r>
      <w:r w:rsidRPr="00CA32B4">
        <w:rPr>
          <w:rFonts w:ascii="Times New Roman" w:hAnsi="Times New Roman"/>
          <w:sz w:val="24"/>
          <w:szCs w:val="24"/>
        </w:rPr>
        <w:t xml:space="preserve">(6), e70341. </w:t>
      </w:r>
      <w:hyperlink r:id="rId45" w:history="1">
        <w:r w:rsidRPr="00CA32B4">
          <w:rPr>
            <w:rFonts w:ascii="Times New Roman" w:hAnsi="Times New Roman"/>
            <w:color w:val="0000FF"/>
            <w:sz w:val="24"/>
            <w:szCs w:val="24"/>
            <w:u w:val="single"/>
          </w:rPr>
          <w:t>https://doi.org/10.1111/1541-4337.70341</w:t>
        </w:r>
      </w:hyperlink>
    </w:p>
    <w:p w14:paraId="440F4952" w14:textId="77777777" w:rsidR="00CA32B4" w:rsidRPr="00CA32B4" w:rsidRDefault="00CA32B4" w:rsidP="00CA32B4">
      <w:pPr>
        <w:spacing w:before="100" w:beforeAutospacing="1" w:after="100" w:afterAutospacing="1"/>
        <w:ind w:left="540" w:hanging="540"/>
        <w:rPr>
          <w:rFonts w:ascii="Times New Roman" w:hAnsi="Times New Roman"/>
          <w:sz w:val="24"/>
          <w:szCs w:val="24"/>
        </w:rPr>
      </w:pPr>
      <w:r w:rsidRPr="00CA32B4">
        <w:rPr>
          <w:rFonts w:ascii="Times New Roman" w:hAnsi="Times New Roman"/>
          <w:sz w:val="24"/>
          <w:szCs w:val="24"/>
        </w:rPr>
        <w:t xml:space="preserve">Vilas-Franquesa, A., Montemurro, M., Casertano, M., &amp; Fogliano, V. (2024). The food by-products bioprocess wheel: A guidance tool for the food industry. </w:t>
      </w:r>
      <w:r w:rsidRPr="00CA32B4">
        <w:rPr>
          <w:rFonts w:ascii="Times New Roman" w:hAnsi="Times New Roman"/>
          <w:i/>
          <w:iCs/>
          <w:sz w:val="24"/>
          <w:szCs w:val="24"/>
        </w:rPr>
        <w:t>Trends in Food Science &amp; Technology, 152</w:t>
      </w:r>
      <w:r w:rsidRPr="00CA32B4">
        <w:rPr>
          <w:rFonts w:ascii="Times New Roman" w:hAnsi="Times New Roman"/>
          <w:sz w:val="24"/>
          <w:szCs w:val="24"/>
        </w:rPr>
        <w:t xml:space="preserve">, 104652. </w:t>
      </w:r>
      <w:hyperlink r:id="rId46" w:history="1">
        <w:r w:rsidRPr="00CA32B4">
          <w:rPr>
            <w:rFonts w:ascii="Times New Roman" w:hAnsi="Times New Roman"/>
            <w:color w:val="0000FF"/>
            <w:sz w:val="24"/>
            <w:szCs w:val="24"/>
            <w:u w:val="single"/>
          </w:rPr>
          <w:t>https://doi.org/10.1016/j.tifs.2024.104652</w:t>
        </w:r>
      </w:hyperlink>
    </w:p>
    <w:p w14:paraId="07F9C5D3" w14:textId="2ECA48F7" w:rsidR="00C02591" w:rsidRDefault="00C02591" w:rsidP="00CA32B4">
      <w:pPr>
        <w:spacing w:before="240" w:after="120" w:line="360" w:lineRule="auto"/>
        <w:ind w:left="720" w:hanging="720"/>
        <w:jc w:val="both"/>
      </w:pPr>
    </w:p>
    <w:sectPr w:rsidR="00C02591" w:rsidSect="00F804BA">
      <w:headerReference w:type="even" r:id="rId47"/>
      <w:headerReference w:type="default" r:id="rId48"/>
      <w:footerReference w:type="default" r:id="rId49"/>
      <w:headerReference w:type="first" r:id="rId5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A209C" w14:textId="77777777" w:rsidR="00C60182" w:rsidRDefault="00C60182" w:rsidP="00C37E61">
      <w:r>
        <w:separator/>
      </w:r>
    </w:p>
  </w:endnote>
  <w:endnote w:type="continuationSeparator" w:id="0">
    <w:p w14:paraId="4151FB91" w14:textId="77777777" w:rsidR="00C60182" w:rsidRDefault="00C6018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A8A6" w14:textId="77777777" w:rsidR="00F804BA" w:rsidRDefault="00F80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7A04" w14:textId="77777777" w:rsidR="000A5A2F" w:rsidRPr="00830A13" w:rsidRDefault="000A5A2F" w:rsidP="00830A13">
    <w:pPr>
      <w:pStyle w:val="Footer"/>
    </w:pPr>
    <w:r w:rsidRPr="00830A1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2599" w14:textId="77777777" w:rsidR="009E048A" w:rsidRDefault="009E048A">
    <w:pPr>
      <w:pStyle w:val="Footer"/>
      <w:rPr>
        <w:rFonts w:ascii="Arial" w:hAnsi="Arial" w:cs="Arial"/>
        <w:sz w:val="16"/>
      </w:rPr>
    </w:pPr>
  </w:p>
  <w:p w14:paraId="28173AD2"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E3854C5" w14:textId="77777777" w:rsidR="009E048A" w:rsidRDefault="009E048A">
    <w:pPr>
      <w:pStyle w:val="Footer"/>
      <w:rPr>
        <w:rFonts w:ascii="Arial" w:hAnsi="Arial" w:cs="Arial"/>
        <w:sz w:val="16"/>
      </w:rPr>
    </w:pPr>
  </w:p>
  <w:p w14:paraId="7218D22B"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919E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DCB8" w14:textId="77777777" w:rsidR="00C60182" w:rsidRDefault="00C60182" w:rsidP="00C37E61">
      <w:r>
        <w:separator/>
      </w:r>
    </w:p>
  </w:footnote>
  <w:footnote w:type="continuationSeparator" w:id="0">
    <w:p w14:paraId="5D5F512B" w14:textId="77777777" w:rsidR="00C60182" w:rsidRDefault="00C6018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34C2" w14:textId="77777777" w:rsidR="00F804BA" w:rsidRDefault="00000000">
    <w:pPr>
      <w:pStyle w:val="Header"/>
    </w:pPr>
    <w:r>
      <w:rPr>
        <w:noProof/>
      </w:rPr>
      <w:pict w14:anchorId="651E57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4"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78AF" w14:textId="77777777" w:rsidR="00F804BA" w:rsidRDefault="00000000">
    <w:pPr>
      <w:pStyle w:val="Header"/>
    </w:pPr>
    <w:r>
      <w:rPr>
        <w:noProof/>
      </w:rPr>
      <w:pict w14:anchorId="22D0AF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5"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181A" w14:textId="77777777" w:rsidR="00296529" w:rsidRPr="00296529" w:rsidRDefault="00000000" w:rsidP="00296529">
    <w:pPr>
      <w:ind w:left="2160"/>
      <w:jc w:val="center"/>
      <w:rPr>
        <w:rFonts w:ascii="Times New Roman" w:eastAsia="Calibri" w:hAnsi="Times New Roman"/>
        <w:i/>
        <w:sz w:val="18"/>
        <w:szCs w:val="22"/>
      </w:rPr>
    </w:pPr>
    <w:r>
      <w:rPr>
        <w:noProof/>
      </w:rPr>
      <w:pict w14:anchorId="59E71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3"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5137A36"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744182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A5F3BE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28ACFE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57DFC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03010C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BEAD" w14:textId="77777777" w:rsidR="00F804BA" w:rsidRDefault="00000000">
    <w:pPr>
      <w:pStyle w:val="Header"/>
    </w:pPr>
    <w:r>
      <w:rPr>
        <w:noProof/>
      </w:rPr>
      <w:pict w14:anchorId="66038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7"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EDF4FB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4FBC" w14:textId="77777777" w:rsidR="00F804BA" w:rsidRDefault="00000000">
    <w:pPr>
      <w:pStyle w:val="Header"/>
    </w:pPr>
    <w:r>
      <w:rPr>
        <w:noProof/>
      </w:rPr>
      <w:pict w14:anchorId="58AA2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8"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19AE1F9">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137A" w14:textId="77777777" w:rsidR="00F804BA" w:rsidRPr="00296529" w:rsidRDefault="00000000" w:rsidP="00296529">
    <w:pPr>
      <w:ind w:left="2160"/>
      <w:jc w:val="center"/>
      <w:rPr>
        <w:rFonts w:ascii="Times New Roman" w:eastAsia="Calibri" w:hAnsi="Times New Roman"/>
        <w:i/>
        <w:sz w:val="18"/>
        <w:szCs w:val="22"/>
      </w:rPr>
    </w:pPr>
    <w:r>
      <w:rPr>
        <w:noProof/>
      </w:rPr>
      <w:pict w14:anchorId="4D836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6"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362535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F4F28DA" w14:textId="77777777" w:rsidR="00F804BA" w:rsidRPr="00296529" w:rsidRDefault="00F804B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ADF2503" w14:textId="77777777" w:rsidR="00F804BA" w:rsidRPr="00296529" w:rsidRDefault="00F804B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D9BBAA1" w14:textId="77777777" w:rsidR="00F804BA" w:rsidRPr="00296529" w:rsidRDefault="00F804B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A53AAD4" w14:textId="77777777" w:rsidR="00F804BA" w:rsidRDefault="00F804B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6CD2FB4" w14:textId="77777777" w:rsidR="00F804BA" w:rsidRDefault="00F804B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8ABD811" w14:textId="77777777" w:rsidR="00F804BA" w:rsidRDefault="00F804B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58424F8"/>
    <w:multiLevelType w:val="hybridMultilevel"/>
    <w:tmpl w:val="FBB87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E332D6"/>
    <w:multiLevelType w:val="multilevel"/>
    <w:tmpl w:val="E25A59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4274A47"/>
    <w:multiLevelType w:val="multilevel"/>
    <w:tmpl w:val="792E7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6983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39940062">
    <w:abstractNumId w:val="18"/>
  </w:num>
  <w:num w:numId="3" w16cid:durableId="629215331">
    <w:abstractNumId w:val="26"/>
  </w:num>
  <w:num w:numId="4" w16cid:durableId="126079100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93771888">
    <w:abstractNumId w:val="8"/>
  </w:num>
  <w:num w:numId="6" w16cid:durableId="1420520178">
    <w:abstractNumId w:val="6"/>
  </w:num>
  <w:num w:numId="7" w16cid:durableId="2145348219">
    <w:abstractNumId w:val="1"/>
  </w:num>
  <w:num w:numId="8" w16cid:durableId="1048336195">
    <w:abstractNumId w:val="14"/>
  </w:num>
  <w:num w:numId="9" w16cid:durableId="1054163847">
    <w:abstractNumId w:val="28"/>
  </w:num>
  <w:num w:numId="10" w16cid:durableId="1050420637">
    <w:abstractNumId w:val="2"/>
  </w:num>
  <w:num w:numId="11" w16cid:durableId="1861582676">
    <w:abstractNumId w:val="21"/>
  </w:num>
  <w:num w:numId="12" w16cid:durableId="1781872505">
    <w:abstractNumId w:val="3"/>
  </w:num>
  <w:num w:numId="13" w16cid:durableId="1791587554">
    <w:abstractNumId w:val="20"/>
  </w:num>
  <w:num w:numId="14" w16cid:durableId="716930004">
    <w:abstractNumId w:val="9"/>
  </w:num>
  <w:num w:numId="15" w16cid:durableId="1115371970">
    <w:abstractNumId w:val="24"/>
  </w:num>
  <w:num w:numId="16" w16cid:durableId="1281567155">
    <w:abstractNumId w:val="5"/>
  </w:num>
  <w:num w:numId="17" w16cid:durableId="208341192">
    <w:abstractNumId w:val="25"/>
  </w:num>
  <w:num w:numId="18" w16cid:durableId="1535539957">
    <w:abstractNumId w:val="16"/>
  </w:num>
  <w:num w:numId="19" w16cid:durableId="1650131663">
    <w:abstractNumId w:val="31"/>
  </w:num>
  <w:num w:numId="20" w16cid:durableId="1475104080">
    <w:abstractNumId w:val="13"/>
  </w:num>
  <w:num w:numId="21" w16cid:durableId="1654750729">
    <w:abstractNumId w:val="10"/>
  </w:num>
  <w:num w:numId="22" w16cid:durableId="2016568552">
    <w:abstractNumId w:val="15"/>
  </w:num>
  <w:num w:numId="23" w16cid:durableId="2100172707">
    <w:abstractNumId w:val="22"/>
  </w:num>
  <w:num w:numId="24" w16cid:durableId="871260613">
    <w:abstractNumId w:val="29"/>
  </w:num>
  <w:num w:numId="25" w16cid:durableId="1022247523">
    <w:abstractNumId w:val="4"/>
  </w:num>
  <w:num w:numId="26" w16cid:durableId="1197502878">
    <w:abstractNumId w:val="19"/>
  </w:num>
  <w:num w:numId="27" w16cid:durableId="1966540500">
    <w:abstractNumId w:val="23"/>
  </w:num>
  <w:num w:numId="28" w16cid:durableId="1735615511">
    <w:abstractNumId w:val="30"/>
  </w:num>
  <w:num w:numId="29" w16cid:durableId="1285574985">
    <w:abstractNumId w:val="27"/>
  </w:num>
  <w:num w:numId="30" w16cid:durableId="1575894186">
    <w:abstractNumId w:val="12"/>
  </w:num>
  <w:num w:numId="31" w16cid:durableId="37434755">
    <w:abstractNumId w:val="17"/>
  </w:num>
  <w:num w:numId="32" w16cid:durableId="96677301">
    <w:abstractNumId w:val="11"/>
  </w:num>
  <w:num w:numId="33" w16cid:durableId="1439367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1MLY0MDE3sLQwtTRR0lEKTi0uzszPAykwrAUABMeBbSwAAAA="/>
  </w:docVars>
  <w:rsids>
    <w:rsidRoot w:val="00AA6219"/>
    <w:rsid w:val="00000F8F"/>
    <w:rsid w:val="00030174"/>
    <w:rsid w:val="00031602"/>
    <w:rsid w:val="0004579C"/>
    <w:rsid w:val="000A47FA"/>
    <w:rsid w:val="000A5A2F"/>
    <w:rsid w:val="000A65D3"/>
    <w:rsid w:val="000B1E33"/>
    <w:rsid w:val="000C2C14"/>
    <w:rsid w:val="000D67A9"/>
    <w:rsid w:val="000D689F"/>
    <w:rsid w:val="000E7B7B"/>
    <w:rsid w:val="000E7D62"/>
    <w:rsid w:val="00103357"/>
    <w:rsid w:val="00123C9F"/>
    <w:rsid w:val="00126190"/>
    <w:rsid w:val="00130F17"/>
    <w:rsid w:val="001320BF"/>
    <w:rsid w:val="00163BC4"/>
    <w:rsid w:val="00191062"/>
    <w:rsid w:val="00192B72"/>
    <w:rsid w:val="00197564"/>
    <w:rsid w:val="001A29D8"/>
    <w:rsid w:val="001A5CAA"/>
    <w:rsid w:val="001B0427"/>
    <w:rsid w:val="001D3A51"/>
    <w:rsid w:val="001E10D2"/>
    <w:rsid w:val="001E1F42"/>
    <w:rsid w:val="001E25B4"/>
    <w:rsid w:val="001E44FE"/>
    <w:rsid w:val="00200595"/>
    <w:rsid w:val="0020470E"/>
    <w:rsid w:val="00204835"/>
    <w:rsid w:val="00231920"/>
    <w:rsid w:val="0023195C"/>
    <w:rsid w:val="00234999"/>
    <w:rsid w:val="0024282C"/>
    <w:rsid w:val="002460DC"/>
    <w:rsid w:val="00250985"/>
    <w:rsid w:val="002556F6"/>
    <w:rsid w:val="00283105"/>
    <w:rsid w:val="00284C4C"/>
    <w:rsid w:val="00287E68"/>
    <w:rsid w:val="00296529"/>
    <w:rsid w:val="002B27FB"/>
    <w:rsid w:val="002B5196"/>
    <w:rsid w:val="002B685A"/>
    <w:rsid w:val="002C57D2"/>
    <w:rsid w:val="002E0D56"/>
    <w:rsid w:val="002E2D2C"/>
    <w:rsid w:val="002F4C95"/>
    <w:rsid w:val="0030277A"/>
    <w:rsid w:val="003136E4"/>
    <w:rsid w:val="00315186"/>
    <w:rsid w:val="0033343E"/>
    <w:rsid w:val="003512C2"/>
    <w:rsid w:val="00371FB6"/>
    <w:rsid w:val="003763C1"/>
    <w:rsid w:val="00376BBE"/>
    <w:rsid w:val="0039224F"/>
    <w:rsid w:val="003A0D5E"/>
    <w:rsid w:val="003A43A4"/>
    <w:rsid w:val="003A7E18"/>
    <w:rsid w:val="003C4C86"/>
    <w:rsid w:val="003C6258"/>
    <w:rsid w:val="003E1CAD"/>
    <w:rsid w:val="003E2904"/>
    <w:rsid w:val="003F4445"/>
    <w:rsid w:val="00401927"/>
    <w:rsid w:val="0041027F"/>
    <w:rsid w:val="00412475"/>
    <w:rsid w:val="00423789"/>
    <w:rsid w:val="0043697E"/>
    <w:rsid w:val="00440F43"/>
    <w:rsid w:val="00441B6F"/>
    <w:rsid w:val="00446221"/>
    <w:rsid w:val="00450E62"/>
    <w:rsid w:val="004539DB"/>
    <w:rsid w:val="00467040"/>
    <w:rsid w:val="00471A80"/>
    <w:rsid w:val="004B4402"/>
    <w:rsid w:val="004D305E"/>
    <w:rsid w:val="004D4277"/>
    <w:rsid w:val="00502516"/>
    <w:rsid w:val="00505F06"/>
    <w:rsid w:val="00506828"/>
    <w:rsid w:val="0053056E"/>
    <w:rsid w:val="00554FDA"/>
    <w:rsid w:val="005B1829"/>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145D"/>
    <w:rsid w:val="006F11EC"/>
    <w:rsid w:val="0070082C"/>
    <w:rsid w:val="007369E6"/>
    <w:rsid w:val="00746E59"/>
    <w:rsid w:val="00754C9A"/>
    <w:rsid w:val="0075599A"/>
    <w:rsid w:val="00761D52"/>
    <w:rsid w:val="0077749E"/>
    <w:rsid w:val="00790ADA"/>
    <w:rsid w:val="007D2288"/>
    <w:rsid w:val="007D499E"/>
    <w:rsid w:val="007E088F"/>
    <w:rsid w:val="007F2095"/>
    <w:rsid w:val="007F7B32"/>
    <w:rsid w:val="00803A41"/>
    <w:rsid w:val="00804BC2"/>
    <w:rsid w:val="0081431A"/>
    <w:rsid w:val="00830A13"/>
    <w:rsid w:val="0083216F"/>
    <w:rsid w:val="00860000"/>
    <w:rsid w:val="00863BD3"/>
    <w:rsid w:val="008641ED"/>
    <w:rsid w:val="00866D66"/>
    <w:rsid w:val="008671C6"/>
    <w:rsid w:val="00872635"/>
    <w:rsid w:val="00875803"/>
    <w:rsid w:val="008821BA"/>
    <w:rsid w:val="0089632D"/>
    <w:rsid w:val="008B459E"/>
    <w:rsid w:val="008C25A6"/>
    <w:rsid w:val="008E0DE4"/>
    <w:rsid w:val="008E13AE"/>
    <w:rsid w:val="008E1506"/>
    <w:rsid w:val="008E4296"/>
    <w:rsid w:val="008E710C"/>
    <w:rsid w:val="008F69D6"/>
    <w:rsid w:val="00902823"/>
    <w:rsid w:val="00915CA6"/>
    <w:rsid w:val="00916AC6"/>
    <w:rsid w:val="00926FA3"/>
    <w:rsid w:val="00927834"/>
    <w:rsid w:val="0094019C"/>
    <w:rsid w:val="009500A6"/>
    <w:rsid w:val="00957C18"/>
    <w:rsid w:val="009659BA"/>
    <w:rsid w:val="00983040"/>
    <w:rsid w:val="009B0361"/>
    <w:rsid w:val="009B3FB9"/>
    <w:rsid w:val="009C2465"/>
    <w:rsid w:val="009C331B"/>
    <w:rsid w:val="009C5C2C"/>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5839"/>
    <w:rsid w:val="00AA6219"/>
    <w:rsid w:val="00AA74E0"/>
    <w:rsid w:val="00AB703F"/>
    <w:rsid w:val="00AC6BB8"/>
    <w:rsid w:val="00AC701B"/>
    <w:rsid w:val="00AE008F"/>
    <w:rsid w:val="00B01FCD"/>
    <w:rsid w:val="00B1776C"/>
    <w:rsid w:val="00B4002F"/>
    <w:rsid w:val="00B52583"/>
    <w:rsid w:val="00B52896"/>
    <w:rsid w:val="00B95236"/>
    <w:rsid w:val="00B96BD9"/>
    <w:rsid w:val="00BA1B01"/>
    <w:rsid w:val="00BA2641"/>
    <w:rsid w:val="00BB37AA"/>
    <w:rsid w:val="00BB3C2D"/>
    <w:rsid w:val="00BC53A0"/>
    <w:rsid w:val="00BE62AD"/>
    <w:rsid w:val="00BF121F"/>
    <w:rsid w:val="00BF1F80"/>
    <w:rsid w:val="00C02591"/>
    <w:rsid w:val="00C05472"/>
    <w:rsid w:val="00C166EF"/>
    <w:rsid w:val="00C17EB0"/>
    <w:rsid w:val="00C27F5F"/>
    <w:rsid w:val="00C30A0F"/>
    <w:rsid w:val="00C37E61"/>
    <w:rsid w:val="00C60182"/>
    <w:rsid w:val="00C70F1B"/>
    <w:rsid w:val="00C71A47"/>
    <w:rsid w:val="00C7464C"/>
    <w:rsid w:val="00C85588"/>
    <w:rsid w:val="00CA32B4"/>
    <w:rsid w:val="00CD662D"/>
    <w:rsid w:val="00CD6755"/>
    <w:rsid w:val="00CD6856"/>
    <w:rsid w:val="00CE0089"/>
    <w:rsid w:val="00CE5604"/>
    <w:rsid w:val="00CE793C"/>
    <w:rsid w:val="00CF193C"/>
    <w:rsid w:val="00D107C1"/>
    <w:rsid w:val="00D173F1"/>
    <w:rsid w:val="00D720EF"/>
    <w:rsid w:val="00D74CB0"/>
    <w:rsid w:val="00D8295D"/>
    <w:rsid w:val="00DB5029"/>
    <w:rsid w:val="00DC2A65"/>
    <w:rsid w:val="00DE15F0"/>
    <w:rsid w:val="00DE5663"/>
    <w:rsid w:val="00DE78AA"/>
    <w:rsid w:val="00E053D0"/>
    <w:rsid w:val="00E15994"/>
    <w:rsid w:val="00E3114E"/>
    <w:rsid w:val="00E31A70"/>
    <w:rsid w:val="00E35B02"/>
    <w:rsid w:val="00E51AD7"/>
    <w:rsid w:val="00E66496"/>
    <w:rsid w:val="00E66B35"/>
    <w:rsid w:val="00E66E10"/>
    <w:rsid w:val="00E769F6"/>
    <w:rsid w:val="00E8407C"/>
    <w:rsid w:val="00E84F3C"/>
    <w:rsid w:val="00EA012C"/>
    <w:rsid w:val="00EA7EAD"/>
    <w:rsid w:val="00EC514A"/>
    <w:rsid w:val="00EC6A55"/>
    <w:rsid w:val="00ED0288"/>
    <w:rsid w:val="00EE52CB"/>
    <w:rsid w:val="00EF581D"/>
    <w:rsid w:val="00EF7FD8"/>
    <w:rsid w:val="00F06F59"/>
    <w:rsid w:val="00F17988"/>
    <w:rsid w:val="00F469F0"/>
    <w:rsid w:val="00F53273"/>
    <w:rsid w:val="00F71567"/>
    <w:rsid w:val="00F755E4"/>
    <w:rsid w:val="00F76F9F"/>
    <w:rsid w:val="00F77D02"/>
    <w:rsid w:val="00F804BA"/>
    <w:rsid w:val="00F9718A"/>
    <w:rsid w:val="00FB3A86"/>
    <w:rsid w:val="00FC0977"/>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74F5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A41"/>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6E14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qFormat/>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GridTable1Light-Accent5">
    <w:name w:val="Grid Table 1 Light Accent 5"/>
    <w:basedOn w:val="TableNormal"/>
    <w:uiPriority w:val="46"/>
    <w:rsid w:val="00803A41"/>
    <w:rPr>
      <w:sz w:val="24"/>
      <w:szCs w:val="24"/>
      <w:lang w:val="en-IN" w:eastAsia="en-IN"/>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FooterChar">
    <w:name w:val="Footer Char"/>
    <w:basedOn w:val="DefaultParagraphFont"/>
    <w:link w:val="Footer"/>
    <w:rsid w:val="008C25A6"/>
    <w:rPr>
      <w:rFonts w:ascii="Helvetica" w:hAnsi="Helvetica"/>
    </w:rPr>
  </w:style>
  <w:style w:type="character" w:customStyle="1" w:styleId="Heading2Char">
    <w:name w:val="Heading 2 Char"/>
    <w:basedOn w:val="DefaultParagraphFont"/>
    <w:link w:val="Heading2"/>
    <w:semiHidden/>
    <w:rsid w:val="006E145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CA3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07/relationships/diagramDrawing" Target="diagrams/drawing1.xml"/><Relationship Id="rId26" Type="http://schemas.openxmlformats.org/officeDocument/2006/relationships/hyperlink" Target="https://doi.org/10.1002/jsfa.12902" TargetMode="External"/><Relationship Id="rId39" Type="http://schemas.openxmlformats.org/officeDocument/2006/relationships/hyperlink" Target="https://doi.org/10.5344/ajev.1965.16.3.144" TargetMode="External"/><Relationship Id="rId21" Type="http://schemas.openxmlformats.org/officeDocument/2006/relationships/hyperlink" Target="https://academic.oup.com/aoac-publications" TargetMode="External"/><Relationship Id="rId34" Type="http://schemas.openxmlformats.org/officeDocument/2006/relationships/hyperlink" Target="https://doi.org/10.1002/fsh3.12075" TargetMode="External"/><Relationship Id="rId42" Type="http://schemas.openxmlformats.org/officeDocument/2006/relationships/hyperlink" Target="https://doi.org/10.1002/jsfa.10816" TargetMode="External"/><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hyperlink" Target="https://doi.org/10.24263/2304-974X-2022-11-2-3" TargetMode="External"/><Relationship Id="rId11" Type="http://schemas.openxmlformats.org/officeDocument/2006/relationships/footer" Target="footer2.xml"/><Relationship Id="rId24" Type="http://schemas.openxmlformats.org/officeDocument/2006/relationships/hyperlink" Target="https://doi.org/10.1016/j.tifs.2023.104288" TargetMode="External"/><Relationship Id="rId32" Type="http://schemas.openxmlformats.org/officeDocument/2006/relationships/hyperlink" Target="https://doi.org/10.1016/j.foodres.2024.114956" TargetMode="External"/><Relationship Id="rId37" Type="http://schemas.openxmlformats.org/officeDocument/2006/relationships/hyperlink" Target="https://doi.org/10.37745/ejfst.2013/vol10n32438" TargetMode="External"/><Relationship Id="rId40" Type="http://schemas.openxmlformats.org/officeDocument/2006/relationships/hyperlink" Target="https://doi.org/10.1016/j.cogsc.2024.100938" TargetMode="External"/><Relationship Id="rId45" Type="http://schemas.openxmlformats.org/officeDocument/2006/relationships/hyperlink" Target="https://doi.org/10.1111/1541-4337.70341"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doi.org/10.1016/j.envpol.2018.05.008" TargetMode="External"/><Relationship Id="rId28" Type="http://schemas.openxmlformats.org/officeDocument/2006/relationships/hyperlink" Target="https://doi.org/10.3390/pr10020227" TargetMode="External"/><Relationship Id="rId36" Type="http://schemas.openxmlformats.org/officeDocument/2006/relationships/hyperlink" Target="https://doi.org/10.15586/ijfs.v36i1.2438" TargetMode="External"/><Relationship Id="rId49"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hyperlink" Target="https://www.jetir.org/papers/JETIR2505224.pdf" TargetMode="External"/><Relationship Id="rId44" Type="http://schemas.openxmlformats.org/officeDocument/2006/relationships/hyperlink" Target="https://doi.org/10.56557/ajaas/2025/v8i174"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Data" Target="diagrams/data1.xml"/><Relationship Id="rId22" Type="http://schemas.openxmlformats.org/officeDocument/2006/relationships/hyperlink" Target="https://doi.org/10.1016/S0023-6438(95)80008-5" TargetMode="External"/><Relationship Id="rId27" Type="http://schemas.openxmlformats.org/officeDocument/2006/relationships/hyperlink" Target="https://doi.org/10.22438/jeb/41/1/MRN-1190" TargetMode="External"/><Relationship Id="rId30" Type="http://schemas.openxmlformats.org/officeDocument/2006/relationships/hyperlink" Target="https://doi.org/10.3390/foods11040594" TargetMode="External"/><Relationship Id="rId35" Type="http://schemas.openxmlformats.org/officeDocument/2006/relationships/hyperlink" Target="https://doi.org/10.1016/j.jclepro.2026.147817" TargetMode="External"/><Relationship Id="rId43" Type="http://schemas.openxmlformats.org/officeDocument/2006/relationships/hyperlink" Target="https://doi.org/10.9734/ejnfs/2026/v18i82121" TargetMode="External"/><Relationship Id="rId48" Type="http://schemas.openxmlformats.org/officeDocument/2006/relationships/header" Target="header5.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diagramColors" Target="diagrams/colors1.xml"/><Relationship Id="rId25" Type="http://schemas.openxmlformats.org/officeDocument/2006/relationships/hyperlink" Target="https://doi.org/10.1016/j.afres.2025.100995" TargetMode="External"/><Relationship Id="rId33" Type="http://schemas.openxmlformats.org/officeDocument/2006/relationships/hyperlink" Target="https://doi.org/10.1080/10942912.2017.1369102" TargetMode="External"/><Relationship Id="rId38" Type="http://schemas.openxmlformats.org/officeDocument/2006/relationships/hyperlink" Target="https://doi.org/10.1016/j.foodchem.2020.127773" TargetMode="External"/><Relationship Id="rId46" Type="http://schemas.openxmlformats.org/officeDocument/2006/relationships/hyperlink" Target="https://doi.org/10.1016/j.tifs.2024.104652" TargetMode="External"/><Relationship Id="rId20" Type="http://schemas.openxmlformats.org/officeDocument/2006/relationships/chart" Target="charts/chart1.xml"/><Relationship Id="rId41" Type="http://schemas.openxmlformats.org/officeDocument/2006/relationships/hyperlink" Target="https://doi.org/10.1111/j.1365-2621.1987.tb14263.x"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Sheet1!$E$25</c:f>
              <c:strCache>
                <c:ptCount val="1"/>
                <c:pt idx="0">
                  <c:v>DPPH Radical scavenging activity (%)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Sheet1!$D$26:$D$27</c:f>
              <c:strCache>
                <c:ptCount val="2"/>
                <c:pt idx="0">
                  <c:v>Control (0% peel)</c:v>
                </c:pt>
                <c:pt idx="1">
                  <c:v>10% peel </c:v>
                </c:pt>
              </c:strCache>
            </c:strRef>
          </c:cat>
          <c:val>
            <c:numRef>
              <c:f>Sheet1!$E$26:$E$27</c:f>
              <c:numCache>
                <c:formatCode>General</c:formatCode>
                <c:ptCount val="2"/>
                <c:pt idx="0">
                  <c:v>15.83</c:v>
                </c:pt>
                <c:pt idx="1">
                  <c:v>39.06</c:v>
                </c:pt>
              </c:numCache>
            </c:numRef>
          </c:val>
          <c:extLst>
            <c:ext xmlns:c16="http://schemas.microsoft.com/office/drawing/2014/chart" uri="{C3380CC4-5D6E-409C-BE32-E72D297353CC}">
              <c16:uniqueId val="{00000000-AAD7-476B-B689-3DC817074ADB}"/>
            </c:ext>
          </c:extLst>
        </c:ser>
        <c:dLbls>
          <c:dLblPos val="inEnd"/>
          <c:showLegendKey val="0"/>
          <c:showVal val="1"/>
          <c:showCatName val="0"/>
          <c:showSerName val="0"/>
          <c:showPercent val="0"/>
          <c:showBubbleSize val="0"/>
        </c:dLbls>
        <c:gapWidth val="65"/>
        <c:axId val="519522191"/>
        <c:axId val="519522671"/>
      </c:barChart>
      <c:catAx>
        <c:axId val="519522191"/>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19522671"/>
        <c:crosses val="autoZero"/>
        <c:auto val="1"/>
        <c:lblAlgn val="ctr"/>
        <c:lblOffset val="100"/>
        <c:noMultiLvlLbl val="0"/>
      </c:catAx>
      <c:valAx>
        <c:axId val="51952267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19522191"/>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2_1#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135500-E853-43E0-86E1-C03D49FCD32D}" type="doc">
      <dgm:prSet loTypeId="urn:microsoft.com/office/officeart/2005/8/layout/bProcess4" loCatId="process" qsTypeId="urn:microsoft.com/office/officeart/2005/8/quickstyle/simple2#1" qsCatId="simple" csTypeId="urn:microsoft.com/office/officeart/2005/8/colors/accent2_1#1" csCatId="accent2" phldr="1"/>
      <dgm:spPr/>
      <dgm:t>
        <a:bodyPr/>
        <a:lstStyle/>
        <a:p>
          <a:endParaRPr lang="en-IN"/>
        </a:p>
      </dgm:t>
    </dgm:pt>
    <dgm:pt modelId="{291F67FF-FFB5-49E8-86ED-B17C969CC1E9}">
      <dgm:prSet phldrT="[Text]" custT="1"/>
      <dgm:spPr/>
      <dgm:t>
        <a:bodyPr/>
        <a:lstStyle/>
        <a:p>
          <a:pPr>
            <a:buNone/>
          </a:pPr>
          <a:r>
            <a:rPr lang="en-IN" sz="1000">
              <a:latin typeface="Helvetica" panose="020B0604020202020204" pitchFamily="34" charset="0"/>
              <a:cs typeface="Helvetica" panose="020B0604020202020204" pitchFamily="34" charset="0"/>
            </a:rPr>
            <a:t>Weighing of ingredients (Wheat flour, Sago starch, White sesame seeds BPP, CPP, Cinnamon powder)</a:t>
          </a:r>
        </a:p>
      </dgm:t>
    </dgm:pt>
    <dgm:pt modelId="{33DD6267-4049-4686-8389-588FF3536A48}" type="par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E1BA6A59-27A3-40D9-BB6F-C443773CEAB7}" type="sib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3C03EF21-C3D8-462E-9C71-4A969A4316E9}">
      <dgm:prSet phldrT="[Text]" custT="1"/>
      <dgm:spPr/>
      <dgm:t>
        <a:bodyPr/>
        <a:lstStyle/>
        <a:p>
          <a:pPr>
            <a:buNone/>
          </a:pPr>
          <a:r>
            <a:rPr lang="en-IN" sz="1000">
              <a:latin typeface="Helvetica" panose="020B0604020202020204" pitchFamily="34" charset="0"/>
              <a:cs typeface="Helvetica" panose="020B0604020202020204" pitchFamily="34" charset="0"/>
            </a:rPr>
            <a:t>Mixing of ingredients in bowl and addition of lukewarm water</a:t>
          </a:r>
        </a:p>
      </dgm:t>
    </dgm:pt>
    <dgm:pt modelId="{322F49EE-E412-45B2-95B0-B0D923E0288F}" type="par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34B8F736-0807-40EC-8189-5CE58309311E}" type="sib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8028599E-DFF6-4295-8A91-24701FF1045F}">
      <dgm:prSet phldrT="[Text]" custT="1"/>
      <dgm:spPr/>
      <dgm:t>
        <a:bodyPr/>
        <a:lstStyle/>
        <a:p>
          <a:pPr>
            <a:buNone/>
          </a:pPr>
          <a:r>
            <a:rPr lang="en-IN" sz="1000">
              <a:latin typeface="Helvetica" panose="020B0604020202020204" pitchFamily="34" charset="0"/>
              <a:cs typeface="Helvetica" panose="020B0604020202020204" pitchFamily="34" charset="0"/>
            </a:rPr>
            <a:t>Kneading of dough</a:t>
          </a:r>
        </a:p>
      </dgm:t>
    </dgm:pt>
    <dgm:pt modelId="{1BC531D7-432A-4682-8164-7D726E150B75}" type="par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C233B568-D754-4863-98C3-5BF661F6A3C9}" type="sib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FB8FCB00-42BC-4BA0-BE08-DE034FE27A2F}">
      <dgm:prSet phldrT="[Text]" custT="1"/>
      <dgm:spPr/>
      <dgm:t>
        <a:bodyPr/>
        <a:lstStyle/>
        <a:p>
          <a:pPr>
            <a:buNone/>
          </a:pPr>
          <a:r>
            <a:rPr lang="en-IN" sz="1000">
              <a:latin typeface="Helvetica" panose="020B0604020202020204" pitchFamily="34" charset="0"/>
              <a:cs typeface="Helvetica" panose="020B0604020202020204" pitchFamily="34" charset="0"/>
            </a:rPr>
            <a:t>Shaping and molding</a:t>
          </a:r>
        </a:p>
      </dgm:t>
    </dgm:pt>
    <dgm:pt modelId="{398DD019-23DE-489F-83CD-5724579B59A4}" type="par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4ACDFB47-D726-4A7D-8150-FC4239B073BD}" type="sib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C646C97A-5575-4A43-8393-68B8DEED8EB5}">
      <dgm:prSet phldrT="[Text]" custT="1"/>
      <dgm:spPr/>
      <dgm:t>
        <a:bodyPr/>
        <a:lstStyle/>
        <a:p>
          <a:pPr>
            <a:buNone/>
          </a:pPr>
          <a:r>
            <a:rPr lang="en-IN" sz="1000">
              <a:latin typeface="Helvetica" panose="020B0604020202020204" pitchFamily="34" charset="0"/>
              <a:cs typeface="Helvetica" panose="020B0604020202020204" pitchFamily="34" charset="0"/>
            </a:rPr>
            <a:t>Shaping into dough ball and rolling of dough ball in baking sheet</a:t>
          </a:r>
        </a:p>
      </dgm:t>
    </dgm:pt>
    <dgm:pt modelId="{FF02AFAB-9DEE-45AC-AA59-7A25839115AC}" type="par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1F0F1910-724E-46DA-8EEA-1C4A34659591}" type="sib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9832C55B-874A-421C-B185-59A549653793}">
      <dgm:prSet phldrT="[Text]" custT="1"/>
      <dgm:spPr/>
      <dgm:t>
        <a:bodyPr/>
        <a:lstStyle/>
        <a:p>
          <a:pPr>
            <a:buNone/>
          </a:pPr>
          <a:r>
            <a:rPr lang="en-IN" sz="1000">
              <a:latin typeface="Helvetica" panose="020B0604020202020204" pitchFamily="34" charset="0"/>
              <a:cs typeface="Helvetica" panose="020B0604020202020204" pitchFamily="34" charset="0"/>
            </a:rPr>
            <a:t>Dough wrapped with cling film and allowed to rest for 15 minutes</a:t>
          </a:r>
        </a:p>
      </dgm:t>
    </dgm:pt>
    <dgm:pt modelId="{A2DFF523-A498-4CEA-862E-81061C01433C}" type="par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3C12D689-02BF-4659-B043-91C73D4F9603}" type="sib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896E92B0-EC9B-46A5-8021-5ACD1F0066D4}">
      <dgm:prSet phldrT="[Text]" custT="1"/>
      <dgm:spPr/>
      <dgm:t>
        <a:bodyPr/>
        <a:lstStyle/>
        <a:p>
          <a:pPr>
            <a:buNone/>
          </a:pPr>
          <a:r>
            <a:rPr lang="en-IN" sz="1000">
              <a:latin typeface="Helvetica" panose="020B0604020202020204" pitchFamily="34" charset="0"/>
              <a:cs typeface="Helvetica" panose="020B0604020202020204" pitchFamily="34" charset="0"/>
            </a:rPr>
            <a:t>Baking at 80 degree Celsius for 8 hours in Hot Air Oven</a:t>
          </a:r>
        </a:p>
      </dgm:t>
    </dgm:pt>
    <dgm:pt modelId="{1FDD28F6-A182-43B5-ABEC-549DDE5D3A83}" type="par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1AC6329C-568F-4A1E-BBE0-DEA32E9909D2}" type="sib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3A4A7571-5CD6-4CD8-9BCF-4270FD52A202}">
      <dgm:prSet phldrT="[Text]" custT="1"/>
      <dgm:spPr/>
      <dgm:t>
        <a:bodyPr/>
        <a:lstStyle/>
        <a:p>
          <a:pPr>
            <a:buNone/>
          </a:pPr>
          <a:r>
            <a:rPr lang="en-IN" sz="1000">
              <a:latin typeface="Helvetica" panose="020B0604020202020204" pitchFamily="34" charset="0"/>
              <a:cs typeface="Helvetica" panose="020B0604020202020204" pitchFamily="34" charset="0"/>
            </a:rPr>
            <a:t>Cooled in desiccator for 1 hour </a:t>
          </a:r>
        </a:p>
      </dgm:t>
    </dgm:pt>
    <dgm:pt modelId="{6821FE0C-6904-4B28-9714-2290BAFD293F}" type="par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6213DDDE-3D50-4BEE-B5D2-D9264FDE6CB2}" type="sib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F61245AF-A151-4766-8AE1-072E17EEAED1}">
      <dgm:prSet phldrT="[Text]" custT="1"/>
      <dgm:spPr/>
      <dgm:t>
        <a:bodyPr/>
        <a:lstStyle/>
        <a:p>
          <a:r>
            <a:rPr lang="en-IN" sz="1000">
              <a:latin typeface="Helvetica" panose="020B0604020202020204" pitchFamily="34" charset="0"/>
              <a:cs typeface="Helvetica" panose="020B0604020202020204" pitchFamily="34" charset="0"/>
            </a:rPr>
            <a:t>Packed and Stored in air tight container</a:t>
          </a:r>
        </a:p>
      </dgm:t>
    </dgm:pt>
    <dgm:pt modelId="{F1F1B407-6B51-4AA4-B09A-8A78F391D58B}" type="par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D710C611-9563-48CE-8D24-FB258B17CF4C}" type="sib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415D36C2-6CF0-4835-AB80-BCC4CCF57C74}" type="pres">
      <dgm:prSet presAssocID="{92135500-E853-43E0-86E1-C03D49FCD32D}" presName="Name0" presStyleCnt="0">
        <dgm:presLayoutVars>
          <dgm:dir/>
          <dgm:resizeHandles/>
        </dgm:presLayoutVars>
      </dgm:prSet>
      <dgm:spPr/>
    </dgm:pt>
    <dgm:pt modelId="{1C4C9C90-17EA-4365-8075-90AE21FEC32E}" type="pres">
      <dgm:prSet presAssocID="{291F67FF-FFB5-49E8-86ED-B17C969CC1E9}" presName="compNode" presStyleCnt="0"/>
      <dgm:spPr/>
    </dgm:pt>
    <dgm:pt modelId="{6BC63CB6-469E-4EE4-8F84-23F67F4C6942}" type="pres">
      <dgm:prSet presAssocID="{291F67FF-FFB5-49E8-86ED-B17C969CC1E9}" presName="dummyConnPt" presStyleCnt="0"/>
      <dgm:spPr/>
    </dgm:pt>
    <dgm:pt modelId="{A49B8E1B-EA55-4362-9061-3DC26E2E8768}" type="pres">
      <dgm:prSet presAssocID="{291F67FF-FFB5-49E8-86ED-B17C969CC1E9}" presName="node" presStyleLbl="node1" presStyleIdx="0" presStyleCnt="9">
        <dgm:presLayoutVars>
          <dgm:bulletEnabled val="1"/>
        </dgm:presLayoutVars>
      </dgm:prSet>
      <dgm:spPr/>
    </dgm:pt>
    <dgm:pt modelId="{D0C9AEA6-016B-4B60-90DD-B994F36CEFBC}" type="pres">
      <dgm:prSet presAssocID="{E1BA6A59-27A3-40D9-BB6F-C443773CEAB7}" presName="sibTrans" presStyleLbl="bgSibTrans2D1" presStyleIdx="0" presStyleCnt="8"/>
      <dgm:spPr/>
    </dgm:pt>
    <dgm:pt modelId="{E4109333-6ECC-4ECF-87C7-305CC5005B18}" type="pres">
      <dgm:prSet presAssocID="{3C03EF21-C3D8-462E-9C71-4A969A4316E9}" presName="compNode" presStyleCnt="0"/>
      <dgm:spPr/>
    </dgm:pt>
    <dgm:pt modelId="{C79AB7E1-1154-4288-BA1A-2BE847736EA6}" type="pres">
      <dgm:prSet presAssocID="{3C03EF21-C3D8-462E-9C71-4A969A4316E9}" presName="dummyConnPt" presStyleCnt="0"/>
      <dgm:spPr/>
    </dgm:pt>
    <dgm:pt modelId="{70E9A3B2-E44C-4836-93A7-292183E51AAF}" type="pres">
      <dgm:prSet presAssocID="{3C03EF21-C3D8-462E-9C71-4A969A4316E9}" presName="node" presStyleLbl="node1" presStyleIdx="1" presStyleCnt="9">
        <dgm:presLayoutVars>
          <dgm:bulletEnabled val="1"/>
        </dgm:presLayoutVars>
      </dgm:prSet>
      <dgm:spPr/>
    </dgm:pt>
    <dgm:pt modelId="{5513E29D-1E96-4537-BA17-FC32C958FBC9}" type="pres">
      <dgm:prSet presAssocID="{34B8F736-0807-40EC-8189-5CE58309311E}" presName="sibTrans" presStyleLbl="bgSibTrans2D1" presStyleIdx="1" presStyleCnt="8"/>
      <dgm:spPr/>
    </dgm:pt>
    <dgm:pt modelId="{38876324-9CBB-40B6-A1D7-247E3D97029F}" type="pres">
      <dgm:prSet presAssocID="{8028599E-DFF6-4295-8A91-24701FF1045F}" presName="compNode" presStyleCnt="0"/>
      <dgm:spPr/>
    </dgm:pt>
    <dgm:pt modelId="{ED56D8FA-FB19-4168-842E-0CBB8DF00BEC}" type="pres">
      <dgm:prSet presAssocID="{8028599E-DFF6-4295-8A91-24701FF1045F}" presName="dummyConnPt" presStyleCnt="0"/>
      <dgm:spPr/>
    </dgm:pt>
    <dgm:pt modelId="{5787FF65-39DB-49D1-BC2E-BE0EBE2B6325}" type="pres">
      <dgm:prSet presAssocID="{8028599E-DFF6-4295-8A91-24701FF1045F}" presName="node" presStyleLbl="node1" presStyleIdx="2" presStyleCnt="9">
        <dgm:presLayoutVars>
          <dgm:bulletEnabled val="1"/>
        </dgm:presLayoutVars>
      </dgm:prSet>
      <dgm:spPr/>
    </dgm:pt>
    <dgm:pt modelId="{1C945E34-686C-4AC5-9649-0060F5FCC5BF}" type="pres">
      <dgm:prSet presAssocID="{C233B568-D754-4863-98C3-5BF661F6A3C9}" presName="sibTrans" presStyleLbl="bgSibTrans2D1" presStyleIdx="2" presStyleCnt="8"/>
      <dgm:spPr/>
    </dgm:pt>
    <dgm:pt modelId="{3D3E21D2-695F-43B8-A2D6-5493129C7AA4}" type="pres">
      <dgm:prSet presAssocID="{FB8FCB00-42BC-4BA0-BE08-DE034FE27A2F}" presName="compNode" presStyleCnt="0"/>
      <dgm:spPr/>
    </dgm:pt>
    <dgm:pt modelId="{8C544E37-9595-4562-836A-11ACA2A22928}" type="pres">
      <dgm:prSet presAssocID="{FB8FCB00-42BC-4BA0-BE08-DE034FE27A2F}" presName="dummyConnPt" presStyleCnt="0"/>
      <dgm:spPr/>
    </dgm:pt>
    <dgm:pt modelId="{2AF31B7A-F51A-4833-9FDC-AD52BA31953A}" type="pres">
      <dgm:prSet presAssocID="{FB8FCB00-42BC-4BA0-BE08-DE034FE27A2F}" presName="node" presStyleLbl="node1" presStyleIdx="3" presStyleCnt="9">
        <dgm:presLayoutVars>
          <dgm:bulletEnabled val="1"/>
        </dgm:presLayoutVars>
      </dgm:prSet>
      <dgm:spPr/>
    </dgm:pt>
    <dgm:pt modelId="{0B2D1C74-3E34-4205-90AB-F31704BBB224}" type="pres">
      <dgm:prSet presAssocID="{4ACDFB47-D726-4A7D-8150-FC4239B073BD}" presName="sibTrans" presStyleLbl="bgSibTrans2D1" presStyleIdx="3" presStyleCnt="8"/>
      <dgm:spPr/>
    </dgm:pt>
    <dgm:pt modelId="{0422983C-DEBE-44F7-9992-E0DD6D98877A}" type="pres">
      <dgm:prSet presAssocID="{C646C97A-5575-4A43-8393-68B8DEED8EB5}" presName="compNode" presStyleCnt="0"/>
      <dgm:spPr/>
    </dgm:pt>
    <dgm:pt modelId="{60E10451-1D47-441F-B90B-7B2E533C43BD}" type="pres">
      <dgm:prSet presAssocID="{C646C97A-5575-4A43-8393-68B8DEED8EB5}" presName="dummyConnPt" presStyleCnt="0"/>
      <dgm:spPr/>
    </dgm:pt>
    <dgm:pt modelId="{DC8BFD4B-8202-4208-945A-F3F7A158BB97}" type="pres">
      <dgm:prSet presAssocID="{C646C97A-5575-4A43-8393-68B8DEED8EB5}" presName="node" presStyleLbl="node1" presStyleIdx="4" presStyleCnt="9">
        <dgm:presLayoutVars>
          <dgm:bulletEnabled val="1"/>
        </dgm:presLayoutVars>
      </dgm:prSet>
      <dgm:spPr/>
    </dgm:pt>
    <dgm:pt modelId="{A1A2F9AB-2F01-4F20-BF6E-A97A0C141ECD}" type="pres">
      <dgm:prSet presAssocID="{1F0F1910-724E-46DA-8EEA-1C4A34659591}" presName="sibTrans" presStyleLbl="bgSibTrans2D1" presStyleIdx="4" presStyleCnt="8"/>
      <dgm:spPr/>
    </dgm:pt>
    <dgm:pt modelId="{11E97891-EC70-4A5B-B3D5-DE31BB0D800C}" type="pres">
      <dgm:prSet presAssocID="{9832C55B-874A-421C-B185-59A549653793}" presName="compNode" presStyleCnt="0"/>
      <dgm:spPr/>
    </dgm:pt>
    <dgm:pt modelId="{B2171D37-E30A-4AD3-BD2F-D6E564B6F005}" type="pres">
      <dgm:prSet presAssocID="{9832C55B-874A-421C-B185-59A549653793}" presName="dummyConnPt" presStyleCnt="0"/>
      <dgm:spPr/>
    </dgm:pt>
    <dgm:pt modelId="{9BA03509-D081-4558-BAD5-B8248AA7ACFB}" type="pres">
      <dgm:prSet presAssocID="{9832C55B-874A-421C-B185-59A549653793}" presName="node" presStyleLbl="node1" presStyleIdx="5" presStyleCnt="9">
        <dgm:presLayoutVars>
          <dgm:bulletEnabled val="1"/>
        </dgm:presLayoutVars>
      </dgm:prSet>
      <dgm:spPr/>
    </dgm:pt>
    <dgm:pt modelId="{9823121E-E501-41D4-9895-6925673F8C8D}" type="pres">
      <dgm:prSet presAssocID="{3C12D689-02BF-4659-B043-91C73D4F9603}" presName="sibTrans" presStyleLbl="bgSibTrans2D1" presStyleIdx="5" presStyleCnt="8"/>
      <dgm:spPr/>
    </dgm:pt>
    <dgm:pt modelId="{F2371939-CFB0-4D44-9740-975DF7470A0F}" type="pres">
      <dgm:prSet presAssocID="{896E92B0-EC9B-46A5-8021-5ACD1F0066D4}" presName="compNode" presStyleCnt="0"/>
      <dgm:spPr/>
    </dgm:pt>
    <dgm:pt modelId="{6D905742-EDA7-4EA2-A99D-D1CF002C1EDA}" type="pres">
      <dgm:prSet presAssocID="{896E92B0-EC9B-46A5-8021-5ACD1F0066D4}" presName="dummyConnPt" presStyleCnt="0"/>
      <dgm:spPr/>
    </dgm:pt>
    <dgm:pt modelId="{659138D2-C85B-4100-9225-6CF2A53AEDCC}" type="pres">
      <dgm:prSet presAssocID="{896E92B0-EC9B-46A5-8021-5ACD1F0066D4}" presName="node" presStyleLbl="node1" presStyleIdx="6" presStyleCnt="9">
        <dgm:presLayoutVars>
          <dgm:bulletEnabled val="1"/>
        </dgm:presLayoutVars>
      </dgm:prSet>
      <dgm:spPr/>
    </dgm:pt>
    <dgm:pt modelId="{785B7954-AD0D-444A-A5AE-715BD3B2B09D}" type="pres">
      <dgm:prSet presAssocID="{1AC6329C-568F-4A1E-BBE0-DEA32E9909D2}" presName="sibTrans" presStyleLbl="bgSibTrans2D1" presStyleIdx="6" presStyleCnt="8"/>
      <dgm:spPr/>
    </dgm:pt>
    <dgm:pt modelId="{A243C661-4224-4C90-9F71-DAB0158A688F}" type="pres">
      <dgm:prSet presAssocID="{3A4A7571-5CD6-4CD8-9BCF-4270FD52A202}" presName="compNode" presStyleCnt="0"/>
      <dgm:spPr/>
    </dgm:pt>
    <dgm:pt modelId="{5DDFA7A9-6CC0-427E-AE4C-8BA703467579}" type="pres">
      <dgm:prSet presAssocID="{3A4A7571-5CD6-4CD8-9BCF-4270FD52A202}" presName="dummyConnPt" presStyleCnt="0"/>
      <dgm:spPr/>
    </dgm:pt>
    <dgm:pt modelId="{4D3AFE95-F6B9-400F-882E-D1E84924F09A}" type="pres">
      <dgm:prSet presAssocID="{3A4A7571-5CD6-4CD8-9BCF-4270FD52A202}" presName="node" presStyleLbl="node1" presStyleIdx="7" presStyleCnt="9">
        <dgm:presLayoutVars>
          <dgm:bulletEnabled val="1"/>
        </dgm:presLayoutVars>
      </dgm:prSet>
      <dgm:spPr/>
    </dgm:pt>
    <dgm:pt modelId="{D50502A5-EF44-4BA6-BD26-CDE3244EA39D}" type="pres">
      <dgm:prSet presAssocID="{6213DDDE-3D50-4BEE-B5D2-D9264FDE6CB2}" presName="sibTrans" presStyleLbl="bgSibTrans2D1" presStyleIdx="7" presStyleCnt="8"/>
      <dgm:spPr/>
    </dgm:pt>
    <dgm:pt modelId="{5F6633DF-E67C-4D25-B782-DD5BBF6D9DC4}" type="pres">
      <dgm:prSet presAssocID="{F61245AF-A151-4766-8AE1-072E17EEAED1}" presName="compNode" presStyleCnt="0"/>
      <dgm:spPr/>
    </dgm:pt>
    <dgm:pt modelId="{0C7904D3-9317-423F-9263-484DB12052B1}" type="pres">
      <dgm:prSet presAssocID="{F61245AF-A151-4766-8AE1-072E17EEAED1}" presName="dummyConnPt" presStyleCnt="0"/>
      <dgm:spPr/>
    </dgm:pt>
    <dgm:pt modelId="{ED9B4B8F-7CA2-4634-84B6-78D653C084C1}" type="pres">
      <dgm:prSet presAssocID="{F61245AF-A151-4766-8AE1-072E17EEAED1}" presName="node" presStyleLbl="node1" presStyleIdx="8" presStyleCnt="9">
        <dgm:presLayoutVars>
          <dgm:bulletEnabled val="1"/>
        </dgm:presLayoutVars>
      </dgm:prSet>
      <dgm:spPr/>
    </dgm:pt>
  </dgm:ptLst>
  <dgm:cxnLst>
    <dgm:cxn modelId="{300B7C04-B25C-45D2-9191-09DE2D203DA0}" type="presOf" srcId="{8028599E-DFF6-4295-8A91-24701FF1045F}" destId="{5787FF65-39DB-49D1-BC2E-BE0EBE2B6325}" srcOrd="0" destOrd="0" presId="urn:microsoft.com/office/officeart/2005/8/layout/bProcess4"/>
    <dgm:cxn modelId="{6AFD7C0E-A0D0-4DE4-8DBE-FAAB5428C155}" type="presOf" srcId="{9832C55B-874A-421C-B185-59A549653793}" destId="{9BA03509-D081-4558-BAD5-B8248AA7ACFB}" srcOrd="0" destOrd="0" presId="urn:microsoft.com/office/officeart/2005/8/layout/bProcess4"/>
    <dgm:cxn modelId="{58AD3B12-A881-46EC-B4C0-9473F0F3F05E}" type="presOf" srcId="{896E92B0-EC9B-46A5-8021-5ACD1F0066D4}" destId="{659138D2-C85B-4100-9225-6CF2A53AEDCC}" srcOrd="0" destOrd="0" presId="urn:microsoft.com/office/officeart/2005/8/layout/bProcess4"/>
    <dgm:cxn modelId="{AFC1B125-79A3-4CBE-9706-23D2394AB246}" srcId="{92135500-E853-43E0-86E1-C03D49FCD32D}" destId="{291F67FF-FFB5-49E8-86ED-B17C969CC1E9}" srcOrd="0" destOrd="0" parTransId="{33DD6267-4049-4686-8389-588FF3536A48}" sibTransId="{E1BA6A59-27A3-40D9-BB6F-C443773CEAB7}"/>
    <dgm:cxn modelId="{3B481828-EC0B-4E06-94A4-059D0410EE00}" srcId="{92135500-E853-43E0-86E1-C03D49FCD32D}" destId="{C646C97A-5575-4A43-8393-68B8DEED8EB5}" srcOrd="4" destOrd="0" parTransId="{FF02AFAB-9DEE-45AC-AA59-7A25839115AC}" sibTransId="{1F0F1910-724E-46DA-8EEA-1C4A34659591}"/>
    <dgm:cxn modelId="{A9297430-32D0-46AC-B918-4FA5D16401BB}" type="presOf" srcId="{1AC6329C-568F-4A1E-BBE0-DEA32E9909D2}" destId="{785B7954-AD0D-444A-A5AE-715BD3B2B09D}" srcOrd="0" destOrd="0" presId="urn:microsoft.com/office/officeart/2005/8/layout/bProcess4"/>
    <dgm:cxn modelId="{3177AB3B-30FD-4E87-BAAD-50DF9DBF3208}" type="presOf" srcId="{92135500-E853-43E0-86E1-C03D49FCD32D}" destId="{415D36C2-6CF0-4835-AB80-BCC4CCF57C74}" srcOrd="0" destOrd="0" presId="urn:microsoft.com/office/officeart/2005/8/layout/bProcess4"/>
    <dgm:cxn modelId="{1AED2C61-C9FD-41C0-A8A6-1229D4D5FE63}" srcId="{92135500-E853-43E0-86E1-C03D49FCD32D}" destId="{FB8FCB00-42BC-4BA0-BE08-DE034FE27A2F}" srcOrd="3" destOrd="0" parTransId="{398DD019-23DE-489F-83CD-5724579B59A4}" sibTransId="{4ACDFB47-D726-4A7D-8150-FC4239B073BD}"/>
    <dgm:cxn modelId="{CE96BE69-BBBC-4A8B-9A94-CE3F819392C4}" srcId="{92135500-E853-43E0-86E1-C03D49FCD32D}" destId="{8028599E-DFF6-4295-8A91-24701FF1045F}" srcOrd="2" destOrd="0" parTransId="{1BC531D7-432A-4682-8164-7D726E150B75}" sibTransId="{C233B568-D754-4863-98C3-5BF661F6A3C9}"/>
    <dgm:cxn modelId="{D2F47F6A-CD7E-4B4E-8F45-292513B5F06F}" srcId="{92135500-E853-43E0-86E1-C03D49FCD32D}" destId="{9832C55B-874A-421C-B185-59A549653793}" srcOrd="5" destOrd="0" parTransId="{A2DFF523-A498-4CEA-862E-81061C01433C}" sibTransId="{3C12D689-02BF-4659-B043-91C73D4F9603}"/>
    <dgm:cxn modelId="{C8517950-7EC6-4723-A2F6-FE006EE272BC}" type="presOf" srcId="{3C12D689-02BF-4659-B043-91C73D4F9603}" destId="{9823121E-E501-41D4-9895-6925673F8C8D}" srcOrd="0" destOrd="0" presId="urn:microsoft.com/office/officeart/2005/8/layout/bProcess4"/>
    <dgm:cxn modelId="{C4203454-BA4F-4DEC-A6A4-9F91A4021019}" type="presOf" srcId="{291F67FF-FFB5-49E8-86ED-B17C969CC1E9}" destId="{A49B8E1B-EA55-4362-9061-3DC26E2E8768}" srcOrd="0" destOrd="0" presId="urn:microsoft.com/office/officeart/2005/8/layout/bProcess4"/>
    <dgm:cxn modelId="{8E3AB154-886C-48E7-8991-C4736CB2CCFD}" type="presOf" srcId="{3C03EF21-C3D8-462E-9C71-4A969A4316E9}" destId="{70E9A3B2-E44C-4836-93A7-292183E51AAF}" srcOrd="0" destOrd="0" presId="urn:microsoft.com/office/officeart/2005/8/layout/bProcess4"/>
    <dgm:cxn modelId="{432FE982-7AC4-4B90-B18F-D9347B651804}" srcId="{92135500-E853-43E0-86E1-C03D49FCD32D}" destId="{F61245AF-A151-4766-8AE1-072E17EEAED1}" srcOrd="8" destOrd="0" parTransId="{F1F1B407-6B51-4AA4-B09A-8A78F391D58B}" sibTransId="{D710C611-9563-48CE-8D24-FB258B17CF4C}"/>
    <dgm:cxn modelId="{CC01958C-E211-4798-B9C4-531EF264FF9A}" type="presOf" srcId="{1F0F1910-724E-46DA-8EEA-1C4A34659591}" destId="{A1A2F9AB-2F01-4F20-BF6E-A97A0C141ECD}" srcOrd="0" destOrd="0" presId="urn:microsoft.com/office/officeart/2005/8/layout/bProcess4"/>
    <dgm:cxn modelId="{84C4E792-D10F-403B-BD9E-CDDE4BB0DAD0}" type="presOf" srcId="{F61245AF-A151-4766-8AE1-072E17EEAED1}" destId="{ED9B4B8F-7CA2-4634-84B6-78D653C084C1}" srcOrd="0" destOrd="0" presId="urn:microsoft.com/office/officeart/2005/8/layout/bProcess4"/>
    <dgm:cxn modelId="{324223A0-5AEC-41DB-AA05-CBEB067A0A08}" srcId="{92135500-E853-43E0-86E1-C03D49FCD32D}" destId="{896E92B0-EC9B-46A5-8021-5ACD1F0066D4}" srcOrd="6" destOrd="0" parTransId="{1FDD28F6-A182-43B5-ABEC-549DDE5D3A83}" sibTransId="{1AC6329C-568F-4A1E-BBE0-DEA32E9909D2}"/>
    <dgm:cxn modelId="{186A32AB-4AC3-4546-8538-9862BA1A12BE}" type="presOf" srcId="{34B8F736-0807-40EC-8189-5CE58309311E}" destId="{5513E29D-1E96-4537-BA17-FC32C958FBC9}" srcOrd="0" destOrd="0" presId="urn:microsoft.com/office/officeart/2005/8/layout/bProcess4"/>
    <dgm:cxn modelId="{147222B5-C922-43F5-B8B4-CCBA612B1CC8}" type="presOf" srcId="{C233B568-D754-4863-98C3-5BF661F6A3C9}" destId="{1C945E34-686C-4AC5-9649-0060F5FCC5BF}" srcOrd="0" destOrd="0" presId="urn:microsoft.com/office/officeart/2005/8/layout/bProcess4"/>
    <dgm:cxn modelId="{C8185CBE-EEF3-4521-ADA8-4A2F6A713DBA}" type="presOf" srcId="{4ACDFB47-D726-4A7D-8150-FC4239B073BD}" destId="{0B2D1C74-3E34-4205-90AB-F31704BBB224}" srcOrd="0" destOrd="0" presId="urn:microsoft.com/office/officeart/2005/8/layout/bProcess4"/>
    <dgm:cxn modelId="{B6BC15C9-B808-44C6-9D11-DD943BA4599E}" type="presOf" srcId="{C646C97A-5575-4A43-8393-68B8DEED8EB5}" destId="{DC8BFD4B-8202-4208-945A-F3F7A158BB97}" srcOrd="0" destOrd="0" presId="urn:microsoft.com/office/officeart/2005/8/layout/bProcess4"/>
    <dgm:cxn modelId="{3B2C1EE4-8616-4C71-9E48-0A068BAE328E}" type="presOf" srcId="{E1BA6A59-27A3-40D9-BB6F-C443773CEAB7}" destId="{D0C9AEA6-016B-4B60-90DD-B994F36CEFBC}" srcOrd="0" destOrd="0" presId="urn:microsoft.com/office/officeart/2005/8/layout/bProcess4"/>
    <dgm:cxn modelId="{F10F33E9-CE4E-4B68-B394-016EF6A4F52B}" type="presOf" srcId="{6213DDDE-3D50-4BEE-B5D2-D9264FDE6CB2}" destId="{D50502A5-EF44-4BA6-BD26-CDE3244EA39D}" srcOrd="0" destOrd="0" presId="urn:microsoft.com/office/officeart/2005/8/layout/bProcess4"/>
    <dgm:cxn modelId="{091708F2-61D6-4B9C-A750-49916CEC21FB}" srcId="{92135500-E853-43E0-86E1-C03D49FCD32D}" destId="{3A4A7571-5CD6-4CD8-9BCF-4270FD52A202}" srcOrd="7" destOrd="0" parTransId="{6821FE0C-6904-4B28-9714-2290BAFD293F}" sibTransId="{6213DDDE-3D50-4BEE-B5D2-D9264FDE6CB2}"/>
    <dgm:cxn modelId="{D2B95FF8-7CA1-4AE4-94A1-55D96B47856D}" type="presOf" srcId="{FB8FCB00-42BC-4BA0-BE08-DE034FE27A2F}" destId="{2AF31B7A-F51A-4833-9FDC-AD52BA31953A}" srcOrd="0" destOrd="0" presId="urn:microsoft.com/office/officeart/2005/8/layout/bProcess4"/>
    <dgm:cxn modelId="{DA43F6F9-A83E-4443-B2E8-BD648B7B5ACC}" type="presOf" srcId="{3A4A7571-5CD6-4CD8-9BCF-4270FD52A202}" destId="{4D3AFE95-F6B9-400F-882E-D1E84924F09A}" srcOrd="0" destOrd="0" presId="urn:microsoft.com/office/officeart/2005/8/layout/bProcess4"/>
    <dgm:cxn modelId="{464E3EFA-F7FA-4A70-888A-8AA6BAEBB748}" srcId="{92135500-E853-43E0-86E1-C03D49FCD32D}" destId="{3C03EF21-C3D8-462E-9C71-4A969A4316E9}" srcOrd="1" destOrd="0" parTransId="{322F49EE-E412-45B2-95B0-B0D923E0288F}" sibTransId="{34B8F736-0807-40EC-8189-5CE58309311E}"/>
    <dgm:cxn modelId="{FDBB100C-7A70-4A64-8E5E-7FC2594D6D67}" type="presParOf" srcId="{415D36C2-6CF0-4835-AB80-BCC4CCF57C74}" destId="{1C4C9C90-17EA-4365-8075-90AE21FEC32E}" srcOrd="0" destOrd="0" presId="urn:microsoft.com/office/officeart/2005/8/layout/bProcess4"/>
    <dgm:cxn modelId="{04A3F33B-3E02-4B27-B0A9-4FF45160C089}" type="presParOf" srcId="{1C4C9C90-17EA-4365-8075-90AE21FEC32E}" destId="{6BC63CB6-469E-4EE4-8F84-23F67F4C6942}" srcOrd="0" destOrd="0" presId="urn:microsoft.com/office/officeart/2005/8/layout/bProcess4"/>
    <dgm:cxn modelId="{D7AF481D-8595-466F-A60A-50369B4C7374}" type="presParOf" srcId="{1C4C9C90-17EA-4365-8075-90AE21FEC32E}" destId="{A49B8E1B-EA55-4362-9061-3DC26E2E8768}" srcOrd="1" destOrd="0" presId="urn:microsoft.com/office/officeart/2005/8/layout/bProcess4"/>
    <dgm:cxn modelId="{07C5DA8D-34D2-4096-B7E2-691A66023A16}" type="presParOf" srcId="{415D36C2-6CF0-4835-AB80-BCC4CCF57C74}" destId="{D0C9AEA6-016B-4B60-90DD-B994F36CEFBC}" srcOrd="1" destOrd="0" presId="urn:microsoft.com/office/officeart/2005/8/layout/bProcess4"/>
    <dgm:cxn modelId="{B8C9C651-FCF5-423C-B096-E900A2270464}" type="presParOf" srcId="{415D36C2-6CF0-4835-AB80-BCC4CCF57C74}" destId="{E4109333-6ECC-4ECF-87C7-305CC5005B18}" srcOrd="2" destOrd="0" presId="urn:microsoft.com/office/officeart/2005/8/layout/bProcess4"/>
    <dgm:cxn modelId="{5B8524CD-C6DD-43D6-9888-B5F6F03C2DB7}" type="presParOf" srcId="{E4109333-6ECC-4ECF-87C7-305CC5005B18}" destId="{C79AB7E1-1154-4288-BA1A-2BE847736EA6}" srcOrd="0" destOrd="0" presId="urn:microsoft.com/office/officeart/2005/8/layout/bProcess4"/>
    <dgm:cxn modelId="{71EFE6ED-D0C8-4EE3-8E47-F5C637AC9C32}" type="presParOf" srcId="{E4109333-6ECC-4ECF-87C7-305CC5005B18}" destId="{70E9A3B2-E44C-4836-93A7-292183E51AAF}" srcOrd="1" destOrd="0" presId="urn:microsoft.com/office/officeart/2005/8/layout/bProcess4"/>
    <dgm:cxn modelId="{C94402E0-332F-42DF-BACE-EC4B72A8679B}" type="presParOf" srcId="{415D36C2-6CF0-4835-AB80-BCC4CCF57C74}" destId="{5513E29D-1E96-4537-BA17-FC32C958FBC9}" srcOrd="3" destOrd="0" presId="urn:microsoft.com/office/officeart/2005/8/layout/bProcess4"/>
    <dgm:cxn modelId="{040C84DA-CF01-4A3B-B8B3-7984CB98D212}" type="presParOf" srcId="{415D36C2-6CF0-4835-AB80-BCC4CCF57C74}" destId="{38876324-9CBB-40B6-A1D7-247E3D97029F}" srcOrd="4" destOrd="0" presId="urn:microsoft.com/office/officeart/2005/8/layout/bProcess4"/>
    <dgm:cxn modelId="{7BBE44B6-0EC0-4A58-80B8-FF6EA4EF6556}" type="presParOf" srcId="{38876324-9CBB-40B6-A1D7-247E3D97029F}" destId="{ED56D8FA-FB19-4168-842E-0CBB8DF00BEC}" srcOrd="0" destOrd="0" presId="urn:microsoft.com/office/officeart/2005/8/layout/bProcess4"/>
    <dgm:cxn modelId="{02D1FBFD-9DDD-4398-AA96-C2B59E870B8E}" type="presParOf" srcId="{38876324-9CBB-40B6-A1D7-247E3D97029F}" destId="{5787FF65-39DB-49D1-BC2E-BE0EBE2B6325}" srcOrd="1" destOrd="0" presId="urn:microsoft.com/office/officeart/2005/8/layout/bProcess4"/>
    <dgm:cxn modelId="{495ABDAD-5DA8-4249-9568-1FEBDBED6064}" type="presParOf" srcId="{415D36C2-6CF0-4835-AB80-BCC4CCF57C74}" destId="{1C945E34-686C-4AC5-9649-0060F5FCC5BF}" srcOrd="5" destOrd="0" presId="urn:microsoft.com/office/officeart/2005/8/layout/bProcess4"/>
    <dgm:cxn modelId="{D5C10772-4A5A-4AF5-9D15-BF5DBEB62528}" type="presParOf" srcId="{415D36C2-6CF0-4835-AB80-BCC4CCF57C74}" destId="{3D3E21D2-695F-43B8-A2D6-5493129C7AA4}" srcOrd="6" destOrd="0" presId="urn:microsoft.com/office/officeart/2005/8/layout/bProcess4"/>
    <dgm:cxn modelId="{D4AE5BF3-F1ED-40ED-B0C9-EADD3976C4B0}" type="presParOf" srcId="{3D3E21D2-695F-43B8-A2D6-5493129C7AA4}" destId="{8C544E37-9595-4562-836A-11ACA2A22928}" srcOrd="0" destOrd="0" presId="urn:microsoft.com/office/officeart/2005/8/layout/bProcess4"/>
    <dgm:cxn modelId="{D76A714B-4921-4264-A123-332EAAB7104B}" type="presParOf" srcId="{3D3E21D2-695F-43B8-A2D6-5493129C7AA4}" destId="{2AF31B7A-F51A-4833-9FDC-AD52BA31953A}" srcOrd="1" destOrd="0" presId="urn:microsoft.com/office/officeart/2005/8/layout/bProcess4"/>
    <dgm:cxn modelId="{32B04265-3013-436D-8733-0EA557F0A679}" type="presParOf" srcId="{415D36C2-6CF0-4835-AB80-BCC4CCF57C74}" destId="{0B2D1C74-3E34-4205-90AB-F31704BBB224}" srcOrd="7" destOrd="0" presId="urn:microsoft.com/office/officeart/2005/8/layout/bProcess4"/>
    <dgm:cxn modelId="{70CAABEE-8469-4FB8-A1F3-F2BED3FEC49D}" type="presParOf" srcId="{415D36C2-6CF0-4835-AB80-BCC4CCF57C74}" destId="{0422983C-DEBE-44F7-9992-E0DD6D98877A}" srcOrd="8" destOrd="0" presId="urn:microsoft.com/office/officeart/2005/8/layout/bProcess4"/>
    <dgm:cxn modelId="{14522BFE-BF85-41F4-9B36-5570C5688639}" type="presParOf" srcId="{0422983C-DEBE-44F7-9992-E0DD6D98877A}" destId="{60E10451-1D47-441F-B90B-7B2E533C43BD}" srcOrd="0" destOrd="0" presId="urn:microsoft.com/office/officeart/2005/8/layout/bProcess4"/>
    <dgm:cxn modelId="{A9F26DFC-F6F0-4E04-8846-7908B2A2ABE9}" type="presParOf" srcId="{0422983C-DEBE-44F7-9992-E0DD6D98877A}" destId="{DC8BFD4B-8202-4208-945A-F3F7A158BB97}" srcOrd="1" destOrd="0" presId="urn:microsoft.com/office/officeart/2005/8/layout/bProcess4"/>
    <dgm:cxn modelId="{9B160EC2-E13B-4C23-AD1A-399119CE55F4}" type="presParOf" srcId="{415D36C2-6CF0-4835-AB80-BCC4CCF57C74}" destId="{A1A2F9AB-2F01-4F20-BF6E-A97A0C141ECD}" srcOrd="9" destOrd="0" presId="urn:microsoft.com/office/officeart/2005/8/layout/bProcess4"/>
    <dgm:cxn modelId="{E7A1E233-1AEF-4B22-A640-FCE69D29F972}" type="presParOf" srcId="{415D36C2-6CF0-4835-AB80-BCC4CCF57C74}" destId="{11E97891-EC70-4A5B-B3D5-DE31BB0D800C}" srcOrd="10" destOrd="0" presId="urn:microsoft.com/office/officeart/2005/8/layout/bProcess4"/>
    <dgm:cxn modelId="{1278907C-2DC8-498F-9593-9BC1ADB4B5AF}" type="presParOf" srcId="{11E97891-EC70-4A5B-B3D5-DE31BB0D800C}" destId="{B2171D37-E30A-4AD3-BD2F-D6E564B6F005}" srcOrd="0" destOrd="0" presId="urn:microsoft.com/office/officeart/2005/8/layout/bProcess4"/>
    <dgm:cxn modelId="{FF7954A2-77FE-4A7E-BF4D-4C2411D18464}" type="presParOf" srcId="{11E97891-EC70-4A5B-B3D5-DE31BB0D800C}" destId="{9BA03509-D081-4558-BAD5-B8248AA7ACFB}" srcOrd="1" destOrd="0" presId="urn:microsoft.com/office/officeart/2005/8/layout/bProcess4"/>
    <dgm:cxn modelId="{0CF7D9C4-25FE-44BD-848B-51D7D72F385F}" type="presParOf" srcId="{415D36C2-6CF0-4835-AB80-BCC4CCF57C74}" destId="{9823121E-E501-41D4-9895-6925673F8C8D}" srcOrd="11" destOrd="0" presId="urn:microsoft.com/office/officeart/2005/8/layout/bProcess4"/>
    <dgm:cxn modelId="{BE470182-5C0D-4502-818B-01CD8807FC4C}" type="presParOf" srcId="{415D36C2-6CF0-4835-AB80-BCC4CCF57C74}" destId="{F2371939-CFB0-4D44-9740-975DF7470A0F}" srcOrd="12" destOrd="0" presId="urn:microsoft.com/office/officeart/2005/8/layout/bProcess4"/>
    <dgm:cxn modelId="{E893FBC1-EE3C-4095-802B-CCFE25BF7398}" type="presParOf" srcId="{F2371939-CFB0-4D44-9740-975DF7470A0F}" destId="{6D905742-EDA7-4EA2-A99D-D1CF002C1EDA}" srcOrd="0" destOrd="0" presId="urn:microsoft.com/office/officeart/2005/8/layout/bProcess4"/>
    <dgm:cxn modelId="{399901EF-AB18-4AA9-AF3B-B91CBC2C84A5}" type="presParOf" srcId="{F2371939-CFB0-4D44-9740-975DF7470A0F}" destId="{659138D2-C85B-4100-9225-6CF2A53AEDCC}" srcOrd="1" destOrd="0" presId="urn:microsoft.com/office/officeart/2005/8/layout/bProcess4"/>
    <dgm:cxn modelId="{BC79369D-956E-4F9A-90CA-29E932237FD3}" type="presParOf" srcId="{415D36C2-6CF0-4835-AB80-BCC4CCF57C74}" destId="{785B7954-AD0D-444A-A5AE-715BD3B2B09D}" srcOrd="13" destOrd="0" presId="urn:microsoft.com/office/officeart/2005/8/layout/bProcess4"/>
    <dgm:cxn modelId="{61C9494D-3895-4B3E-971E-22C854A299D4}" type="presParOf" srcId="{415D36C2-6CF0-4835-AB80-BCC4CCF57C74}" destId="{A243C661-4224-4C90-9F71-DAB0158A688F}" srcOrd="14" destOrd="0" presId="urn:microsoft.com/office/officeart/2005/8/layout/bProcess4"/>
    <dgm:cxn modelId="{DDA6E560-550B-4801-BCA4-CF95B649EE11}" type="presParOf" srcId="{A243C661-4224-4C90-9F71-DAB0158A688F}" destId="{5DDFA7A9-6CC0-427E-AE4C-8BA703467579}" srcOrd="0" destOrd="0" presId="urn:microsoft.com/office/officeart/2005/8/layout/bProcess4"/>
    <dgm:cxn modelId="{8E3AF976-E18B-4F39-8563-CAE01076F3AA}" type="presParOf" srcId="{A243C661-4224-4C90-9F71-DAB0158A688F}" destId="{4D3AFE95-F6B9-400F-882E-D1E84924F09A}" srcOrd="1" destOrd="0" presId="urn:microsoft.com/office/officeart/2005/8/layout/bProcess4"/>
    <dgm:cxn modelId="{054670E1-49FC-4CBB-8589-95C715B9FF57}" type="presParOf" srcId="{415D36C2-6CF0-4835-AB80-BCC4CCF57C74}" destId="{D50502A5-EF44-4BA6-BD26-CDE3244EA39D}" srcOrd="15" destOrd="0" presId="urn:microsoft.com/office/officeart/2005/8/layout/bProcess4"/>
    <dgm:cxn modelId="{760D0493-4B58-42E6-8159-2787E7209BB1}" type="presParOf" srcId="{415D36C2-6CF0-4835-AB80-BCC4CCF57C74}" destId="{5F6633DF-E67C-4D25-B782-DD5BBF6D9DC4}" srcOrd="16" destOrd="0" presId="urn:microsoft.com/office/officeart/2005/8/layout/bProcess4"/>
    <dgm:cxn modelId="{92755A39-A922-4FD6-9BC1-F198CF379BFA}" type="presParOf" srcId="{5F6633DF-E67C-4D25-B782-DD5BBF6D9DC4}" destId="{0C7904D3-9317-423F-9263-484DB12052B1}" srcOrd="0" destOrd="0" presId="urn:microsoft.com/office/officeart/2005/8/layout/bProcess4"/>
    <dgm:cxn modelId="{8D503A67-CB47-4652-A0BB-E5751326E9C7}" type="presParOf" srcId="{5F6633DF-E67C-4D25-B782-DD5BBF6D9DC4}" destId="{ED9B4B8F-7CA2-4634-84B6-78D653C084C1}" srcOrd="1" destOrd="0" presId="urn:microsoft.com/office/officeart/2005/8/layout/b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C9AEA6-016B-4B60-90DD-B994F36CEFBC}">
      <dsp:nvSpPr>
        <dsp:cNvPr id="0" name=""/>
        <dsp:cNvSpPr/>
      </dsp:nvSpPr>
      <dsp:spPr>
        <a:xfrm rot="5400000">
          <a:off x="-104301"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49B8E1B-EA55-4362-9061-3DC26E2E8768}">
      <dsp:nvSpPr>
        <dsp:cNvPr id="0" name=""/>
        <dsp:cNvSpPr/>
      </dsp:nvSpPr>
      <dsp:spPr>
        <a:xfrm>
          <a:off x="123710"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Weighing of ingredients (Wheat flour, Sago starch, White sesame seeds BPP, CPP, Cinnamon powder)</a:t>
          </a:r>
        </a:p>
      </dsp:txBody>
      <dsp:txXfrm>
        <a:off x="147548" y="26014"/>
        <a:ext cx="1308788" cy="766202"/>
      </dsp:txXfrm>
    </dsp:sp>
    <dsp:sp modelId="{5513E29D-1E96-4537-BA17-FC32C958FBC9}">
      <dsp:nvSpPr>
        <dsp:cNvPr id="0" name=""/>
        <dsp:cNvSpPr/>
      </dsp:nvSpPr>
      <dsp:spPr>
        <a:xfrm rot="5400000">
          <a:off x="-104301"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0E9A3B2-E44C-4836-93A7-292183E51AAF}">
      <dsp:nvSpPr>
        <dsp:cNvPr id="0" name=""/>
        <dsp:cNvSpPr/>
      </dsp:nvSpPr>
      <dsp:spPr>
        <a:xfrm>
          <a:off x="123710"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Mixing of ingredients in bowl and addition of lukewarm water</a:t>
          </a:r>
        </a:p>
      </dsp:txBody>
      <dsp:txXfrm>
        <a:off x="147548" y="1043362"/>
        <a:ext cx="1308788" cy="766202"/>
      </dsp:txXfrm>
    </dsp:sp>
    <dsp:sp modelId="{1C945E34-686C-4AC5-9649-0060F5FCC5BF}">
      <dsp:nvSpPr>
        <dsp:cNvPr id="0" name=""/>
        <dsp:cNvSpPr/>
      </dsp:nvSpPr>
      <dsp:spPr>
        <a:xfrm>
          <a:off x="404372" y="2177203"/>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787FF65-39DB-49D1-BC2E-BE0EBE2B6325}">
      <dsp:nvSpPr>
        <dsp:cNvPr id="0" name=""/>
        <dsp:cNvSpPr/>
      </dsp:nvSpPr>
      <dsp:spPr>
        <a:xfrm>
          <a:off x="123710"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Kneading of dough</a:t>
          </a:r>
        </a:p>
      </dsp:txBody>
      <dsp:txXfrm>
        <a:off x="147548" y="2060710"/>
        <a:ext cx="1308788" cy="766202"/>
      </dsp:txXfrm>
    </dsp:sp>
    <dsp:sp modelId="{0B2D1C74-3E34-4205-90AB-F31704BBB224}">
      <dsp:nvSpPr>
        <dsp:cNvPr id="0" name=""/>
        <dsp:cNvSpPr/>
      </dsp:nvSpPr>
      <dsp:spPr>
        <a:xfrm rot="16200000">
          <a:off x="1699795"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AF31B7A-F51A-4833-9FDC-AD52BA31953A}">
      <dsp:nvSpPr>
        <dsp:cNvPr id="0" name=""/>
        <dsp:cNvSpPr/>
      </dsp:nvSpPr>
      <dsp:spPr>
        <a:xfrm>
          <a:off x="1927807"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and molding</a:t>
          </a:r>
        </a:p>
      </dsp:txBody>
      <dsp:txXfrm>
        <a:off x="1951645" y="2060710"/>
        <a:ext cx="1308788" cy="766202"/>
      </dsp:txXfrm>
    </dsp:sp>
    <dsp:sp modelId="{A1A2F9AB-2F01-4F20-BF6E-A97A0C141ECD}">
      <dsp:nvSpPr>
        <dsp:cNvPr id="0" name=""/>
        <dsp:cNvSpPr/>
      </dsp:nvSpPr>
      <dsp:spPr>
        <a:xfrm rot="16200000">
          <a:off x="1699795"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C8BFD4B-8202-4208-945A-F3F7A158BB97}">
      <dsp:nvSpPr>
        <dsp:cNvPr id="0" name=""/>
        <dsp:cNvSpPr/>
      </dsp:nvSpPr>
      <dsp:spPr>
        <a:xfrm>
          <a:off x="1927807"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into dough ball and rolling of dough ball in baking sheet</a:t>
          </a:r>
        </a:p>
      </dsp:txBody>
      <dsp:txXfrm>
        <a:off x="1951645" y="1043362"/>
        <a:ext cx="1308788" cy="766202"/>
      </dsp:txXfrm>
    </dsp:sp>
    <dsp:sp modelId="{9823121E-E501-41D4-9895-6925673F8C8D}">
      <dsp:nvSpPr>
        <dsp:cNvPr id="0" name=""/>
        <dsp:cNvSpPr/>
      </dsp:nvSpPr>
      <dsp:spPr>
        <a:xfrm>
          <a:off x="2208469" y="142507"/>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A03509-D081-4558-BAD5-B8248AA7ACFB}">
      <dsp:nvSpPr>
        <dsp:cNvPr id="0" name=""/>
        <dsp:cNvSpPr/>
      </dsp:nvSpPr>
      <dsp:spPr>
        <a:xfrm>
          <a:off x="1927807"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Dough wrapped with cling film and allowed to rest for 15 minutes</a:t>
          </a:r>
        </a:p>
      </dsp:txBody>
      <dsp:txXfrm>
        <a:off x="1951645" y="26014"/>
        <a:ext cx="1308788" cy="766202"/>
      </dsp:txXfrm>
    </dsp:sp>
    <dsp:sp modelId="{785B7954-AD0D-444A-A5AE-715BD3B2B09D}">
      <dsp:nvSpPr>
        <dsp:cNvPr id="0" name=""/>
        <dsp:cNvSpPr/>
      </dsp:nvSpPr>
      <dsp:spPr>
        <a:xfrm rot="5400000">
          <a:off x="3503893"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9138D2-C85B-4100-9225-6CF2A53AEDCC}">
      <dsp:nvSpPr>
        <dsp:cNvPr id="0" name=""/>
        <dsp:cNvSpPr/>
      </dsp:nvSpPr>
      <dsp:spPr>
        <a:xfrm>
          <a:off x="3731905"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Baking at 80 degree Celsius for 8 hours in Hot Air Oven</a:t>
          </a:r>
        </a:p>
      </dsp:txBody>
      <dsp:txXfrm>
        <a:off x="3755743" y="26014"/>
        <a:ext cx="1308788" cy="766202"/>
      </dsp:txXfrm>
    </dsp:sp>
    <dsp:sp modelId="{D50502A5-EF44-4BA6-BD26-CDE3244EA39D}">
      <dsp:nvSpPr>
        <dsp:cNvPr id="0" name=""/>
        <dsp:cNvSpPr/>
      </dsp:nvSpPr>
      <dsp:spPr>
        <a:xfrm rot="5400000">
          <a:off x="3503893"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D3AFE95-F6B9-400F-882E-D1E84924F09A}">
      <dsp:nvSpPr>
        <dsp:cNvPr id="0" name=""/>
        <dsp:cNvSpPr/>
      </dsp:nvSpPr>
      <dsp:spPr>
        <a:xfrm>
          <a:off x="3731905"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Cooled in desiccator for 1 hour </a:t>
          </a:r>
        </a:p>
      </dsp:txBody>
      <dsp:txXfrm>
        <a:off x="3755743" y="1043362"/>
        <a:ext cx="1308788" cy="766202"/>
      </dsp:txXfrm>
    </dsp:sp>
    <dsp:sp modelId="{ED9B4B8F-7CA2-4634-84B6-78D653C084C1}">
      <dsp:nvSpPr>
        <dsp:cNvPr id="0" name=""/>
        <dsp:cNvSpPr/>
      </dsp:nvSpPr>
      <dsp:spPr>
        <a:xfrm>
          <a:off x="3731905"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Packed and Stored in air tight container</a:t>
          </a:r>
        </a:p>
      </dsp:txBody>
      <dsp:txXfrm>
        <a:off x="3755743" y="2060710"/>
        <a:ext cx="1308788" cy="76620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164</TotalTime>
  <Pages>13</Pages>
  <Words>5745</Words>
  <Characters>32749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38418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16</cp:revision>
  <cp:lastPrinted>1999-07-06T11:00:00Z</cp:lastPrinted>
  <dcterms:created xsi:type="dcterms:W3CDTF">2026-08-28T06:21:00Z</dcterms:created>
  <dcterms:modified xsi:type="dcterms:W3CDTF">2026-09-10T12:10:00Z</dcterms:modified>
</cp:coreProperties>
</file>