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010CE" w14:textId="77777777" w:rsidR="006521AB" w:rsidRDefault="006521AB" w:rsidP="00030DB9">
      <w:pPr>
        <w:jc w:val="both"/>
        <w:rPr>
          <w:rFonts w:ascii="Times New Roman" w:hAnsi="Times New Roman" w:cs="Times New Roman"/>
          <w:sz w:val="24"/>
          <w:szCs w:val="24"/>
        </w:rPr>
      </w:pPr>
    </w:p>
    <w:p w14:paraId="00714ED6" w14:textId="77777777" w:rsidR="00BF2EB5" w:rsidRPr="00BF2EB5" w:rsidRDefault="00BF2EB5" w:rsidP="00BF2EB5">
      <w:pPr>
        <w:spacing w:after="200" w:line="360" w:lineRule="auto"/>
        <w:jc w:val="center"/>
        <w:rPr>
          <w:rFonts w:ascii="Times New Roman" w:hAnsi="Times New Roman" w:cs="Times New Roman"/>
          <w:b/>
          <w:bCs/>
          <w:sz w:val="24"/>
          <w:szCs w:val="24"/>
        </w:rPr>
      </w:pPr>
      <w:r w:rsidRPr="00BF2EB5">
        <w:rPr>
          <w:rFonts w:ascii="Times New Roman" w:hAnsi="Times New Roman" w:cs="Times New Roman"/>
          <w:b/>
          <w:bCs/>
          <w:sz w:val="24"/>
          <w:szCs w:val="24"/>
        </w:rPr>
        <w:t>CHEMICAL AND PHYSICAL PROPERTIES OF BREAD PRODUCED FROM BLENDS OF MILLET FLOUR AND PIGEON PEA FLOUR</w:t>
      </w:r>
    </w:p>
    <w:p w14:paraId="15EA0A5D" w14:textId="77777777" w:rsidR="00BF2EB5" w:rsidRPr="00D97E2A" w:rsidRDefault="00BF2EB5" w:rsidP="00030DB9">
      <w:pPr>
        <w:jc w:val="both"/>
        <w:rPr>
          <w:rFonts w:ascii="Times New Roman" w:hAnsi="Times New Roman" w:cs="Times New Roman"/>
          <w:sz w:val="24"/>
          <w:szCs w:val="24"/>
        </w:rPr>
      </w:pPr>
    </w:p>
    <w:p w14:paraId="4E9C507D" w14:textId="77777777" w:rsidR="00030DB9" w:rsidRPr="00D97E2A" w:rsidRDefault="00030DB9" w:rsidP="00030DB9">
      <w:pPr>
        <w:jc w:val="both"/>
        <w:rPr>
          <w:rFonts w:ascii="Times New Roman" w:hAnsi="Times New Roman" w:cs="Times New Roman"/>
          <w:b/>
          <w:bCs/>
          <w:sz w:val="24"/>
          <w:szCs w:val="24"/>
        </w:rPr>
      </w:pPr>
      <w:r w:rsidRPr="00D97E2A">
        <w:rPr>
          <w:rFonts w:ascii="Times New Roman" w:hAnsi="Times New Roman" w:cs="Times New Roman"/>
          <w:b/>
          <w:bCs/>
          <w:sz w:val="24"/>
          <w:szCs w:val="24"/>
        </w:rPr>
        <w:t>ABSTRACT</w:t>
      </w:r>
    </w:p>
    <w:p w14:paraId="5DC89B22" w14:textId="77777777" w:rsidR="00030DB9" w:rsidRPr="00D97E2A" w:rsidRDefault="00030DB9" w:rsidP="007B5D60">
      <w:pPr>
        <w:jc w:val="both"/>
        <w:rPr>
          <w:rFonts w:ascii="Times New Roman" w:hAnsi="Times New Roman" w:cs="Times New Roman"/>
          <w:sz w:val="24"/>
          <w:szCs w:val="24"/>
        </w:rPr>
      </w:pPr>
      <w:r>
        <w:rPr>
          <w:rFonts w:ascii="Times New Roman" w:hAnsi="Times New Roman" w:cs="Times New Roman"/>
          <w:sz w:val="24"/>
          <w:szCs w:val="24"/>
        </w:rPr>
        <w:t xml:space="preserve">This study evaluated the </w:t>
      </w:r>
      <w:r>
        <w:rPr>
          <w:rFonts w:ascii="Times New Roman" w:hAnsi="Times New Roman" w:cs="Times New Roman"/>
          <w:bCs/>
          <w:sz w:val="24"/>
          <w:szCs w:val="24"/>
        </w:rPr>
        <w:t>chemical and physical properties of bread produced from blends of millet flour and pigeon pea flour</w:t>
      </w:r>
      <w:r>
        <w:rPr>
          <w:rFonts w:ascii="Times New Roman" w:hAnsi="Times New Roman" w:cs="Times New Roman"/>
          <w:sz w:val="24"/>
          <w:szCs w:val="24"/>
        </w:rPr>
        <w:t xml:space="preserve"> with the aim of developing nutritionally enriched composite bread capable of improving dietary quality while promoting the </w:t>
      </w:r>
      <w:r>
        <w:rPr>
          <w:rFonts w:ascii="Times New Roman" w:hAnsi="Times New Roman" w:cs="Times New Roman"/>
          <w:sz w:val="24"/>
          <w:szCs w:val="24"/>
          <w:highlight w:val="yellow"/>
        </w:rPr>
        <w:t>utilisation</w:t>
      </w:r>
      <w:r>
        <w:rPr>
          <w:rFonts w:ascii="Times New Roman" w:hAnsi="Times New Roman" w:cs="Times New Roman"/>
          <w:sz w:val="24"/>
          <w:szCs w:val="24"/>
        </w:rPr>
        <w:t xml:space="preserve"> of locally available cereal and legume resources. Composite flour technology has been </w:t>
      </w:r>
      <w:r>
        <w:rPr>
          <w:rFonts w:ascii="Times New Roman" w:hAnsi="Times New Roman" w:cs="Times New Roman"/>
          <w:sz w:val="24"/>
          <w:szCs w:val="24"/>
          <w:highlight w:val="yellow"/>
        </w:rPr>
        <w:t>recognised</w:t>
      </w:r>
      <w:r>
        <w:rPr>
          <w:rFonts w:ascii="Times New Roman" w:hAnsi="Times New Roman" w:cs="Times New Roman"/>
          <w:sz w:val="24"/>
          <w:szCs w:val="24"/>
        </w:rPr>
        <w:t xml:space="preserve"> as an effective strategy for enhancing the nutritional quality of bread through the complementary amino acid profiles of cereals and legumes, while simultaneously increasing the phytochemical and antioxidant potential of the final product. Bread samples were formulated using varying substitution levels of millet and pigeon pea flours and </w:t>
      </w:r>
      <w:r>
        <w:rPr>
          <w:rFonts w:ascii="Times New Roman" w:hAnsi="Times New Roman" w:cs="Times New Roman"/>
          <w:sz w:val="24"/>
          <w:szCs w:val="24"/>
          <w:highlight w:val="yellow"/>
        </w:rPr>
        <w:t>analysed</w:t>
      </w:r>
      <w:r>
        <w:rPr>
          <w:rFonts w:ascii="Times New Roman" w:hAnsi="Times New Roman" w:cs="Times New Roman"/>
          <w:sz w:val="24"/>
          <w:szCs w:val="24"/>
        </w:rPr>
        <w:t xml:space="preserve"> for their chemical composition and physical properties using standard analytical procedures. The results demonstrated significant improvements in the nutritional composition of bread as the proportion of millet and pigeon pea flour increased. Ash content ranged from </w:t>
      </w:r>
      <w:r>
        <w:rPr>
          <w:rFonts w:ascii="Times New Roman" w:hAnsi="Times New Roman" w:cs="Times New Roman"/>
          <w:bCs/>
          <w:sz w:val="24"/>
          <w:szCs w:val="24"/>
        </w:rPr>
        <w:t>9.93 to 16.71%</w:t>
      </w:r>
      <w:r>
        <w:rPr>
          <w:rFonts w:ascii="Times New Roman" w:hAnsi="Times New Roman" w:cs="Times New Roman"/>
          <w:sz w:val="24"/>
          <w:szCs w:val="24"/>
        </w:rPr>
        <w:t xml:space="preserve">, moisture content varied from </w:t>
      </w:r>
      <w:r>
        <w:rPr>
          <w:rFonts w:ascii="Times New Roman" w:hAnsi="Times New Roman" w:cs="Times New Roman"/>
          <w:bCs/>
          <w:sz w:val="24"/>
          <w:szCs w:val="24"/>
        </w:rPr>
        <w:t>3.29 to 3.94%</w:t>
      </w:r>
      <w:r>
        <w:rPr>
          <w:rFonts w:ascii="Times New Roman" w:hAnsi="Times New Roman" w:cs="Times New Roman"/>
          <w:sz w:val="24"/>
          <w:szCs w:val="24"/>
        </w:rPr>
        <w:t xml:space="preserve">, fat content increased from </w:t>
      </w:r>
      <w:r>
        <w:rPr>
          <w:rFonts w:ascii="Times New Roman" w:hAnsi="Times New Roman" w:cs="Times New Roman"/>
          <w:bCs/>
          <w:sz w:val="24"/>
          <w:szCs w:val="24"/>
        </w:rPr>
        <w:t>5.23 to 7.73%</w:t>
      </w:r>
      <w:r>
        <w:rPr>
          <w:rFonts w:ascii="Times New Roman" w:hAnsi="Times New Roman" w:cs="Times New Roman"/>
          <w:sz w:val="24"/>
          <w:szCs w:val="24"/>
        </w:rPr>
        <w:t xml:space="preserve">, while crude </w:t>
      </w:r>
      <w:r>
        <w:rPr>
          <w:rFonts w:ascii="Times New Roman" w:hAnsi="Times New Roman" w:cs="Times New Roman"/>
          <w:sz w:val="24"/>
          <w:szCs w:val="24"/>
          <w:highlight w:val="yellow"/>
        </w:rPr>
        <w:t>fibre</w:t>
      </w:r>
      <w:r>
        <w:rPr>
          <w:rFonts w:ascii="Times New Roman" w:hAnsi="Times New Roman" w:cs="Times New Roman"/>
          <w:sz w:val="24"/>
          <w:szCs w:val="24"/>
        </w:rPr>
        <w:t xml:space="preserve"> ranged from </w:t>
      </w:r>
      <w:r>
        <w:rPr>
          <w:rFonts w:ascii="Times New Roman" w:hAnsi="Times New Roman" w:cs="Times New Roman"/>
          <w:bCs/>
          <w:sz w:val="24"/>
          <w:szCs w:val="24"/>
        </w:rPr>
        <w:t>1.42 to 1.64%</w:t>
      </w:r>
      <w:r>
        <w:rPr>
          <w:rFonts w:ascii="Times New Roman" w:hAnsi="Times New Roman" w:cs="Times New Roman"/>
          <w:sz w:val="24"/>
          <w:szCs w:val="24"/>
        </w:rPr>
        <w:t xml:space="preserve">. Protein content increased from </w:t>
      </w:r>
      <w:r>
        <w:rPr>
          <w:rFonts w:ascii="Times New Roman" w:hAnsi="Times New Roman" w:cs="Times New Roman"/>
          <w:bCs/>
          <w:sz w:val="24"/>
          <w:szCs w:val="24"/>
        </w:rPr>
        <w:t>9.89 to 13.44</w:t>
      </w:r>
      <w:r>
        <w:rPr>
          <w:rFonts w:ascii="Times New Roman" w:hAnsi="Times New Roman" w:cs="Times New Roman"/>
          <w:sz w:val="24"/>
          <w:szCs w:val="24"/>
        </w:rPr>
        <w:t xml:space="preserve"> and carbohydrate content ranged from </w:t>
      </w:r>
      <w:r>
        <w:rPr>
          <w:rFonts w:ascii="Times New Roman" w:hAnsi="Times New Roman" w:cs="Times New Roman"/>
          <w:bCs/>
          <w:sz w:val="24"/>
          <w:szCs w:val="24"/>
        </w:rPr>
        <w:t>55.94 to 70.40%</w:t>
      </w:r>
      <w:r>
        <w:rPr>
          <w:rFonts w:ascii="Times New Roman" w:hAnsi="Times New Roman" w:cs="Times New Roman"/>
          <w:sz w:val="24"/>
          <w:szCs w:val="24"/>
        </w:rPr>
        <w:t xml:space="preserve">. Phytochemical analysis revealed progressive increases in bioactive compounds with increasing composite flour substitution. Tannin content ranged from </w:t>
      </w:r>
      <w:r>
        <w:rPr>
          <w:rFonts w:ascii="Times New Roman" w:hAnsi="Times New Roman" w:cs="Times New Roman"/>
          <w:bCs/>
          <w:sz w:val="24"/>
          <w:szCs w:val="24"/>
        </w:rPr>
        <w:t>18.72 to 21.29 mg/100 g</w:t>
      </w:r>
      <w:r>
        <w:rPr>
          <w:rFonts w:ascii="Times New Roman" w:hAnsi="Times New Roman" w:cs="Times New Roman"/>
          <w:sz w:val="24"/>
          <w:szCs w:val="24"/>
        </w:rPr>
        <w:t xml:space="preserve">, saponin from </w:t>
      </w:r>
      <w:r>
        <w:rPr>
          <w:rFonts w:ascii="Times New Roman" w:hAnsi="Times New Roman" w:cs="Times New Roman"/>
          <w:bCs/>
          <w:sz w:val="24"/>
          <w:szCs w:val="24"/>
        </w:rPr>
        <w:t>3.08 to 3.70 mg/100 g</w:t>
      </w:r>
      <w:r>
        <w:rPr>
          <w:rFonts w:ascii="Times New Roman" w:hAnsi="Times New Roman" w:cs="Times New Roman"/>
          <w:sz w:val="24"/>
          <w:szCs w:val="24"/>
        </w:rPr>
        <w:t xml:space="preserve">, flavonoids from </w:t>
      </w:r>
      <w:r>
        <w:rPr>
          <w:rFonts w:ascii="Times New Roman" w:hAnsi="Times New Roman" w:cs="Times New Roman"/>
          <w:bCs/>
          <w:sz w:val="24"/>
          <w:szCs w:val="24"/>
        </w:rPr>
        <w:t>3.27 to 8.51 mg/100 g</w:t>
      </w:r>
      <w:r>
        <w:rPr>
          <w:rFonts w:ascii="Times New Roman" w:hAnsi="Times New Roman" w:cs="Times New Roman"/>
          <w:sz w:val="24"/>
          <w:szCs w:val="24"/>
        </w:rPr>
        <w:t xml:space="preserve">, and alkaloids from </w:t>
      </w:r>
      <w:r>
        <w:rPr>
          <w:rFonts w:ascii="Times New Roman" w:hAnsi="Times New Roman" w:cs="Times New Roman"/>
          <w:bCs/>
          <w:sz w:val="24"/>
          <w:szCs w:val="24"/>
        </w:rPr>
        <w:t>5.60 to 6.88 mg/100 g</w:t>
      </w:r>
      <w:r>
        <w:rPr>
          <w:rFonts w:ascii="Times New Roman" w:hAnsi="Times New Roman" w:cs="Times New Roman"/>
          <w:sz w:val="24"/>
          <w:szCs w:val="24"/>
        </w:rPr>
        <w:t xml:space="preserve">. These phytochemicals are known for their antioxidant, antimicrobial, anti-inflammatory, and disease-preventive properties, suggesting that the composite breads possess enhanced functional food potential beyond basic </w:t>
      </w:r>
      <w:r>
        <w:rPr>
          <w:rFonts w:ascii="Times New Roman" w:hAnsi="Times New Roman" w:cs="Times New Roman"/>
          <w:sz w:val="24"/>
          <w:szCs w:val="24"/>
          <w:highlight w:val="yellow"/>
        </w:rPr>
        <w:t>nutrition. The</w:t>
      </w:r>
      <w:r>
        <w:rPr>
          <w:rFonts w:ascii="Times New Roman" w:hAnsi="Times New Roman" w:cs="Times New Roman"/>
          <w:sz w:val="24"/>
          <w:szCs w:val="24"/>
        </w:rPr>
        <w:t xml:space="preserve"> physical evaluation showed loaf volume values ranging from </w:t>
      </w:r>
      <w:r>
        <w:rPr>
          <w:rFonts w:ascii="Times New Roman" w:hAnsi="Times New Roman" w:cs="Times New Roman"/>
          <w:bCs/>
          <w:sz w:val="24"/>
          <w:szCs w:val="24"/>
        </w:rPr>
        <w:t>423.01 to 470.13 cm³</w:t>
      </w:r>
      <w:r>
        <w:rPr>
          <w:rFonts w:ascii="Times New Roman" w:hAnsi="Times New Roman" w:cs="Times New Roman"/>
          <w:sz w:val="24"/>
          <w:szCs w:val="24"/>
        </w:rPr>
        <w:t xml:space="preserve">. Although composite flour incorporation can influence gluten network formation, the recorded loaf volumes demonstrate that acceptable baking performance was achieved. The study concludes that millet–pigeon pea composite flour is a promising alternative for producing nutritionally superior bread with enhanced protein, mineral, </w:t>
      </w:r>
      <w:r>
        <w:rPr>
          <w:rFonts w:ascii="Times New Roman" w:hAnsi="Times New Roman" w:cs="Times New Roman"/>
          <w:sz w:val="24"/>
          <w:szCs w:val="24"/>
          <w:highlight w:val="yellow"/>
        </w:rPr>
        <w:t>fibre</w:t>
      </w:r>
      <w:r>
        <w:rPr>
          <w:rFonts w:ascii="Times New Roman" w:hAnsi="Times New Roman" w:cs="Times New Roman"/>
          <w:sz w:val="24"/>
          <w:szCs w:val="24"/>
        </w:rPr>
        <w:t>, and phytochemical contents. Such composite bread has the potential to contribute to improved food security, dietary diversification, value addition to indigenous crops, and reduced dependence on imported wheat while providing consumers with healthier bakery products possessing functional health benefits.</w:t>
      </w:r>
    </w:p>
    <w:p w14:paraId="73F44B61" w14:textId="17D3E925" w:rsidR="0092793D" w:rsidRPr="00D97E2A" w:rsidRDefault="0081737F" w:rsidP="007B5D60">
      <w:pPr>
        <w:jc w:val="both"/>
        <w:rPr>
          <w:rFonts w:ascii="Times New Roman" w:hAnsi="Times New Roman" w:cs="Times New Roman"/>
          <w:sz w:val="24"/>
          <w:szCs w:val="24"/>
        </w:rPr>
      </w:pPr>
      <w:r w:rsidRPr="00D97E2A">
        <w:rPr>
          <w:rFonts w:ascii="Times New Roman" w:hAnsi="Times New Roman" w:cs="Times New Roman"/>
          <w:sz w:val="24"/>
          <w:szCs w:val="24"/>
        </w:rPr>
        <w:t xml:space="preserve">Keywords: </w:t>
      </w:r>
      <w:r w:rsidR="00C65CE2">
        <w:t>Millet flour; pigeon pea flour; composite bread; proximate composition; phytochemicals; loaf volume; loaf weight; cereal–legume blends; nutritional quality; composite flour</w:t>
      </w:r>
    </w:p>
    <w:p w14:paraId="7DFCB4E2" w14:textId="77777777" w:rsidR="0092793D" w:rsidRPr="00D97E2A" w:rsidRDefault="0092793D" w:rsidP="0092793D">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Background of the Study</w:t>
      </w:r>
    </w:p>
    <w:p w14:paraId="62B42AA0"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Bread is one of the most widely consumed bakery products globally due to its convenience, affordability and high nutritional value. Traditionally, bread is produced primarily from wheat flour because of its gluten content, which provides elasticity and gas retention during dough </w:t>
      </w:r>
      <w:r w:rsidRPr="00D97E2A">
        <w:rPr>
          <w:rFonts w:ascii="Times New Roman" w:hAnsi="Times New Roman" w:cs="Times New Roman"/>
          <w:sz w:val="24"/>
          <w:szCs w:val="24"/>
        </w:rPr>
        <w:lastRenderedPageBreak/>
        <w:t xml:space="preserve">fermentation, resulting in desirable loaf structure and texture. However, dependence on wheat flour in many developing countries poses economic and nutritional challenges because wheat is often imported and relatively expensive (Olanipekun et al., 2018). </w:t>
      </w:r>
    </w:p>
    <w:p w14:paraId="34D424F3"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 recent years, there has been increasing interest in the use of </w:t>
      </w:r>
      <w:r>
        <w:rPr>
          <w:rFonts w:ascii="Times New Roman" w:hAnsi="Times New Roman" w:cs="Times New Roman"/>
          <w:bCs/>
          <w:sz w:val="24"/>
          <w:szCs w:val="24"/>
        </w:rPr>
        <w:t>composite flours</w:t>
      </w:r>
      <w:r>
        <w:rPr>
          <w:rFonts w:ascii="Times New Roman" w:hAnsi="Times New Roman" w:cs="Times New Roman"/>
          <w:sz w:val="24"/>
          <w:szCs w:val="24"/>
        </w:rPr>
        <w:t xml:space="preserve">, which are blends of cereal and legume flours, for bakery production. Composite flour technology is aimed at reducing reliance on imported wheat, </w:t>
      </w:r>
      <w:r>
        <w:rPr>
          <w:rFonts w:ascii="Times New Roman" w:hAnsi="Times New Roman" w:cs="Times New Roman"/>
          <w:sz w:val="24"/>
          <w:szCs w:val="24"/>
          <w:highlight w:val="yellow"/>
        </w:rPr>
        <w:t>improving the nutritional value</w:t>
      </w:r>
      <w:r>
        <w:rPr>
          <w:rFonts w:ascii="Times New Roman" w:hAnsi="Times New Roman" w:cs="Times New Roman"/>
          <w:sz w:val="24"/>
          <w:szCs w:val="24"/>
        </w:rPr>
        <w:t xml:space="preserve"> of baked products, and </w:t>
      </w:r>
      <w:r>
        <w:rPr>
          <w:rFonts w:ascii="Times New Roman" w:hAnsi="Times New Roman" w:cs="Times New Roman"/>
          <w:sz w:val="24"/>
          <w:szCs w:val="24"/>
          <w:highlight w:val="yellow"/>
        </w:rPr>
        <w:t>promoting the utilisation</w:t>
      </w:r>
      <w:r>
        <w:rPr>
          <w:rFonts w:ascii="Times New Roman" w:hAnsi="Times New Roman" w:cs="Times New Roman"/>
          <w:sz w:val="24"/>
          <w:szCs w:val="24"/>
        </w:rPr>
        <w:t xml:space="preserve"> of locally available crops. Cereals such as millet and legumes such as pigeon pea are promising candidates for composite flour production due to their complementary nutritional profiles.</w:t>
      </w:r>
    </w:p>
    <w:p w14:paraId="499A5C89"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A recent formulation study using co-fermented maize, millet and pigeon pea also reported measurable nutritional, physicochemical, functional and sensory characteristics, further supporting the use of millet–pigeon pea combinations in composite food development (Adeoye et al., 2024).</w:t>
      </w:r>
    </w:p>
    <w:p w14:paraId="41DCE0F1"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Millet is an important cereal crop widely cultivated in Africa and Asia. It is known for its high nutritional value, including significant amounts of carbohydrates, dietary </w:t>
      </w:r>
      <w:r>
        <w:rPr>
          <w:rFonts w:ascii="Times New Roman" w:hAnsi="Times New Roman" w:cs="Times New Roman"/>
          <w:sz w:val="24"/>
          <w:szCs w:val="24"/>
          <w:highlight w:val="yellow"/>
        </w:rPr>
        <w:t>fibre</w:t>
      </w:r>
      <w:r>
        <w:rPr>
          <w:rFonts w:ascii="Times New Roman" w:hAnsi="Times New Roman" w:cs="Times New Roman"/>
          <w:sz w:val="24"/>
          <w:szCs w:val="24"/>
        </w:rPr>
        <w:t>, vitamins, and minerals such as calcium, iron and magnesium. Millet is also drought-resistant and adaptable to harsh climatic conditions, making it a valuable crop for food security in developing regions (Eid et al., 2025).  Pigeon pea (</w:t>
      </w:r>
      <w:r>
        <w:rPr>
          <w:rFonts w:ascii="Times New Roman" w:hAnsi="Times New Roman" w:cs="Times New Roman"/>
          <w:i/>
          <w:iCs/>
          <w:sz w:val="24"/>
          <w:szCs w:val="24"/>
        </w:rPr>
        <w:t>Cajanus cajan</w:t>
      </w:r>
      <w:r>
        <w:rPr>
          <w:rFonts w:ascii="Times New Roman" w:hAnsi="Times New Roman" w:cs="Times New Roman"/>
          <w:sz w:val="24"/>
          <w:szCs w:val="24"/>
        </w:rPr>
        <w:t xml:space="preserve">) is an </w:t>
      </w:r>
      <w:r>
        <w:rPr>
          <w:rFonts w:ascii="Times New Roman" w:hAnsi="Times New Roman" w:cs="Times New Roman"/>
          <w:sz w:val="24"/>
          <w:szCs w:val="24"/>
          <w:highlight w:val="yellow"/>
        </w:rPr>
        <w:t>underutilised</w:t>
      </w:r>
      <w:r>
        <w:rPr>
          <w:rFonts w:ascii="Times New Roman" w:hAnsi="Times New Roman" w:cs="Times New Roman"/>
          <w:sz w:val="24"/>
          <w:szCs w:val="24"/>
        </w:rPr>
        <w:t xml:space="preserve"> legume rich in protein, essential amino acids, minerals and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Legumes such as pigeon pea are often used to complement cereals nutritionally because cereals are generally low in lysine while legumes are rich in this essential amino acid. The incorporation of pigeon pea flour into cereal-based foods can therefore improve protein quality and overall nutritional value of the final product (Sobowale et al., 2025).  Research has shown that increasing the proportion of pigeon pea flour in cereal-based products significantly enhances protein, ash, and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contents. For example, studies on cereal-legume composite products reported increased protein levels and improved nutritional quality with increasing levels of pigeon pea flour substitution (Ezegbe et al., 2025). </w:t>
      </w:r>
    </w:p>
    <w:p w14:paraId="51AE49FA"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Recent comparative evidence also shows that millet flours differ from refined wheat flour in proximate composition, mineral content, antioxidant activity and resistant starch, supporting their consideration in nutritionally oriented composite formulations (Tiwari et al., 2025).</w:t>
      </w:r>
    </w:p>
    <w:p w14:paraId="2658E027"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A recent review further identifies pigeon pea as a source of high-quality protein, essential amino acids, minerals and bioactive compounds, with applications across bread, biscuits, snacks, noodles and other foods (Haji et al., 2024).</w:t>
      </w:r>
    </w:p>
    <w:p w14:paraId="3A9BF3F6"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Beyond nutritional benefits, composite flours also influence the </w:t>
      </w:r>
      <w:r>
        <w:rPr>
          <w:rFonts w:ascii="Times New Roman" w:hAnsi="Times New Roman" w:cs="Times New Roman"/>
          <w:bCs/>
          <w:sz w:val="24"/>
          <w:szCs w:val="24"/>
        </w:rPr>
        <w:t>chemical, physicochemical and physical characteristics</w:t>
      </w:r>
      <w:r>
        <w:rPr>
          <w:rFonts w:ascii="Times New Roman" w:hAnsi="Times New Roman" w:cs="Times New Roman"/>
          <w:sz w:val="24"/>
          <w:szCs w:val="24"/>
        </w:rPr>
        <w:t xml:space="preserve"> of baked products. Chemical properties include proximate composition such as moisture, protein, fat, ash, </w:t>
      </w:r>
      <w:r>
        <w:rPr>
          <w:rFonts w:ascii="Times New Roman" w:hAnsi="Times New Roman" w:cs="Times New Roman"/>
          <w:sz w:val="24"/>
          <w:szCs w:val="24"/>
          <w:highlight w:val="yellow"/>
        </w:rPr>
        <w:t>fibre</w:t>
      </w:r>
      <w:r>
        <w:rPr>
          <w:rFonts w:ascii="Times New Roman" w:hAnsi="Times New Roman" w:cs="Times New Roman"/>
          <w:sz w:val="24"/>
          <w:szCs w:val="24"/>
        </w:rPr>
        <w:t xml:space="preserve"> and carbohydrate content. Physicochemical properties include parameters such as pH, water absorption capacity, swelling capacity, and bulk density. </w:t>
      </w:r>
      <w:r>
        <w:rPr>
          <w:rFonts w:ascii="Times New Roman" w:hAnsi="Times New Roman" w:cs="Times New Roman"/>
          <w:sz w:val="24"/>
          <w:szCs w:val="24"/>
        </w:rPr>
        <w:lastRenderedPageBreak/>
        <w:t xml:space="preserve">Physical properties refer to characteristics of the baked product such as loaf volume, crumb structure, texture, and crust </w:t>
      </w:r>
      <w:r>
        <w:rPr>
          <w:rFonts w:ascii="Times New Roman" w:hAnsi="Times New Roman" w:cs="Times New Roman"/>
          <w:sz w:val="24"/>
          <w:szCs w:val="24"/>
          <w:highlight w:val="yellow"/>
        </w:rPr>
        <w:t>colour</w:t>
      </w:r>
      <w:r>
        <w:rPr>
          <w:rFonts w:ascii="Times New Roman" w:hAnsi="Times New Roman" w:cs="Times New Roman"/>
          <w:sz w:val="24"/>
          <w:szCs w:val="24"/>
        </w:rPr>
        <w:t>.</w:t>
      </w:r>
    </w:p>
    <w:p w14:paraId="0BEAFC43" w14:textId="77777777" w:rsidR="009C72F5" w:rsidRDefault="00000000">
      <w:pPr>
        <w:spacing w:line="276" w:lineRule="auto"/>
        <w:jc w:val="both"/>
        <w:rPr>
          <w:rFonts w:ascii="Times New Roman" w:hAnsi="Times New Roman" w:cs="Times New Roman"/>
          <w:sz w:val="24"/>
          <w:szCs w:val="24"/>
        </w:rPr>
      </w:pPr>
      <w:r>
        <w:rPr>
          <w:rFonts w:ascii="Times New Roman" w:eastAsia="Times New Roman" w:hAnsi="Times New Roman"/>
          <w:b/>
          <w:sz w:val="24"/>
          <w:highlight w:val="yellow"/>
        </w:rPr>
        <w:t>Recent bread research with wheat–millet–sorghum composite flour showed that increasing non-wheat substitution altered loaf volume, texture, colour and sensory attributes, indicating that nutritional enrichment must be considered alongside bread-making quality (Ahmad et al., 2025).</w:t>
      </w:r>
    </w:p>
    <w:p w14:paraId="50DC4C4A" w14:textId="77777777" w:rsidR="0092793D" w:rsidRPr="00D97E2A" w:rsidRDefault="0092793D" w:rsidP="0092793D">
      <w:pPr>
        <w:spacing w:line="276" w:lineRule="auto"/>
        <w:jc w:val="both"/>
        <w:rPr>
          <w:rFonts w:ascii="Times New Roman" w:hAnsi="Times New Roman" w:cs="Times New Roman"/>
          <w:sz w:val="24"/>
          <w:szCs w:val="24"/>
        </w:rPr>
      </w:pPr>
      <w:r w:rsidRPr="00D97E2A">
        <w:rPr>
          <w:rFonts w:ascii="Times New Roman" w:hAnsi="Times New Roman" w:cs="Times New Roman"/>
          <w:sz w:val="24"/>
          <w:szCs w:val="24"/>
        </w:rPr>
        <w:t xml:space="preserve">Previous studies on millet-pigeon pea flour blends demonstrated good functional and nutritional properties, suggesting their suitability for bakery applications. For example, millet-pigeon pea composite flour has been reported to possess good water absorption capacity, swelling capacity and acceptable nutritional composition (Omah &amp; Okafor, 2015). </w:t>
      </w:r>
    </w:p>
    <w:p w14:paraId="2E678455" w14:textId="77777777" w:rsidR="0081737F"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Despite these promising findings, the application of millet and pigeon pea composite flour in bread production remains relatively underexplored compared with other bakery products such as biscuits and snacks. </w:t>
      </w:r>
      <w:r>
        <w:rPr>
          <w:rFonts w:ascii="Times New Roman" w:hAnsi="Times New Roman" w:cs="Times New Roman"/>
          <w:sz w:val="24"/>
          <w:szCs w:val="24"/>
          <w:highlight w:val="yellow"/>
        </w:rPr>
        <w:t>The use of composite flour can help minimise wheat imports for the production of baked goods, conserve foreign exchange, and provide productive employment for young people</w:t>
      </w:r>
      <w:r>
        <w:rPr>
          <w:rFonts w:ascii="Times New Roman" w:hAnsi="Times New Roman" w:cs="Times New Roman"/>
          <w:sz w:val="24"/>
          <w:szCs w:val="24"/>
        </w:rPr>
        <w:t xml:space="preserve"> (Emojorho et al., 2024). Emojorho and Akubor (2016) revealed that </w:t>
      </w:r>
      <w:r>
        <w:rPr>
          <w:rFonts w:ascii="Times New Roman" w:hAnsi="Times New Roman" w:cs="Times New Roman"/>
          <w:sz w:val="24"/>
          <w:szCs w:val="24"/>
          <w:highlight w:val="yellow"/>
        </w:rPr>
        <w:t>composite flour containing debittered orange seed flour was rich in minerals compared with whole-wheat flour</w:t>
      </w:r>
      <w:r>
        <w:rPr>
          <w:rFonts w:ascii="Times New Roman" w:hAnsi="Times New Roman" w:cs="Times New Roman"/>
          <w:sz w:val="24"/>
          <w:szCs w:val="24"/>
        </w:rPr>
        <w:t xml:space="preserve">. Since bread is a staple food consumed daily by many people, improving its nutritional quality using locally available ingredients could significantly contribute to addressing protein deficiency and malnutrition. Therefore, this study aims to investigate the </w:t>
      </w:r>
      <w:r>
        <w:rPr>
          <w:rFonts w:ascii="Times New Roman" w:hAnsi="Times New Roman" w:cs="Times New Roman"/>
          <w:bCs/>
          <w:sz w:val="24"/>
          <w:szCs w:val="24"/>
        </w:rPr>
        <w:t>chemical, physicochemical and physical properties of bread produced from millet and pigeon pea flour</w:t>
      </w:r>
      <w:r>
        <w:rPr>
          <w:rFonts w:ascii="Times New Roman" w:hAnsi="Times New Roman" w:cs="Times New Roman"/>
          <w:sz w:val="24"/>
          <w:szCs w:val="24"/>
        </w:rPr>
        <w:t xml:space="preserve">, with the goal of evaluating its nutritional potential and technological suitability as an alternative to conventional wheat bread. Bread produced from refined wheat flour is widely consumed worldwide; however, it has several limitations, particularly in developing countries. First, wheat flour is often imported, leading to high production costs and increased dependence on foreign agricultural commodities. This dependence poses economic challenges and affects food security in countries where wheat production is limited. Second, wheat-based bread is relatively low in certain essential nutrients, especially lysine, an essential amino acid required for growth and tissue repair. Consequently, diets heavily dependent on wheat products may contribute to protein malnutrition, especially in regions where animal protein consumption is limited. </w:t>
      </w:r>
    </w:p>
    <w:p w14:paraId="544C755D"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increasing prevalence of malnutrition and protein deficiency in many developing countries necessitates the exploration of nutrient-dense food sources. Legumes such as pigeon pea are rich in protein and essential amino acids and have the potential to enhance the nutritional value of cereal-based foods when used in composite flour formulations. Although several studies have examined the use of composite flours in biscuits, snacks and other bakery products, limited research has focused specifically on </w:t>
      </w:r>
      <w:r>
        <w:rPr>
          <w:rFonts w:ascii="Times New Roman" w:hAnsi="Times New Roman" w:cs="Times New Roman"/>
          <w:bCs/>
          <w:sz w:val="24"/>
          <w:szCs w:val="24"/>
        </w:rPr>
        <w:t>bread produced from millet and pigeon pea flour</w:t>
      </w:r>
      <w:r>
        <w:rPr>
          <w:rFonts w:ascii="Times New Roman" w:hAnsi="Times New Roman" w:cs="Times New Roman"/>
          <w:sz w:val="24"/>
          <w:szCs w:val="24"/>
        </w:rPr>
        <w:t xml:space="preserve">. Additionally, the effects of these flours on the </w:t>
      </w:r>
      <w:r>
        <w:rPr>
          <w:rFonts w:ascii="Times New Roman" w:hAnsi="Times New Roman" w:cs="Times New Roman"/>
          <w:bCs/>
          <w:sz w:val="24"/>
          <w:szCs w:val="24"/>
        </w:rPr>
        <w:t>chemical composition, physicochemical properties and physical quality characteristics of bread</w:t>
      </w:r>
      <w:r>
        <w:rPr>
          <w:rFonts w:ascii="Times New Roman" w:hAnsi="Times New Roman" w:cs="Times New Roman"/>
          <w:sz w:val="24"/>
          <w:szCs w:val="24"/>
        </w:rPr>
        <w:t xml:space="preserve"> are not yet fully understood. Without adequate knowledge of these properties, it is difficult to </w:t>
      </w:r>
      <w:r>
        <w:rPr>
          <w:rFonts w:ascii="Times New Roman" w:hAnsi="Times New Roman" w:cs="Times New Roman"/>
          <w:sz w:val="24"/>
          <w:szCs w:val="24"/>
          <w:highlight w:val="yellow"/>
        </w:rPr>
        <w:t>optimise</w:t>
      </w:r>
      <w:r>
        <w:rPr>
          <w:rFonts w:ascii="Times New Roman" w:hAnsi="Times New Roman" w:cs="Times New Roman"/>
          <w:sz w:val="24"/>
          <w:szCs w:val="24"/>
        </w:rPr>
        <w:t xml:space="preserve"> formulation, processing conditions and </w:t>
      </w:r>
      <w:r>
        <w:rPr>
          <w:rFonts w:ascii="Times New Roman" w:hAnsi="Times New Roman" w:cs="Times New Roman"/>
          <w:sz w:val="24"/>
          <w:szCs w:val="24"/>
        </w:rPr>
        <w:lastRenderedPageBreak/>
        <w:t>consumer acceptability of bread produced from millet and pigeon pea flour. Therefore, there is a need to systematically investigate the chemical, physicochemical and physical properties of bread produced from millet and pigeon pea composite flour.</w:t>
      </w:r>
    </w:p>
    <w:p w14:paraId="143F4B60" w14:textId="77777777" w:rsidR="0092793D" w:rsidRPr="00D97E2A" w:rsidRDefault="0092793D" w:rsidP="0092793D">
      <w:pPr>
        <w:spacing w:line="276" w:lineRule="auto"/>
        <w:jc w:val="both"/>
        <w:rPr>
          <w:rFonts w:ascii="Times New Roman" w:hAnsi="Times New Roman" w:cs="Times New Roman"/>
          <w:b/>
          <w:bCs/>
          <w:sz w:val="24"/>
          <w:szCs w:val="24"/>
        </w:rPr>
      </w:pPr>
      <w:r>
        <w:rPr>
          <w:rFonts w:ascii="Times New Roman" w:hAnsi="Times New Roman" w:cs="Times New Roman"/>
          <w:sz w:val="24"/>
          <w:szCs w:val="24"/>
        </w:rPr>
        <w:t>The increasing demand for nutritious, affordable and locally sourced foods has stimulated interest in the development of composite flour products. The use of millet and pigeon pea flour in bread production offers several advantages.</w:t>
      </w:r>
      <w:r>
        <w:rPr>
          <w:rFonts w:ascii="Times New Roman" w:hAnsi="Times New Roman" w:cs="Times New Roman"/>
          <w:b/>
          <w:bCs/>
          <w:sz w:val="24"/>
          <w:szCs w:val="24"/>
        </w:rPr>
        <w:t xml:space="preserve"> </w:t>
      </w:r>
      <w:r>
        <w:rPr>
          <w:rFonts w:ascii="Times New Roman" w:hAnsi="Times New Roman" w:cs="Times New Roman"/>
          <w:sz w:val="24"/>
          <w:szCs w:val="24"/>
        </w:rPr>
        <w:t xml:space="preserve">Firstly, millet is widely cultivated in many developing countries and is relatively inexpensive compared to imported wheat. </w:t>
      </w:r>
      <w:r>
        <w:rPr>
          <w:rFonts w:ascii="Times New Roman" w:hAnsi="Times New Roman" w:cs="Times New Roman"/>
          <w:sz w:val="24"/>
          <w:szCs w:val="24"/>
          <w:highlight w:val="yellow"/>
        </w:rPr>
        <w:t>Utilising</w:t>
      </w:r>
      <w:r>
        <w:rPr>
          <w:rFonts w:ascii="Times New Roman" w:hAnsi="Times New Roman" w:cs="Times New Roman"/>
          <w:sz w:val="24"/>
          <w:szCs w:val="24"/>
        </w:rPr>
        <w:t xml:space="preserve"> millet in bread production can reduce dependence on imported wheat and promote the use of indigenous crops. Secondly, pigeon pea is an excellent source of plant protein and essential amino acids. Incorporating pigeon pea flour into bread formulations can improve the protein content and amino acid profile of bread, thereby enhancing its nutritional value. Thirdly, composite flour technology has the potential to improve food security by encouraging the </w:t>
      </w:r>
      <w:r>
        <w:rPr>
          <w:rFonts w:ascii="Times New Roman" w:hAnsi="Times New Roman" w:cs="Times New Roman"/>
          <w:sz w:val="24"/>
          <w:szCs w:val="24"/>
          <w:highlight w:val="yellow"/>
        </w:rPr>
        <w:t>utilisation</w:t>
      </w:r>
      <w:r>
        <w:rPr>
          <w:rFonts w:ascii="Times New Roman" w:hAnsi="Times New Roman" w:cs="Times New Roman"/>
          <w:sz w:val="24"/>
          <w:szCs w:val="24"/>
        </w:rPr>
        <w:t xml:space="preserve"> of locally available crops and reducing production costs associated with imported ingredients.</w:t>
      </w:r>
    </w:p>
    <w:p w14:paraId="5B3B6C81" w14:textId="77777777" w:rsidR="0092793D" w:rsidRPr="00D97E2A" w:rsidRDefault="0092793D" w:rsidP="0092793D">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Furthermore, studying the chemical, physicochemical and physical properties of bread produced from millet and pigeon pea flour will provide valuable scientific data that can guide food processors and researchers in developing nutritionally improved bakery products. Finally, the results of this study may contribute to the diversification of bakery products and encourage the </w:t>
      </w:r>
      <w:r>
        <w:rPr>
          <w:rFonts w:ascii="Times New Roman" w:hAnsi="Times New Roman" w:cs="Times New Roman"/>
          <w:sz w:val="24"/>
          <w:szCs w:val="24"/>
          <w:highlight w:val="yellow"/>
        </w:rPr>
        <w:t>commercialisation</w:t>
      </w:r>
      <w:r>
        <w:rPr>
          <w:rFonts w:ascii="Times New Roman" w:hAnsi="Times New Roman" w:cs="Times New Roman"/>
          <w:sz w:val="24"/>
          <w:szCs w:val="24"/>
        </w:rPr>
        <w:t xml:space="preserve"> of composite flour bread products. The aim of this study is to evaluate the </w:t>
      </w:r>
      <w:r>
        <w:rPr>
          <w:rFonts w:ascii="Times New Roman" w:hAnsi="Times New Roman" w:cs="Times New Roman"/>
          <w:bCs/>
          <w:sz w:val="24"/>
          <w:szCs w:val="24"/>
        </w:rPr>
        <w:t xml:space="preserve">chemical and physical properties of bread produced from millet and pigeon pea </w:t>
      </w:r>
      <w:r>
        <w:rPr>
          <w:rFonts w:ascii="Times New Roman" w:hAnsi="Times New Roman" w:cs="Times New Roman"/>
          <w:bCs/>
          <w:sz w:val="24"/>
          <w:szCs w:val="24"/>
          <w:highlight w:val="yellow"/>
        </w:rPr>
        <w:t>flour. The study will provide information on how the use of locally available millet and pigeon pea flours can improve the nutritional quality of bread, reduce dependence on imported wheat, and promote sustainable food production.</w:t>
      </w:r>
      <w:r>
        <w:rPr>
          <w:rFonts w:ascii="Times New Roman" w:hAnsi="Times New Roman" w:cs="Times New Roman"/>
          <w:sz w:val="24"/>
          <w:szCs w:val="24"/>
        </w:rPr>
        <w:t xml:space="preserve"> Incorporating pigeon pea flour into bread can enhance protein intake, helping to combat malnutrition. The results of the study may provide useful data for the bakery industry in developing new functional and nutritious bread products.</w:t>
      </w:r>
    </w:p>
    <w:p w14:paraId="11BE6769" w14:textId="77777777" w:rsidR="0092793D" w:rsidRPr="00D97E2A" w:rsidRDefault="0092793D" w:rsidP="0092793D">
      <w:pPr>
        <w:spacing w:line="276" w:lineRule="auto"/>
        <w:jc w:val="center"/>
        <w:rPr>
          <w:rFonts w:ascii="Times New Roman" w:hAnsi="Times New Roman" w:cs="Times New Roman"/>
          <w:b/>
          <w:sz w:val="24"/>
          <w:szCs w:val="24"/>
        </w:rPr>
      </w:pPr>
      <w:r w:rsidRPr="00D97E2A">
        <w:rPr>
          <w:rFonts w:ascii="Times New Roman" w:hAnsi="Times New Roman" w:cs="Times New Roman"/>
          <w:b/>
          <w:sz w:val="24"/>
          <w:szCs w:val="24"/>
        </w:rPr>
        <w:t>Material and Methods</w:t>
      </w:r>
    </w:p>
    <w:p w14:paraId="5091D2C1" w14:textId="77777777" w:rsidR="0092793D" w:rsidRPr="00D97E2A" w:rsidRDefault="0092793D" w:rsidP="0092793D">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3.1 Material: </w:t>
      </w:r>
      <w:r>
        <w:rPr>
          <w:rFonts w:ascii="Times New Roman" w:hAnsi="Times New Roman" w:cs="Times New Roman"/>
          <w:sz w:val="24"/>
          <w:szCs w:val="24"/>
          <w:highlight w:val="yellow"/>
        </w:rPr>
        <w:t>Millet and pigeon pea were purchased from Asaba, Delta State, Nigeria. Wheat flour, yeast, butter and sugar were purchased from a baking shop in Ozoro, Delta State.</w:t>
      </w:r>
      <w:r>
        <w:rPr>
          <w:rFonts w:ascii="Times New Roman" w:hAnsi="Times New Roman" w:cs="Times New Roman"/>
          <w:sz w:val="24"/>
          <w:szCs w:val="24"/>
        </w:rPr>
        <w:t xml:space="preserve"> </w:t>
      </w:r>
    </w:p>
    <w:p w14:paraId="054F0504" w14:textId="77777777" w:rsidR="0092793D" w:rsidRPr="00D97E2A" w:rsidRDefault="0092793D" w:rsidP="0092793D">
      <w:pPr>
        <w:spacing w:line="276" w:lineRule="auto"/>
        <w:jc w:val="both"/>
        <w:rPr>
          <w:rFonts w:ascii="Times New Roman" w:hAnsi="Times New Roman" w:cs="Times New Roman"/>
          <w:b/>
          <w:sz w:val="24"/>
          <w:szCs w:val="24"/>
        </w:rPr>
      </w:pPr>
      <w:r>
        <w:rPr>
          <w:rFonts w:ascii="Times New Roman" w:hAnsi="Times New Roman" w:cs="Times New Roman"/>
          <w:b/>
          <w:sz w:val="24"/>
          <w:szCs w:val="24"/>
          <w:highlight w:val="yellow"/>
        </w:rPr>
        <w:t>3.2 Millet Flour Production:</w:t>
      </w:r>
      <w:r>
        <w:rPr>
          <w:rFonts w:ascii="Times New Roman" w:hAnsi="Times New Roman" w:cs="Times New Roman"/>
          <w:b/>
          <w:sz w:val="24"/>
          <w:szCs w:val="24"/>
        </w:rPr>
        <w:t xml:space="preserve"> </w:t>
      </w:r>
      <w:r>
        <w:rPr>
          <w:rFonts w:ascii="Times New Roman" w:hAnsi="Times New Roman" w:cs="Times New Roman"/>
          <w:sz w:val="24"/>
          <w:szCs w:val="24"/>
          <w:highlight w:val="yellow"/>
        </w:rPr>
        <w:t>Sample collection: Millet grains were purchased from the grain market in Asaba, Delta State, and were stone-milled into fine flour. The flour was kept at 25°C until analysis. All samples were dried, ground to a fine powder, and kept at 4ºC in polyethylene packs until analysis (Emojorho et al., 2026).</w:t>
      </w:r>
    </w:p>
    <w:p w14:paraId="43802832" w14:textId="77777777" w:rsidR="0092793D" w:rsidRPr="00D97E2A" w:rsidRDefault="0092793D" w:rsidP="0092793D">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 Preparation of Fermented Pigeon Pea Flour: </w:t>
      </w:r>
      <w:r>
        <w:rPr>
          <w:rFonts w:ascii="Times New Roman" w:hAnsi="Times New Roman" w:cs="Times New Roman"/>
          <w:sz w:val="24"/>
          <w:szCs w:val="24"/>
          <w:highlight w:val="yellow"/>
          <w:shd w:val="clear" w:color="auto" w:fill="FFFFFF"/>
        </w:rPr>
        <w:t>A portion of the raw pigeon pea flour (RPPF) was mixed with water at a 3.2 (water: flour) ratio in a covered plastic bowl, as described by Emojorho et al. (2026). The paste was fermented for 5 days, oven-dried (60°C, 3 h), milled using an attrition mill, and screened through a 60-mesh sieve (0.1 mm). All flour samples were stored in high-density polyethylene (HDPE) bags (0.77 mm thick) prior to use (Emojorho et al., 2026).</w:t>
      </w:r>
    </w:p>
    <w:p w14:paraId="2692D36B" w14:textId="77777777" w:rsidR="0092793D" w:rsidRPr="00D97E2A" w:rsidRDefault="0092793D" w:rsidP="0092793D">
      <w:pPr>
        <w:spacing w:line="276" w:lineRule="auto"/>
        <w:jc w:val="both"/>
        <w:rPr>
          <w:rFonts w:ascii="Times New Roman" w:hAnsi="Times New Roman" w:cs="Times New Roman"/>
          <w:b/>
          <w:bCs/>
        </w:rPr>
      </w:pPr>
      <w:r>
        <w:rPr>
          <w:rFonts w:ascii="Times New Roman" w:hAnsi="Times New Roman" w:cs="Times New Roman"/>
          <w:b/>
          <w:bCs/>
          <w:sz w:val="24"/>
          <w:szCs w:val="24"/>
        </w:rPr>
        <w:t xml:space="preserve">3.4 Formulation of Composite Flour: </w:t>
      </w:r>
      <w:r>
        <w:rPr>
          <w:rFonts w:ascii="Times New Roman" w:hAnsi="Times New Roman" w:cs="Times New Roman"/>
          <w:highlight w:val="yellow"/>
        </w:rPr>
        <w:t>Composite flour blends were prepared in the following ratios:</w:t>
      </w:r>
    </w:p>
    <w:tbl>
      <w:tblPr>
        <w:tblStyle w:val="TableGrid"/>
        <w:tblW w:w="0" w:type="auto"/>
        <w:tblLook w:val="04A0" w:firstRow="1" w:lastRow="0" w:firstColumn="1" w:lastColumn="0" w:noHBand="0" w:noVBand="1"/>
      </w:tblPr>
      <w:tblGrid>
        <w:gridCol w:w="2337"/>
        <w:gridCol w:w="2337"/>
        <w:gridCol w:w="2338"/>
        <w:gridCol w:w="2338"/>
      </w:tblGrid>
      <w:tr w:rsidR="00D97E2A" w:rsidRPr="00D97E2A" w14:paraId="6E6829A5" w14:textId="77777777" w:rsidTr="00EF59AB">
        <w:tc>
          <w:tcPr>
            <w:tcW w:w="2337" w:type="dxa"/>
          </w:tcPr>
          <w:p w14:paraId="69C56DC2" w14:textId="77777777" w:rsidR="0092793D" w:rsidRPr="00D97E2A" w:rsidRDefault="0092793D" w:rsidP="00EF59AB">
            <w:pPr>
              <w:spacing w:line="276" w:lineRule="auto"/>
              <w:jc w:val="both"/>
            </w:pPr>
            <w:r w:rsidRPr="00D97E2A">
              <w:lastRenderedPageBreak/>
              <w:t xml:space="preserve">Sample </w:t>
            </w:r>
          </w:p>
        </w:tc>
        <w:tc>
          <w:tcPr>
            <w:tcW w:w="2337" w:type="dxa"/>
          </w:tcPr>
          <w:p w14:paraId="5610AD07" w14:textId="77777777" w:rsidR="0092793D" w:rsidRPr="00D97E2A" w:rsidRDefault="0092793D" w:rsidP="00EF59AB">
            <w:pPr>
              <w:spacing w:line="276" w:lineRule="auto"/>
              <w:jc w:val="both"/>
            </w:pPr>
            <w:r w:rsidRPr="00D97E2A">
              <w:t>Wheat (%)</w:t>
            </w:r>
          </w:p>
        </w:tc>
        <w:tc>
          <w:tcPr>
            <w:tcW w:w="2338" w:type="dxa"/>
          </w:tcPr>
          <w:p w14:paraId="58CAC18E" w14:textId="77777777" w:rsidR="0092793D" w:rsidRPr="00D97E2A" w:rsidRDefault="0092793D" w:rsidP="00EF59AB">
            <w:pPr>
              <w:spacing w:line="276" w:lineRule="auto"/>
              <w:jc w:val="both"/>
            </w:pPr>
            <w:r w:rsidRPr="00D97E2A">
              <w:t>Millet (%)</w:t>
            </w:r>
          </w:p>
        </w:tc>
        <w:tc>
          <w:tcPr>
            <w:tcW w:w="2338" w:type="dxa"/>
          </w:tcPr>
          <w:p w14:paraId="75704085" w14:textId="77777777" w:rsidR="0092793D" w:rsidRPr="00D97E2A" w:rsidRDefault="0092793D" w:rsidP="00EF59AB">
            <w:pPr>
              <w:spacing w:line="276" w:lineRule="auto"/>
              <w:jc w:val="both"/>
            </w:pPr>
            <w:r w:rsidRPr="00D97E2A">
              <w:t>Pigeon Pea (%)</w:t>
            </w:r>
          </w:p>
        </w:tc>
      </w:tr>
      <w:tr w:rsidR="00D97E2A" w:rsidRPr="00D97E2A" w14:paraId="27F5B43B" w14:textId="77777777" w:rsidTr="00EF59AB">
        <w:tc>
          <w:tcPr>
            <w:tcW w:w="2337" w:type="dxa"/>
          </w:tcPr>
          <w:p w14:paraId="2D129E8C" w14:textId="77777777" w:rsidR="0092793D" w:rsidRPr="00D97E2A" w:rsidRDefault="00A005AD" w:rsidP="00EF59AB">
            <w:pPr>
              <w:spacing w:line="276" w:lineRule="auto"/>
              <w:jc w:val="both"/>
            </w:pPr>
            <w:r w:rsidRPr="00D97E2A">
              <w:t>C</w:t>
            </w:r>
            <w:r w:rsidR="004A1B7E" w:rsidRPr="00D97E2A">
              <w:t>B</w:t>
            </w:r>
            <w:r w:rsidRPr="00D97E2A">
              <w:t>:100</w:t>
            </w:r>
          </w:p>
        </w:tc>
        <w:tc>
          <w:tcPr>
            <w:tcW w:w="2337" w:type="dxa"/>
          </w:tcPr>
          <w:p w14:paraId="3E592139" w14:textId="77777777" w:rsidR="0092793D" w:rsidRPr="00D97E2A" w:rsidRDefault="0092793D" w:rsidP="00EF59AB">
            <w:pPr>
              <w:spacing w:line="276" w:lineRule="auto"/>
              <w:jc w:val="both"/>
            </w:pPr>
            <w:r w:rsidRPr="00D97E2A">
              <w:t>100</w:t>
            </w:r>
          </w:p>
        </w:tc>
        <w:tc>
          <w:tcPr>
            <w:tcW w:w="2338" w:type="dxa"/>
          </w:tcPr>
          <w:p w14:paraId="7C5C62AB" w14:textId="77777777" w:rsidR="0092793D" w:rsidRPr="00D97E2A" w:rsidRDefault="0092793D" w:rsidP="00EF59AB">
            <w:pPr>
              <w:spacing w:line="276" w:lineRule="auto"/>
              <w:jc w:val="both"/>
            </w:pPr>
            <w:r w:rsidRPr="00D97E2A">
              <w:t>0</w:t>
            </w:r>
          </w:p>
        </w:tc>
        <w:tc>
          <w:tcPr>
            <w:tcW w:w="2338" w:type="dxa"/>
          </w:tcPr>
          <w:p w14:paraId="7F422796" w14:textId="77777777" w:rsidR="0092793D" w:rsidRPr="00D97E2A" w:rsidRDefault="0092793D" w:rsidP="00EF59AB">
            <w:pPr>
              <w:spacing w:line="276" w:lineRule="auto"/>
              <w:jc w:val="both"/>
            </w:pPr>
            <w:r w:rsidRPr="00D97E2A">
              <w:t>0</w:t>
            </w:r>
          </w:p>
        </w:tc>
      </w:tr>
      <w:tr w:rsidR="00D97E2A" w:rsidRPr="00D97E2A" w14:paraId="76909E02" w14:textId="77777777" w:rsidTr="00EF59AB">
        <w:tc>
          <w:tcPr>
            <w:tcW w:w="2337" w:type="dxa"/>
          </w:tcPr>
          <w:p w14:paraId="18101653" w14:textId="77777777" w:rsidR="00A005AD" w:rsidRPr="00D97E2A" w:rsidRDefault="00A005AD" w:rsidP="00A005AD">
            <w:r w:rsidRPr="00D97E2A">
              <w:t>MB:25</w:t>
            </w:r>
          </w:p>
        </w:tc>
        <w:tc>
          <w:tcPr>
            <w:tcW w:w="2337" w:type="dxa"/>
          </w:tcPr>
          <w:p w14:paraId="3C352E4B" w14:textId="77777777" w:rsidR="00A005AD" w:rsidRPr="00D97E2A" w:rsidRDefault="00A005AD" w:rsidP="00A005AD">
            <w:pPr>
              <w:spacing w:line="276" w:lineRule="auto"/>
              <w:jc w:val="both"/>
            </w:pPr>
            <w:r w:rsidRPr="00D97E2A">
              <w:t>75</w:t>
            </w:r>
          </w:p>
        </w:tc>
        <w:tc>
          <w:tcPr>
            <w:tcW w:w="2338" w:type="dxa"/>
          </w:tcPr>
          <w:p w14:paraId="5F3DB94D" w14:textId="77777777" w:rsidR="00A005AD" w:rsidRPr="00D97E2A" w:rsidRDefault="00A005AD" w:rsidP="00A005AD">
            <w:pPr>
              <w:spacing w:line="276" w:lineRule="auto"/>
              <w:jc w:val="both"/>
            </w:pPr>
            <w:r w:rsidRPr="00D97E2A">
              <w:t>25</w:t>
            </w:r>
          </w:p>
        </w:tc>
        <w:tc>
          <w:tcPr>
            <w:tcW w:w="2338" w:type="dxa"/>
          </w:tcPr>
          <w:p w14:paraId="5DFAB8CE" w14:textId="77777777" w:rsidR="00A005AD" w:rsidRPr="00D97E2A" w:rsidRDefault="00A005AD" w:rsidP="00A005AD">
            <w:pPr>
              <w:spacing w:line="276" w:lineRule="auto"/>
              <w:jc w:val="both"/>
            </w:pPr>
            <w:r w:rsidRPr="00D97E2A">
              <w:t>0</w:t>
            </w:r>
          </w:p>
        </w:tc>
      </w:tr>
      <w:tr w:rsidR="00D97E2A" w:rsidRPr="00D97E2A" w14:paraId="65217682" w14:textId="77777777" w:rsidTr="00EF59AB">
        <w:tc>
          <w:tcPr>
            <w:tcW w:w="2337" w:type="dxa"/>
          </w:tcPr>
          <w:p w14:paraId="250AB780" w14:textId="77777777" w:rsidR="00A005AD" w:rsidRPr="00D97E2A" w:rsidRDefault="00A005AD" w:rsidP="00A005AD">
            <w:r w:rsidRPr="00D97E2A">
              <w:t>MB:50</w:t>
            </w:r>
          </w:p>
        </w:tc>
        <w:tc>
          <w:tcPr>
            <w:tcW w:w="2337" w:type="dxa"/>
          </w:tcPr>
          <w:p w14:paraId="272E7E3F" w14:textId="77777777" w:rsidR="00A005AD" w:rsidRPr="00D97E2A" w:rsidRDefault="00A005AD" w:rsidP="00A005AD">
            <w:pPr>
              <w:spacing w:line="276" w:lineRule="auto"/>
              <w:jc w:val="both"/>
            </w:pPr>
            <w:r w:rsidRPr="00D97E2A">
              <w:t>50</w:t>
            </w:r>
          </w:p>
        </w:tc>
        <w:tc>
          <w:tcPr>
            <w:tcW w:w="2338" w:type="dxa"/>
          </w:tcPr>
          <w:p w14:paraId="3DADFB12" w14:textId="77777777" w:rsidR="00A005AD" w:rsidRPr="00D97E2A" w:rsidRDefault="00A005AD" w:rsidP="00A005AD">
            <w:pPr>
              <w:spacing w:line="276" w:lineRule="auto"/>
              <w:jc w:val="both"/>
            </w:pPr>
            <w:r w:rsidRPr="00D97E2A">
              <w:t>50</w:t>
            </w:r>
          </w:p>
        </w:tc>
        <w:tc>
          <w:tcPr>
            <w:tcW w:w="2338" w:type="dxa"/>
          </w:tcPr>
          <w:p w14:paraId="5685C69E" w14:textId="77777777" w:rsidR="00A005AD" w:rsidRPr="00D97E2A" w:rsidRDefault="00A005AD" w:rsidP="00A005AD">
            <w:pPr>
              <w:spacing w:line="276" w:lineRule="auto"/>
              <w:jc w:val="both"/>
            </w:pPr>
            <w:r w:rsidRPr="00D97E2A">
              <w:t>0</w:t>
            </w:r>
          </w:p>
        </w:tc>
      </w:tr>
      <w:tr w:rsidR="00D97E2A" w:rsidRPr="00D97E2A" w14:paraId="0AB19BC3" w14:textId="77777777" w:rsidTr="00EF59AB">
        <w:tc>
          <w:tcPr>
            <w:tcW w:w="2337" w:type="dxa"/>
          </w:tcPr>
          <w:p w14:paraId="4FCC54A2" w14:textId="77777777" w:rsidR="0092793D" w:rsidRPr="00D97E2A" w:rsidRDefault="00A005AD" w:rsidP="00EF59AB">
            <w:pPr>
              <w:spacing w:line="276" w:lineRule="auto"/>
              <w:jc w:val="both"/>
            </w:pPr>
            <w:r w:rsidRPr="00D97E2A">
              <w:t>PB:</w:t>
            </w:r>
            <w:r w:rsidR="004A1B7E" w:rsidRPr="00D97E2A">
              <w:t>25</w:t>
            </w:r>
          </w:p>
        </w:tc>
        <w:tc>
          <w:tcPr>
            <w:tcW w:w="2337" w:type="dxa"/>
          </w:tcPr>
          <w:p w14:paraId="6CD7AAE8" w14:textId="77777777" w:rsidR="0092793D" w:rsidRPr="00D97E2A" w:rsidRDefault="004A1B7E" w:rsidP="00EF59AB">
            <w:pPr>
              <w:spacing w:line="276" w:lineRule="auto"/>
              <w:jc w:val="both"/>
            </w:pPr>
            <w:r w:rsidRPr="00D97E2A">
              <w:t>75</w:t>
            </w:r>
          </w:p>
        </w:tc>
        <w:tc>
          <w:tcPr>
            <w:tcW w:w="2338" w:type="dxa"/>
          </w:tcPr>
          <w:p w14:paraId="28C4813E" w14:textId="77777777" w:rsidR="0092793D" w:rsidRPr="00D97E2A" w:rsidRDefault="0092793D" w:rsidP="00EF59AB">
            <w:pPr>
              <w:spacing w:line="276" w:lineRule="auto"/>
              <w:jc w:val="both"/>
            </w:pPr>
            <w:r w:rsidRPr="00D97E2A">
              <w:t>0</w:t>
            </w:r>
          </w:p>
        </w:tc>
        <w:tc>
          <w:tcPr>
            <w:tcW w:w="2338" w:type="dxa"/>
          </w:tcPr>
          <w:p w14:paraId="159EDDD9" w14:textId="77777777" w:rsidR="0092793D" w:rsidRPr="00D97E2A" w:rsidRDefault="004A1B7E" w:rsidP="00EF59AB">
            <w:pPr>
              <w:spacing w:line="276" w:lineRule="auto"/>
              <w:jc w:val="both"/>
            </w:pPr>
            <w:r w:rsidRPr="00D97E2A">
              <w:t>25</w:t>
            </w:r>
          </w:p>
        </w:tc>
      </w:tr>
      <w:tr w:rsidR="00D97E2A" w:rsidRPr="00D97E2A" w14:paraId="665AF11D" w14:textId="77777777" w:rsidTr="00EF59AB">
        <w:tc>
          <w:tcPr>
            <w:tcW w:w="2337" w:type="dxa"/>
          </w:tcPr>
          <w:p w14:paraId="5AB137B8" w14:textId="77777777" w:rsidR="0092793D" w:rsidRPr="00D97E2A" w:rsidRDefault="00A005AD" w:rsidP="00EF59AB">
            <w:pPr>
              <w:spacing w:line="276" w:lineRule="auto"/>
              <w:jc w:val="both"/>
            </w:pPr>
            <w:r w:rsidRPr="00D97E2A">
              <w:t>PB:</w:t>
            </w:r>
            <w:r w:rsidR="004A1B7E" w:rsidRPr="00D97E2A">
              <w:t>50</w:t>
            </w:r>
          </w:p>
        </w:tc>
        <w:tc>
          <w:tcPr>
            <w:tcW w:w="2337" w:type="dxa"/>
          </w:tcPr>
          <w:p w14:paraId="5BB36A4E" w14:textId="77777777" w:rsidR="0092793D" w:rsidRPr="00D97E2A" w:rsidRDefault="004A1B7E" w:rsidP="00EF59AB">
            <w:pPr>
              <w:spacing w:line="276" w:lineRule="auto"/>
              <w:jc w:val="both"/>
            </w:pPr>
            <w:r w:rsidRPr="00D97E2A">
              <w:t>50</w:t>
            </w:r>
          </w:p>
        </w:tc>
        <w:tc>
          <w:tcPr>
            <w:tcW w:w="2338" w:type="dxa"/>
          </w:tcPr>
          <w:p w14:paraId="0D0211B9" w14:textId="77777777" w:rsidR="0092793D" w:rsidRPr="00D97E2A" w:rsidRDefault="0092793D" w:rsidP="00EF59AB">
            <w:pPr>
              <w:spacing w:line="276" w:lineRule="auto"/>
              <w:jc w:val="both"/>
            </w:pPr>
            <w:r w:rsidRPr="00D97E2A">
              <w:t>0</w:t>
            </w:r>
          </w:p>
        </w:tc>
        <w:tc>
          <w:tcPr>
            <w:tcW w:w="2338" w:type="dxa"/>
          </w:tcPr>
          <w:p w14:paraId="236EA274" w14:textId="77777777" w:rsidR="0092793D" w:rsidRPr="00D97E2A" w:rsidRDefault="004A1B7E" w:rsidP="00EF59AB">
            <w:pPr>
              <w:spacing w:line="276" w:lineRule="auto"/>
              <w:jc w:val="both"/>
            </w:pPr>
            <w:r w:rsidRPr="00D97E2A">
              <w:t>50</w:t>
            </w:r>
          </w:p>
        </w:tc>
      </w:tr>
    </w:tbl>
    <w:p w14:paraId="49E0CF7C" w14:textId="77777777" w:rsidR="0092793D" w:rsidRPr="00D97E2A" w:rsidRDefault="0092793D" w:rsidP="0092793D">
      <w:pPr>
        <w:spacing w:line="276" w:lineRule="auto"/>
        <w:jc w:val="both"/>
        <w:rPr>
          <w:rFonts w:ascii="Times New Roman" w:hAnsi="Times New Roman" w:cs="Times New Roman"/>
          <w:sz w:val="24"/>
          <w:szCs w:val="24"/>
        </w:rPr>
      </w:pPr>
    </w:p>
    <w:p w14:paraId="50849BBE" w14:textId="77777777" w:rsidR="0092793D" w:rsidRPr="00D97E2A" w:rsidRDefault="0092793D" w:rsidP="0092793D">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3.5 Production of Bread: </w:t>
      </w:r>
      <w:r>
        <w:rPr>
          <w:rFonts w:ascii="Times New Roman" w:hAnsi="Times New Roman" w:cs="Times New Roman"/>
          <w:sz w:val="24"/>
          <w:szCs w:val="24"/>
          <w:highlight w:val="yellow"/>
        </w:rPr>
        <w:t>About 50 g of flour, 4 g of sugar, 2 g of salt, 8 g of margarine, 25 mL of water, 1 g of yeast, and 10 g of powdered milk made up the formula used to prepare the bread. The rubbing process was used for the dry ingredients. After the ingredients were weighed, the milk-water mixture was combined with the yeast in a basin. A well was created in the centre of the flour mixture, and the dissolved yeast was added. The mixture was fermented at 35°C while covered with cheesecloth. After the remaining milk-water mixture, butter, sugar, and salt were added, the dough was hand-kneaded until smooth and non-sticky. The dough was returned to the bowl, covered with cheesecloth, and allowed to prove at 35°C. The proofed doughs were then gently smeared with egg, placed in pans that had been greased with fat, and baked in an oven at 220°C for 10 minutes (Adinkwu et al., 2025).</w:t>
      </w:r>
      <w:r>
        <w:rPr>
          <w:rFonts w:ascii="Times New Roman" w:hAnsi="Times New Roman" w:cs="Times New Roman"/>
          <w:sz w:val="24"/>
          <w:szCs w:val="24"/>
        </w:rPr>
        <w:t xml:space="preserve">  </w:t>
      </w:r>
    </w:p>
    <w:p w14:paraId="0A579DBF" w14:textId="77777777" w:rsidR="00FC5D90" w:rsidRPr="00D97E2A" w:rsidRDefault="00FC5D90" w:rsidP="00FC5D90">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highlight w:val="yellow"/>
        </w:rPr>
        <w:t>3.6 Analysis</w:t>
      </w:r>
    </w:p>
    <w:p w14:paraId="5E4B5412"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Moisture Content</w:t>
      </w:r>
    </w:p>
    <w:p w14:paraId="0AE50C69" w14:textId="77777777" w:rsidR="00FC5D90" w:rsidRDefault="00FC5D90" w:rsidP="00FC5D90">
      <w:pPr>
        <w:spacing w:line="276" w:lineRule="auto"/>
        <w:jc w:val="both"/>
        <w:rPr>
          <w:rFonts w:ascii="Times New Roman" w:hAnsi="Times New Roman" w:cs="Times New Roman"/>
          <w:sz w:val="24"/>
          <w:szCs w:val="24"/>
        </w:rPr>
      </w:pPr>
      <w:r>
        <w:rPr>
          <w:rFonts w:ascii="Times New Roman" w:hAnsi="Times New Roman" w:cs="Times New Roman"/>
          <w:sz w:val="24"/>
          <w:szCs w:val="24"/>
          <w:highlight w:val="yellow"/>
        </w:rPr>
        <w:t>The bread samples' moisture, protein, fat, fibre, ash, and carbohydrate contents were measured using the methodology described by Latimer (2023).</w:t>
      </w:r>
      <w:r>
        <w:rPr>
          <w:rFonts w:ascii="Times New Roman" w:hAnsi="Times New Roman" w:cs="Times New Roman"/>
          <w:sz w:val="24"/>
          <w:szCs w:val="24"/>
        </w:rPr>
        <w:t xml:space="preserve"> </w:t>
      </w:r>
    </w:p>
    <w:p w14:paraId="1019D1C5" w14:textId="77777777" w:rsidR="007B3D05" w:rsidRPr="003A725D" w:rsidRDefault="007B3D05" w:rsidP="007B3D05">
      <w:pPr>
        <w:spacing w:line="360" w:lineRule="auto"/>
        <w:jc w:val="both"/>
        <w:rPr>
          <w:rFonts w:ascii="Times New Roman" w:hAnsi="Times New Roman" w:cs="Times New Roman"/>
          <w:b/>
          <w:sz w:val="24"/>
          <w:szCs w:val="24"/>
        </w:rPr>
      </w:pPr>
      <w:r w:rsidRPr="003A725D">
        <w:rPr>
          <w:rFonts w:ascii="Times New Roman" w:hAnsi="Times New Roman" w:cs="Times New Roman"/>
          <w:b/>
          <w:sz w:val="24"/>
          <w:szCs w:val="24"/>
        </w:rPr>
        <w:t>Moisture content determination</w:t>
      </w:r>
    </w:p>
    <w:p w14:paraId="499119D4" w14:textId="77777777" w:rsidR="007B3D05" w:rsidRPr="003A725D" w:rsidRDefault="007B3D05" w:rsidP="007B3D0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standard oven method described by Latimer (2023) was used. Five grams (5 g) of the prepared samples were weighed (W1) in triplicate into known-weight </w:t>
      </w:r>
      <w:r>
        <w:rPr>
          <w:rFonts w:ascii="Times New Roman" w:hAnsi="Times New Roman" w:cs="Times New Roman"/>
          <w:sz w:val="24"/>
          <w:szCs w:val="24"/>
          <w:highlight w:val="yellow"/>
        </w:rPr>
        <w:t>Petri dishes</w:t>
      </w:r>
      <w:r>
        <w:rPr>
          <w:rFonts w:ascii="Times New Roman" w:hAnsi="Times New Roman" w:cs="Times New Roman"/>
          <w:sz w:val="24"/>
          <w:szCs w:val="24"/>
        </w:rPr>
        <w:t xml:space="preserve"> and </w:t>
      </w:r>
      <w:r>
        <w:rPr>
          <w:rFonts w:ascii="Times New Roman" w:hAnsi="Times New Roman" w:cs="Times New Roman"/>
          <w:sz w:val="24"/>
          <w:szCs w:val="24"/>
          <w:highlight w:val="yellow"/>
        </w:rPr>
        <w:t>covered immediately</w:t>
      </w:r>
      <w:r>
        <w:rPr>
          <w:rFonts w:ascii="Times New Roman" w:hAnsi="Times New Roman" w:cs="Times New Roman"/>
          <w:sz w:val="24"/>
          <w:szCs w:val="24"/>
        </w:rPr>
        <w:t xml:space="preserve">. This was placed in the oven, uncovered, and heated for 2 hours at 105 2 </w:t>
      </w:r>
      <w:r>
        <w:rPr>
          <w:rFonts w:ascii="Times New Roman" w:hAnsi="Times New Roman" w:cs="Times New Roman"/>
          <w:sz w:val="24"/>
          <w:szCs w:val="24"/>
          <w:vertAlign w:val="superscript"/>
        </w:rPr>
        <w:t>o</w:t>
      </w:r>
      <w:r>
        <w:rPr>
          <w:rFonts w:ascii="Times New Roman" w:hAnsi="Times New Roman" w:cs="Times New Roman"/>
          <w:sz w:val="24"/>
          <w:szCs w:val="24"/>
        </w:rPr>
        <w:t xml:space="preserve">C. </w:t>
      </w:r>
      <w:r>
        <w:rPr>
          <w:rFonts w:ascii="Times New Roman" w:hAnsi="Times New Roman" w:cs="Times New Roman"/>
          <w:sz w:val="24"/>
          <w:szCs w:val="24"/>
          <w:highlight w:val="yellow"/>
        </w:rPr>
        <w:t>Before weighing, the sample was removed and placed in a desiccator to cool for 15 minutes.</w:t>
      </w:r>
      <w:r>
        <w:rPr>
          <w:rFonts w:ascii="Times New Roman" w:hAnsi="Times New Roman" w:cs="Times New Roman"/>
          <w:sz w:val="24"/>
          <w:szCs w:val="24"/>
        </w:rPr>
        <w:t xml:space="preserve"> This was done until the weights were consistent (W2). The moisture content was calculated as the weight loss from the original weight (before drying).</w:t>
      </w:r>
    </w:p>
    <w:p w14:paraId="5E98BABF" w14:textId="77777777" w:rsidR="007B3D05" w:rsidRPr="003A725D" w:rsidRDefault="007B3D05" w:rsidP="007B3D05">
      <w:pPr>
        <w:spacing w:line="360" w:lineRule="auto"/>
        <w:jc w:val="both"/>
        <w:rPr>
          <w:rFonts w:ascii="Times New Roman" w:hAnsi="Times New Roman" w:cs="Times New Roman"/>
          <w:sz w:val="24"/>
          <w:szCs w:val="24"/>
        </w:rPr>
      </w:pPr>
      <w:r w:rsidRPr="003A725D">
        <w:rPr>
          <w:rFonts w:ascii="Times New Roman" w:hAnsi="Times New Roman" w:cs="Times New Roman"/>
          <w:sz w:val="24"/>
          <w:szCs w:val="24"/>
        </w:rPr>
        <w:t xml:space="preserve">% Moisture Content </w:t>
      </w:r>
      <w:proofErr w:type="gramStart"/>
      <w:r w:rsidRPr="003A725D">
        <w:rPr>
          <w:rFonts w:ascii="Times New Roman" w:hAnsi="Times New Roman" w:cs="Times New Roman"/>
          <w:sz w:val="24"/>
          <w:szCs w:val="24"/>
        </w:rPr>
        <w:t>=  x</w:t>
      </w:r>
      <w:proofErr w:type="gramEnd"/>
      <w:r w:rsidRPr="003A725D">
        <w:rPr>
          <w:rFonts w:ascii="Times New Roman" w:hAnsi="Times New Roman" w:cs="Times New Roman"/>
          <w:sz w:val="24"/>
          <w:szCs w:val="24"/>
        </w:rPr>
        <w:t xml:space="preserve"> 100 </w:t>
      </w:r>
    </w:p>
    <w:p w14:paraId="24411E56" w14:textId="77777777" w:rsidR="007B3D05" w:rsidRPr="003A725D"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Where W1= Weight of wet sample   W2= Weight of dried sample</w:t>
      </w:r>
    </w:p>
    <w:p w14:paraId="713580C3" w14:textId="77777777" w:rsidR="007B3D05" w:rsidRPr="001603A6" w:rsidRDefault="007B3D05" w:rsidP="007B3D05">
      <w:pPr>
        <w:spacing w:after="0" w:line="360" w:lineRule="auto"/>
        <w:jc w:val="both"/>
        <w:rPr>
          <w:rFonts w:ascii="Times New Roman" w:eastAsia="Calibri" w:hAnsi="Times New Roman" w:cs="Times New Roman"/>
          <w:color w:val="000000"/>
          <w:sz w:val="24"/>
          <w:szCs w:val="24"/>
        </w:rPr>
      </w:pPr>
      <w:r w:rsidRPr="001603A6">
        <w:rPr>
          <w:rFonts w:ascii="Times New Roman" w:eastAsia="Calibri" w:hAnsi="Times New Roman" w:cs="Times New Roman"/>
          <w:b/>
          <w:color w:val="000000"/>
          <w:sz w:val="24"/>
          <w:szCs w:val="24"/>
        </w:rPr>
        <w:t>Determination of crude protein content</w:t>
      </w:r>
    </w:p>
    <w:p w14:paraId="2C99A989" w14:textId="77777777" w:rsidR="007B3D05" w:rsidRPr="001603A6" w:rsidRDefault="007B3D05" w:rsidP="007B3D05">
      <w:pPr>
        <w:spacing w:after="0"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Kjeldahl method was used to determine crude protein (Latimer, 2023). In the Kjeldahl flask, </w:t>
      </w:r>
      <w:r>
        <w:rPr>
          <w:rFonts w:ascii="Times New Roman" w:eastAsia="Calibri" w:hAnsi="Times New Roman" w:cs="Times New Roman"/>
          <w:sz w:val="24"/>
          <w:szCs w:val="24"/>
          <w:highlight w:val="yellow"/>
        </w:rPr>
        <w:t>2 g of sample was placed</w:t>
      </w:r>
      <w:r>
        <w:rPr>
          <w:rFonts w:ascii="Times New Roman" w:eastAsia="Calibri" w:hAnsi="Times New Roman" w:cs="Times New Roman"/>
          <w:sz w:val="24"/>
          <w:szCs w:val="24"/>
        </w:rPr>
        <w:t xml:space="preserve">. The flask was filled with anhydrous sodium sulphate (5 g Kjeldahl </w:t>
      </w:r>
      <w:r>
        <w:rPr>
          <w:rFonts w:ascii="Times New Roman" w:eastAsia="Calibri" w:hAnsi="Times New Roman" w:cs="Times New Roman"/>
          <w:sz w:val="24"/>
          <w:szCs w:val="24"/>
        </w:rPr>
        <w:lastRenderedPageBreak/>
        <w:t xml:space="preserve">catalyst). With a few boiling chips, </w:t>
      </w:r>
      <w:r>
        <w:rPr>
          <w:rFonts w:ascii="Times New Roman" w:eastAsia="Calibri" w:hAnsi="Times New Roman" w:cs="Times New Roman"/>
          <w:sz w:val="24"/>
          <w:szCs w:val="24"/>
          <w:highlight w:val="yellow"/>
        </w:rPr>
        <w:t>concentrated H</w:t>
      </w:r>
      <w:r>
        <w:rPr>
          <w:rFonts w:ascii="Times New Roman" w:eastAsia="Calibri" w:hAnsi="Times New Roman" w:cs="Times New Roman"/>
          <w:sz w:val="24"/>
          <w:szCs w:val="24"/>
          <w:highlight w:val="yellow"/>
          <w:vertAlign w:val="subscript"/>
        </w:rPr>
        <w:t>2</w:t>
      </w:r>
      <w:r>
        <w:rPr>
          <w:rFonts w:ascii="Times New Roman" w:eastAsia="Calibri" w:hAnsi="Times New Roman" w:cs="Times New Roman"/>
          <w:sz w:val="24"/>
          <w:szCs w:val="24"/>
          <w:highlight w:val="yellow"/>
        </w:rPr>
        <w:t>SO</w:t>
      </w:r>
      <w:r>
        <w:rPr>
          <w:rFonts w:ascii="Times New Roman" w:eastAsia="Calibri" w:hAnsi="Times New Roman" w:cs="Times New Roman"/>
          <w:sz w:val="24"/>
          <w:szCs w:val="24"/>
          <w:highlight w:val="yellow"/>
          <w:vertAlign w:val="subscript"/>
        </w:rPr>
        <w:t>4</w:t>
      </w:r>
      <w:r>
        <w:rPr>
          <w:rFonts w:ascii="Times New Roman" w:eastAsia="Calibri" w:hAnsi="Times New Roman" w:cs="Times New Roman"/>
          <w:sz w:val="24"/>
          <w:szCs w:val="24"/>
          <w:highlight w:val="yellow"/>
        </w:rPr>
        <w:t xml:space="preserve"> (25 mL)</w:t>
      </w:r>
      <w:r>
        <w:rPr>
          <w:rFonts w:ascii="Times New Roman" w:eastAsia="Calibri" w:hAnsi="Times New Roman" w:cs="Times New Roman"/>
          <w:sz w:val="24"/>
          <w:szCs w:val="24"/>
        </w:rPr>
        <w:t xml:space="preserve"> was added. In the fume chamber, the flask was heated until the sample solution became transparent. </w:t>
      </w:r>
      <w:r>
        <w:rPr>
          <w:rFonts w:ascii="Times New Roman" w:eastAsia="Calibri" w:hAnsi="Times New Roman" w:cs="Times New Roman"/>
          <w:sz w:val="24"/>
          <w:szCs w:val="24"/>
          <w:highlight w:val="yellow"/>
        </w:rPr>
        <w:t>Before being transferred to a 250 mL volumetric flask, the sample solution was allowed to cool to room temperature, and distilled water was used to make it up to volume.</w:t>
      </w:r>
      <w:r>
        <w:rPr>
          <w:rFonts w:ascii="Times New Roman" w:eastAsia="Calibri" w:hAnsi="Times New Roman" w:cs="Times New Roman"/>
          <w:sz w:val="24"/>
          <w:szCs w:val="24"/>
        </w:rPr>
        <w:t xml:space="preserve"> The equipment was set up and the distillation unit was cleaned.</w:t>
      </w:r>
      <w:r>
        <w:rPr>
          <w:rFonts w:ascii="Calibri" w:eastAsia="Calibri" w:hAnsi="Calibri" w:cs="Times New Roman"/>
        </w:rPr>
        <w:t xml:space="preserve"> </w:t>
      </w:r>
      <w:r>
        <w:rPr>
          <w:rFonts w:ascii="Times New Roman" w:eastAsia="Calibri" w:hAnsi="Times New Roman" w:cs="Times New Roman"/>
          <w:sz w:val="24"/>
          <w:szCs w:val="24"/>
        </w:rPr>
        <w:t xml:space="preserve">A distillate collector was filled with </w:t>
      </w:r>
      <w:r>
        <w:rPr>
          <w:rFonts w:ascii="Times New Roman" w:eastAsia="Calibri" w:hAnsi="Times New Roman" w:cs="Times New Roman"/>
          <w:sz w:val="24"/>
          <w:szCs w:val="24"/>
          <w:highlight w:val="yellow"/>
        </w:rPr>
        <w:t>5 mL of 2% boric acid solution</w:t>
      </w:r>
      <w:r>
        <w:rPr>
          <w:rFonts w:ascii="Times New Roman" w:eastAsia="Calibri" w:hAnsi="Times New Roman" w:cs="Times New Roman"/>
          <w:sz w:val="24"/>
          <w:szCs w:val="24"/>
        </w:rPr>
        <w:t xml:space="preserve"> and a few drops of methyl red indicator (100 ml conical flask). Under the condenser, a conical flask was inserted. The sample digest was then pipetted into the device in 5 mL increments and rinsed down with distilled water. The digest was given </w:t>
      </w:r>
      <w:r>
        <w:rPr>
          <w:rFonts w:ascii="Times New Roman" w:eastAsia="Calibri" w:hAnsi="Times New Roman" w:cs="Times New Roman"/>
          <w:sz w:val="24"/>
          <w:szCs w:val="24"/>
          <w:highlight w:val="yellow"/>
        </w:rPr>
        <w:t>5 mL of a 60% sodium hydroxide (NaOH) solution</w:t>
      </w:r>
      <w:r>
        <w:rPr>
          <w:rFonts w:ascii="Times New Roman" w:eastAsia="Calibri" w:hAnsi="Times New Roman" w:cs="Times New Roman"/>
          <w:sz w:val="24"/>
          <w:szCs w:val="24"/>
        </w:rPr>
        <w:t xml:space="preserve">. The sample was cooked until it produced </w:t>
      </w:r>
      <w:r>
        <w:rPr>
          <w:rFonts w:ascii="Times New Roman" w:eastAsia="Calibri" w:hAnsi="Times New Roman" w:cs="Times New Roman"/>
          <w:sz w:val="24"/>
          <w:szCs w:val="24"/>
          <w:highlight w:val="yellow"/>
        </w:rPr>
        <w:t>100 mL</w:t>
      </w:r>
      <w:r>
        <w:rPr>
          <w:rFonts w:ascii="Times New Roman" w:eastAsia="Calibri" w:hAnsi="Times New Roman" w:cs="Times New Roman"/>
          <w:sz w:val="24"/>
          <w:szCs w:val="24"/>
        </w:rPr>
        <w:t xml:space="preserve"> of distillate in the receiving flask. The receiving flask's contents were titrated with 0.049 M H</w:t>
      </w:r>
      <w:r>
        <w:rPr>
          <w:rFonts w:ascii="Times New Roman" w:eastAsia="Calibri" w:hAnsi="Times New Roman" w:cs="Times New Roman"/>
          <w:sz w:val="24"/>
          <w:szCs w:val="24"/>
          <w:vertAlign w:val="subscript"/>
        </w:rPr>
        <w:t>2</w:t>
      </w:r>
      <w:r>
        <w:rPr>
          <w:rFonts w:ascii="Times New Roman" w:eastAsia="Calibri" w:hAnsi="Times New Roman" w:cs="Times New Roman"/>
          <w:sz w:val="24"/>
          <w:szCs w:val="24"/>
        </w:rPr>
        <w:t>SO</w:t>
      </w:r>
      <w:r>
        <w:rPr>
          <w:rFonts w:ascii="Times New Roman" w:eastAsia="Calibri" w:hAnsi="Times New Roman" w:cs="Times New Roman"/>
          <w:sz w:val="24"/>
          <w:szCs w:val="24"/>
          <w:vertAlign w:val="subscript"/>
        </w:rPr>
        <w:t xml:space="preserve">4 </w:t>
      </w:r>
      <w:r>
        <w:rPr>
          <w:rFonts w:ascii="Times New Roman" w:eastAsia="Calibri" w:hAnsi="Times New Roman" w:cs="Times New Roman"/>
          <w:sz w:val="24"/>
          <w:szCs w:val="24"/>
        </w:rPr>
        <w:t xml:space="preserve">to a </w:t>
      </w:r>
      <w:r>
        <w:rPr>
          <w:rFonts w:ascii="Times New Roman" w:eastAsia="Calibri" w:hAnsi="Times New Roman" w:cs="Times New Roman"/>
          <w:sz w:val="24"/>
          <w:szCs w:val="24"/>
          <w:highlight w:val="yellow"/>
        </w:rPr>
        <w:t>pink-coloured endpoint</w:t>
      </w:r>
      <w:r>
        <w:rPr>
          <w:rFonts w:ascii="Times New Roman" w:eastAsia="Calibri" w:hAnsi="Times New Roman" w:cs="Times New Roman"/>
          <w:sz w:val="24"/>
          <w:szCs w:val="24"/>
        </w:rPr>
        <w:t>. The same method was applied to a blank made of filter paper.</w:t>
      </w:r>
    </w:p>
    <w:p w14:paraId="1E09A771" w14:textId="77777777" w:rsidR="007B3D05" w:rsidRPr="001603A6" w:rsidRDefault="007B3D05" w:rsidP="007B3D05">
      <w:pPr>
        <w:autoSpaceDE w:val="0"/>
        <w:autoSpaceDN w:val="0"/>
        <w:adjustRightInd w:val="0"/>
        <w:spacing w:after="0" w:line="360" w:lineRule="auto"/>
        <w:jc w:val="both"/>
        <w:rPr>
          <w:rFonts w:ascii="Times New Roman" w:eastAsia="Calibri" w:hAnsi="Times New Roman" w:cs="Times New Roman"/>
          <w:color w:val="000000"/>
          <w:sz w:val="24"/>
          <w:szCs w:val="24"/>
        </w:rPr>
      </w:pPr>
      <w:r w:rsidRPr="001603A6">
        <w:rPr>
          <w:rFonts w:ascii="Times New Roman" w:eastAsia="Calibri" w:hAnsi="Times New Roman" w:cs="Times New Roman"/>
          <w:color w:val="000000"/>
          <w:sz w:val="24"/>
          <w:szCs w:val="24"/>
        </w:rPr>
        <w:t>Calculation:</w:t>
      </w:r>
    </w:p>
    <w:p w14:paraId="73695624" w14:textId="77777777" w:rsidR="007B3D05" w:rsidRPr="001603A6" w:rsidRDefault="007B3D05" w:rsidP="007B3D05">
      <w:pPr>
        <w:autoSpaceDE w:val="0"/>
        <w:autoSpaceDN w:val="0"/>
        <w:adjustRightInd w:val="0"/>
        <w:spacing w:after="0" w:line="360" w:lineRule="auto"/>
        <w:jc w:val="both"/>
        <w:rPr>
          <w:rFonts w:ascii="Times New Roman" w:eastAsia="Times New Roman" w:hAnsi="Times New Roman" w:cs="Times New Roman"/>
          <w:color w:val="000000"/>
          <w:sz w:val="24"/>
          <w:szCs w:val="24"/>
          <w:vertAlign w:val="subscript"/>
        </w:rPr>
      </w:pPr>
      <w:r w:rsidRPr="001603A6">
        <w:rPr>
          <w:rFonts w:ascii="Times New Roman" w:eastAsia="Times New Roman" w:hAnsi="Times New Roman" w:cs="Times New Roman"/>
          <w:noProof/>
          <w:color w:val="000000"/>
          <w:sz w:val="24"/>
          <w:szCs w:val="24"/>
        </w:rPr>
        <mc:AlternateContent>
          <mc:Choice Requires="wps">
            <w:drawing>
              <wp:anchor distT="4294967295" distB="4294967295" distL="114300" distR="114300" simplePos="0" relativeHeight="251659264" behindDoc="0" locked="0" layoutInCell="1" allowOverlap="1" wp14:anchorId="6050A892" wp14:editId="115FCB20">
                <wp:simplePos x="0" y="0"/>
                <wp:positionH relativeFrom="column">
                  <wp:posOffset>1219200</wp:posOffset>
                </wp:positionH>
                <wp:positionV relativeFrom="paragraph">
                  <wp:posOffset>227329</wp:posOffset>
                </wp:positionV>
                <wp:extent cx="2714625" cy="0"/>
                <wp:effectExtent l="0" t="0" r="2857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B7C1FC" id="_x0000_t32" coordsize="21600,21600" o:spt="32" o:oned="t" path="m,l21600,21600e" filled="f">
                <v:path arrowok="t" fillok="f" o:connecttype="none"/>
                <o:lock v:ext="edit" shapetype="t"/>
              </v:shapetype>
              <v:shape id="Straight Arrow Connector 6" o:spid="_x0000_s1026" type="#_x0000_t32" style="position:absolute;margin-left:96pt;margin-top:17.9pt;width:213.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"/>
            </w:pict>
          </mc:Fallback>
        </mc:AlternateContent>
      </w:r>
      <w:r w:rsidRPr="001603A6">
        <w:rPr>
          <w:rFonts w:ascii="Times New Roman" w:eastAsia="Calibri" w:hAnsi="Times New Roman" w:cs="Times New Roman"/>
          <w:color w:val="000000"/>
          <w:sz w:val="24"/>
          <w:szCs w:val="24"/>
        </w:rPr>
        <w:t xml:space="preserve">Protein </w:t>
      </w:r>
      <w:proofErr w:type="gramStart"/>
      <w:r w:rsidRPr="001603A6">
        <w:rPr>
          <w:rFonts w:ascii="Times New Roman" w:eastAsia="Calibri" w:hAnsi="Times New Roman" w:cs="Times New Roman"/>
          <w:color w:val="000000"/>
          <w:sz w:val="24"/>
          <w:szCs w:val="24"/>
        </w:rPr>
        <w:t>%  =</w:t>
      </w:r>
      <w:proofErr w:type="gramEnd"/>
      <w:r w:rsidRPr="001603A6">
        <w:rPr>
          <w:rFonts w:ascii="Times New Roman" w:eastAsia="Calibri" w:hAnsi="Times New Roman" w:cs="Times New Roman"/>
          <w:color w:val="000000"/>
          <w:sz w:val="24"/>
          <w:szCs w:val="24"/>
        </w:rPr>
        <w:t xml:space="preserve">                </w:t>
      </w:r>
      <w:proofErr w:type="spellStart"/>
      <w:r w:rsidRPr="001603A6">
        <w:rPr>
          <w:rFonts w:ascii="Times New Roman" w:eastAsia="Calibri" w:hAnsi="Times New Roman" w:cs="Times New Roman"/>
          <w:color w:val="000000"/>
          <w:sz w:val="24"/>
          <w:szCs w:val="24"/>
        </w:rPr>
        <w:t>Titre</w:t>
      </w:r>
      <w:proofErr w:type="spellEnd"/>
      <w:r w:rsidRPr="001603A6">
        <w:rPr>
          <w:rFonts w:ascii="Times New Roman" w:eastAsia="Calibri" w:hAnsi="Times New Roman" w:cs="Times New Roman"/>
          <w:color w:val="000000"/>
          <w:sz w:val="24"/>
          <w:szCs w:val="24"/>
        </w:rPr>
        <w:t xml:space="preserve"> x 14.01 x DF x 0.01 x 6.25 x 100</w:t>
      </w:r>
    </w:p>
    <w:p w14:paraId="2B1A96D8" w14:textId="77777777" w:rsidR="007B3D05" w:rsidRPr="001603A6" w:rsidRDefault="007B3D05" w:rsidP="007B3D05">
      <w:pPr>
        <w:autoSpaceDE w:val="0"/>
        <w:autoSpaceDN w:val="0"/>
        <w:adjustRightInd w:val="0"/>
        <w:spacing w:after="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 xml:space="preserve">                                              Sample size    x 1000</w:t>
      </w:r>
    </w:p>
    <w:p w14:paraId="3619A85F" w14:textId="77777777" w:rsidR="007B3D05" w:rsidRPr="001603A6" w:rsidRDefault="007B3D05" w:rsidP="007B3D05">
      <w:pPr>
        <w:spacing w:after="20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14.01 = molecules weight of atomic mass of nitrogen</w:t>
      </w:r>
    </w:p>
    <w:p w14:paraId="115D1E6E" w14:textId="77777777" w:rsidR="007B3D05" w:rsidRPr="001603A6" w:rsidRDefault="007B3D05" w:rsidP="007B3D05">
      <w:pPr>
        <w:spacing w:after="200" w:line="360" w:lineRule="auto"/>
        <w:jc w:val="both"/>
        <w:rPr>
          <w:rFonts w:ascii="Times New Roman" w:eastAsia="Times New Roman" w:hAnsi="Times New Roman" w:cs="Times New Roman"/>
          <w:color w:val="000000"/>
          <w:sz w:val="24"/>
          <w:szCs w:val="24"/>
        </w:rPr>
      </w:pPr>
      <w:proofErr w:type="gramStart"/>
      <w:r w:rsidRPr="001603A6">
        <w:rPr>
          <w:rFonts w:ascii="Times New Roman" w:eastAsia="Times New Roman" w:hAnsi="Times New Roman" w:cs="Times New Roman"/>
          <w:color w:val="000000"/>
          <w:sz w:val="24"/>
          <w:szCs w:val="24"/>
        </w:rPr>
        <w:t>DF  =</w:t>
      </w:r>
      <w:proofErr w:type="gramEnd"/>
      <w:r w:rsidRPr="001603A6">
        <w:rPr>
          <w:rFonts w:ascii="Times New Roman" w:eastAsia="Times New Roman" w:hAnsi="Times New Roman" w:cs="Times New Roman"/>
          <w:color w:val="000000"/>
          <w:sz w:val="24"/>
          <w:szCs w:val="24"/>
        </w:rPr>
        <w:t xml:space="preserve">  </w:t>
      </w:r>
      <w:proofErr w:type="spellStart"/>
      <w:proofErr w:type="gramStart"/>
      <w:r w:rsidRPr="001603A6">
        <w:rPr>
          <w:rFonts w:ascii="Times New Roman" w:eastAsia="Times New Roman" w:hAnsi="Times New Roman" w:cs="Times New Roman"/>
          <w:color w:val="000000"/>
          <w:sz w:val="24"/>
          <w:szCs w:val="24"/>
        </w:rPr>
        <w:t>Dillution</w:t>
      </w:r>
      <w:proofErr w:type="spellEnd"/>
      <w:r w:rsidRPr="001603A6">
        <w:rPr>
          <w:rFonts w:ascii="Times New Roman" w:eastAsia="Times New Roman" w:hAnsi="Times New Roman" w:cs="Times New Roman"/>
          <w:color w:val="000000"/>
          <w:sz w:val="24"/>
          <w:szCs w:val="24"/>
        </w:rPr>
        <w:t xml:space="preserve">  Factor</w:t>
      </w:r>
      <w:proofErr w:type="gramEnd"/>
      <w:r w:rsidRPr="001603A6">
        <w:rPr>
          <w:rFonts w:ascii="Times New Roman" w:eastAsia="Times New Roman" w:hAnsi="Times New Roman" w:cs="Times New Roman"/>
          <w:color w:val="000000"/>
          <w:sz w:val="24"/>
          <w:szCs w:val="24"/>
        </w:rPr>
        <w:t xml:space="preserve"> D (120)</w:t>
      </w:r>
    </w:p>
    <w:p w14:paraId="3C65143D" w14:textId="77777777" w:rsidR="007B3D05" w:rsidRPr="001603A6" w:rsidRDefault="007B3D05" w:rsidP="007B3D05">
      <w:pPr>
        <w:numPr>
          <w:ilvl w:val="1"/>
          <w:numId w:val="4"/>
        </w:numPr>
        <w:spacing w:after="20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  molarity of acid used for titration</w:t>
      </w:r>
    </w:p>
    <w:p w14:paraId="0CC63D6F" w14:textId="77777777" w:rsidR="007B3D05" w:rsidRPr="001603A6" w:rsidRDefault="007B3D05" w:rsidP="007B3D05">
      <w:pPr>
        <w:spacing w:after="200" w:line="360" w:lineRule="auto"/>
        <w:jc w:val="both"/>
        <w:rPr>
          <w:rFonts w:ascii="Times New Roman" w:eastAsia="Times New Roman" w:hAnsi="Times New Roman" w:cs="Times New Roman"/>
          <w:color w:val="000000"/>
          <w:sz w:val="24"/>
          <w:szCs w:val="24"/>
        </w:rPr>
      </w:pPr>
      <w:r w:rsidRPr="001603A6">
        <w:rPr>
          <w:rFonts w:ascii="Times New Roman" w:eastAsia="Times New Roman" w:hAnsi="Times New Roman" w:cs="Times New Roman"/>
          <w:color w:val="000000"/>
          <w:sz w:val="24"/>
          <w:szCs w:val="24"/>
        </w:rPr>
        <w:t xml:space="preserve">1000 = milligram equivalent </w:t>
      </w:r>
    </w:p>
    <w:p w14:paraId="2C2F7390" w14:textId="77777777" w:rsidR="007B3D05" w:rsidRPr="003A725D" w:rsidRDefault="007B3D05" w:rsidP="007B3D05">
      <w:pPr>
        <w:spacing w:line="276" w:lineRule="auto"/>
        <w:jc w:val="both"/>
        <w:rPr>
          <w:rFonts w:ascii="Times New Roman" w:hAnsi="Times New Roman" w:cs="Times New Roman"/>
          <w:b/>
          <w:sz w:val="24"/>
          <w:szCs w:val="24"/>
        </w:rPr>
      </w:pPr>
      <w:r w:rsidRPr="003A725D">
        <w:rPr>
          <w:rFonts w:ascii="Times New Roman" w:hAnsi="Times New Roman" w:cs="Times New Roman"/>
          <w:b/>
          <w:sz w:val="24"/>
          <w:szCs w:val="24"/>
        </w:rPr>
        <w:t>Determination of crude fat content</w:t>
      </w:r>
    </w:p>
    <w:p w14:paraId="3371238B" w14:textId="77777777" w:rsidR="007B3D05" w:rsidRPr="003A725D" w:rsidRDefault="007B3D05" w:rsidP="007B3D0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method described by Latimer (2023) for determining crude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content was followed. Petroleum ether was used to extract five grams of the sample. Following that, the sample was sequentially digested with 1.25 percent H2SO4 and 1.25 percent NaOH before being filtered using the California Buchner System. “The residue was dried for 1 hour at 105±2 oC, cooled in a </w:t>
      </w:r>
      <w:r>
        <w:rPr>
          <w:rFonts w:ascii="Times New Roman" w:hAnsi="Times New Roman" w:cs="Times New Roman"/>
          <w:sz w:val="24"/>
          <w:szCs w:val="24"/>
          <w:highlight w:val="yellow"/>
        </w:rPr>
        <w:t>desiccator</w:t>
      </w:r>
      <w:r>
        <w:rPr>
          <w:rFonts w:ascii="Times New Roman" w:hAnsi="Times New Roman" w:cs="Times New Roman"/>
          <w:sz w:val="24"/>
          <w:szCs w:val="24"/>
        </w:rPr>
        <w:t>, and weighed”. The residue was dried, chilled, and weighed before being placed in a muffle furnace and lit at 600 2oC for 30 minutes before being cooled and re-weighed.</w:t>
      </w:r>
    </w:p>
    <w:p w14:paraId="166D693C"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 Crude fiber    = W3 – W1   x100</w:t>
      </w:r>
    </w:p>
    <w:p w14:paraId="7E6ADF30"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ab/>
      </w:r>
      <w:r w:rsidRPr="003A725D">
        <w:rPr>
          <w:rFonts w:ascii="Times New Roman" w:hAnsi="Times New Roman" w:cs="Times New Roman"/>
          <w:sz w:val="24"/>
          <w:szCs w:val="24"/>
        </w:rPr>
        <w:tab/>
      </w:r>
      <w:r w:rsidRPr="003A725D">
        <w:rPr>
          <w:rFonts w:ascii="Times New Roman" w:hAnsi="Times New Roman" w:cs="Times New Roman"/>
          <w:sz w:val="24"/>
          <w:szCs w:val="24"/>
        </w:rPr>
        <w:tab/>
        <w:t>W2</w:t>
      </w:r>
      <w:r w:rsidRPr="003A725D">
        <w:rPr>
          <w:rFonts w:ascii="Times New Roman" w:hAnsi="Times New Roman" w:cs="Times New Roman"/>
          <w:sz w:val="24"/>
          <w:szCs w:val="24"/>
        </w:rPr>
        <w:tab/>
      </w:r>
    </w:p>
    <w:p w14:paraId="65011DB6" w14:textId="77777777" w:rsidR="007B3D05" w:rsidRPr="001603A6"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 xml:space="preserve">W1= Weight of crucible, W2=Weight of sample </w:t>
      </w:r>
      <w:proofErr w:type="gramStart"/>
      <w:r w:rsidRPr="003A725D">
        <w:rPr>
          <w:rFonts w:ascii="Times New Roman" w:hAnsi="Times New Roman" w:cs="Times New Roman"/>
          <w:sz w:val="24"/>
          <w:szCs w:val="24"/>
        </w:rPr>
        <w:t>use ,</w:t>
      </w:r>
      <w:proofErr w:type="gramEnd"/>
      <w:r w:rsidRPr="003A725D">
        <w:rPr>
          <w:rFonts w:ascii="Times New Roman" w:hAnsi="Times New Roman" w:cs="Times New Roman"/>
          <w:sz w:val="24"/>
          <w:szCs w:val="24"/>
        </w:rPr>
        <w:t xml:space="preserve"> W3= Weight of crucible and fiber</w:t>
      </w:r>
    </w:p>
    <w:p w14:paraId="76DDB0E5" w14:textId="77777777" w:rsidR="007B3D05" w:rsidRPr="003A725D" w:rsidRDefault="007B3D05" w:rsidP="007B3D05">
      <w:pPr>
        <w:spacing w:line="276" w:lineRule="auto"/>
        <w:jc w:val="both"/>
        <w:rPr>
          <w:rFonts w:ascii="Times New Roman" w:hAnsi="Times New Roman" w:cs="Times New Roman"/>
          <w:b/>
          <w:sz w:val="24"/>
          <w:szCs w:val="24"/>
        </w:rPr>
      </w:pPr>
      <w:r w:rsidRPr="003A725D">
        <w:rPr>
          <w:rFonts w:ascii="Times New Roman" w:hAnsi="Times New Roman" w:cs="Times New Roman"/>
          <w:b/>
          <w:sz w:val="24"/>
          <w:szCs w:val="24"/>
        </w:rPr>
        <w:t>Determination of ash content</w:t>
      </w:r>
    </w:p>
    <w:p w14:paraId="31D842F8" w14:textId="77777777" w:rsidR="007B3D05" w:rsidRPr="003A725D" w:rsidRDefault="007B3D05" w:rsidP="007B3D05">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method described by Latimer (2023) was used to determine the amount of ash present. Five grams (5 g) of sample was weighed in triplicate into a previously weighed ashing dish. </w:t>
      </w:r>
      <w:r>
        <w:rPr>
          <w:rFonts w:ascii="Times New Roman" w:hAnsi="Times New Roman" w:cs="Times New Roman"/>
          <w:sz w:val="24"/>
          <w:szCs w:val="24"/>
          <w:highlight w:val="yellow"/>
        </w:rPr>
        <w:t>The dish was placed in the furnace and ignited for 5 hours at 550±2 oC, then cooled and weighed to a constant weight.</w:t>
      </w:r>
      <w:r>
        <w:rPr>
          <w:rFonts w:ascii="Times New Roman" w:hAnsi="Times New Roman" w:cs="Times New Roman"/>
          <w:sz w:val="24"/>
          <w:szCs w:val="24"/>
        </w:rPr>
        <w:t xml:space="preserve"> The amount of ash produced was calculated using the following formula:</w:t>
      </w:r>
    </w:p>
    <w:p w14:paraId="508DEEA6" w14:textId="77777777" w:rsidR="007B3D05" w:rsidRPr="003A725D"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 Ash content = weight of ash x 100</w:t>
      </w:r>
    </w:p>
    <w:p w14:paraId="700925E0"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 xml:space="preserve">                             Weight of Sample </w:t>
      </w:r>
    </w:p>
    <w:p w14:paraId="29FEFED5"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     W3 – W1</w:t>
      </w:r>
    </w:p>
    <w:p w14:paraId="3682FFFB" w14:textId="77777777" w:rsidR="007B3D05" w:rsidRPr="003A725D" w:rsidRDefault="007B3D05" w:rsidP="007B3D05">
      <w:pPr>
        <w:spacing w:after="0" w:line="276" w:lineRule="auto"/>
        <w:jc w:val="both"/>
        <w:rPr>
          <w:rFonts w:ascii="Times New Roman" w:hAnsi="Times New Roman" w:cs="Times New Roman"/>
          <w:sz w:val="24"/>
          <w:szCs w:val="24"/>
        </w:rPr>
      </w:pPr>
      <w:r w:rsidRPr="003A725D">
        <w:rPr>
          <w:rFonts w:ascii="Times New Roman" w:hAnsi="Times New Roman" w:cs="Times New Roman"/>
          <w:sz w:val="24"/>
          <w:szCs w:val="24"/>
        </w:rPr>
        <w:tab/>
      </w:r>
      <w:r w:rsidRPr="003A725D">
        <w:rPr>
          <w:rFonts w:ascii="Times New Roman" w:hAnsi="Times New Roman" w:cs="Times New Roman"/>
          <w:sz w:val="24"/>
          <w:szCs w:val="24"/>
        </w:rPr>
        <w:tab/>
        <w:t xml:space="preserve">    W2 – W1</w:t>
      </w:r>
    </w:p>
    <w:p w14:paraId="5AA3086A" w14:textId="77777777" w:rsidR="007B3D05" w:rsidRPr="003A725D" w:rsidRDefault="007B3D05" w:rsidP="007B3D05">
      <w:pPr>
        <w:spacing w:line="276" w:lineRule="auto"/>
        <w:jc w:val="both"/>
        <w:rPr>
          <w:rFonts w:ascii="Times New Roman" w:hAnsi="Times New Roman" w:cs="Times New Roman"/>
          <w:sz w:val="24"/>
          <w:szCs w:val="24"/>
        </w:rPr>
      </w:pPr>
      <w:r w:rsidRPr="003A725D">
        <w:rPr>
          <w:rFonts w:ascii="Times New Roman" w:hAnsi="Times New Roman" w:cs="Times New Roman"/>
          <w:sz w:val="24"/>
          <w:szCs w:val="24"/>
        </w:rPr>
        <w:t>Where W1= Weight of crucible, W2= Weight of crucible +</w:t>
      </w:r>
      <w:proofErr w:type="gramStart"/>
      <w:r w:rsidRPr="003A725D">
        <w:rPr>
          <w:rFonts w:ascii="Times New Roman" w:hAnsi="Times New Roman" w:cs="Times New Roman"/>
          <w:sz w:val="24"/>
          <w:szCs w:val="24"/>
        </w:rPr>
        <w:t>sample ,</w:t>
      </w:r>
      <w:proofErr w:type="gramEnd"/>
      <w:r w:rsidRPr="003A725D">
        <w:rPr>
          <w:rFonts w:ascii="Times New Roman" w:hAnsi="Times New Roman" w:cs="Times New Roman"/>
          <w:sz w:val="24"/>
          <w:szCs w:val="24"/>
        </w:rPr>
        <w:t xml:space="preserve"> W3= Weight of crucible + ash</w:t>
      </w:r>
    </w:p>
    <w:p w14:paraId="3B86A83E" w14:textId="77777777" w:rsidR="007B3D05" w:rsidRPr="003A725D" w:rsidRDefault="007B3D05" w:rsidP="007B3D05">
      <w:pPr>
        <w:spacing w:line="276" w:lineRule="auto"/>
        <w:jc w:val="both"/>
        <w:rPr>
          <w:rFonts w:ascii="Times New Roman" w:hAnsi="Times New Roman" w:cs="Times New Roman"/>
          <w:b/>
          <w:sz w:val="24"/>
          <w:szCs w:val="24"/>
        </w:rPr>
      </w:pPr>
      <w:r w:rsidRPr="003A725D">
        <w:rPr>
          <w:rFonts w:ascii="Times New Roman" w:hAnsi="Times New Roman" w:cs="Times New Roman"/>
          <w:b/>
          <w:sz w:val="24"/>
          <w:szCs w:val="24"/>
        </w:rPr>
        <w:t>Determination of carbohydrate content</w:t>
      </w:r>
    </w:p>
    <w:p w14:paraId="37F13548" w14:textId="77777777" w:rsidR="007B3D05" w:rsidRPr="003A725D" w:rsidRDefault="007B3D05" w:rsidP="007B3D05">
      <w:pPr>
        <w:spacing w:line="276" w:lineRule="auto"/>
        <w:jc w:val="both"/>
        <w:rPr>
          <w:rFonts w:ascii="Times New Roman" w:hAnsi="Times New Roman" w:cs="Times New Roman"/>
          <w:sz w:val="24"/>
          <w:szCs w:val="24"/>
        </w:rPr>
      </w:pPr>
      <w:r>
        <w:rPr>
          <w:rFonts w:ascii="Times New Roman" w:hAnsi="Times New Roman" w:cs="Times New Roman"/>
          <w:sz w:val="24"/>
          <w:szCs w:val="24"/>
        </w:rPr>
        <w:t>C</w:t>
      </w:r>
      <w:r w:rsidRPr="003A725D">
        <w:rPr>
          <w:rFonts w:ascii="Times New Roman" w:hAnsi="Times New Roman" w:cs="Times New Roman"/>
          <w:sz w:val="24"/>
          <w:szCs w:val="24"/>
        </w:rPr>
        <w:t xml:space="preserve">arbohydrate </w:t>
      </w:r>
      <w:r>
        <w:rPr>
          <w:rFonts w:ascii="Times New Roman" w:hAnsi="Times New Roman" w:cs="Times New Roman"/>
          <w:sz w:val="24"/>
          <w:szCs w:val="24"/>
        </w:rPr>
        <w:t xml:space="preserve">was calculated </w:t>
      </w:r>
      <w:r w:rsidRPr="003A725D">
        <w:rPr>
          <w:rFonts w:ascii="Times New Roman" w:hAnsi="Times New Roman" w:cs="Times New Roman"/>
          <w:sz w:val="24"/>
          <w:szCs w:val="24"/>
        </w:rPr>
        <w:t>by difference as: 100 (% Moisture + % Crude protein + % Crude fiber + % Ash + % Crude fat).</w:t>
      </w:r>
    </w:p>
    <w:p w14:paraId="3B95CE11" w14:textId="77777777" w:rsidR="007B3D05" w:rsidRPr="00D97E2A" w:rsidRDefault="007B3D05" w:rsidP="00FC5D90">
      <w:pPr>
        <w:spacing w:line="276" w:lineRule="auto"/>
        <w:jc w:val="both"/>
        <w:rPr>
          <w:rFonts w:ascii="Times New Roman" w:hAnsi="Times New Roman" w:cs="Times New Roman"/>
          <w:sz w:val="24"/>
          <w:szCs w:val="24"/>
        </w:rPr>
      </w:pPr>
    </w:p>
    <w:p w14:paraId="7D0F43E1"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phytochemicals and physicochemical properties</w:t>
      </w:r>
    </w:p>
    <w:p w14:paraId="4DAC098C"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Alkaloids</w:t>
      </w:r>
    </w:p>
    <w:p w14:paraId="5BF70E9C"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Cs/>
          <w:sz w:val="24"/>
          <w:szCs w:val="24"/>
          <w:highlight w:val="yellow"/>
        </w:rPr>
        <w:t>The alkaloid precipitation gravimetric method, as outlined by Ezeonu and Ejikeme (2016), was used to estimate the alkaloid content of the bread samples.</w:t>
      </w:r>
      <w:r>
        <w:rPr>
          <w:rFonts w:ascii="Times New Roman" w:eastAsia="Times New Roman" w:hAnsi="Times New Roman" w:cs="Times New Roman"/>
          <w:sz w:val="24"/>
          <w:szCs w:val="24"/>
        </w:rPr>
        <w:t xml:space="preserve"> </w:t>
      </w:r>
      <w:r>
        <w:rPr>
          <w:rFonts w:ascii="Times New Roman" w:hAnsi="Times New Roman" w:cs="Times New Roman"/>
          <w:bCs/>
          <w:sz w:val="24"/>
          <w:szCs w:val="24"/>
        </w:rPr>
        <w:t xml:space="preserve">A 200 mL solution of 10% acetic acid in ethanol was used to extract approximately 5 g of </w:t>
      </w:r>
      <w:r>
        <w:rPr>
          <w:rFonts w:ascii="Times New Roman" w:hAnsi="Times New Roman" w:cs="Times New Roman"/>
          <w:bCs/>
          <w:sz w:val="24"/>
          <w:szCs w:val="24"/>
          <w:highlight w:val="yellow"/>
        </w:rPr>
        <w:t>finely ground bread sample</w:t>
      </w:r>
      <w:r>
        <w:rPr>
          <w:rFonts w:ascii="Times New Roman" w:hAnsi="Times New Roman" w:cs="Times New Roman"/>
          <w:bCs/>
          <w:sz w:val="24"/>
          <w:szCs w:val="24"/>
        </w:rPr>
        <w:t xml:space="preserve"> from a 250 mL beaker. The mixture was covered and allowed to stand for four hours with periodic shaking to ensure complete extraction. The extract was filtered through Whatman No. 1 filter paper and concentrated to a quarter of its original volume in a water bath maintained at 55°C. Dropwise additions of concentrated ammonium hydroxide solution were made until full precipitation was achieved. After allowing the precipitate to settle, it was filtered using filter paper that had been previously weighed. After being cleaned with a diluted ammonium hydroxide solution, the residue was dried to constant weight at 60°C in an oven. </w:t>
      </w:r>
      <w:r>
        <w:rPr>
          <w:rFonts w:ascii="Times New Roman" w:hAnsi="Times New Roman" w:cs="Times New Roman"/>
          <w:bCs/>
          <w:sz w:val="24"/>
          <w:szCs w:val="24"/>
          <w:highlight w:val="yellow"/>
        </w:rPr>
        <w:t>The alkaloid content was expressed as a percentage of the sample weight.</w:t>
      </w:r>
      <w:r>
        <w:rPr>
          <w:rFonts w:ascii="Times New Roman" w:hAnsi="Times New Roman" w:cs="Times New Roman"/>
          <w:bCs/>
          <w:sz w:val="24"/>
          <w:szCs w:val="24"/>
        </w:rPr>
        <w:t xml:space="preserve"> </w:t>
      </w:r>
    </w:p>
    <w:p w14:paraId="2FF84CD7"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The alkaloid content was calculated as:</w:t>
      </w:r>
    </w:p>
    <w:p w14:paraId="63A8A999"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Alkaloid (%) =Weight of alkaloid precipitate        ×100</w:t>
      </w:r>
    </w:p>
    <w:p w14:paraId="587F3616"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                                Weight of sample                        </w:t>
      </w:r>
    </w:p>
    <w:p w14:paraId="234ACC3A"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Determination of Tannins</w:t>
      </w:r>
    </w:p>
    <w:p w14:paraId="07898592"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The Folin–Ciocalteu spectrophotometric method was used to measure the tannin content of the </w:t>
      </w:r>
      <w:r>
        <w:rPr>
          <w:rFonts w:ascii="Times New Roman" w:hAnsi="Times New Roman" w:cs="Times New Roman"/>
          <w:bCs/>
          <w:sz w:val="24"/>
          <w:szCs w:val="24"/>
          <w:highlight w:val="yellow"/>
        </w:rPr>
        <w:t>bread samples</w:t>
      </w:r>
      <w:r>
        <w:rPr>
          <w:rFonts w:ascii="Times New Roman" w:hAnsi="Times New Roman" w:cs="Times New Roman"/>
          <w:bCs/>
          <w:sz w:val="24"/>
          <w:szCs w:val="24"/>
        </w:rPr>
        <w:t xml:space="preserve">. 50 mL of distilled water was added to a conical flask that held about 0.5 g of the </w:t>
      </w:r>
      <w:r>
        <w:rPr>
          <w:rFonts w:ascii="Times New Roman" w:hAnsi="Times New Roman" w:cs="Times New Roman"/>
          <w:bCs/>
          <w:sz w:val="24"/>
          <w:szCs w:val="24"/>
          <w:highlight w:val="yellow"/>
        </w:rPr>
        <w:t>finely ground bread sample</w:t>
      </w:r>
      <w:r>
        <w:rPr>
          <w:rFonts w:ascii="Times New Roman" w:hAnsi="Times New Roman" w:cs="Times New Roman"/>
          <w:bCs/>
          <w:sz w:val="24"/>
          <w:szCs w:val="24"/>
        </w:rPr>
        <w:t xml:space="preserve">. The flask was then continuously shaken for an hour. The mixture was filtered using Whatman No. 1 filter </w:t>
      </w:r>
      <w:r>
        <w:rPr>
          <w:rFonts w:ascii="Times New Roman" w:hAnsi="Times New Roman" w:cs="Times New Roman"/>
          <w:bCs/>
          <w:sz w:val="24"/>
          <w:szCs w:val="24"/>
          <w:highlight w:val="yellow"/>
        </w:rPr>
        <w:t>paper. Next</w:t>
      </w:r>
      <w:r>
        <w:rPr>
          <w:rFonts w:ascii="Times New Roman" w:hAnsi="Times New Roman" w:cs="Times New Roman"/>
          <w:bCs/>
          <w:sz w:val="24"/>
          <w:szCs w:val="24"/>
        </w:rPr>
        <w:t xml:space="preserve">, 5 mL of the filtrate, 2 mL of Folin-Ciocalteu </w:t>
      </w:r>
      <w:r>
        <w:rPr>
          <w:rFonts w:ascii="Times New Roman" w:hAnsi="Times New Roman" w:cs="Times New Roman"/>
          <w:bCs/>
          <w:sz w:val="24"/>
          <w:szCs w:val="24"/>
        </w:rPr>
        <w:lastRenderedPageBreak/>
        <w:t xml:space="preserve">reagent, and 2.5 mL of sodium carbonate solution were added to a 50 mL volumetric flask. The mixture was diluted to volume with distilled water and </w:t>
      </w:r>
      <w:r>
        <w:rPr>
          <w:rFonts w:ascii="Times New Roman" w:hAnsi="Times New Roman" w:cs="Times New Roman"/>
          <w:bCs/>
          <w:sz w:val="24"/>
          <w:szCs w:val="24"/>
          <w:highlight w:val="yellow"/>
        </w:rPr>
        <w:t>allowed to stand at room temperature for forty minutes to develop colour</w:t>
      </w:r>
      <w:r>
        <w:rPr>
          <w:rFonts w:ascii="Times New Roman" w:hAnsi="Times New Roman" w:cs="Times New Roman"/>
          <w:bCs/>
          <w:sz w:val="24"/>
          <w:szCs w:val="24"/>
        </w:rPr>
        <w:t xml:space="preserve">. The absorbance at 760 nm was measured using a UV-visible spectrophotometer. Tannic acid was used to produce the standard calibration curve, and the results were expressed as mg of tannic acid equivalent (TAE) per 100 g of </w:t>
      </w:r>
      <w:r>
        <w:rPr>
          <w:rFonts w:ascii="Times New Roman" w:hAnsi="Times New Roman" w:cs="Times New Roman"/>
          <w:bCs/>
          <w:sz w:val="24"/>
          <w:szCs w:val="24"/>
          <w:highlight w:val="yellow"/>
        </w:rPr>
        <w:t>material (Ohizua et al., 2017).</w:t>
      </w:r>
      <w:r>
        <w:rPr>
          <w:rFonts w:ascii="Times New Roman" w:hAnsi="Times New Roman" w:cs="Times New Roman"/>
          <w:bCs/>
          <w:sz w:val="24"/>
          <w:szCs w:val="24"/>
        </w:rPr>
        <w:t xml:space="preserve"> </w:t>
      </w:r>
    </w:p>
    <w:p w14:paraId="41D5E3DE"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Flavonoid Determination</w:t>
      </w:r>
    </w:p>
    <w:p w14:paraId="45938D78"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sz w:val="24"/>
          <w:szCs w:val="24"/>
          <w:highlight w:val="yellow"/>
        </w:rPr>
        <w:t>aluminium chloride</w:t>
      </w:r>
      <w:r>
        <w:rPr>
          <w:rFonts w:ascii="Times New Roman" w:hAnsi="Times New Roman" w:cs="Times New Roman"/>
          <w:bCs/>
          <w:sz w:val="24"/>
          <w:szCs w:val="24"/>
        </w:rPr>
        <w:t xml:space="preserve"> colorimetric test, a recently validated technique for flavonoid quantification in food and plant materials, was used to evaluate the flavonoid concentration (Shraim et al., 2021). 50 mL of 80% methanol was used to extract about 5 g of powdered </w:t>
      </w:r>
      <w:r>
        <w:rPr>
          <w:rFonts w:ascii="Times New Roman" w:hAnsi="Times New Roman" w:cs="Times New Roman"/>
          <w:bCs/>
          <w:sz w:val="24"/>
          <w:szCs w:val="24"/>
          <w:highlight w:val="yellow"/>
        </w:rPr>
        <w:t>bread sample</w:t>
      </w:r>
      <w:r>
        <w:rPr>
          <w:rFonts w:ascii="Times New Roman" w:hAnsi="Times New Roman" w:cs="Times New Roman"/>
          <w:bCs/>
          <w:sz w:val="24"/>
          <w:szCs w:val="24"/>
        </w:rPr>
        <w:t xml:space="preserve">, which was then filtered after two hours at room temperature. </w:t>
      </w:r>
      <w:r>
        <w:rPr>
          <w:rFonts w:ascii="Times New Roman" w:hAnsi="Times New Roman" w:cs="Times New Roman"/>
          <w:bCs/>
          <w:sz w:val="24"/>
          <w:szCs w:val="24"/>
          <w:highlight w:val="yellow"/>
        </w:rPr>
        <w:t>For colour development</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5 mL of the filtrate and 5 mL of a 2% aluminium chloride solution</w:t>
      </w:r>
      <w:r>
        <w:rPr>
          <w:rFonts w:ascii="Times New Roman" w:hAnsi="Times New Roman" w:cs="Times New Roman"/>
          <w:bCs/>
          <w:sz w:val="24"/>
          <w:szCs w:val="24"/>
        </w:rPr>
        <w:t xml:space="preserve"> were </w:t>
      </w:r>
      <w:r>
        <w:rPr>
          <w:rFonts w:ascii="Times New Roman" w:hAnsi="Times New Roman" w:cs="Times New Roman"/>
          <w:bCs/>
          <w:sz w:val="24"/>
          <w:szCs w:val="24"/>
          <w:highlight w:val="yellow"/>
        </w:rPr>
        <w:t>combined and allowed to stand at room temperature.</w:t>
      </w:r>
      <w:r>
        <w:t xml:space="preserve"> </w:t>
      </w:r>
      <w:r>
        <w:rPr>
          <w:rFonts w:ascii="Times New Roman" w:hAnsi="Times New Roman" w:cs="Times New Roman"/>
          <w:bCs/>
          <w:sz w:val="24"/>
          <w:szCs w:val="24"/>
        </w:rPr>
        <w:t xml:space="preserve">A UV-visible spectrophotometer was used to measure the absorbance of the resultant solution at 415 nm. Flavonoid content was measured in milligrams of quercetin equivalent (QE) per </w:t>
      </w:r>
      <w:r>
        <w:rPr>
          <w:rFonts w:ascii="Times New Roman" w:hAnsi="Times New Roman" w:cs="Times New Roman"/>
          <w:bCs/>
          <w:sz w:val="24"/>
          <w:szCs w:val="24"/>
          <w:highlight w:val="yellow"/>
        </w:rPr>
        <w:t>100 g of sample</w:t>
      </w:r>
      <w:r>
        <w:rPr>
          <w:rFonts w:ascii="Times New Roman" w:hAnsi="Times New Roman" w:cs="Times New Roman"/>
          <w:bCs/>
          <w:sz w:val="24"/>
          <w:szCs w:val="24"/>
        </w:rPr>
        <w:t xml:space="preserve"> using a quercetin standard solution. </w:t>
      </w:r>
    </w:p>
    <w:p w14:paraId="48A71BEB" w14:textId="77777777" w:rsidR="00FC5D90" w:rsidRPr="00D97E2A" w:rsidRDefault="00FC5D90" w:rsidP="00FC5D90">
      <w:pPr>
        <w:spacing w:line="276" w:lineRule="auto"/>
        <w:jc w:val="both"/>
        <w:rPr>
          <w:rFonts w:ascii="Times New Roman" w:hAnsi="Times New Roman" w:cs="Times New Roman"/>
          <w:b/>
          <w:bCs/>
          <w:sz w:val="24"/>
          <w:szCs w:val="24"/>
        </w:rPr>
      </w:pPr>
      <w:r w:rsidRPr="00D97E2A">
        <w:rPr>
          <w:rFonts w:ascii="Times New Roman" w:hAnsi="Times New Roman" w:cs="Times New Roman"/>
          <w:b/>
          <w:bCs/>
          <w:sz w:val="24"/>
          <w:szCs w:val="24"/>
        </w:rPr>
        <w:t>Physical Properties Determination</w:t>
      </w:r>
    </w:p>
    <w:p w14:paraId="4DE6F2B8" w14:textId="77777777" w:rsidR="00FC5D90" w:rsidRPr="00D97E2A" w:rsidRDefault="00FC5D90" w:rsidP="00FC5D90">
      <w:pPr>
        <w:spacing w:line="276" w:lineRule="auto"/>
        <w:jc w:val="both"/>
        <w:rPr>
          <w:rFonts w:ascii="Times New Roman" w:hAnsi="Times New Roman" w:cs="Times New Roman"/>
          <w:bCs/>
          <w:sz w:val="24"/>
          <w:szCs w:val="24"/>
        </w:rPr>
      </w:pPr>
      <w:r w:rsidRPr="00D97E2A">
        <w:rPr>
          <w:rFonts w:ascii="Times New Roman" w:hAnsi="Times New Roman" w:cs="Times New Roman"/>
          <w:bCs/>
          <w:sz w:val="24"/>
          <w:szCs w:val="24"/>
        </w:rPr>
        <w:t xml:space="preserve">The methods described by </w:t>
      </w:r>
      <w:proofErr w:type="spellStart"/>
      <w:r w:rsidRPr="00D97E2A">
        <w:rPr>
          <w:rFonts w:ascii="Times New Roman" w:hAnsi="Times New Roman" w:cs="Times New Roman"/>
          <w:bCs/>
          <w:sz w:val="24"/>
          <w:szCs w:val="24"/>
        </w:rPr>
        <w:t>Emojorho</w:t>
      </w:r>
      <w:proofErr w:type="spellEnd"/>
      <w:r w:rsidRPr="00D97E2A">
        <w:rPr>
          <w:rFonts w:ascii="Times New Roman" w:hAnsi="Times New Roman" w:cs="Times New Roman"/>
          <w:bCs/>
          <w:sz w:val="24"/>
          <w:szCs w:val="24"/>
        </w:rPr>
        <w:t xml:space="preserve"> et al. (2023) were used to determine the loaf weight and loaf volume.</w:t>
      </w:r>
    </w:p>
    <w:p w14:paraId="2FFA4959" w14:textId="77777777" w:rsidR="00FC5D90" w:rsidRPr="00D97E2A" w:rsidRDefault="00FC5D90" w:rsidP="00FC5D90">
      <w:pPr>
        <w:spacing w:line="276" w:lineRule="auto"/>
        <w:jc w:val="both"/>
        <w:rPr>
          <w:rFonts w:ascii="Times New Roman" w:hAnsi="Times New Roman" w:cs="Times New Roman"/>
          <w:bCs/>
          <w:sz w:val="24"/>
          <w:szCs w:val="24"/>
        </w:rPr>
      </w:pPr>
      <w:r>
        <w:rPr>
          <w:rFonts w:ascii="Times New Roman" w:hAnsi="Times New Roman" w:cs="Times New Roman"/>
          <w:b/>
          <w:bCs/>
          <w:sz w:val="24"/>
          <w:szCs w:val="24"/>
        </w:rPr>
        <w:t>3.7 Statistical Analysis:</w:t>
      </w:r>
      <w:r>
        <w:rPr>
          <w:rFonts w:ascii="Times New Roman" w:hAnsi="Times New Roman" w:cs="Times New Roman"/>
          <w:bCs/>
          <w:sz w:val="24"/>
          <w:szCs w:val="24"/>
          <w:highlight w:val="yellow"/>
        </w:rPr>
        <w:t xml:space="preserve"> The experiment was conducted using a completely randomised design. The data were analysed using analysis of variance (ANOVA). The least significant difference (LSD) test was used to compare means that differed significantly. Statistical significance was accepted at p &lt; 0.05.</w:t>
      </w:r>
    </w:p>
    <w:p w14:paraId="2FDCA044" w14:textId="77777777" w:rsidR="00030DB9" w:rsidRPr="00D97E2A" w:rsidRDefault="00030DB9">
      <w:pPr>
        <w:rPr>
          <w:rFonts w:ascii="Times New Roman" w:hAnsi="Times New Roman" w:cs="Times New Roman"/>
          <w:sz w:val="24"/>
          <w:szCs w:val="24"/>
        </w:rPr>
      </w:pPr>
    </w:p>
    <w:p w14:paraId="3DFD2EBD" w14:textId="77777777" w:rsidR="00216D1D" w:rsidRPr="00D97E2A" w:rsidRDefault="00216D1D" w:rsidP="00216D1D">
      <w:pPr>
        <w:rPr>
          <w:rFonts w:ascii="Times New Roman" w:hAnsi="Times New Roman" w:cs="Times New Roman"/>
          <w:sz w:val="24"/>
          <w:szCs w:val="24"/>
        </w:rPr>
      </w:pPr>
    </w:p>
    <w:p w14:paraId="34F6E0ED" w14:textId="77777777" w:rsidR="0092793D" w:rsidRPr="00D97E2A" w:rsidRDefault="0092793D" w:rsidP="00216D1D">
      <w:pPr>
        <w:rPr>
          <w:rFonts w:ascii="Times New Roman" w:hAnsi="Times New Roman" w:cs="Times New Roman"/>
          <w:sz w:val="24"/>
          <w:szCs w:val="24"/>
        </w:rPr>
      </w:pPr>
      <w:r>
        <w:rPr>
          <w:rFonts w:ascii="Times New Roman" w:hAnsi="Times New Roman" w:cs="Times New Roman"/>
          <w:sz w:val="24"/>
          <w:szCs w:val="24"/>
          <w:highlight w:val="yellow"/>
        </w:rPr>
        <w:t xml:space="preserve">Results and Discussion </w:t>
      </w:r>
    </w:p>
    <w:p w14:paraId="7E1FBCE2"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3.1 Proximate composition of bread produced from blends of wheat, pigeon pea and millet flour</w:t>
      </w:r>
    </w:p>
    <w:p w14:paraId="229E33AC"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Table 1: Proximate composition of bread produced from blends of wheat, pigeon pea and millet flour (%)</w:t>
      </w:r>
    </w:p>
    <w:p w14:paraId="2A3113D8" w14:textId="77777777" w:rsidR="00216D1D" w:rsidRPr="00D97E2A" w:rsidRDefault="00A640F8" w:rsidP="00A640F8">
      <w:pPr>
        <w:rPr>
          <w:rFonts w:ascii="Times New Roman" w:eastAsia="Calibri" w:hAnsi="Times New Roman" w:cs="Times New Roman"/>
        </w:rPr>
      </w:pPr>
      <w:r>
        <w:rPr>
          <w:rFonts w:ascii="Times New Roman" w:eastAsia="Calibri" w:hAnsi="Times New Roman" w:cs="Times New Roman"/>
          <w:highlight w:val="yellow"/>
        </w:rPr>
        <w:t>The proximate composition of the bread samples is shown in Table 1.</w:t>
      </w:r>
    </w:p>
    <w:tbl>
      <w:tblPr>
        <w:tblW w:w="10258" w:type="dxa"/>
        <w:tblLook w:val="04A0" w:firstRow="1" w:lastRow="0" w:firstColumn="1" w:lastColumn="0" w:noHBand="0" w:noVBand="1"/>
      </w:tblPr>
      <w:tblGrid>
        <w:gridCol w:w="1252"/>
        <w:gridCol w:w="1135"/>
        <w:gridCol w:w="361"/>
        <w:gridCol w:w="1555"/>
        <w:gridCol w:w="1083"/>
        <w:gridCol w:w="360"/>
        <w:gridCol w:w="1095"/>
        <w:gridCol w:w="272"/>
        <w:gridCol w:w="1332"/>
        <w:gridCol w:w="240"/>
        <w:gridCol w:w="1203"/>
        <w:gridCol w:w="370"/>
      </w:tblGrid>
      <w:tr w:rsidR="00D97E2A" w:rsidRPr="00D97E2A" w14:paraId="29BB7DB6" w14:textId="77777777" w:rsidTr="00637EB0">
        <w:trPr>
          <w:trHeight w:val="285"/>
        </w:trPr>
        <w:tc>
          <w:tcPr>
            <w:tcW w:w="0" w:type="auto"/>
            <w:tcBorders>
              <w:top w:val="single" w:sz="4" w:space="0" w:color="auto"/>
              <w:left w:val="nil"/>
              <w:bottom w:val="single" w:sz="4" w:space="0" w:color="auto"/>
              <w:right w:val="nil"/>
            </w:tcBorders>
            <w:noWrap/>
            <w:vAlign w:val="bottom"/>
            <w:hideMark/>
          </w:tcPr>
          <w:p w14:paraId="37D30E7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SAMPLE</w:t>
            </w:r>
          </w:p>
        </w:tc>
        <w:tc>
          <w:tcPr>
            <w:tcW w:w="0" w:type="auto"/>
            <w:tcBorders>
              <w:top w:val="single" w:sz="4" w:space="0" w:color="auto"/>
              <w:left w:val="nil"/>
              <w:bottom w:val="single" w:sz="4" w:space="0" w:color="auto"/>
              <w:right w:val="nil"/>
            </w:tcBorders>
            <w:noWrap/>
            <w:vAlign w:val="bottom"/>
            <w:hideMark/>
          </w:tcPr>
          <w:p w14:paraId="36DE287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ASH</w:t>
            </w:r>
          </w:p>
        </w:tc>
        <w:tc>
          <w:tcPr>
            <w:tcW w:w="0" w:type="auto"/>
            <w:tcBorders>
              <w:top w:val="single" w:sz="4" w:space="0" w:color="auto"/>
              <w:left w:val="nil"/>
              <w:bottom w:val="single" w:sz="4" w:space="0" w:color="auto"/>
              <w:right w:val="nil"/>
            </w:tcBorders>
            <w:noWrap/>
            <w:vAlign w:val="bottom"/>
            <w:hideMark/>
          </w:tcPr>
          <w:p w14:paraId="03C36382"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79CD128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MOISTURE</w:t>
            </w:r>
          </w:p>
        </w:tc>
        <w:tc>
          <w:tcPr>
            <w:tcW w:w="0" w:type="auto"/>
            <w:tcBorders>
              <w:top w:val="single" w:sz="4" w:space="0" w:color="auto"/>
              <w:left w:val="nil"/>
              <w:bottom w:val="single" w:sz="4" w:space="0" w:color="auto"/>
              <w:right w:val="nil"/>
            </w:tcBorders>
            <w:noWrap/>
            <w:vAlign w:val="bottom"/>
            <w:hideMark/>
          </w:tcPr>
          <w:p w14:paraId="4B4C5D2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FAT</w:t>
            </w:r>
          </w:p>
        </w:tc>
        <w:tc>
          <w:tcPr>
            <w:tcW w:w="0" w:type="auto"/>
            <w:tcBorders>
              <w:top w:val="single" w:sz="4" w:space="0" w:color="auto"/>
              <w:left w:val="nil"/>
              <w:bottom w:val="single" w:sz="4" w:space="0" w:color="auto"/>
              <w:right w:val="nil"/>
            </w:tcBorders>
            <w:noWrap/>
            <w:vAlign w:val="bottom"/>
            <w:hideMark/>
          </w:tcPr>
          <w:p w14:paraId="4B9F2757"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33B523F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FIBRE</w:t>
            </w:r>
          </w:p>
        </w:tc>
        <w:tc>
          <w:tcPr>
            <w:tcW w:w="0" w:type="auto"/>
            <w:tcBorders>
              <w:top w:val="single" w:sz="4" w:space="0" w:color="auto"/>
              <w:left w:val="nil"/>
              <w:bottom w:val="single" w:sz="4" w:space="0" w:color="auto"/>
              <w:right w:val="nil"/>
            </w:tcBorders>
            <w:noWrap/>
            <w:vAlign w:val="bottom"/>
            <w:hideMark/>
          </w:tcPr>
          <w:p w14:paraId="4730F7F8"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3CA5C50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PROTEIN</w:t>
            </w:r>
          </w:p>
        </w:tc>
        <w:tc>
          <w:tcPr>
            <w:tcW w:w="0" w:type="auto"/>
            <w:tcBorders>
              <w:top w:val="single" w:sz="4" w:space="0" w:color="auto"/>
              <w:left w:val="nil"/>
              <w:bottom w:val="single" w:sz="4" w:space="0" w:color="auto"/>
              <w:right w:val="nil"/>
            </w:tcBorders>
            <w:noWrap/>
            <w:vAlign w:val="bottom"/>
            <w:hideMark/>
          </w:tcPr>
          <w:p w14:paraId="3E837E05" w14:textId="77777777" w:rsidR="00216D1D" w:rsidRPr="00D97E2A"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55866AA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CHO</w:t>
            </w:r>
          </w:p>
        </w:tc>
        <w:tc>
          <w:tcPr>
            <w:tcW w:w="0" w:type="auto"/>
            <w:tcBorders>
              <w:top w:val="single" w:sz="4" w:space="0" w:color="auto"/>
              <w:left w:val="nil"/>
              <w:bottom w:val="single" w:sz="4" w:space="0" w:color="auto"/>
              <w:right w:val="nil"/>
            </w:tcBorders>
            <w:noWrap/>
            <w:vAlign w:val="bottom"/>
            <w:hideMark/>
          </w:tcPr>
          <w:p w14:paraId="20B70EB2" w14:textId="77777777" w:rsidR="00216D1D" w:rsidRPr="00D97E2A" w:rsidRDefault="00216D1D" w:rsidP="00216D1D">
            <w:pPr>
              <w:rPr>
                <w:rFonts w:ascii="Times New Roman" w:hAnsi="Times New Roman" w:cs="Times New Roman"/>
                <w:sz w:val="24"/>
                <w:szCs w:val="24"/>
              </w:rPr>
            </w:pPr>
          </w:p>
        </w:tc>
      </w:tr>
      <w:tr w:rsidR="00D97E2A" w:rsidRPr="00D97E2A" w14:paraId="520F8489" w14:textId="77777777" w:rsidTr="00637EB0">
        <w:trPr>
          <w:trHeight w:val="285"/>
        </w:trPr>
        <w:tc>
          <w:tcPr>
            <w:tcW w:w="0" w:type="auto"/>
            <w:tcBorders>
              <w:top w:val="single" w:sz="4" w:space="0" w:color="auto"/>
              <w:left w:val="nil"/>
              <w:bottom w:val="nil"/>
              <w:right w:val="nil"/>
            </w:tcBorders>
            <w:noWrap/>
            <w:vAlign w:val="bottom"/>
            <w:hideMark/>
          </w:tcPr>
          <w:p w14:paraId="18D267B1"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PB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0" w:type="auto"/>
            <w:gridSpan w:val="2"/>
            <w:tcBorders>
              <w:top w:val="single" w:sz="4" w:space="0" w:color="auto"/>
              <w:left w:val="nil"/>
              <w:bottom w:val="nil"/>
              <w:right w:val="nil"/>
            </w:tcBorders>
            <w:noWrap/>
            <w:vAlign w:val="bottom"/>
            <w:hideMark/>
          </w:tcPr>
          <w:p w14:paraId="5AE0AA1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10.10</w:t>
            </w:r>
            <w:r w:rsidR="00474BA5">
              <w:rPr>
                <w:rFonts w:ascii="Times New Roman" w:hAnsi="Times New Roman" w:cs="Times New Roman"/>
                <w:sz w:val="24"/>
                <w:szCs w:val="24"/>
                <w:vertAlign w:val="superscript"/>
              </w:rPr>
              <w:t>d</w:t>
            </w:r>
            <w:r w:rsidRPr="00D97E2A">
              <w:rPr>
                <w:rFonts w:ascii="Times New Roman" w:hAnsi="Times New Roman" w:cs="Times New Roman"/>
                <w:sz w:val="24"/>
                <w:szCs w:val="24"/>
              </w:rPr>
              <w:t>±0.60</w:t>
            </w:r>
          </w:p>
        </w:tc>
        <w:tc>
          <w:tcPr>
            <w:tcW w:w="0" w:type="auto"/>
            <w:tcBorders>
              <w:top w:val="single" w:sz="4" w:space="0" w:color="auto"/>
              <w:left w:val="nil"/>
              <w:bottom w:val="nil"/>
              <w:right w:val="nil"/>
            </w:tcBorders>
            <w:noWrap/>
            <w:vAlign w:val="bottom"/>
            <w:hideMark/>
          </w:tcPr>
          <w:p w14:paraId="77EA4EC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3.94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72DD365B"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6</w:t>
            </w:r>
            <w:r w:rsidR="00216D1D" w:rsidRPr="00D97E2A">
              <w:rPr>
                <w:rFonts w:ascii="Times New Roman" w:hAnsi="Times New Roman" w:cs="Times New Roman"/>
                <w:sz w:val="24"/>
                <w:szCs w:val="24"/>
              </w:rPr>
              <w:t>.81</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2B7B29E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1.48</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single" w:sz="4" w:space="0" w:color="auto"/>
              <w:left w:val="nil"/>
              <w:bottom w:val="nil"/>
              <w:right w:val="nil"/>
            </w:tcBorders>
            <w:noWrap/>
            <w:vAlign w:val="bottom"/>
            <w:hideMark/>
          </w:tcPr>
          <w:p w14:paraId="2F02A17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12.05</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±1.20</w:t>
            </w:r>
          </w:p>
        </w:tc>
        <w:tc>
          <w:tcPr>
            <w:tcW w:w="0" w:type="auto"/>
            <w:gridSpan w:val="2"/>
            <w:tcBorders>
              <w:top w:val="single" w:sz="4" w:space="0" w:color="auto"/>
              <w:left w:val="nil"/>
              <w:bottom w:val="nil"/>
              <w:right w:val="nil"/>
            </w:tcBorders>
            <w:noWrap/>
            <w:vAlign w:val="bottom"/>
            <w:hideMark/>
          </w:tcPr>
          <w:p w14:paraId="12F81377" w14:textId="77777777" w:rsidR="00216D1D" w:rsidRPr="00D97E2A" w:rsidRDefault="000B4BA1" w:rsidP="00216D1D">
            <w:pPr>
              <w:rPr>
                <w:rFonts w:ascii="Times New Roman" w:hAnsi="Times New Roman" w:cs="Times New Roman"/>
                <w:sz w:val="24"/>
                <w:szCs w:val="24"/>
              </w:rPr>
            </w:pPr>
            <w:r w:rsidRPr="00D97E2A">
              <w:rPr>
                <w:rFonts w:ascii="Times New Roman" w:hAnsi="Times New Roman" w:cs="Times New Roman"/>
                <w:sz w:val="24"/>
                <w:szCs w:val="24"/>
              </w:rPr>
              <w:t>60</w:t>
            </w:r>
            <w:r w:rsidR="00216D1D" w:rsidRPr="00D97E2A">
              <w:rPr>
                <w:rFonts w:ascii="Times New Roman" w:hAnsi="Times New Roman" w:cs="Times New Roman"/>
                <w:sz w:val="24"/>
                <w:szCs w:val="24"/>
              </w:rPr>
              <w:t>.85</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±1.05</w:t>
            </w:r>
          </w:p>
        </w:tc>
      </w:tr>
      <w:tr w:rsidR="00D97E2A" w:rsidRPr="00D97E2A" w14:paraId="45CF490D" w14:textId="77777777" w:rsidTr="00637EB0">
        <w:trPr>
          <w:trHeight w:val="285"/>
        </w:trPr>
        <w:tc>
          <w:tcPr>
            <w:tcW w:w="0" w:type="auto"/>
            <w:tcBorders>
              <w:top w:val="nil"/>
              <w:left w:val="nil"/>
              <w:bottom w:val="nil"/>
              <w:right w:val="nil"/>
            </w:tcBorders>
            <w:noWrap/>
            <w:vAlign w:val="bottom"/>
            <w:hideMark/>
          </w:tcPr>
          <w:p w14:paraId="385C6079"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PB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4AEDE09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11.23</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±0.32</w:t>
            </w:r>
          </w:p>
        </w:tc>
        <w:tc>
          <w:tcPr>
            <w:tcW w:w="0" w:type="auto"/>
            <w:tcBorders>
              <w:top w:val="nil"/>
              <w:left w:val="nil"/>
              <w:bottom w:val="nil"/>
              <w:right w:val="nil"/>
            </w:tcBorders>
            <w:noWrap/>
            <w:vAlign w:val="bottom"/>
            <w:hideMark/>
          </w:tcPr>
          <w:p w14:paraId="22CDEA8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3.60</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±0.68</w:t>
            </w:r>
          </w:p>
        </w:tc>
        <w:tc>
          <w:tcPr>
            <w:tcW w:w="0" w:type="auto"/>
            <w:gridSpan w:val="2"/>
            <w:tcBorders>
              <w:top w:val="nil"/>
              <w:left w:val="nil"/>
              <w:bottom w:val="nil"/>
              <w:right w:val="nil"/>
            </w:tcBorders>
            <w:noWrap/>
            <w:vAlign w:val="bottom"/>
            <w:hideMark/>
          </w:tcPr>
          <w:p w14:paraId="50AA350C"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7.7</w:t>
            </w:r>
            <w:r w:rsidR="00216D1D" w:rsidRPr="00D97E2A">
              <w:rPr>
                <w:rFonts w:ascii="Times New Roman" w:hAnsi="Times New Roman" w:cs="Times New Roman"/>
                <w:sz w:val="24"/>
                <w:szCs w:val="24"/>
              </w:rPr>
              <w:t>3</w:t>
            </w:r>
            <w:r w:rsidR="00474BA5">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±0.29</w:t>
            </w:r>
          </w:p>
        </w:tc>
        <w:tc>
          <w:tcPr>
            <w:tcW w:w="0" w:type="auto"/>
            <w:gridSpan w:val="2"/>
            <w:tcBorders>
              <w:top w:val="nil"/>
              <w:left w:val="nil"/>
              <w:bottom w:val="nil"/>
              <w:right w:val="nil"/>
            </w:tcBorders>
            <w:noWrap/>
            <w:vAlign w:val="bottom"/>
            <w:hideMark/>
          </w:tcPr>
          <w:p w14:paraId="2CC1F39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1.59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±0.01</w:t>
            </w:r>
          </w:p>
        </w:tc>
        <w:tc>
          <w:tcPr>
            <w:tcW w:w="0" w:type="auto"/>
            <w:gridSpan w:val="2"/>
            <w:tcBorders>
              <w:top w:val="nil"/>
              <w:left w:val="nil"/>
              <w:bottom w:val="nil"/>
              <w:right w:val="nil"/>
            </w:tcBorders>
            <w:noWrap/>
            <w:vAlign w:val="bottom"/>
            <w:hideMark/>
          </w:tcPr>
          <w:p w14:paraId="27A9ABD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13.44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±0.30</w:t>
            </w:r>
          </w:p>
        </w:tc>
        <w:tc>
          <w:tcPr>
            <w:tcW w:w="0" w:type="auto"/>
            <w:gridSpan w:val="2"/>
            <w:tcBorders>
              <w:top w:val="nil"/>
              <w:left w:val="nil"/>
              <w:bottom w:val="nil"/>
              <w:right w:val="nil"/>
            </w:tcBorders>
            <w:noWrap/>
            <w:vAlign w:val="bottom"/>
            <w:hideMark/>
          </w:tcPr>
          <w:p w14:paraId="3332FAE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55.94</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±0.69</w:t>
            </w:r>
          </w:p>
        </w:tc>
      </w:tr>
      <w:tr w:rsidR="00D97E2A" w:rsidRPr="00D97E2A" w14:paraId="3C2FA71B" w14:textId="77777777" w:rsidTr="00637EB0">
        <w:trPr>
          <w:trHeight w:val="285"/>
        </w:trPr>
        <w:tc>
          <w:tcPr>
            <w:tcW w:w="0" w:type="auto"/>
            <w:tcBorders>
              <w:top w:val="nil"/>
              <w:left w:val="nil"/>
              <w:bottom w:val="nil"/>
              <w:right w:val="nil"/>
            </w:tcBorders>
            <w:noWrap/>
            <w:vAlign w:val="bottom"/>
            <w:hideMark/>
          </w:tcPr>
          <w:p w14:paraId="3C326438"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MB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0" w:type="auto"/>
            <w:gridSpan w:val="2"/>
            <w:tcBorders>
              <w:top w:val="nil"/>
              <w:left w:val="nil"/>
              <w:bottom w:val="nil"/>
              <w:right w:val="nil"/>
            </w:tcBorders>
            <w:noWrap/>
            <w:vAlign w:val="bottom"/>
            <w:hideMark/>
          </w:tcPr>
          <w:p w14:paraId="743B92C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14.13</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±1.22</w:t>
            </w:r>
          </w:p>
        </w:tc>
        <w:tc>
          <w:tcPr>
            <w:tcW w:w="0" w:type="auto"/>
            <w:tcBorders>
              <w:top w:val="nil"/>
              <w:left w:val="nil"/>
              <w:bottom w:val="nil"/>
              <w:right w:val="nil"/>
            </w:tcBorders>
            <w:noWrap/>
            <w:vAlign w:val="bottom"/>
            <w:hideMark/>
          </w:tcPr>
          <w:p w14:paraId="2C7AE5B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3.68</w:t>
            </w:r>
            <w:r w:rsidR="00474BA5" w:rsidRPr="00474BA5">
              <w:rPr>
                <w:rFonts w:ascii="Times New Roman" w:hAnsi="Times New Roman" w:cs="Times New Roman"/>
                <w:sz w:val="24"/>
                <w:szCs w:val="24"/>
                <w:vertAlign w:val="superscript"/>
              </w:rPr>
              <w:t>a</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±0.23</w:t>
            </w:r>
          </w:p>
        </w:tc>
        <w:tc>
          <w:tcPr>
            <w:tcW w:w="0" w:type="auto"/>
            <w:gridSpan w:val="2"/>
            <w:tcBorders>
              <w:top w:val="nil"/>
              <w:left w:val="nil"/>
              <w:bottom w:val="nil"/>
              <w:right w:val="nil"/>
            </w:tcBorders>
            <w:noWrap/>
            <w:vAlign w:val="bottom"/>
            <w:hideMark/>
          </w:tcPr>
          <w:p w14:paraId="01CB560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6.76</w:t>
            </w:r>
            <w:r w:rsidRPr="00D97E2A">
              <w:rPr>
                <w:rFonts w:ascii="Times New Roman" w:hAnsi="Times New Roman" w:cs="Times New Roman"/>
                <w:sz w:val="24"/>
                <w:szCs w:val="24"/>
                <w:vertAlign w:val="superscript"/>
              </w:rPr>
              <w:t>b</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±0.37</w:t>
            </w:r>
          </w:p>
        </w:tc>
        <w:tc>
          <w:tcPr>
            <w:tcW w:w="0" w:type="auto"/>
            <w:gridSpan w:val="2"/>
            <w:tcBorders>
              <w:top w:val="nil"/>
              <w:left w:val="nil"/>
              <w:bottom w:val="nil"/>
              <w:right w:val="nil"/>
            </w:tcBorders>
            <w:noWrap/>
            <w:vAlign w:val="bottom"/>
            <w:hideMark/>
          </w:tcPr>
          <w:p w14:paraId="70B10FE1"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1.57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53BB1EC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10.30</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±0.14</w:t>
            </w:r>
          </w:p>
        </w:tc>
        <w:tc>
          <w:tcPr>
            <w:tcW w:w="0" w:type="auto"/>
            <w:gridSpan w:val="2"/>
            <w:tcBorders>
              <w:top w:val="nil"/>
              <w:left w:val="nil"/>
              <w:bottom w:val="nil"/>
              <w:right w:val="nil"/>
            </w:tcBorders>
            <w:noWrap/>
            <w:vAlign w:val="bottom"/>
            <w:hideMark/>
          </w:tcPr>
          <w:p w14:paraId="4C999D2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62.79</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±3.17</w:t>
            </w:r>
          </w:p>
        </w:tc>
      </w:tr>
      <w:tr w:rsidR="00D97E2A" w:rsidRPr="00D97E2A" w14:paraId="5CFB6502" w14:textId="77777777" w:rsidTr="00637EB0">
        <w:trPr>
          <w:trHeight w:val="285"/>
        </w:trPr>
        <w:tc>
          <w:tcPr>
            <w:tcW w:w="0" w:type="auto"/>
            <w:tcBorders>
              <w:top w:val="nil"/>
              <w:left w:val="nil"/>
              <w:bottom w:val="nil"/>
              <w:right w:val="nil"/>
            </w:tcBorders>
            <w:noWrap/>
            <w:vAlign w:val="bottom"/>
            <w:hideMark/>
          </w:tcPr>
          <w:p w14:paraId="0B2A95E5" w14:textId="77777777" w:rsidR="00216D1D" w:rsidRPr="00D97E2A" w:rsidRDefault="00BE4F0D" w:rsidP="00216D1D">
            <w:pPr>
              <w:rPr>
                <w:rFonts w:ascii="Times New Roman" w:hAnsi="Times New Roman" w:cs="Times New Roman"/>
                <w:sz w:val="24"/>
                <w:szCs w:val="24"/>
              </w:rPr>
            </w:pPr>
            <w:r w:rsidRPr="00D97E2A">
              <w:rPr>
                <w:rFonts w:ascii="Times New Roman" w:hAnsi="Times New Roman" w:cs="Times New Roman"/>
                <w:sz w:val="24"/>
                <w:szCs w:val="24"/>
              </w:rPr>
              <w:t>MB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7BC538E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16.71</w:t>
            </w:r>
            <w:r w:rsidR="00474BA5" w:rsidRPr="00474BA5">
              <w:rPr>
                <w:rFonts w:ascii="Times New Roman" w:hAnsi="Times New Roman" w:cs="Times New Roman"/>
                <w:sz w:val="24"/>
                <w:szCs w:val="24"/>
                <w:vertAlign w:val="superscript"/>
              </w:rPr>
              <w:t>a</w:t>
            </w:r>
            <w:r w:rsidRPr="00D97E2A">
              <w:rPr>
                <w:rFonts w:ascii="Times New Roman" w:hAnsi="Times New Roman" w:cs="Times New Roman"/>
                <w:sz w:val="24"/>
                <w:szCs w:val="24"/>
              </w:rPr>
              <w:t>±1.18</w:t>
            </w:r>
          </w:p>
        </w:tc>
        <w:tc>
          <w:tcPr>
            <w:tcW w:w="0" w:type="auto"/>
            <w:tcBorders>
              <w:top w:val="nil"/>
              <w:left w:val="nil"/>
              <w:bottom w:val="nil"/>
              <w:right w:val="nil"/>
            </w:tcBorders>
            <w:noWrap/>
            <w:vAlign w:val="bottom"/>
            <w:hideMark/>
          </w:tcPr>
          <w:p w14:paraId="5825A18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3.29</w:t>
            </w:r>
            <w:r w:rsidR="00474BA5">
              <w:rPr>
                <w:rFonts w:ascii="Times New Roman" w:hAnsi="Times New Roman" w:cs="Times New Roman"/>
                <w:sz w:val="24"/>
                <w:szCs w:val="24"/>
                <w:vertAlign w:val="superscript"/>
              </w:rPr>
              <w:t>c</w:t>
            </w:r>
            <w:r w:rsidRPr="00D97E2A">
              <w:rPr>
                <w:rFonts w:ascii="Times New Roman" w:hAnsi="Times New Roman" w:cs="Times New Roman"/>
                <w:sz w:val="24"/>
                <w:szCs w:val="24"/>
              </w:rPr>
              <w:t>±0.36</w:t>
            </w:r>
          </w:p>
        </w:tc>
        <w:tc>
          <w:tcPr>
            <w:tcW w:w="0" w:type="auto"/>
            <w:gridSpan w:val="2"/>
            <w:tcBorders>
              <w:top w:val="nil"/>
              <w:left w:val="nil"/>
              <w:bottom w:val="nil"/>
              <w:right w:val="nil"/>
            </w:tcBorders>
            <w:noWrap/>
            <w:vAlign w:val="bottom"/>
            <w:hideMark/>
          </w:tcPr>
          <w:p w14:paraId="36B3AD1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6.27</w:t>
            </w:r>
            <w:r w:rsidRPr="00D97E2A">
              <w:rPr>
                <w:rFonts w:ascii="Times New Roman" w:hAnsi="Times New Roman" w:cs="Times New Roman"/>
                <w:sz w:val="24"/>
                <w:szCs w:val="24"/>
                <w:vertAlign w:val="superscript"/>
              </w:rPr>
              <w:t>b</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±0.38</w:t>
            </w:r>
          </w:p>
        </w:tc>
        <w:tc>
          <w:tcPr>
            <w:tcW w:w="0" w:type="auto"/>
            <w:gridSpan w:val="2"/>
            <w:tcBorders>
              <w:top w:val="nil"/>
              <w:left w:val="nil"/>
              <w:bottom w:val="nil"/>
              <w:right w:val="nil"/>
            </w:tcBorders>
            <w:noWrap/>
            <w:vAlign w:val="bottom"/>
            <w:hideMark/>
          </w:tcPr>
          <w:p w14:paraId="2604F3EC"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1.64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270E7C0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9.86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±0.09</w:t>
            </w:r>
          </w:p>
        </w:tc>
        <w:tc>
          <w:tcPr>
            <w:tcW w:w="0" w:type="auto"/>
            <w:gridSpan w:val="2"/>
            <w:tcBorders>
              <w:top w:val="nil"/>
              <w:left w:val="nil"/>
              <w:bottom w:val="nil"/>
              <w:right w:val="nil"/>
            </w:tcBorders>
            <w:noWrap/>
            <w:vAlign w:val="bottom"/>
            <w:hideMark/>
          </w:tcPr>
          <w:p w14:paraId="71B8E37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58.64</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±1.72</w:t>
            </w:r>
          </w:p>
        </w:tc>
      </w:tr>
      <w:tr w:rsidR="00D97E2A" w:rsidRPr="00D97E2A" w14:paraId="764098D7" w14:textId="77777777" w:rsidTr="00637EB0">
        <w:trPr>
          <w:trHeight w:val="285"/>
        </w:trPr>
        <w:tc>
          <w:tcPr>
            <w:tcW w:w="0" w:type="auto"/>
            <w:tcBorders>
              <w:top w:val="nil"/>
              <w:left w:val="nil"/>
              <w:bottom w:val="single" w:sz="4" w:space="0" w:color="auto"/>
              <w:right w:val="nil"/>
            </w:tcBorders>
            <w:noWrap/>
            <w:vAlign w:val="bottom"/>
            <w:hideMark/>
          </w:tcPr>
          <w:p w14:paraId="335EE5A7"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lastRenderedPageBreak/>
              <w:t>CB</w:t>
            </w:r>
            <w:r w:rsidR="00A005AD" w:rsidRPr="00D97E2A">
              <w:rPr>
                <w:rFonts w:ascii="Times New Roman" w:hAnsi="Times New Roman" w:cs="Times New Roman"/>
                <w:sz w:val="24"/>
                <w:szCs w:val="24"/>
              </w:rPr>
              <w:t>:</w:t>
            </w:r>
            <w:r w:rsidRPr="00D97E2A">
              <w:rPr>
                <w:rFonts w:ascii="Times New Roman" w:hAnsi="Times New Roman" w:cs="Times New Roman"/>
                <w:sz w:val="24"/>
                <w:szCs w:val="24"/>
              </w:rPr>
              <w:t>1</w:t>
            </w:r>
            <w:r w:rsidR="00216D1D" w:rsidRPr="00D97E2A">
              <w:rPr>
                <w:rFonts w:ascii="Times New Roman" w:hAnsi="Times New Roman" w:cs="Times New Roman"/>
                <w:sz w:val="24"/>
                <w:szCs w:val="24"/>
              </w:rPr>
              <w:t>00</w:t>
            </w:r>
          </w:p>
        </w:tc>
        <w:tc>
          <w:tcPr>
            <w:tcW w:w="0" w:type="auto"/>
            <w:gridSpan w:val="2"/>
            <w:tcBorders>
              <w:top w:val="nil"/>
              <w:left w:val="nil"/>
              <w:bottom w:val="single" w:sz="4" w:space="0" w:color="auto"/>
              <w:right w:val="nil"/>
            </w:tcBorders>
            <w:noWrap/>
            <w:vAlign w:val="bottom"/>
            <w:hideMark/>
          </w:tcPr>
          <w:p w14:paraId="5A9D0F08"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9.93</w:t>
            </w:r>
            <w:r w:rsidR="00474BA5">
              <w:rPr>
                <w:rFonts w:ascii="Times New Roman" w:hAnsi="Times New Roman" w:cs="Times New Roman"/>
                <w:sz w:val="24"/>
                <w:szCs w:val="24"/>
                <w:vertAlign w:val="superscript"/>
              </w:rPr>
              <w:t>d</w:t>
            </w:r>
            <w:r w:rsidRPr="00D97E2A">
              <w:rPr>
                <w:rFonts w:ascii="Times New Roman" w:hAnsi="Times New Roman" w:cs="Times New Roman"/>
                <w:sz w:val="24"/>
                <w:szCs w:val="24"/>
              </w:rPr>
              <w:t>±0.12</w:t>
            </w:r>
          </w:p>
        </w:tc>
        <w:tc>
          <w:tcPr>
            <w:tcW w:w="0" w:type="auto"/>
            <w:tcBorders>
              <w:top w:val="nil"/>
              <w:left w:val="nil"/>
              <w:bottom w:val="single" w:sz="4" w:space="0" w:color="auto"/>
              <w:right w:val="nil"/>
            </w:tcBorders>
            <w:noWrap/>
            <w:vAlign w:val="bottom"/>
            <w:hideMark/>
          </w:tcPr>
          <w:p w14:paraId="56569E2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3.49</w:t>
            </w:r>
            <w:r w:rsidR="00474BA5">
              <w:rPr>
                <w:rFonts w:ascii="Times New Roman" w:hAnsi="Times New Roman" w:cs="Times New Roman"/>
                <w:sz w:val="24"/>
                <w:szCs w:val="24"/>
                <w:vertAlign w:val="superscript"/>
              </w:rPr>
              <w:t>b</w:t>
            </w:r>
            <w:r w:rsidRPr="00D97E2A">
              <w:rPr>
                <w:rFonts w:ascii="Times New Roman" w:hAnsi="Times New Roman" w:cs="Times New Roman"/>
                <w:sz w:val="24"/>
                <w:szCs w:val="24"/>
              </w:rPr>
              <w:t>±0.17</w:t>
            </w:r>
          </w:p>
        </w:tc>
        <w:tc>
          <w:tcPr>
            <w:tcW w:w="0" w:type="auto"/>
            <w:gridSpan w:val="2"/>
            <w:tcBorders>
              <w:top w:val="nil"/>
              <w:left w:val="nil"/>
              <w:bottom w:val="single" w:sz="4" w:space="0" w:color="auto"/>
              <w:right w:val="nil"/>
            </w:tcBorders>
            <w:noWrap/>
            <w:vAlign w:val="bottom"/>
            <w:hideMark/>
          </w:tcPr>
          <w:p w14:paraId="53FE9F8D" w14:textId="77777777" w:rsidR="00216D1D" w:rsidRPr="00D97E2A" w:rsidRDefault="00B83F28" w:rsidP="00216D1D">
            <w:pPr>
              <w:rPr>
                <w:rFonts w:ascii="Times New Roman" w:hAnsi="Times New Roman" w:cs="Times New Roman"/>
                <w:sz w:val="24"/>
                <w:szCs w:val="24"/>
              </w:rPr>
            </w:pPr>
            <w:r w:rsidRPr="00D97E2A">
              <w:rPr>
                <w:rFonts w:ascii="Times New Roman" w:hAnsi="Times New Roman" w:cs="Times New Roman"/>
                <w:sz w:val="24"/>
                <w:szCs w:val="24"/>
              </w:rPr>
              <w:t>5.23</w:t>
            </w:r>
            <w:r w:rsidR="003677DE">
              <w:rPr>
                <w:rFonts w:ascii="Times New Roman" w:hAnsi="Times New Roman" w:cs="Times New Roman"/>
                <w:sz w:val="24"/>
                <w:szCs w:val="24"/>
                <w:vertAlign w:val="superscript"/>
              </w:rPr>
              <w:t>c</w:t>
            </w:r>
            <w:r w:rsidR="00216D1D" w:rsidRPr="00D97E2A">
              <w:rPr>
                <w:rFonts w:ascii="Times New Roman" w:hAnsi="Times New Roman" w:cs="Times New Roman"/>
                <w:sz w:val="24"/>
                <w:szCs w:val="24"/>
              </w:rPr>
              <w:t>±0.16</w:t>
            </w:r>
          </w:p>
        </w:tc>
        <w:tc>
          <w:tcPr>
            <w:tcW w:w="0" w:type="auto"/>
            <w:gridSpan w:val="2"/>
            <w:tcBorders>
              <w:top w:val="nil"/>
              <w:left w:val="nil"/>
              <w:bottom w:val="single" w:sz="4" w:space="0" w:color="auto"/>
              <w:right w:val="nil"/>
            </w:tcBorders>
            <w:noWrap/>
            <w:vAlign w:val="bottom"/>
            <w:hideMark/>
          </w:tcPr>
          <w:p w14:paraId="6A3BCC7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1.42</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±0.00</w:t>
            </w:r>
          </w:p>
        </w:tc>
        <w:tc>
          <w:tcPr>
            <w:tcW w:w="0" w:type="auto"/>
            <w:gridSpan w:val="2"/>
            <w:tcBorders>
              <w:top w:val="nil"/>
              <w:left w:val="nil"/>
              <w:bottom w:val="single" w:sz="4" w:space="0" w:color="auto"/>
              <w:right w:val="nil"/>
            </w:tcBorders>
            <w:noWrap/>
            <w:vAlign w:val="bottom"/>
            <w:hideMark/>
          </w:tcPr>
          <w:p w14:paraId="131F24A8" w14:textId="77777777" w:rsidR="00216D1D" w:rsidRPr="00D97E2A" w:rsidRDefault="003677DE" w:rsidP="00216D1D">
            <w:pPr>
              <w:rPr>
                <w:rFonts w:ascii="Times New Roman" w:hAnsi="Times New Roman" w:cs="Times New Roman"/>
                <w:sz w:val="24"/>
                <w:szCs w:val="24"/>
              </w:rPr>
            </w:pPr>
            <w:r>
              <w:rPr>
                <w:rFonts w:ascii="Times New Roman" w:hAnsi="Times New Roman" w:cs="Times New Roman"/>
                <w:sz w:val="24"/>
                <w:szCs w:val="24"/>
              </w:rPr>
              <w:t>11.20</w:t>
            </w:r>
            <w:r>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±0.49</w:t>
            </w:r>
          </w:p>
        </w:tc>
        <w:tc>
          <w:tcPr>
            <w:tcW w:w="0" w:type="auto"/>
            <w:gridSpan w:val="2"/>
            <w:tcBorders>
              <w:top w:val="nil"/>
              <w:left w:val="nil"/>
              <w:bottom w:val="single" w:sz="4" w:space="0" w:color="auto"/>
              <w:right w:val="nil"/>
            </w:tcBorders>
            <w:noWrap/>
            <w:vAlign w:val="bottom"/>
            <w:hideMark/>
          </w:tcPr>
          <w:p w14:paraId="2CCE027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70.40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±5.82</w:t>
            </w:r>
          </w:p>
        </w:tc>
      </w:tr>
    </w:tbl>
    <w:p w14:paraId="2734709C" w14:textId="77777777" w:rsidR="007B3D05" w:rsidRPr="007B3D05" w:rsidRDefault="007B3D05" w:rsidP="007B3D05">
      <w:pPr>
        <w:spacing w:line="240" w:lineRule="auto"/>
        <w:rPr>
          <w:rFonts w:ascii="Times New Roman" w:hAnsi="Times New Roman" w:cs="Times New Roman"/>
          <w:sz w:val="20"/>
          <w:szCs w:val="20"/>
        </w:rPr>
      </w:pPr>
      <w:r w:rsidRPr="007B3D05">
        <w:rPr>
          <w:rFonts w:ascii="Times New Roman" w:hAnsi="Times New Roman" w:cs="Times New Roman"/>
          <w:sz w:val="20"/>
          <w:szCs w:val="20"/>
        </w:rPr>
        <w:t>Values are means ± standard deviation of 3 replications. Values in the same column bearing similar superscripts are not significantly (p&gt;0.05) different, while values in the same column with different superscript are significantly (p&lt;0.05) different PB:25: bread made with 25% pigeon pea flour; PB:50: bread made with 50% pigeon pea flour; MB:25: bread made with 25% millet flour; MB:50: bread made with 50% millet flour.</w:t>
      </w:r>
    </w:p>
    <w:p w14:paraId="21D0D7E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w:t>
      </w:r>
    </w:p>
    <w:p w14:paraId="63F89555" w14:textId="77777777" w:rsidR="008C5AD3" w:rsidRPr="00D97E2A" w:rsidRDefault="008C5AD3" w:rsidP="00216D1D">
      <w:pPr>
        <w:rPr>
          <w:rFonts w:ascii="Times New Roman" w:hAnsi="Times New Roman" w:cs="Times New Roman"/>
          <w:sz w:val="24"/>
          <w:szCs w:val="24"/>
        </w:rPr>
      </w:pPr>
    </w:p>
    <w:p w14:paraId="5285CFD8" w14:textId="77777777" w:rsidR="003B56E6" w:rsidRPr="00D97E2A" w:rsidRDefault="00811E47" w:rsidP="00B83F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ash concentration varied from 9.93 to 16.71 %, with the </w:t>
      </w:r>
      <w:r>
        <w:rPr>
          <w:rFonts w:ascii="Times New Roman" w:hAnsi="Times New Roman" w:cs="Times New Roman"/>
          <w:sz w:val="24"/>
          <w:szCs w:val="24"/>
          <w:highlight w:val="yellow"/>
        </w:rPr>
        <w:t>100% wheat flour bread</w:t>
      </w:r>
      <w:r>
        <w:rPr>
          <w:rFonts w:ascii="Times New Roman" w:hAnsi="Times New Roman" w:cs="Times New Roman"/>
          <w:sz w:val="24"/>
          <w:szCs w:val="24"/>
        </w:rPr>
        <w:t xml:space="preserve"> having the lowest value at 9.93 %. </w:t>
      </w:r>
      <w:r>
        <w:rPr>
          <w:rFonts w:ascii="Times New Roman" w:hAnsi="Times New Roman" w:cs="Times New Roman"/>
          <w:sz w:val="24"/>
          <w:szCs w:val="24"/>
          <w:highlight w:val="yellow"/>
        </w:rPr>
        <w:t>For bread made from composite flour, the values were above the 6.26 to 8.01% ash reported by Onuoha et al. (2025) and the 3.73 to 3.99% reported for biscuits by Emojorho, Oboreh, et al. (2025).</w:t>
      </w:r>
      <w:r>
        <w:rPr>
          <w:rFonts w:ascii="Times New Roman" w:hAnsi="Times New Roman" w:cs="Times New Roman"/>
          <w:sz w:val="24"/>
          <w:szCs w:val="24"/>
        </w:rPr>
        <w:t xml:space="preserve"> Higher amounts of pigeon pea and millet flour led to a considerable increase in the ash levels in the bread. </w:t>
      </w:r>
      <w:r>
        <w:rPr>
          <w:rFonts w:ascii="Times New Roman" w:hAnsi="Times New Roman" w:cs="Times New Roman"/>
          <w:sz w:val="24"/>
          <w:szCs w:val="24"/>
          <w:highlight w:val="yellow"/>
        </w:rPr>
        <w:t>Compared with bread</w:t>
      </w:r>
      <w:r>
        <w:rPr>
          <w:rFonts w:ascii="Times New Roman" w:hAnsi="Times New Roman" w:cs="Times New Roman"/>
          <w:sz w:val="24"/>
          <w:szCs w:val="24"/>
        </w:rPr>
        <w:t xml:space="preserve"> made with 100% wheat flour, pigeon pea and millet flour substitution produced significantly higher ash concentrations; the formulation with 50% millet flour had the highest value at 16.71 %.</w:t>
      </w:r>
    </w:p>
    <w:p w14:paraId="728375DF" w14:textId="77777777" w:rsidR="003B56E6" w:rsidRPr="00D97E2A" w:rsidRDefault="003B56E6" w:rsidP="00B83F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moisture content </w:t>
      </w:r>
      <w:r>
        <w:rPr>
          <w:rFonts w:ascii="Times New Roman" w:hAnsi="Times New Roman" w:cs="Times New Roman"/>
          <w:sz w:val="24"/>
          <w:szCs w:val="24"/>
          <w:highlight w:val="yellow"/>
        </w:rPr>
        <w:t>varied from 3.29 to 3.94%</w:t>
      </w:r>
      <w:r>
        <w:rPr>
          <w:rFonts w:ascii="Times New Roman" w:hAnsi="Times New Roman" w:cs="Times New Roman"/>
          <w:sz w:val="24"/>
          <w:szCs w:val="24"/>
        </w:rPr>
        <w:t xml:space="preserve">, with the bread made with 50% millet flour having the lowest value at 3.29 %. The results were </w:t>
      </w:r>
      <w:r>
        <w:rPr>
          <w:rFonts w:ascii="Times New Roman" w:hAnsi="Times New Roman" w:cs="Times New Roman"/>
          <w:sz w:val="24"/>
          <w:szCs w:val="24"/>
          <w:highlight w:val="yellow"/>
        </w:rPr>
        <w:t>marginally lower than</w:t>
      </w:r>
      <w:r>
        <w:rPr>
          <w:rFonts w:ascii="Times New Roman" w:hAnsi="Times New Roman" w:cs="Times New Roman"/>
          <w:sz w:val="24"/>
          <w:szCs w:val="24"/>
        </w:rPr>
        <w:t xml:space="preserve"> the 6.25 to 14.26 percent reported by Emojorho, Adinkwu, Obetta, et al. (2025) for biscuits made with sorghum and Bambara groundnut composite flour. </w:t>
      </w:r>
      <w:r>
        <w:rPr>
          <w:rFonts w:ascii="Times New Roman" w:hAnsi="Times New Roman" w:cs="Times New Roman"/>
          <w:sz w:val="24"/>
          <w:szCs w:val="24"/>
          <w:highlight w:val="yellow"/>
        </w:rPr>
        <w:t>The values were also lower than</w:t>
      </w:r>
      <w:r>
        <w:rPr>
          <w:rFonts w:ascii="Times New Roman" w:hAnsi="Times New Roman" w:cs="Times New Roman"/>
          <w:sz w:val="24"/>
          <w:szCs w:val="24"/>
        </w:rPr>
        <w:t xml:space="preserve"> 2.48 to 19.22 % of composite flours and biscuits under storage as reported by Emojorho, Adinkwu, Ududua, et al. (2025). Notably, bread made with 50% millet flour had the highest moisture content (3.98%).</w:t>
      </w:r>
    </w:p>
    <w:p w14:paraId="384DD523" w14:textId="77777777" w:rsidR="00B83F28" w:rsidRPr="00D97E2A" w:rsidRDefault="00B83F28" w:rsidP="00B83F2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fat content varied from 5.23 to 7.73 percent, with bread made with 50% pigeon pea flour having the highest value at 7.73 percent. According to Emojorho, Oboreh, et al. (2025), the fat content of biscuits made with millet and soybean flour ranged from 7.81 to 9.56%. The values were also </w:t>
      </w:r>
      <w:r>
        <w:rPr>
          <w:rFonts w:ascii="Times New Roman" w:hAnsi="Times New Roman" w:cs="Times New Roman"/>
          <w:sz w:val="24"/>
          <w:szCs w:val="24"/>
          <w:highlight w:val="yellow"/>
        </w:rPr>
        <w:t>lower than</w:t>
      </w:r>
      <w:r>
        <w:rPr>
          <w:rFonts w:ascii="Times New Roman" w:hAnsi="Times New Roman" w:cs="Times New Roman"/>
          <w:sz w:val="24"/>
          <w:szCs w:val="24"/>
        </w:rPr>
        <w:t xml:space="preserve"> 13.01 to </w:t>
      </w:r>
      <w:r>
        <w:rPr>
          <w:rFonts w:ascii="Times New Roman" w:hAnsi="Times New Roman" w:cs="Times New Roman"/>
          <w:sz w:val="24"/>
          <w:szCs w:val="24"/>
          <w:highlight w:val="yellow"/>
        </w:rPr>
        <w:t>16.23%</w:t>
      </w:r>
      <w:r>
        <w:rPr>
          <w:rFonts w:ascii="Times New Roman" w:hAnsi="Times New Roman" w:cs="Times New Roman"/>
          <w:sz w:val="24"/>
          <w:szCs w:val="24"/>
        </w:rPr>
        <w:t xml:space="preserve"> fat as reported by Emojorho, Adinkwu, Obetta, et al. (2025) for biscuits produced from composite flour. Higher amounts of pigeon pea and millet flours considerably raised the </w:t>
      </w:r>
      <w:r>
        <w:rPr>
          <w:rFonts w:ascii="Times New Roman" w:hAnsi="Times New Roman" w:cs="Times New Roman"/>
          <w:sz w:val="24"/>
          <w:szCs w:val="24"/>
          <w:highlight w:val="yellow"/>
        </w:rPr>
        <w:t>bread's fat content. Interestingly</w:t>
      </w:r>
      <w:r>
        <w:rPr>
          <w:rFonts w:ascii="Times New Roman" w:hAnsi="Times New Roman" w:cs="Times New Roman"/>
          <w:sz w:val="24"/>
          <w:szCs w:val="24"/>
        </w:rPr>
        <w:t xml:space="preserve">, compared to bread made with 100% wheat flour, those made with </w:t>
      </w:r>
      <w:r>
        <w:rPr>
          <w:rFonts w:ascii="Times New Roman" w:hAnsi="Times New Roman" w:cs="Times New Roman"/>
          <w:sz w:val="24"/>
          <w:szCs w:val="24"/>
          <w:highlight w:val="yellow"/>
        </w:rPr>
        <w:t>pigeon pea and millet flour substitutions had</w:t>
      </w:r>
      <w:r>
        <w:rPr>
          <w:rFonts w:ascii="Times New Roman" w:hAnsi="Times New Roman" w:cs="Times New Roman"/>
          <w:sz w:val="24"/>
          <w:szCs w:val="24"/>
        </w:rPr>
        <w:t xml:space="preserve"> higher fat concentrations.</w:t>
      </w:r>
    </w:p>
    <w:p w14:paraId="1CF67390" w14:textId="77777777" w:rsidR="00B83F28" w:rsidRPr="00D97E2A" w:rsidRDefault="00B83F28" w:rsidP="00216D1D">
      <w:pPr>
        <w:rPr>
          <w:rFonts w:ascii="Times New Roman" w:hAnsi="Times New Roman" w:cs="Times New Roman"/>
          <w:sz w:val="24"/>
          <w:szCs w:val="24"/>
        </w:rPr>
      </w:pPr>
    </w:p>
    <w:p w14:paraId="35BC189B" w14:textId="77777777" w:rsidR="004D606E" w:rsidRPr="00D97E2A" w:rsidRDefault="00B83F28" w:rsidP="004D60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content varied from 1.42 to 1.64 percent, with the bread made entirely of wheat flour having the lowest value at 1.42 percent. The results were comparable to the 0.80 to </w:t>
      </w:r>
      <w:r>
        <w:rPr>
          <w:rFonts w:ascii="Times New Roman" w:hAnsi="Times New Roman" w:cs="Times New Roman"/>
          <w:sz w:val="24"/>
          <w:szCs w:val="24"/>
        </w:rPr>
        <w:lastRenderedPageBreak/>
        <w:t xml:space="preserve">2.33% reported by Emojorho, Oboreh, et al. (2025) for biscuits made with a blend of wheat, millet, and soybean flour. The results were </w:t>
      </w:r>
      <w:r>
        <w:rPr>
          <w:rFonts w:ascii="Times New Roman" w:hAnsi="Times New Roman" w:cs="Times New Roman"/>
          <w:sz w:val="24"/>
          <w:szCs w:val="24"/>
          <w:highlight w:val="yellow"/>
        </w:rPr>
        <w:t>lower than</w:t>
      </w:r>
      <w:r>
        <w:rPr>
          <w:rFonts w:ascii="Times New Roman" w:hAnsi="Times New Roman" w:cs="Times New Roman"/>
          <w:sz w:val="24"/>
          <w:szCs w:val="24"/>
        </w:rPr>
        <w:t xml:space="preserve"> 1.01 to 3.03 % </w:t>
      </w:r>
      <w:r>
        <w:rPr>
          <w:rFonts w:ascii="Times New Roman" w:hAnsi="Times New Roman" w:cs="Times New Roman"/>
          <w:sz w:val="24"/>
          <w:szCs w:val="24"/>
          <w:highlight w:val="yellow"/>
        </w:rPr>
        <w:t>fibre</w:t>
      </w:r>
      <w:r>
        <w:rPr>
          <w:rFonts w:ascii="Times New Roman" w:hAnsi="Times New Roman" w:cs="Times New Roman"/>
          <w:sz w:val="24"/>
          <w:szCs w:val="24"/>
        </w:rPr>
        <w:t xml:space="preserve"> reported by Onuoha et al. (2025) for baked snacks produced from composite flours. Higher percentages of pigeon pea and millet flours led to a significant rise in the </w:t>
      </w:r>
      <w:r>
        <w:rPr>
          <w:rFonts w:ascii="Times New Roman" w:hAnsi="Times New Roman" w:cs="Times New Roman"/>
          <w:sz w:val="24"/>
          <w:szCs w:val="24"/>
          <w:highlight w:val="yellow"/>
        </w:rPr>
        <w:t>bread's fibre content</w:t>
      </w:r>
      <w:r>
        <w:rPr>
          <w:rFonts w:ascii="Times New Roman" w:hAnsi="Times New Roman" w:cs="Times New Roman"/>
          <w:sz w:val="24"/>
          <w:szCs w:val="24"/>
        </w:rPr>
        <w:t xml:space="preserve">. </w:t>
      </w:r>
      <w:r>
        <w:rPr>
          <w:rFonts w:ascii="Times New Roman" w:hAnsi="Times New Roman" w:cs="Times New Roman"/>
          <w:sz w:val="24"/>
          <w:szCs w:val="24"/>
          <w:highlight w:val="yellow"/>
        </w:rPr>
        <w:t>Compared with bread made from 100% wheat flour</w:t>
      </w:r>
      <w:r>
        <w:rPr>
          <w:rFonts w:ascii="Times New Roman" w:hAnsi="Times New Roman" w:cs="Times New Roman"/>
          <w:sz w:val="24"/>
          <w:szCs w:val="24"/>
        </w:rPr>
        <w:t xml:space="preserve">, pigeon pea and millet flour substitution produced significantly higher </w:t>
      </w:r>
      <w:r>
        <w:rPr>
          <w:rFonts w:ascii="Times New Roman" w:hAnsi="Times New Roman" w:cs="Times New Roman"/>
          <w:sz w:val="24"/>
          <w:szCs w:val="24"/>
          <w:highlight w:val="yellow"/>
        </w:rPr>
        <w:t>fibre</w:t>
      </w:r>
      <w:r>
        <w:rPr>
          <w:rFonts w:ascii="Times New Roman" w:hAnsi="Times New Roman" w:cs="Times New Roman"/>
          <w:sz w:val="24"/>
          <w:szCs w:val="24"/>
        </w:rPr>
        <w:t xml:space="preserve"> concentrations; the formulation with 50% millet flour had the highest value at 1.42 %.</w:t>
      </w:r>
    </w:p>
    <w:p w14:paraId="0C08BC1E" w14:textId="77777777" w:rsidR="00323922" w:rsidRPr="00D97E2A" w:rsidRDefault="004D606E" w:rsidP="000B4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w:t>
      </w:r>
      <w:r>
        <w:rPr>
          <w:rFonts w:ascii="Times New Roman" w:hAnsi="Times New Roman" w:cs="Times New Roman"/>
          <w:sz w:val="24"/>
          <w:szCs w:val="24"/>
          <w:highlight w:val="yellow"/>
        </w:rPr>
        <w:t>protein content</w:t>
      </w:r>
      <w:r>
        <w:rPr>
          <w:rFonts w:ascii="Times New Roman" w:hAnsi="Times New Roman" w:cs="Times New Roman"/>
          <w:sz w:val="24"/>
          <w:szCs w:val="24"/>
        </w:rPr>
        <w:t xml:space="preserve"> varied from 9.89 to 13.44 %, with the bread made with 50% of pigeon pea flour having the highest value at 10.30 %. The values were higher than </w:t>
      </w:r>
      <w:r>
        <w:rPr>
          <w:rFonts w:ascii="Times New Roman" w:hAnsi="Times New Roman" w:cs="Times New Roman"/>
          <w:sz w:val="24"/>
          <w:szCs w:val="24"/>
          <w:highlight w:val="yellow"/>
        </w:rPr>
        <w:t>7.22 to 10.90%</w:t>
      </w:r>
      <w:r>
        <w:rPr>
          <w:rFonts w:ascii="Times New Roman" w:hAnsi="Times New Roman" w:cs="Times New Roman"/>
          <w:sz w:val="24"/>
          <w:szCs w:val="24"/>
        </w:rPr>
        <w:t xml:space="preserve"> protein reported by Onuoha et al. (2025) for </w:t>
      </w:r>
      <w:r>
        <w:rPr>
          <w:rFonts w:ascii="Times New Roman" w:hAnsi="Times New Roman" w:cs="Times New Roman"/>
          <w:sz w:val="24"/>
          <w:szCs w:val="24"/>
          <w:highlight w:val="yellow"/>
        </w:rPr>
        <w:t>baked snacks</w:t>
      </w:r>
      <w:r>
        <w:rPr>
          <w:rFonts w:ascii="Times New Roman" w:hAnsi="Times New Roman" w:cs="Times New Roman"/>
          <w:sz w:val="24"/>
          <w:szCs w:val="24"/>
        </w:rPr>
        <w:t xml:space="preserve"> made from composite flour, but </w:t>
      </w:r>
      <w:r>
        <w:rPr>
          <w:rFonts w:ascii="Times New Roman" w:hAnsi="Times New Roman" w:cs="Times New Roman"/>
          <w:sz w:val="24"/>
          <w:szCs w:val="24"/>
          <w:highlight w:val="yellow"/>
        </w:rPr>
        <w:t>similar to</w:t>
      </w:r>
      <w:r>
        <w:rPr>
          <w:rFonts w:ascii="Times New Roman" w:hAnsi="Times New Roman" w:cs="Times New Roman"/>
          <w:sz w:val="24"/>
          <w:szCs w:val="24"/>
        </w:rPr>
        <w:t xml:space="preserve"> 10.41 to 14.26% protein reported by Emojorho, Adinkwu, Obetta, et al. (2025) for biscuits made from composite flour of sorghum, </w:t>
      </w:r>
      <w:r>
        <w:rPr>
          <w:rFonts w:ascii="Times New Roman" w:hAnsi="Times New Roman" w:cs="Times New Roman"/>
          <w:sz w:val="24"/>
          <w:szCs w:val="24"/>
          <w:highlight w:val="yellow"/>
        </w:rPr>
        <w:t>Bambara groundnut</w:t>
      </w:r>
      <w:r>
        <w:rPr>
          <w:rFonts w:ascii="Times New Roman" w:hAnsi="Times New Roman" w:cs="Times New Roman"/>
          <w:sz w:val="24"/>
          <w:szCs w:val="24"/>
        </w:rPr>
        <w:t xml:space="preserve">, and wheat flours. Higher amounts of pigeon pea flour considerably raised the </w:t>
      </w:r>
      <w:r>
        <w:rPr>
          <w:rFonts w:ascii="Times New Roman" w:hAnsi="Times New Roman" w:cs="Times New Roman"/>
          <w:sz w:val="24"/>
          <w:szCs w:val="24"/>
          <w:highlight w:val="yellow"/>
        </w:rPr>
        <w:t>bread's protein content</w:t>
      </w:r>
      <w:r>
        <w:rPr>
          <w:rFonts w:ascii="Times New Roman" w:hAnsi="Times New Roman" w:cs="Times New Roman"/>
          <w:sz w:val="24"/>
          <w:szCs w:val="24"/>
        </w:rPr>
        <w:t xml:space="preserve">, but higher amounts of millet flour resulted in a decrease. </w:t>
      </w:r>
      <w:r>
        <w:rPr>
          <w:rFonts w:ascii="Times New Roman" w:hAnsi="Times New Roman" w:cs="Times New Roman"/>
          <w:sz w:val="24"/>
          <w:szCs w:val="24"/>
          <w:highlight w:val="yellow"/>
        </w:rPr>
        <w:t>Compared with bread made from 100% wheat flour</w:t>
      </w:r>
      <w:r>
        <w:rPr>
          <w:rFonts w:ascii="Times New Roman" w:hAnsi="Times New Roman" w:cs="Times New Roman"/>
          <w:sz w:val="24"/>
          <w:szCs w:val="24"/>
        </w:rPr>
        <w:t>, pigeon pea flour substitution produced notably greater protein concentrations; but the formulation with 50% millet  flour had the lowest value at 9.86 %.</w:t>
      </w:r>
    </w:p>
    <w:p w14:paraId="46257B27" w14:textId="77777777" w:rsidR="000B4BA1" w:rsidRPr="00D97E2A" w:rsidRDefault="008C5AD3" w:rsidP="000B4B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carbohydrate content varied from 55.94 to 70.40%, with the bread made with 50% pigeon pea flour having the lowest value at 55.94%. The results for bread made using composite flour were marginally lower than the 52.01 to 59.82% reported by Emojorho, Adinkwu, Obetta, et al. (2025). The results were also lower than 56.33 to 74.70 % reported by Chiedu et al. (2023) for composite flour. Higher amounts of pigeon pea and millet flours caused the </w:t>
      </w:r>
      <w:r>
        <w:rPr>
          <w:rFonts w:ascii="Times New Roman" w:hAnsi="Times New Roman" w:cs="Times New Roman"/>
          <w:sz w:val="24"/>
          <w:szCs w:val="24"/>
          <w:highlight w:val="yellow"/>
        </w:rPr>
        <w:t>bread's carbohydrate content</w:t>
      </w:r>
      <w:r>
        <w:rPr>
          <w:rFonts w:ascii="Times New Roman" w:hAnsi="Times New Roman" w:cs="Times New Roman"/>
          <w:sz w:val="24"/>
          <w:szCs w:val="24"/>
        </w:rPr>
        <w:t xml:space="preserve"> to decrease noticeably. </w:t>
      </w:r>
      <w:r>
        <w:rPr>
          <w:rFonts w:ascii="Times New Roman" w:hAnsi="Times New Roman" w:cs="Times New Roman"/>
          <w:sz w:val="24"/>
          <w:szCs w:val="24"/>
          <w:highlight w:val="yellow"/>
        </w:rPr>
        <w:t>The carbohydrate contents of bread made with pigeon pea flour were lower than those of bread made with millet flour.</w:t>
      </w:r>
      <w:r>
        <w:rPr>
          <w:rFonts w:ascii="Times New Roman" w:hAnsi="Times New Roman" w:cs="Times New Roman"/>
          <w:sz w:val="24"/>
          <w:szCs w:val="24"/>
        </w:rPr>
        <w:t xml:space="preserve"> </w:t>
      </w:r>
    </w:p>
    <w:p w14:paraId="26F2601C"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3.2 Phytochemical concentration of bread produced from blends of wheat, pigeon pea and millet flour</w:t>
      </w:r>
    </w:p>
    <w:p w14:paraId="3B5DDCF3"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Table 2: Phytochemical concentration of bread produced from blends of wheat, pigeon pea and millet flour (mg/100g)</w:t>
      </w:r>
    </w:p>
    <w:p w14:paraId="1AF23AC2" w14:textId="77777777" w:rsidR="00216D1D" w:rsidRPr="00D97E2A" w:rsidRDefault="00A640F8" w:rsidP="00216D1D">
      <w:pPr>
        <w:rPr>
          <w:rFonts w:ascii="Times New Roman" w:eastAsia="Calibri" w:hAnsi="Times New Roman" w:cs="Times New Roman"/>
        </w:rPr>
      </w:pPr>
      <w:r>
        <w:rPr>
          <w:rFonts w:ascii="Times New Roman" w:eastAsia="Calibri" w:hAnsi="Times New Roman" w:cs="Times New Roman"/>
          <w:highlight w:val="yellow"/>
        </w:rPr>
        <w:t>The phytochemical composition of the bread samples is shown in Table 2.</w:t>
      </w:r>
    </w:p>
    <w:tbl>
      <w:tblPr>
        <w:tblW w:w="5000" w:type="pct"/>
        <w:tblLook w:val="04A0" w:firstRow="1" w:lastRow="0" w:firstColumn="1" w:lastColumn="0" w:noHBand="0" w:noVBand="1"/>
      </w:tblPr>
      <w:tblGrid>
        <w:gridCol w:w="1433"/>
        <w:gridCol w:w="1604"/>
        <w:gridCol w:w="453"/>
        <w:gridCol w:w="1580"/>
        <w:gridCol w:w="335"/>
        <w:gridCol w:w="1945"/>
        <w:gridCol w:w="1675"/>
        <w:gridCol w:w="335"/>
      </w:tblGrid>
      <w:tr w:rsidR="00D97E2A" w:rsidRPr="00D97E2A" w14:paraId="74146C03" w14:textId="77777777" w:rsidTr="007B3D05">
        <w:trPr>
          <w:trHeight w:val="288"/>
        </w:trPr>
        <w:tc>
          <w:tcPr>
            <w:tcW w:w="765" w:type="pct"/>
            <w:tcBorders>
              <w:top w:val="single" w:sz="4" w:space="0" w:color="auto"/>
              <w:left w:val="nil"/>
              <w:bottom w:val="single" w:sz="4" w:space="0" w:color="auto"/>
              <w:right w:val="nil"/>
            </w:tcBorders>
            <w:noWrap/>
            <w:vAlign w:val="bottom"/>
            <w:hideMark/>
          </w:tcPr>
          <w:p w14:paraId="59C4EE3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SAMPLE</w:t>
            </w:r>
          </w:p>
        </w:tc>
        <w:tc>
          <w:tcPr>
            <w:tcW w:w="857" w:type="pct"/>
            <w:tcBorders>
              <w:top w:val="single" w:sz="4" w:space="0" w:color="auto"/>
              <w:left w:val="nil"/>
              <w:bottom w:val="single" w:sz="4" w:space="0" w:color="auto"/>
              <w:right w:val="nil"/>
            </w:tcBorders>
            <w:noWrap/>
            <w:vAlign w:val="bottom"/>
            <w:hideMark/>
          </w:tcPr>
          <w:p w14:paraId="72F336E6"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TANIN</w:t>
            </w:r>
          </w:p>
        </w:tc>
        <w:tc>
          <w:tcPr>
            <w:tcW w:w="242" w:type="pct"/>
            <w:tcBorders>
              <w:top w:val="single" w:sz="4" w:space="0" w:color="auto"/>
              <w:left w:val="nil"/>
              <w:bottom w:val="single" w:sz="4" w:space="0" w:color="auto"/>
              <w:right w:val="nil"/>
            </w:tcBorders>
            <w:noWrap/>
            <w:vAlign w:val="bottom"/>
            <w:hideMark/>
          </w:tcPr>
          <w:p w14:paraId="778E18FA" w14:textId="77777777" w:rsidR="00216D1D" w:rsidRPr="00D97E2A" w:rsidRDefault="00216D1D" w:rsidP="00216D1D">
            <w:pPr>
              <w:rPr>
                <w:rFonts w:ascii="Times New Roman" w:hAnsi="Times New Roman" w:cs="Times New Roman"/>
                <w:sz w:val="24"/>
                <w:szCs w:val="24"/>
              </w:rPr>
            </w:pPr>
          </w:p>
        </w:tc>
        <w:tc>
          <w:tcPr>
            <w:tcW w:w="844" w:type="pct"/>
            <w:tcBorders>
              <w:top w:val="single" w:sz="4" w:space="0" w:color="auto"/>
              <w:left w:val="nil"/>
              <w:bottom w:val="single" w:sz="4" w:space="0" w:color="auto"/>
              <w:right w:val="nil"/>
            </w:tcBorders>
            <w:noWrap/>
            <w:vAlign w:val="bottom"/>
            <w:hideMark/>
          </w:tcPr>
          <w:p w14:paraId="21611FB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SAPONIN</w:t>
            </w:r>
          </w:p>
        </w:tc>
        <w:tc>
          <w:tcPr>
            <w:tcW w:w="179" w:type="pct"/>
            <w:tcBorders>
              <w:top w:val="single" w:sz="4" w:space="0" w:color="auto"/>
              <w:left w:val="nil"/>
              <w:bottom w:val="single" w:sz="4" w:space="0" w:color="auto"/>
              <w:right w:val="nil"/>
            </w:tcBorders>
            <w:noWrap/>
            <w:vAlign w:val="bottom"/>
            <w:hideMark/>
          </w:tcPr>
          <w:p w14:paraId="260B6550" w14:textId="77777777" w:rsidR="00216D1D" w:rsidRPr="00D97E2A" w:rsidRDefault="00216D1D" w:rsidP="00216D1D">
            <w:pPr>
              <w:rPr>
                <w:rFonts w:ascii="Times New Roman" w:hAnsi="Times New Roman" w:cs="Times New Roman"/>
                <w:sz w:val="24"/>
                <w:szCs w:val="24"/>
              </w:rPr>
            </w:pPr>
          </w:p>
        </w:tc>
        <w:tc>
          <w:tcPr>
            <w:tcW w:w="1039" w:type="pct"/>
            <w:tcBorders>
              <w:top w:val="single" w:sz="4" w:space="0" w:color="auto"/>
              <w:left w:val="nil"/>
              <w:bottom w:val="single" w:sz="4" w:space="0" w:color="auto"/>
              <w:right w:val="nil"/>
            </w:tcBorders>
            <w:noWrap/>
            <w:vAlign w:val="bottom"/>
            <w:hideMark/>
          </w:tcPr>
          <w:p w14:paraId="1E3A64C3"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FLAVONOID</w:t>
            </w:r>
          </w:p>
        </w:tc>
        <w:tc>
          <w:tcPr>
            <w:tcW w:w="895" w:type="pct"/>
            <w:tcBorders>
              <w:top w:val="single" w:sz="4" w:space="0" w:color="auto"/>
              <w:left w:val="nil"/>
              <w:bottom w:val="single" w:sz="4" w:space="0" w:color="auto"/>
              <w:right w:val="nil"/>
            </w:tcBorders>
            <w:noWrap/>
            <w:vAlign w:val="bottom"/>
            <w:hideMark/>
          </w:tcPr>
          <w:p w14:paraId="4138573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ALKALOID</w:t>
            </w:r>
          </w:p>
        </w:tc>
        <w:tc>
          <w:tcPr>
            <w:tcW w:w="179" w:type="pct"/>
            <w:tcBorders>
              <w:top w:val="single" w:sz="4" w:space="0" w:color="auto"/>
              <w:left w:val="nil"/>
              <w:bottom w:val="single" w:sz="4" w:space="0" w:color="auto"/>
              <w:right w:val="nil"/>
            </w:tcBorders>
            <w:noWrap/>
            <w:vAlign w:val="bottom"/>
            <w:hideMark/>
          </w:tcPr>
          <w:p w14:paraId="2977CD87" w14:textId="77777777" w:rsidR="00216D1D" w:rsidRPr="00D97E2A" w:rsidRDefault="00216D1D" w:rsidP="00216D1D">
            <w:pPr>
              <w:rPr>
                <w:rFonts w:ascii="Times New Roman" w:hAnsi="Times New Roman" w:cs="Times New Roman"/>
                <w:sz w:val="24"/>
                <w:szCs w:val="24"/>
              </w:rPr>
            </w:pPr>
          </w:p>
        </w:tc>
      </w:tr>
      <w:tr w:rsidR="00D97E2A" w:rsidRPr="00D97E2A" w14:paraId="4024EC3D" w14:textId="77777777" w:rsidTr="00637EB0">
        <w:trPr>
          <w:trHeight w:val="288"/>
        </w:trPr>
        <w:tc>
          <w:tcPr>
            <w:tcW w:w="765" w:type="pct"/>
            <w:tcBorders>
              <w:top w:val="single" w:sz="4" w:space="0" w:color="auto"/>
              <w:left w:val="nil"/>
              <w:bottom w:val="nil"/>
              <w:right w:val="nil"/>
            </w:tcBorders>
            <w:noWrap/>
            <w:vAlign w:val="bottom"/>
            <w:hideMark/>
          </w:tcPr>
          <w:p w14:paraId="4E80A33A"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099" w:type="pct"/>
            <w:gridSpan w:val="2"/>
            <w:tcBorders>
              <w:top w:val="single" w:sz="4" w:space="0" w:color="auto"/>
              <w:left w:val="nil"/>
              <w:bottom w:val="nil"/>
              <w:right w:val="nil"/>
            </w:tcBorders>
            <w:noWrap/>
            <w:vAlign w:val="bottom"/>
            <w:hideMark/>
          </w:tcPr>
          <w:p w14:paraId="3802D6E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17.66</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±1.04</w:t>
            </w:r>
          </w:p>
        </w:tc>
        <w:tc>
          <w:tcPr>
            <w:tcW w:w="1023" w:type="pct"/>
            <w:gridSpan w:val="2"/>
            <w:tcBorders>
              <w:top w:val="single" w:sz="4" w:space="0" w:color="auto"/>
              <w:left w:val="nil"/>
              <w:bottom w:val="nil"/>
              <w:right w:val="nil"/>
            </w:tcBorders>
            <w:noWrap/>
            <w:vAlign w:val="bottom"/>
            <w:hideMark/>
          </w:tcPr>
          <w:p w14:paraId="5FFAB51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2.89</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±0.05</w:t>
            </w:r>
          </w:p>
        </w:tc>
        <w:tc>
          <w:tcPr>
            <w:tcW w:w="1039" w:type="pct"/>
            <w:tcBorders>
              <w:top w:val="single" w:sz="4" w:space="0" w:color="auto"/>
              <w:left w:val="nil"/>
              <w:bottom w:val="nil"/>
              <w:right w:val="nil"/>
            </w:tcBorders>
            <w:noWrap/>
            <w:vAlign w:val="bottom"/>
            <w:hideMark/>
          </w:tcPr>
          <w:p w14:paraId="3002A33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7.49</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±0.27</w:t>
            </w:r>
          </w:p>
        </w:tc>
        <w:tc>
          <w:tcPr>
            <w:tcW w:w="1074" w:type="pct"/>
            <w:gridSpan w:val="2"/>
            <w:tcBorders>
              <w:top w:val="single" w:sz="4" w:space="0" w:color="auto"/>
              <w:left w:val="nil"/>
              <w:bottom w:val="nil"/>
              <w:right w:val="nil"/>
            </w:tcBorders>
            <w:noWrap/>
            <w:vAlign w:val="bottom"/>
            <w:hideMark/>
          </w:tcPr>
          <w:p w14:paraId="703BC5EC"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6.00</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±0.06</w:t>
            </w:r>
          </w:p>
        </w:tc>
      </w:tr>
      <w:tr w:rsidR="00D97E2A" w:rsidRPr="00D97E2A" w14:paraId="4DBC9B07" w14:textId="77777777" w:rsidTr="00637EB0">
        <w:trPr>
          <w:trHeight w:val="288"/>
        </w:trPr>
        <w:tc>
          <w:tcPr>
            <w:tcW w:w="765" w:type="pct"/>
            <w:tcBorders>
              <w:top w:val="nil"/>
              <w:left w:val="nil"/>
              <w:bottom w:val="nil"/>
              <w:right w:val="nil"/>
            </w:tcBorders>
            <w:noWrap/>
            <w:vAlign w:val="bottom"/>
            <w:hideMark/>
          </w:tcPr>
          <w:p w14:paraId="6387C397"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00216D1D" w:rsidRPr="00D97E2A">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6A67531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20.00</w:t>
            </w:r>
            <w:r w:rsidRPr="00D97E2A">
              <w:rPr>
                <w:rFonts w:ascii="Times New Roman" w:hAnsi="Times New Roman" w:cs="Times New Roman"/>
                <w:sz w:val="24"/>
                <w:szCs w:val="24"/>
                <w:vertAlign w:val="superscript"/>
              </w:rPr>
              <w:t>ab</w:t>
            </w:r>
            <w:r w:rsidRPr="00D97E2A">
              <w:rPr>
                <w:rFonts w:ascii="Times New Roman" w:hAnsi="Times New Roman" w:cs="Times New Roman"/>
                <w:sz w:val="24"/>
                <w:szCs w:val="24"/>
              </w:rPr>
              <w:t>±0.49</w:t>
            </w:r>
          </w:p>
        </w:tc>
        <w:tc>
          <w:tcPr>
            <w:tcW w:w="1023" w:type="pct"/>
            <w:gridSpan w:val="2"/>
            <w:tcBorders>
              <w:top w:val="nil"/>
              <w:left w:val="nil"/>
              <w:bottom w:val="nil"/>
              <w:right w:val="nil"/>
            </w:tcBorders>
            <w:noWrap/>
            <w:vAlign w:val="bottom"/>
            <w:hideMark/>
          </w:tcPr>
          <w:p w14:paraId="18EC88E2"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2.71</w:t>
            </w:r>
            <w:r w:rsidR="003677DE">
              <w:rPr>
                <w:rFonts w:ascii="Times New Roman" w:hAnsi="Times New Roman" w:cs="Times New Roman"/>
                <w:sz w:val="24"/>
                <w:szCs w:val="24"/>
                <w:vertAlign w:val="superscript"/>
              </w:rPr>
              <w:t>c</w:t>
            </w:r>
            <w:r w:rsidRPr="00D97E2A">
              <w:rPr>
                <w:rFonts w:ascii="Times New Roman" w:hAnsi="Times New Roman" w:cs="Times New Roman"/>
                <w:sz w:val="24"/>
                <w:szCs w:val="24"/>
              </w:rPr>
              <w:t>±0.03</w:t>
            </w:r>
          </w:p>
        </w:tc>
        <w:tc>
          <w:tcPr>
            <w:tcW w:w="1039" w:type="pct"/>
            <w:tcBorders>
              <w:top w:val="nil"/>
              <w:left w:val="nil"/>
              <w:bottom w:val="nil"/>
              <w:right w:val="nil"/>
            </w:tcBorders>
            <w:noWrap/>
            <w:vAlign w:val="bottom"/>
            <w:hideMark/>
          </w:tcPr>
          <w:p w14:paraId="454BF78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8.51</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±0.23</w:t>
            </w:r>
          </w:p>
        </w:tc>
        <w:tc>
          <w:tcPr>
            <w:tcW w:w="1074" w:type="pct"/>
            <w:gridSpan w:val="2"/>
            <w:tcBorders>
              <w:top w:val="nil"/>
              <w:left w:val="nil"/>
              <w:bottom w:val="nil"/>
              <w:right w:val="nil"/>
            </w:tcBorders>
            <w:noWrap/>
            <w:vAlign w:val="bottom"/>
            <w:hideMark/>
          </w:tcPr>
          <w:p w14:paraId="0E64D7EF"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5.6</w:t>
            </w:r>
            <w:r w:rsidR="00216D1D" w:rsidRPr="00D97E2A">
              <w:rPr>
                <w:rFonts w:ascii="Times New Roman" w:hAnsi="Times New Roman" w:cs="Times New Roman"/>
                <w:sz w:val="24"/>
                <w:szCs w:val="24"/>
              </w:rPr>
              <w:t>0</w:t>
            </w:r>
            <w:r w:rsidR="003677DE">
              <w:rPr>
                <w:rFonts w:ascii="Times New Roman" w:hAnsi="Times New Roman" w:cs="Times New Roman"/>
                <w:sz w:val="24"/>
                <w:szCs w:val="24"/>
                <w:vertAlign w:val="superscript"/>
              </w:rPr>
              <w:t>b</w:t>
            </w:r>
            <w:r w:rsidR="00216D1D" w:rsidRPr="00D97E2A">
              <w:rPr>
                <w:rFonts w:ascii="Times New Roman" w:hAnsi="Times New Roman" w:cs="Times New Roman"/>
                <w:sz w:val="24"/>
                <w:szCs w:val="24"/>
              </w:rPr>
              <w:t>±0.05</w:t>
            </w:r>
          </w:p>
        </w:tc>
      </w:tr>
      <w:tr w:rsidR="00D97E2A" w:rsidRPr="00D97E2A" w14:paraId="2A55C7DA" w14:textId="77777777" w:rsidTr="00637EB0">
        <w:trPr>
          <w:trHeight w:val="288"/>
        </w:trPr>
        <w:tc>
          <w:tcPr>
            <w:tcW w:w="765" w:type="pct"/>
            <w:tcBorders>
              <w:top w:val="nil"/>
              <w:left w:val="nil"/>
              <w:bottom w:val="nil"/>
              <w:right w:val="nil"/>
            </w:tcBorders>
            <w:noWrap/>
            <w:vAlign w:val="bottom"/>
            <w:hideMark/>
          </w:tcPr>
          <w:p w14:paraId="57944604"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lastRenderedPageBreak/>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099" w:type="pct"/>
            <w:gridSpan w:val="2"/>
            <w:tcBorders>
              <w:top w:val="nil"/>
              <w:left w:val="nil"/>
              <w:bottom w:val="nil"/>
              <w:right w:val="nil"/>
            </w:tcBorders>
            <w:noWrap/>
            <w:vAlign w:val="bottom"/>
            <w:hideMark/>
          </w:tcPr>
          <w:p w14:paraId="6E4EE590"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20.35</w:t>
            </w:r>
            <w:r w:rsidRPr="00D97E2A">
              <w:rPr>
                <w:rFonts w:ascii="Times New Roman" w:hAnsi="Times New Roman" w:cs="Times New Roman"/>
                <w:sz w:val="24"/>
                <w:szCs w:val="24"/>
                <w:vertAlign w:val="superscript"/>
              </w:rPr>
              <w:t>a</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63C9A48B"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3.34</w:t>
            </w:r>
            <w:r w:rsidR="003677DE">
              <w:rPr>
                <w:rFonts w:ascii="Times New Roman" w:hAnsi="Times New Roman" w:cs="Times New Roman"/>
                <w:sz w:val="24"/>
                <w:szCs w:val="24"/>
                <w:vertAlign w:val="superscript"/>
              </w:rPr>
              <w:t>ab</w:t>
            </w:r>
            <w:r w:rsidRPr="00D97E2A">
              <w:rPr>
                <w:rFonts w:ascii="Times New Roman" w:hAnsi="Times New Roman" w:cs="Times New Roman"/>
                <w:sz w:val="24"/>
                <w:szCs w:val="24"/>
              </w:rPr>
              <w:t>±0.07</w:t>
            </w:r>
          </w:p>
        </w:tc>
        <w:tc>
          <w:tcPr>
            <w:tcW w:w="1039" w:type="pct"/>
            <w:tcBorders>
              <w:top w:val="nil"/>
              <w:left w:val="nil"/>
              <w:bottom w:val="nil"/>
              <w:right w:val="nil"/>
            </w:tcBorders>
            <w:noWrap/>
            <w:vAlign w:val="bottom"/>
            <w:hideMark/>
          </w:tcPr>
          <w:p w14:paraId="49BA639A"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6.40</w:t>
            </w:r>
            <w:r w:rsidRPr="00D97E2A">
              <w:rPr>
                <w:rFonts w:ascii="Times New Roman" w:hAnsi="Times New Roman" w:cs="Times New Roman"/>
                <w:sz w:val="24"/>
                <w:szCs w:val="24"/>
                <w:vertAlign w:val="superscript"/>
              </w:rPr>
              <w:t>c</w:t>
            </w:r>
            <w:r w:rsidRPr="00D97E2A">
              <w:rPr>
                <w:rFonts w:ascii="Times New Roman" w:hAnsi="Times New Roman" w:cs="Times New Roman"/>
                <w:sz w:val="24"/>
                <w:szCs w:val="24"/>
              </w:rPr>
              <w:t>±0.19</w:t>
            </w:r>
          </w:p>
        </w:tc>
        <w:tc>
          <w:tcPr>
            <w:tcW w:w="1074" w:type="pct"/>
            <w:gridSpan w:val="2"/>
            <w:tcBorders>
              <w:top w:val="nil"/>
              <w:left w:val="nil"/>
              <w:bottom w:val="nil"/>
              <w:right w:val="nil"/>
            </w:tcBorders>
            <w:noWrap/>
            <w:vAlign w:val="bottom"/>
            <w:hideMark/>
          </w:tcPr>
          <w:p w14:paraId="0E8BF57F"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6.80</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±0.18</w:t>
            </w:r>
          </w:p>
        </w:tc>
      </w:tr>
      <w:tr w:rsidR="00D97E2A" w:rsidRPr="00D97E2A" w14:paraId="2F2B9ABF" w14:textId="77777777" w:rsidTr="00637EB0">
        <w:trPr>
          <w:trHeight w:val="288"/>
        </w:trPr>
        <w:tc>
          <w:tcPr>
            <w:tcW w:w="765" w:type="pct"/>
            <w:tcBorders>
              <w:top w:val="nil"/>
              <w:left w:val="nil"/>
              <w:bottom w:val="nil"/>
              <w:right w:val="nil"/>
            </w:tcBorders>
            <w:noWrap/>
            <w:vAlign w:val="bottom"/>
            <w:hideMark/>
          </w:tcPr>
          <w:p w14:paraId="37E0D14F"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00216D1D" w:rsidRPr="00D97E2A">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46CA98BE"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21.29</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6552911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3.70</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±0.11</w:t>
            </w:r>
          </w:p>
        </w:tc>
        <w:tc>
          <w:tcPr>
            <w:tcW w:w="1039" w:type="pct"/>
            <w:tcBorders>
              <w:top w:val="nil"/>
              <w:left w:val="nil"/>
              <w:bottom w:val="nil"/>
              <w:right w:val="nil"/>
            </w:tcBorders>
            <w:noWrap/>
            <w:vAlign w:val="bottom"/>
            <w:hideMark/>
          </w:tcPr>
          <w:p w14:paraId="2B94A739"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7.47</w:t>
            </w:r>
            <w:r w:rsidRPr="00D97E2A">
              <w:rPr>
                <w:rFonts w:ascii="Times New Roman" w:hAnsi="Times New Roman" w:cs="Times New Roman"/>
                <w:sz w:val="24"/>
                <w:szCs w:val="24"/>
                <w:vertAlign w:val="superscript"/>
              </w:rPr>
              <w:t>b</w:t>
            </w:r>
            <w:r w:rsidRPr="00D97E2A">
              <w:rPr>
                <w:rFonts w:ascii="Times New Roman" w:hAnsi="Times New Roman" w:cs="Times New Roman"/>
                <w:sz w:val="24"/>
                <w:szCs w:val="24"/>
              </w:rPr>
              <w:t>±0.28</w:t>
            </w:r>
          </w:p>
        </w:tc>
        <w:tc>
          <w:tcPr>
            <w:tcW w:w="1074" w:type="pct"/>
            <w:gridSpan w:val="2"/>
            <w:tcBorders>
              <w:top w:val="nil"/>
              <w:left w:val="nil"/>
              <w:bottom w:val="nil"/>
              <w:right w:val="nil"/>
            </w:tcBorders>
            <w:noWrap/>
            <w:vAlign w:val="bottom"/>
            <w:hideMark/>
          </w:tcPr>
          <w:p w14:paraId="00E01253" w14:textId="77777777" w:rsidR="00216D1D" w:rsidRPr="00D97E2A" w:rsidRDefault="00B44211" w:rsidP="00216D1D">
            <w:pPr>
              <w:rPr>
                <w:rFonts w:ascii="Times New Roman" w:hAnsi="Times New Roman" w:cs="Times New Roman"/>
                <w:sz w:val="24"/>
                <w:szCs w:val="24"/>
              </w:rPr>
            </w:pPr>
            <w:r w:rsidRPr="00D97E2A">
              <w:rPr>
                <w:rFonts w:ascii="Times New Roman" w:hAnsi="Times New Roman" w:cs="Times New Roman"/>
                <w:sz w:val="24"/>
                <w:szCs w:val="24"/>
              </w:rPr>
              <w:t>6.88</w:t>
            </w:r>
            <w:r w:rsidR="00216D1D" w:rsidRPr="00D97E2A">
              <w:rPr>
                <w:rFonts w:ascii="Times New Roman" w:hAnsi="Times New Roman" w:cs="Times New Roman"/>
                <w:sz w:val="24"/>
                <w:szCs w:val="24"/>
                <w:vertAlign w:val="superscript"/>
              </w:rPr>
              <w:t>a</w:t>
            </w:r>
            <w:r w:rsidR="00216D1D" w:rsidRPr="00D97E2A">
              <w:rPr>
                <w:rFonts w:ascii="Times New Roman" w:hAnsi="Times New Roman" w:cs="Times New Roman"/>
                <w:sz w:val="24"/>
                <w:szCs w:val="24"/>
              </w:rPr>
              <w:t>±0.08</w:t>
            </w:r>
          </w:p>
        </w:tc>
      </w:tr>
      <w:tr w:rsidR="00D97E2A" w:rsidRPr="00D97E2A" w14:paraId="5778F170" w14:textId="77777777" w:rsidTr="00637EB0">
        <w:trPr>
          <w:trHeight w:val="288"/>
        </w:trPr>
        <w:tc>
          <w:tcPr>
            <w:tcW w:w="765" w:type="pct"/>
            <w:tcBorders>
              <w:top w:val="nil"/>
              <w:left w:val="nil"/>
              <w:bottom w:val="single" w:sz="4" w:space="0" w:color="auto"/>
              <w:right w:val="nil"/>
            </w:tcBorders>
            <w:noWrap/>
            <w:vAlign w:val="bottom"/>
            <w:hideMark/>
          </w:tcPr>
          <w:p w14:paraId="36DC6BC1" w14:textId="77777777" w:rsidR="00216D1D" w:rsidRPr="00D97E2A" w:rsidRDefault="0035314D" w:rsidP="00216D1D">
            <w:pPr>
              <w:rPr>
                <w:rFonts w:ascii="Times New Roman" w:hAnsi="Times New Roman" w:cs="Times New Roman"/>
                <w:sz w:val="24"/>
                <w:szCs w:val="24"/>
              </w:rPr>
            </w:pPr>
            <w:r w:rsidRPr="00D97E2A">
              <w:rPr>
                <w:rFonts w:ascii="Times New Roman" w:hAnsi="Times New Roman" w:cs="Times New Roman"/>
                <w:sz w:val="24"/>
                <w:szCs w:val="24"/>
              </w:rPr>
              <w:t>CB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1</w:t>
            </w:r>
            <w:r w:rsidR="00216D1D" w:rsidRPr="00D97E2A">
              <w:rPr>
                <w:rFonts w:ascii="Times New Roman" w:hAnsi="Times New Roman" w:cs="Times New Roman"/>
                <w:sz w:val="24"/>
                <w:szCs w:val="24"/>
              </w:rPr>
              <w:t>00</w:t>
            </w:r>
          </w:p>
        </w:tc>
        <w:tc>
          <w:tcPr>
            <w:tcW w:w="1099" w:type="pct"/>
            <w:gridSpan w:val="2"/>
            <w:tcBorders>
              <w:top w:val="nil"/>
              <w:left w:val="nil"/>
              <w:bottom w:val="single" w:sz="4" w:space="0" w:color="auto"/>
              <w:right w:val="nil"/>
            </w:tcBorders>
            <w:noWrap/>
            <w:vAlign w:val="bottom"/>
            <w:hideMark/>
          </w:tcPr>
          <w:p w14:paraId="411E8C57"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18.72</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±0.64</w:t>
            </w:r>
          </w:p>
        </w:tc>
        <w:tc>
          <w:tcPr>
            <w:tcW w:w="1023" w:type="pct"/>
            <w:gridSpan w:val="2"/>
            <w:tcBorders>
              <w:top w:val="nil"/>
              <w:left w:val="nil"/>
              <w:bottom w:val="single" w:sz="4" w:space="0" w:color="auto"/>
              <w:right w:val="nil"/>
            </w:tcBorders>
            <w:noWrap/>
            <w:vAlign w:val="bottom"/>
            <w:hideMark/>
          </w:tcPr>
          <w:p w14:paraId="4BFAB0D5"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3.08</w:t>
            </w:r>
            <w:r w:rsidR="003677DE">
              <w:rPr>
                <w:rFonts w:ascii="Times New Roman" w:hAnsi="Times New Roman" w:cs="Times New Roman"/>
                <w:sz w:val="24"/>
                <w:szCs w:val="24"/>
                <w:vertAlign w:val="superscript"/>
              </w:rPr>
              <w:t>b</w:t>
            </w:r>
            <w:r w:rsidRPr="00D97E2A">
              <w:rPr>
                <w:rFonts w:ascii="Times New Roman" w:hAnsi="Times New Roman" w:cs="Times New Roman"/>
                <w:sz w:val="24"/>
                <w:szCs w:val="24"/>
              </w:rPr>
              <w:t>±0.07</w:t>
            </w:r>
          </w:p>
        </w:tc>
        <w:tc>
          <w:tcPr>
            <w:tcW w:w="1039" w:type="pct"/>
            <w:tcBorders>
              <w:top w:val="nil"/>
              <w:left w:val="nil"/>
              <w:bottom w:val="single" w:sz="4" w:space="0" w:color="auto"/>
              <w:right w:val="nil"/>
            </w:tcBorders>
            <w:noWrap/>
            <w:vAlign w:val="bottom"/>
            <w:hideMark/>
          </w:tcPr>
          <w:p w14:paraId="6B5EC34D"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3.27</w:t>
            </w:r>
            <w:r w:rsidRPr="00D97E2A">
              <w:rPr>
                <w:rFonts w:ascii="Times New Roman" w:hAnsi="Times New Roman" w:cs="Times New Roman"/>
                <w:sz w:val="24"/>
                <w:szCs w:val="24"/>
                <w:vertAlign w:val="superscript"/>
              </w:rPr>
              <w:t>d</w:t>
            </w:r>
            <w:r w:rsidRPr="00D97E2A">
              <w:rPr>
                <w:rFonts w:ascii="Times New Roman" w:hAnsi="Times New Roman" w:cs="Times New Roman"/>
                <w:sz w:val="24"/>
                <w:szCs w:val="24"/>
              </w:rPr>
              <w:t>±0.14</w:t>
            </w:r>
          </w:p>
        </w:tc>
        <w:tc>
          <w:tcPr>
            <w:tcW w:w="1074" w:type="pct"/>
            <w:gridSpan w:val="2"/>
            <w:tcBorders>
              <w:top w:val="nil"/>
              <w:left w:val="nil"/>
              <w:bottom w:val="single" w:sz="4" w:space="0" w:color="auto"/>
              <w:right w:val="nil"/>
            </w:tcBorders>
            <w:noWrap/>
            <w:vAlign w:val="bottom"/>
            <w:hideMark/>
          </w:tcPr>
          <w:p w14:paraId="2D775EB4" w14:textId="77777777" w:rsidR="00216D1D" w:rsidRPr="00D97E2A" w:rsidRDefault="00216D1D" w:rsidP="00216D1D">
            <w:pPr>
              <w:rPr>
                <w:rFonts w:ascii="Times New Roman" w:hAnsi="Times New Roman" w:cs="Times New Roman"/>
                <w:sz w:val="24"/>
                <w:szCs w:val="24"/>
              </w:rPr>
            </w:pPr>
            <w:r w:rsidRPr="00D97E2A">
              <w:rPr>
                <w:rFonts w:ascii="Times New Roman" w:hAnsi="Times New Roman" w:cs="Times New Roman"/>
                <w:sz w:val="24"/>
                <w:szCs w:val="24"/>
              </w:rPr>
              <w:t>6.04</w:t>
            </w:r>
            <w:r w:rsidRPr="00D97E2A">
              <w:rPr>
                <w:rFonts w:ascii="Times New Roman" w:hAnsi="Times New Roman" w:cs="Times New Roman"/>
                <w:sz w:val="24"/>
                <w:szCs w:val="24"/>
                <w:vertAlign w:val="superscript"/>
              </w:rPr>
              <w:t>a</w:t>
            </w:r>
            <w:r w:rsidRPr="00D97E2A">
              <w:rPr>
                <w:rFonts w:ascii="Times New Roman" w:hAnsi="Times New Roman" w:cs="Times New Roman"/>
                <w:sz w:val="24"/>
                <w:szCs w:val="24"/>
              </w:rPr>
              <w:t>±1.28</w:t>
            </w:r>
          </w:p>
        </w:tc>
      </w:tr>
    </w:tbl>
    <w:p w14:paraId="55D32B8E" w14:textId="77777777" w:rsidR="00A91533" w:rsidRPr="007B3D05" w:rsidRDefault="007B3D05" w:rsidP="007B3D05">
      <w:pPr>
        <w:spacing w:after="0" w:line="240" w:lineRule="auto"/>
        <w:jc w:val="both"/>
        <w:rPr>
          <w:rFonts w:ascii="Times New Roman" w:hAnsi="Times New Roman" w:cs="Times New Roman"/>
          <w:sz w:val="20"/>
          <w:szCs w:val="20"/>
        </w:rPr>
      </w:pPr>
      <w:r w:rsidRPr="007B3D05">
        <w:rPr>
          <w:rFonts w:ascii="Times New Roman" w:hAnsi="Times New Roman" w:cs="Times New Roman"/>
          <w:sz w:val="20"/>
          <w:szCs w:val="20"/>
        </w:rPr>
        <w:t>Values are means ± standard deviation of 3 replications. Values in the same column bearing similar superscripts are not significantly (p&gt;0.05) different, while values in the same column with different superscript are significantly (p&lt;0.05) different</w:t>
      </w:r>
    </w:p>
    <w:p w14:paraId="213AC692" w14:textId="77777777" w:rsidR="00A91533" w:rsidRPr="00D97E2A" w:rsidRDefault="009C4C36" w:rsidP="00A915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tannin level varied from 18.72 to 21.29 mg/100g, with the 100% wheat flour bread having the lowest value at 18.72 </w:t>
      </w:r>
      <w:r>
        <w:rPr>
          <w:rFonts w:ascii="Times New Roman" w:hAnsi="Times New Roman" w:cs="Times New Roman"/>
          <w:sz w:val="24"/>
          <w:szCs w:val="24"/>
          <w:highlight w:val="yellow"/>
        </w:rPr>
        <w:t>mg/100g. The</w:t>
      </w:r>
      <w:r>
        <w:rPr>
          <w:rFonts w:ascii="Times New Roman" w:hAnsi="Times New Roman" w:cs="Times New Roman"/>
          <w:sz w:val="24"/>
          <w:szCs w:val="24"/>
        </w:rPr>
        <w:t xml:space="preserve"> values were higher than 0.03 to 3.78 mg/100g of tannin in the </w:t>
      </w:r>
      <w:r>
        <w:rPr>
          <w:rFonts w:ascii="Times New Roman" w:hAnsi="Times New Roman" w:cs="Times New Roman"/>
          <w:sz w:val="24"/>
          <w:szCs w:val="24"/>
          <w:highlight w:val="yellow"/>
        </w:rPr>
        <w:t>biscuit samples</w:t>
      </w:r>
      <w:r>
        <w:rPr>
          <w:rFonts w:ascii="Times New Roman" w:hAnsi="Times New Roman" w:cs="Times New Roman"/>
          <w:sz w:val="24"/>
          <w:szCs w:val="24"/>
        </w:rPr>
        <w:t xml:space="preserve"> reported by Emojorho, Oboreh, et al. (2025).  </w:t>
      </w:r>
      <w:r>
        <w:rPr>
          <w:rFonts w:ascii="Times New Roman" w:hAnsi="Times New Roman" w:cs="Times New Roman"/>
          <w:sz w:val="24"/>
          <w:szCs w:val="24"/>
          <w:highlight w:val="yellow"/>
        </w:rPr>
        <w:t>Pigeon pea and millet flours increased</w:t>
      </w:r>
      <w:r>
        <w:rPr>
          <w:rFonts w:ascii="Times New Roman" w:hAnsi="Times New Roman" w:cs="Times New Roman"/>
          <w:sz w:val="24"/>
          <w:szCs w:val="24"/>
        </w:rPr>
        <w:t xml:space="preserve"> the tannin concentration of the bread samples, with the highest value recorded for 50 % millet flour bread.</w:t>
      </w:r>
    </w:p>
    <w:p w14:paraId="66E09CAA" w14:textId="77777777" w:rsidR="00A91533" w:rsidRPr="00D97E2A" w:rsidRDefault="00A91533" w:rsidP="00C346B5">
      <w:pPr>
        <w:spacing w:line="360" w:lineRule="auto"/>
        <w:jc w:val="both"/>
        <w:rPr>
          <w:rFonts w:ascii="Times New Roman" w:hAnsi="Times New Roman" w:cs="Times New Roman"/>
          <w:sz w:val="24"/>
          <w:szCs w:val="24"/>
        </w:rPr>
      </w:pPr>
    </w:p>
    <w:p w14:paraId="51E7067D" w14:textId="77777777" w:rsidR="00A91533" w:rsidRPr="00D97E2A" w:rsidRDefault="00A91533" w:rsidP="00C346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saponin concentration varied from 3.08 to 3.70 mg/100g, with the 50% pigeon pea bread having the lowest value at 2.71 mg/100g, while the 100% wheat bread had the value of 3.08 mg/100g. The saponin level decreased </w:t>
      </w:r>
      <w:r>
        <w:rPr>
          <w:rFonts w:ascii="Times New Roman" w:hAnsi="Times New Roman" w:cs="Times New Roman"/>
          <w:sz w:val="24"/>
          <w:szCs w:val="24"/>
          <w:highlight w:val="yellow"/>
        </w:rPr>
        <w:t>with increasing levels of pigeon pea flour</w:t>
      </w:r>
      <w:r>
        <w:rPr>
          <w:rFonts w:ascii="Times New Roman" w:hAnsi="Times New Roman" w:cs="Times New Roman"/>
          <w:sz w:val="24"/>
          <w:szCs w:val="24"/>
        </w:rPr>
        <w:t xml:space="preserve"> in the bread samples.  Higher amounts of millet flour led to a considerable rise in </w:t>
      </w:r>
      <w:r>
        <w:rPr>
          <w:rFonts w:ascii="Times New Roman" w:hAnsi="Times New Roman" w:cs="Times New Roman"/>
          <w:sz w:val="24"/>
          <w:szCs w:val="24"/>
          <w:highlight w:val="yellow"/>
        </w:rPr>
        <w:t>the bread's saponin content</w:t>
      </w:r>
      <w:r>
        <w:rPr>
          <w:rFonts w:ascii="Times New Roman" w:hAnsi="Times New Roman" w:cs="Times New Roman"/>
          <w:sz w:val="24"/>
          <w:szCs w:val="24"/>
        </w:rPr>
        <w:t xml:space="preserve">. Notably, compared to 100% wheat flour, the substitution of millet flour </w:t>
      </w:r>
      <w:r>
        <w:rPr>
          <w:rFonts w:ascii="Times New Roman" w:hAnsi="Times New Roman" w:cs="Times New Roman"/>
          <w:sz w:val="24"/>
          <w:szCs w:val="24"/>
          <w:highlight w:val="yellow"/>
        </w:rPr>
        <w:t>produced significantly higher saponin concentrations.</w:t>
      </w:r>
    </w:p>
    <w:p w14:paraId="26F0D65C" w14:textId="77777777" w:rsidR="00C346B5" w:rsidRPr="00D97E2A" w:rsidRDefault="00C346B5" w:rsidP="00C346B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flavonoid concentration varied from 3.27 to 8.51 mg/100g, with the 50% pigeon pea bread having the highest value at 8.51 mg/100g, while the 100% wheat bread had the lowest value of 3.27 mg/100g. </w:t>
      </w:r>
      <w:r>
        <w:rPr>
          <w:rFonts w:ascii="Times New Roman" w:hAnsi="Times New Roman" w:cs="Times New Roman"/>
          <w:sz w:val="24"/>
          <w:szCs w:val="24"/>
          <w:highlight w:val="yellow"/>
        </w:rPr>
        <w:t>The findings were lower than the range</w:t>
      </w:r>
      <w:r>
        <w:rPr>
          <w:rFonts w:ascii="Times New Roman" w:hAnsi="Times New Roman" w:cs="Times New Roman"/>
          <w:sz w:val="24"/>
          <w:szCs w:val="24"/>
        </w:rPr>
        <w:t xml:space="preserve"> of 0.55 to 29.17 mg/100g reported by Emojorho and Akubor (2016) for orange seed and wheat flours.  Higher amounts of pigeon pea and millet flour led to a considerable rise in the </w:t>
      </w:r>
      <w:r>
        <w:rPr>
          <w:rFonts w:ascii="Times New Roman" w:hAnsi="Times New Roman" w:cs="Times New Roman"/>
          <w:sz w:val="24"/>
          <w:szCs w:val="24"/>
          <w:highlight w:val="yellow"/>
        </w:rPr>
        <w:t>bread's flavonoid content</w:t>
      </w:r>
      <w:r>
        <w:rPr>
          <w:rFonts w:ascii="Times New Roman" w:hAnsi="Times New Roman" w:cs="Times New Roman"/>
          <w:sz w:val="24"/>
          <w:szCs w:val="24"/>
        </w:rPr>
        <w:t xml:space="preserve">. Notably, compared to 100% wheat flour, the substitution of pigeon pea and millet flour produced higher flavonoid concentrations. </w:t>
      </w:r>
    </w:p>
    <w:p w14:paraId="005C3EF3" w14:textId="77777777" w:rsidR="00C346B5" w:rsidRPr="00D97E2A" w:rsidRDefault="00C346B5" w:rsidP="00B44211">
      <w:pPr>
        <w:spacing w:line="360" w:lineRule="auto"/>
        <w:jc w:val="both"/>
        <w:rPr>
          <w:rFonts w:ascii="Times New Roman" w:hAnsi="Times New Roman" w:cs="Times New Roman"/>
          <w:sz w:val="24"/>
          <w:szCs w:val="24"/>
        </w:rPr>
      </w:pPr>
    </w:p>
    <w:p w14:paraId="6DE7943E" w14:textId="77777777" w:rsidR="00B44211" w:rsidRPr="00D97E2A" w:rsidRDefault="00B44211" w:rsidP="00B4421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bread samples' alkaloid level varied from 5.60 to 6.88 mg/100g, with the 100% wheat flour bread having the value of 6.04 mg/100g. </w:t>
      </w:r>
      <w:r>
        <w:rPr>
          <w:rFonts w:ascii="Times New Roman" w:hAnsi="Times New Roman" w:cs="Times New Roman"/>
          <w:sz w:val="24"/>
          <w:szCs w:val="24"/>
          <w:highlight w:val="yellow"/>
        </w:rPr>
        <w:t>The alkaloid level of the bread samples increased as the millet flour level increased; however, increasing the pigeon pea flour level reduced the alkaloid concentration in the bread samples.</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soaking and fermentation process reduced the alkaloid </w:t>
      </w:r>
      <w:r>
        <w:rPr>
          <w:rFonts w:ascii="Times New Roman" w:hAnsi="Times New Roman" w:cs="Times New Roman"/>
          <w:sz w:val="24"/>
          <w:szCs w:val="24"/>
          <w:highlight w:val="yellow"/>
        </w:rPr>
        <w:lastRenderedPageBreak/>
        <w:t>concentration of the pigeon pea flour.</w:t>
      </w:r>
      <w:r>
        <w:rPr>
          <w:rFonts w:ascii="Times New Roman" w:hAnsi="Times New Roman" w:cs="Times New Roman"/>
          <w:sz w:val="24"/>
          <w:szCs w:val="24"/>
        </w:rPr>
        <w:t xml:space="preserve"> Although alkaloids are most commonly associated with pharmaceuticals, they can also be found in foods, potential foods, or food pollutants. In order to assess or </w:t>
      </w:r>
      <w:r>
        <w:rPr>
          <w:rFonts w:ascii="Times New Roman" w:hAnsi="Times New Roman" w:cs="Times New Roman"/>
          <w:sz w:val="24"/>
          <w:szCs w:val="24"/>
          <w:highlight w:val="yellow"/>
        </w:rPr>
        <w:t>minimise</w:t>
      </w:r>
      <w:r>
        <w:rPr>
          <w:rFonts w:ascii="Times New Roman" w:hAnsi="Times New Roman" w:cs="Times New Roman"/>
          <w:sz w:val="24"/>
          <w:szCs w:val="24"/>
        </w:rPr>
        <w:t xml:space="preserve"> risks, it is crucial for quality assurance to properly screen some common food commodities and foods being developed from novel sources (Emojorho &amp; Akubor, 2016).</w:t>
      </w:r>
    </w:p>
    <w:p w14:paraId="682EEF8E"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3.3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of bread produced from blends of wheat, pigeon pea and millet flour</w:t>
      </w:r>
    </w:p>
    <w:p w14:paraId="6BA90B80" w14:textId="77777777" w:rsidR="00A640F8" w:rsidRPr="00D97E2A" w:rsidRDefault="00A640F8" w:rsidP="00A640F8">
      <w:pPr>
        <w:rPr>
          <w:rFonts w:ascii="Times New Roman" w:eastAsia="Calibri" w:hAnsi="Times New Roman" w:cs="Times New Roman"/>
          <w:b/>
        </w:rPr>
      </w:pPr>
      <w:r w:rsidRPr="00D97E2A">
        <w:rPr>
          <w:rFonts w:ascii="Times New Roman" w:eastAsia="Calibri" w:hAnsi="Times New Roman" w:cs="Times New Roman"/>
          <w:b/>
        </w:rPr>
        <w:t xml:space="preserve">Table 3: </w:t>
      </w:r>
      <w:r w:rsidRPr="00D97E2A">
        <w:rPr>
          <w:rFonts w:ascii="Times New Roman" w:eastAsia="Calibri" w:hAnsi="Times New Roman" w:cs="Times New Roman"/>
          <w:b/>
          <w:lang w:val="en-GB"/>
        </w:rPr>
        <w:t xml:space="preserve">Physical Properties </w:t>
      </w:r>
      <w:r w:rsidRPr="00D97E2A">
        <w:rPr>
          <w:rFonts w:ascii="Times New Roman" w:eastAsia="Calibri" w:hAnsi="Times New Roman" w:cs="Times New Roman"/>
          <w:b/>
        </w:rPr>
        <w:t xml:space="preserve">of bread produced from blends of wheat, pigeon pea and millet flour </w:t>
      </w:r>
    </w:p>
    <w:p w14:paraId="4F2B2370" w14:textId="77777777" w:rsidR="0035314D" w:rsidRPr="00D97E2A" w:rsidRDefault="00A640F8" w:rsidP="00A640F8">
      <w:pPr>
        <w:rPr>
          <w:rFonts w:ascii="Times New Roman" w:eastAsia="Calibri" w:hAnsi="Times New Roman" w:cs="Times New Roman"/>
        </w:rPr>
      </w:pPr>
      <w:r>
        <w:rPr>
          <w:rFonts w:ascii="Times New Roman" w:eastAsia="Calibri" w:hAnsi="Times New Roman" w:cs="Times New Roman"/>
        </w:rPr>
        <w:t xml:space="preserve">The </w:t>
      </w:r>
      <w:r>
        <w:rPr>
          <w:rFonts w:ascii="Times New Roman" w:eastAsia="Calibri" w:hAnsi="Times New Roman" w:cs="Times New Roman"/>
          <w:lang w:val="en-GB"/>
        </w:rPr>
        <w:t>physical properties</w:t>
      </w:r>
      <w:r>
        <w:rPr>
          <w:rFonts w:ascii="Times New Roman" w:eastAsia="Calibri" w:hAnsi="Times New Roman" w:cs="Times New Roman"/>
          <w:b/>
          <w:lang w:val="en-GB"/>
        </w:rPr>
        <w:t xml:space="preserve"> </w:t>
      </w:r>
      <w:r>
        <w:rPr>
          <w:rFonts w:ascii="Times New Roman" w:eastAsia="Calibri" w:hAnsi="Times New Roman" w:cs="Times New Roman"/>
        </w:rPr>
        <w:t xml:space="preserve">of the bread samples are </w:t>
      </w:r>
      <w:r>
        <w:rPr>
          <w:rFonts w:ascii="Times New Roman" w:eastAsia="Calibri" w:hAnsi="Times New Roman" w:cs="Times New Roman"/>
          <w:highlight w:val="yellow"/>
        </w:rPr>
        <w:t>shown in Table 3</w:t>
      </w:r>
      <w:r>
        <w:rPr>
          <w:rFonts w:ascii="Times New Roman" w:eastAsia="Calibri" w:hAnsi="Times New Roman" w:cs="Times New Roman"/>
        </w:rPr>
        <w:t>.</w:t>
      </w:r>
    </w:p>
    <w:tbl>
      <w:tblPr>
        <w:tblStyle w:val="TableGrid1"/>
        <w:tblW w:w="3540" w:type="pct"/>
        <w:tblLook w:val="04A0" w:firstRow="1" w:lastRow="0" w:firstColumn="1" w:lastColumn="0" w:noHBand="0" w:noVBand="1"/>
      </w:tblPr>
      <w:tblGrid>
        <w:gridCol w:w="1587"/>
        <w:gridCol w:w="2471"/>
        <w:gridCol w:w="2569"/>
      </w:tblGrid>
      <w:tr w:rsidR="00D97E2A" w:rsidRPr="00D97E2A" w14:paraId="4BA8D95E" w14:textId="77777777" w:rsidTr="00396AB1">
        <w:trPr>
          <w:trHeight w:val="288"/>
        </w:trPr>
        <w:tc>
          <w:tcPr>
            <w:tcW w:w="1197" w:type="pct"/>
            <w:tcBorders>
              <w:left w:val="nil"/>
              <w:bottom w:val="single" w:sz="4" w:space="0" w:color="auto"/>
              <w:right w:val="nil"/>
            </w:tcBorders>
            <w:noWrap/>
            <w:hideMark/>
          </w:tcPr>
          <w:p w14:paraId="44FB55EE"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SAMPLE</w:t>
            </w:r>
          </w:p>
        </w:tc>
        <w:tc>
          <w:tcPr>
            <w:tcW w:w="1864" w:type="pct"/>
            <w:tcBorders>
              <w:left w:val="nil"/>
              <w:bottom w:val="single" w:sz="4" w:space="0" w:color="auto"/>
              <w:right w:val="nil"/>
            </w:tcBorders>
            <w:noWrap/>
            <w:hideMark/>
          </w:tcPr>
          <w:p w14:paraId="791C67EB"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LOAF WEIGHT</w:t>
            </w:r>
          </w:p>
          <w:p w14:paraId="51CBA81E"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(g)</w:t>
            </w:r>
          </w:p>
        </w:tc>
        <w:tc>
          <w:tcPr>
            <w:tcW w:w="1938" w:type="pct"/>
            <w:tcBorders>
              <w:left w:val="nil"/>
              <w:bottom w:val="single" w:sz="4" w:space="0" w:color="auto"/>
              <w:right w:val="nil"/>
            </w:tcBorders>
            <w:noWrap/>
            <w:hideMark/>
          </w:tcPr>
          <w:p w14:paraId="0CFD6995"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LOAF VOLUME</w:t>
            </w:r>
          </w:p>
          <w:p w14:paraId="70C83512"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(cm</w:t>
            </w:r>
            <w:r w:rsidRPr="00D97E2A">
              <w:rPr>
                <w:rFonts w:ascii="Times New Roman" w:hAnsi="Times New Roman" w:cs="Times New Roman"/>
                <w:vertAlign w:val="superscript"/>
              </w:rPr>
              <w:t>3</w:t>
            </w:r>
            <w:r w:rsidRPr="00D97E2A">
              <w:rPr>
                <w:rFonts w:ascii="Times New Roman" w:hAnsi="Times New Roman" w:cs="Times New Roman"/>
              </w:rPr>
              <w:t>)</w:t>
            </w:r>
          </w:p>
        </w:tc>
      </w:tr>
      <w:tr w:rsidR="00D97E2A" w:rsidRPr="00D97E2A" w14:paraId="6C38ED21" w14:textId="77777777" w:rsidTr="00396AB1">
        <w:trPr>
          <w:trHeight w:val="288"/>
        </w:trPr>
        <w:tc>
          <w:tcPr>
            <w:tcW w:w="1197" w:type="pct"/>
            <w:tcBorders>
              <w:left w:val="nil"/>
              <w:bottom w:val="nil"/>
              <w:right w:val="nil"/>
            </w:tcBorders>
            <w:hideMark/>
          </w:tcPr>
          <w:p w14:paraId="27A7BF4B"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CB</w:t>
            </w:r>
            <w:r w:rsidR="006E034F" w:rsidRPr="00D97E2A">
              <w:rPr>
                <w:rFonts w:ascii="Times New Roman" w:hAnsi="Times New Roman" w:cs="Times New Roman"/>
              </w:rPr>
              <w:t>:</w:t>
            </w:r>
            <w:r w:rsidRPr="00D97E2A">
              <w:rPr>
                <w:rFonts w:ascii="Times New Roman" w:hAnsi="Times New Roman" w:cs="Times New Roman"/>
              </w:rPr>
              <w:t>100</w:t>
            </w:r>
          </w:p>
        </w:tc>
        <w:tc>
          <w:tcPr>
            <w:tcW w:w="1864" w:type="pct"/>
            <w:tcBorders>
              <w:left w:val="nil"/>
              <w:bottom w:val="nil"/>
              <w:right w:val="nil"/>
            </w:tcBorders>
            <w:noWrap/>
            <w:hideMark/>
          </w:tcPr>
          <w:p w14:paraId="69627969" w14:textId="77777777" w:rsidR="0035314D" w:rsidRPr="00D97E2A" w:rsidRDefault="0035314D" w:rsidP="00396AB1">
            <w:pPr>
              <w:spacing w:line="360" w:lineRule="auto"/>
              <w:jc w:val="both"/>
              <w:rPr>
                <w:rFonts w:ascii="Times New Roman" w:hAnsi="Times New Roman" w:cs="Times New Roman"/>
              </w:rPr>
            </w:pPr>
            <w:r w:rsidRPr="00D97E2A">
              <w:rPr>
                <w:rFonts w:ascii="Times New Roman" w:hAnsi="Times New Roman" w:cs="Times New Roman"/>
              </w:rPr>
              <w:t>235.25</w:t>
            </w:r>
            <w:r w:rsidR="006A0F6C">
              <w:rPr>
                <w:rFonts w:ascii="Times New Roman" w:hAnsi="Times New Roman" w:cs="Times New Roman"/>
                <w:vertAlign w:val="superscript"/>
              </w:rPr>
              <w:t>c</w:t>
            </w:r>
            <w:r w:rsidRPr="00D97E2A">
              <w:rPr>
                <w:rFonts w:ascii="Times New Roman" w:hAnsi="Times New Roman" w:cs="Times New Roman"/>
              </w:rPr>
              <w:t>±0.07</w:t>
            </w:r>
          </w:p>
        </w:tc>
        <w:tc>
          <w:tcPr>
            <w:tcW w:w="1938" w:type="pct"/>
            <w:tcBorders>
              <w:left w:val="nil"/>
              <w:bottom w:val="nil"/>
              <w:right w:val="nil"/>
            </w:tcBorders>
            <w:noWrap/>
            <w:hideMark/>
          </w:tcPr>
          <w:p w14:paraId="01D890D5" w14:textId="77777777" w:rsidR="0035314D" w:rsidRPr="00D97E2A" w:rsidRDefault="00EA1F1F" w:rsidP="00396AB1">
            <w:pPr>
              <w:spacing w:line="360" w:lineRule="auto"/>
              <w:jc w:val="both"/>
              <w:rPr>
                <w:rFonts w:ascii="Times New Roman" w:hAnsi="Times New Roman" w:cs="Times New Roman"/>
              </w:rPr>
            </w:pPr>
            <w:r w:rsidRPr="00D97E2A">
              <w:rPr>
                <w:rFonts w:ascii="Times New Roman" w:hAnsi="Times New Roman" w:cs="Times New Roman"/>
              </w:rPr>
              <w:t>47</w:t>
            </w:r>
            <w:r w:rsidR="0035314D" w:rsidRPr="00D97E2A">
              <w:rPr>
                <w:rFonts w:ascii="Times New Roman" w:hAnsi="Times New Roman" w:cs="Times New Roman"/>
              </w:rPr>
              <w:t>0.13</w:t>
            </w:r>
            <w:r w:rsidR="0035314D" w:rsidRPr="00D97E2A">
              <w:rPr>
                <w:rFonts w:ascii="Times New Roman" w:hAnsi="Times New Roman" w:cs="Times New Roman"/>
                <w:vertAlign w:val="superscript"/>
              </w:rPr>
              <w:t>a</w:t>
            </w:r>
            <w:r w:rsidR="0035314D" w:rsidRPr="00D97E2A">
              <w:rPr>
                <w:rFonts w:ascii="Times New Roman" w:hAnsi="Times New Roman" w:cs="Times New Roman"/>
              </w:rPr>
              <w:t>±0.03</w:t>
            </w:r>
          </w:p>
        </w:tc>
      </w:tr>
      <w:tr w:rsidR="00D97E2A" w:rsidRPr="00D97E2A" w14:paraId="59C70F70" w14:textId="77777777" w:rsidTr="00396AB1">
        <w:trPr>
          <w:trHeight w:val="288"/>
        </w:trPr>
        <w:tc>
          <w:tcPr>
            <w:tcW w:w="1197" w:type="pct"/>
            <w:tcBorders>
              <w:top w:val="nil"/>
              <w:left w:val="nil"/>
              <w:bottom w:val="nil"/>
              <w:right w:val="nil"/>
            </w:tcBorders>
            <w:hideMark/>
          </w:tcPr>
          <w:p w14:paraId="5EEDFC35"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864" w:type="pct"/>
            <w:tcBorders>
              <w:top w:val="nil"/>
              <w:left w:val="nil"/>
              <w:bottom w:val="nil"/>
              <w:right w:val="nil"/>
            </w:tcBorders>
            <w:noWrap/>
            <w:hideMark/>
          </w:tcPr>
          <w:p w14:paraId="6AF15957"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278.12</w:t>
            </w:r>
            <w:r w:rsidRPr="00D97E2A">
              <w:rPr>
                <w:rFonts w:ascii="Times New Roman" w:hAnsi="Times New Roman" w:cs="Times New Roman"/>
                <w:vertAlign w:val="superscript"/>
              </w:rPr>
              <w:t>b</w:t>
            </w:r>
            <w:r w:rsidRPr="00D97E2A">
              <w:rPr>
                <w:rFonts w:ascii="Times New Roman" w:hAnsi="Times New Roman" w:cs="Times New Roman"/>
              </w:rPr>
              <w:t>±0.03</w:t>
            </w:r>
          </w:p>
        </w:tc>
        <w:tc>
          <w:tcPr>
            <w:tcW w:w="1938" w:type="pct"/>
            <w:tcBorders>
              <w:top w:val="nil"/>
              <w:left w:val="nil"/>
              <w:bottom w:val="nil"/>
              <w:right w:val="nil"/>
            </w:tcBorders>
            <w:noWrap/>
            <w:hideMark/>
          </w:tcPr>
          <w:p w14:paraId="47FD4183"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461.26</w:t>
            </w:r>
            <w:r w:rsidR="006A0F6C">
              <w:rPr>
                <w:rFonts w:ascii="Times New Roman" w:hAnsi="Times New Roman" w:cs="Times New Roman"/>
                <w:vertAlign w:val="superscript"/>
              </w:rPr>
              <w:t>a</w:t>
            </w:r>
            <w:r w:rsidRPr="00D97E2A">
              <w:rPr>
                <w:rFonts w:ascii="Times New Roman" w:hAnsi="Times New Roman" w:cs="Times New Roman"/>
              </w:rPr>
              <w:t>±0.05</w:t>
            </w:r>
          </w:p>
        </w:tc>
      </w:tr>
      <w:tr w:rsidR="00D97E2A" w:rsidRPr="00D97E2A" w14:paraId="000E8E3A" w14:textId="77777777" w:rsidTr="00396AB1">
        <w:trPr>
          <w:trHeight w:val="288"/>
        </w:trPr>
        <w:tc>
          <w:tcPr>
            <w:tcW w:w="1197" w:type="pct"/>
            <w:tcBorders>
              <w:top w:val="nil"/>
              <w:left w:val="nil"/>
              <w:bottom w:val="nil"/>
              <w:right w:val="nil"/>
            </w:tcBorders>
            <w:hideMark/>
          </w:tcPr>
          <w:p w14:paraId="44A81527"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PB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1864" w:type="pct"/>
            <w:tcBorders>
              <w:top w:val="nil"/>
              <w:left w:val="nil"/>
              <w:bottom w:val="nil"/>
              <w:right w:val="nil"/>
            </w:tcBorders>
            <w:noWrap/>
            <w:hideMark/>
          </w:tcPr>
          <w:p w14:paraId="7F404E5C"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299.45</w:t>
            </w:r>
            <w:r w:rsidRPr="00D97E2A">
              <w:rPr>
                <w:rFonts w:ascii="Times New Roman" w:hAnsi="Times New Roman" w:cs="Times New Roman"/>
                <w:vertAlign w:val="superscript"/>
              </w:rPr>
              <w:t>a</w:t>
            </w:r>
            <w:r w:rsidRPr="00D97E2A">
              <w:rPr>
                <w:rFonts w:ascii="Times New Roman" w:hAnsi="Times New Roman" w:cs="Times New Roman"/>
              </w:rPr>
              <w:t>±0.03</w:t>
            </w:r>
          </w:p>
        </w:tc>
        <w:tc>
          <w:tcPr>
            <w:tcW w:w="1938" w:type="pct"/>
            <w:tcBorders>
              <w:top w:val="nil"/>
              <w:left w:val="nil"/>
              <w:bottom w:val="nil"/>
              <w:right w:val="nil"/>
            </w:tcBorders>
            <w:noWrap/>
            <w:hideMark/>
          </w:tcPr>
          <w:p w14:paraId="610B0D6A"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45</w:t>
            </w:r>
            <w:r w:rsidR="0035314D" w:rsidRPr="00D97E2A">
              <w:rPr>
                <w:rFonts w:ascii="Times New Roman" w:hAnsi="Times New Roman" w:cs="Times New Roman"/>
              </w:rPr>
              <w:t>3.25</w:t>
            </w:r>
            <w:r w:rsidR="006A0F6C">
              <w:rPr>
                <w:rFonts w:ascii="Times New Roman" w:hAnsi="Times New Roman" w:cs="Times New Roman"/>
                <w:vertAlign w:val="superscript"/>
              </w:rPr>
              <w:t>b</w:t>
            </w:r>
            <w:r w:rsidR="0035314D" w:rsidRPr="00D97E2A">
              <w:rPr>
                <w:rFonts w:ascii="Times New Roman" w:hAnsi="Times New Roman" w:cs="Times New Roman"/>
              </w:rPr>
              <w:t>±0.05</w:t>
            </w:r>
          </w:p>
        </w:tc>
      </w:tr>
      <w:tr w:rsidR="00D97E2A" w:rsidRPr="00D97E2A" w14:paraId="479B6254" w14:textId="77777777" w:rsidTr="00396AB1">
        <w:trPr>
          <w:trHeight w:val="288"/>
        </w:trPr>
        <w:tc>
          <w:tcPr>
            <w:tcW w:w="1197" w:type="pct"/>
            <w:tcBorders>
              <w:top w:val="nil"/>
              <w:left w:val="nil"/>
              <w:bottom w:val="nil"/>
              <w:right w:val="nil"/>
            </w:tcBorders>
            <w:hideMark/>
          </w:tcPr>
          <w:p w14:paraId="4972FE11"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25</w:t>
            </w:r>
          </w:p>
        </w:tc>
        <w:tc>
          <w:tcPr>
            <w:tcW w:w="1864" w:type="pct"/>
            <w:tcBorders>
              <w:top w:val="nil"/>
              <w:left w:val="nil"/>
              <w:bottom w:val="nil"/>
              <w:right w:val="nil"/>
            </w:tcBorders>
            <w:noWrap/>
            <w:hideMark/>
          </w:tcPr>
          <w:p w14:paraId="5B89B874"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218.13</w:t>
            </w:r>
            <w:r w:rsidRPr="00D97E2A">
              <w:rPr>
                <w:rFonts w:ascii="Times New Roman" w:hAnsi="Times New Roman" w:cs="Times New Roman"/>
                <w:vertAlign w:val="superscript"/>
              </w:rPr>
              <w:t>d</w:t>
            </w:r>
            <w:r w:rsidRPr="00D97E2A">
              <w:rPr>
                <w:rFonts w:ascii="Times New Roman" w:hAnsi="Times New Roman" w:cs="Times New Roman"/>
              </w:rPr>
              <w:t>±0.04</w:t>
            </w:r>
          </w:p>
        </w:tc>
        <w:tc>
          <w:tcPr>
            <w:tcW w:w="1938" w:type="pct"/>
            <w:tcBorders>
              <w:top w:val="nil"/>
              <w:left w:val="nil"/>
              <w:bottom w:val="nil"/>
              <w:right w:val="nil"/>
            </w:tcBorders>
            <w:noWrap/>
            <w:hideMark/>
          </w:tcPr>
          <w:p w14:paraId="4D761F4B"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44</w:t>
            </w:r>
            <w:r w:rsidR="0035314D" w:rsidRPr="00D97E2A">
              <w:rPr>
                <w:rFonts w:ascii="Times New Roman" w:hAnsi="Times New Roman" w:cs="Times New Roman"/>
              </w:rPr>
              <w:t>4.25</w:t>
            </w:r>
            <w:r w:rsidR="0035314D" w:rsidRPr="00D97E2A">
              <w:rPr>
                <w:rFonts w:ascii="Times New Roman" w:hAnsi="Times New Roman" w:cs="Times New Roman"/>
                <w:vertAlign w:val="superscript"/>
              </w:rPr>
              <w:t>b</w:t>
            </w:r>
            <w:r w:rsidR="006A0F6C">
              <w:rPr>
                <w:rFonts w:ascii="Times New Roman" w:hAnsi="Times New Roman" w:cs="Times New Roman"/>
                <w:vertAlign w:val="superscript"/>
              </w:rPr>
              <w:t>c</w:t>
            </w:r>
            <w:r w:rsidR="0035314D" w:rsidRPr="00D97E2A">
              <w:rPr>
                <w:rFonts w:ascii="Times New Roman" w:hAnsi="Times New Roman" w:cs="Times New Roman"/>
              </w:rPr>
              <w:t>±0.03</w:t>
            </w:r>
          </w:p>
        </w:tc>
      </w:tr>
      <w:tr w:rsidR="00D97E2A" w:rsidRPr="00D97E2A" w14:paraId="4E443F3F" w14:textId="77777777" w:rsidTr="00396AB1">
        <w:trPr>
          <w:trHeight w:val="288"/>
        </w:trPr>
        <w:tc>
          <w:tcPr>
            <w:tcW w:w="1197" w:type="pct"/>
            <w:tcBorders>
              <w:top w:val="nil"/>
              <w:left w:val="nil"/>
              <w:right w:val="nil"/>
            </w:tcBorders>
            <w:hideMark/>
          </w:tcPr>
          <w:p w14:paraId="2F180171" w14:textId="77777777" w:rsidR="0035314D" w:rsidRPr="00D97E2A" w:rsidRDefault="0035314D" w:rsidP="0035314D">
            <w:pPr>
              <w:rPr>
                <w:rFonts w:ascii="Times New Roman" w:hAnsi="Times New Roman" w:cs="Times New Roman"/>
                <w:sz w:val="24"/>
                <w:szCs w:val="24"/>
              </w:rPr>
            </w:pPr>
            <w:r w:rsidRPr="00D97E2A">
              <w:rPr>
                <w:rFonts w:ascii="Times New Roman" w:hAnsi="Times New Roman" w:cs="Times New Roman"/>
                <w:sz w:val="24"/>
                <w:szCs w:val="24"/>
              </w:rPr>
              <w:t>MB</w:t>
            </w:r>
            <w:r w:rsidR="006E034F" w:rsidRPr="00D97E2A">
              <w:rPr>
                <w:rFonts w:ascii="Times New Roman" w:hAnsi="Times New Roman" w:cs="Times New Roman"/>
                <w:sz w:val="24"/>
                <w:szCs w:val="24"/>
              </w:rPr>
              <w:t>:</w:t>
            </w:r>
            <w:r w:rsidRPr="00D97E2A">
              <w:rPr>
                <w:rFonts w:ascii="Times New Roman" w:hAnsi="Times New Roman" w:cs="Times New Roman"/>
                <w:sz w:val="24"/>
                <w:szCs w:val="24"/>
              </w:rPr>
              <w:t>50</w:t>
            </w:r>
          </w:p>
        </w:tc>
        <w:tc>
          <w:tcPr>
            <w:tcW w:w="1864" w:type="pct"/>
            <w:tcBorders>
              <w:top w:val="nil"/>
              <w:left w:val="nil"/>
              <w:right w:val="nil"/>
            </w:tcBorders>
            <w:noWrap/>
            <w:hideMark/>
          </w:tcPr>
          <w:p w14:paraId="46FC061F" w14:textId="77777777" w:rsidR="0035314D" w:rsidRPr="00D97E2A" w:rsidRDefault="0035314D" w:rsidP="0035314D">
            <w:pPr>
              <w:spacing w:line="360" w:lineRule="auto"/>
              <w:jc w:val="both"/>
              <w:rPr>
                <w:rFonts w:ascii="Times New Roman" w:hAnsi="Times New Roman" w:cs="Times New Roman"/>
              </w:rPr>
            </w:pPr>
            <w:r w:rsidRPr="00D97E2A">
              <w:rPr>
                <w:rFonts w:ascii="Times New Roman" w:hAnsi="Times New Roman" w:cs="Times New Roman"/>
              </w:rPr>
              <w:t>201.06</w:t>
            </w:r>
            <w:r w:rsidR="006A0F6C">
              <w:rPr>
                <w:rFonts w:ascii="Times New Roman" w:hAnsi="Times New Roman" w:cs="Times New Roman"/>
                <w:vertAlign w:val="superscript"/>
              </w:rPr>
              <w:t>e</w:t>
            </w:r>
            <w:r w:rsidRPr="00D97E2A">
              <w:rPr>
                <w:rFonts w:ascii="Times New Roman" w:hAnsi="Times New Roman" w:cs="Times New Roman"/>
              </w:rPr>
              <w:t>±0.04</w:t>
            </w:r>
          </w:p>
        </w:tc>
        <w:tc>
          <w:tcPr>
            <w:tcW w:w="1938" w:type="pct"/>
            <w:tcBorders>
              <w:top w:val="nil"/>
              <w:left w:val="nil"/>
              <w:right w:val="nil"/>
            </w:tcBorders>
            <w:noWrap/>
            <w:hideMark/>
          </w:tcPr>
          <w:p w14:paraId="4D83A455" w14:textId="77777777" w:rsidR="0035314D" w:rsidRPr="00D97E2A" w:rsidRDefault="00EA1F1F" w:rsidP="0035314D">
            <w:pPr>
              <w:spacing w:line="360" w:lineRule="auto"/>
              <w:jc w:val="both"/>
              <w:rPr>
                <w:rFonts w:ascii="Times New Roman" w:hAnsi="Times New Roman" w:cs="Times New Roman"/>
              </w:rPr>
            </w:pPr>
            <w:r w:rsidRPr="00D97E2A">
              <w:rPr>
                <w:rFonts w:ascii="Times New Roman" w:hAnsi="Times New Roman" w:cs="Times New Roman"/>
              </w:rPr>
              <w:t>42</w:t>
            </w:r>
            <w:r w:rsidR="0035314D" w:rsidRPr="00D97E2A">
              <w:rPr>
                <w:rFonts w:ascii="Times New Roman" w:hAnsi="Times New Roman" w:cs="Times New Roman"/>
              </w:rPr>
              <w:t>3.01</w:t>
            </w:r>
            <w:r w:rsidR="006A0F6C">
              <w:rPr>
                <w:rFonts w:ascii="Times New Roman" w:hAnsi="Times New Roman" w:cs="Times New Roman"/>
                <w:vertAlign w:val="superscript"/>
              </w:rPr>
              <w:t>c</w:t>
            </w:r>
            <w:r w:rsidR="0035314D" w:rsidRPr="00D97E2A">
              <w:rPr>
                <w:rFonts w:ascii="Times New Roman" w:hAnsi="Times New Roman" w:cs="Times New Roman"/>
              </w:rPr>
              <w:t>±0.01</w:t>
            </w:r>
          </w:p>
        </w:tc>
      </w:tr>
    </w:tbl>
    <w:p w14:paraId="2B3B4315" w14:textId="77777777" w:rsidR="007B3D05" w:rsidRPr="007B3D05" w:rsidRDefault="007B3D05" w:rsidP="007B3D05">
      <w:pPr>
        <w:spacing w:line="240" w:lineRule="auto"/>
        <w:jc w:val="both"/>
        <w:rPr>
          <w:rFonts w:ascii="Times New Roman" w:hAnsi="Times New Roman" w:cs="Times New Roman"/>
          <w:sz w:val="20"/>
          <w:szCs w:val="20"/>
        </w:rPr>
      </w:pPr>
      <w:r w:rsidRPr="007B3D05">
        <w:rPr>
          <w:rFonts w:ascii="Times New Roman" w:hAnsi="Times New Roman" w:cs="Times New Roman"/>
          <w:sz w:val="20"/>
          <w:szCs w:val="20"/>
        </w:rPr>
        <w:t>Values are means ± standard deviation of 3 replications. Values in the same column bearing similar superscripts are not significantly (p&gt;0.05) different, while values in the same column with different superscript are significantly (p&lt;0.05) different</w:t>
      </w:r>
    </w:p>
    <w:p w14:paraId="1B894563" w14:textId="77777777" w:rsidR="00D0790F" w:rsidRPr="00E958E4" w:rsidRDefault="007B3D05" w:rsidP="00A45B20">
      <w:pPr>
        <w:spacing w:line="360" w:lineRule="auto"/>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highlight w:val="yellow"/>
        </w:rPr>
        <w:t>The loaf weight increased as the amount of pigeon pea flour increased but decreased as the amount of millet flour increased; however, Emojorho et al. (2023) found that loaf weight decreased when wheat flour was diluted with orange seed flour.</w:t>
      </w:r>
      <w:r>
        <w:rPr>
          <w:rFonts w:ascii="Times New Roman" w:hAnsi="Times New Roman" w:cs="Times New Roman"/>
          <w:sz w:val="24"/>
          <w:szCs w:val="24"/>
        </w:rPr>
        <w:t xml:space="preserve"> The loaf volume varied from 423.01 to 470.13 cm</w:t>
      </w:r>
      <w:r>
        <w:rPr>
          <w:rFonts w:ascii="Times New Roman" w:hAnsi="Times New Roman" w:cs="Times New Roman"/>
          <w:sz w:val="24"/>
          <w:szCs w:val="24"/>
          <w:vertAlign w:val="superscript"/>
        </w:rPr>
        <w:t>3</w:t>
      </w:r>
      <w:r>
        <w:rPr>
          <w:rFonts w:ascii="Times New Roman" w:hAnsi="Times New Roman" w:cs="Times New Roman"/>
          <w:sz w:val="24"/>
          <w:szCs w:val="24"/>
        </w:rPr>
        <w:t xml:space="preserve">, while the loaf weight varied from 201.06 to 299.45 cm. </w:t>
      </w:r>
      <w:r>
        <w:rPr>
          <w:rFonts w:ascii="Times New Roman" w:hAnsi="Times New Roman" w:cs="Times New Roman"/>
          <w:sz w:val="24"/>
          <w:szCs w:val="24"/>
          <w:highlight w:val="yellow"/>
        </w:rPr>
        <w:t>As the amount of millet flour increased, loaf weight and volume decreased, whereas both increased with increasing pigeon pea flour. This trend was comparable to the findings of Emojorho et al. (2023) for biscuits made with orange seed flour.</w:t>
      </w:r>
    </w:p>
    <w:p w14:paraId="7C37A8C0" w14:textId="77777777" w:rsidR="007B5D60" w:rsidRPr="00D97E2A" w:rsidRDefault="007B5D60" w:rsidP="007B5D60">
      <w:pPr>
        <w:jc w:val="both"/>
        <w:rPr>
          <w:rFonts w:ascii="Times New Roman" w:hAnsi="Times New Roman" w:cs="Times New Roman"/>
          <w:b/>
          <w:bCs/>
          <w:sz w:val="24"/>
          <w:szCs w:val="24"/>
        </w:rPr>
      </w:pPr>
      <w:r w:rsidRPr="00D97E2A">
        <w:rPr>
          <w:rFonts w:ascii="Times New Roman" w:hAnsi="Times New Roman" w:cs="Times New Roman"/>
          <w:b/>
          <w:bCs/>
          <w:sz w:val="24"/>
          <w:szCs w:val="24"/>
        </w:rPr>
        <w:t>CONCLUSION</w:t>
      </w:r>
    </w:p>
    <w:p w14:paraId="7E51BA05" w14:textId="77777777" w:rsidR="007B5D60" w:rsidRPr="00D97E2A" w:rsidRDefault="007B5D60" w:rsidP="007B5D60">
      <w:pPr>
        <w:jc w:val="both"/>
        <w:rPr>
          <w:rFonts w:ascii="Times New Roman" w:hAnsi="Times New Roman" w:cs="Times New Roman"/>
          <w:sz w:val="24"/>
          <w:szCs w:val="24"/>
        </w:rPr>
      </w:pPr>
      <w:r>
        <w:rPr>
          <w:rFonts w:ascii="Times New Roman" w:hAnsi="Times New Roman" w:cs="Times New Roman"/>
          <w:sz w:val="24"/>
          <w:szCs w:val="24"/>
        </w:rPr>
        <w:t xml:space="preserve">The findings of this study clearly demonstrate that the incorporation of millet and pigeon pea flours into bread formulation significantly enhanced the chemical and physical qualities of the resulting composite breads. The progressive substitution of wheat flour with millet and pigeon pea flour improved the nutritional composition by increasing ash, crude fat, crude </w:t>
      </w:r>
      <w:r>
        <w:rPr>
          <w:rFonts w:ascii="Times New Roman" w:hAnsi="Times New Roman" w:cs="Times New Roman"/>
          <w:sz w:val="24"/>
          <w:szCs w:val="24"/>
          <w:highlight w:val="yellow"/>
        </w:rPr>
        <w:t>fibre</w:t>
      </w:r>
      <w:r>
        <w:rPr>
          <w:rFonts w:ascii="Times New Roman" w:hAnsi="Times New Roman" w:cs="Times New Roman"/>
          <w:sz w:val="24"/>
          <w:szCs w:val="24"/>
        </w:rPr>
        <w:t xml:space="preserve">, protein, and carbohydrate contents, indicating enhanced mineral availability, energy value,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and protein </w:t>
      </w:r>
      <w:r>
        <w:rPr>
          <w:rFonts w:ascii="Times New Roman" w:hAnsi="Times New Roman" w:cs="Times New Roman"/>
          <w:sz w:val="24"/>
          <w:szCs w:val="24"/>
          <w:highlight w:val="yellow"/>
        </w:rPr>
        <w:t>quality. One</w:t>
      </w:r>
      <w:r>
        <w:rPr>
          <w:rFonts w:ascii="Times New Roman" w:hAnsi="Times New Roman" w:cs="Times New Roman"/>
          <w:sz w:val="24"/>
          <w:szCs w:val="24"/>
        </w:rPr>
        <w:t xml:space="preserve"> of the major achievements of this research is the substantial improvement in protein content, with increasing levels of millet and pigeon pea flour. This confirms the nutritional advantage of combining cereals with legumes, as pigeon pea effectively complements the amino acid deficiencies commonly associated with cereal proteins. Such improvement makes the </w:t>
      </w:r>
      <w:r>
        <w:rPr>
          <w:rFonts w:ascii="Times New Roman" w:hAnsi="Times New Roman" w:cs="Times New Roman"/>
          <w:sz w:val="24"/>
          <w:szCs w:val="24"/>
        </w:rPr>
        <w:lastRenderedPageBreak/>
        <w:t xml:space="preserve">composite bread more suitable for addressing protein-energy malnutrition, especially in developing countries where bread is consumed as a staple food. The increase in ash content further demonstrates the contribution of millet and pigeon pea flours to mineral enrichment. Similarly, the increase in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enhances the physiological benefits of the bread by promoting digestive health, improving bowel function, lowering cholesterol levels, regulating blood glucose, and increasing satiety. The moisture contents remained relatively low, indicating that the breads may possess improved storage stability due to reduced susceptibility to microbial spoilage. Fat content increased moderately, contributing to improved energy density and possibly enhancing flavour and mouthfeel.</w:t>
      </w:r>
    </w:p>
    <w:p w14:paraId="205A3DCA"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Phytochemical analysis revealed increased concentrations of tannins, saponins, flavonoids, and alkaloids with increasing substitution levels. Although tannins and saponins may exhibit mild antinutritional effects at very high concentrations, the values obtained remain within acceptable levels while contributing beneficial antioxidant, antimicrobial, anti-inflammatory, and protective physiological activities. The marked increase in flavonoids particularly suggests enhanced antioxidant capacity capable of reducing oxidative stress and lowering the risk of chronic diseases.</w:t>
      </w:r>
      <w:r w:rsidR="00D0790F" w:rsidRPr="00D97E2A">
        <w:rPr>
          <w:rFonts w:ascii="Times New Roman" w:hAnsi="Times New Roman" w:cs="Times New Roman"/>
          <w:sz w:val="24"/>
          <w:szCs w:val="24"/>
        </w:rPr>
        <w:t xml:space="preserve"> </w:t>
      </w:r>
      <w:r w:rsidRPr="00D97E2A">
        <w:rPr>
          <w:rFonts w:ascii="Times New Roman" w:hAnsi="Times New Roman" w:cs="Times New Roman"/>
          <w:sz w:val="24"/>
          <w:szCs w:val="24"/>
        </w:rPr>
        <w:t>The use of these locally available crops provides an effective strategy for reducing dependence on imported wheat, promoting agricultural diversification, supporting local farmers, enhancing food security, and developing healthier bakery products for consumers. Therefore, millet and pigeon pea flour blends represent viable raw materials for commercial composite bread production.</w:t>
      </w:r>
    </w:p>
    <w:p w14:paraId="41013E7B" w14:textId="77777777" w:rsidR="007B5D60" w:rsidRPr="00D97E2A" w:rsidRDefault="007B5D60" w:rsidP="007B5D60">
      <w:pPr>
        <w:jc w:val="both"/>
        <w:rPr>
          <w:rFonts w:ascii="Times New Roman" w:hAnsi="Times New Roman" w:cs="Times New Roman"/>
          <w:b/>
          <w:bCs/>
          <w:sz w:val="24"/>
          <w:szCs w:val="24"/>
        </w:rPr>
      </w:pPr>
      <w:r w:rsidRPr="00D97E2A">
        <w:rPr>
          <w:rFonts w:ascii="Times New Roman" w:hAnsi="Times New Roman" w:cs="Times New Roman"/>
          <w:b/>
          <w:bCs/>
          <w:sz w:val="24"/>
          <w:szCs w:val="24"/>
        </w:rPr>
        <w:t>RECOMMENDATIONS</w:t>
      </w:r>
    </w:p>
    <w:p w14:paraId="67C6D530" w14:textId="77777777" w:rsidR="007B5D60" w:rsidRPr="00D97E2A" w:rsidRDefault="007B5D60" w:rsidP="007B5D60">
      <w:pPr>
        <w:jc w:val="both"/>
        <w:rPr>
          <w:rFonts w:ascii="Times New Roman" w:hAnsi="Times New Roman" w:cs="Times New Roman"/>
          <w:sz w:val="24"/>
          <w:szCs w:val="24"/>
        </w:rPr>
      </w:pPr>
      <w:r w:rsidRPr="00D97E2A">
        <w:rPr>
          <w:rFonts w:ascii="Times New Roman" w:hAnsi="Times New Roman" w:cs="Times New Roman"/>
          <w:sz w:val="24"/>
          <w:szCs w:val="24"/>
        </w:rPr>
        <w:t>Based on the findings of this study, the following recommendations are made:</w:t>
      </w:r>
    </w:p>
    <w:p w14:paraId="51ED90D7"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Commercial bakeries</w:t>
      </w:r>
      <w:r w:rsidRPr="00D97E2A">
        <w:rPr>
          <w:rFonts w:ascii="Times New Roman" w:hAnsi="Times New Roman" w:cs="Times New Roman"/>
          <w:sz w:val="24"/>
          <w:szCs w:val="24"/>
        </w:rPr>
        <w:t xml:space="preserve"> should consider incorporating millet and pigeon pea flour into bread production to improve the nutritional quality of bread while reducing reliance on imported wheat flour. </w:t>
      </w:r>
    </w:p>
    <w:p w14:paraId="21DA725B" w14:textId="77777777" w:rsidR="007B5D60" w:rsidRPr="00D97E2A" w:rsidRDefault="007B5D60" w:rsidP="007B5D60">
      <w:pPr>
        <w:numPr>
          <w:ilvl w:val="0"/>
          <w:numId w:val="1"/>
        </w:numPr>
        <w:jc w:val="both"/>
        <w:rPr>
          <w:rFonts w:ascii="Times New Roman" w:hAnsi="Times New Roman" w:cs="Times New Roman"/>
          <w:sz w:val="24"/>
          <w:szCs w:val="24"/>
        </w:rPr>
      </w:pPr>
      <w:r>
        <w:rPr>
          <w:rFonts w:ascii="Times New Roman" w:hAnsi="Times New Roman" w:cs="Times New Roman"/>
          <w:b/>
          <w:bCs/>
          <w:sz w:val="24"/>
          <w:szCs w:val="24"/>
        </w:rPr>
        <w:t>Government agencies</w:t>
      </w:r>
      <w:r>
        <w:rPr>
          <w:rFonts w:ascii="Times New Roman" w:hAnsi="Times New Roman" w:cs="Times New Roman"/>
          <w:sz w:val="24"/>
          <w:szCs w:val="24"/>
        </w:rPr>
        <w:t xml:space="preserve"> should encourage the production and </w:t>
      </w:r>
      <w:r>
        <w:rPr>
          <w:rFonts w:ascii="Times New Roman" w:hAnsi="Times New Roman" w:cs="Times New Roman"/>
          <w:sz w:val="24"/>
          <w:szCs w:val="24"/>
          <w:highlight w:val="yellow"/>
        </w:rPr>
        <w:t>utilisation</w:t>
      </w:r>
      <w:r>
        <w:rPr>
          <w:rFonts w:ascii="Times New Roman" w:hAnsi="Times New Roman" w:cs="Times New Roman"/>
          <w:sz w:val="24"/>
          <w:szCs w:val="24"/>
        </w:rPr>
        <w:t xml:space="preserve"> of millet and pigeon pea through agricultural support programmes, farmer incentives, and policies promoting indigenous crops for food security. </w:t>
      </w:r>
    </w:p>
    <w:p w14:paraId="5461D643" w14:textId="77777777" w:rsidR="007B5D60" w:rsidRPr="00D97E2A" w:rsidRDefault="007B5D60" w:rsidP="007B5D60">
      <w:pPr>
        <w:numPr>
          <w:ilvl w:val="0"/>
          <w:numId w:val="1"/>
        </w:numPr>
        <w:jc w:val="both"/>
        <w:rPr>
          <w:rFonts w:ascii="Times New Roman" w:hAnsi="Times New Roman" w:cs="Times New Roman"/>
          <w:sz w:val="24"/>
          <w:szCs w:val="24"/>
        </w:rPr>
      </w:pPr>
      <w:r>
        <w:rPr>
          <w:rFonts w:ascii="Times New Roman" w:hAnsi="Times New Roman" w:cs="Times New Roman"/>
          <w:b/>
          <w:bCs/>
          <w:sz w:val="24"/>
          <w:szCs w:val="24"/>
        </w:rPr>
        <w:t>Nutritionists and public health professionals</w:t>
      </w:r>
      <w:r>
        <w:rPr>
          <w:rFonts w:ascii="Times New Roman" w:hAnsi="Times New Roman" w:cs="Times New Roman"/>
          <w:sz w:val="24"/>
          <w:szCs w:val="24"/>
        </w:rPr>
        <w:t xml:space="preserve"> should promote composite breads containing millet and pigeon pea flour as healthier alternatives to conventional wheat bread because of their higher protein, dietary </w:t>
      </w:r>
      <w:r>
        <w:rPr>
          <w:rFonts w:ascii="Times New Roman" w:hAnsi="Times New Roman" w:cs="Times New Roman"/>
          <w:sz w:val="24"/>
          <w:szCs w:val="24"/>
          <w:highlight w:val="yellow"/>
        </w:rPr>
        <w:t>fibre</w:t>
      </w:r>
      <w:r>
        <w:rPr>
          <w:rFonts w:ascii="Times New Roman" w:hAnsi="Times New Roman" w:cs="Times New Roman"/>
          <w:sz w:val="24"/>
          <w:szCs w:val="24"/>
        </w:rPr>
        <w:t xml:space="preserve">, mineral, and phytochemical contents. </w:t>
      </w:r>
    </w:p>
    <w:p w14:paraId="4865B3F0"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Further studies</w:t>
      </w:r>
      <w:r w:rsidRPr="00D97E2A">
        <w:rPr>
          <w:rFonts w:ascii="Times New Roman" w:hAnsi="Times New Roman" w:cs="Times New Roman"/>
          <w:sz w:val="24"/>
          <w:szCs w:val="24"/>
        </w:rPr>
        <w:t xml:space="preserve"> should investigate the amino acid profile, mineral bioavailability, antioxidant activity, </w:t>
      </w:r>
      <w:proofErr w:type="spellStart"/>
      <w:r w:rsidRPr="00D97E2A">
        <w:rPr>
          <w:rFonts w:ascii="Times New Roman" w:hAnsi="Times New Roman" w:cs="Times New Roman"/>
          <w:sz w:val="24"/>
          <w:szCs w:val="24"/>
        </w:rPr>
        <w:t>glycaemic</w:t>
      </w:r>
      <w:proofErr w:type="spellEnd"/>
      <w:r w:rsidRPr="00D97E2A">
        <w:rPr>
          <w:rFonts w:ascii="Times New Roman" w:hAnsi="Times New Roman" w:cs="Times New Roman"/>
          <w:sz w:val="24"/>
          <w:szCs w:val="24"/>
        </w:rPr>
        <w:t xml:space="preserve"> index, and vitamin composition of millet–pigeon pea composite bread to provide a more comprehensive nutritional evaluation. </w:t>
      </w:r>
    </w:p>
    <w:p w14:paraId="00B4D1BD"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Additional research</w:t>
      </w:r>
      <w:r w:rsidRPr="00D97E2A">
        <w:rPr>
          <w:rFonts w:ascii="Times New Roman" w:hAnsi="Times New Roman" w:cs="Times New Roman"/>
          <w:sz w:val="24"/>
          <w:szCs w:val="24"/>
        </w:rPr>
        <w:t xml:space="preserve"> should examine the effects of different processing methods, such as fermentation, germination, malting, roasting, and enzyme treatment, on the nutritional quality and reduction of antinutritional factors in composite breads. </w:t>
      </w:r>
    </w:p>
    <w:p w14:paraId="33DEE114"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lastRenderedPageBreak/>
        <w:t>Shelf-life studies</w:t>
      </w:r>
      <w:r w:rsidRPr="00D97E2A">
        <w:rPr>
          <w:rFonts w:ascii="Times New Roman" w:hAnsi="Times New Roman" w:cs="Times New Roman"/>
          <w:sz w:val="24"/>
          <w:szCs w:val="24"/>
        </w:rPr>
        <w:t xml:space="preserve"> should be conducted to determine the microbiological stability, storage characteristics, packaging requirements, and quality retention of millet–pigeon pea composite breads under different environmental conditions. </w:t>
      </w:r>
    </w:p>
    <w:p w14:paraId="086D968F" w14:textId="77777777" w:rsidR="007B5D60" w:rsidRPr="00D97E2A" w:rsidRDefault="007B5D60" w:rsidP="007B5D6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Comprehensive sensory evaluation</w:t>
      </w:r>
      <w:r w:rsidRPr="00D97E2A">
        <w:rPr>
          <w:rFonts w:ascii="Times New Roman" w:hAnsi="Times New Roman" w:cs="Times New Roman"/>
          <w:sz w:val="24"/>
          <w:szCs w:val="24"/>
        </w:rPr>
        <w:t xml:space="preserve"> involving a larger consumer population should be undertaken to determine market acceptance and identify the optimum substitution level that balances nutritional enhancement with consumer preference. </w:t>
      </w:r>
    </w:p>
    <w:p w14:paraId="6F35A634" w14:textId="77777777" w:rsidR="0035314D" w:rsidRDefault="007B5D60" w:rsidP="00A45B20">
      <w:pPr>
        <w:numPr>
          <w:ilvl w:val="0"/>
          <w:numId w:val="1"/>
        </w:numPr>
        <w:jc w:val="both"/>
        <w:rPr>
          <w:rFonts w:ascii="Times New Roman" w:hAnsi="Times New Roman" w:cs="Times New Roman"/>
          <w:sz w:val="24"/>
          <w:szCs w:val="24"/>
        </w:rPr>
      </w:pPr>
      <w:r w:rsidRPr="00D97E2A">
        <w:rPr>
          <w:rFonts w:ascii="Times New Roman" w:hAnsi="Times New Roman" w:cs="Times New Roman"/>
          <w:b/>
          <w:bCs/>
          <w:sz w:val="24"/>
          <w:szCs w:val="24"/>
        </w:rPr>
        <w:t>Economic feasibility studies</w:t>
      </w:r>
      <w:r w:rsidRPr="00D97E2A">
        <w:rPr>
          <w:rFonts w:ascii="Times New Roman" w:hAnsi="Times New Roman" w:cs="Times New Roman"/>
          <w:sz w:val="24"/>
          <w:szCs w:val="24"/>
        </w:rPr>
        <w:t xml:space="preserve"> should be carried out to determine the production cost, profitability, and commercial viability of large-scale production of millet–pigeon pea composite bread. </w:t>
      </w:r>
    </w:p>
    <w:p w14:paraId="17995952" w14:textId="77777777" w:rsidR="00F0669B" w:rsidRDefault="00F0669B" w:rsidP="00F0669B">
      <w:pPr>
        <w:jc w:val="both"/>
        <w:rPr>
          <w:rFonts w:ascii="Times New Roman" w:hAnsi="Times New Roman" w:cs="Times New Roman"/>
          <w:sz w:val="24"/>
          <w:szCs w:val="24"/>
        </w:rPr>
      </w:pPr>
    </w:p>
    <w:p w14:paraId="765A9712" w14:textId="77777777" w:rsidR="00F0669B" w:rsidRPr="00355380" w:rsidRDefault="00F0669B" w:rsidP="00F0669B">
      <w:pPr>
        <w:jc w:val="both"/>
        <w:rPr>
          <w:rFonts w:ascii="Times New Roman" w:hAnsi="Times New Roman" w:cs="Times New Roman"/>
          <w:b/>
          <w:bCs/>
          <w:sz w:val="24"/>
          <w:szCs w:val="24"/>
        </w:rPr>
      </w:pPr>
      <w:r w:rsidRPr="00355380">
        <w:rPr>
          <w:rFonts w:ascii="Times New Roman" w:hAnsi="Times New Roman" w:cs="Times New Roman"/>
          <w:b/>
          <w:bCs/>
          <w:sz w:val="24"/>
          <w:szCs w:val="24"/>
        </w:rPr>
        <w:t>Limitations</w:t>
      </w:r>
    </w:p>
    <w:p w14:paraId="4D6D5108" w14:textId="13DBE7DC" w:rsidR="00F0669B" w:rsidRDefault="00F0669B" w:rsidP="00F0669B">
      <w:pPr>
        <w:jc w:val="both"/>
        <w:rPr>
          <w:rFonts w:ascii="Times New Roman" w:hAnsi="Times New Roman" w:cs="Times New Roman"/>
          <w:sz w:val="24"/>
          <w:szCs w:val="24"/>
        </w:rPr>
      </w:pPr>
      <w:r w:rsidRPr="00F0669B">
        <w:rPr>
          <w:rFonts w:ascii="Times New Roman" w:hAnsi="Times New Roman" w:cs="Times New Roman"/>
          <w:sz w:val="24"/>
          <w:szCs w:val="24"/>
        </w:rPr>
        <w:t xml:space="preserve">This study was limited to five bread formulations comprising wheat flour and selected substitution levels of millet or pigeon pea flour, with measurements conducted in three replications. The evaluation focused on proximate composition, selected phytochemicals, loaf weight, and loaf volume; therefore, other quality attributes were not assessed. Sensory acceptability, shelf-life, amino acid profile, mineral bioavailability, antioxidant activity, and </w:t>
      </w:r>
      <w:proofErr w:type="spellStart"/>
      <w:r w:rsidRPr="00F0669B">
        <w:rPr>
          <w:rFonts w:ascii="Times New Roman" w:hAnsi="Times New Roman" w:cs="Times New Roman"/>
          <w:sz w:val="24"/>
          <w:szCs w:val="24"/>
        </w:rPr>
        <w:t>glycaemic</w:t>
      </w:r>
      <w:proofErr w:type="spellEnd"/>
      <w:r w:rsidRPr="00F0669B">
        <w:rPr>
          <w:rFonts w:ascii="Times New Roman" w:hAnsi="Times New Roman" w:cs="Times New Roman"/>
          <w:sz w:val="24"/>
          <w:szCs w:val="24"/>
        </w:rPr>
        <w:t xml:space="preserve"> response were beyond the study scope. Future studies should include broader formulation ranges, larger-scale testing, storage evaluation, and comprehensive nutritional and sensory assessments to improve the </w:t>
      </w:r>
      <w:proofErr w:type="spellStart"/>
      <w:r w:rsidRPr="00F0669B">
        <w:rPr>
          <w:rFonts w:ascii="Times New Roman" w:hAnsi="Times New Roman" w:cs="Times New Roman"/>
          <w:sz w:val="24"/>
          <w:szCs w:val="24"/>
        </w:rPr>
        <w:t>generalisability</w:t>
      </w:r>
      <w:proofErr w:type="spellEnd"/>
      <w:r w:rsidRPr="00F0669B">
        <w:rPr>
          <w:rFonts w:ascii="Times New Roman" w:hAnsi="Times New Roman" w:cs="Times New Roman"/>
          <w:sz w:val="24"/>
          <w:szCs w:val="24"/>
        </w:rPr>
        <w:t xml:space="preserve"> of the findings.</w:t>
      </w:r>
    </w:p>
    <w:p w14:paraId="373AE038" w14:textId="77777777" w:rsidR="00F0669B" w:rsidRDefault="00F0669B" w:rsidP="00F0669B">
      <w:pPr>
        <w:jc w:val="both"/>
        <w:rPr>
          <w:rFonts w:ascii="Times New Roman" w:hAnsi="Times New Roman" w:cs="Times New Roman"/>
          <w:sz w:val="24"/>
          <w:szCs w:val="24"/>
        </w:rPr>
      </w:pPr>
    </w:p>
    <w:p w14:paraId="0D1DA84F" w14:textId="77777777" w:rsidR="00F0669B" w:rsidRPr="00D97E2A" w:rsidRDefault="00F0669B" w:rsidP="00F0669B">
      <w:pPr>
        <w:jc w:val="both"/>
        <w:rPr>
          <w:rFonts w:ascii="Times New Roman" w:hAnsi="Times New Roman" w:cs="Times New Roman"/>
          <w:sz w:val="24"/>
          <w:szCs w:val="24"/>
        </w:rPr>
      </w:pPr>
    </w:p>
    <w:p w14:paraId="78360E90" w14:textId="77777777" w:rsidR="00F5704D" w:rsidRPr="00F5704D" w:rsidRDefault="00F5704D" w:rsidP="00F5704D">
      <w:pPr>
        <w:spacing w:line="360" w:lineRule="auto"/>
        <w:jc w:val="both"/>
        <w:rPr>
          <w:rFonts w:ascii="Times New Roman" w:hAnsi="Times New Roman" w:cs="Times New Roman"/>
          <w:sz w:val="24"/>
          <w:szCs w:val="24"/>
        </w:rPr>
      </w:pPr>
      <w:r w:rsidRPr="00F5704D">
        <w:rPr>
          <w:rFonts w:ascii="Times New Roman" w:hAnsi="Times New Roman" w:cs="Times New Roman"/>
          <w:sz w:val="24"/>
          <w:szCs w:val="24"/>
        </w:rPr>
        <w:t xml:space="preserve">Declaration of AI Use </w:t>
      </w:r>
    </w:p>
    <w:p w14:paraId="541C2AF6" w14:textId="77425434" w:rsidR="009235D9" w:rsidRPr="00D97E2A" w:rsidRDefault="006D31FE" w:rsidP="00B44211">
      <w:pPr>
        <w:spacing w:line="360" w:lineRule="auto"/>
        <w:jc w:val="both"/>
        <w:rPr>
          <w:rFonts w:ascii="Times New Roman" w:hAnsi="Times New Roman" w:cs="Times New Roman"/>
          <w:sz w:val="24"/>
          <w:szCs w:val="24"/>
        </w:rPr>
      </w:pPr>
      <w:r w:rsidRPr="006D31FE">
        <w:rPr>
          <w:rFonts w:ascii="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7A8F349" w14:textId="77777777" w:rsidR="009235D9" w:rsidRPr="00D97E2A" w:rsidRDefault="009235D9" w:rsidP="009235D9">
      <w:pPr>
        <w:spacing w:after="0" w:line="276" w:lineRule="auto"/>
        <w:ind w:left="720" w:hanging="720"/>
        <w:rPr>
          <w:rFonts w:ascii="Times New Roman" w:hAnsi="Times New Roman" w:cs="Times New Roman"/>
          <w:sz w:val="24"/>
          <w:szCs w:val="24"/>
        </w:rPr>
      </w:pPr>
      <w:r w:rsidRPr="00D97E2A">
        <w:rPr>
          <w:rFonts w:ascii="Times New Roman" w:hAnsi="Times New Roman" w:cs="Times New Roman"/>
          <w:sz w:val="24"/>
          <w:szCs w:val="24"/>
        </w:rPr>
        <w:t>Reference</w:t>
      </w:r>
    </w:p>
    <w:p w14:paraId="078A2225" w14:textId="77777777" w:rsidR="009C72F5" w:rsidRDefault="00000000">
      <w:pPr>
        <w:spacing w:after="0" w:line="240" w:lineRule="auto"/>
        <w:ind w:left="720" w:hanging="720"/>
        <w:rPr>
          <w:rFonts w:ascii="Times New Roman" w:hAnsi="Times New Roman" w:cs="Times New Roman"/>
          <w:sz w:val="24"/>
          <w:szCs w:val="24"/>
        </w:rPr>
      </w:pPr>
      <w:r>
        <w:rPr>
          <w:rFonts w:ascii="Times New Roman" w:eastAsia="Times New Roman" w:hAnsi="Times New Roman"/>
          <w:b/>
          <w:sz w:val="24"/>
          <w:highlight w:val="yellow"/>
        </w:rPr>
        <w:t xml:space="preserve">Adeoye, A. O., Ogunjemilusi, M. A., &amp; Akanfe, J. C. (2024). Formulation and assessment of nutritious infant complementary foods from co-fermented maize, millet and pigeon pea blends. </w:t>
      </w:r>
      <w:r>
        <w:rPr>
          <w:rFonts w:ascii="Times New Roman" w:eastAsia="Times New Roman" w:hAnsi="Times New Roman"/>
          <w:b/>
          <w:i/>
          <w:sz w:val="24"/>
          <w:highlight w:val="yellow"/>
        </w:rPr>
        <w:t>European Journal of Nutrition &amp; Food Safety, 16</w:t>
      </w:r>
      <w:r>
        <w:rPr>
          <w:rFonts w:ascii="Times New Roman" w:eastAsia="Times New Roman" w:hAnsi="Times New Roman"/>
          <w:b/>
          <w:sz w:val="24"/>
          <w:highlight w:val="yellow"/>
        </w:rPr>
        <w:t>(10), 227–239. https://doi.org/10.9734/ejnfs/2024/v16i101571</w:t>
      </w:r>
    </w:p>
    <w:p w14:paraId="594CAB20" w14:textId="77777777" w:rsidR="009C72F5" w:rsidRDefault="00000000">
      <w:pPr>
        <w:spacing w:after="0" w:line="240" w:lineRule="auto"/>
        <w:ind w:left="720" w:hanging="720"/>
      </w:pPr>
      <w:r>
        <w:rPr>
          <w:rFonts w:ascii="Times New Roman" w:hAnsi="Times New Roman"/>
          <w:sz w:val="24"/>
        </w:rPr>
        <w:t xml:space="preserve">Adinkwu, O. M., Emojorho, E. E., Ogboli, C. C., Ogwu, C., &amp; Obruche, F. (2025). Minerals and vitamin composition of bread from Bambara groundnut and sorghum flour. </w:t>
      </w:r>
      <w:r>
        <w:rPr>
          <w:rFonts w:ascii="Times New Roman" w:hAnsi="Times New Roman"/>
          <w:i/>
          <w:sz w:val="24"/>
        </w:rPr>
        <w:t>International Journal of Multidisciplinary Research and Development, 12</w:t>
      </w:r>
      <w:r>
        <w:rPr>
          <w:rFonts w:ascii="Times New Roman" w:hAnsi="Times New Roman"/>
          <w:sz w:val="24"/>
        </w:rPr>
        <w:t xml:space="preserve">(10), 71–76. </w:t>
      </w:r>
      <w:hyperlink r:id="rId5">
        <w:r w:rsidR="009C72F5">
          <w:rPr>
            <w:rFonts w:ascii="Times New Roman" w:hAnsi="Times New Roman"/>
            <w:color w:val="000000"/>
            <w:sz w:val="24"/>
            <w:szCs w:val="24"/>
            <w:u w:val="single"/>
          </w:rPr>
          <w:t>https://www.allsubjectjournal.com/assets/archives/2025/vol12issue10/12251.pdf</w:t>
        </w:r>
      </w:hyperlink>
    </w:p>
    <w:p w14:paraId="6D4DC19D" w14:textId="77777777" w:rsidR="009C72F5" w:rsidRDefault="00000000">
      <w:pPr>
        <w:spacing w:after="0" w:line="240" w:lineRule="auto"/>
        <w:ind w:left="720" w:hanging="720"/>
      </w:pPr>
      <w:r>
        <w:rPr>
          <w:rFonts w:ascii="Times New Roman" w:eastAsia="Times New Roman" w:hAnsi="Times New Roman"/>
          <w:b/>
          <w:sz w:val="24"/>
          <w:highlight w:val="yellow"/>
        </w:rPr>
        <w:lastRenderedPageBreak/>
        <w:t xml:space="preserve">Ahmad, A., Bashir, S., Saeed, K., Haima, H., Amir, R. M., Khalid, W., Ahmad, M., Sabir, A., Khalid, M. Z., Ahmad, N., Mohamed Ahmed, I. A., &amp; Younis, M. (2025). Nutritional, textural and sensory properties of bread from wheat, millet and sorghum based composite flour. </w:t>
      </w:r>
      <w:r>
        <w:rPr>
          <w:rFonts w:ascii="Times New Roman" w:eastAsia="Times New Roman" w:hAnsi="Times New Roman"/>
          <w:b/>
          <w:i/>
          <w:sz w:val="24"/>
          <w:highlight w:val="yellow"/>
        </w:rPr>
        <w:t>Italian Journal of Food Science, 37</w:t>
      </w:r>
      <w:r>
        <w:rPr>
          <w:rFonts w:ascii="Times New Roman" w:eastAsia="Times New Roman" w:hAnsi="Times New Roman"/>
          <w:b/>
          <w:sz w:val="24"/>
          <w:highlight w:val="yellow"/>
        </w:rPr>
        <w:t>(4), 506–536. https://doi.org/10.15586/ijfs.v37i4.2974</w:t>
      </w:r>
    </w:p>
    <w:p w14:paraId="5B099FD1" w14:textId="77777777" w:rsidR="009C72F5" w:rsidRDefault="00000000">
      <w:pPr>
        <w:spacing w:after="0" w:line="240" w:lineRule="auto"/>
        <w:ind w:left="720" w:hanging="720"/>
      </w:pPr>
      <w:r>
        <w:rPr>
          <w:rFonts w:ascii="Times New Roman" w:hAnsi="Times New Roman"/>
          <w:sz w:val="24"/>
        </w:rPr>
        <w:t xml:space="preserve">Chiedu, U. C., Malomo, S. A., Ijarotimi, O. S., Emojorho, E. E., &amp; Arogundade, T. J. (2023). Physicochemical, nutritional and functional properties of composite flour blends from whole wheat, sweet potato, defatted peanut and rice bran. </w:t>
      </w:r>
      <w:r>
        <w:rPr>
          <w:rFonts w:ascii="Times New Roman" w:hAnsi="Times New Roman"/>
          <w:i/>
          <w:sz w:val="24"/>
        </w:rPr>
        <w:t>European Journal of Nutrition &amp; Food Safety, 15</w:t>
      </w:r>
      <w:r>
        <w:rPr>
          <w:rFonts w:ascii="Times New Roman" w:hAnsi="Times New Roman"/>
          <w:sz w:val="24"/>
        </w:rPr>
        <w:t xml:space="preserve">(12), 41–55. </w:t>
      </w:r>
      <w:hyperlink r:id="rId6">
        <w:r w:rsidR="009C72F5">
          <w:rPr>
            <w:rFonts w:ascii="Times New Roman" w:hAnsi="Times New Roman"/>
            <w:color w:val="000000"/>
            <w:sz w:val="24"/>
            <w:szCs w:val="24"/>
            <w:u w:val="single"/>
          </w:rPr>
          <w:t>https://doi.org/10.9734/ejnfs/2023/v15i121366</w:t>
        </w:r>
      </w:hyperlink>
    </w:p>
    <w:p w14:paraId="1B44F177" w14:textId="77777777" w:rsidR="009C72F5" w:rsidRDefault="00000000">
      <w:pPr>
        <w:spacing w:after="0" w:line="240" w:lineRule="auto"/>
        <w:ind w:left="720" w:hanging="720"/>
      </w:pPr>
      <w:r>
        <w:rPr>
          <w:rFonts w:ascii="Times New Roman" w:hAnsi="Times New Roman"/>
          <w:sz w:val="24"/>
        </w:rPr>
        <w:t xml:space="preserve">Eid, W. A. M., Abdelgalil, Z. A. H., Abd-Elsattar, H. H., Bakry, A. M., Tian, H., Huang, J., Wang, P., &amp; Hamed, Y. S. (2025). Evaluation of the quality of wheat and millet composite flour and application for production biscuits fortified with white sweet potato flour. </w:t>
      </w:r>
      <w:r>
        <w:rPr>
          <w:rFonts w:ascii="Times New Roman" w:hAnsi="Times New Roman"/>
          <w:i/>
          <w:sz w:val="24"/>
        </w:rPr>
        <w:t>Food Analytical Methods, 18</w:t>
      </w:r>
      <w:r>
        <w:rPr>
          <w:rFonts w:ascii="Times New Roman" w:hAnsi="Times New Roman"/>
          <w:sz w:val="24"/>
        </w:rPr>
        <w:t xml:space="preserve">, 657–669. </w:t>
      </w:r>
      <w:r>
        <w:br/>
      </w:r>
      <w:hyperlink r:id="rId7">
        <w:r w:rsidR="009C72F5">
          <w:rPr>
            <w:rFonts w:ascii="Times New Roman" w:hAnsi="Times New Roman"/>
            <w:color w:val="000000"/>
            <w:sz w:val="24"/>
            <w:szCs w:val="24"/>
            <w:u w:val="single"/>
          </w:rPr>
          <w:t>https://doi.org/10.1007/s12161-024-02739-x</w:t>
        </w:r>
      </w:hyperlink>
    </w:p>
    <w:p w14:paraId="3EF02238" w14:textId="77777777" w:rsidR="009C72F5" w:rsidRDefault="00000000">
      <w:pPr>
        <w:spacing w:after="0" w:line="240" w:lineRule="auto"/>
        <w:ind w:left="720" w:hanging="720"/>
      </w:pPr>
      <w:r>
        <w:rPr>
          <w:rFonts w:ascii="Times New Roman" w:hAnsi="Times New Roman"/>
          <w:sz w:val="24"/>
        </w:rPr>
        <w:t xml:space="preserve">Emojorho, E. E., Adinkwu, O. M., Obetta, R. N., Oboreh, O. J., Taiga, A., Ogboli, C. C., &amp; Ayomavoro, F. (2025). Development of nutrient-dense biscuits from sorghum and Bambara groundnut flour. </w:t>
      </w:r>
      <w:r>
        <w:rPr>
          <w:rFonts w:ascii="Times New Roman" w:hAnsi="Times New Roman"/>
          <w:i/>
          <w:sz w:val="24"/>
        </w:rPr>
        <w:t>Asian Journal of Applied Chemistry Research, 16</w:t>
      </w:r>
      <w:r>
        <w:rPr>
          <w:rFonts w:ascii="Times New Roman" w:hAnsi="Times New Roman"/>
          <w:sz w:val="24"/>
        </w:rPr>
        <w:t xml:space="preserve">(4), 68–77. </w:t>
      </w:r>
      <w:hyperlink r:id="rId8">
        <w:r w:rsidR="009C72F5">
          <w:rPr>
            <w:rFonts w:ascii="Times New Roman" w:hAnsi="Times New Roman"/>
            <w:color w:val="000000"/>
            <w:sz w:val="24"/>
            <w:szCs w:val="24"/>
            <w:u w:val="single"/>
          </w:rPr>
          <w:t>https://doi.org/10.9734/ajacr/2025/v16i4356</w:t>
        </w:r>
      </w:hyperlink>
    </w:p>
    <w:p w14:paraId="1D5D9CD5" w14:textId="77777777" w:rsidR="009C72F5" w:rsidRDefault="00000000">
      <w:pPr>
        <w:spacing w:after="0" w:line="240" w:lineRule="auto"/>
        <w:ind w:left="720" w:hanging="720"/>
      </w:pPr>
      <w:r>
        <w:rPr>
          <w:rFonts w:ascii="Times New Roman" w:hAnsi="Times New Roman"/>
          <w:sz w:val="24"/>
        </w:rPr>
        <w:t xml:space="preserve">Emojorho, E. E., Adinkwu, O. M., Ududua, U. O., Okoh, F. N., Ogwu, C., Ogboli, C. C., &amp; Aphiar, A. (2025). Chemical composition and storage study of debittered orange-seed flour. </w:t>
      </w:r>
      <w:r>
        <w:rPr>
          <w:rFonts w:ascii="Times New Roman" w:hAnsi="Times New Roman"/>
          <w:i/>
          <w:sz w:val="24"/>
        </w:rPr>
        <w:t>Asian Journal of Research in Biochemistry, 15</w:t>
      </w:r>
      <w:r>
        <w:rPr>
          <w:rFonts w:ascii="Times New Roman" w:hAnsi="Times New Roman"/>
          <w:sz w:val="24"/>
        </w:rPr>
        <w:t xml:space="preserve">(1), 157–165. </w:t>
      </w:r>
      <w:hyperlink r:id="rId9">
        <w:r w:rsidR="009C72F5">
          <w:rPr>
            <w:rFonts w:ascii="Times New Roman" w:hAnsi="Times New Roman"/>
            <w:color w:val="000000"/>
            <w:sz w:val="24"/>
            <w:szCs w:val="24"/>
            <w:u w:val="single"/>
          </w:rPr>
          <w:t>https://doi.org/10.9734/ajrb/2025/v15i1361</w:t>
        </w:r>
      </w:hyperlink>
    </w:p>
    <w:p w14:paraId="2B564CBB" w14:textId="77777777" w:rsidR="009C72F5" w:rsidRDefault="00000000">
      <w:pPr>
        <w:spacing w:after="0" w:line="240" w:lineRule="auto"/>
        <w:ind w:left="720" w:hanging="720"/>
      </w:pPr>
      <w:r>
        <w:rPr>
          <w:rFonts w:ascii="Times New Roman" w:hAnsi="Times New Roman"/>
          <w:sz w:val="24"/>
        </w:rPr>
        <w:t>Emojorho, E. E., &amp; Akubor, P. I. (2016). Effect of debittering methods on the minerals and phytochemical properties of orange (</w:t>
      </w:r>
      <w:r>
        <w:rPr>
          <w:rFonts w:ascii="Times New Roman" w:hAnsi="Times New Roman"/>
          <w:i/>
          <w:sz w:val="24"/>
        </w:rPr>
        <w:t>Citrus sinensis</w:t>
      </w:r>
      <w:r>
        <w:rPr>
          <w:rFonts w:ascii="Times New Roman" w:hAnsi="Times New Roman"/>
          <w:sz w:val="24"/>
        </w:rPr>
        <w:t xml:space="preserve">) seeds flour. </w:t>
      </w:r>
      <w:r>
        <w:rPr>
          <w:rFonts w:ascii="Times New Roman" w:hAnsi="Times New Roman"/>
          <w:i/>
          <w:sz w:val="24"/>
        </w:rPr>
        <w:t>IOSR Journal of Environmental Science, Toxicology and Food Technology, 10</w:t>
      </w:r>
      <w:r>
        <w:rPr>
          <w:rFonts w:ascii="Times New Roman" w:hAnsi="Times New Roman"/>
          <w:sz w:val="24"/>
        </w:rPr>
        <w:t xml:space="preserve">(9), 134–139. </w:t>
      </w:r>
      <w:hyperlink r:id="rId10">
        <w:r w:rsidR="009C72F5">
          <w:rPr>
            <w:rFonts w:ascii="Times New Roman" w:hAnsi="Times New Roman"/>
            <w:color w:val="000000"/>
            <w:sz w:val="24"/>
            <w:szCs w:val="24"/>
            <w:u w:val="single"/>
          </w:rPr>
          <w:t>https://doi.org/10.9790/2402-100902134139</w:t>
        </w:r>
      </w:hyperlink>
    </w:p>
    <w:p w14:paraId="28CA6200" w14:textId="77777777" w:rsidR="009C72F5" w:rsidRDefault="00000000">
      <w:pPr>
        <w:spacing w:after="0" w:line="240" w:lineRule="auto"/>
        <w:ind w:left="720" w:hanging="720"/>
      </w:pPr>
      <w:r>
        <w:rPr>
          <w:rFonts w:ascii="Times New Roman" w:hAnsi="Times New Roman"/>
          <w:sz w:val="24"/>
        </w:rPr>
        <w:t xml:space="preserve">Emojorho, E. E., Aniemena, C. C., Anyanwe, C. U., Ogboli, C. C., &amp; Imighorina, P. O. (2026). Micronutrient composition of bread produced from millet and pigeon pea flour. </w:t>
      </w:r>
      <w:r>
        <w:rPr>
          <w:rFonts w:ascii="Times New Roman" w:hAnsi="Times New Roman"/>
          <w:i/>
          <w:sz w:val="24"/>
        </w:rPr>
        <w:t>Journal of Advances in Food Science &amp; Technology, 13</w:t>
      </w:r>
      <w:r>
        <w:rPr>
          <w:rFonts w:ascii="Times New Roman" w:hAnsi="Times New Roman"/>
          <w:sz w:val="24"/>
        </w:rPr>
        <w:t xml:space="preserve">(3), 204–212. </w:t>
      </w:r>
      <w:hyperlink r:id="rId11">
        <w:r w:rsidR="009C72F5">
          <w:rPr>
            <w:rFonts w:ascii="Times New Roman" w:hAnsi="Times New Roman"/>
            <w:color w:val="000000"/>
            <w:sz w:val="24"/>
            <w:szCs w:val="24"/>
            <w:u w:val="single"/>
          </w:rPr>
          <w:t>https://doi.org/10.56557/jafsat/2026/v13i310820</w:t>
        </w:r>
      </w:hyperlink>
    </w:p>
    <w:p w14:paraId="771E5916" w14:textId="77777777" w:rsidR="009C72F5" w:rsidRDefault="00000000">
      <w:pPr>
        <w:spacing w:after="0" w:line="240" w:lineRule="auto"/>
        <w:ind w:left="720" w:hanging="720"/>
      </w:pPr>
      <w:r>
        <w:rPr>
          <w:rFonts w:ascii="Times New Roman" w:hAnsi="Times New Roman"/>
          <w:sz w:val="24"/>
        </w:rPr>
        <w:t xml:space="preserve">Emojorho, E. E., Oboreh, O. J., Adinkwu, O. M., Obetta, R. N., Iniaghe, P., Ogboli, C. C., &amp; Orede, G. (2025). Proximate, physicochemical and phytochemical evaluation of biscuits produced from millet and soybean flour. </w:t>
      </w:r>
      <w:r>
        <w:rPr>
          <w:rFonts w:ascii="Times New Roman" w:hAnsi="Times New Roman"/>
          <w:i/>
          <w:sz w:val="24"/>
        </w:rPr>
        <w:t>Asian Journal of Applied Chemistry Research, 16</w:t>
      </w:r>
      <w:r>
        <w:rPr>
          <w:rFonts w:ascii="Times New Roman" w:hAnsi="Times New Roman"/>
          <w:sz w:val="24"/>
        </w:rPr>
        <w:t xml:space="preserve">(4), 48–55. </w:t>
      </w:r>
      <w:hyperlink r:id="rId12">
        <w:r w:rsidR="009C72F5">
          <w:rPr>
            <w:rFonts w:ascii="Times New Roman" w:hAnsi="Times New Roman"/>
            <w:color w:val="000000"/>
            <w:sz w:val="24"/>
            <w:szCs w:val="24"/>
            <w:u w:val="single"/>
          </w:rPr>
          <w:t>https://doi.org/10.9734/ajacr/2025/v16i4354</w:t>
        </w:r>
      </w:hyperlink>
    </w:p>
    <w:p w14:paraId="624C9EF2" w14:textId="77777777" w:rsidR="009C72F5" w:rsidRDefault="00000000">
      <w:pPr>
        <w:spacing w:after="0" w:line="240" w:lineRule="auto"/>
        <w:ind w:left="720" w:hanging="720"/>
      </w:pPr>
      <w:r>
        <w:rPr>
          <w:rFonts w:ascii="Times New Roman" w:hAnsi="Times New Roman"/>
          <w:sz w:val="24"/>
        </w:rPr>
        <w:t xml:space="preserve">Emojorho, E. E., Okonkwo, T. M., &amp; Eze, J. I. (2023). Chemical physical shelf-life and sensory properties of biscuits produced from defatted and undefatted debittered orange seed flours. </w:t>
      </w:r>
      <w:r>
        <w:rPr>
          <w:rFonts w:ascii="Times New Roman" w:hAnsi="Times New Roman"/>
          <w:i/>
          <w:sz w:val="24"/>
        </w:rPr>
        <w:t>Fruits, 78</w:t>
      </w:r>
      <w:r>
        <w:rPr>
          <w:rFonts w:ascii="Times New Roman" w:hAnsi="Times New Roman"/>
          <w:sz w:val="24"/>
        </w:rPr>
        <w:t xml:space="preserve">(1), 1–12. </w:t>
      </w:r>
      <w:hyperlink r:id="rId13">
        <w:r w:rsidR="009C72F5">
          <w:rPr>
            <w:rFonts w:ascii="Times New Roman" w:hAnsi="Times New Roman"/>
            <w:color w:val="000000"/>
            <w:sz w:val="24"/>
            <w:szCs w:val="24"/>
            <w:u w:val="single"/>
          </w:rPr>
          <w:t>https://doi.org/10.17660/th2023/002</w:t>
        </w:r>
      </w:hyperlink>
    </w:p>
    <w:p w14:paraId="307A90CB" w14:textId="77777777" w:rsidR="009C72F5" w:rsidRDefault="00000000">
      <w:pPr>
        <w:spacing w:after="0" w:line="240" w:lineRule="auto"/>
        <w:ind w:left="720" w:hanging="720"/>
      </w:pPr>
      <w:r>
        <w:rPr>
          <w:rFonts w:ascii="Times New Roman" w:hAnsi="Times New Roman"/>
          <w:sz w:val="24"/>
        </w:rPr>
        <w:t xml:space="preserve">Emojorho, E. E., Reuben-Okoye, M., Aphiar, A., Nwosu, A. N., Anene, M. N., Avbundiogba, E., Ochimana, T. O., &amp; Ekpekpo, L. D. (2024). Assessing the quality and potential of fried noodles: An analysis of wheat and </w:t>
      </w:r>
      <w:r>
        <w:rPr>
          <w:rFonts w:ascii="Times New Roman" w:hAnsi="Times New Roman"/>
          <w:i/>
          <w:sz w:val="24"/>
        </w:rPr>
        <w:t>Afzelia africana</w:t>
      </w:r>
      <w:r>
        <w:rPr>
          <w:rFonts w:ascii="Times New Roman" w:hAnsi="Times New Roman"/>
          <w:sz w:val="24"/>
        </w:rPr>
        <w:t xml:space="preserve"> flour blends in chemical, functional, physical, and sensory dimensions. </w:t>
      </w:r>
      <w:r>
        <w:rPr>
          <w:rFonts w:ascii="Times New Roman" w:hAnsi="Times New Roman"/>
          <w:i/>
          <w:sz w:val="24"/>
        </w:rPr>
        <w:t>Asian Journal of Advanced Research and Reports, 18</w:t>
      </w:r>
      <w:r>
        <w:rPr>
          <w:rFonts w:ascii="Times New Roman" w:hAnsi="Times New Roman"/>
          <w:sz w:val="24"/>
        </w:rPr>
        <w:t xml:space="preserve">(6), 41–53. </w:t>
      </w:r>
      <w:hyperlink r:id="rId14">
        <w:r w:rsidR="009C72F5">
          <w:rPr>
            <w:rFonts w:ascii="Times New Roman" w:hAnsi="Times New Roman"/>
            <w:color w:val="000000"/>
            <w:sz w:val="24"/>
            <w:szCs w:val="24"/>
            <w:u w:val="single"/>
          </w:rPr>
          <w:t>https://doi.org/10.9734/ajarr/2024/v18i6652</w:t>
        </w:r>
      </w:hyperlink>
    </w:p>
    <w:p w14:paraId="69117E48" w14:textId="77777777" w:rsidR="009C72F5" w:rsidRDefault="00000000">
      <w:pPr>
        <w:spacing w:after="0" w:line="240" w:lineRule="auto"/>
        <w:ind w:left="720" w:hanging="720"/>
      </w:pPr>
      <w:r>
        <w:rPr>
          <w:rFonts w:ascii="Times New Roman" w:hAnsi="Times New Roman"/>
          <w:sz w:val="24"/>
        </w:rPr>
        <w:t xml:space="preserve">Ezegbe, C. C., Nkhata, S. G., Ukpong, E. S., Ezeh, M. C., Okocha, K. S., &amp; Pedro, B. F. (2025). Physicochemical and sensory quality of breakfast cereals produced from flour blends of maize and pigeon pea. </w:t>
      </w:r>
      <w:r>
        <w:rPr>
          <w:rFonts w:ascii="Times New Roman" w:hAnsi="Times New Roman"/>
          <w:i/>
          <w:sz w:val="24"/>
        </w:rPr>
        <w:t>Heliyon, 11</w:t>
      </w:r>
      <w:r>
        <w:rPr>
          <w:rFonts w:ascii="Times New Roman" w:hAnsi="Times New Roman"/>
          <w:sz w:val="24"/>
        </w:rPr>
        <w:t xml:space="preserve">(4), e42612. </w:t>
      </w:r>
      <w:hyperlink r:id="rId15">
        <w:r w:rsidR="009C72F5">
          <w:rPr>
            <w:rFonts w:ascii="Times New Roman" w:hAnsi="Times New Roman"/>
            <w:color w:val="000000"/>
            <w:sz w:val="24"/>
            <w:szCs w:val="24"/>
            <w:u w:val="single"/>
          </w:rPr>
          <w:t>https://doi.org/10.1016/j.heliyon.2025.e42612</w:t>
        </w:r>
      </w:hyperlink>
    </w:p>
    <w:p w14:paraId="5F267562" w14:textId="77777777" w:rsidR="009C72F5" w:rsidRDefault="00000000">
      <w:pPr>
        <w:spacing w:after="0" w:line="240" w:lineRule="auto"/>
        <w:ind w:left="720" w:hanging="720"/>
      </w:pPr>
      <w:r>
        <w:rPr>
          <w:rFonts w:ascii="Times New Roman" w:hAnsi="Times New Roman"/>
          <w:sz w:val="24"/>
        </w:rPr>
        <w:lastRenderedPageBreak/>
        <w:t xml:space="preserve">Ezeonu, C. S., &amp; Ejikeme, C. M. (2016). Qualitative and quantitative determination of phytochemical contents of indigenous Nigerian softwoods. </w:t>
      </w:r>
      <w:r>
        <w:rPr>
          <w:rFonts w:ascii="Times New Roman" w:hAnsi="Times New Roman"/>
          <w:i/>
          <w:sz w:val="24"/>
        </w:rPr>
        <w:t>New Journal of Science, 2016</w:t>
      </w:r>
      <w:r>
        <w:rPr>
          <w:rFonts w:ascii="Times New Roman" w:hAnsi="Times New Roman"/>
          <w:sz w:val="24"/>
        </w:rPr>
        <w:t xml:space="preserve">, Article 5601327. </w:t>
      </w:r>
      <w:hyperlink r:id="rId16">
        <w:r w:rsidR="009C72F5">
          <w:rPr>
            <w:rFonts w:ascii="Times New Roman" w:hAnsi="Times New Roman"/>
            <w:color w:val="000000"/>
            <w:sz w:val="24"/>
            <w:szCs w:val="24"/>
            <w:u w:val="single"/>
          </w:rPr>
          <w:t>https://doi.org/10.1155/2016/5601327</w:t>
        </w:r>
      </w:hyperlink>
    </w:p>
    <w:p w14:paraId="617219A6" w14:textId="77777777" w:rsidR="009C72F5" w:rsidRDefault="00000000">
      <w:pPr>
        <w:spacing w:after="0" w:line="240" w:lineRule="auto"/>
        <w:ind w:left="720" w:hanging="720"/>
      </w:pPr>
      <w:r>
        <w:rPr>
          <w:rFonts w:ascii="Times New Roman" w:eastAsia="Times New Roman" w:hAnsi="Times New Roman"/>
          <w:b/>
          <w:sz w:val="24"/>
          <w:highlight w:val="yellow"/>
        </w:rPr>
        <w:t>Haji, A., Teka, T. A., Yirga Bereka, T., Negasa Andersa, K., Desalegn Nekera, K., Geleta Abdi, G., Lema Abelti, A., &amp; Makiso Urugo, M. (2024). Nutritional composition, bioactive compounds, food applications, and health benefits of pigeon pea (</w:t>
      </w:r>
      <w:r>
        <w:rPr>
          <w:rFonts w:ascii="Times New Roman" w:eastAsia="Times New Roman" w:hAnsi="Times New Roman"/>
          <w:b/>
          <w:i/>
          <w:sz w:val="24"/>
          <w:highlight w:val="yellow"/>
        </w:rPr>
        <w:t>Cajanus cajan</w:t>
      </w:r>
      <w:r>
        <w:rPr>
          <w:rFonts w:ascii="Times New Roman" w:eastAsia="Times New Roman" w:hAnsi="Times New Roman"/>
          <w:b/>
          <w:sz w:val="24"/>
          <w:highlight w:val="yellow"/>
        </w:rPr>
        <w:t xml:space="preserve"> L. Millsp.): A review. </w:t>
      </w:r>
      <w:r>
        <w:rPr>
          <w:rFonts w:ascii="Times New Roman" w:eastAsia="Times New Roman" w:hAnsi="Times New Roman"/>
          <w:b/>
          <w:i/>
          <w:sz w:val="24"/>
          <w:highlight w:val="yellow"/>
        </w:rPr>
        <w:t>Legume Science, 6</w:t>
      </w:r>
      <w:r>
        <w:rPr>
          <w:rFonts w:ascii="Times New Roman" w:eastAsia="Times New Roman" w:hAnsi="Times New Roman"/>
          <w:b/>
          <w:sz w:val="24"/>
          <w:highlight w:val="yellow"/>
        </w:rPr>
        <w:t>(2), e233. https://doi.org/10.1002/leg3.233</w:t>
      </w:r>
    </w:p>
    <w:p w14:paraId="714EE877" w14:textId="77777777" w:rsidR="009C72F5" w:rsidRDefault="00000000">
      <w:pPr>
        <w:spacing w:after="0" w:line="240" w:lineRule="auto"/>
        <w:ind w:left="720" w:hanging="720"/>
      </w:pPr>
      <w:r>
        <w:rPr>
          <w:rFonts w:ascii="Times New Roman" w:hAnsi="Times New Roman"/>
          <w:sz w:val="24"/>
        </w:rPr>
        <w:t xml:space="preserve">Latimer, G. W., Jr. (Ed.). (2023). </w:t>
      </w:r>
      <w:r>
        <w:rPr>
          <w:rFonts w:ascii="Times New Roman" w:hAnsi="Times New Roman"/>
          <w:i/>
          <w:sz w:val="24"/>
        </w:rPr>
        <w:t>Official methods of analysis of AOAC International</w:t>
      </w:r>
      <w:r>
        <w:rPr>
          <w:rFonts w:ascii="Times New Roman" w:hAnsi="Times New Roman"/>
          <w:sz w:val="24"/>
        </w:rPr>
        <w:t xml:space="preserve"> (22nd ed.). Oxford University Press. </w:t>
      </w:r>
      <w:hyperlink r:id="rId17">
        <w:r w:rsidR="009C72F5">
          <w:rPr>
            <w:rFonts w:ascii="Times New Roman" w:hAnsi="Times New Roman"/>
            <w:color w:val="000000"/>
            <w:sz w:val="24"/>
            <w:szCs w:val="24"/>
            <w:u w:val="single"/>
          </w:rPr>
          <w:t>https://doi.org/10.1093/9780197610145.001.0001</w:t>
        </w:r>
      </w:hyperlink>
    </w:p>
    <w:p w14:paraId="7B392466" w14:textId="77777777" w:rsidR="009C72F5" w:rsidRDefault="00000000">
      <w:pPr>
        <w:spacing w:after="0" w:line="240" w:lineRule="auto"/>
        <w:ind w:left="720" w:hanging="720"/>
      </w:pPr>
      <w:r>
        <w:rPr>
          <w:rFonts w:ascii="Times New Roman" w:hAnsi="Times New Roman"/>
          <w:sz w:val="24"/>
        </w:rPr>
        <w:t xml:space="preserve">Ohizua, E. R., Adeola, A. A., Idowu, M. A., Sobukola, O. P., Afolabi, T. A., Ishola, R. O., Ayansina, S. O., Oyekale, T. O., &amp; Falomo, A. (2017). Nutrient composition, functional, and pasting properties of unripe cooking banana, pigeon pea, and sweetpotato flour blends. </w:t>
      </w:r>
      <w:r>
        <w:rPr>
          <w:rFonts w:ascii="Times New Roman" w:hAnsi="Times New Roman"/>
          <w:i/>
          <w:sz w:val="24"/>
        </w:rPr>
        <w:t>Food Science &amp; Nutrition, 5</w:t>
      </w:r>
      <w:r>
        <w:rPr>
          <w:rFonts w:ascii="Times New Roman" w:hAnsi="Times New Roman"/>
          <w:sz w:val="24"/>
        </w:rPr>
        <w:t xml:space="preserve">(3), 750–762. </w:t>
      </w:r>
      <w:hyperlink r:id="rId18">
        <w:r w:rsidR="009C72F5">
          <w:rPr>
            <w:rFonts w:ascii="Times New Roman" w:hAnsi="Times New Roman"/>
            <w:color w:val="000000"/>
            <w:sz w:val="24"/>
            <w:szCs w:val="24"/>
            <w:u w:val="single"/>
          </w:rPr>
          <w:t>https://doi.org/10.1002/fsn3.455</w:t>
        </w:r>
      </w:hyperlink>
    </w:p>
    <w:p w14:paraId="5A3650F8" w14:textId="77777777" w:rsidR="009C72F5" w:rsidRDefault="00000000">
      <w:pPr>
        <w:spacing w:after="0" w:line="240" w:lineRule="auto"/>
        <w:ind w:left="720" w:hanging="720"/>
      </w:pPr>
      <w:r>
        <w:rPr>
          <w:rFonts w:ascii="Times New Roman" w:hAnsi="Times New Roman"/>
          <w:sz w:val="24"/>
        </w:rPr>
        <w:t xml:space="preserve">Olanipekun, B. F., Abioye, V. F., Oyelade, O. J., &amp; Osemobor, C. O. (2018). Potentials of pigeon pea-wheat flour mixes in bread production. </w:t>
      </w:r>
      <w:r>
        <w:rPr>
          <w:rFonts w:ascii="Times New Roman" w:hAnsi="Times New Roman"/>
          <w:i/>
          <w:sz w:val="24"/>
        </w:rPr>
        <w:t>Asian Food Science Journal, 4</w:t>
      </w:r>
      <w:r>
        <w:rPr>
          <w:rFonts w:ascii="Times New Roman" w:hAnsi="Times New Roman"/>
          <w:sz w:val="24"/>
        </w:rPr>
        <w:t xml:space="preserve">(2), 1–8. </w:t>
      </w:r>
      <w:hyperlink r:id="rId19">
        <w:r w:rsidR="009C72F5">
          <w:rPr>
            <w:rFonts w:ascii="Times New Roman" w:hAnsi="Times New Roman"/>
            <w:color w:val="000000"/>
            <w:sz w:val="24"/>
            <w:szCs w:val="24"/>
            <w:u w:val="single"/>
          </w:rPr>
          <w:t>https://doi.org/10.9734/AFSJ/2018/43677</w:t>
        </w:r>
      </w:hyperlink>
    </w:p>
    <w:p w14:paraId="70CD13EE" w14:textId="77777777" w:rsidR="009C72F5" w:rsidRDefault="00000000">
      <w:pPr>
        <w:spacing w:after="0" w:line="240" w:lineRule="auto"/>
        <w:ind w:left="720" w:hanging="720"/>
      </w:pPr>
      <w:r>
        <w:rPr>
          <w:rFonts w:ascii="Times New Roman" w:hAnsi="Times New Roman"/>
          <w:sz w:val="24"/>
        </w:rPr>
        <w:t xml:space="preserve">Omah, E. C., &amp; Okafor, G. I. (2015). Selected functional properties, proximate composition of flours and sensory characteristics of cookies from wheat and millet-pigeon pea flour blends. </w:t>
      </w:r>
      <w:r>
        <w:rPr>
          <w:rFonts w:ascii="Times New Roman" w:hAnsi="Times New Roman"/>
          <w:i/>
          <w:sz w:val="24"/>
        </w:rPr>
        <w:t>Pakistan Journal of Nutrition, 14</w:t>
      </w:r>
      <w:r>
        <w:rPr>
          <w:rFonts w:ascii="Times New Roman" w:hAnsi="Times New Roman"/>
          <w:sz w:val="24"/>
        </w:rPr>
        <w:t xml:space="preserve">(9), 581–585. </w:t>
      </w:r>
      <w:hyperlink r:id="rId20">
        <w:r w:rsidR="009C72F5">
          <w:rPr>
            <w:rFonts w:ascii="Times New Roman" w:hAnsi="Times New Roman"/>
            <w:color w:val="000000"/>
            <w:sz w:val="24"/>
            <w:szCs w:val="24"/>
            <w:u w:val="single"/>
          </w:rPr>
          <w:t>https://doi.org/10.3923/pjn.2015.581.585</w:t>
        </w:r>
      </w:hyperlink>
    </w:p>
    <w:p w14:paraId="06828980" w14:textId="77777777" w:rsidR="009C72F5" w:rsidRDefault="00000000">
      <w:pPr>
        <w:spacing w:after="0" w:line="240" w:lineRule="auto"/>
        <w:ind w:left="720" w:hanging="720"/>
      </w:pPr>
      <w:r>
        <w:rPr>
          <w:rFonts w:ascii="Times New Roman" w:hAnsi="Times New Roman"/>
          <w:sz w:val="24"/>
        </w:rPr>
        <w:t xml:space="preserve">Onuoha, L. N., Emojorho, E. E., Adinkwu, O. M., Emumejaye, K., Obetta, R. N., Ogboli, C. C., &amp; Ohwo, F. E. (2025). Chemical and functional properties of chin-chin from wheat, soybean and millet flour blends. </w:t>
      </w:r>
      <w:r>
        <w:rPr>
          <w:rFonts w:ascii="Times New Roman" w:hAnsi="Times New Roman"/>
          <w:i/>
          <w:sz w:val="24"/>
        </w:rPr>
        <w:t>Asian Journal of Advanced Research and Reports, 19</w:t>
      </w:r>
      <w:r>
        <w:rPr>
          <w:rFonts w:ascii="Times New Roman" w:hAnsi="Times New Roman"/>
          <w:sz w:val="24"/>
        </w:rPr>
        <w:t xml:space="preserve">(10), 63–71. </w:t>
      </w:r>
      <w:hyperlink r:id="rId21">
        <w:r w:rsidR="009C72F5">
          <w:rPr>
            <w:rFonts w:ascii="Times New Roman" w:hAnsi="Times New Roman"/>
            <w:color w:val="000000"/>
            <w:sz w:val="24"/>
            <w:szCs w:val="24"/>
            <w:u w:val="single"/>
          </w:rPr>
          <w:t>https://doi.org/10.9734/ajarr/2025/v19i101171</w:t>
        </w:r>
      </w:hyperlink>
    </w:p>
    <w:p w14:paraId="58E1A6AD" w14:textId="77777777" w:rsidR="009C72F5" w:rsidRDefault="00000000">
      <w:pPr>
        <w:spacing w:after="0" w:line="240" w:lineRule="auto"/>
        <w:ind w:left="720" w:hanging="720"/>
      </w:pPr>
      <w:r>
        <w:rPr>
          <w:rFonts w:ascii="Times New Roman" w:hAnsi="Times New Roman"/>
          <w:sz w:val="24"/>
        </w:rPr>
        <w:t xml:space="preserve">Shraim, A. M., Ahmed, T. A., Rahman, M. M., &amp; Hijji, Y. M. (2021). Determination of total flavonoid content by aluminum chloride assay: A critical evaluation. </w:t>
      </w:r>
      <w:r>
        <w:rPr>
          <w:rFonts w:ascii="Times New Roman" w:hAnsi="Times New Roman"/>
          <w:i/>
          <w:sz w:val="24"/>
        </w:rPr>
        <w:t>LWT, 150</w:t>
      </w:r>
      <w:r>
        <w:rPr>
          <w:rFonts w:ascii="Times New Roman" w:hAnsi="Times New Roman"/>
          <w:sz w:val="24"/>
        </w:rPr>
        <w:t xml:space="preserve">, 111932. </w:t>
      </w:r>
      <w:hyperlink r:id="rId22">
        <w:r w:rsidR="009C72F5">
          <w:rPr>
            <w:rFonts w:ascii="Times New Roman" w:hAnsi="Times New Roman"/>
            <w:color w:val="000000"/>
            <w:sz w:val="24"/>
            <w:szCs w:val="24"/>
            <w:u w:val="single"/>
          </w:rPr>
          <w:t>https://doi.org/10.1016/j.lwt.2021.111932</w:t>
        </w:r>
      </w:hyperlink>
    </w:p>
    <w:p w14:paraId="63C41702" w14:textId="77777777" w:rsidR="009C72F5" w:rsidRDefault="00000000">
      <w:pPr>
        <w:spacing w:after="0" w:line="240" w:lineRule="auto"/>
        <w:ind w:left="720" w:hanging="720"/>
      </w:pPr>
      <w:r>
        <w:rPr>
          <w:rFonts w:ascii="Times New Roman" w:hAnsi="Times New Roman"/>
          <w:sz w:val="24"/>
        </w:rPr>
        <w:t>Sobowale, S. S., Olatunji, B. F., &amp; Fayemi, O. E. (2025). Effect of germination and subsequent fermentation period on the functional, color, and antinutrients of pigeon pea (</w:t>
      </w:r>
      <w:r>
        <w:rPr>
          <w:rFonts w:ascii="Times New Roman" w:hAnsi="Times New Roman"/>
          <w:i/>
          <w:sz w:val="24"/>
        </w:rPr>
        <w:t>Cajanus cajan</w:t>
      </w:r>
      <w:r>
        <w:rPr>
          <w:rFonts w:ascii="Times New Roman" w:hAnsi="Times New Roman"/>
          <w:sz w:val="24"/>
        </w:rPr>
        <w:t xml:space="preserve">) flour and its structural parts. </w:t>
      </w:r>
      <w:r>
        <w:rPr>
          <w:rFonts w:ascii="Times New Roman" w:hAnsi="Times New Roman"/>
          <w:i/>
          <w:sz w:val="24"/>
        </w:rPr>
        <w:t>Food Science &amp; Nutrition, 13</w:t>
      </w:r>
      <w:r>
        <w:rPr>
          <w:rFonts w:ascii="Times New Roman" w:hAnsi="Times New Roman"/>
          <w:sz w:val="24"/>
        </w:rPr>
        <w:t xml:space="preserve">(8), e70750. </w:t>
      </w:r>
      <w:hyperlink r:id="rId23">
        <w:r w:rsidR="009C72F5">
          <w:rPr>
            <w:rFonts w:ascii="Times New Roman" w:hAnsi="Times New Roman"/>
            <w:color w:val="000000"/>
            <w:sz w:val="24"/>
            <w:szCs w:val="24"/>
            <w:u w:val="single"/>
          </w:rPr>
          <w:t>https://doi.org/10.1002/fsn3.70750</w:t>
        </w:r>
      </w:hyperlink>
    </w:p>
    <w:p w14:paraId="74B39199" w14:textId="77777777" w:rsidR="009C72F5" w:rsidRDefault="00000000">
      <w:pPr>
        <w:spacing w:after="0" w:line="240" w:lineRule="auto"/>
        <w:ind w:left="720" w:hanging="720"/>
      </w:pPr>
      <w:r>
        <w:rPr>
          <w:rFonts w:ascii="Times New Roman" w:eastAsia="Times New Roman" w:hAnsi="Times New Roman"/>
          <w:b/>
          <w:sz w:val="24"/>
          <w:highlight w:val="yellow"/>
        </w:rPr>
        <w:t xml:space="preserve">Tiwari, N., Srivastava, S., &amp; Verma, H. (2025). Nutritional and antioxidant comparison of finger millet, foxtail millet, and refined wheat flour. </w:t>
      </w:r>
      <w:r>
        <w:rPr>
          <w:rFonts w:ascii="Times New Roman" w:eastAsia="Times New Roman" w:hAnsi="Times New Roman"/>
          <w:b/>
          <w:i/>
          <w:sz w:val="24"/>
          <w:highlight w:val="yellow"/>
        </w:rPr>
        <w:t>Asian Journal of Current Research, 10</w:t>
      </w:r>
      <w:r>
        <w:rPr>
          <w:rFonts w:ascii="Times New Roman" w:eastAsia="Times New Roman" w:hAnsi="Times New Roman"/>
          <w:b/>
          <w:sz w:val="24"/>
          <w:highlight w:val="yellow"/>
        </w:rPr>
        <w:t>(1), 185–192. https://doi.org/10.56557/ajocr/2025/v10i19149</w:t>
      </w:r>
    </w:p>
    <w:sectPr w:rsidR="009C7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F5F09"/>
    <w:multiLevelType w:val="multilevel"/>
    <w:tmpl w:val="2DD496F6"/>
    <w:lvl w:ilvl="0">
      <w:numFmt w:val="decimal"/>
      <w:lvlText w:val="%1"/>
      <w:lvlJc w:val="left"/>
      <w:pPr>
        <w:ind w:left="480" w:hanging="480"/>
      </w:pPr>
      <w:rPr>
        <w:rFonts w:hint="default"/>
      </w:rPr>
    </w:lvl>
    <w:lvl w:ilvl="1">
      <w:start w:val="1"/>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0D27665"/>
    <w:multiLevelType w:val="multilevel"/>
    <w:tmpl w:val="B002B1B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1562D7"/>
    <w:multiLevelType w:val="multilevel"/>
    <w:tmpl w:val="1F7C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861806"/>
    <w:multiLevelType w:val="multilevel"/>
    <w:tmpl w:val="89563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3441280">
    <w:abstractNumId w:val="3"/>
  </w:num>
  <w:num w:numId="2" w16cid:durableId="1209027438">
    <w:abstractNumId w:val="2"/>
  </w:num>
  <w:num w:numId="3" w16cid:durableId="1509828628">
    <w:abstractNumId w:val="1"/>
  </w:num>
  <w:num w:numId="4" w16cid:durableId="28404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NzS3MDc0MABiCyUdpeDU4uLM/DyQAsNaADsOfagsAAAA"/>
  </w:docVars>
  <w:rsids>
    <w:rsidRoot w:val="00216D1D"/>
    <w:rsid w:val="00030DB9"/>
    <w:rsid w:val="00077DA7"/>
    <w:rsid w:val="000B4BA1"/>
    <w:rsid w:val="000D683B"/>
    <w:rsid w:val="00121363"/>
    <w:rsid w:val="00131929"/>
    <w:rsid w:val="00197A27"/>
    <w:rsid w:val="001C1897"/>
    <w:rsid w:val="001C503B"/>
    <w:rsid w:val="00212ABC"/>
    <w:rsid w:val="00216D1D"/>
    <w:rsid w:val="00323922"/>
    <w:rsid w:val="00345280"/>
    <w:rsid w:val="0035314D"/>
    <w:rsid w:val="00355380"/>
    <w:rsid w:val="003677DE"/>
    <w:rsid w:val="003843B1"/>
    <w:rsid w:val="003B56E6"/>
    <w:rsid w:val="004121E1"/>
    <w:rsid w:val="00474BA5"/>
    <w:rsid w:val="004A1B7E"/>
    <w:rsid w:val="004D606E"/>
    <w:rsid w:val="005F6A5D"/>
    <w:rsid w:val="006341E7"/>
    <w:rsid w:val="0064080C"/>
    <w:rsid w:val="006521AB"/>
    <w:rsid w:val="006A0F6C"/>
    <w:rsid w:val="006D31FE"/>
    <w:rsid w:val="006E034F"/>
    <w:rsid w:val="007147B3"/>
    <w:rsid w:val="007B3D05"/>
    <w:rsid w:val="007B5D60"/>
    <w:rsid w:val="00811E47"/>
    <w:rsid w:val="0081737F"/>
    <w:rsid w:val="008512D6"/>
    <w:rsid w:val="00871329"/>
    <w:rsid w:val="008C5AD3"/>
    <w:rsid w:val="009235D9"/>
    <w:rsid w:val="00926633"/>
    <w:rsid w:val="0092793D"/>
    <w:rsid w:val="00927D11"/>
    <w:rsid w:val="009C4C36"/>
    <w:rsid w:val="009C72F5"/>
    <w:rsid w:val="00A005AD"/>
    <w:rsid w:val="00A45B20"/>
    <w:rsid w:val="00A640F8"/>
    <w:rsid w:val="00A91533"/>
    <w:rsid w:val="00B44211"/>
    <w:rsid w:val="00B52E68"/>
    <w:rsid w:val="00B83F28"/>
    <w:rsid w:val="00B87092"/>
    <w:rsid w:val="00BA22B9"/>
    <w:rsid w:val="00BE4F0D"/>
    <w:rsid w:val="00BF2EB5"/>
    <w:rsid w:val="00C346B5"/>
    <w:rsid w:val="00C65CE2"/>
    <w:rsid w:val="00C70422"/>
    <w:rsid w:val="00CD2637"/>
    <w:rsid w:val="00D0790F"/>
    <w:rsid w:val="00D97E2A"/>
    <w:rsid w:val="00DA7E15"/>
    <w:rsid w:val="00DD4411"/>
    <w:rsid w:val="00E254B1"/>
    <w:rsid w:val="00E55881"/>
    <w:rsid w:val="00E84FEC"/>
    <w:rsid w:val="00E958E4"/>
    <w:rsid w:val="00EA1F1F"/>
    <w:rsid w:val="00F0669B"/>
    <w:rsid w:val="00F303CF"/>
    <w:rsid w:val="00F5704D"/>
    <w:rsid w:val="00FC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2076"/>
  <w15:chartTrackingRefBased/>
  <w15:docId w15:val="{207E4B71-FD79-4F1E-AA23-DF7FB4A3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93D"/>
    <w:pPr>
      <w:ind w:left="720"/>
      <w:contextualSpacing/>
    </w:pPr>
  </w:style>
  <w:style w:type="character" w:styleId="Hyperlink">
    <w:name w:val="Hyperlink"/>
    <w:basedOn w:val="DefaultParagraphFont"/>
    <w:uiPriority w:val="99"/>
    <w:unhideWhenUsed/>
    <w:rsid w:val="009235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440274">
      <w:bodyDiv w:val="1"/>
      <w:marLeft w:val="0"/>
      <w:marRight w:val="0"/>
      <w:marTop w:val="0"/>
      <w:marBottom w:val="0"/>
      <w:divBdr>
        <w:top w:val="none" w:sz="0" w:space="0" w:color="auto"/>
        <w:left w:val="none" w:sz="0" w:space="0" w:color="auto"/>
        <w:bottom w:val="none" w:sz="0" w:space="0" w:color="auto"/>
        <w:right w:val="none" w:sz="0" w:space="0" w:color="auto"/>
      </w:divBdr>
      <w:divsChild>
        <w:div w:id="252207340">
          <w:marLeft w:val="0"/>
          <w:marRight w:val="0"/>
          <w:marTop w:val="0"/>
          <w:marBottom w:val="0"/>
          <w:divBdr>
            <w:top w:val="none" w:sz="0" w:space="0" w:color="auto"/>
            <w:left w:val="none" w:sz="0" w:space="0" w:color="auto"/>
            <w:bottom w:val="none" w:sz="0" w:space="0" w:color="auto"/>
            <w:right w:val="none" w:sz="0" w:space="0" w:color="auto"/>
          </w:divBdr>
          <w:divsChild>
            <w:div w:id="717974185">
              <w:marLeft w:val="0"/>
              <w:marRight w:val="0"/>
              <w:marTop w:val="0"/>
              <w:marBottom w:val="0"/>
              <w:divBdr>
                <w:top w:val="none" w:sz="0" w:space="0" w:color="auto"/>
                <w:left w:val="none" w:sz="0" w:space="0" w:color="auto"/>
                <w:bottom w:val="none" w:sz="0" w:space="0" w:color="auto"/>
                <w:right w:val="none" w:sz="0" w:space="0" w:color="auto"/>
              </w:divBdr>
              <w:divsChild>
                <w:div w:id="1583905732">
                  <w:marLeft w:val="0"/>
                  <w:marRight w:val="0"/>
                  <w:marTop w:val="0"/>
                  <w:marBottom w:val="0"/>
                  <w:divBdr>
                    <w:top w:val="none" w:sz="0" w:space="0" w:color="auto"/>
                    <w:left w:val="none" w:sz="0" w:space="0" w:color="auto"/>
                    <w:bottom w:val="none" w:sz="0" w:space="0" w:color="auto"/>
                    <w:right w:val="none" w:sz="0" w:space="0" w:color="auto"/>
                  </w:divBdr>
                  <w:divsChild>
                    <w:div w:id="1902209097">
                      <w:marLeft w:val="0"/>
                      <w:marRight w:val="0"/>
                      <w:marTop w:val="0"/>
                      <w:marBottom w:val="0"/>
                      <w:divBdr>
                        <w:top w:val="none" w:sz="0" w:space="0" w:color="auto"/>
                        <w:left w:val="none" w:sz="0" w:space="0" w:color="auto"/>
                        <w:bottom w:val="none" w:sz="0" w:space="0" w:color="auto"/>
                        <w:right w:val="none" w:sz="0" w:space="0" w:color="auto"/>
                      </w:divBdr>
                      <w:divsChild>
                        <w:div w:id="1690519473">
                          <w:marLeft w:val="0"/>
                          <w:marRight w:val="0"/>
                          <w:marTop w:val="0"/>
                          <w:marBottom w:val="0"/>
                          <w:divBdr>
                            <w:top w:val="none" w:sz="0" w:space="0" w:color="auto"/>
                            <w:left w:val="none" w:sz="0" w:space="0" w:color="auto"/>
                            <w:bottom w:val="none" w:sz="0" w:space="0" w:color="auto"/>
                            <w:right w:val="none" w:sz="0" w:space="0" w:color="auto"/>
                          </w:divBdr>
                          <w:divsChild>
                            <w:div w:id="2076196124">
                              <w:marLeft w:val="0"/>
                              <w:marRight w:val="0"/>
                              <w:marTop w:val="0"/>
                              <w:marBottom w:val="0"/>
                              <w:divBdr>
                                <w:top w:val="none" w:sz="0" w:space="0" w:color="auto"/>
                                <w:left w:val="none" w:sz="0" w:space="0" w:color="auto"/>
                                <w:bottom w:val="none" w:sz="0" w:space="0" w:color="auto"/>
                                <w:right w:val="none" w:sz="0" w:space="0" w:color="auto"/>
                              </w:divBdr>
                              <w:divsChild>
                                <w:div w:id="79260266">
                                  <w:marLeft w:val="0"/>
                                  <w:marRight w:val="0"/>
                                  <w:marTop w:val="0"/>
                                  <w:marBottom w:val="0"/>
                                  <w:divBdr>
                                    <w:top w:val="none" w:sz="0" w:space="0" w:color="auto"/>
                                    <w:left w:val="none" w:sz="0" w:space="0" w:color="auto"/>
                                    <w:bottom w:val="none" w:sz="0" w:space="0" w:color="auto"/>
                                    <w:right w:val="none" w:sz="0" w:space="0" w:color="auto"/>
                                  </w:divBdr>
                                  <w:divsChild>
                                    <w:div w:id="122502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9734/ajacr/2025/v16i4356" TargetMode="External"/><Relationship Id="rId13" Type="http://schemas.openxmlformats.org/officeDocument/2006/relationships/hyperlink" Target="https://doi.org/10.17660/th2023/002" TargetMode="External"/><Relationship Id="rId18" Type="http://schemas.openxmlformats.org/officeDocument/2006/relationships/hyperlink" Target="https://doi.org/10.1002/fsn3.455" TargetMode="External"/><Relationship Id="rId3" Type="http://schemas.openxmlformats.org/officeDocument/2006/relationships/settings" Target="settings.xml"/><Relationship Id="rId21" Type="http://schemas.openxmlformats.org/officeDocument/2006/relationships/hyperlink" Target="https://doi.org/10.9734/ajarr/2025/v19i101171" TargetMode="External"/><Relationship Id="rId7" Type="http://schemas.openxmlformats.org/officeDocument/2006/relationships/hyperlink" Target="https://doi.org/10.1007/s12161-024-02739-x" TargetMode="External"/><Relationship Id="rId12" Type="http://schemas.openxmlformats.org/officeDocument/2006/relationships/hyperlink" Target="https://doi.org/10.9734/ajacr/2025/v16i4354" TargetMode="External"/><Relationship Id="rId17" Type="http://schemas.openxmlformats.org/officeDocument/2006/relationships/hyperlink" Target="https://doi.org/10.1093/9780197610145.001.000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55/2016/5601327" TargetMode="External"/><Relationship Id="rId20" Type="http://schemas.openxmlformats.org/officeDocument/2006/relationships/hyperlink" Target="https://doi.org/10.3923/pjn.2015.581.585" TargetMode="External"/><Relationship Id="rId1" Type="http://schemas.openxmlformats.org/officeDocument/2006/relationships/numbering" Target="numbering.xml"/><Relationship Id="rId6" Type="http://schemas.openxmlformats.org/officeDocument/2006/relationships/hyperlink" Target="https://doi.org/10.9734/ejnfs/2023/v15i121366" TargetMode="External"/><Relationship Id="rId11" Type="http://schemas.openxmlformats.org/officeDocument/2006/relationships/hyperlink" Target="https://doi.org/10.56557/jafsat/2026/v13i310820" TargetMode="External"/><Relationship Id="rId24" Type="http://schemas.openxmlformats.org/officeDocument/2006/relationships/fontTable" Target="fontTable.xml"/><Relationship Id="rId5" Type="http://schemas.openxmlformats.org/officeDocument/2006/relationships/hyperlink" Target="https://www.allsubjectjournal.com/assets/archives/2025/vol12issue10/12251.pdf" TargetMode="External"/><Relationship Id="rId15" Type="http://schemas.openxmlformats.org/officeDocument/2006/relationships/hyperlink" Target="https://doi.org/10.1016/j.heliyon.2025.e42612" TargetMode="External"/><Relationship Id="rId23" Type="http://schemas.openxmlformats.org/officeDocument/2006/relationships/hyperlink" Target="https://doi.org/10.1002/fsn3.70750" TargetMode="External"/><Relationship Id="rId10" Type="http://schemas.openxmlformats.org/officeDocument/2006/relationships/hyperlink" Target="https://doi.org/10.9790/2402-100902134139" TargetMode="External"/><Relationship Id="rId19" Type="http://schemas.openxmlformats.org/officeDocument/2006/relationships/hyperlink" Target="https://doi.org/10.9734/AFSJ/2018/43677" TargetMode="External"/><Relationship Id="rId4" Type="http://schemas.openxmlformats.org/officeDocument/2006/relationships/webSettings" Target="webSettings.xml"/><Relationship Id="rId9" Type="http://schemas.openxmlformats.org/officeDocument/2006/relationships/hyperlink" Target="https://doi.org/10.9734/ajrb/2025/v15i1361" TargetMode="External"/><Relationship Id="rId14" Type="http://schemas.openxmlformats.org/officeDocument/2006/relationships/hyperlink" Target="https://doi.org/10.9734/ajarr/2024/v18i6652" TargetMode="External"/><Relationship Id="rId22" Type="http://schemas.openxmlformats.org/officeDocument/2006/relationships/hyperlink" Target="https://doi.org/10.1016/j.lwt.2021.1119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16</Pages>
  <Words>6612</Words>
  <Characters>37691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1158</cp:lastModifiedBy>
  <cp:revision>23</cp:revision>
  <dcterms:created xsi:type="dcterms:W3CDTF">2026-07-18T11:52:00Z</dcterms:created>
  <dcterms:modified xsi:type="dcterms:W3CDTF">2026-08-29T07:25:00Z</dcterms:modified>
</cp:coreProperties>
</file>