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357F5" w14:textId="77777777" w:rsidR="00DF56ED" w:rsidRPr="00DF56ED" w:rsidRDefault="00DF56ED" w:rsidP="008C29E6">
      <w:pPr>
        <w:spacing w:before="480" w:after="360"/>
        <w:jc w:val="both"/>
        <w:rPr>
          <w:rFonts w:ascii="Arial" w:hAnsi="Arial"/>
          <w:b/>
          <w:bCs/>
          <w:i/>
          <w:iCs/>
          <w:sz w:val="34"/>
          <w:u w:val="single"/>
        </w:rPr>
      </w:pPr>
      <w:r w:rsidRPr="00DF56ED">
        <w:rPr>
          <w:rFonts w:ascii="Arial" w:hAnsi="Arial"/>
          <w:b/>
          <w:bCs/>
          <w:i/>
          <w:iCs/>
          <w:sz w:val="34"/>
          <w:u w:val="single"/>
        </w:rPr>
        <w:t>Review Article</w:t>
      </w:r>
    </w:p>
    <w:p w14:paraId="544213DD" w14:textId="77777777" w:rsidR="00606B00" w:rsidRDefault="00000000" w:rsidP="008C29E6">
      <w:pPr>
        <w:spacing w:before="480" w:after="360"/>
        <w:jc w:val="both"/>
        <w:rPr>
          <w:rFonts w:ascii="Arial" w:hAnsi="Arial"/>
          <w:b/>
          <w:sz w:val="34"/>
        </w:rPr>
      </w:pPr>
      <w:r w:rsidRPr="006B0B80">
        <w:rPr>
          <w:rFonts w:ascii="Arial" w:hAnsi="Arial"/>
          <w:b/>
          <w:sz w:val="34"/>
        </w:rPr>
        <w:t xml:space="preserve">Electrochemical Techniques for Nanomaterials: A Critical Review of Production, </w:t>
      </w:r>
      <w:proofErr w:type="spellStart"/>
      <w:r w:rsidRPr="006B0B80">
        <w:rPr>
          <w:rFonts w:ascii="Arial" w:hAnsi="Arial"/>
          <w:b/>
          <w:sz w:val="34"/>
        </w:rPr>
        <w:t>Characterisation</w:t>
      </w:r>
      <w:proofErr w:type="spellEnd"/>
      <w:r w:rsidRPr="006B0B80">
        <w:rPr>
          <w:rFonts w:ascii="Arial" w:hAnsi="Arial"/>
          <w:b/>
          <w:sz w:val="34"/>
        </w:rPr>
        <w:t xml:space="preserve"> and Application</w:t>
      </w:r>
    </w:p>
    <w:p w14:paraId="0600F887" w14:textId="77777777" w:rsidR="003919F1" w:rsidRPr="006B0B80" w:rsidRDefault="003919F1" w:rsidP="008C29E6">
      <w:pPr>
        <w:spacing w:before="480" w:after="360"/>
        <w:jc w:val="both"/>
      </w:pPr>
    </w:p>
    <w:p w14:paraId="6E4B1474" w14:textId="77777777" w:rsidR="00606B00" w:rsidRPr="006B0B80" w:rsidRDefault="00000000" w:rsidP="008C29E6">
      <w:pPr>
        <w:spacing w:before="120" w:after="80"/>
        <w:jc w:val="both"/>
      </w:pPr>
      <w:r w:rsidRPr="006B0B80">
        <w:rPr>
          <w:rFonts w:ascii="Arial" w:hAnsi="Arial"/>
          <w:b/>
          <w:sz w:val="24"/>
        </w:rPr>
        <w:t>Abstract</w:t>
      </w:r>
    </w:p>
    <w:p w14:paraId="515C95EF" w14:textId="77777777" w:rsidR="00606B00" w:rsidRPr="006B0B80" w:rsidRDefault="00000000" w:rsidP="008C29E6">
      <w:pPr>
        <w:pStyle w:val="BodyText"/>
        <w:ind w:firstLine="0"/>
        <w:jc w:val="both"/>
      </w:pPr>
      <w:r w:rsidRPr="006B0B80">
        <w:t xml:space="preserve">Electrochemical techniques occupy an unusual position in nanomaterials science because the same interfacial phenomena can be used to manufacture nanoscale matter, interrogate its physicochemical </w:t>
      </w:r>
      <w:proofErr w:type="spellStart"/>
      <w:r w:rsidRPr="006B0B80">
        <w:t>behaviour</w:t>
      </w:r>
      <w:proofErr w:type="spellEnd"/>
      <w:r w:rsidRPr="006B0B80">
        <w:t xml:space="preserve"> and drive the reactions for which it is ultimately applied. This critical narrative review examines electrochemical routes for producing nanomaterials, the electrochemical methods used to </w:t>
      </w:r>
      <w:proofErr w:type="spellStart"/>
      <w:r w:rsidRPr="006B0B80">
        <w:t>characterise</w:t>
      </w:r>
      <w:proofErr w:type="spellEnd"/>
      <w:r w:rsidRPr="006B0B80">
        <w:t xml:space="preserve"> them, and the extent to which these approaches generate reliable structure-property-performance relationships. Literature published principally from 1 January 2000 to 30 June 2026 was critically </w:t>
      </w:r>
      <w:proofErr w:type="spellStart"/>
      <w:r w:rsidRPr="006B0B80">
        <w:t>synthesised</w:t>
      </w:r>
      <w:proofErr w:type="spellEnd"/>
      <w:r w:rsidRPr="006B0B80">
        <w:t>, with seminal earlier studies included where necessary to establish mechanistic foundations. Electrodeposition, template-assisted growth, anodic self-</w:t>
      </w:r>
      <w:proofErr w:type="spellStart"/>
      <w:r w:rsidRPr="006B0B80">
        <w:t>organisation</w:t>
      </w:r>
      <w:proofErr w:type="spellEnd"/>
      <w:r w:rsidRPr="006B0B80">
        <w:t xml:space="preserve">, electrochemical exfoliation, electrochemical dealloying and continuous particle electrosynthesis are compared in terms of controllability, throughput, defect generation, substrate dependence and scalability. Cyclic voltammetry, transient methods, electrochemical impedance spectroscopy, electrochemical quartz crystal microbalance measurements and scanning electrochemical cell microscopy are then evaluated according to what they directly measure and what is too often inferred from them. The evidence shows that electrochemical synthesis can provide strong control over local composition and morphology under relatively mild conditions, but nominal process variables are strongly coupled through mass transport, interfacial chemistry, nucleation and evolving surface area. Consequently, apparent performance gains in electrocatalysis, energy storage, sensing and separations may reflect accessibility, loading, wetting, transport or </w:t>
      </w:r>
      <w:proofErr w:type="spellStart"/>
      <w:r w:rsidRPr="006B0B80">
        <w:t>normalisation</w:t>
      </w:r>
      <w:proofErr w:type="spellEnd"/>
      <w:r w:rsidRPr="006B0B80">
        <w:t xml:space="preserve"> choices rather than intrinsic nanoscale activity. Scale-up remains possible, as demonstrated by continuous electrodeposition and industrially compatible </w:t>
      </w:r>
      <w:proofErr w:type="spellStart"/>
      <w:r w:rsidRPr="006B0B80">
        <w:t>anodisation</w:t>
      </w:r>
      <w:proofErr w:type="spellEnd"/>
      <w:r w:rsidRPr="006B0B80">
        <w:t xml:space="preserve"> concepts, but reproducibility, precursor </w:t>
      </w:r>
      <w:proofErr w:type="spellStart"/>
      <w:r w:rsidRPr="006B0B80">
        <w:t>utilisation</w:t>
      </w:r>
      <w:proofErr w:type="spellEnd"/>
      <w:r w:rsidRPr="006B0B80">
        <w:t xml:space="preserve">, electrolyte management, metrology and device-level validation remain uneven. The most productive future direction is therefore not simply finer morphology control, but integrated electrochemical manufacturing with operando </w:t>
      </w:r>
      <w:proofErr w:type="spellStart"/>
      <w:r w:rsidRPr="006B0B80">
        <w:t>characterisation</w:t>
      </w:r>
      <w:proofErr w:type="spellEnd"/>
      <w:r w:rsidRPr="006B0B80">
        <w:t>, statistically defensible benchmarking and process metrics that connect nanoscale design to durable, scalable function.</w:t>
      </w:r>
    </w:p>
    <w:p w14:paraId="67F0CBF6" w14:textId="77777777" w:rsidR="00606B00" w:rsidRPr="006B0B80" w:rsidRDefault="00000000" w:rsidP="008C29E6">
      <w:pPr>
        <w:spacing w:before="40" w:after="240"/>
        <w:jc w:val="both"/>
      </w:pPr>
      <w:r w:rsidRPr="006B0B80">
        <w:rPr>
          <w:b/>
          <w:sz w:val="21"/>
        </w:rPr>
        <w:t xml:space="preserve">Keywords: </w:t>
      </w:r>
      <w:r w:rsidRPr="006B0B80">
        <w:rPr>
          <w:sz w:val="21"/>
        </w:rPr>
        <w:t xml:space="preserve">electrodeposition; </w:t>
      </w:r>
      <w:proofErr w:type="spellStart"/>
      <w:r w:rsidRPr="006B0B80">
        <w:rPr>
          <w:sz w:val="21"/>
        </w:rPr>
        <w:t>anodisation</w:t>
      </w:r>
      <w:proofErr w:type="spellEnd"/>
      <w:r w:rsidRPr="006B0B80">
        <w:rPr>
          <w:sz w:val="21"/>
        </w:rPr>
        <w:t xml:space="preserve">; electrochemical exfoliation; dealloying; electrochemical impedance spectroscopy; nanostructures; electrocatalysis; operando </w:t>
      </w:r>
      <w:proofErr w:type="spellStart"/>
      <w:r w:rsidRPr="006B0B80">
        <w:rPr>
          <w:sz w:val="21"/>
        </w:rPr>
        <w:t>characterisation</w:t>
      </w:r>
      <w:proofErr w:type="spellEnd"/>
    </w:p>
    <w:p w14:paraId="1BCD89EA" w14:textId="77777777" w:rsidR="00606B00" w:rsidRPr="006B0B80" w:rsidRDefault="00000000" w:rsidP="008C29E6">
      <w:pPr>
        <w:pStyle w:val="Heading1"/>
        <w:jc w:val="both"/>
        <w:rPr>
          <w:color w:val="auto"/>
        </w:rPr>
      </w:pPr>
      <w:r w:rsidRPr="006B0B80">
        <w:rPr>
          <w:color w:val="auto"/>
        </w:rPr>
        <w:t>1. Introduction</w:t>
      </w:r>
    </w:p>
    <w:p w14:paraId="37309EEA" w14:textId="77777777" w:rsidR="00606B00" w:rsidRPr="006B0B80" w:rsidRDefault="00000000" w:rsidP="008C29E6">
      <w:pPr>
        <w:pStyle w:val="BodyText"/>
        <w:jc w:val="both"/>
      </w:pPr>
      <w:r w:rsidRPr="006B0B80">
        <w:t xml:space="preserve">Nanomaterials are often defined operationally through dimensions in the nanoscale, yet their functional distinction from bulk materials arises less from size alone than from the altered balance among surface energy, interfacial transport, defect chemistry, electronic structure and confinement. Electrochemistry is particularly well matched to this regime. Electron transfer can be </w:t>
      </w:r>
      <w:proofErr w:type="spellStart"/>
      <w:r w:rsidRPr="006B0B80">
        <w:t>localised</w:t>
      </w:r>
      <w:proofErr w:type="spellEnd"/>
      <w:r w:rsidRPr="006B0B80">
        <w:t xml:space="preserve"> at a conductive interface; material flux can be controlled by potential, current and mass transport; and deposition, dissolution, intercalation or surface reconstruction can be induced without requiring the high temperatures that dominate many </w:t>
      </w:r>
      <w:proofErr w:type="spellStart"/>
      <w:r w:rsidRPr="006B0B80">
        <w:t>vapour</w:t>
      </w:r>
      <w:proofErr w:type="spellEnd"/>
      <w:r w:rsidRPr="006B0B80">
        <w:t xml:space="preserve">-phase routes. These features have made electrochemical synthesis a recurring platform for nanostructured metals, alloys, oxides, conducting polymers, carbon materials and two-dimensional solids. At the same time, the electrochemical response of a </w:t>
      </w:r>
      <w:r w:rsidRPr="006B0B80">
        <w:lastRenderedPageBreak/>
        <w:t xml:space="preserve">nanomaterial is extraordinarily sensitive to the surface that the synthesis itself creates, making fabrication and </w:t>
      </w:r>
      <w:proofErr w:type="spellStart"/>
      <w:r w:rsidRPr="006B0B80">
        <w:t>characterisation</w:t>
      </w:r>
      <w:proofErr w:type="spellEnd"/>
      <w:r w:rsidRPr="006B0B80">
        <w:t xml:space="preserve"> inseparable in practice (</w:t>
      </w:r>
      <w:proofErr w:type="spellStart"/>
      <w:r w:rsidRPr="006B0B80">
        <w:t>Gurrappa</w:t>
      </w:r>
      <w:proofErr w:type="spellEnd"/>
      <w:r w:rsidRPr="006B0B80">
        <w:t xml:space="preserve"> &amp; Binder, 2008; Li et al., 2013; Tovar-Oliva &amp; Tudela, 2024).</w:t>
      </w:r>
    </w:p>
    <w:p w14:paraId="5F4D46BB" w14:textId="77777777" w:rsidR="00606B00" w:rsidRPr="008C29E6" w:rsidRDefault="00000000" w:rsidP="008C29E6">
      <w:pPr>
        <w:pStyle w:val="BodyText"/>
        <w:jc w:val="both"/>
      </w:pPr>
      <w:r w:rsidRPr="006B0B80">
        <w:t xml:space="preserve">The apparent simplicity of applying a potential or current can obscure the mechanistic complexity of nanoscale growth. Electrodeposition proceeds through coupled nucleation, charge transfer, ion transport, adsorption and crystallographic growth; the balance among these </w:t>
      </w:r>
      <w:proofErr w:type="gramStart"/>
      <w:r w:rsidRPr="006B0B80">
        <w:t>processes</w:t>
      </w:r>
      <w:proofErr w:type="gramEnd"/>
      <w:r w:rsidRPr="006B0B80">
        <w:t xml:space="preserve"> changes continuously as roughness and active area evolve. Template methods impose geometric confinement but also introduce pore transport and filling constraints. </w:t>
      </w:r>
      <w:proofErr w:type="spellStart"/>
      <w:r w:rsidRPr="006B0B80">
        <w:t>Anodisation</w:t>
      </w:r>
      <w:proofErr w:type="spellEnd"/>
      <w:r w:rsidRPr="006B0B80">
        <w:t xml:space="preserve"> relies on the simultaneous formation and field-assisted dissolution or </w:t>
      </w:r>
      <w:proofErr w:type="spellStart"/>
      <w:r w:rsidRPr="006B0B80">
        <w:t>reorganisation</w:t>
      </w:r>
      <w:proofErr w:type="spellEnd"/>
      <w:r w:rsidRPr="006B0B80">
        <w:t xml:space="preserve"> of oxide, such that </w:t>
      </w:r>
      <w:r w:rsidRPr="008C29E6">
        <w:t>electrolyte chemistry and electric field determine whether compact films, pores or tubes emerge. Dealloying converts selective dissolution into a self-</w:t>
      </w:r>
      <w:proofErr w:type="spellStart"/>
      <w:r w:rsidRPr="008C29E6">
        <w:t>organised</w:t>
      </w:r>
      <w:proofErr w:type="spellEnd"/>
      <w:r w:rsidRPr="008C29E6">
        <w:t xml:space="preserve"> </w:t>
      </w:r>
      <w:proofErr w:type="spellStart"/>
      <w:r w:rsidRPr="008C29E6">
        <w:t>bicontinuous</w:t>
      </w:r>
      <w:proofErr w:type="spellEnd"/>
      <w:r w:rsidRPr="008C29E6">
        <w:t xml:space="preserve"> porous network, while electrochemical exfoliation turns intercalation, gas evolution and redox chemistry into a route for separating atomically thin sheets. The term electrochemical synthesis therefore covers mechanisms that share an electron-transfer interface but differ greatly in where morphology is selected and where process limitations arise (</w:t>
      </w:r>
      <w:proofErr w:type="spellStart"/>
      <w:r w:rsidRPr="008C29E6">
        <w:t>Bograchev</w:t>
      </w:r>
      <w:proofErr w:type="spellEnd"/>
      <w:r w:rsidRPr="008C29E6">
        <w:t xml:space="preserve"> et al., 2025; David et al., 2022; </w:t>
      </w:r>
      <w:proofErr w:type="spellStart"/>
      <w:r w:rsidRPr="008C29E6">
        <w:t>Erlebacher</w:t>
      </w:r>
      <w:proofErr w:type="spellEnd"/>
      <w:r w:rsidRPr="008C29E6">
        <w:t xml:space="preserve"> et al., 2001; Zhao et al., 2024).</w:t>
      </w:r>
    </w:p>
    <w:p w14:paraId="329F57F7" w14:textId="77777777" w:rsidR="006F51AD" w:rsidRPr="008C29E6" w:rsidRDefault="00000000" w:rsidP="008C29E6">
      <w:pPr>
        <w:pStyle w:val="BodyText"/>
        <w:jc w:val="both"/>
      </w:pPr>
      <w:r w:rsidRPr="008C29E6">
        <w:rPr>
          <w:highlight w:val="yellow"/>
        </w:rPr>
        <w:t xml:space="preserve">Recent analyses of </w:t>
      </w:r>
      <w:proofErr w:type="spellStart"/>
      <w:r w:rsidRPr="008C29E6">
        <w:rPr>
          <w:highlight w:val="yellow"/>
        </w:rPr>
        <w:t>electrocrystallisation</w:t>
      </w:r>
      <w:proofErr w:type="spellEnd"/>
      <w:r w:rsidRPr="008C29E6">
        <w:rPr>
          <w:highlight w:val="yellow"/>
        </w:rPr>
        <w:t xml:space="preserve"> further indicate that nucleation and early-stage crystal growth can depart from classical descriptions, reinforcing the need to relate electrochemical boundary conditions to directly observed nanoscale growth </w:t>
      </w:r>
      <w:proofErr w:type="spellStart"/>
      <w:r w:rsidRPr="008C29E6">
        <w:rPr>
          <w:highlight w:val="yellow"/>
        </w:rPr>
        <w:t>behaviour</w:t>
      </w:r>
      <w:proofErr w:type="spellEnd"/>
      <w:r w:rsidRPr="008C29E6">
        <w:rPr>
          <w:highlight w:val="yellow"/>
        </w:rPr>
        <w:t xml:space="preserve"> (Lin et al., 2024). Recent developments in single-entity electrochemistry likewise </w:t>
      </w:r>
      <w:proofErr w:type="spellStart"/>
      <w:r w:rsidRPr="008C29E6">
        <w:rPr>
          <w:highlight w:val="yellow"/>
        </w:rPr>
        <w:t>emphasise</w:t>
      </w:r>
      <w:proofErr w:type="spellEnd"/>
      <w:r w:rsidRPr="008C29E6">
        <w:rPr>
          <w:highlight w:val="yellow"/>
        </w:rPr>
        <w:t xml:space="preserve"> the value of spatially resolved and correlative measurements for connecting nanoparticle structure with local electrochemical </w:t>
      </w:r>
      <w:proofErr w:type="spellStart"/>
      <w:r w:rsidRPr="008C29E6">
        <w:rPr>
          <w:highlight w:val="yellow"/>
        </w:rPr>
        <w:t>behaviour</w:t>
      </w:r>
      <w:proofErr w:type="spellEnd"/>
      <w:r w:rsidRPr="008C29E6">
        <w:rPr>
          <w:highlight w:val="yellow"/>
        </w:rPr>
        <w:t xml:space="preserve"> (Gowrisankar et al., 2025).</w:t>
      </w:r>
    </w:p>
    <w:p w14:paraId="25FE6504" w14:textId="77777777" w:rsidR="00606B00" w:rsidRPr="006B0B80" w:rsidRDefault="00000000" w:rsidP="008C29E6">
      <w:pPr>
        <w:pStyle w:val="BodyText"/>
        <w:jc w:val="both"/>
      </w:pPr>
      <w:r w:rsidRPr="008C29E6">
        <w:t xml:space="preserve">This mechanistic diversity has generated a correspondingly fragmented review literature. Electrodeposition has been reviewed as a coating technology, an electrocatalyst fabrication route and a sensing platform (Bernal &amp; Ustarroz, 2021; Choi et al., 2023; </w:t>
      </w:r>
      <w:proofErr w:type="spellStart"/>
      <w:r w:rsidRPr="008C29E6">
        <w:t>Gurrappa</w:t>
      </w:r>
      <w:proofErr w:type="spellEnd"/>
      <w:r w:rsidRPr="008C29E6">
        <w:t xml:space="preserve"> &amp; Binder, 2008; Tonelli et al., 2019). Anodic </w:t>
      </w:r>
      <w:proofErr w:type="spellStart"/>
      <w:r w:rsidRPr="008C29E6">
        <w:t>aluminium</w:t>
      </w:r>
      <w:proofErr w:type="spellEnd"/>
      <w:r w:rsidRPr="008C29E6">
        <w:t xml:space="preserve"> oxide and titanium dioxide nanotubes have developed largely separate literatures concerned with pore ordering, tube morphology and application-specific modification (David et al., 2022; Lee et al., 2014; Roy et al., 2011). Electrochemical exfoliation has been reviewed both for graphene and for layered materials beyond graphene (Abdelkader et al., 2015; Lim et al., 2026; Zhao et al., 2024). Dealloying reviews, in turn, </w:t>
      </w:r>
      <w:proofErr w:type="spellStart"/>
      <w:r w:rsidRPr="008C29E6">
        <w:t>emphasise</w:t>
      </w:r>
      <w:proofErr w:type="spellEnd"/>
      <w:r w:rsidRPr="008C29E6">
        <w:t xml:space="preserve"> nanoporous metals and energy conversion (Sang et al., 2022). These </w:t>
      </w:r>
      <w:proofErr w:type="spellStart"/>
      <w:r w:rsidRPr="008C29E6">
        <w:t>specialised</w:t>
      </w:r>
      <w:proofErr w:type="spellEnd"/>
      <w:r w:rsidRPr="008C29E6">
        <w:t xml:space="preserve"> syntheses are valuable, but they make it difficult to compare which kinds of control are genuinely electrochemical</w:t>
      </w:r>
      <w:r w:rsidRPr="006B0B80">
        <w:t xml:space="preserve">, which are inherited from templates or precursors, and which performance claims survive </w:t>
      </w:r>
      <w:proofErr w:type="spellStart"/>
      <w:r w:rsidRPr="006B0B80">
        <w:t>normalisation</w:t>
      </w:r>
      <w:proofErr w:type="spellEnd"/>
      <w:r w:rsidRPr="006B0B80">
        <w:t xml:space="preserve"> and scale-up.</w:t>
      </w:r>
    </w:p>
    <w:p w14:paraId="2B760C77" w14:textId="77777777" w:rsidR="00606B00" w:rsidRPr="006B0B80" w:rsidRDefault="00000000" w:rsidP="008C29E6">
      <w:pPr>
        <w:pStyle w:val="BodyText"/>
        <w:jc w:val="both"/>
      </w:pPr>
      <w:r w:rsidRPr="006B0B80">
        <w:t xml:space="preserve">A second source of fragmentation is the separation between production and </w:t>
      </w:r>
      <w:proofErr w:type="spellStart"/>
      <w:r w:rsidRPr="006B0B80">
        <w:t>characterisation</w:t>
      </w:r>
      <w:proofErr w:type="spellEnd"/>
      <w:r w:rsidRPr="006B0B80">
        <w:t>. Electrochemical measurements are routinely used to infer surface area, transport resistance, reaction kinetics, ion storage and stability. Cyclic voltammetry is highly informative when experimental controls and mechanistic expectations are explicit, but peak position or enclosed area does not by itself identify a unique mechanism (</w:t>
      </w:r>
      <w:proofErr w:type="spellStart"/>
      <w:r w:rsidRPr="006B0B80">
        <w:t>Elgrishi</w:t>
      </w:r>
      <w:proofErr w:type="spellEnd"/>
      <w:r w:rsidRPr="006B0B80">
        <w:t xml:space="preserve"> et al., 2018). Electrochemical impedance spectroscopy can separate processes on different timescales, yet multiple circuit or physics-based models may explain similar spectra, and invalid data can produce precise-looking but physically meaningless parameters (Ciucci, 2019; </w:t>
      </w:r>
      <w:proofErr w:type="spellStart"/>
      <w:r w:rsidRPr="006B0B80">
        <w:t>Schönleber</w:t>
      </w:r>
      <w:proofErr w:type="spellEnd"/>
      <w:r w:rsidRPr="006B0B80">
        <w:t xml:space="preserve"> et al., 2014). Likewise, apparent electrochemically active surface area is method dependent, especially on rough, porous and compositionally heterogeneous nanomaterials (Trasatti &amp; </w:t>
      </w:r>
      <w:proofErr w:type="spellStart"/>
      <w:r w:rsidRPr="006B0B80">
        <w:t>Petrii</w:t>
      </w:r>
      <w:proofErr w:type="spellEnd"/>
      <w:r w:rsidRPr="006B0B80">
        <w:t>, 1991). This creates a recurring circularity: a synthesis is said to create more active sites because a current increases, while the increased current is then presented as evidence that more active sites were created.</w:t>
      </w:r>
    </w:p>
    <w:p w14:paraId="6AC90C0B" w14:textId="77777777" w:rsidR="00606B00" w:rsidRPr="006B0B80" w:rsidRDefault="00000000" w:rsidP="008C29E6">
      <w:pPr>
        <w:pStyle w:val="BodyText"/>
        <w:jc w:val="both"/>
      </w:pPr>
      <w:r w:rsidRPr="006B0B80">
        <w:t>Local and mass-sensitive techniques can partially break that circularity. Electrochemical quartz crystal microbalance measurements link charge to interfacial mass changes and can reveal deposition, dissolution, ion exchange and viscoelastic changes during growth (Buttry &amp; Ward, 1992; Zhao et al., 2022). Scanning electrochemical cell microscopy confines an electrochemical cell to a micron- or nanoscale meniscus and maps local reactivity across heterogeneous surfaces, creating a direct route from structure to local function (</w:t>
      </w:r>
      <w:proofErr w:type="spellStart"/>
      <w:r w:rsidRPr="006B0B80">
        <w:t>Ebejer</w:t>
      </w:r>
      <w:proofErr w:type="spellEnd"/>
      <w:r w:rsidRPr="006B0B80">
        <w:t xml:space="preserve"> et al., 2013; Gaudin et al., 2024; </w:t>
      </w:r>
      <w:proofErr w:type="spellStart"/>
      <w:r w:rsidRPr="006B0B80">
        <w:t>Jayamaha</w:t>
      </w:r>
      <w:proofErr w:type="spellEnd"/>
      <w:r w:rsidRPr="006B0B80">
        <w:t xml:space="preserve"> et al., 2024). Yet these methods introduce their own probe geometry, calibration and data-analysis constraints. No single electrochemical technique can therefore be treated as a </w:t>
      </w:r>
      <w:r w:rsidRPr="006B0B80">
        <w:lastRenderedPageBreak/>
        <w:t xml:space="preserve">complete </w:t>
      </w:r>
      <w:proofErr w:type="spellStart"/>
      <w:r w:rsidRPr="006B0B80">
        <w:t>characterisation</w:t>
      </w:r>
      <w:proofErr w:type="spellEnd"/>
      <w:r w:rsidRPr="006B0B80">
        <w:t xml:space="preserve"> of a nanomaterial; confidence increases when electrochemical observables are triangulated with physical, chemical and structural evidence.</w:t>
      </w:r>
    </w:p>
    <w:p w14:paraId="3DDFE188" w14:textId="77777777" w:rsidR="00606B00" w:rsidRPr="006B0B80" w:rsidRDefault="00000000" w:rsidP="008C29E6">
      <w:pPr>
        <w:pStyle w:val="BodyText"/>
        <w:jc w:val="both"/>
      </w:pPr>
      <w:r w:rsidRPr="006B0B80">
        <w:t xml:space="preserve">Applications amplify these interpretive issues because </w:t>
      </w:r>
      <w:proofErr w:type="spellStart"/>
      <w:r w:rsidRPr="006B0B80">
        <w:t>nanostructuring</w:t>
      </w:r>
      <w:proofErr w:type="spellEnd"/>
      <w:r w:rsidRPr="006B0B80">
        <w:t xml:space="preserve"> changes several properties at once. In electrocatalysis, smaller features may increase exposed surface, modify coordination and strain, alter local pH and affect bubble or reactant transport. In electrochemical capacitors and battery electrodes, nanoscale diffusion lengths can improve rate response while high interfacial area can also accelerate parasitic reactions and lower packing density (Augustyn et al., 2014; Simon &amp; </w:t>
      </w:r>
      <w:proofErr w:type="spellStart"/>
      <w:r w:rsidRPr="006B0B80">
        <w:t>Gogotsi</w:t>
      </w:r>
      <w:proofErr w:type="spellEnd"/>
      <w:r w:rsidRPr="006B0B80">
        <w:t xml:space="preserve">, 2008; Zhang et al., 2016). In sensors, electrodeposited nanostructures can increase capture area, facilitate receptor </w:t>
      </w:r>
      <w:proofErr w:type="spellStart"/>
      <w:r w:rsidRPr="006B0B80">
        <w:t>immobilisation</w:t>
      </w:r>
      <w:proofErr w:type="spellEnd"/>
      <w:r w:rsidRPr="006B0B80">
        <w:t xml:space="preserve"> or amplify a transduction pathway, but selectivity and long-term stability remain device-level rather than morphology-only attributes (Choi et al., 2023; Tonelli et al., 2019). In capacitive </w:t>
      </w:r>
      <w:proofErr w:type="spellStart"/>
      <w:r w:rsidRPr="006B0B80">
        <w:t>deionisation</w:t>
      </w:r>
      <w:proofErr w:type="spellEnd"/>
      <w:r w:rsidRPr="006B0B80">
        <w:t xml:space="preserve">, porous nanostructures are important, yet electrode material, pore accessibility, cell architecture and operational mode jointly determine desalination performance (Porada et al., 2013; </w:t>
      </w:r>
      <w:proofErr w:type="spellStart"/>
      <w:r w:rsidRPr="006B0B80">
        <w:t>Suss</w:t>
      </w:r>
      <w:proofErr w:type="spellEnd"/>
      <w:r w:rsidRPr="006B0B80">
        <w:t xml:space="preserve"> et al., 2015).</w:t>
      </w:r>
    </w:p>
    <w:p w14:paraId="50DBE8A9" w14:textId="77777777" w:rsidR="00606B00" w:rsidRPr="008C29E6" w:rsidRDefault="00000000" w:rsidP="008C29E6">
      <w:pPr>
        <w:pStyle w:val="BodyText"/>
        <w:jc w:val="both"/>
      </w:pPr>
      <w:r w:rsidRPr="006B0B80">
        <w:t xml:space="preserve">Scale introduces a further distinction between electrochemical controllability and manufacturability. Laboratory electrodeposition is often attractive because it is low temperature, additive and compatible with complex substrates, but scale-up changes current distribution, ohmic drop, fluid dynamics, precursor depletion and heat management. Template release, washing and electrolyte recovery may dominate the process burden even when the deposition step is efficient. Continuous rotating electrodeposition has shown that electrochemical nanoparticle manufacture can be integrated with mechanical separation and roll-to-roll processing, including production of </w:t>
      </w:r>
      <w:r w:rsidRPr="008C29E6">
        <w:t>conductive inks, but it also illustrates that scale requires redesigned reactor hydrodynamics rather than simple enlargement of a beaker experiment (Huang et al., 2020). The central translational question is thus whether the process window that gives a nanoscale advantage can be preserved as area, throughput and batch duration increase.</w:t>
      </w:r>
    </w:p>
    <w:p w14:paraId="1F797576" w14:textId="77777777" w:rsidR="006F51AD" w:rsidRPr="008C29E6" w:rsidRDefault="00000000" w:rsidP="008C29E6">
      <w:pPr>
        <w:pStyle w:val="BodyText"/>
        <w:jc w:val="both"/>
      </w:pPr>
      <w:r w:rsidRPr="008C29E6">
        <w:rPr>
          <w:highlight w:val="yellow"/>
        </w:rPr>
        <w:t>Recent work on cathodic-corrosion-based fabrication also illustrates that electrochemical nanoparticle production can proceed through subtractive surface transformation as well as additive deposition, while product characteristics remain dependent on electrode material, electrolyte composition and the applied electrical waveform (</w:t>
      </w:r>
      <w:proofErr w:type="spellStart"/>
      <w:r w:rsidRPr="008C29E6">
        <w:rPr>
          <w:highlight w:val="yellow"/>
        </w:rPr>
        <w:t>Elnagar</w:t>
      </w:r>
      <w:proofErr w:type="spellEnd"/>
      <w:r w:rsidRPr="008C29E6">
        <w:rPr>
          <w:highlight w:val="yellow"/>
        </w:rPr>
        <w:t xml:space="preserve"> et al., 2025). Recent assessment of electrochemical carbon synthesis similarly highlights the need to consider synthesis route, precursor choice and processing conditions together when judging the manufacturing relevance of electrochemical nanomaterial production (Quílez-Bermejo et al., 2025).</w:t>
      </w:r>
    </w:p>
    <w:p w14:paraId="119BF015" w14:textId="77777777" w:rsidR="00606B00" w:rsidRPr="006B0B80" w:rsidRDefault="00000000" w:rsidP="008C29E6">
      <w:pPr>
        <w:pStyle w:val="Heading2"/>
        <w:jc w:val="both"/>
        <w:rPr>
          <w:color w:val="auto"/>
        </w:rPr>
      </w:pPr>
      <w:r w:rsidRPr="006B0B80">
        <w:rPr>
          <w:color w:val="auto"/>
        </w:rPr>
        <w:t>1.1 Scope, Research Gap and Objectives</w:t>
      </w:r>
    </w:p>
    <w:p w14:paraId="265622A8" w14:textId="77777777" w:rsidR="00606B00" w:rsidRPr="006B0B80" w:rsidRDefault="00000000" w:rsidP="008C29E6">
      <w:pPr>
        <w:pStyle w:val="BodyText"/>
        <w:jc w:val="both"/>
      </w:pPr>
      <w:r w:rsidRPr="006B0B80">
        <w:t xml:space="preserve">This review considers electrochemical techniques in which the electrochemical interface directly creates, transforms or interrogates nanomaterials. The production scope includes electrodeposition and </w:t>
      </w:r>
      <w:proofErr w:type="spellStart"/>
      <w:r w:rsidRPr="006B0B80">
        <w:t>electrocrystallisation</w:t>
      </w:r>
      <w:proofErr w:type="spellEnd"/>
      <w:r w:rsidRPr="006B0B80">
        <w:t>, template-assisted deposition, anodic self-</w:t>
      </w:r>
      <w:proofErr w:type="spellStart"/>
      <w:r w:rsidRPr="006B0B80">
        <w:t>organisation</w:t>
      </w:r>
      <w:proofErr w:type="spellEnd"/>
      <w:r w:rsidRPr="006B0B80">
        <w:t xml:space="preserve">, electrochemical exfoliation, electrochemical dealloying and scalable electrochemical particle manufacture. </w:t>
      </w:r>
      <w:proofErr w:type="spellStart"/>
      <w:r w:rsidRPr="006B0B80">
        <w:t>Characterisation</w:t>
      </w:r>
      <w:proofErr w:type="spellEnd"/>
      <w:r w:rsidRPr="006B0B80">
        <w:t xml:space="preserve"> focuses on electrochemical measurements that are widely used to connect nanoscale structure with interfacial function, particularly cyclic voltammetry, transient techniques, impedance spectroscopy, electrochemical quartz crystal microbalance measurements and local scanning electrochemical methods. Applications are examined selectively where the production route or electrochemical </w:t>
      </w:r>
      <w:proofErr w:type="spellStart"/>
      <w:r w:rsidRPr="006B0B80">
        <w:t>characterisation</w:t>
      </w:r>
      <w:proofErr w:type="spellEnd"/>
      <w:r w:rsidRPr="006B0B80">
        <w:t xml:space="preserve"> is central to performance, with emphasis on energy conversion and storage, sensing, separations and printed or functional devices. Purely chemical, </w:t>
      </w:r>
      <w:proofErr w:type="spellStart"/>
      <w:r w:rsidRPr="006B0B80">
        <w:t>vapour</w:t>
      </w:r>
      <w:proofErr w:type="spellEnd"/>
      <w:r w:rsidRPr="006B0B80">
        <w:t xml:space="preserve">-phase and thermal syntheses are outside scope except where needed as comparators. The specific research gap is the limited integration of production mechanism, measurement validity, process-structure-property coupling and scale-up across otherwise separate electrochemical nanomaterials literatures. The objectives are to identify the most defensible advantages of each electrochemical route, expose recurring sources of overinterpretation, compare the evidential strength of common </w:t>
      </w:r>
      <w:proofErr w:type="spellStart"/>
      <w:r w:rsidRPr="006B0B80">
        <w:t>characterisation</w:t>
      </w:r>
      <w:proofErr w:type="spellEnd"/>
      <w:r w:rsidRPr="006B0B80">
        <w:t xml:space="preserve"> methods, and define research priorities that improve reproducibility, manufacturing relevance and application-level validation.</w:t>
      </w:r>
    </w:p>
    <w:p w14:paraId="517C5661" w14:textId="77777777" w:rsidR="00606B00" w:rsidRPr="006B0B80" w:rsidRDefault="00000000" w:rsidP="008C29E6">
      <w:pPr>
        <w:pStyle w:val="Heading1"/>
        <w:jc w:val="both"/>
        <w:rPr>
          <w:color w:val="auto"/>
        </w:rPr>
      </w:pPr>
      <w:r w:rsidRPr="006B0B80">
        <w:rPr>
          <w:color w:val="auto"/>
        </w:rPr>
        <w:lastRenderedPageBreak/>
        <w:t>2. Methods for Literature Selection</w:t>
      </w:r>
    </w:p>
    <w:p w14:paraId="2A0AAECA" w14:textId="77777777" w:rsidR="00606B00" w:rsidRPr="006B0B80" w:rsidRDefault="00000000" w:rsidP="008C29E6">
      <w:pPr>
        <w:pStyle w:val="Heading2"/>
        <w:jc w:val="both"/>
        <w:rPr>
          <w:color w:val="auto"/>
        </w:rPr>
      </w:pPr>
      <w:r w:rsidRPr="006B0B80">
        <w:rPr>
          <w:color w:val="auto"/>
        </w:rPr>
        <w:t>2.1 Review Design and Rationale</w:t>
      </w:r>
    </w:p>
    <w:p w14:paraId="76E05645" w14:textId="77777777" w:rsidR="00606B00" w:rsidRPr="006B0B80" w:rsidRDefault="00000000" w:rsidP="008C29E6">
      <w:pPr>
        <w:pStyle w:val="BodyText"/>
        <w:jc w:val="both"/>
      </w:pPr>
      <w:r w:rsidRPr="006B0B80">
        <w:t>A critical narrative review design was selected because the question is mechanistically and methodologically heterogeneous rather than a single intervention-outcome comparison. The literature includes electrochemical synthesis studies, mechanistic studies, microscopy and spectroscopy correlations, device demonstrations, methodological papers and specialist reviews. Their outcomes cannot be combined meaningfully into one effect estimate, and a narrow systematic-review formulation would risk excluding the cross-disciplinary evidence required to judge how production variables become structural and functional claims. The review nevertheless followed explicit search, eligibility, verification and appraisal procedures. Narrative review quality was guided by the principles captured in the SANRA framework, including a clear rationale, transparent information sources, appropriate referencing, scientific reasoning and presentation of relevant evidence (</w:t>
      </w:r>
      <w:proofErr w:type="spellStart"/>
      <w:r w:rsidRPr="006B0B80">
        <w:t>Baethge</w:t>
      </w:r>
      <w:proofErr w:type="spellEnd"/>
      <w:r w:rsidRPr="006B0B80">
        <w:t xml:space="preserve"> et al., 2019).</w:t>
      </w:r>
    </w:p>
    <w:p w14:paraId="175A7B92" w14:textId="77777777" w:rsidR="00606B00" w:rsidRPr="006B0B80" w:rsidRDefault="00000000" w:rsidP="008C29E6">
      <w:pPr>
        <w:pStyle w:val="Heading2"/>
        <w:jc w:val="both"/>
        <w:rPr>
          <w:color w:val="auto"/>
        </w:rPr>
      </w:pPr>
      <w:r w:rsidRPr="006B0B80">
        <w:rPr>
          <w:color w:val="auto"/>
        </w:rPr>
        <w:t>2.2 Information Sources</w:t>
      </w:r>
    </w:p>
    <w:p w14:paraId="0543561A" w14:textId="77777777" w:rsidR="00606B00" w:rsidRPr="006B0B80" w:rsidRDefault="00000000" w:rsidP="008C29E6">
      <w:pPr>
        <w:pStyle w:val="BodyText"/>
        <w:jc w:val="both"/>
      </w:pPr>
      <w:r w:rsidRPr="006B0B80">
        <w:t xml:space="preserve">Literature discovery and bibliographic cross-checking used </w:t>
      </w:r>
      <w:proofErr w:type="spellStart"/>
      <w:r w:rsidRPr="006B0B80">
        <w:t>OpenAlex</w:t>
      </w:r>
      <w:proofErr w:type="spellEnd"/>
      <w:r w:rsidRPr="006B0B80">
        <w:t xml:space="preserve">, </w:t>
      </w:r>
      <w:proofErr w:type="spellStart"/>
      <w:r w:rsidRPr="006B0B80">
        <w:t>OpenAIRE</w:t>
      </w:r>
      <w:proofErr w:type="spellEnd"/>
      <w:r w:rsidRPr="006B0B80">
        <w:t xml:space="preserve">, </w:t>
      </w:r>
      <w:proofErr w:type="spellStart"/>
      <w:r w:rsidRPr="006B0B80">
        <w:t>Crossref</w:t>
      </w:r>
      <w:proofErr w:type="spellEnd"/>
      <w:r w:rsidRPr="006B0B80">
        <w:t>, DOAJ, CORE, Semantic Scholar and Google Scholar. Topic-focused searches were supplemented by backward citation searching from major reviews, forward and related-article searching around seminal papers, and checks of DOI and official article landing pages for bibliographic accuracy. PubMed records were used where relevant to confirm metadata for electrochemical methods and materials papers indexed in biomedical databases. Correction, update and retraction signals were checked during DOI verification. Literature-source searching was separated from publisher-level verification so that discovery coverage and reference authentication were not conflated.</w:t>
      </w:r>
    </w:p>
    <w:p w14:paraId="034AD08E" w14:textId="77777777" w:rsidR="00606B00" w:rsidRPr="006B0B80" w:rsidRDefault="00000000" w:rsidP="008C29E6">
      <w:pPr>
        <w:pStyle w:val="Heading2"/>
        <w:jc w:val="both"/>
        <w:rPr>
          <w:color w:val="auto"/>
        </w:rPr>
      </w:pPr>
      <w:r w:rsidRPr="006B0B80">
        <w:rPr>
          <w:color w:val="auto"/>
        </w:rPr>
        <w:t>2.3 Search Strategy and Search Period</w:t>
      </w:r>
    </w:p>
    <w:p w14:paraId="682F9866" w14:textId="77777777" w:rsidR="00606B00" w:rsidRPr="006B0B80" w:rsidRDefault="00000000" w:rsidP="008C29E6">
      <w:pPr>
        <w:pStyle w:val="BodyText"/>
        <w:jc w:val="both"/>
      </w:pPr>
      <w:r w:rsidRPr="006B0B80">
        <w:t>The principal search period was 1 January 2000 to 30 June 2026. The starting year was chosen to capture the modern period in which self-</w:t>
      </w:r>
      <w:proofErr w:type="spellStart"/>
      <w:r w:rsidRPr="006B0B80">
        <w:t>organised</w:t>
      </w:r>
      <w:proofErr w:type="spellEnd"/>
      <w:r w:rsidRPr="006B0B80">
        <w:t xml:space="preserve"> anodic nanostructures, template electrochemistry, nanoporous dealloying and scalable electrochemical nanomaterials research became established as intersecting fields. Seminal earlier studies were retained when they defined mechanisms or methods that remain necessary for interpretation, including template synthesis, ordered anodic alumina, electrochemical quartz crystal microbalance methodology and real-area </w:t>
      </w:r>
      <w:proofErr w:type="spellStart"/>
      <w:r w:rsidRPr="006B0B80">
        <w:t>normalisation</w:t>
      </w:r>
      <w:proofErr w:type="spellEnd"/>
      <w:r w:rsidRPr="006B0B80">
        <w:t xml:space="preserve">. Representative search concepts combined electrochemical production terms with nanoscale forms and either </w:t>
      </w:r>
      <w:proofErr w:type="spellStart"/>
      <w:r w:rsidRPr="006B0B80">
        <w:t>characterisation</w:t>
      </w:r>
      <w:proofErr w:type="spellEnd"/>
      <w:r w:rsidRPr="006B0B80">
        <w:t xml:space="preserve"> or application terms. A core string was: ("electrochemical synthesis" OR electrodeposition OR </w:t>
      </w:r>
      <w:proofErr w:type="spellStart"/>
      <w:r w:rsidRPr="006B0B80">
        <w:t>electrocrystallisation</w:t>
      </w:r>
      <w:proofErr w:type="spellEnd"/>
      <w:r w:rsidRPr="006B0B80">
        <w:t xml:space="preserve"> OR </w:t>
      </w:r>
      <w:proofErr w:type="spellStart"/>
      <w:r w:rsidRPr="006B0B80">
        <w:t>anodisation</w:t>
      </w:r>
      <w:proofErr w:type="spellEnd"/>
      <w:r w:rsidRPr="006B0B80">
        <w:t xml:space="preserve"> OR "electrochemical exfoliation" OR dealloying) AND (nanomaterial* OR nanoparticle* OR nanowire* OR nanotube* OR nanosheet* OR nanoporous OR </w:t>
      </w:r>
      <w:proofErr w:type="spellStart"/>
      <w:r w:rsidRPr="006B0B80">
        <w:t>nanostructur</w:t>
      </w:r>
      <w:proofErr w:type="spellEnd"/>
      <w:r w:rsidRPr="006B0B80">
        <w:t>*) AND (</w:t>
      </w:r>
      <w:proofErr w:type="spellStart"/>
      <w:r w:rsidRPr="006B0B80">
        <w:t>characteri</w:t>
      </w:r>
      <w:proofErr w:type="spellEnd"/>
      <w:r w:rsidRPr="006B0B80">
        <w:t xml:space="preserve">* OR </w:t>
      </w:r>
      <w:proofErr w:type="spellStart"/>
      <w:r w:rsidRPr="006B0B80">
        <w:t>voltammetr</w:t>
      </w:r>
      <w:proofErr w:type="spellEnd"/>
      <w:r w:rsidRPr="006B0B80">
        <w:t xml:space="preserve">* OR impedance OR </w:t>
      </w:r>
      <w:proofErr w:type="spellStart"/>
      <w:r w:rsidRPr="006B0B80">
        <w:t>chronoamperometr</w:t>
      </w:r>
      <w:proofErr w:type="spellEnd"/>
      <w:r w:rsidRPr="006B0B80">
        <w:t xml:space="preserve">* OR EQCM OR SECCM OR </w:t>
      </w:r>
      <w:proofErr w:type="spellStart"/>
      <w:r w:rsidRPr="006B0B80">
        <w:t>electrocatal</w:t>
      </w:r>
      <w:proofErr w:type="spellEnd"/>
      <w:r w:rsidRPr="006B0B80">
        <w:t xml:space="preserve">* OR sensor* OR battery OR supercapacitor OR separation). Route-specific searches replaced the first concept with terms for template deposition, anodic </w:t>
      </w:r>
      <w:proofErr w:type="spellStart"/>
      <w:r w:rsidRPr="006B0B80">
        <w:t>aluminium</w:t>
      </w:r>
      <w:proofErr w:type="spellEnd"/>
      <w:r w:rsidRPr="006B0B80">
        <w:t xml:space="preserve"> oxide, TiO2 nanotubes, graphite exfoliation, layered two-dimensional materials and nanoporous alloys. Application searches combined these route terms with electrocatalysis, energy storage, sensing, capacitive </w:t>
      </w:r>
      <w:proofErr w:type="spellStart"/>
      <w:r w:rsidRPr="006B0B80">
        <w:t>deionisation</w:t>
      </w:r>
      <w:proofErr w:type="spellEnd"/>
      <w:r w:rsidRPr="006B0B80">
        <w:t xml:space="preserve"> and printed electronics.</w:t>
      </w:r>
    </w:p>
    <w:p w14:paraId="04F65F78" w14:textId="77777777" w:rsidR="00606B00" w:rsidRPr="006B0B80" w:rsidRDefault="00000000" w:rsidP="008C29E6">
      <w:pPr>
        <w:pStyle w:val="Heading2"/>
        <w:jc w:val="both"/>
        <w:rPr>
          <w:color w:val="auto"/>
        </w:rPr>
      </w:pPr>
      <w:r w:rsidRPr="006B0B80">
        <w:rPr>
          <w:color w:val="auto"/>
        </w:rPr>
        <w:t>2.4 Eligibility Criteria</w:t>
      </w:r>
    </w:p>
    <w:p w14:paraId="7AB943F9" w14:textId="77777777" w:rsidR="00606B00" w:rsidRPr="006B0B80" w:rsidRDefault="00000000" w:rsidP="008C29E6">
      <w:pPr>
        <w:pStyle w:val="BodyText"/>
        <w:jc w:val="both"/>
      </w:pPr>
      <w:r w:rsidRPr="006B0B80">
        <w:t xml:space="preserve">Peer-reviewed English-language journal articles and reviews were eligible when they directly addressed electrochemical production or transformation of nanomaterials, electrochemical </w:t>
      </w:r>
      <w:proofErr w:type="spellStart"/>
      <w:r w:rsidRPr="006B0B80">
        <w:t>characterisation</w:t>
      </w:r>
      <w:proofErr w:type="spellEnd"/>
      <w:r w:rsidRPr="006B0B80">
        <w:t xml:space="preserve"> of nanoscale or highly nanostructured electrodes, or applications in which an electrochemically produced nanostructure was functionally important. Mechanistic and methodological papers were </w:t>
      </w:r>
      <w:proofErr w:type="spellStart"/>
      <w:r w:rsidRPr="006B0B80">
        <w:t>prioritised</w:t>
      </w:r>
      <w:proofErr w:type="spellEnd"/>
      <w:r w:rsidRPr="006B0B80">
        <w:t xml:space="preserve"> when they clarified interpretation of nucleation, transport, impedance, active area, local activity or mass change. Reviews were used to map mature subfields and identify disagreements, whereas original research was used for representative mechanistic and scale-up evidence. Foundational pre-2000 papers were eligible only when their concepts remained central. Sources were excluded if their bibliographic identity could not be verified, if they were non-scholarly or promotional, if they </w:t>
      </w:r>
      <w:r w:rsidRPr="006B0B80">
        <w:lastRenderedPageBreak/>
        <w:t>were patents or conference abstracts without sufficient methodological information, or if their relevance was limited to nanomaterials produced entirely by non-electrochemical routes. Preprints were not used where peer-reviewed evidence was available.</w:t>
      </w:r>
    </w:p>
    <w:p w14:paraId="3071AF4E" w14:textId="77777777" w:rsidR="00606B00" w:rsidRPr="006B0B80" w:rsidRDefault="00000000" w:rsidP="008C29E6">
      <w:pPr>
        <w:pStyle w:val="Heading2"/>
        <w:jc w:val="both"/>
        <w:rPr>
          <w:color w:val="auto"/>
        </w:rPr>
      </w:pPr>
      <w:r w:rsidRPr="006B0B80">
        <w:rPr>
          <w:color w:val="auto"/>
        </w:rPr>
        <w:t>2.5 Screening, Duplicate Handling and Study Selection</w:t>
      </w:r>
    </w:p>
    <w:p w14:paraId="145F02F4" w14:textId="77777777" w:rsidR="00606B00" w:rsidRPr="006B0B80" w:rsidRDefault="00000000" w:rsidP="008C29E6">
      <w:pPr>
        <w:pStyle w:val="BodyText"/>
        <w:jc w:val="both"/>
      </w:pPr>
      <w:r w:rsidRPr="006B0B80">
        <w:t xml:space="preserve">Titles and abstracts were assessed for direct relevance to the review questions, followed by full-text or detailed record assessment where necessary to establish method, material class and the claim supported. Duplicate records were identified through DOI, title and author matching, with the version of record preferred. Sources with incomplete or conflicting metadata were retained only after resolving the discrepancy through an authoritative DOI, indexing or article record. Studies were not ranked by citation count alone; selection </w:t>
      </w:r>
      <w:proofErr w:type="spellStart"/>
      <w:r w:rsidRPr="006B0B80">
        <w:t>emphasised</w:t>
      </w:r>
      <w:proofErr w:type="spellEnd"/>
      <w:r w:rsidRPr="006B0B80">
        <w:t xml:space="preserve"> mechanistic contribution, methodological transparency, independent confirmation, application significance and ability to illuminate conflicting interpretations. No numerical screening flow is reported because the review was conducted as a critical narrative synthesis rather than a prospectively registered systematic review with a closed record set.</w:t>
      </w:r>
    </w:p>
    <w:p w14:paraId="1C010649" w14:textId="77777777" w:rsidR="00606B00" w:rsidRPr="006B0B80" w:rsidRDefault="00000000" w:rsidP="008C29E6">
      <w:pPr>
        <w:pStyle w:val="Heading2"/>
        <w:jc w:val="both"/>
        <w:rPr>
          <w:color w:val="auto"/>
        </w:rPr>
      </w:pPr>
      <w:r w:rsidRPr="006B0B80">
        <w:rPr>
          <w:color w:val="auto"/>
        </w:rPr>
        <w:t>2.6 Critical Appraisal and Evidence Synthesis</w:t>
      </w:r>
    </w:p>
    <w:p w14:paraId="6E5AE879" w14:textId="77777777" w:rsidR="00606B00" w:rsidRPr="006B0B80" w:rsidRDefault="00000000" w:rsidP="008C29E6">
      <w:pPr>
        <w:pStyle w:val="BodyText"/>
        <w:jc w:val="both"/>
      </w:pPr>
      <w:r w:rsidRPr="006B0B80">
        <w:t xml:space="preserve">Evidence was appraised according to whether the experimental design could separate the variable being claimed from coupled electrochemical variables. Particular attention was given to current or potential control, mass transport, substrate and template effects, loading, electrochemically active area, electrolyte composition, </w:t>
      </w:r>
      <w:proofErr w:type="spellStart"/>
      <w:r w:rsidRPr="006B0B80">
        <w:t>iR</w:t>
      </w:r>
      <w:proofErr w:type="spellEnd"/>
      <w:r w:rsidRPr="006B0B80">
        <w:t xml:space="preserve"> compensation, reference-electrode practice, stability duration, replication, local heterogeneity and device-level testing. Electrochemical </w:t>
      </w:r>
      <w:proofErr w:type="spellStart"/>
      <w:r w:rsidRPr="006B0B80">
        <w:t>characterisation</w:t>
      </w:r>
      <w:proofErr w:type="spellEnd"/>
      <w:r w:rsidRPr="006B0B80">
        <w:t xml:space="preserve"> claims were assessed against the measurement principle: impedance parameters were considered model dependent; surface-area estimates were considered method dependent; local-probe measurements were considered spatially informative but not automatically representative of an entire electrode. Themes were developed around production mechanism, </w:t>
      </w:r>
      <w:proofErr w:type="spellStart"/>
      <w:r w:rsidRPr="006B0B80">
        <w:t>characterisation</w:t>
      </w:r>
      <w:proofErr w:type="spellEnd"/>
      <w:r w:rsidRPr="006B0B80">
        <w:t xml:space="preserve"> validity, process-structure-property coupling, applications and translation. Where reviews and original studies disagreed, the synthesis sought methodological reasons for the discrepancy rather than selecting a preferred conclusion solely by recency or citation frequency.</w:t>
      </w:r>
    </w:p>
    <w:p w14:paraId="30954E83" w14:textId="77777777" w:rsidR="00606B00" w:rsidRPr="006B0B80" w:rsidRDefault="00000000" w:rsidP="008C29E6">
      <w:pPr>
        <w:pStyle w:val="Heading1"/>
        <w:jc w:val="both"/>
        <w:rPr>
          <w:color w:val="auto"/>
        </w:rPr>
      </w:pPr>
      <w:r w:rsidRPr="006B0B80">
        <w:rPr>
          <w:color w:val="auto"/>
        </w:rPr>
        <w:t>3. Electrochemical Production of Nanomaterials</w:t>
      </w:r>
    </w:p>
    <w:p w14:paraId="6AF1C86F" w14:textId="77777777" w:rsidR="00606B00" w:rsidRPr="006B0B80" w:rsidRDefault="00000000" w:rsidP="008C29E6">
      <w:pPr>
        <w:pStyle w:val="Heading2"/>
        <w:jc w:val="both"/>
        <w:rPr>
          <w:color w:val="auto"/>
        </w:rPr>
      </w:pPr>
      <w:r w:rsidRPr="006B0B80">
        <w:rPr>
          <w:color w:val="auto"/>
        </w:rPr>
        <w:t xml:space="preserve">3.1 Electrodeposition and </w:t>
      </w:r>
      <w:proofErr w:type="spellStart"/>
      <w:r w:rsidRPr="006B0B80">
        <w:rPr>
          <w:color w:val="auto"/>
        </w:rPr>
        <w:t>Electrocrystallisation</w:t>
      </w:r>
      <w:proofErr w:type="spellEnd"/>
    </w:p>
    <w:p w14:paraId="58A34A27" w14:textId="77777777" w:rsidR="00606B00" w:rsidRPr="006B0B80" w:rsidRDefault="00000000" w:rsidP="008C29E6">
      <w:pPr>
        <w:pStyle w:val="BodyText"/>
        <w:jc w:val="both"/>
      </w:pPr>
      <w:r w:rsidRPr="006B0B80">
        <w:t xml:space="preserve">Electrodeposition is the most general electrochemical nanomaterials route considered here because the deposition rate can be driven electrically while composition and morphology are influenced through electrolyte chemistry, additives, waveform and hydrodynamics. In its simplest form, reduction of dissolved species produces nuclei on a conductive substrate and subsequent growth develops a film or discrete nanostructure. At the nanoscale, the practical control problem is not merely setting current density. Nucleation density responds to overpotential and surface state; growth changes the true area; depletion layers change local concentration; hydrogen or other side reactions alter pH and coverage; and additives can selectively adsorb on facets. </w:t>
      </w:r>
      <w:proofErr w:type="gramStart"/>
      <w:r w:rsidRPr="006B0B80">
        <w:t>Thus</w:t>
      </w:r>
      <w:proofErr w:type="gramEnd"/>
      <w:r w:rsidRPr="006B0B80">
        <w:t xml:space="preserve"> the process variable reported on an instrument is only an indirect control over the local electrochemical environment that determines morphology (</w:t>
      </w:r>
      <w:proofErr w:type="spellStart"/>
      <w:r w:rsidRPr="006B0B80">
        <w:t>Gurrappa</w:t>
      </w:r>
      <w:proofErr w:type="spellEnd"/>
      <w:r w:rsidRPr="006B0B80">
        <w:t xml:space="preserve"> &amp; Binder, 2008; Tovar-Oliva &amp; Tudela, 2024).</w:t>
      </w:r>
    </w:p>
    <w:p w14:paraId="0B608F84" w14:textId="77777777" w:rsidR="00606B00" w:rsidRPr="006B0B80" w:rsidRDefault="00000000" w:rsidP="008C29E6">
      <w:pPr>
        <w:pStyle w:val="BodyText"/>
        <w:jc w:val="both"/>
      </w:pPr>
      <w:r w:rsidRPr="006B0B80">
        <w:t xml:space="preserve">Direct-current deposition can create dense or rough nanostructured coatings, whereas pulsed and pulse-reverse protocols can intermittently relax concentration gradients or strip protruding regions. These strategies can improve feature uniformity, but their benefits are chemistry specific rather than universal. A high instantaneous current pulse may increase nucleation density, yet it can also intensify side reactions or local depletion. Similarly, an additive that suppresses one facet may change incorporation chemistry or induce impurity retention. For electrocatalysts, this coupling is especially problematic because morphology and composition frequently change together; a reported activity improvement cannot then be assigned uniquely to nanoscale architecture (Bernal &amp; </w:t>
      </w:r>
      <w:r w:rsidRPr="006B0B80">
        <w:lastRenderedPageBreak/>
        <w:t xml:space="preserve">Ustarroz, 2021). Reliable </w:t>
      </w:r>
      <w:proofErr w:type="spellStart"/>
      <w:r w:rsidRPr="006B0B80">
        <w:t>optimisation</w:t>
      </w:r>
      <w:proofErr w:type="spellEnd"/>
      <w:r w:rsidRPr="006B0B80">
        <w:t xml:space="preserve"> therefore requires factorial or otherwise discriminating designs that measure deposit composition, roughness and loading alongside electrochemical performance.</w:t>
      </w:r>
    </w:p>
    <w:p w14:paraId="126E6A29" w14:textId="77777777" w:rsidR="00606B00" w:rsidRPr="006B0B80" w:rsidRDefault="00000000" w:rsidP="008C29E6">
      <w:pPr>
        <w:pStyle w:val="BodyText"/>
        <w:jc w:val="both"/>
      </w:pPr>
      <w:r w:rsidRPr="006B0B80">
        <w:t>The strongest advantage of electrodeposition is geometric integration with the current collector. Active material can be grown directly on foams, meshes, patterned electrodes and high-aspect-ratio supports, reducing binder and particle-contact limitations that complicate slurry electrodes. Electrochemical energy research has exploited this to produce nanowires, nanotubes, nanosheets, dendrites and composite architectures (Li et al., 2013). The same integration is valuable in sensors because nanostructured metal electrodes, conductive polymers and deposited recognition layers can be fabricated where transduction occurs (Choi et al., 2023; Tonelli et al., 2019). The limitation is equally direct: substrate conductivity, nucleation chemistry and current distribution become part of the synthesis, so performance demonstrated on an ideal laboratory current collector may not transfer to a flexible, low-cost or large-area substrate.</w:t>
      </w:r>
    </w:p>
    <w:p w14:paraId="30EB6B01" w14:textId="77777777" w:rsidR="00606B00" w:rsidRPr="006B0B80" w:rsidRDefault="00000000" w:rsidP="008C29E6">
      <w:pPr>
        <w:pStyle w:val="Heading2"/>
        <w:jc w:val="both"/>
        <w:rPr>
          <w:color w:val="auto"/>
        </w:rPr>
      </w:pPr>
      <w:r w:rsidRPr="006B0B80">
        <w:rPr>
          <w:color w:val="auto"/>
        </w:rPr>
        <w:t>3.2 Template-Assisted and Confinement-Controlled Deposition</w:t>
      </w:r>
    </w:p>
    <w:p w14:paraId="5274E379" w14:textId="77777777" w:rsidR="00606B00" w:rsidRPr="006B0B80" w:rsidRDefault="00000000" w:rsidP="008C29E6">
      <w:pPr>
        <w:pStyle w:val="BodyText"/>
        <w:jc w:val="both"/>
      </w:pPr>
      <w:r w:rsidRPr="006B0B80">
        <w:t xml:space="preserve">Template synthesis separates two elements of morphological control. The template supplies a predefined channel, pore or cavity, while electrochemistry fills that geometry with a chosen material. Early work established the generality of porous templates for conductive polymers and other nanomaterials (Hulteen &amp; Martin, 1997; Martin, 1995). Modern confinement-controlled electrodeposition extends the concept to metals, alloys and semiconductors in pores whose diameters may be tens of </w:t>
      </w:r>
      <w:proofErr w:type="spellStart"/>
      <w:r w:rsidRPr="006B0B80">
        <w:t>nanometres</w:t>
      </w:r>
      <w:proofErr w:type="spellEnd"/>
      <w:r w:rsidRPr="006B0B80">
        <w:t xml:space="preserve"> while lengths are orders of magnitude greater (</w:t>
      </w:r>
      <w:proofErr w:type="spellStart"/>
      <w:r w:rsidRPr="006B0B80">
        <w:t>Bograchev</w:t>
      </w:r>
      <w:proofErr w:type="spellEnd"/>
      <w:r w:rsidRPr="006B0B80">
        <w:t xml:space="preserve"> et al., 2025). This route is consequently powerful when diameter and aspect ratio must be defined more reliably than spontaneous anisotropic growth would allow.</w:t>
      </w:r>
    </w:p>
    <w:p w14:paraId="69477830" w14:textId="77777777" w:rsidR="00606B00" w:rsidRPr="006B0B80" w:rsidRDefault="00000000" w:rsidP="008C29E6">
      <w:pPr>
        <w:pStyle w:val="BodyText"/>
        <w:jc w:val="both"/>
      </w:pPr>
      <w:r w:rsidRPr="006B0B80">
        <w:t>Geometric certainty does not eliminate electrochemical uncertainty. The entrance of a nanopore and its advancing deposition front experience restricted diffusion, altered electric fields and evolving ionic resistance. In long pores, growth rates can vary from pore to pore because the current distribution and local precursor supply are non-uniform. Complete filling may therefore require conditions that differ from those that produce the desired crystallinity or composition. Template wetting, pore-size distribution and barrier layers can further bias which pores nucleate. These effects make mass-transport modelling and cross-sectional verification important; top-view microscopy alone can substantially overestimate successful filling (</w:t>
      </w:r>
      <w:proofErr w:type="spellStart"/>
      <w:r w:rsidRPr="006B0B80">
        <w:t>Bograchev</w:t>
      </w:r>
      <w:proofErr w:type="spellEnd"/>
      <w:r w:rsidRPr="006B0B80">
        <w:t xml:space="preserve"> et al., 2025).</w:t>
      </w:r>
    </w:p>
    <w:p w14:paraId="75DAC477" w14:textId="77777777" w:rsidR="00606B00" w:rsidRPr="006B0B80" w:rsidRDefault="00000000" w:rsidP="008C29E6">
      <w:pPr>
        <w:pStyle w:val="BodyText"/>
        <w:jc w:val="both"/>
      </w:pPr>
      <w:r w:rsidRPr="006B0B80">
        <w:t>Template removal also changes the manufacturing calculus. Dissolving alumina, polymers or track-etched membranes can expose free-standing nanowires or nanotubes, but adds chemical consumption, washing, breakage risk and waste. Conversely, retaining the template can create a robust composite in which the host provides alignment and mechanical support. The best route therefore depends on whether the application requires isolated particles, an ordered array or an integrated porous electrode. Template methods are most defensible when the geometric function of the template persists into the device, rather than when substantial downstream processing is required simply to recover a morphology that could be obtained by a template-free method.</w:t>
      </w:r>
    </w:p>
    <w:p w14:paraId="64B0132C" w14:textId="77777777" w:rsidR="00606B00" w:rsidRPr="006B0B80" w:rsidRDefault="00000000" w:rsidP="008C29E6">
      <w:pPr>
        <w:pStyle w:val="Heading2"/>
        <w:jc w:val="both"/>
        <w:rPr>
          <w:color w:val="auto"/>
        </w:rPr>
      </w:pPr>
      <w:r w:rsidRPr="006B0B80">
        <w:rPr>
          <w:color w:val="auto"/>
        </w:rPr>
        <w:t>3.3 Anodic Self-</w:t>
      </w:r>
      <w:proofErr w:type="spellStart"/>
      <w:r w:rsidRPr="006B0B80">
        <w:rPr>
          <w:color w:val="auto"/>
        </w:rPr>
        <w:t>Organisation</w:t>
      </w:r>
      <w:proofErr w:type="spellEnd"/>
      <w:r w:rsidRPr="006B0B80">
        <w:rPr>
          <w:color w:val="auto"/>
        </w:rPr>
        <w:t>: Nanopores and Nanotubes</w:t>
      </w:r>
    </w:p>
    <w:p w14:paraId="51DC6842" w14:textId="77777777" w:rsidR="00606B00" w:rsidRPr="006B0B80" w:rsidRDefault="00000000" w:rsidP="008C29E6">
      <w:pPr>
        <w:pStyle w:val="BodyText"/>
        <w:jc w:val="both"/>
      </w:pPr>
      <w:proofErr w:type="spellStart"/>
      <w:r w:rsidRPr="006B0B80">
        <w:t>Anodisation</w:t>
      </w:r>
      <w:proofErr w:type="spellEnd"/>
      <w:r w:rsidRPr="006B0B80">
        <w:t xml:space="preserve"> demonstrates a different form of electrochemical nanomanufacturing because the substrate itself is transformed. In </w:t>
      </w:r>
      <w:proofErr w:type="spellStart"/>
      <w:r w:rsidRPr="006B0B80">
        <w:t>aluminium</w:t>
      </w:r>
      <w:proofErr w:type="spellEnd"/>
      <w:r w:rsidRPr="006B0B80">
        <w:t xml:space="preserve">, competition among oxide formation, field-assisted transport and dissolution can produce ordered porous anodic </w:t>
      </w:r>
      <w:proofErr w:type="spellStart"/>
      <w:r w:rsidRPr="006B0B80">
        <w:t>aluminium</w:t>
      </w:r>
      <w:proofErr w:type="spellEnd"/>
      <w:r w:rsidRPr="006B0B80">
        <w:t xml:space="preserve"> oxide. The two-step </w:t>
      </w:r>
      <w:proofErr w:type="spellStart"/>
      <w:r w:rsidRPr="006B0B80">
        <w:t>anodisation</w:t>
      </w:r>
      <w:proofErr w:type="spellEnd"/>
      <w:r w:rsidRPr="006B0B80">
        <w:t xml:space="preserve"> concept provided a route to ordered pore arrays (Masuda &amp; Fukuda, 1995), and later work identified self-ordering regimes in which interpore distance and porosity follow reproducible relationships under suitable electrolytes and potentials (</w:t>
      </w:r>
      <w:proofErr w:type="spellStart"/>
      <w:r w:rsidRPr="006B0B80">
        <w:t>Nielsch</w:t>
      </w:r>
      <w:proofErr w:type="spellEnd"/>
      <w:r w:rsidRPr="006B0B80">
        <w:t xml:space="preserve"> et al., 2002). Pulse </w:t>
      </w:r>
      <w:proofErr w:type="spellStart"/>
      <w:r w:rsidRPr="006B0B80">
        <w:t>anodisation</w:t>
      </w:r>
      <w:proofErr w:type="spellEnd"/>
      <w:r w:rsidRPr="006B0B80">
        <w:t xml:space="preserve"> further showed that pore architecture can be engineered dynamically, not only by a single fixed voltage (Lee et al., 2008). These developments established anodic oxide as both a functional nanostructure and a template for subsequent deposition.</w:t>
      </w:r>
    </w:p>
    <w:p w14:paraId="0F988DB0" w14:textId="77777777" w:rsidR="00606B00" w:rsidRPr="006B0B80" w:rsidRDefault="00000000" w:rsidP="008C29E6">
      <w:pPr>
        <w:pStyle w:val="BodyText"/>
        <w:jc w:val="both"/>
      </w:pPr>
      <w:r w:rsidRPr="006B0B80">
        <w:t xml:space="preserve">Titanium </w:t>
      </w:r>
      <w:proofErr w:type="spellStart"/>
      <w:r w:rsidRPr="006B0B80">
        <w:t>anodisation</w:t>
      </w:r>
      <w:proofErr w:type="spellEnd"/>
      <w:r w:rsidRPr="006B0B80">
        <w:t xml:space="preserve"> similarly produces TiO2 nanotube arrays, but the morphological phase space is broad because voltage, current density, fluoride content, water content, solvent, temperature and duration jointly </w:t>
      </w:r>
      <w:r w:rsidRPr="006B0B80">
        <w:lastRenderedPageBreak/>
        <w:t>influence oxide formation and dissolution. Reviews of TiO2 nanotubes document the transition from early fluoride-containing aqueous electrolytes to organic media that support longer and more regular tubes (David et al., 2022; Lee et al., 2014; Roy et al., 2011). Small procedural changes can alter tube diameter, wall thickness, length, surface debris and ordering. The literature therefore supports controllability within defined windows rather than a universal mapping from one variable to one dimension.</w:t>
      </w:r>
    </w:p>
    <w:p w14:paraId="6A804704" w14:textId="77777777" w:rsidR="00606B00" w:rsidRPr="006B0B80" w:rsidRDefault="00000000" w:rsidP="008C29E6">
      <w:pPr>
        <w:pStyle w:val="BodyText"/>
        <w:jc w:val="both"/>
      </w:pPr>
      <w:r w:rsidRPr="006B0B80">
        <w:t>The critical advantage of anodic self-</w:t>
      </w:r>
      <w:proofErr w:type="spellStart"/>
      <w:r w:rsidRPr="006B0B80">
        <w:t>organisation</w:t>
      </w:r>
      <w:proofErr w:type="spellEnd"/>
      <w:r w:rsidRPr="006B0B80">
        <w:t xml:space="preserve"> is that vertically aligned oxide nanostructures remain electronically connected to the parent metal, which can benefit </w:t>
      </w:r>
      <w:proofErr w:type="spellStart"/>
      <w:r w:rsidRPr="006B0B80">
        <w:t>photoelectrochemistry</w:t>
      </w:r>
      <w:proofErr w:type="spellEnd"/>
      <w:r w:rsidRPr="006B0B80">
        <w:t xml:space="preserve">, sensing and energy applications. The principal limitation is that the material identity and geometry are constrained by the </w:t>
      </w:r>
      <w:proofErr w:type="spellStart"/>
      <w:r w:rsidRPr="006B0B80">
        <w:t>anodisable</w:t>
      </w:r>
      <w:proofErr w:type="spellEnd"/>
      <w:r w:rsidRPr="006B0B80">
        <w:t xml:space="preserve"> substrate and the stability of the oxide/electrolyte system. Post-</w:t>
      </w:r>
      <w:proofErr w:type="spellStart"/>
      <w:r w:rsidRPr="006B0B80">
        <w:t>anodisation</w:t>
      </w:r>
      <w:proofErr w:type="spellEnd"/>
      <w:r w:rsidRPr="006B0B80">
        <w:t xml:space="preserve"> annealing is often required to obtain desired crystallinity, partly offsetting the low-temperature appeal of the electrochemical step. Surface chemistry after rinsing, ageing and heat treatment can differ from the as-formed state. Accordingly, structure-property claims should distinguish the influence of </w:t>
      </w:r>
      <w:proofErr w:type="spellStart"/>
      <w:r w:rsidRPr="006B0B80">
        <w:t>anodisation</w:t>
      </w:r>
      <w:proofErr w:type="spellEnd"/>
      <w:r w:rsidRPr="006B0B80">
        <w:t xml:space="preserve"> from that of subsequent </w:t>
      </w:r>
      <w:proofErr w:type="spellStart"/>
      <w:r w:rsidRPr="006B0B80">
        <w:t>crystallisation</w:t>
      </w:r>
      <w:proofErr w:type="spellEnd"/>
      <w:r w:rsidRPr="006B0B80">
        <w:t xml:space="preserve"> and </w:t>
      </w:r>
      <w:proofErr w:type="spellStart"/>
      <w:r w:rsidRPr="006B0B80">
        <w:t>functionalisation</w:t>
      </w:r>
      <w:proofErr w:type="spellEnd"/>
      <w:r w:rsidRPr="006B0B80">
        <w:t xml:space="preserve"> (Lee et al., 2014; Roy et al., 2011).</w:t>
      </w:r>
    </w:p>
    <w:p w14:paraId="5631597D" w14:textId="77777777" w:rsidR="00606B00" w:rsidRPr="006B0B80" w:rsidRDefault="00000000" w:rsidP="008C29E6">
      <w:pPr>
        <w:pStyle w:val="Heading2"/>
        <w:jc w:val="both"/>
        <w:rPr>
          <w:color w:val="auto"/>
        </w:rPr>
      </w:pPr>
      <w:r w:rsidRPr="006B0B80">
        <w:rPr>
          <w:color w:val="auto"/>
        </w:rPr>
        <w:t>3.4 Electrochemical Exfoliation of Layered Solids</w:t>
      </w:r>
    </w:p>
    <w:p w14:paraId="3E4305F9" w14:textId="77777777" w:rsidR="00606B00" w:rsidRPr="006B0B80" w:rsidRDefault="00000000" w:rsidP="008C29E6">
      <w:pPr>
        <w:pStyle w:val="BodyText"/>
        <w:jc w:val="both"/>
      </w:pPr>
      <w:r w:rsidRPr="006B0B80">
        <w:t>Electrochemical exfoliation converts a bulk layered electrode into solution-processable nanosheets by driving ions or molecules between layers and, depending on polarity and chemistry, coupling intercalation with gas evolution or redox reactions. Graphite has been the dominant model system because it is conductive, readily available and structurally layered. Aqueous inorganic salt systems demonstrated rapid production of few-layer graphene with large lateral dimensions without the heavy oxidation characteristic of classical graphite oxide routes (Parvez et al., 2014). Organic-radical-assisted strategies showed that controlling reactive intermediates can reduce defect formation and improve the quality-yield balance (Yang et al., 2015).</w:t>
      </w:r>
    </w:p>
    <w:p w14:paraId="2C48FB13" w14:textId="77777777" w:rsidR="00606B00" w:rsidRPr="006B0B80" w:rsidRDefault="00000000" w:rsidP="008C29E6">
      <w:pPr>
        <w:pStyle w:val="BodyText"/>
        <w:jc w:val="both"/>
      </w:pPr>
      <w:r w:rsidRPr="006B0B80">
        <w:t xml:space="preserve">The route is attractive because an applied potential provides a tunable driving force and production can be substantially faster than mechanical exfoliation. Nevertheless, yield, layer number, lateral size and defect density are not independent outputs. Aggressive intercalation and gas generation accelerate delamination but can </w:t>
      </w:r>
      <w:proofErr w:type="spellStart"/>
      <w:r w:rsidRPr="006B0B80">
        <w:t>oxidise</w:t>
      </w:r>
      <w:proofErr w:type="spellEnd"/>
      <w:r w:rsidRPr="006B0B80">
        <w:t xml:space="preserve"> edges, fragment sheets or introduce functional groups. Reviews of graphene exfoliation consequently report a process landscape rather than one optimum method (Abdelkader et al., 2015; Liu et al., 2019; Yu et al., 2015). The most recent synthesis literature similarly </w:t>
      </w:r>
      <w:proofErr w:type="spellStart"/>
      <w:r w:rsidRPr="006B0B80">
        <w:t>emphasises</w:t>
      </w:r>
      <w:proofErr w:type="spellEnd"/>
      <w:r w:rsidRPr="006B0B80">
        <w:t xml:space="preserve"> tunable architecture and functional derivatives, reflecting the fact that surface chemistry may be a product feature rather than simply a defect (Lim et al., 2026).</w:t>
      </w:r>
    </w:p>
    <w:p w14:paraId="06D4C4AC" w14:textId="77777777" w:rsidR="00606B00" w:rsidRPr="006B0B80" w:rsidRDefault="00000000" w:rsidP="008C29E6">
      <w:pPr>
        <w:pStyle w:val="BodyText"/>
        <w:jc w:val="both"/>
      </w:pPr>
      <w:r w:rsidRPr="006B0B80">
        <w:t xml:space="preserve">Extension beyond graphite is conceptually important but more demanding. Transition-metal dichalcogenides, layered pnictogens, </w:t>
      </w:r>
      <w:proofErr w:type="spellStart"/>
      <w:r w:rsidRPr="006B0B80">
        <w:t>Xenes</w:t>
      </w:r>
      <w:proofErr w:type="spellEnd"/>
      <w:r w:rsidRPr="006B0B80">
        <w:t xml:space="preserve"> and other two-dimensional materials differ in conductivity, interlayer chemistry, susceptibility to oxidation and stability in aqueous environments. Electrochemical exfoliation can provide scalable access to a wider family of nanosheets, yet electrochemical windows and intercalant selection become material-specific (Yang et al., 2019; Zhao et al., 2024). Claims of a generic green or universal method should therefore be treated cautiously. A process that avoids a strong chemical oxidant may still require concentrated salts, organic electrolytes, purification and energy-intensive drying, and an exfoliation condition that is benign for graphite may irreversibly alter another layered solid.</w:t>
      </w:r>
    </w:p>
    <w:p w14:paraId="2B89B9E0" w14:textId="77777777" w:rsidR="00606B00" w:rsidRPr="006B0B80" w:rsidRDefault="00000000" w:rsidP="008C29E6">
      <w:pPr>
        <w:pStyle w:val="Heading2"/>
        <w:jc w:val="both"/>
        <w:rPr>
          <w:color w:val="auto"/>
        </w:rPr>
      </w:pPr>
      <w:r w:rsidRPr="006B0B80">
        <w:rPr>
          <w:color w:val="auto"/>
        </w:rPr>
        <w:t>3.5 Electrochemical Dealloying and Selective Dissolution</w:t>
      </w:r>
    </w:p>
    <w:p w14:paraId="5DAC937A" w14:textId="77777777" w:rsidR="00606B00" w:rsidRPr="006B0B80" w:rsidRDefault="00000000" w:rsidP="008C29E6">
      <w:pPr>
        <w:pStyle w:val="BodyText"/>
        <w:jc w:val="both"/>
      </w:pPr>
      <w:r w:rsidRPr="006B0B80">
        <w:t xml:space="preserve">Dealloying uses selective removal rather than additive growth to generate nanoscale porosity. The modern mechanistic picture emerged from studies showing that dissolution of the less noble component can be coupled to surface diffusion and </w:t>
      </w:r>
      <w:proofErr w:type="spellStart"/>
      <w:r w:rsidRPr="006B0B80">
        <w:t>reorganisation</w:t>
      </w:r>
      <w:proofErr w:type="spellEnd"/>
      <w:r w:rsidRPr="006B0B80">
        <w:t xml:space="preserve"> of the retained component, producing an interconnected ligament-pore network (</w:t>
      </w:r>
      <w:proofErr w:type="spellStart"/>
      <w:r w:rsidRPr="006B0B80">
        <w:t>Erlebacher</w:t>
      </w:r>
      <w:proofErr w:type="spellEnd"/>
      <w:r w:rsidRPr="006B0B80">
        <w:t xml:space="preserve"> et al., 2001). Unlike a template, the pore topology evolves from the precursor alloy and electrochemical dissolution dynamics. This produces mechanically continuous nanoporous metals with high accessible area and conductivity, making dealloying attractive for electrocatalysis, sensing and energy storage (Sang et al., 2022).</w:t>
      </w:r>
    </w:p>
    <w:p w14:paraId="40A285A3" w14:textId="77777777" w:rsidR="00606B00" w:rsidRPr="006B0B80" w:rsidRDefault="00000000" w:rsidP="008C29E6">
      <w:pPr>
        <w:pStyle w:val="BodyText"/>
        <w:jc w:val="both"/>
      </w:pPr>
      <w:r w:rsidRPr="006B0B80">
        <w:lastRenderedPageBreak/>
        <w:t xml:space="preserve">Electrochemical dealloying offers control through potential, electrolyte, time and precursor composition, but the variables again act together. More extensive dissolution can increase porosity while changing residual composition, surface segregation and ligament coarsening. </w:t>
      </w:r>
      <w:proofErr w:type="spellStart"/>
      <w:r w:rsidRPr="006B0B80">
        <w:t>Rurainsky</w:t>
      </w:r>
      <w:proofErr w:type="spellEnd"/>
      <w:r w:rsidRPr="006B0B80">
        <w:t xml:space="preserve"> et al. demonstrated that electrochemical dealloying of nanoparticles can tune porosity, composition and catalytic activity, while also </w:t>
      </w:r>
      <w:proofErr w:type="spellStart"/>
      <w:r w:rsidRPr="006B0B80">
        <w:t>emphasising</w:t>
      </w:r>
      <w:proofErr w:type="spellEnd"/>
      <w:r w:rsidRPr="006B0B80">
        <w:t xml:space="preserve"> that desired outcomes are difficult to select by simple trial and error because morphology and chemistry evolve simultaneously (</w:t>
      </w:r>
      <w:proofErr w:type="spellStart"/>
      <w:r w:rsidRPr="006B0B80">
        <w:t>Rurainsky</w:t>
      </w:r>
      <w:proofErr w:type="spellEnd"/>
      <w:r w:rsidRPr="006B0B80">
        <w:t xml:space="preserve"> et al., 2020). This is a central caution for interpretation: higher current after dealloying can arise from greater area, changed alloy composition, altered strain or a different surface oxide state.</w:t>
      </w:r>
    </w:p>
    <w:p w14:paraId="35EDA1A5" w14:textId="77777777" w:rsidR="00606B00" w:rsidRPr="006B0B80" w:rsidRDefault="00000000" w:rsidP="008C29E6">
      <w:pPr>
        <w:pStyle w:val="BodyText"/>
        <w:jc w:val="both"/>
      </w:pPr>
      <w:r w:rsidRPr="006B0B80">
        <w:t xml:space="preserve">Recent work extends selective dissolution beyond conventional three-dimensional nanoporous metals. Electrochemical top-down processing of non-layered alloy precursors has been used to create nanoporous iridium nanosheets, showing that dealloying can generate low-dimensional morphologies not available by simple exfoliation (Chatterjee et al., 2024). Such demonstrations expand the design space, but throughput and precious-metal </w:t>
      </w:r>
      <w:proofErr w:type="spellStart"/>
      <w:r w:rsidRPr="006B0B80">
        <w:t>utilisation</w:t>
      </w:r>
      <w:proofErr w:type="spellEnd"/>
      <w:r w:rsidRPr="006B0B80">
        <w:t xml:space="preserve"> remain application-dependent. The most transferable insight is that precursor design is part of the nanomanufacturing process. A </w:t>
      </w:r>
      <w:proofErr w:type="spellStart"/>
      <w:r w:rsidRPr="006B0B80">
        <w:t>dealloyed</w:t>
      </w:r>
      <w:proofErr w:type="spellEnd"/>
      <w:r w:rsidRPr="006B0B80">
        <w:t xml:space="preserve"> product cannot be evaluated independently of alloy homogeneity, phase distribution and the electrochemical selectivity that determines what is removed.</w:t>
      </w:r>
    </w:p>
    <w:p w14:paraId="785F1233" w14:textId="77777777" w:rsidR="00606B00" w:rsidRPr="006B0B80" w:rsidRDefault="00000000" w:rsidP="008C29E6">
      <w:pPr>
        <w:pStyle w:val="Heading2"/>
        <w:jc w:val="both"/>
        <w:rPr>
          <w:color w:val="auto"/>
        </w:rPr>
      </w:pPr>
      <w:r w:rsidRPr="006B0B80">
        <w:rPr>
          <w:color w:val="auto"/>
        </w:rPr>
        <w:t>3.6 Continuous Electrosynthesis and Manufacturing-Oriented Routes</w:t>
      </w:r>
    </w:p>
    <w:p w14:paraId="724A37DE" w14:textId="77777777" w:rsidR="00606B00" w:rsidRPr="006B0B80" w:rsidRDefault="00000000" w:rsidP="008C29E6">
      <w:pPr>
        <w:pStyle w:val="BodyText"/>
        <w:jc w:val="both"/>
      </w:pPr>
      <w:r w:rsidRPr="006B0B80">
        <w:t>A recurring criticism of electrochemical nanomaterials synthesis is that many methods deposit material on a fixed substrate rather than deliver recoverable nanoparticles. Continuous rotating electrodeposition and separation addresses this by depositing particles on a moving metallic surface and mechanically harvesting them. The reported process produced elemental metals, alloys and oxides and was integrated with conducting-ink and printed-device demonstrations (Huang et al., 2020). Its significance is broader than the specific particle library: it converts electrodeposition from a coating operation into a continuous particle-manufacturing concept.</w:t>
      </w:r>
    </w:p>
    <w:p w14:paraId="244E3DE8" w14:textId="77777777" w:rsidR="00606B00" w:rsidRPr="006B0B80" w:rsidRDefault="00000000" w:rsidP="008C29E6">
      <w:pPr>
        <w:pStyle w:val="BodyText"/>
        <w:jc w:val="both"/>
      </w:pPr>
      <w:r w:rsidRPr="006B0B80">
        <w:t xml:space="preserve">Continuous operation changes the relevant control variables. Residence time, electrode speed, shear, interfacial renewal, harvest efficiency and electrolyte replenishment become as important as voltage or current. These variables can </w:t>
      </w:r>
      <w:proofErr w:type="spellStart"/>
      <w:r w:rsidRPr="006B0B80">
        <w:t>stabilise</w:t>
      </w:r>
      <w:proofErr w:type="spellEnd"/>
      <w:r w:rsidRPr="006B0B80">
        <w:t xml:space="preserve"> a steady process window, but they also create new sources of size dispersion. Industrial relevance must therefore be evaluated with yield, precursor </w:t>
      </w:r>
      <w:proofErr w:type="spellStart"/>
      <w:r w:rsidRPr="006B0B80">
        <w:t>utilisation</w:t>
      </w:r>
      <w:proofErr w:type="spellEnd"/>
      <w:r w:rsidRPr="006B0B80">
        <w:t>, electrode lifetime, electrolyte recycling and energy per mass of product, not only particle size and laboratory electrochemical performance. Claims of low-cost or green production are strongest when supported by system boundaries that include separation and purification rather than only the electrolysis step.</w:t>
      </w:r>
    </w:p>
    <w:p w14:paraId="68A9A34D" w14:textId="77777777" w:rsidR="00606B00" w:rsidRPr="006B0B80" w:rsidRDefault="00000000" w:rsidP="008C29E6">
      <w:pPr>
        <w:pStyle w:val="BodyText"/>
        <w:jc w:val="both"/>
      </w:pPr>
      <w:r w:rsidRPr="006B0B80">
        <w:t xml:space="preserve">The evidence across production routes supports a general principle: electrochemical methods are most powerful when electrical control is aligned with a physical mechanism that constrains where material forms or disappears. Electrodeposition controls interfacial growth, templates constrain geometry, </w:t>
      </w:r>
      <w:proofErr w:type="spellStart"/>
      <w:r w:rsidRPr="006B0B80">
        <w:t>anodisation</w:t>
      </w:r>
      <w:proofErr w:type="spellEnd"/>
      <w:r w:rsidRPr="006B0B80">
        <w:t xml:space="preserve"> </w:t>
      </w:r>
      <w:proofErr w:type="gramStart"/>
      <w:r w:rsidRPr="006B0B80">
        <w:t>couples</w:t>
      </w:r>
      <w:proofErr w:type="gramEnd"/>
      <w:r w:rsidRPr="006B0B80">
        <w:t xml:space="preserve"> field and dissolution, exfoliation exploits layered precursors, and dealloying exploits selective dissolution. When that mechanistic alignment is weak, increasingly elaborate waveforms or electrolyte recipes may </w:t>
      </w:r>
      <w:proofErr w:type="spellStart"/>
      <w:r w:rsidRPr="006B0B80">
        <w:t>optimise</w:t>
      </w:r>
      <w:proofErr w:type="spellEnd"/>
      <w:r w:rsidRPr="006B0B80">
        <w:t xml:space="preserve"> a narrow laboratory response without producing transferable understanding. Process development should therefore begin from the rate-limiting mechanism and the intended product form, then choose the electrical control mode around them rather than treating potential or current as independent morphological knobs (Bernal &amp; Ustarroz, 2021; </w:t>
      </w:r>
      <w:proofErr w:type="spellStart"/>
      <w:r w:rsidRPr="006B0B80">
        <w:t>Bograchev</w:t>
      </w:r>
      <w:proofErr w:type="spellEnd"/>
      <w:r w:rsidRPr="006B0B80">
        <w:t xml:space="preserve"> et al., 2025; Tovar-Oliva &amp; Tudela, 2024).</w:t>
      </w:r>
    </w:p>
    <w:p w14:paraId="4EEABFC0" w14:textId="77777777" w:rsidR="00606B00" w:rsidRPr="006B0B80" w:rsidRDefault="00000000" w:rsidP="008C29E6">
      <w:pPr>
        <w:pStyle w:val="BodyText"/>
        <w:jc w:val="both"/>
      </w:pPr>
      <w:r w:rsidRPr="006B0B80">
        <w:t xml:space="preserve">Table 1 compares the principal production routes on this mechanistic basis. The comparison shows that no method dominates simultaneously in compositional freedom, geometry control, substrate independence and recoverable throughput. The most controllable nanostructures tend to inherit constraints from a template, substrate or precursor, whereas more scalable particle routes relinquish some local structural determinism. This trade-off should be made explicit when a production method is selected for an application rather than inferred after a </w:t>
      </w:r>
      <w:proofErr w:type="spellStart"/>
      <w:r w:rsidRPr="006B0B80">
        <w:t>favourable</w:t>
      </w:r>
      <w:proofErr w:type="spellEnd"/>
      <w:r w:rsidRPr="006B0B80">
        <w:t xml:space="preserve"> morphology has been obtained.</w:t>
      </w:r>
    </w:p>
    <w:p w14:paraId="1ECB0F7B" w14:textId="77777777" w:rsidR="00606B00" w:rsidRPr="006B0B80" w:rsidRDefault="00000000" w:rsidP="008C29E6">
      <w:pPr>
        <w:pStyle w:val="TableCaption"/>
        <w:keepNext/>
        <w:keepLines/>
        <w:jc w:val="both"/>
      </w:pPr>
      <w:r w:rsidRPr="006B0B80">
        <w:lastRenderedPageBreak/>
        <w:t>Table 1. Comparative characteristics of major electrochemical nanomaterial production routes</w:t>
      </w:r>
    </w:p>
    <w:tbl>
      <w:tblPr>
        <w:tblStyle w:val="TableGrid"/>
        <w:tblW w:w="0" w:type="auto"/>
        <w:jc w:val="center"/>
        <w:tblLayout w:type="fixed"/>
        <w:tblLook w:val="04A0" w:firstRow="1" w:lastRow="0" w:firstColumn="1" w:lastColumn="0" w:noHBand="0" w:noVBand="1"/>
      </w:tblPr>
      <w:tblGrid>
        <w:gridCol w:w="2016"/>
        <w:gridCol w:w="2016"/>
        <w:gridCol w:w="2016"/>
        <w:gridCol w:w="3125"/>
        <w:gridCol w:w="2016"/>
      </w:tblGrid>
      <w:tr w:rsidR="006B0B80" w:rsidRPr="006B0B80" w14:paraId="017163C4" w14:textId="77777777" w:rsidTr="006B0B80">
        <w:trPr>
          <w:cantSplit/>
          <w:tblHeader/>
          <w:jc w:val="center"/>
        </w:trPr>
        <w:tc>
          <w:tcPr>
            <w:tcW w:w="1469" w:type="dxa"/>
            <w:tcMar>
              <w:top w:w="70" w:type="dxa"/>
              <w:left w:w="80" w:type="dxa"/>
              <w:bottom w:w="70" w:type="dxa"/>
              <w:right w:w="80" w:type="dxa"/>
            </w:tcMar>
            <w:vAlign w:val="center"/>
          </w:tcPr>
          <w:p w14:paraId="6F1D9648" w14:textId="77777777" w:rsidR="00606B00" w:rsidRPr="006B0B80" w:rsidRDefault="00000000" w:rsidP="008C29E6">
            <w:pPr>
              <w:jc w:val="both"/>
            </w:pPr>
            <w:r w:rsidRPr="006B0B80">
              <w:rPr>
                <w:rFonts w:ascii="Arial" w:hAnsi="Arial"/>
                <w:b/>
                <w:sz w:val="17"/>
              </w:rPr>
              <w:t>Route</w:t>
            </w:r>
          </w:p>
        </w:tc>
        <w:tc>
          <w:tcPr>
            <w:tcW w:w="1800" w:type="dxa"/>
            <w:tcMar>
              <w:top w:w="70" w:type="dxa"/>
              <w:left w:w="80" w:type="dxa"/>
              <w:bottom w:w="70" w:type="dxa"/>
              <w:right w:w="80" w:type="dxa"/>
            </w:tcMar>
            <w:vAlign w:val="center"/>
          </w:tcPr>
          <w:p w14:paraId="5D1B35A0" w14:textId="77777777" w:rsidR="00606B00" w:rsidRPr="006B0B80" w:rsidRDefault="00000000" w:rsidP="008C29E6">
            <w:pPr>
              <w:jc w:val="both"/>
            </w:pPr>
            <w:r w:rsidRPr="006B0B80">
              <w:rPr>
                <w:rFonts w:ascii="Arial" w:hAnsi="Arial"/>
                <w:b/>
                <w:sz w:val="17"/>
              </w:rPr>
              <w:t>Primary electrochemical control</w:t>
            </w:r>
          </w:p>
        </w:tc>
        <w:tc>
          <w:tcPr>
            <w:tcW w:w="1872" w:type="dxa"/>
            <w:tcMar>
              <w:top w:w="70" w:type="dxa"/>
              <w:left w:w="80" w:type="dxa"/>
              <w:bottom w:w="70" w:type="dxa"/>
              <w:right w:w="80" w:type="dxa"/>
            </w:tcMar>
            <w:vAlign w:val="center"/>
          </w:tcPr>
          <w:p w14:paraId="77E5237F" w14:textId="77777777" w:rsidR="00606B00" w:rsidRPr="006B0B80" w:rsidRDefault="00000000" w:rsidP="008C29E6">
            <w:pPr>
              <w:jc w:val="both"/>
            </w:pPr>
            <w:r w:rsidRPr="006B0B80">
              <w:rPr>
                <w:rFonts w:ascii="Arial" w:hAnsi="Arial"/>
                <w:b/>
                <w:sz w:val="17"/>
              </w:rPr>
              <w:t>Typical nanoscale output</w:t>
            </w:r>
          </w:p>
        </w:tc>
        <w:tc>
          <w:tcPr>
            <w:tcW w:w="3125" w:type="dxa"/>
            <w:tcMar>
              <w:top w:w="70" w:type="dxa"/>
              <w:left w:w="80" w:type="dxa"/>
              <w:bottom w:w="70" w:type="dxa"/>
              <w:right w:w="80" w:type="dxa"/>
            </w:tcMar>
            <w:vAlign w:val="center"/>
          </w:tcPr>
          <w:p w14:paraId="2C8FC051" w14:textId="77777777" w:rsidR="00606B00" w:rsidRPr="006B0B80" w:rsidRDefault="00000000" w:rsidP="008C29E6">
            <w:pPr>
              <w:jc w:val="both"/>
            </w:pPr>
            <w:r w:rsidRPr="006B0B80">
              <w:rPr>
                <w:rFonts w:ascii="Arial" w:hAnsi="Arial"/>
                <w:b/>
                <w:sz w:val="17"/>
              </w:rPr>
              <w:t>Critical strength and limitation</w:t>
            </w:r>
          </w:p>
        </w:tc>
        <w:tc>
          <w:tcPr>
            <w:tcW w:w="1728" w:type="dxa"/>
            <w:tcMar>
              <w:top w:w="70" w:type="dxa"/>
              <w:left w:w="80" w:type="dxa"/>
              <w:bottom w:w="70" w:type="dxa"/>
              <w:right w:w="80" w:type="dxa"/>
            </w:tcMar>
            <w:vAlign w:val="center"/>
          </w:tcPr>
          <w:p w14:paraId="21D19C99" w14:textId="77777777" w:rsidR="00606B00" w:rsidRPr="006B0B80" w:rsidRDefault="00000000" w:rsidP="008C29E6">
            <w:pPr>
              <w:jc w:val="both"/>
            </w:pPr>
            <w:r w:rsidRPr="006B0B80">
              <w:rPr>
                <w:rFonts w:ascii="Arial" w:hAnsi="Arial"/>
                <w:b/>
                <w:sz w:val="17"/>
              </w:rPr>
              <w:t>Supporting references</w:t>
            </w:r>
          </w:p>
        </w:tc>
      </w:tr>
      <w:tr w:rsidR="006B0B80" w:rsidRPr="006B0B80" w14:paraId="7308E503" w14:textId="77777777" w:rsidTr="006B0B80">
        <w:trPr>
          <w:cantSplit/>
          <w:jc w:val="center"/>
        </w:trPr>
        <w:tc>
          <w:tcPr>
            <w:tcW w:w="2016" w:type="dxa"/>
            <w:tcMar>
              <w:top w:w="70" w:type="dxa"/>
              <w:left w:w="80" w:type="dxa"/>
              <w:bottom w:w="70" w:type="dxa"/>
              <w:right w:w="80" w:type="dxa"/>
            </w:tcMar>
            <w:vAlign w:val="center"/>
          </w:tcPr>
          <w:p w14:paraId="760D02EF" w14:textId="77777777" w:rsidR="00606B00" w:rsidRPr="006B0B80" w:rsidRDefault="00000000" w:rsidP="008C29E6">
            <w:pPr>
              <w:jc w:val="both"/>
            </w:pPr>
            <w:r w:rsidRPr="006B0B80">
              <w:rPr>
                <w:rFonts w:ascii="Arial" w:hAnsi="Arial"/>
                <w:sz w:val="17"/>
              </w:rPr>
              <w:t xml:space="preserve">Electrodeposition / </w:t>
            </w:r>
            <w:proofErr w:type="spellStart"/>
            <w:r w:rsidRPr="006B0B80">
              <w:rPr>
                <w:rFonts w:ascii="Arial" w:hAnsi="Arial"/>
                <w:sz w:val="17"/>
              </w:rPr>
              <w:t>electrocrystallisation</w:t>
            </w:r>
            <w:proofErr w:type="spellEnd"/>
          </w:p>
        </w:tc>
        <w:tc>
          <w:tcPr>
            <w:tcW w:w="2016" w:type="dxa"/>
            <w:tcMar>
              <w:top w:w="70" w:type="dxa"/>
              <w:left w:w="80" w:type="dxa"/>
              <w:bottom w:w="70" w:type="dxa"/>
              <w:right w:w="80" w:type="dxa"/>
            </w:tcMar>
            <w:vAlign w:val="center"/>
          </w:tcPr>
          <w:p w14:paraId="6C367585" w14:textId="77777777" w:rsidR="00606B00" w:rsidRPr="006B0B80" w:rsidRDefault="00000000" w:rsidP="008C29E6">
            <w:pPr>
              <w:jc w:val="both"/>
            </w:pPr>
            <w:r w:rsidRPr="006B0B80">
              <w:rPr>
                <w:rFonts w:ascii="Arial" w:hAnsi="Arial"/>
                <w:sz w:val="17"/>
              </w:rPr>
              <w:t>Potential, current waveform, bath chemistry and mass transport</w:t>
            </w:r>
          </w:p>
        </w:tc>
        <w:tc>
          <w:tcPr>
            <w:tcW w:w="2016" w:type="dxa"/>
            <w:tcMar>
              <w:top w:w="70" w:type="dxa"/>
              <w:left w:w="80" w:type="dxa"/>
              <w:bottom w:w="70" w:type="dxa"/>
              <w:right w:w="80" w:type="dxa"/>
            </w:tcMar>
            <w:vAlign w:val="center"/>
          </w:tcPr>
          <w:p w14:paraId="00476DE0" w14:textId="77777777" w:rsidR="00606B00" w:rsidRPr="006B0B80" w:rsidRDefault="00000000" w:rsidP="008C29E6">
            <w:pPr>
              <w:jc w:val="both"/>
            </w:pPr>
            <w:r w:rsidRPr="006B0B80">
              <w:rPr>
                <w:rFonts w:ascii="Arial" w:hAnsi="Arial"/>
                <w:sz w:val="17"/>
              </w:rPr>
              <w:t>Nanoparticles, films, dendrites, nanowires, nanosheets and composites</w:t>
            </w:r>
          </w:p>
        </w:tc>
        <w:tc>
          <w:tcPr>
            <w:tcW w:w="2016" w:type="dxa"/>
            <w:tcMar>
              <w:top w:w="70" w:type="dxa"/>
              <w:left w:w="80" w:type="dxa"/>
              <w:bottom w:w="70" w:type="dxa"/>
              <w:right w:w="80" w:type="dxa"/>
            </w:tcMar>
            <w:vAlign w:val="center"/>
          </w:tcPr>
          <w:p w14:paraId="4F4ED5E8" w14:textId="77777777" w:rsidR="00606B00" w:rsidRPr="006B0B80" w:rsidRDefault="00000000" w:rsidP="008C29E6">
            <w:pPr>
              <w:jc w:val="both"/>
            </w:pPr>
            <w:r w:rsidRPr="006B0B80">
              <w:rPr>
                <w:rFonts w:ascii="Arial" w:hAnsi="Arial"/>
                <w:sz w:val="17"/>
              </w:rPr>
              <w:t>Direct growth on current collectors and broad chemistry; morphology, composition and side reactions are strongly coupled</w:t>
            </w:r>
          </w:p>
        </w:tc>
        <w:tc>
          <w:tcPr>
            <w:tcW w:w="2016" w:type="dxa"/>
            <w:tcMar>
              <w:top w:w="70" w:type="dxa"/>
              <w:left w:w="80" w:type="dxa"/>
              <w:bottom w:w="70" w:type="dxa"/>
              <w:right w:w="80" w:type="dxa"/>
            </w:tcMar>
            <w:vAlign w:val="center"/>
          </w:tcPr>
          <w:p w14:paraId="1E711394" w14:textId="77777777" w:rsidR="00606B00" w:rsidRPr="006B0B80" w:rsidRDefault="00000000" w:rsidP="008C29E6">
            <w:pPr>
              <w:jc w:val="both"/>
            </w:pPr>
            <w:r w:rsidRPr="006B0B80">
              <w:rPr>
                <w:rFonts w:ascii="Arial" w:hAnsi="Arial"/>
                <w:sz w:val="17"/>
              </w:rPr>
              <w:t xml:space="preserve">(Bernal &amp; Ustarroz, 2021; </w:t>
            </w:r>
            <w:proofErr w:type="spellStart"/>
            <w:r w:rsidRPr="006B0B80">
              <w:rPr>
                <w:rFonts w:ascii="Arial" w:hAnsi="Arial"/>
                <w:sz w:val="17"/>
              </w:rPr>
              <w:t>Gurrappa</w:t>
            </w:r>
            <w:proofErr w:type="spellEnd"/>
            <w:r w:rsidRPr="006B0B80">
              <w:rPr>
                <w:rFonts w:ascii="Arial" w:hAnsi="Arial"/>
                <w:sz w:val="17"/>
              </w:rPr>
              <w:t xml:space="preserve"> &amp; Binder, 2008; Tovar-Oliva &amp; Tudela, 2024)</w:t>
            </w:r>
          </w:p>
        </w:tc>
      </w:tr>
      <w:tr w:rsidR="006B0B80" w:rsidRPr="006B0B80" w14:paraId="26F8E05A" w14:textId="77777777" w:rsidTr="006B0B80">
        <w:trPr>
          <w:cantSplit/>
          <w:jc w:val="center"/>
        </w:trPr>
        <w:tc>
          <w:tcPr>
            <w:tcW w:w="2016" w:type="dxa"/>
            <w:tcMar>
              <w:top w:w="70" w:type="dxa"/>
              <w:left w:w="80" w:type="dxa"/>
              <w:bottom w:w="70" w:type="dxa"/>
              <w:right w:w="80" w:type="dxa"/>
            </w:tcMar>
            <w:vAlign w:val="center"/>
          </w:tcPr>
          <w:p w14:paraId="37469289" w14:textId="77777777" w:rsidR="00606B00" w:rsidRPr="006B0B80" w:rsidRDefault="00000000" w:rsidP="008C29E6">
            <w:pPr>
              <w:jc w:val="both"/>
            </w:pPr>
            <w:r w:rsidRPr="006B0B80">
              <w:rPr>
                <w:rFonts w:ascii="Arial" w:hAnsi="Arial"/>
                <w:sz w:val="17"/>
              </w:rPr>
              <w:t>Template-assisted electrodeposition</w:t>
            </w:r>
          </w:p>
        </w:tc>
        <w:tc>
          <w:tcPr>
            <w:tcW w:w="2016" w:type="dxa"/>
            <w:tcMar>
              <w:top w:w="70" w:type="dxa"/>
              <w:left w:w="80" w:type="dxa"/>
              <w:bottom w:w="70" w:type="dxa"/>
              <w:right w:w="80" w:type="dxa"/>
            </w:tcMar>
            <w:vAlign w:val="center"/>
          </w:tcPr>
          <w:p w14:paraId="297061B8" w14:textId="77777777" w:rsidR="00606B00" w:rsidRPr="006B0B80" w:rsidRDefault="00000000" w:rsidP="008C29E6">
            <w:pPr>
              <w:jc w:val="both"/>
            </w:pPr>
            <w:r w:rsidRPr="006B0B80">
              <w:rPr>
                <w:rFonts w:ascii="Arial" w:hAnsi="Arial"/>
                <w:sz w:val="17"/>
              </w:rPr>
              <w:t>Deposition within pre-defined pores or channels</w:t>
            </w:r>
          </w:p>
        </w:tc>
        <w:tc>
          <w:tcPr>
            <w:tcW w:w="2016" w:type="dxa"/>
            <w:tcMar>
              <w:top w:w="70" w:type="dxa"/>
              <w:left w:w="80" w:type="dxa"/>
              <w:bottom w:w="70" w:type="dxa"/>
              <w:right w:w="80" w:type="dxa"/>
            </w:tcMar>
            <w:vAlign w:val="center"/>
          </w:tcPr>
          <w:p w14:paraId="5761A26A" w14:textId="77777777" w:rsidR="00606B00" w:rsidRPr="006B0B80" w:rsidRDefault="00000000" w:rsidP="008C29E6">
            <w:pPr>
              <w:jc w:val="both"/>
            </w:pPr>
            <w:r w:rsidRPr="006B0B80">
              <w:rPr>
                <w:rFonts w:ascii="Arial" w:hAnsi="Arial"/>
                <w:sz w:val="17"/>
              </w:rPr>
              <w:t>High-aspect-ratio nanowires, nanotubes and ordered arrays</w:t>
            </w:r>
          </w:p>
        </w:tc>
        <w:tc>
          <w:tcPr>
            <w:tcW w:w="2016" w:type="dxa"/>
            <w:tcMar>
              <w:top w:w="70" w:type="dxa"/>
              <w:left w:w="80" w:type="dxa"/>
              <w:bottom w:w="70" w:type="dxa"/>
              <w:right w:w="80" w:type="dxa"/>
            </w:tcMar>
            <w:vAlign w:val="center"/>
          </w:tcPr>
          <w:p w14:paraId="57A09CCA" w14:textId="77777777" w:rsidR="00606B00" w:rsidRPr="006B0B80" w:rsidRDefault="00000000" w:rsidP="008C29E6">
            <w:pPr>
              <w:jc w:val="both"/>
            </w:pPr>
            <w:r w:rsidRPr="006B0B80">
              <w:rPr>
                <w:rFonts w:ascii="Arial" w:hAnsi="Arial"/>
                <w:sz w:val="17"/>
              </w:rPr>
              <w:t>Strong geometric constraint; pore transport, filling uniformity and template removal can limit throughput</w:t>
            </w:r>
          </w:p>
        </w:tc>
        <w:tc>
          <w:tcPr>
            <w:tcW w:w="2016" w:type="dxa"/>
            <w:tcMar>
              <w:top w:w="70" w:type="dxa"/>
              <w:left w:w="80" w:type="dxa"/>
              <w:bottom w:w="70" w:type="dxa"/>
              <w:right w:w="80" w:type="dxa"/>
            </w:tcMar>
            <w:vAlign w:val="center"/>
          </w:tcPr>
          <w:p w14:paraId="47ABDAE2" w14:textId="77777777" w:rsidR="00606B00" w:rsidRPr="006B0B80" w:rsidRDefault="00000000" w:rsidP="008C29E6">
            <w:pPr>
              <w:jc w:val="both"/>
            </w:pPr>
            <w:r w:rsidRPr="006B0B80">
              <w:rPr>
                <w:rFonts w:ascii="Arial" w:hAnsi="Arial"/>
                <w:sz w:val="17"/>
              </w:rPr>
              <w:t>(</w:t>
            </w:r>
            <w:proofErr w:type="spellStart"/>
            <w:r w:rsidRPr="006B0B80">
              <w:rPr>
                <w:rFonts w:ascii="Arial" w:hAnsi="Arial"/>
                <w:sz w:val="17"/>
              </w:rPr>
              <w:t>Bograchev</w:t>
            </w:r>
            <w:proofErr w:type="spellEnd"/>
            <w:r w:rsidRPr="006B0B80">
              <w:rPr>
                <w:rFonts w:ascii="Arial" w:hAnsi="Arial"/>
                <w:sz w:val="17"/>
              </w:rPr>
              <w:t xml:space="preserve"> et al., 2025; Hulteen &amp; Martin, 1997; Martin, 1995)</w:t>
            </w:r>
          </w:p>
        </w:tc>
      </w:tr>
      <w:tr w:rsidR="006B0B80" w:rsidRPr="00D77772" w14:paraId="440A9D03" w14:textId="77777777" w:rsidTr="006B0B80">
        <w:trPr>
          <w:cantSplit/>
          <w:jc w:val="center"/>
        </w:trPr>
        <w:tc>
          <w:tcPr>
            <w:tcW w:w="2016" w:type="dxa"/>
            <w:tcMar>
              <w:top w:w="70" w:type="dxa"/>
              <w:left w:w="80" w:type="dxa"/>
              <w:bottom w:w="70" w:type="dxa"/>
              <w:right w:w="80" w:type="dxa"/>
            </w:tcMar>
            <w:vAlign w:val="center"/>
          </w:tcPr>
          <w:p w14:paraId="34C3A4C7" w14:textId="77777777" w:rsidR="00606B00" w:rsidRPr="006B0B80" w:rsidRDefault="00000000" w:rsidP="008C29E6">
            <w:pPr>
              <w:jc w:val="both"/>
            </w:pPr>
            <w:r w:rsidRPr="006B0B80">
              <w:rPr>
                <w:rFonts w:ascii="Arial" w:hAnsi="Arial"/>
                <w:sz w:val="17"/>
              </w:rPr>
              <w:t>Anodic self-</w:t>
            </w:r>
            <w:proofErr w:type="spellStart"/>
            <w:r w:rsidRPr="006B0B80">
              <w:rPr>
                <w:rFonts w:ascii="Arial" w:hAnsi="Arial"/>
                <w:sz w:val="17"/>
              </w:rPr>
              <w:t>organisation</w:t>
            </w:r>
            <w:proofErr w:type="spellEnd"/>
          </w:p>
        </w:tc>
        <w:tc>
          <w:tcPr>
            <w:tcW w:w="2016" w:type="dxa"/>
            <w:tcMar>
              <w:top w:w="70" w:type="dxa"/>
              <w:left w:w="80" w:type="dxa"/>
              <w:bottom w:w="70" w:type="dxa"/>
              <w:right w:w="80" w:type="dxa"/>
            </w:tcMar>
            <w:vAlign w:val="center"/>
          </w:tcPr>
          <w:p w14:paraId="50953617" w14:textId="77777777" w:rsidR="00606B00" w:rsidRPr="006B0B80" w:rsidRDefault="00000000" w:rsidP="008C29E6">
            <w:pPr>
              <w:jc w:val="both"/>
            </w:pPr>
            <w:r w:rsidRPr="006B0B80">
              <w:rPr>
                <w:rFonts w:ascii="Arial" w:hAnsi="Arial"/>
                <w:sz w:val="17"/>
              </w:rPr>
              <w:t>Electric field, electrolyte composition, dissolution and oxide-growth balance</w:t>
            </w:r>
          </w:p>
        </w:tc>
        <w:tc>
          <w:tcPr>
            <w:tcW w:w="2016" w:type="dxa"/>
            <w:tcMar>
              <w:top w:w="70" w:type="dxa"/>
              <w:left w:w="80" w:type="dxa"/>
              <w:bottom w:w="70" w:type="dxa"/>
              <w:right w:w="80" w:type="dxa"/>
            </w:tcMar>
            <w:vAlign w:val="center"/>
          </w:tcPr>
          <w:p w14:paraId="0748FB5B" w14:textId="77777777" w:rsidR="00606B00" w:rsidRPr="006B0B80" w:rsidRDefault="00000000" w:rsidP="008C29E6">
            <w:pPr>
              <w:jc w:val="both"/>
            </w:pPr>
            <w:r w:rsidRPr="006B0B80">
              <w:rPr>
                <w:rFonts w:ascii="Arial" w:hAnsi="Arial"/>
                <w:sz w:val="17"/>
              </w:rPr>
              <w:t>Nanoporous alumina and aligned TiO2 nanotubes</w:t>
            </w:r>
          </w:p>
        </w:tc>
        <w:tc>
          <w:tcPr>
            <w:tcW w:w="2016" w:type="dxa"/>
            <w:tcMar>
              <w:top w:w="70" w:type="dxa"/>
              <w:left w:w="80" w:type="dxa"/>
              <w:bottom w:w="70" w:type="dxa"/>
              <w:right w:w="80" w:type="dxa"/>
            </w:tcMar>
            <w:vAlign w:val="center"/>
          </w:tcPr>
          <w:p w14:paraId="15DF9439" w14:textId="77777777" w:rsidR="00606B00" w:rsidRPr="006B0B80" w:rsidRDefault="00000000" w:rsidP="008C29E6">
            <w:pPr>
              <w:jc w:val="both"/>
            </w:pPr>
            <w:r w:rsidRPr="006B0B80">
              <w:rPr>
                <w:rFonts w:ascii="Arial" w:hAnsi="Arial"/>
                <w:sz w:val="17"/>
              </w:rPr>
              <w:t>Integrated ordered oxide architectures; restricted to suitable substrates and sensitive process windows</w:t>
            </w:r>
          </w:p>
        </w:tc>
        <w:tc>
          <w:tcPr>
            <w:tcW w:w="2016" w:type="dxa"/>
            <w:tcMar>
              <w:top w:w="70" w:type="dxa"/>
              <w:left w:w="80" w:type="dxa"/>
              <w:bottom w:w="70" w:type="dxa"/>
              <w:right w:w="80" w:type="dxa"/>
            </w:tcMar>
            <w:vAlign w:val="center"/>
          </w:tcPr>
          <w:p w14:paraId="3D461118" w14:textId="77777777" w:rsidR="00606B00" w:rsidRPr="00D77772" w:rsidRDefault="00000000" w:rsidP="008C29E6">
            <w:pPr>
              <w:jc w:val="both"/>
              <w:rPr>
                <w:lang w:val="nl-BE"/>
              </w:rPr>
            </w:pPr>
            <w:r w:rsidRPr="00D77772">
              <w:rPr>
                <w:rFonts w:ascii="Arial" w:hAnsi="Arial"/>
                <w:sz w:val="17"/>
                <w:lang w:val="nl-BE"/>
              </w:rPr>
              <w:t>(David et al., 2022; Lee et al., 2008; Masuda &amp; Fukuda, 1995; Nielsch et al., 2002)</w:t>
            </w:r>
          </w:p>
        </w:tc>
      </w:tr>
      <w:tr w:rsidR="006B0B80" w:rsidRPr="00D77772" w14:paraId="730A47F5" w14:textId="77777777" w:rsidTr="006B0B80">
        <w:trPr>
          <w:cantSplit/>
          <w:jc w:val="center"/>
        </w:trPr>
        <w:tc>
          <w:tcPr>
            <w:tcW w:w="2016" w:type="dxa"/>
            <w:tcMar>
              <w:top w:w="70" w:type="dxa"/>
              <w:left w:w="80" w:type="dxa"/>
              <w:bottom w:w="70" w:type="dxa"/>
              <w:right w:w="80" w:type="dxa"/>
            </w:tcMar>
            <w:vAlign w:val="center"/>
          </w:tcPr>
          <w:p w14:paraId="66364704" w14:textId="77777777" w:rsidR="00606B00" w:rsidRPr="006B0B80" w:rsidRDefault="00000000" w:rsidP="008C29E6">
            <w:pPr>
              <w:jc w:val="both"/>
            </w:pPr>
            <w:r w:rsidRPr="006B0B80">
              <w:rPr>
                <w:rFonts w:ascii="Arial" w:hAnsi="Arial"/>
                <w:sz w:val="17"/>
              </w:rPr>
              <w:t>Electrochemical exfoliation</w:t>
            </w:r>
          </w:p>
        </w:tc>
        <w:tc>
          <w:tcPr>
            <w:tcW w:w="2016" w:type="dxa"/>
            <w:tcMar>
              <w:top w:w="70" w:type="dxa"/>
              <w:left w:w="80" w:type="dxa"/>
              <w:bottom w:w="70" w:type="dxa"/>
              <w:right w:w="80" w:type="dxa"/>
            </w:tcMar>
            <w:vAlign w:val="center"/>
          </w:tcPr>
          <w:p w14:paraId="4B4F56DE" w14:textId="77777777" w:rsidR="00606B00" w:rsidRPr="006B0B80" w:rsidRDefault="00000000" w:rsidP="008C29E6">
            <w:pPr>
              <w:jc w:val="both"/>
            </w:pPr>
            <w:r w:rsidRPr="006B0B80">
              <w:rPr>
                <w:rFonts w:ascii="Arial" w:hAnsi="Arial"/>
                <w:sz w:val="17"/>
              </w:rPr>
              <w:t>Intercalation polarity, potential/current, electrolyte and gas/redox chemistry</w:t>
            </w:r>
          </w:p>
        </w:tc>
        <w:tc>
          <w:tcPr>
            <w:tcW w:w="2016" w:type="dxa"/>
            <w:tcMar>
              <w:top w:w="70" w:type="dxa"/>
              <w:left w:w="80" w:type="dxa"/>
              <w:bottom w:w="70" w:type="dxa"/>
              <w:right w:w="80" w:type="dxa"/>
            </w:tcMar>
            <w:vAlign w:val="center"/>
          </w:tcPr>
          <w:p w14:paraId="3DC46A80" w14:textId="77777777" w:rsidR="00606B00" w:rsidRPr="006B0B80" w:rsidRDefault="00000000" w:rsidP="008C29E6">
            <w:pPr>
              <w:jc w:val="both"/>
            </w:pPr>
            <w:r w:rsidRPr="006B0B80">
              <w:rPr>
                <w:rFonts w:ascii="Arial" w:hAnsi="Arial"/>
                <w:sz w:val="17"/>
              </w:rPr>
              <w:t>Few-layer graphene and other two-dimensional nanosheets</w:t>
            </w:r>
          </w:p>
        </w:tc>
        <w:tc>
          <w:tcPr>
            <w:tcW w:w="2016" w:type="dxa"/>
            <w:tcMar>
              <w:top w:w="70" w:type="dxa"/>
              <w:left w:w="80" w:type="dxa"/>
              <w:bottom w:w="70" w:type="dxa"/>
              <w:right w:w="80" w:type="dxa"/>
            </w:tcMar>
            <w:vAlign w:val="center"/>
          </w:tcPr>
          <w:p w14:paraId="333680E6" w14:textId="77777777" w:rsidR="00606B00" w:rsidRPr="006B0B80" w:rsidRDefault="00000000" w:rsidP="008C29E6">
            <w:pPr>
              <w:jc w:val="both"/>
            </w:pPr>
            <w:r w:rsidRPr="006B0B80">
              <w:rPr>
                <w:rFonts w:ascii="Arial" w:hAnsi="Arial"/>
                <w:sz w:val="17"/>
              </w:rPr>
              <w:t xml:space="preserve">Fast and potentially scalable delamination; quality, yield and </w:t>
            </w:r>
            <w:proofErr w:type="spellStart"/>
            <w:r w:rsidRPr="006B0B80">
              <w:rPr>
                <w:rFonts w:ascii="Arial" w:hAnsi="Arial"/>
                <w:sz w:val="17"/>
              </w:rPr>
              <w:t>functionalisation</w:t>
            </w:r>
            <w:proofErr w:type="spellEnd"/>
            <w:r w:rsidRPr="006B0B80">
              <w:rPr>
                <w:rFonts w:ascii="Arial" w:hAnsi="Arial"/>
                <w:sz w:val="17"/>
              </w:rPr>
              <w:t xml:space="preserve"> are difficult to decouple</w:t>
            </w:r>
          </w:p>
        </w:tc>
        <w:tc>
          <w:tcPr>
            <w:tcW w:w="2016" w:type="dxa"/>
            <w:tcMar>
              <w:top w:w="70" w:type="dxa"/>
              <w:left w:w="80" w:type="dxa"/>
              <w:bottom w:w="70" w:type="dxa"/>
              <w:right w:w="80" w:type="dxa"/>
            </w:tcMar>
            <w:vAlign w:val="center"/>
          </w:tcPr>
          <w:p w14:paraId="4CFBCD92" w14:textId="77777777" w:rsidR="00606B00" w:rsidRPr="00D77772" w:rsidRDefault="00000000" w:rsidP="008C29E6">
            <w:pPr>
              <w:jc w:val="both"/>
              <w:rPr>
                <w:lang w:val="nl-BE"/>
              </w:rPr>
            </w:pPr>
            <w:r w:rsidRPr="00D77772">
              <w:rPr>
                <w:rFonts w:ascii="Arial" w:hAnsi="Arial"/>
                <w:sz w:val="17"/>
                <w:lang w:val="nl-BE"/>
              </w:rPr>
              <w:t>(Lim et al., 2026; Parvez et al., 2014; Yang et al., 2019; Zhao et al., 2024)</w:t>
            </w:r>
          </w:p>
        </w:tc>
      </w:tr>
      <w:tr w:rsidR="006B0B80" w:rsidRPr="00D77772" w14:paraId="5C2511A1" w14:textId="77777777" w:rsidTr="006B0B80">
        <w:trPr>
          <w:cantSplit/>
          <w:jc w:val="center"/>
        </w:trPr>
        <w:tc>
          <w:tcPr>
            <w:tcW w:w="2016" w:type="dxa"/>
            <w:tcMar>
              <w:top w:w="70" w:type="dxa"/>
              <w:left w:w="80" w:type="dxa"/>
              <w:bottom w:w="70" w:type="dxa"/>
              <w:right w:w="80" w:type="dxa"/>
            </w:tcMar>
            <w:vAlign w:val="center"/>
          </w:tcPr>
          <w:p w14:paraId="6C776DC0" w14:textId="77777777" w:rsidR="00606B00" w:rsidRPr="006B0B80" w:rsidRDefault="00000000" w:rsidP="008C29E6">
            <w:pPr>
              <w:jc w:val="both"/>
            </w:pPr>
            <w:r w:rsidRPr="006B0B80">
              <w:rPr>
                <w:rFonts w:ascii="Arial" w:hAnsi="Arial"/>
                <w:sz w:val="17"/>
              </w:rPr>
              <w:t>Electrochemical dealloying</w:t>
            </w:r>
          </w:p>
        </w:tc>
        <w:tc>
          <w:tcPr>
            <w:tcW w:w="2016" w:type="dxa"/>
            <w:tcMar>
              <w:top w:w="70" w:type="dxa"/>
              <w:left w:w="80" w:type="dxa"/>
              <w:bottom w:w="70" w:type="dxa"/>
              <w:right w:w="80" w:type="dxa"/>
            </w:tcMar>
            <w:vAlign w:val="center"/>
          </w:tcPr>
          <w:p w14:paraId="3CBA4062" w14:textId="77777777" w:rsidR="00606B00" w:rsidRPr="006B0B80" w:rsidRDefault="00000000" w:rsidP="008C29E6">
            <w:pPr>
              <w:jc w:val="both"/>
            </w:pPr>
            <w:r w:rsidRPr="006B0B80">
              <w:rPr>
                <w:rFonts w:ascii="Arial" w:hAnsi="Arial"/>
                <w:sz w:val="17"/>
              </w:rPr>
              <w:t>Selective dissolution potential, electrolyte and precursor alloy composition</w:t>
            </w:r>
          </w:p>
        </w:tc>
        <w:tc>
          <w:tcPr>
            <w:tcW w:w="2016" w:type="dxa"/>
            <w:tcMar>
              <w:top w:w="70" w:type="dxa"/>
              <w:left w:w="80" w:type="dxa"/>
              <w:bottom w:w="70" w:type="dxa"/>
              <w:right w:w="80" w:type="dxa"/>
            </w:tcMar>
            <w:vAlign w:val="center"/>
          </w:tcPr>
          <w:p w14:paraId="5044BD27" w14:textId="77777777" w:rsidR="00606B00" w:rsidRPr="006B0B80" w:rsidRDefault="00000000" w:rsidP="008C29E6">
            <w:pPr>
              <w:jc w:val="both"/>
            </w:pPr>
            <w:proofErr w:type="spellStart"/>
            <w:r w:rsidRPr="006B0B80">
              <w:rPr>
                <w:rFonts w:ascii="Arial" w:hAnsi="Arial"/>
                <w:sz w:val="17"/>
              </w:rPr>
              <w:t>Bicontinuous</w:t>
            </w:r>
            <w:proofErr w:type="spellEnd"/>
            <w:r w:rsidRPr="006B0B80">
              <w:rPr>
                <w:rFonts w:ascii="Arial" w:hAnsi="Arial"/>
                <w:sz w:val="17"/>
              </w:rPr>
              <w:t xml:space="preserve"> nanoporous metals and nanoporous nanosheets</w:t>
            </w:r>
          </w:p>
        </w:tc>
        <w:tc>
          <w:tcPr>
            <w:tcW w:w="2016" w:type="dxa"/>
            <w:tcMar>
              <w:top w:w="70" w:type="dxa"/>
              <w:left w:w="80" w:type="dxa"/>
              <w:bottom w:w="70" w:type="dxa"/>
              <w:right w:w="80" w:type="dxa"/>
            </w:tcMar>
            <w:vAlign w:val="center"/>
          </w:tcPr>
          <w:p w14:paraId="78195AEE" w14:textId="77777777" w:rsidR="00606B00" w:rsidRPr="006B0B80" w:rsidRDefault="00000000" w:rsidP="008C29E6">
            <w:pPr>
              <w:jc w:val="both"/>
            </w:pPr>
            <w:r w:rsidRPr="006B0B80">
              <w:rPr>
                <w:rFonts w:ascii="Arial" w:hAnsi="Arial"/>
                <w:sz w:val="17"/>
              </w:rPr>
              <w:t>High conductive area and tunable porosity; residual composition, coarsening and precursor design remain coupled</w:t>
            </w:r>
          </w:p>
        </w:tc>
        <w:tc>
          <w:tcPr>
            <w:tcW w:w="2016" w:type="dxa"/>
            <w:tcMar>
              <w:top w:w="70" w:type="dxa"/>
              <w:left w:w="80" w:type="dxa"/>
              <w:bottom w:w="70" w:type="dxa"/>
              <w:right w:w="80" w:type="dxa"/>
            </w:tcMar>
            <w:vAlign w:val="center"/>
          </w:tcPr>
          <w:p w14:paraId="7FC24D86" w14:textId="77777777" w:rsidR="00606B00" w:rsidRPr="00D77772" w:rsidRDefault="00000000" w:rsidP="008C29E6">
            <w:pPr>
              <w:jc w:val="both"/>
              <w:rPr>
                <w:lang w:val="nl-BE"/>
              </w:rPr>
            </w:pPr>
            <w:r w:rsidRPr="00D77772">
              <w:rPr>
                <w:rFonts w:ascii="Arial" w:hAnsi="Arial"/>
                <w:sz w:val="17"/>
                <w:lang w:val="nl-BE"/>
              </w:rPr>
              <w:t>(Chatterjee et al., 2024; Erlebacher et al., 2001; Rurainsky et al., 2020; Sang et al., 2022)</w:t>
            </w:r>
          </w:p>
        </w:tc>
      </w:tr>
      <w:tr w:rsidR="006B0B80" w:rsidRPr="006B0B80" w14:paraId="6796CE05" w14:textId="77777777" w:rsidTr="006B0B80">
        <w:trPr>
          <w:cantSplit/>
          <w:jc w:val="center"/>
        </w:trPr>
        <w:tc>
          <w:tcPr>
            <w:tcW w:w="2016" w:type="dxa"/>
            <w:tcMar>
              <w:top w:w="70" w:type="dxa"/>
              <w:left w:w="80" w:type="dxa"/>
              <w:bottom w:w="70" w:type="dxa"/>
              <w:right w:w="80" w:type="dxa"/>
            </w:tcMar>
            <w:vAlign w:val="center"/>
          </w:tcPr>
          <w:p w14:paraId="15222263" w14:textId="77777777" w:rsidR="00606B00" w:rsidRPr="006B0B80" w:rsidRDefault="00000000" w:rsidP="008C29E6">
            <w:pPr>
              <w:jc w:val="both"/>
            </w:pPr>
            <w:r w:rsidRPr="006B0B80">
              <w:rPr>
                <w:rFonts w:ascii="Arial" w:hAnsi="Arial"/>
                <w:sz w:val="17"/>
              </w:rPr>
              <w:t>Continuous rotating electrodeposition and separation</w:t>
            </w:r>
          </w:p>
        </w:tc>
        <w:tc>
          <w:tcPr>
            <w:tcW w:w="2016" w:type="dxa"/>
            <w:tcMar>
              <w:top w:w="70" w:type="dxa"/>
              <w:left w:w="80" w:type="dxa"/>
              <w:bottom w:w="70" w:type="dxa"/>
              <w:right w:w="80" w:type="dxa"/>
            </w:tcMar>
            <w:vAlign w:val="center"/>
          </w:tcPr>
          <w:p w14:paraId="598DDBB9" w14:textId="77777777" w:rsidR="00606B00" w:rsidRPr="006B0B80" w:rsidRDefault="00000000" w:rsidP="008C29E6">
            <w:pPr>
              <w:jc w:val="both"/>
            </w:pPr>
            <w:r w:rsidRPr="006B0B80">
              <w:rPr>
                <w:rFonts w:ascii="Arial" w:hAnsi="Arial"/>
                <w:sz w:val="17"/>
              </w:rPr>
              <w:t>Current/potential combined with rotation, residence time and mechanical harvest</w:t>
            </w:r>
          </w:p>
        </w:tc>
        <w:tc>
          <w:tcPr>
            <w:tcW w:w="2016" w:type="dxa"/>
            <w:tcMar>
              <w:top w:w="70" w:type="dxa"/>
              <w:left w:w="80" w:type="dxa"/>
              <w:bottom w:w="70" w:type="dxa"/>
              <w:right w:w="80" w:type="dxa"/>
            </w:tcMar>
            <w:vAlign w:val="center"/>
          </w:tcPr>
          <w:p w14:paraId="3233250B" w14:textId="77777777" w:rsidR="00606B00" w:rsidRPr="006B0B80" w:rsidRDefault="00000000" w:rsidP="008C29E6">
            <w:pPr>
              <w:jc w:val="both"/>
            </w:pPr>
            <w:r w:rsidRPr="006B0B80">
              <w:rPr>
                <w:rFonts w:ascii="Arial" w:hAnsi="Arial"/>
                <w:sz w:val="17"/>
              </w:rPr>
              <w:t>Recoverable metal, alloy and oxide nanoparticles</w:t>
            </w:r>
          </w:p>
        </w:tc>
        <w:tc>
          <w:tcPr>
            <w:tcW w:w="2016" w:type="dxa"/>
            <w:tcMar>
              <w:top w:w="70" w:type="dxa"/>
              <w:left w:w="80" w:type="dxa"/>
              <w:bottom w:w="70" w:type="dxa"/>
              <w:right w:w="80" w:type="dxa"/>
            </w:tcMar>
            <w:vAlign w:val="center"/>
          </w:tcPr>
          <w:p w14:paraId="6F20F2DB" w14:textId="77777777" w:rsidR="00606B00" w:rsidRPr="006B0B80" w:rsidRDefault="00000000" w:rsidP="008C29E6">
            <w:pPr>
              <w:jc w:val="both"/>
            </w:pPr>
            <w:r w:rsidRPr="006B0B80">
              <w:rPr>
                <w:rFonts w:ascii="Arial" w:hAnsi="Arial"/>
                <w:sz w:val="17"/>
              </w:rPr>
              <w:t>Connects electrochemical synthesis to continuous particle collection; requires hydrodynamic and quality-yield control at scale</w:t>
            </w:r>
          </w:p>
        </w:tc>
        <w:tc>
          <w:tcPr>
            <w:tcW w:w="2016" w:type="dxa"/>
            <w:tcMar>
              <w:top w:w="70" w:type="dxa"/>
              <w:left w:w="80" w:type="dxa"/>
              <w:bottom w:w="70" w:type="dxa"/>
              <w:right w:w="80" w:type="dxa"/>
            </w:tcMar>
            <w:vAlign w:val="center"/>
          </w:tcPr>
          <w:p w14:paraId="5E11AFEC" w14:textId="77777777" w:rsidR="00606B00" w:rsidRPr="006B0B80" w:rsidRDefault="00000000" w:rsidP="008C29E6">
            <w:pPr>
              <w:jc w:val="both"/>
            </w:pPr>
            <w:r w:rsidRPr="006B0B80">
              <w:rPr>
                <w:rFonts w:ascii="Arial" w:hAnsi="Arial"/>
                <w:sz w:val="17"/>
              </w:rPr>
              <w:t>(Huang et al., 2020)</w:t>
            </w:r>
          </w:p>
        </w:tc>
      </w:tr>
    </w:tbl>
    <w:p w14:paraId="1F6A7521" w14:textId="77777777" w:rsidR="00606B00" w:rsidRPr="006B0B80" w:rsidRDefault="00000000" w:rsidP="008C29E6">
      <w:pPr>
        <w:spacing w:before="80" w:after="160"/>
        <w:jc w:val="both"/>
      </w:pPr>
      <w:r w:rsidRPr="006B0B80">
        <w:rPr>
          <w:i/>
          <w:sz w:val="18"/>
        </w:rPr>
        <w:t>Note. TiO2 = titanium dioxide.</w:t>
      </w:r>
    </w:p>
    <w:p w14:paraId="521C2843" w14:textId="77777777" w:rsidR="00606B00" w:rsidRPr="006B0B80" w:rsidRDefault="00000000" w:rsidP="008C29E6">
      <w:pPr>
        <w:pStyle w:val="Heading1"/>
        <w:jc w:val="both"/>
        <w:rPr>
          <w:color w:val="auto"/>
        </w:rPr>
      </w:pPr>
      <w:r w:rsidRPr="006B0B80">
        <w:rPr>
          <w:color w:val="auto"/>
        </w:rPr>
        <w:t xml:space="preserve">4. Electrochemical </w:t>
      </w:r>
      <w:proofErr w:type="spellStart"/>
      <w:r w:rsidRPr="006B0B80">
        <w:rPr>
          <w:color w:val="auto"/>
        </w:rPr>
        <w:t>Characterisation</w:t>
      </w:r>
      <w:proofErr w:type="spellEnd"/>
      <w:r w:rsidRPr="006B0B80">
        <w:rPr>
          <w:color w:val="auto"/>
        </w:rPr>
        <w:t>: What the Measurements Actually Resolve</w:t>
      </w:r>
    </w:p>
    <w:p w14:paraId="1D4171CD" w14:textId="77777777" w:rsidR="00606B00" w:rsidRPr="006B0B80" w:rsidRDefault="00000000" w:rsidP="008C29E6">
      <w:pPr>
        <w:pStyle w:val="Heading2"/>
        <w:jc w:val="both"/>
        <w:rPr>
          <w:color w:val="auto"/>
        </w:rPr>
      </w:pPr>
      <w:r w:rsidRPr="006B0B80">
        <w:rPr>
          <w:color w:val="auto"/>
        </w:rPr>
        <w:t>4.1 Cyclic Voltammetry and Transient Methods</w:t>
      </w:r>
    </w:p>
    <w:p w14:paraId="72B788AE" w14:textId="77777777" w:rsidR="00606B00" w:rsidRPr="006B0B80" w:rsidRDefault="00000000" w:rsidP="008C29E6">
      <w:pPr>
        <w:pStyle w:val="BodyText"/>
        <w:jc w:val="both"/>
      </w:pPr>
      <w:r w:rsidRPr="006B0B80">
        <w:t xml:space="preserve">Cyclic voltammetry (CV) is often the first electrochemical </w:t>
      </w:r>
      <w:proofErr w:type="spellStart"/>
      <w:r w:rsidRPr="006B0B80">
        <w:t>characterisation</w:t>
      </w:r>
      <w:proofErr w:type="spellEnd"/>
      <w:r w:rsidRPr="006B0B80">
        <w:t xml:space="preserve"> applied to a nanomaterial because it rapidly reveals redox windows, reversibility, capacitive response and the dependence of current on potential. Its apparent simplicity is a liability when qualitative shape is converted into mechanistic certainty. Peak separation and peak-current trends can support diffusion or electron-transfer interpretations only under assumptions about geometry, reversibility and transport. Porous nanomaterials violate many textbook approximations because electrolyte penetrates a distributed pore network while the true active area changes with potential and wetting. Consequently, comparing CV areas from two electrodes is not a reliable measure of intrinsic activity unless loading, scan rate, potential window, capacitive contributions and geometric area are controlled (</w:t>
      </w:r>
      <w:proofErr w:type="spellStart"/>
      <w:r w:rsidRPr="006B0B80">
        <w:t>Elgrishi</w:t>
      </w:r>
      <w:proofErr w:type="spellEnd"/>
      <w:r w:rsidRPr="006B0B80">
        <w:t xml:space="preserve"> et al., 2018).</w:t>
      </w:r>
    </w:p>
    <w:p w14:paraId="060378CB" w14:textId="77777777" w:rsidR="00606B00" w:rsidRPr="006B0B80" w:rsidRDefault="00000000" w:rsidP="008C29E6">
      <w:pPr>
        <w:pStyle w:val="BodyText"/>
        <w:jc w:val="both"/>
      </w:pPr>
      <w:r w:rsidRPr="006B0B80">
        <w:t>Chronoamperometry and chronopotentiometry provide complementary time-domain information. During electrodeposition, current transients can help distinguish nucleation and growth regimes, while in electrochemical devices they can expose diffusion limitations, charging kinetics or stability under a defined perturbation. Yet transient fitting is only as meaningful as the model. Gas evolution, changing roughness, nucleation on heterogeneous sites and uncompensated resistance can all distort the ideal response. For nanomaterials, the strongest use of transient methods is comparative within a carefully matched series and in conjunction with direct structural measurements, rather than as a stand-alone route to particle size or active-site density.</w:t>
      </w:r>
    </w:p>
    <w:p w14:paraId="4E3DC7B5" w14:textId="77777777" w:rsidR="00606B00" w:rsidRPr="006B0B80" w:rsidRDefault="00000000" w:rsidP="008C29E6">
      <w:pPr>
        <w:pStyle w:val="Heading2"/>
        <w:jc w:val="both"/>
        <w:rPr>
          <w:color w:val="auto"/>
        </w:rPr>
      </w:pPr>
      <w:r w:rsidRPr="006B0B80">
        <w:rPr>
          <w:color w:val="auto"/>
        </w:rPr>
        <w:lastRenderedPageBreak/>
        <w:t>4.2 Electrochemical Impedance Spectroscopy</w:t>
      </w:r>
    </w:p>
    <w:p w14:paraId="33233AEE" w14:textId="77777777" w:rsidR="00606B00" w:rsidRPr="006B0B80" w:rsidRDefault="00000000" w:rsidP="008C29E6">
      <w:pPr>
        <w:pStyle w:val="BodyText"/>
        <w:jc w:val="both"/>
      </w:pPr>
      <w:r w:rsidRPr="006B0B80">
        <w:t xml:space="preserve">Electrochemical impedance spectroscopy (EIS) measures the frequency-dependent response to a small perturbation and is uniquely useful for separating processes whose characteristic times differ. In nanostructured electrodes these can include solution resistance, interfacial charge transfer, double-layer or pseudocapacitive charging, transport through pores or films and solid-state diffusion. The technique is therefore frequently used to claim lower charge-transfer resistance or faster ion transport after </w:t>
      </w:r>
      <w:proofErr w:type="spellStart"/>
      <w:r w:rsidRPr="006B0B80">
        <w:t>nanostructuring</w:t>
      </w:r>
      <w:proofErr w:type="spellEnd"/>
      <w:r w:rsidRPr="006B0B80">
        <w:t>. Such interpretations can be defensible, but equivalent-circuit elements are not direct observations. Different circuits may fit a restricted frequency range similarly, and constant-phase elements often absorb heterogeneity without identifying its structural origin (Ciucci, 2019).</w:t>
      </w:r>
    </w:p>
    <w:p w14:paraId="69987D92" w14:textId="77777777" w:rsidR="00606B00" w:rsidRPr="006B0B80" w:rsidRDefault="00000000" w:rsidP="008C29E6">
      <w:pPr>
        <w:pStyle w:val="BodyText"/>
        <w:jc w:val="both"/>
      </w:pPr>
      <w:r w:rsidRPr="006B0B80">
        <w:t>Data validity must precede model interpretation. Linearity, stability and causality assumptions can fail when an electrode drifts, reconstructs, bubbles or changes state during a long frequency sweep. Kramers-</w:t>
      </w:r>
      <w:proofErr w:type="spellStart"/>
      <w:r w:rsidRPr="006B0B80">
        <w:t>Kronig</w:t>
      </w:r>
      <w:proofErr w:type="spellEnd"/>
      <w:r w:rsidRPr="006B0B80">
        <w:t xml:space="preserve"> consistency tests help detect invalid spectra, but their robustness depends on implementation and the experimental window (</w:t>
      </w:r>
      <w:proofErr w:type="spellStart"/>
      <w:r w:rsidRPr="006B0B80">
        <w:t>Schönleber</w:t>
      </w:r>
      <w:proofErr w:type="spellEnd"/>
      <w:r w:rsidRPr="006B0B80">
        <w:t xml:space="preserve"> et al., 2014). For porous nanomaterials, confidence improves when fitted parameters change in a way independently supported by microscopy, composition, thickness or temperature dependence. A lower fitted resistance is most persuasive when its physical pathway is specified and when the fit is not used as a substitute for a mechanistic experiment.</w:t>
      </w:r>
    </w:p>
    <w:p w14:paraId="1A164453" w14:textId="77777777" w:rsidR="00606B00" w:rsidRPr="006B0B80" w:rsidRDefault="00000000" w:rsidP="008C29E6">
      <w:pPr>
        <w:pStyle w:val="Heading2"/>
        <w:jc w:val="both"/>
        <w:rPr>
          <w:color w:val="auto"/>
        </w:rPr>
      </w:pPr>
      <w:r w:rsidRPr="006B0B80">
        <w:rPr>
          <w:color w:val="auto"/>
        </w:rPr>
        <w:t>4.3 Electrochemical Quartz Crystal Microbalance</w:t>
      </w:r>
    </w:p>
    <w:p w14:paraId="6347E869" w14:textId="77777777" w:rsidR="00606B00" w:rsidRPr="006B0B80" w:rsidRDefault="00000000" w:rsidP="008C29E6">
      <w:pPr>
        <w:pStyle w:val="BodyText"/>
        <w:jc w:val="both"/>
      </w:pPr>
      <w:r w:rsidRPr="006B0B80">
        <w:t xml:space="preserve">Electrochemical quartz crystal microbalance (EQCM) measurements add a mass-sensitive dimension by relating changes in resonance </w:t>
      </w:r>
      <w:proofErr w:type="spellStart"/>
      <w:r w:rsidRPr="006B0B80">
        <w:t>behaviour</w:t>
      </w:r>
      <w:proofErr w:type="spellEnd"/>
      <w:r w:rsidRPr="006B0B80">
        <w:t xml:space="preserve"> to interfacial loading. The technique has long been used to study deposition, dissolution, adsorption and ion/solvent movement at electrodes (Buttry &amp; Ward, 1992). For nanomaterial synthesis, it can follow early growth and relate transferred charge to mass accumulation, helping identify current efficiency or co-deposition. In storage electrodes it can reveal whether charge compensation is associated with cation, anion or solvent movement. This is a substantial advance over current alone, which cannot distinguish productive material formation from side reactions.</w:t>
      </w:r>
    </w:p>
    <w:p w14:paraId="58ABF031" w14:textId="77777777" w:rsidR="00606B00" w:rsidRPr="006B0B80" w:rsidRDefault="00000000" w:rsidP="008C29E6">
      <w:pPr>
        <w:pStyle w:val="BodyText"/>
        <w:jc w:val="both"/>
      </w:pPr>
      <w:r w:rsidRPr="006B0B80">
        <w:t xml:space="preserve">The limitation is that the simple rigid-mass interpretation can fail for porous, rough or viscoelastic films because resonance is affected by liquid coupling and mechanical properties. Recent reviews of QCM and EQCM in </w:t>
      </w:r>
      <w:proofErr w:type="spellStart"/>
      <w:r w:rsidRPr="006B0B80">
        <w:t>crystallisation</w:t>
      </w:r>
      <w:proofErr w:type="spellEnd"/>
      <w:r w:rsidRPr="006B0B80">
        <w:t xml:space="preserve"> and electrodeposition </w:t>
      </w:r>
      <w:proofErr w:type="spellStart"/>
      <w:r w:rsidRPr="006B0B80">
        <w:t>emphasise</w:t>
      </w:r>
      <w:proofErr w:type="spellEnd"/>
      <w:r w:rsidRPr="006B0B80">
        <w:t xml:space="preserve"> the need to interpret frequency and dissipation or resistance changes within the physical state of the deposit (Zhao et al., 2022). EQCM is therefore best viewed as operando interfacial gravimetry with model requirements, not as an automatic </w:t>
      </w:r>
      <w:proofErr w:type="spellStart"/>
      <w:r w:rsidRPr="006B0B80">
        <w:t>nanobalance</w:t>
      </w:r>
      <w:proofErr w:type="spellEnd"/>
      <w:r w:rsidRPr="006B0B80">
        <w:t>. When combined with electrochemical charge, microscopy and composition, however, it can identify process transitions that ex situ mass measurement would miss.</w:t>
      </w:r>
    </w:p>
    <w:p w14:paraId="572A5ECB" w14:textId="77777777" w:rsidR="00606B00" w:rsidRPr="006B0B80" w:rsidRDefault="00000000" w:rsidP="008C29E6">
      <w:pPr>
        <w:pStyle w:val="Heading2"/>
        <w:jc w:val="both"/>
        <w:rPr>
          <w:color w:val="auto"/>
        </w:rPr>
      </w:pPr>
      <w:r w:rsidRPr="006B0B80">
        <w:rPr>
          <w:color w:val="auto"/>
        </w:rPr>
        <w:t>4.4 Scanning Electrochemical Cell Microscopy and Local Electrochemistry</w:t>
      </w:r>
    </w:p>
    <w:p w14:paraId="0F83672B" w14:textId="77777777" w:rsidR="00606B00" w:rsidRPr="006B0B80" w:rsidRDefault="00000000" w:rsidP="008C29E6">
      <w:pPr>
        <w:pStyle w:val="BodyText"/>
        <w:jc w:val="both"/>
      </w:pPr>
      <w:r w:rsidRPr="006B0B80">
        <w:t xml:space="preserve">Scanning electrochemical cell microscopy (SECCM) addresses a central problem in nanomaterials science: macroscopic current averages over spatially heterogeneous facets, grains, defects, particles and substrate regions. By forming a small electrolyte meniscus at a pipette tip, SECCM can perform local voltammetry while mapping topography or conductance, enabling direct comparison between location and electrochemical </w:t>
      </w:r>
      <w:proofErr w:type="spellStart"/>
      <w:r w:rsidRPr="006B0B80">
        <w:t>behaviour</w:t>
      </w:r>
      <w:proofErr w:type="spellEnd"/>
      <w:r w:rsidRPr="006B0B80">
        <w:t xml:space="preserve"> (</w:t>
      </w:r>
      <w:proofErr w:type="spellStart"/>
      <w:r w:rsidRPr="006B0B80">
        <w:t>Ebejer</w:t>
      </w:r>
      <w:proofErr w:type="spellEnd"/>
      <w:r w:rsidRPr="006B0B80">
        <w:t xml:space="preserve"> et al., 2013). This is especially important when a nominally uniform nanomaterial contains a distribution of particle sizes or edge densities that cannot be represented by an ensemble average.</w:t>
      </w:r>
    </w:p>
    <w:p w14:paraId="3F1992CB" w14:textId="77777777" w:rsidR="00606B00" w:rsidRPr="006B0B80" w:rsidRDefault="00000000" w:rsidP="008C29E6">
      <w:pPr>
        <w:pStyle w:val="BodyText"/>
        <w:jc w:val="both"/>
      </w:pPr>
      <w:r w:rsidRPr="006B0B80">
        <w:t xml:space="preserve">The technique has expanded rapidly into electrocatalysis, energy storage, corrosion, </w:t>
      </w:r>
      <w:proofErr w:type="spellStart"/>
      <w:r w:rsidRPr="006B0B80">
        <w:t>photoelectrochemistry</w:t>
      </w:r>
      <w:proofErr w:type="spellEnd"/>
      <w:r w:rsidRPr="006B0B80">
        <w:t xml:space="preserve"> and electrosynthesis (Gaudin et al., 2024). Recent practical guidance also makes clear that probe fabrication, wetting, environmental control, substrate preparation and meniscus stability can influence data quality (</w:t>
      </w:r>
      <w:proofErr w:type="spellStart"/>
      <w:r w:rsidRPr="006B0B80">
        <w:t>Jayamaha</w:t>
      </w:r>
      <w:proofErr w:type="spellEnd"/>
      <w:r w:rsidRPr="006B0B80">
        <w:t xml:space="preserve"> et al., 2024). A nanoscale map is therefore not intrinsically more truthful than a macroscopic measurement; it is more spatially resolved. Representative sampling, calibration and correlative structural analysis remain necessary before local activity is </w:t>
      </w:r>
      <w:proofErr w:type="spellStart"/>
      <w:r w:rsidRPr="006B0B80">
        <w:t>generalised</w:t>
      </w:r>
      <w:proofErr w:type="spellEnd"/>
      <w:r w:rsidRPr="006B0B80">
        <w:t xml:space="preserve"> to the electrode as a whole.</w:t>
      </w:r>
    </w:p>
    <w:p w14:paraId="53215C19" w14:textId="77777777" w:rsidR="00606B00" w:rsidRPr="006B0B80" w:rsidRDefault="00000000" w:rsidP="008C29E6">
      <w:pPr>
        <w:pStyle w:val="Heading2"/>
        <w:jc w:val="both"/>
        <w:rPr>
          <w:color w:val="auto"/>
        </w:rPr>
      </w:pPr>
      <w:r w:rsidRPr="006B0B80">
        <w:rPr>
          <w:color w:val="auto"/>
        </w:rPr>
        <w:lastRenderedPageBreak/>
        <w:t xml:space="preserve">4.5 Active Area, </w:t>
      </w:r>
      <w:proofErr w:type="spellStart"/>
      <w:r w:rsidRPr="006B0B80">
        <w:rPr>
          <w:color w:val="auto"/>
        </w:rPr>
        <w:t>Normalisation</w:t>
      </w:r>
      <w:proofErr w:type="spellEnd"/>
      <w:r w:rsidRPr="006B0B80">
        <w:rPr>
          <w:color w:val="auto"/>
        </w:rPr>
        <w:t xml:space="preserve"> and Correlative Evidence</w:t>
      </w:r>
    </w:p>
    <w:p w14:paraId="41D70991" w14:textId="77777777" w:rsidR="00606B00" w:rsidRPr="006B0B80" w:rsidRDefault="00000000" w:rsidP="008C29E6">
      <w:pPr>
        <w:pStyle w:val="BodyText"/>
        <w:jc w:val="both"/>
      </w:pPr>
      <w:proofErr w:type="spellStart"/>
      <w:r w:rsidRPr="006B0B80">
        <w:t>Normalisation</w:t>
      </w:r>
      <w:proofErr w:type="spellEnd"/>
      <w:r w:rsidRPr="006B0B80">
        <w:t xml:space="preserve"> is the point at which many </w:t>
      </w:r>
      <w:proofErr w:type="gramStart"/>
      <w:r w:rsidRPr="006B0B80">
        <w:t>nanomaterials</w:t>
      </w:r>
      <w:proofErr w:type="gramEnd"/>
      <w:r w:rsidRPr="006B0B80">
        <w:t xml:space="preserve"> comparisons become either physically meaningful or misleading. Geometric current density is useful for device engineering but rewards roughness and loading. Mass activity is important for precious materials but depends on accurate loading and </w:t>
      </w:r>
      <w:proofErr w:type="spellStart"/>
      <w:r w:rsidRPr="006B0B80">
        <w:t>utilisation</w:t>
      </w:r>
      <w:proofErr w:type="spellEnd"/>
      <w:r w:rsidRPr="006B0B80">
        <w:t xml:space="preserve">. Specific activity requires an estimate of active area, yet real surface-area measurements are method dependent and can be particularly uncertain on porous, oxide-forming or compositionally mixed surfaces (Trasatti &amp; </w:t>
      </w:r>
      <w:proofErr w:type="spellStart"/>
      <w:r w:rsidRPr="006B0B80">
        <w:t>Petrii</w:t>
      </w:r>
      <w:proofErr w:type="spellEnd"/>
      <w:r w:rsidRPr="006B0B80">
        <w:t>, 1991). Electrochemically active surface area obtained from double-layer capacitance or adsorption charges can therefore be a useful operational descriptor without being an absolute count of catalytic sites.</w:t>
      </w:r>
    </w:p>
    <w:p w14:paraId="7196DB63" w14:textId="77777777" w:rsidR="00606B00" w:rsidRPr="006B0B80" w:rsidRDefault="00000000" w:rsidP="008C29E6">
      <w:pPr>
        <w:pStyle w:val="BodyText"/>
        <w:jc w:val="both"/>
      </w:pPr>
      <w:r w:rsidRPr="006B0B80">
        <w:t xml:space="preserve">Benchmarking work in water-splitting electrocatalysis demonstrated the value of </w:t>
      </w:r>
      <w:proofErr w:type="spellStart"/>
      <w:r w:rsidRPr="006B0B80">
        <w:t>standardised</w:t>
      </w:r>
      <w:proofErr w:type="spellEnd"/>
      <w:r w:rsidRPr="006B0B80">
        <w:t xml:space="preserve"> protocols for activity, stability and Faradaic efficiency, including electrodeposited catalysts (McCrory et al., 2013; McCrory et al., 2015). Later best-practice discussions reinforced the need to report loading, geometric and intrinsic </w:t>
      </w:r>
      <w:proofErr w:type="spellStart"/>
      <w:r w:rsidRPr="006B0B80">
        <w:t>normalisations</w:t>
      </w:r>
      <w:proofErr w:type="spellEnd"/>
      <w:r w:rsidRPr="006B0B80">
        <w:t>, product selectivity and durability (</w:t>
      </w:r>
      <w:proofErr w:type="spellStart"/>
      <w:r w:rsidRPr="006B0B80">
        <w:t>Voiry</w:t>
      </w:r>
      <w:proofErr w:type="spellEnd"/>
      <w:r w:rsidRPr="006B0B80">
        <w:t xml:space="preserve"> et al., 2018), while electrochemical critiques have cautioned that some proposed </w:t>
      </w:r>
      <w:proofErr w:type="spellStart"/>
      <w:r w:rsidRPr="006B0B80">
        <w:t>normalisations</w:t>
      </w:r>
      <w:proofErr w:type="spellEnd"/>
      <w:r w:rsidRPr="006B0B80">
        <w:t xml:space="preserve"> can themselves be unjustified when surface chemistry and electrochemical assumptions are weak (Li et al., 2020). The key conclusion is not that one </w:t>
      </w:r>
      <w:proofErr w:type="spellStart"/>
      <w:r w:rsidRPr="006B0B80">
        <w:t>normalisation</w:t>
      </w:r>
      <w:proofErr w:type="spellEnd"/>
      <w:r w:rsidRPr="006B0B80">
        <w:t xml:space="preserve"> is universally correct, but that several complementary denominators should be reported when they answer different questions.</w:t>
      </w:r>
    </w:p>
    <w:p w14:paraId="436B4B64" w14:textId="77777777" w:rsidR="00606B00" w:rsidRPr="006B0B80" w:rsidRDefault="00000000" w:rsidP="008C29E6">
      <w:pPr>
        <w:pStyle w:val="BodyText"/>
        <w:jc w:val="both"/>
      </w:pPr>
      <w:r w:rsidRPr="006B0B80">
        <w:t xml:space="preserve">Electrochemical </w:t>
      </w:r>
      <w:proofErr w:type="spellStart"/>
      <w:r w:rsidRPr="006B0B80">
        <w:t>characterisation</w:t>
      </w:r>
      <w:proofErr w:type="spellEnd"/>
      <w:r w:rsidRPr="006B0B80">
        <w:t xml:space="preserve"> becomes strongest when it is correlative. A CV feature can be assigned more confidently when the redox state is independently identified; an EIS time constant is more credible when the associated film thickness or transport length is measured; an EQCM mass change is more informative when chemical composition is tracked; and a SECCM activity hotspot is more mechanistic when the same location is imaged structurally. Table 2 </w:t>
      </w:r>
      <w:proofErr w:type="spellStart"/>
      <w:r w:rsidRPr="006B0B80">
        <w:t>summarises</w:t>
      </w:r>
      <w:proofErr w:type="spellEnd"/>
      <w:r w:rsidRPr="006B0B80">
        <w:t xml:space="preserve"> the evidential contribution and principal inference risk of each technique. The recurring pattern is that electrochemistry is exceptionally sensitive to function but rarely structurally unique, so orthogonal </w:t>
      </w:r>
      <w:proofErr w:type="spellStart"/>
      <w:r w:rsidRPr="006B0B80">
        <w:t>characterisation</w:t>
      </w:r>
      <w:proofErr w:type="spellEnd"/>
      <w:r w:rsidRPr="006B0B80">
        <w:t xml:space="preserve"> is not an optional embellishment but the basis for causal interpretation.</w:t>
      </w:r>
    </w:p>
    <w:p w14:paraId="063820DC" w14:textId="77777777" w:rsidR="00606B00" w:rsidRPr="006B0B80" w:rsidRDefault="00000000" w:rsidP="008C29E6">
      <w:pPr>
        <w:pStyle w:val="TableCaption"/>
        <w:keepNext/>
        <w:keepLines/>
        <w:jc w:val="both"/>
      </w:pPr>
      <w:r w:rsidRPr="006B0B80">
        <w:t xml:space="preserve">Table 2. Electrochemical </w:t>
      </w:r>
      <w:proofErr w:type="spellStart"/>
      <w:r w:rsidRPr="006B0B80">
        <w:t>characterisation</w:t>
      </w:r>
      <w:proofErr w:type="spellEnd"/>
      <w:r w:rsidRPr="006B0B80">
        <w:t xml:space="preserve"> techniques and limits of inference for nanomaterials</w:t>
      </w:r>
    </w:p>
    <w:tbl>
      <w:tblPr>
        <w:tblStyle w:val="TableGrid"/>
        <w:tblW w:w="0" w:type="auto"/>
        <w:jc w:val="center"/>
        <w:tblLayout w:type="fixed"/>
        <w:tblLook w:val="04A0" w:firstRow="1" w:lastRow="0" w:firstColumn="1" w:lastColumn="0" w:noHBand="0" w:noVBand="1"/>
      </w:tblPr>
      <w:tblGrid>
        <w:gridCol w:w="2016"/>
        <w:gridCol w:w="2016"/>
        <w:gridCol w:w="2016"/>
        <w:gridCol w:w="3125"/>
        <w:gridCol w:w="2016"/>
      </w:tblGrid>
      <w:tr w:rsidR="006B0B80" w:rsidRPr="006B0B80" w14:paraId="1C7C218B" w14:textId="77777777" w:rsidTr="006B0B80">
        <w:trPr>
          <w:cantSplit/>
          <w:tblHeader/>
          <w:jc w:val="center"/>
        </w:trPr>
        <w:tc>
          <w:tcPr>
            <w:tcW w:w="1469" w:type="dxa"/>
            <w:tcMar>
              <w:top w:w="70" w:type="dxa"/>
              <w:left w:w="80" w:type="dxa"/>
              <w:bottom w:w="70" w:type="dxa"/>
              <w:right w:w="80" w:type="dxa"/>
            </w:tcMar>
            <w:vAlign w:val="center"/>
          </w:tcPr>
          <w:p w14:paraId="3251501F" w14:textId="77777777" w:rsidR="00606B00" w:rsidRPr="006B0B80" w:rsidRDefault="00000000" w:rsidP="008C29E6">
            <w:pPr>
              <w:jc w:val="both"/>
            </w:pPr>
            <w:r w:rsidRPr="006B0B80">
              <w:rPr>
                <w:rFonts w:ascii="Arial" w:hAnsi="Arial"/>
                <w:b/>
                <w:sz w:val="17"/>
              </w:rPr>
              <w:t>Technique</w:t>
            </w:r>
          </w:p>
        </w:tc>
        <w:tc>
          <w:tcPr>
            <w:tcW w:w="1800" w:type="dxa"/>
            <w:tcMar>
              <w:top w:w="70" w:type="dxa"/>
              <w:left w:w="80" w:type="dxa"/>
              <w:bottom w:w="70" w:type="dxa"/>
              <w:right w:w="80" w:type="dxa"/>
            </w:tcMar>
            <w:vAlign w:val="center"/>
          </w:tcPr>
          <w:p w14:paraId="747B7193" w14:textId="77777777" w:rsidR="00606B00" w:rsidRPr="006B0B80" w:rsidRDefault="00000000" w:rsidP="008C29E6">
            <w:pPr>
              <w:jc w:val="both"/>
            </w:pPr>
            <w:r w:rsidRPr="006B0B80">
              <w:rPr>
                <w:rFonts w:ascii="Arial" w:hAnsi="Arial"/>
                <w:b/>
                <w:sz w:val="17"/>
              </w:rPr>
              <w:t>Direct observable</w:t>
            </w:r>
          </w:p>
        </w:tc>
        <w:tc>
          <w:tcPr>
            <w:tcW w:w="1872" w:type="dxa"/>
            <w:tcMar>
              <w:top w:w="70" w:type="dxa"/>
              <w:left w:w="80" w:type="dxa"/>
              <w:bottom w:w="70" w:type="dxa"/>
              <w:right w:w="80" w:type="dxa"/>
            </w:tcMar>
            <w:vAlign w:val="center"/>
          </w:tcPr>
          <w:p w14:paraId="3EC11D12" w14:textId="77777777" w:rsidR="00606B00" w:rsidRPr="006B0B80" w:rsidRDefault="00000000" w:rsidP="008C29E6">
            <w:pPr>
              <w:jc w:val="both"/>
            </w:pPr>
            <w:r w:rsidRPr="006B0B80">
              <w:rPr>
                <w:rFonts w:ascii="Arial" w:hAnsi="Arial"/>
                <w:b/>
                <w:sz w:val="17"/>
              </w:rPr>
              <w:t>Typical use in nanomaterials</w:t>
            </w:r>
          </w:p>
        </w:tc>
        <w:tc>
          <w:tcPr>
            <w:tcW w:w="3125" w:type="dxa"/>
            <w:tcMar>
              <w:top w:w="70" w:type="dxa"/>
              <w:left w:w="80" w:type="dxa"/>
              <w:bottom w:w="70" w:type="dxa"/>
              <w:right w:w="80" w:type="dxa"/>
            </w:tcMar>
            <w:vAlign w:val="center"/>
          </w:tcPr>
          <w:p w14:paraId="1185215F" w14:textId="77777777" w:rsidR="00606B00" w:rsidRPr="006B0B80" w:rsidRDefault="00000000" w:rsidP="008C29E6">
            <w:pPr>
              <w:jc w:val="both"/>
            </w:pPr>
            <w:r w:rsidRPr="006B0B80">
              <w:rPr>
                <w:rFonts w:ascii="Arial" w:hAnsi="Arial"/>
                <w:b/>
                <w:sz w:val="17"/>
              </w:rPr>
              <w:t>Main inference risk</w:t>
            </w:r>
          </w:p>
        </w:tc>
        <w:tc>
          <w:tcPr>
            <w:tcW w:w="1728" w:type="dxa"/>
            <w:tcMar>
              <w:top w:w="70" w:type="dxa"/>
              <w:left w:w="80" w:type="dxa"/>
              <w:bottom w:w="70" w:type="dxa"/>
              <w:right w:w="80" w:type="dxa"/>
            </w:tcMar>
            <w:vAlign w:val="center"/>
          </w:tcPr>
          <w:p w14:paraId="3B5DE738" w14:textId="77777777" w:rsidR="00606B00" w:rsidRPr="006B0B80" w:rsidRDefault="00000000" w:rsidP="008C29E6">
            <w:pPr>
              <w:jc w:val="both"/>
            </w:pPr>
            <w:r w:rsidRPr="006B0B80">
              <w:rPr>
                <w:rFonts w:ascii="Arial" w:hAnsi="Arial"/>
                <w:b/>
                <w:sz w:val="17"/>
              </w:rPr>
              <w:t>Supporting references</w:t>
            </w:r>
          </w:p>
        </w:tc>
      </w:tr>
      <w:tr w:rsidR="006B0B80" w:rsidRPr="006B0B80" w14:paraId="248FAE15" w14:textId="77777777" w:rsidTr="006B0B80">
        <w:trPr>
          <w:cantSplit/>
          <w:jc w:val="center"/>
        </w:trPr>
        <w:tc>
          <w:tcPr>
            <w:tcW w:w="2016" w:type="dxa"/>
            <w:tcMar>
              <w:top w:w="70" w:type="dxa"/>
              <w:left w:w="80" w:type="dxa"/>
              <w:bottom w:w="70" w:type="dxa"/>
              <w:right w:w="80" w:type="dxa"/>
            </w:tcMar>
            <w:vAlign w:val="center"/>
          </w:tcPr>
          <w:p w14:paraId="611F8EF0" w14:textId="77777777" w:rsidR="00606B00" w:rsidRPr="006B0B80" w:rsidRDefault="00000000" w:rsidP="008C29E6">
            <w:pPr>
              <w:jc w:val="both"/>
            </w:pPr>
            <w:r w:rsidRPr="006B0B80">
              <w:rPr>
                <w:rFonts w:ascii="Arial" w:hAnsi="Arial"/>
                <w:sz w:val="17"/>
              </w:rPr>
              <w:t>Cyclic voltammetry</w:t>
            </w:r>
          </w:p>
        </w:tc>
        <w:tc>
          <w:tcPr>
            <w:tcW w:w="2016" w:type="dxa"/>
            <w:tcMar>
              <w:top w:w="70" w:type="dxa"/>
              <w:left w:w="80" w:type="dxa"/>
              <w:bottom w:w="70" w:type="dxa"/>
              <w:right w:w="80" w:type="dxa"/>
            </w:tcMar>
            <w:vAlign w:val="center"/>
          </w:tcPr>
          <w:p w14:paraId="12BB64EE" w14:textId="77777777" w:rsidR="00606B00" w:rsidRPr="006B0B80" w:rsidRDefault="00000000" w:rsidP="008C29E6">
            <w:pPr>
              <w:jc w:val="both"/>
            </w:pPr>
            <w:r w:rsidRPr="006B0B80">
              <w:rPr>
                <w:rFonts w:ascii="Arial" w:hAnsi="Arial"/>
                <w:sz w:val="17"/>
              </w:rPr>
              <w:t>Current as a function of applied potential and scan history</w:t>
            </w:r>
          </w:p>
        </w:tc>
        <w:tc>
          <w:tcPr>
            <w:tcW w:w="2016" w:type="dxa"/>
            <w:tcMar>
              <w:top w:w="70" w:type="dxa"/>
              <w:left w:w="80" w:type="dxa"/>
              <w:bottom w:w="70" w:type="dxa"/>
              <w:right w:w="80" w:type="dxa"/>
            </w:tcMar>
            <w:vAlign w:val="center"/>
          </w:tcPr>
          <w:p w14:paraId="3A1BCCD6" w14:textId="77777777" w:rsidR="00606B00" w:rsidRPr="006B0B80" w:rsidRDefault="00000000" w:rsidP="008C29E6">
            <w:pPr>
              <w:jc w:val="both"/>
            </w:pPr>
            <w:r w:rsidRPr="006B0B80">
              <w:rPr>
                <w:rFonts w:ascii="Arial" w:hAnsi="Arial"/>
                <w:sz w:val="17"/>
              </w:rPr>
              <w:t xml:space="preserve">Redox windows, reversibility, capacitive </w:t>
            </w:r>
            <w:proofErr w:type="spellStart"/>
            <w:r w:rsidRPr="006B0B80">
              <w:rPr>
                <w:rFonts w:ascii="Arial" w:hAnsi="Arial"/>
                <w:sz w:val="17"/>
              </w:rPr>
              <w:t>behaviour</w:t>
            </w:r>
            <w:proofErr w:type="spellEnd"/>
            <w:r w:rsidRPr="006B0B80">
              <w:rPr>
                <w:rFonts w:ascii="Arial" w:hAnsi="Arial"/>
                <w:sz w:val="17"/>
              </w:rPr>
              <w:t>, comparative accessible response</w:t>
            </w:r>
          </w:p>
        </w:tc>
        <w:tc>
          <w:tcPr>
            <w:tcW w:w="2016" w:type="dxa"/>
            <w:tcMar>
              <w:top w:w="70" w:type="dxa"/>
              <w:left w:w="80" w:type="dxa"/>
              <w:bottom w:w="70" w:type="dxa"/>
              <w:right w:w="80" w:type="dxa"/>
            </w:tcMar>
            <w:vAlign w:val="center"/>
          </w:tcPr>
          <w:p w14:paraId="578E076E" w14:textId="77777777" w:rsidR="00606B00" w:rsidRPr="006B0B80" w:rsidRDefault="00000000" w:rsidP="008C29E6">
            <w:pPr>
              <w:jc w:val="both"/>
            </w:pPr>
            <w:r w:rsidRPr="006B0B80">
              <w:rPr>
                <w:rFonts w:ascii="Arial" w:hAnsi="Arial"/>
                <w:sz w:val="17"/>
              </w:rPr>
              <w:t>Peak shape or integrated current can be overinterpreted as unique mechanism or intrinsic area</w:t>
            </w:r>
          </w:p>
        </w:tc>
        <w:tc>
          <w:tcPr>
            <w:tcW w:w="2016" w:type="dxa"/>
            <w:tcMar>
              <w:top w:w="70" w:type="dxa"/>
              <w:left w:w="80" w:type="dxa"/>
              <w:bottom w:w="70" w:type="dxa"/>
              <w:right w:w="80" w:type="dxa"/>
            </w:tcMar>
            <w:vAlign w:val="center"/>
          </w:tcPr>
          <w:p w14:paraId="7EBFF10E" w14:textId="77777777" w:rsidR="00606B00" w:rsidRPr="006B0B80" w:rsidRDefault="00000000" w:rsidP="008C29E6">
            <w:pPr>
              <w:jc w:val="both"/>
            </w:pPr>
            <w:r w:rsidRPr="006B0B80">
              <w:rPr>
                <w:rFonts w:ascii="Arial" w:hAnsi="Arial"/>
                <w:sz w:val="17"/>
              </w:rPr>
              <w:t>(</w:t>
            </w:r>
            <w:proofErr w:type="spellStart"/>
            <w:r w:rsidRPr="006B0B80">
              <w:rPr>
                <w:rFonts w:ascii="Arial" w:hAnsi="Arial"/>
                <w:sz w:val="17"/>
              </w:rPr>
              <w:t>Elgrishi</w:t>
            </w:r>
            <w:proofErr w:type="spellEnd"/>
            <w:r w:rsidRPr="006B0B80">
              <w:rPr>
                <w:rFonts w:ascii="Arial" w:hAnsi="Arial"/>
                <w:sz w:val="17"/>
              </w:rPr>
              <w:t xml:space="preserve"> et al., 2018)</w:t>
            </w:r>
          </w:p>
        </w:tc>
      </w:tr>
      <w:tr w:rsidR="006B0B80" w:rsidRPr="006B0B80" w14:paraId="1A3CB872" w14:textId="77777777" w:rsidTr="006B0B80">
        <w:trPr>
          <w:cantSplit/>
          <w:jc w:val="center"/>
        </w:trPr>
        <w:tc>
          <w:tcPr>
            <w:tcW w:w="2016" w:type="dxa"/>
            <w:tcMar>
              <w:top w:w="70" w:type="dxa"/>
              <w:left w:w="80" w:type="dxa"/>
              <w:bottom w:w="70" w:type="dxa"/>
              <w:right w:w="80" w:type="dxa"/>
            </w:tcMar>
            <w:vAlign w:val="center"/>
          </w:tcPr>
          <w:p w14:paraId="3716292E" w14:textId="77777777" w:rsidR="00606B00" w:rsidRPr="006B0B80" w:rsidRDefault="00000000" w:rsidP="008C29E6">
            <w:pPr>
              <w:jc w:val="both"/>
            </w:pPr>
            <w:r w:rsidRPr="006B0B80">
              <w:rPr>
                <w:rFonts w:ascii="Arial" w:hAnsi="Arial"/>
                <w:sz w:val="17"/>
              </w:rPr>
              <w:t>Chronoamperometry / chronopotentiometry</w:t>
            </w:r>
          </w:p>
        </w:tc>
        <w:tc>
          <w:tcPr>
            <w:tcW w:w="2016" w:type="dxa"/>
            <w:tcMar>
              <w:top w:w="70" w:type="dxa"/>
              <w:left w:w="80" w:type="dxa"/>
              <w:bottom w:w="70" w:type="dxa"/>
              <w:right w:w="80" w:type="dxa"/>
            </w:tcMar>
            <w:vAlign w:val="center"/>
          </w:tcPr>
          <w:p w14:paraId="6836A379" w14:textId="77777777" w:rsidR="00606B00" w:rsidRPr="006B0B80" w:rsidRDefault="00000000" w:rsidP="008C29E6">
            <w:pPr>
              <w:jc w:val="both"/>
            </w:pPr>
            <w:r w:rsidRPr="006B0B80">
              <w:rPr>
                <w:rFonts w:ascii="Arial" w:hAnsi="Arial"/>
                <w:sz w:val="17"/>
              </w:rPr>
              <w:t>Current or potential transient after a controlled perturbation</w:t>
            </w:r>
          </w:p>
        </w:tc>
        <w:tc>
          <w:tcPr>
            <w:tcW w:w="2016" w:type="dxa"/>
            <w:tcMar>
              <w:top w:w="70" w:type="dxa"/>
              <w:left w:w="80" w:type="dxa"/>
              <w:bottom w:w="70" w:type="dxa"/>
              <w:right w:w="80" w:type="dxa"/>
            </w:tcMar>
            <w:vAlign w:val="center"/>
          </w:tcPr>
          <w:p w14:paraId="132A4A07" w14:textId="77777777" w:rsidR="00606B00" w:rsidRPr="006B0B80" w:rsidRDefault="00000000" w:rsidP="008C29E6">
            <w:pPr>
              <w:jc w:val="both"/>
            </w:pPr>
            <w:r w:rsidRPr="006B0B80">
              <w:rPr>
                <w:rFonts w:ascii="Arial" w:hAnsi="Arial"/>
                <w:sz w:val="17"/>
              </w:rPr>
              <w:t>Nucleation/growth comparison, diffusion and charging kinetics, stability</w:t>
            </w:r>
          </w:p>
        </w:tc>
        <w:tc>
          <w:tcPr>
            <w:tcW w:w="2016" w:type="dxa"/>
            <w:tcMar>
              <w:top w:w="70" w:type="dxa"/>
              <w:left w:w="80" w:type="dxa"/>
              <w:bottom w:w="70" w:type="dxa"/>
              <w:right w:w="80" w:type="dxa"/>
            </w:tcMar>
            <w:vAlign w:val="center"/>
          </w:tcPr>
          <w:p w14:paraId="5866A5B0" w14:textId="77777777" w:rsidR="00606B00" w:rsidRPr="006B0B80" w:rsidRDefault="00000000" w:rsidP="008C29E6">
            <w:pPr>
              <w:jc w:val="both"/>
            </w:pPr>
            <w:r w:rsidRPr="006B0B80">
              <w:rPr>
                <w:rFonts w:ascii="Arial" w:hAnsi="Arial"/>
                <w:sz w:val="17"/>
              </w:rPr>
              <w:t>Ideal transient models may fail when area, gas evolution or surface state changes during measurement</w:t>
            </w:r>
          </w:p>
        </w:tc>
        <w:tc>
          <w:tcPr>
            <w:tcW w:w="2016" w:type="dxa"/>
            <w:tcMar>
              <w:top w:w="70" w:type="dxa"/>
              <w:left w:w="80" w:type="dxa"/>
              <w:bottom w:w="70" w:type="dxa"/>
              <w:right w:w="80" w:type="dxa"/>
            </w:tcMar>
            <w:vAlign w:val="center"/>
          </w:tcPr>
          <w:p w14:paraId="74EF4526" w14:textId="77777777" w:rsidR="00606B00" w:rsidRPr="006B0B80" w:rsidRDefault="00000000" w:rsidP="008C29E6">
            <w:pPr>
              <w:jc w:val="both"/>
            </w:pPr>
            <w:r w:rsidRPr="006B0B80">
              <w:rPr>
                <w:rFonts w:ascii="Arial" w:hAnsi="Arial"/>
                <w:sz w:val="17"/>
              </w:rPr>
              <w:t>(</w:t>
            </w:r>
            <w:proofErr w:type="spellStart"/>
            <w:r w:rsidRPr="006B0B80">
              <w:rPr>
                <w:rFonts w:ascii="Arial" w:hAnsi="Arial"/>
                <w:sz w:val="17"/>
              </w:rPr>
              <w:t>Elgrishi</w:t>
            </w:r>
            <w:proofErr w:type="spellEnd"/>
            <w:r w:rsidRPr="006B0B80">
              <w:rPr>
                <w:rFonts w:ascii="Arial" w:hAnsi="Arial"/>
                <w:sz w:val="17"/>
              </w:rPr>
              <w:t xml:space="preserve"> et al., 2018)</w:t>
            </w:r>
          </w:p>
        </w:tc>
      </w:tr>
      <w:tr w:rsidR="006B0B80" w:rsidRPr="006B0B80" w14:paraId="489C638D" w14:textId="77777777" w:rsidTr="006B0B80">
        <w:trPr>
          <w:cantSplit/>
          <w:jc w:val="center"/>
        </w:trPr>
        <w:tc>
          <w:tcPr>
            <w:tcW w:w="2016" w:type="dxa"/>
            <w:tcMar>
              <w:top w:w="70" w:type="dxa"/>
              <w:left w:w="80" w:type="dxa"/>
              <w:bottom w:w="70" w:type="dxa"/>
              <w:right w:w="80" w:type="dxa"/>
            </w:tcMar>
            <w:vAlign w:val="center"/>
          </w:tcPr>
          <w:p w14:paraId="267CA7C9" w14:textId="77777777" w:rsidR="00606B00" w:rsidRPr="006B0B80" w:rsidRDefault="00000000" w:rsidP="008C29E6">
            <w:pPr>
              <w:jc w:val="both"/>
            </w:pPr>
            <w:r w:rsidRPr="006B0B80">
              <w:rPr>
                <w:rFonts w:ascii="Arial" w:hAnsi="Arial"/>
                <w:sz w:val="17"/>
              </w:rPr>
              <w:t>Electrochemical impedance spectroscopy</w:t>
            </w:r>
          </w:p>
        </w:tc>
        <w:tc>
          <w:tcPr>
            <w:tcW w:w="2016" w:type="dxa"/>
            <w:tcMar>
              <w:top w:w="70" w:type="dxa"/>
              <w:left w:w="80" w:type="dxa"/>
              <w:bottom w:w="70" w:type="dxa"/>
              <w:right w:w="80" w:type="dxa"/>
            </w:tcMar>
            <w:vAlign w:val="center"/>
          </w:tcPr>
          <w:p w14:paraId="173D909B" w14:textId="77777777" w:rsidR="00606B00" w:rsidRPr="006B0B80" w:rsidRDefault="00000000" w:rsidP="008C29E6">
            <w:pPr>
              <w:jc w:val="both"/>
            </w:pPr>
            <w:r w:rsidRPr="006B0B80">
              <w:rPr>
                <w:rFonts w:ascii="Arial" w:hAnsi="Arial"/>
                <w:sz w:val="17"/>
              </w:rPr>
              <w:t>Complex frequency-dependent response</w:t>
            </w:r>
          </w:p>
        </w:tc>
        <w:tc>
          <w:tcPr>
            <w:tcW w:w="2016" w:type="dxa"/>
            <w:tcMar>
              <w:top w:w="70" w:type="dxa"/>
              <w:left w:w="80" w:type="dxa"/>
              <w:bottom w:w="70" w:type="dxa"/>
              <w:right w:w="80" w:type="dxa"/>
            </w:tcMar>
            <w:vAlign w:val="center"/>
          </w:tcPr>
          <w:p w14:paraId="2FE141D5" w14:textId="77777777" w:rsidR="00606B00" w:rsidRPr="006B0B80" w:rsidRDefault="00000000" w:rsidP="008C29E6">
            <w:pPr>
              <w:jc w:val="both"/>
            </w:pPr>
            <w:r w:rsidRPr="006B0B80">
              <w:rPr>
                <w:rFonts w:ascii="Arial" w:hAnsi="Arial"/>
                <w:sz w:val="17"/>
              </w:rPr>
              <w:t>Separation of resistive, capacitive and transport contributions</w:t>
            </w:r>
          </w:p>
        </w:tc>
        <w:tc>
          <w:tcPr>
            <w:tcW w:w="2016" w:type="dxa"/>
            <w:tcMar>
              <w:top w:w="70" w:type="dxa"/>
              <w:left w:w="80" w:type="dxa"/>
              <w:bottom w:w="70" w:type="dxa"/>
              <w:right w:w="80" w:type="dxa"/>
            </w:tcMar>
            <w:vAlign w:val="center"/>
          </w:tcPr>
          <w:p w14:paraId="6FA752B5" w14:textId="77777777" w:rsidR="00606B00" w:rsidRPr="006B0B80" w:rsidRDefault="00000000" w:rsidP="008C29E6">
            <w:pPr>
              <w:jc w:val="both"/>
            </w:pPr>
            <w:r w:rsidRPr="006B0B80">
              <w:rPr>
                <w:rFonts w:ascii="Arial" w:hAnsi="Arial"/>
                <w:sz w:val="17"/>
              </w:rPr>
              <w:t>Equivalent-circuit non-uniqueness, drift and invalid spectra can yield physically ambiguous fitted parameters</w:t>
            </w:r>
          </w:p>
        </w:tc>
        <w:tc>
          <w:tcPr>
            <w:tcW w:w="2016" w:type="dxa"/>
            <w:tcMar>
              <w:top w:w="70" w:type="dxa"/>
              <w:left w:w="80" w:type="dxa"/>
              <w:bottom w:w="70" w:type="dxa"/>
              <w:right w:w="80" w:type="dxa"/>
            </w:tcMar>
            <w:vAlign w:val="center"/>
          </w:tcPr>
          <w:p w14:paraId="011CCACA" w14:textId="77777777" w:rsidR="00606B00" w:rsidRPr="006B0B80" w:rsidRDefault="00000000" w:rsidP="008C29E6">
            <w:pPr>
              <w:jc w:val="both"/>
            </w:pPr>
            <w:r w:rsidRPr="006B0B80">
              <w:rPr>
                <w:rFonts w:ascii="Arial" w:hAnsi="Arial"/>
                <w:sz w:val="17"/>
              </w:rPr>
              <w:t xml:space="preserve">(Ciucci, 2019; </w:t>
            </w:r>
            <w:proofErr w:type="spellStart"/>
            <w:r w:rsidRPr="006B0B80">
              <w:rPr>
                <w:rFonts w:ascii="Arial" w:hAnsi="Arial"/>
                <w:sz w:val="17"/>
              </w:rPr>
              <w:t>Schönleber</w:t>
            </w:r>
            <w:proofErr w:type="spellEnd"/>
            <w:r w:rsidRPr="006B0B80">
              <w:rPr>
                <w:rFonts w:ascii="Arial" w:hAnsi="Arial"/>
                <w:sz w:val="17"/>
              </w:rPr>
              <w:t xml:space="preserve"> et al., 2014)</w:t>
            </w:r>
          </w:p>
        </w:tc>
      </w:tr>
      <w:tr w:rsidR="006B0B80" w:rsidRPr="006B0B80" w14:paraId="0CBE711B" w14:textId="77777777" w:rsidTr="006B0B80">
        <w:trPr>
          <w:cantSplit/>
          <w:jc w:val="center"/>
        </w:trPr>
        <w:tc>
          <w:tcPr>
            <w:tcW w:w="2016" w:type="dxa"/>
            <w:tcMar>
              <w:top w:w="70" w:type="dxa"/>
              <w:left w:w="80" w:type="dxa"/>
              <w:bottom w:w="70" w:type="dxa"/>
              <w:right w:w="80" w:type="dxa"/>
            </w:tcMar>
            <w:vAlign w:val="center"/>
          </w:tcPr>
          <w:p w14:paraId="32A3EC98" w14:textId="77777777" w:rsidR="00606B00" w:rsidRPr="006B0B80" w:rsidRDefault="00000000" w:rsidP="008C29E6">
            <w:pPr>
              <w:jc w:val="both"/>
            </w:pPr>
            <w:r w:rsidRPr="006B0B80">
              <w:rPr>
                <w:rFonts w:ascii="Arial" w:hAnsi="Arial"/>
                <w:sz w:val="17"/>
              </w:rPr>
              <w:t>Electrochemical quartz crystal microbalance</w:t>
            </w:r>
          </w:p>
        </w:tc>
        <w:tc>
          <w:tcPr>
            <w:tcW w:w="2016" w:type="dxa"/>
            <w:tcMar>
              <w:top w:w="70" w:type="dxa"/>
              <w:left w:w="80" w:type="dxa"/>
              <w:bottom w:w="70" w:type="dxa"/>
              <w:right w:w="80" w:type="dxa"/>
            </w:tcMar>
            <w:vAlign w:val="center"/>
          </w:tcPr>
          <w:p w14:paraId="55B85663" w14:textId="77777777" w:rsidR="00606B00" w:rsidRPr="006B0B80" w:rsidRDefault="00000000" w:rsidP="008C29E6">
            <w:pPr>
              <w:jc w:val="both"/>
            </w:pPr>
            <w:r w:rsidRPr="006B0B80">
              <w:rPr>
                <w:rFonts w:ascii="Arial" w:hAnsi="Arial"/>
                <w:sz w:val="17"/>
              </w:rPr>
              <w:t>Resonance response linked to interfacial mass and mechanical loading</w:t>
            </w:r>
          </w:p>
        </w:tc>
        <w:tc>
          <w:tcPr>
            <w:tcW w:w="2016" w:type="dxa"/>
            <w:tcMar>
              <w:top w:w="70" w:type="dxa"/>
              <w:left w:w="80" w:type="dxa"/>
              <w:bottom w:w="70" w:type="dxa"/>
              <w:right w:w="80" w:type="dxa"/>
            </w:tcMar>
            <w:vAlign w:val="center"/>
          </w:tcPr>
          <w:p w14:paraId="1BD705A2" w14:textId="77777777" w:rsidR="00606B00" w:rsidRPr="006B0B80" w:rsidRDefault="00000000" w:rsidP="008C29E6">
            <w:pPr>
              <w:jc w:val="both"/>
            </w:pPr>
            <w:r w:rsidRPr="006B0B80">
              <w:rPr>
                <w:rFonts w:ascii="Arial" w:hAnsi="Arial"/>
                <w:sz w:val="17"/>
              </w:rPr>
              <w:t>Deposition efficiency, dissolution, ion/solvent exchange and operando mass tracking</w:t>
            </w:r>
          </w:p>
        </w:tc>
        <w:tc>
          <w:tcPr>
            <w:tcW w:w="2016" w:type="dxa"/>
            <w:tcMar>
              <w:top w:w="70" w:type="dxa"/>
              <w:left w:w="80" w:type="dxa"/>
              <w:bottom w:w="70" w:type="dxa"/>
              <w:right w:w="80" w:type="dxa"/>
            </w:tcMar>
            <w:vAlign w:val="center"/>
          </w:tcPr>
          <w:p w14:paraId="22FFE062" w14:textId="77777777" w:rsidR="00606B00" w:rsidRPr="006B0B80" w:rsidRDefault="00000000" w:rsidP="008C29E6">
            <w:pPr>
              <w:jc w:val="both"/>
            </w:pPr>
            <w:r w:rsidRPr="006B0B80">
              <w:rPr>
                <w:rFonts w:ascii="Arial" w:hAnsi="Arial"/>
                <w:sz w:val="17"/>
              </w:rPr>
              <w:t>Rigid Sauerbrey-type interpretation can fail for porous or viscoelastic films and liquid coupling</w:t>
            </w:r>
          </w:p>
        </w:tc>
        <w:tc>
          <w:tcPr>
            <w:tcW w:w="2016" w:type="dxa"/>
            <w:tcMar>
              <w:top w:w="70" w:type="dxa"/>
              <w:left w:w="80" w:type="dxa"/>
              <w:bottom w:w="70" w:type="dxa"/>
              <w:right w:w="80" w:type="dxa"/>
            </w:tcMar>
            <w:vAlign w:val="center"/>
          </w:tcPr>
          <w:p w14:paraId="4D4FE2D9" w14:textId="77777777" w:rsidR="00606B00" w:rsidRPr="006B0B80" w:rsidRDefault="00000000" w:rsidP="008C29E6">
            <w:pPr>
              <w:jc w:val="both"/>
            </w:pPr>
            <w:r w:rsidRPr="006B0B80">
              <w:rPr>
                <w:rFonts w:ascii="Arial" w:hAnsi="Arial"/>
                <w:sz w:val="17"/>
              </w:rPr>
              <w:t>(Buttry &amp; Ward, 1992; Zhao et al., 2022)</w:t>
            </w:r>
          </w:p>
        </w:tc>
      </w:tr>
      <w:tr w:rsidR="006B0B80" w:rsidRPr="00D77772" w14:paraId="46BA0AB7" w14:textId="77777777" w:rsidTr="006B0B80">
        <w:trPr>
          <w:cantSplit/>
          <w:jc w:val="center"/>
        </w:trPr>
        <w:tc>
          <w:tcPr>
            <w:tcW w:w="2016" w:type="dxa"/>
            <w:tcMar>
              <w:top w:w="70" w:type="dxa"/>
              <w:left w:w="80" w:type="dxa"/>
              <w:bottom w:w="70" w:type="dxa"/>
              <w:right w:w="80" w:type="dxa"/>
            </w:tcMar>
            <w:vAlign w:val="center"/>
          </w:tcPr>
          <w:p w14:paraId="0105DD39" w14:textId="77777777" w:rsidR="00606B00" w:rsidRPr="006B0B80" w:rsidRDefault="00000000" w:rsidP="008C29E6">
            <w:pPr>
              <w:jc w:val="both"/>
            </w:pPr>
            <w:r w:rsidRPr="006B0B80">
              <w:rPr>
                <w:rFonts w:ascii="Arial" w:hAnsi="Arial"/>
                <w:sz w:val="17"/>
              </w:rPr>
              <w:t>Scanning electrochemical cell microscopy</w:t>
            </w:r>
          </w:p>
        </w:tc>
        <w:tc>
          <w:tcPr>
            <w:tcW w:w="2016" w:type="dxa"/>
            <w:tcMar>
              <w:top w:w="70" w:type="dxa"/>
              <w:left w:w="80" w:type="dxa"/>
              <w:bottom w:w="70" w:type="dxa"/>
              <w:right w:w="80" w:type="dxa"/>
            </w:tcMar>
            <w:vAlign w:val="center"/>
          </w:tcPr>
          <w:p w14:paraId="590480F6" w14:textId="77777777" w:rsidR="00606B00" w:rsidRPr="006B0B80" w:rsidRDefault="00000000" w:rsidP="008C29E6">
            <w:pPr>
              <w:jc w:val="both"/>
            </w:pPr>
            <w:r w:rsidRPr="006B0B80">
              <w:rPr>
                <w:rFonts w:ascii="Arial" w:hAnsi="Arial"/>
                <w:sz w:val="17"/>
              </w:rPr>
              <w:t xml:space="preserve">Spatially </w:t>
            </w:r>
            <w:proofErr w:type="spellStart"/>
            <w:r w:rsidRPr="006B0B80">
              <w:rPr>
                <w:rFonts w:ascii="Arial" w:hAnsi="Arial"/>
                <w:sz w:val="17"/>
              </w:rPr>
              <w:t>localised</w:t>
            </w:r>
            <w:proofErr w:type="spellEnd"/>
            <w:r w:rsidRPr="006B0B80">
              <w:rPr>
                <w:rFonts w:ascii="Arial" w:hAnsi="Arial"/>
                <w:sz w:val="17"/>
              </w:rPr>
              <w:t xml:space="preserve"> voltammetry/current from a meniscus cell</w:t>
            </w:r>
          </w:p>
        </w:tc>
        <w:tc>
          <w:tcPr>
            <w:tcW w:w="2016" w:type="dxa"/>
            <w:tcMar>
              <w:top w:w="70" w:type="dxa"/>
              <w:left w:w="80" w:type="dxa"/>
              <w:bottom w:w="70" w:type="dxa"/>
              <w:right w:w="80" w:type="dxa"/>
            </w:tcMar>
            <w:vAlign w:val="center"/>
          </w:tcPr>
          <w:p w14:paraId="1CD4527C" w14:textId="77777777" w:rsidR="00606B00" w:rsidRPr="006B0B80" w:rsidRDefault="00000000" w:rsidP="008C29E6">
            <w:pPr>
              <w:jc w:val="both"/>
            </w:pPr>
            <w:r w:rsidRPr="006B0B80">
              <w:rPr>
                <w:rFonts w:ascii="Arial" w:hAnsi="Arial"/>
                <w:sz w:val="17"/>
              </w:rPr>
              <w:t>Mapping local activity across particles, grains, edges, defects and heterogeneous surfaces</w:t>
            </w:r>
          </w:p>
        </w:tc>
        <w:tc>
          <w:tcPr>
            <w:tcW w:w="2016" w:type="dxa"/>
            <w:tcMar>
              <w:top w:w="70" w:type="dxa"/>
              <w:left w:w="80" w:type="dxa"/>
              <w:bottom w:w="70" w:type="dxa"/>
              <w:right w:w="80" w:type="dxa"/>
            </w:tcMar>
            <w:vAlign w:val="center"/>
          </w:tcPr>
          <w:p w14:paraId="186D1A51" w14:textId="77777777" w:rsidR="00606B00" w:rsidRPr="006B0B80" w:rsidRDefault="00000000" w:rsidP="008C29E6">
            <w:pPr>
              <w:jc w:val="both"/>
            </w:pPr>
            <w:r w:rsidRPr="006B0B80">
              <w:rPr>
                <w:rFonts w:ascii="Arial" w:hAnsi="Arial"/>
                <w:sz w:val="17"/>
              </w:rPr>
              <w:t>High spatial resolution does not ensure representative sampling; probe and wetting conditions influence data</w:t>
            </w:r>
          </w:p>
        </w:tc>
        <w:tc>
          <w:tcPr>
            <w:tcW w:w="2016" w:type="dxa"/>
            <w:tcMar>
              <w:top w:w="70" w:type="dxa"/>
              <w:left w:w="80" w:type="dxa"/>
              <w:bottom w:w="70" w:type="dxa"/>
              <w:right w:w="80" w:type="dxa"/>
            </w:tcMar>
            <w:vAlign w:val="center"/>
          </w:tcPr>
          <w:p w14:paraId="2C9762E7" w14:textId="77777777" w:rsidR="00606B00" w:rsidRPr="00D77772" w:rsidRDefault="00000000" w:rsidP="008C29E6">
            <w:pPr>
              <w:jc w:val="both"/>
              <w:rPr>
                <w:lang w:val="nl-BE"/>
              </w:rPr>
            </w:pPr>
            <w:r w:rsidRPr="00D77772">
              <w:rPr>
                <w:rFonts w:ascii="Arial" w:hAnsi="Arial"/>
                <w:sz w:val="17"/>
                <w:lang w:val="nl-BE"/>
              </w:rPr>
              <w:t>(Ebejer et al., 2013; Gaudin et al., 2024; Jayamaha et al., 2024)</w:t>
            </w:r>
          </w:p>
        </w:tc>
      </w:tr>
      <w:tr w:rsidR="006B0B80" w:rsidRPr="00D77772" w14:paraId="6297D5AC" w14:textId="77777777" w:rsidTr="006B0B80">
        <w:trPr>
          <w:cantSplit/>
          <w:jc w:val="center"/>
        </w:trPr>
        <w:tc>
          <w:tcPr>
            <w:tcW w:w="2016" w:type="dxa"/>
            <w:tcMar>
              <w:top w:w="70" w:type="dxa"/>
              <w:left w:w="80" w:type="dxa"/>
              <w:bottom w:w="70" w:type="dxa"/>
              <w:right w:w="80" w:type="dxa"/>
            </w:tcMar>
            <w:vAlign w:val="center"/>
          </w:tcPr>
          <w:p w14:paraId="6A39DD4E" w14:textId="77777777" w:rsidR="00606B00" w:rsidRPr="006B0B80" w:rsidRDefault="00000000" w:rsidP="008C29E6">
            <w:pPr>
              <w:jc w:val="both"/>
            </w:pPr>
            <w:r w:rsidRPr="006B0B80">
              <w:rPr>
                <w:rFonts w:ascii="Arial" w:hAnsi="Arial"/>
                <w:sz w:val="17"/>
              </w:rPr>
              <w:t>Electrochemically active surface-area estimates</w:t>
            </w:r>
          </w:p>
        </w:tc>
        <w:tc>
          <w:tcPr>
            <w:tcW w:w="2016" w:type="dxa"/>
            <w:tcMar>
              <w:top w:w="70" w:type="dxa"/>
              <w:left w:w="80" w:type="dxa"/>
              <w:bottom w:w="70" w:type="dxa"/>
              <w:right w:w="80" w:type="dxa"/>
            </w:tcMar>
            <w:vAlign w:val="center"/>
          </w:tcPr>
          <w:p w14:paraId="48EBD679" w14:textId="77777777" w:rsidR="00606B00" w:rsidRPr="006B0B80" w:rsidRDefault="00000000" w:rsidP="008C29E6">
            <w:pPr>
              <w:jc w:val="both"/>
            </w:pPr>
            <w:r w:rsidRPr="006B0B80">
              <w:rPr>
                <w:rFonts w:ascii="Arial" w:hAnsi="Arial"/>
                <w:sz w:val="17"/>
              </w:rPr>
              <w:t>Charge or capacitance used as an operational proxy for accessible area</w:t>
            </w:r>
          </w:p>
        </w:tc>
        <w:tc>
          <w:tcPr>
            <w:tcW w:w="2016" w:type="dxa"/>
            <w:tcMar>
              <w:top w:w="70" w:type="dxa"/>
              <w:left w:w="80" w:type="dxa"/>
              <w:bottom w:w="70" w:type="dxa"/>
              <w:right w:w="80" w:type="dxa"/>
            </w:tcMar>
            <w:vAlign w:val="center"/>
          </w:tcPr>
          <w:p w14:paraId="1A8FB155" w14:textId="77777777" w:rsidR="00606B00" w:rsidRPr="006B0B80" w:rsidRDefault="00000000" w:rsidP="008C29E6">
            <w:pPr>
              <w:jc w:val="both"/>
            </w:pPr>
            <w:proofErr w:type="spellStart"/>
            <w:r w:rsidRPr="006B0B80">
              <w:rPr>
                <w:rFonts w:ascii="Arial" w:hAnsi="Arial"/>
                <w:sz w:val="17"/>
              </w:rPr>
              <w:t>Normalisation</w:t>
            </w:r>
            <w:proofErr w:type="spellEnd"/>
            <w:r w:rsidRPr="006B0B80">
              <w:rPr>
                <w:rFonts w:ascii="Arial" w:hAnsi="Arial"/>
                <w:sz w:val="17"/>
              </w:rPr>
              <w:t xml:space="preserve"> of rough or porous electrode activity</w:t>
            </w:r>
          </w:p>
        </w:tc>
        <w:tc>
          <w:tcPr>
            <w:tcW w:w="2016" w:type="dxa"/>
            <w:tcMar>
              <w:top w:w="70" w:type="dxa"/>
              <w:left w:w="80" w:type="dxa"/>
              <w:bottom w:w="70" w:type="dxa"/>
              <w:right w:w="80" w:type="dxa"/>
            </w:tcMar>
            <w:vAlign w:val="center"/>
          </w:tcPr>
          <w:p w14:paraId="1592C766" w14:textId="77777777" w:rsidR="00606B00" w:rsidRPr="006B0B80" w:rsidRDefault="00000000" w:rsidP="008C29E6">
            <w:pPr>
              <w:jc w:val="both"/>
            </w:pPr>
            <w:r w:rsidRPr="006B0B80">
              <w:rPr>
                <w:rFonts w:ascii="Arial" w:hAnsi="Arial"/>
                <w:sz w:val="17"/>
              </w:rPr>
              <w:t>The conversion factor and accessible surface chemistry are material- and potential-dependent</w:t>
            </w:r>
          </w:p>
        </w:tc>
        <w:tc>
          <w:tcPr>
            <w:tcW w:w="2016" w:type="dxa"/>
            <w:tcMar>
              <w:top w:w="70" w:type="dxa"/>
              <w:left w:w="80" w:type="dxa"/>
              <w:bottom w:w="70" w:type="dxa"/>
              <w:right w:w="80" w:type="dxa"/>
            </w:tcMar>
            <w:vAlign w:val="center"/>
          </w:tcPr>
          <w:p w14:paraId="3AF84C67" w14:textId="77777777" w:rsidR="00606B00" w:rsidRPr="00D77772" w:rsidRDefault="00000000" w:rsidP="008C29E6">
            <w:pPr>
              <w:jc w:val="both"/>
              <w:rPr>
                <w:lang w:val="nl-BE"/>
              </w:rPr>
            </w:pPr>
            <w:r w:rsidRPr="00D77772">
              <w:rPr>
                <w:rFonts w:ascii="Arial" w:hAnsi="Arial"/>
                <w:sz w:val="17"/>
                <w:lang w:val="nl-BE"/>
              </w:rPr>
              <w:t>(Trasatti &amp; Petrii, 1991; Voiry et al., 2018)</w:t>
            </w:r>
          </w:p>
        </w:tc>
      </w:tr>
    </w:tbl>
    <w:p w14:paraId="75ED018C" w14:textId="77777777" w:rsidR="00606B00" w:rsidRPr="006B0B80" w:rsidRDefault="00000000" w:rsidP="008C29E6">
      <w:pPr>
        <w:spacing w:before="80" w:after="160"/>
        <w:jc w:val="both"/>
      </w:pPr>
      <w:r w:rsidRPr="006B0B80">
        <w:rPr>
          <w:i/>
          <w:sz w:val="18"/>
        </w:rPr>
        <w:lastRenderedPageBreak/>
        <w:t xml:space="preserve">Note. Reported electrochemical descriptors should be interpreted with orthogonal structural or chemical </w:t>
      </w:r>
      <w:proofErr w:type="spellStart"/>
      <w:r w:rsidRPr="006B0B80">
        <w:rPr>
          <w:i/>
          <w:sz w:val="18"/>
        </w:rPr>
        <w:t>characterisation</w:t>
      </w:r>
      <w:proofErr w:type="spellEnd"/>
      <w:r w:rsidRPr="006B0B80">
        <w:rPr>
          <w:i/>
          <w:sz w:val="18"/>
        </w:rPr>
        <w:t xml:space="preserve"> whenever a unique mechanism is claimed.</w:t>
      </w:r>
    </w:p>
    <w:p w14:paraId="20613E70" w14:textId="77777777" w:rsidR="00606B00" w:rsidRPr="006B0B80" w:rsidRDefault="00000000" w:rsidP="008C29E6">
      <w:pPr>
        <w:pStyle w:val="Heading1"/>
        <w:jc w:val="both"/>
        <w:rPr>
          <w:color w:val="auto"/>
        </w:rPr>
      </w:pPr>
      <w:r w:rsidRPr="006B0B80">
        <w:rPr>
          <w:color w:val="auto"/>
        </w:rPr>
        <w:t>5. Process-Structure-Property Relationships and Reproducibility</w:t>
      </w:r>
    </w:p>
    <w:p w14:paraId="4DA51BCA" w14:textId="77777777" w:rsidR="00606B00" w:rsidRPr="006B0B80" w:rsidRDefault="00000000" w:rsidP="008C29E6">
      <w:pPr>
        <w:pStyle w:val="BodyText"/>
        <w:jc w:val="both"/>
      </w:pPr>
      <w:r w:rsidRPr="006B0B80">
        <w:t xml:space="preserve">A process-structure-property framework is often invoked in nanomaterials research, yet electrochemical synthesis reveals why the arrows in that framework are rarely one-to-one. Applied current influences nucleation but also local pH, gas evolution and ohmic heating. Potential </w:t>
      </w:r>
      <w:proofErr w:type="gramStart"/>
      <w:r w:rsidRPr="006B0B80">
        <w:t>controls</w:t>
      </w:r>
      <w:proofErr w:type="gramEnd"/>
      <w:r w:rsidRPr="006B0B80">
        <w:t xml:space="preserve"> reaction driving force but may simultaneously change adsorbate coverage and oxidation state. Electrolyte additives can refine grains while changing impurity incorporation. Template diameter fixes an external dimension but does not guarantee uniform filling or crystallographic texture. The central methodological challenge is therefore parameter coupling: the variable chosen to tune structure often changes chemistry and transport at the same time (Bernal &amp; Ustarroz, 2021; </w:t>
      </w:r>
      <w:proofErr w:type="spellStart"/>
      <w:r w:rsidRPr="006B0B80">
        <w:t>Bograchev</w:t>
      </w:r>
      <w:proofErr w:type="spellEnd"/>
      <w:r w:rsidRPr="006B0B80">
        <w:t xml:space="preserve"> et al., 2025; Tovar-Oliva &amp; Tudela, 2024).</w:t>
      </w:r>
    </w:p>
    <w:p w14:paraId="5227EAB3" w14:textId="77777777" w:rsidR="00606B00" w:rsidRPr="006B0B80" w:rsidRDefault="00000000" w:rsidP="008C29E6">
      <w:pPr>
        <w:pStyle w:val="BodyText"/>
        <w:jc w:val="both"/>
      </w:pPr>
      <w:r w:rsidRPr="006B0B80">
        <w:t xml:space="preserve">This coupling is particularly important when comparing nanostructured and nominally bulk controls. A nanostructured electrode may contain less active mass, different binder content, different contact resistance and a different wetting history. If current is compared only per geometric area, the result conflates intrinsic surface kinetics and architecture. If current is divided by a capacitance-derived area, the estimate may introduce a second set of assumptions. Rigorous comparisons should therefore include a matched control series in which composition, loading and substrate are held as constant as possible while structure is changed, followed by reporting on geometric, mass and, where defensible, surface-area bases (Li et al., 2020; Trasatti &amp; </w:t>
      </w:r>
      <w:proofErr w:type="spellStart"/>
      <w:r w:rsidRPr="006B0B80">
        <w:t>Petrii</w:t>
      </w:r>
      <w:proofErr w:type="spellEnd"/>
      <w:r w:rsidRPr="006B0B80">
        <w:t xml:space="preserve">, 1991; </w:t>
      </w:r>
      <w:proofErr w:type="spellStart"/>
      <w:r w:rsidRPr="006B0B80">
        <w:t>Voiry</w:t>
      </w:r>
      <w:proofErr w:type="spellEnd"/>
      <w:r w:rsidRPr="006B0B80">
        <w:t xml:space="preserve"> et al., 2018).</w:t>
      </w:r>
    </w:p>
    <w:p w14:paraId="6063B875" w14:textId="77777777" w:rsidR="00606B00" w:rsidRPr="006B0B80" w:rsidRDefault="00000000" w:rsidP="008C29E6">
      <w:pPr>
        <w:pStyle w:val="BodyText"/>
        <w:jc w:val="both"/>
      </w:pPr>
      <w:r w:rsidRPr="006B0B80">
        <w:t xml:space="preserve">Surface reconstruction creates a second disconnect between synthesis and function. Electrocatalysts can </w:t>
      </w:r>
      <w:proofErr w:type="spellStart"/>
      <w:r w:rsidRPr="006B0B80">
        <w:t>oxidise</w:t>
      </w:r>
      <w:proofErr w:type="spellEnd"/>
      <w:r w:rsidRPr="006B0B80">
        <w:t xml:space="preserve">, reduce, dissolve, segregate or restructure under operating potentials, so the active state may not resemble the as-prepared nanomaterial. </w:t>
      </w:r>
      <w:proofErr w:type="spellStart"/>
      <w:r w:rsidRPr="006B0B80">
        <w:t>Dealloyed</w:t>
      </w:r>
      <w:proofErr w:type="spellEnd"/>
      <w:r w:rsidRPr="006B0B80">
        <w:t xml:space="preserve"> materials are a clear example because residual composition and surface diffusion evolve during and after selective dissolution (</w:t>
      </w:r>
      <w:proofErr w:type="spellStart"/>
      <w:r w:rsidRPr="006B0B80">
        <w:t>Rurainsky</w:t>
      </w:r>
      <w:proofErr w:type="spellEnd"/>
      <w:r w:rsidRPr="006B0B80">
        <w:t xml:space="preserve"> et al., 2020; Sang et al., 2022). Anodic oxides can be annealed and then hydroxylated or defect-modified in electrolyte. Exfoliated sheets can adsorb ions, </w:t>
      </w:r>
      <w:proofErr w:type="spellStart"/>
      <w:r w:rsidRPr="006B0B80">
        <w:t>oxidise</w:t>
      </w:r>
      <w:proofErr w:type="spellEnd"/>
      <w:r w:rsidRPr="006B0B80">
        <w:t xml:space="preserve"> at edges or restack during electrode fabrication. As-prepared microscopy is therefore necessary for manufacturing control but insufficient to identify the state responsible for sustained performance.</w:t>
      </w:r>
    </w:p>
    <w:p w14:paraId="6CA83BC4" w14:textId="77777777" w:rsidR="00606B00" w:rsidRPr="006B0B80" w:rsidRDefault="00000000" w:rsidP="008C29E6">
      <w:pPr>
        <w:pStyle w:val="BodyText"/>
        <w:jc w:val="both"/>
      </w:pPr>
      <w:r w:rsidRPr="006B0B80">
        <w:t xml:space="preserve">Reproducibility is also challenged by incomplete reporting of electrochemical boundary conditions. Reference-electrode identity and calibration, electrolyte purity, electrode spacing, cell geometry, agitation, temperature, uncompensated resistance and pretreatment can all affect nanoscale growth. For templated deposition, pore wetting and barrier-layer treatment are equally important. For exfoliation, graphite source and crystal quality can alter intercalation pathways. For </w:t>
      </w:r>
      <w:proofErr w:type="spellStart"/>
      <w:r w:rsidRPr="006B0B80">
        <w:t>anodisation</w:t>
      </w:r>
      <w:proofErr w:type="spellEnd"/>
      <w:r w:rsidRPr="006B0B80">
        <w:t>, small differences in water or fluoride content can markedly alter tube morphology (David et al., 2022; Lim et al., 2026). Reporting a voltage, duration and electrolyte salt without these contextual variables is rarely sufficient for replication.</w:t>
      </w:r>
    </w:p>
    <w:p w14:paraId="0D09B130" w14:textId="77777777" w:rsidR="00606B00" w:rsidRPr="006B0B80" w:rsidRDefault="00000000" w:rsidP="008C29E6">
      <w:pPr>
        <w:pStyle w:val="BodyText"/>
        <w:jc w:val="both"/>
      </w:pPr>
      <w:r w:rsidRPr="006B0B80">
        <w:t>Statistical treatment remains uneven because nanomaterials papers often report a representative micrograph and a single electrochemical curve. Morphological distributions should be quantified across independent synthesis batches, not only multiple particles from one field of view. Electrochemical replicates should be based on independently prepared electrodes when fabrication variability is relevant. This distinction matters because a narrow within-electrode error can coexist with large batch-to-batch variation. Manufacturing claims require the latter to be measured. Continuous routes such as rotating electrodeposition make this need even more explicit because drift over process time can produce systematic rather than random variability (Huang et al., 2020).</w:t>
      </w:r>
    </w:p>
    <w:p w14:paraId="47DF2FF7" w14:textId="77777777" w:rsidR="00606B00" w:rsidRPr="006B0B80" w:rsidRDefault="00000000" w:rsidP="008C29E6">
      <w:pPr>
        <w:pStyle w:val="BodyText"/>
        <w:jc w:val="both"/>
      </w:pPr>
      <w:r w:rsidRPr="006B0B80">
        <w:t xml:space="preserve">The scale of </w:t>
      </w:r>
      <w:proofErr w:type="spellStart"/>
      <w:r w:rsidRPr="006B0B80">
        <w:t>characterisation</w:t>
      </w:r>
      <w:proofErr w:type="spellEnd"/>
      <w:r w:rsidRPr="006B0B80">
        <w:t xml:space="preserve"> should also match the scale of the claim. SECCM can identify local structure-activity relationships but requires sufficient spatial sampling to support an ensemble conclusion (Gaudin et al., 2024; </w:t>
      </w:r>
      <w:proofErr w:type="spellStart"/>
      <w:r w:rsidRPr="006B0B80">
        <w:t>Jayamaha</w:t>
      </w:r>
      <w:proofErr w:type="spellEnd"/>
      <w:r w:rsidRPr="006B0B80">
        <w:t xml:space="preserve"> et al., 2024). EQCM can resolve mass changes on a quartz resonator but may not reproduce transport in a thick porous production electrode (Zhao et al., 2022). EIS can </w:t>
      </w:r>
      <w:proofErr w:type="spellStart"/>
      <w:r w:rsidRPr="006B0B80">
        <w:t>characterise</w:t>
      </w:r>
      <w:proofErr w:type="spellEnd"/>
      <w:r w:rsidRPr="006B0B80">
        <w:t xml:space="preserve"> an assembled device but </w:t>
      </w:r>
      <w:r w:rsidRPr="006B0B80">
        <w:lastRenderedPageBreak/>
        <w:t xml:space="preserve">its fitted elements may be non-unique (Ciucci, 2019). Strong studies deliberately connect these scales rather than choosing only the measurement that produces the most </w:t>
      </w:r>
      <w:proofErr w:type="spellStart"/>
      <w:r w:rsidRPr="006B0B80">
        <w:t>favourable</w:t>
      </w:r>
      <w:proofErr w:type="spellEnd"/>
      <w:r w:rsidRPr="006B0B80">
        <w:t xml:space="preserve"> descriptor.</w:t>
      </w:r>
    </w:p>
    <w:p w14:paraId="583FF30A" w14:textId="77777777" w:rsidR="00606B00" w:rsidRPr="006B0B80" w:rsidRDefault="00000000" w:rsidP="008C29E6">
      <w:pPr>
        <w:pStyle w:val="BodyText"/>
        <w:jc w:val="both"/>
      </w:pPr>
      <w:r w:rsidRPr="006B0B80">
        <w:t>Table 3 groups the most recurrent confounders and the controls that can reduce them. The dominant risk is not random error but plausible alternative explanation. A nanoscale morphology may truly improve performance, yet without controls it may be impossible to know whether the gain arose from area, composition, loading, contact, transport or active-state reconstruction. This is why methodological transparency is part of mechanism, not merely a reporting preference.</w:t>
      </w:r>
    </w:p>
    <w:p w14:paraId="285BBE72" w14:textId="77777777" w:rsidR="00606B00" w:rsidRPr="006B0B80" w:rsidRDefault="00000000" w:rsidP="008C29E6">
      <w:pPr>
        <w:pStyle w:val="TableCaption"/>
        <w:keepNext/>
        <w:keepLines/>
        <w:jc w:val="both"/>
      </w:pPr>
      <w:r w:rsidRPr="006B0B80">
        <w:t>Table 3. Recurrent confounders in electrochemical nanomaterials studies and preferred controls</w:t>
      </w:r>
    </w:p>
    <w:tbl>
      <w:tblPr>
        <w:tblStyle w:val="TableGrid"/>
        <w:tblW w:w="0" w:type="auto"/>
        <w:jc w:val="center"/>
        <w:tblLayout w:type="fixed"/>
        <w:tblLook w:val="04A0" w:firstRow="1" w:lastRow="0" w:firstColumn="1" w:lastColumn="0" w:noHBand="0" w:noVBand="1"/>
      </w:tblPr>
      <w:tblGrid>
        <w:gridCol w:w="2016"/>
        <w:gridCol w:w="2016"/>
        <w:gridCol w:w="2016"/>
        <w:gridCol w:w="3125"/>
        <w:gridCol w:w="2016"/>
      </w:tblGrid>
      <w:tr w:rsidR="006B0B80" w:rsidRPr="006B0B80" w14:paraId="2A7141FF" w14:textId="77777777" w:rsidTr="006B0B80">
        <w:trPr>
          <w:cantSplit/>
          <w:tblHeader/>
          <w:jc w:val="center"/>
        </w:trPr>
        <w:tc>
          <w:tcPr>
            <w:tcW w:w="1469" w:type="dxa"/>
            <w:tcMar>
              <w:top w:w="70" w:type="dxa"/>
              <w:left w:w="80" w:type="dxa"/>
              <w:bottom w:w="70" w:type="dxa"/>
              <w:right w:w="80" w:type="dxa"/>
            </w:tcMar>
            <w:vAlign w:val="center"/>
          </w:tcPr>
          <w:p w14:paraId="62A5DFE6" w14:textId="77777777" w:rsidR="00606B00" w:rsidRPr="006B0B80" w:rsidRDefault="00000000" w:rsidP="008C29E6">
            <w:pPr>
              <w:jc w:val="both"/>
            </w:pPr>
            <w:r w:rsidRPr="006B0B80">
              <w:rPr>
                <w:rFonts w:ascii="Arial" w:hAnsi="Arial"/>
                <w:b/>
                <w:sz w:val="17"/>
              </w:rPr>
              <w:t>Claim under test</w:t>
            </w:r>
          </w:p>
        </w:tc>
        <w:tc>
          <w:tcPr>
            <w:tcW w:w="1800" w:type="dxa"/>
            <w:tcMar>
              <w:top w:w="70" w:type="dxa"/>
              <w:left w:w="80" w:type="dxa"/>
              <w:bottom w:w="70" w:type="dxa"/>
              <w:right w:w="80" w:type="dxa"/>
            </w:tcMar>
            <w:vAlign w:val="center"/>
          </w:tcPr>
          <w:p w14:paraId="108B5525" w14:textId="77777777" w:rsidR="00606B00" w:rsidRPr="006B0B80" w:rsidRDefault="00000000" w:rsidP="008C29E6">
            <w:pPr>
              <w:jc w:val="both"/>
            </w:pPr>
            <w:r w:rsidRPr="006B0B80">
              <w:rPr>
                <w:rFonts w:ascii="Arial" w:hAnsi="Arial"/>
                <w:b/>
                <w:sz w:val="17"/>
              </w:rPr>
              <w:t>Plausible confounder</w:t>
            </w:r>
          </w:p>
        </w:tc>
        <w:tc>
          <w:tcPr>
            <w:tcW w:w="1872" w:type="dxa"/>
            <w:tcMar>
              <w:top w:w="70" w:type="dxa"/>
              <w:left w:w="80" w:type="dxa"/>
              <w:bottom w:w="70" w:type="dxa"/>
              <w:right w:w="80" w:type="dxa"/>
            </w:tcMar>
            <w:vAlign w:val="center"/>
          </w:tcPr>
          <w:p w14:paraId="4C4E3712" w14:textId="77777777" w:rsidR="00606B00" w:rsidRPr="006B0B80" w:rsidRDefault="00000000" w:rsidP="008C29E6">
            <w:pPr>
              <w:jc w:val="both"/>
            </w:pPr>
            <w:r w:rsidRPr="006B0B80">
              <w:rPr>
                <w:rFonts w:ascii="Arial" w:hAnsi="Arial"/>
                <w:b/>
                <w:sz w:val="17"/>
              </w:rPr>
              <w:t>Why it matters</w:t>
            </w:r>
          </w:p>
        </w:tc>
        <w:tc>
          <w:tcPr>
            <w:tcW w:w="3125" w:type="dxa"/>
            <w:tcMar>
              <w:top w:w="70" w:type="dxa"/>
              <w:left w:w="80" w:type="dxa"/>
              <w:bottom w:w="70" w:type="dxa"/>
              <w:right w:w="80" w:type="dxa"/>
            </w:tcMar>
            <w:vAlign w:val="center"/>
          </w:tcPr>
          <w:p w14:paraId="6FA38414" w14:textId="77777777" w:rsidR="00606B00" w:rsidRPr="006B0B80" w:rsidRDefault="00000000" w:rsidP="008C29E6">
            <w:pPr>
              <w:jc w:val="both"/>
            </w:pPr>
            <w:r w:rsidRPr="006B0B80">
              <w:rPr>
                <w:rFonts w:ascii="Arial" w:hAnsi="Arial"/>
                <w:b/>
                <w:sz w:val="17"/>
              </w:rPr>
              <w:t>Preferred control or corroboration</w:t>
            </w:r>
          </w:p>
        </w:tc>
        <w:tc>
          <w:tcPr>
            <w:tcW w:w="1728" w:type="dxa"/>
            <w:tcMar>
              <w:top w:w="70" w:type="dxa"/>
              <w:left w:w="80" w:type="dxa"/>
              <w:bottom w:w="70" w:type="dxa"/>
              <w:right w:w="80" w:type="dxa"/>
            </w:tcMar>
            <w:vAlign w:val="center"/>
          </w:tcPr>
          <w:p w14:paraId="6F0EEB99" w14:textId="77777777" w:rsidR="00606B00" w:rsidRPr="006B0B80" w:rsidRDefault="00000000" w:rsidP="008C29E6">
            <w:pPr>
              <w:jc w:val="both"/>
            </w:pPr>
            <w:r w:rsidRPr="006B0B80">
              <w:rPr>
                <w:rFonts w:ascii="Arial" w:hAnsi="Arial"/>
                <w:b/>
                <w:sz w:val="17"/>
              </w:rPr>
              <w:t>Supporting references</w:t>
            </w:r>
          </w:p>
        </w:tc>
      </w:tr>
      <w:tr w:rsidR="006B0B80" w:rsidRPr="006B0B80" w14:paraId="6AB74E60" w14:textId="77777777" w:rsidTr="006B0B80">
        <w:trPr>
          <w:cantSplit/>
          <w:jc w:val="center"/>
        </w:trPr>
        <w:tc>
          <w:tcPr>
            <w:tcW w:w="2016" w:type="dxa"/>
            <w:tcMar>
              <w:top w:w="70" w:type="dxa"/>
              <w:left w:w="80" w:type="dxa"/>
              <w:bottom w:w="70" w:type="dxa"/>
              <w:right w:w="80" w:type="dxa"/>
            </w:tcMar>
            <w:vAlign w:val="center"/>
          </w:tcPr>
          <w:p w14:paraId="55FD9F63" w14:textId="77777777" w:rsidR="00606B00" w:rsidRPr="006B0B80" w:rsidRDefault="00000000" w:rsidP="008C29E6">
            <w:pPr>
              <w:jc w:val="both"/>
            </w:pPr>
            <w:proofErr w:type="spellStart"/>
            <w:r w:rsidRPr="006B0B80">
              <w:rPr>
                <w:rFonts w:ascii="Arial" w:hAnsi="Arial"/>
                <w:sz w:val="17"/>
              </w:rPr>
              <w:t>Nanostructuring</w:t>
            </w:r>
            <w:proofErr w:type="spellEnd"/>
            <w:r w:rsidRPr="006B0B80">
              <w:rPr>
                <w:rFonts w:ascii="Arial" w:hAnsi="Arial"/>
                <w:sz w:val="17"/>
              </w:rPr>
              <w:t xml:space="preserve"> increases intrinsic electrocatalytic activity</w:t>
            </w:r>
          </w:p>
        </w:tc>
        <w:tc>
          <w:tcPr>
            <w:tcW w:w="2016" w:type="dxa"/>
            <w:tcMar>
              <w:top w:w="70" w:type="dxa"/>
              <w:left w:w="80" w:type="dxa"/>
              <w:bottom w:w="70" w:type="dxa"/>
              <w:right w:w="80" w:type="dxa"/>
            </w:tcMar>
            <w:vAlign w:val="center"/>
          </w:tcPr>
          <w:p w14:paraId="7DD88B4D" w14:textId="77777777" w:rsidR="00606B00" w:rsidRPr="006B0B80" w:rsidRDefault="00000000" w:rsidP="008C29E6">
            <w:pPr>
              <w:jc w:val="both"/>
            </w:pPr>
            <w:r w:rsidRPr="006B0B80">
              <w:rPr>
                <w:rFonts w:ascii="Arial" w:hAnsi="Arial"/>
                <w:sz w:val="17"/>
              </w:rPr>
              <w:t>Higher loading or accessible surface area</w:t>
            </w:r>
          </w:p>
        </w:tc>
        <w:tc>
          <w:tcPr>
            <w:tcW w:w="2016" w:type="dxa"/>
            <w:tcMar>
              <w:top w:w="70" w:type="dxa"/>
              <w:left w:w="80" w:type="dxa"/>
              <w:bottom w:w="70" w:type="dxa"/>
              <w:right w:w="80" w:type="dxa"/>
            </w:tcMar>
            <w:vAlign w:val="center"/>
          </w:tcPr>
          <w:p w14:paraId="77651037" w14:textId="77777777" w:rsidR="00606B00" w:rsidRPr="006B0B80" w:rsidRDefault="00000000" w:rsidP="008C29E6">
            <w:pPr>
              <w:jc w:val="both"/>
            </w:pPr>
            <w:r w:rsidRPr="006B0B80">
              <w:rPr>
                <w:rFonts w:ascii="Arial" w:hAnsi="Arial"/>
                <w:sz w:val="17"/>
              </w:rPr>
              <w:t>Geometric current can increase without a change in site-specific kinetics</w:t>
            </w:r>
          </w:p>
        </w:tc>
        <w:tc>
          <w:tcPr>
            <w:tcW w:w="2016" w:type="dxa"/>
            <w:tcMar>
              <w:top w:w="70" w:type="dxa"/>
              <w:left w:w="80" w:type="dxa"/>
              <w:bottom w:w="70" w:type="dxa"/>
              <w:right w:w="80" w:type="dxa"/>
            </w:tcMar>
            <w:vAlign w:val="center"/>
          </w:tcPr>
          <w:p w14:paraId="7B2C08EF" w14:textId="77777777" w:rsidR="00606B00" w:rsidRPr="006B0B80" w:rsidRDefault="00000000" w:rsidP="008C29E6">
            <w:pPr>
              <w:jc w:val="both"/>
            </w:pPr>
            <w:r w:rsidRPr="006B0B80">
              <w:rPr>
                <w:rFonts w:ascii="Arial" w:hAnsi="Arial"/>
                <w:sz w:val="17"/>
              </w:rPr>
              <w:t xml:space="preserve">Matched loading; geometric, mass and justified area </w:t>
            </w:r>
            <w:proofErr w:type="spellStart"/>
            <w:r w:rsidRPr="006B0B80">
              <w:rPr>
                <w:rFonts w:ascii="Arial" w:hAnsi="Arial"/>
                <w:sz w:val="17"/>
              </w:rPr>
              <w:t>normalisation</w:t>
            </w:r>
            <w:proofErr w:type="spellEnd"/>
            <w:r w:rsidRPr="006B0B80">
              <w:rPr>
                <w:rFonts w:ascii="Arial" w:hAnsi="Arial"/>
                <w:sz w:val="17"/>
              </w:rPr>
              <w:t>; product quantification</w:t>
            </w:r>
          </w:p>
        </w:tc>
        <w:tc>
          <w:tcPr>
            <w:tcW w:w="2016" w:type="dxa"/>
            <w:tcMar>
              <w:top w:w="70" w:type="dxa"/>
              <w:left w:w="80" w:type="dxa"/>
              <w:bottom w:w="70" w:type="dxa"/>
              <w:right w:w="80" w:type="dxa"/>
            </w:tcMar>
            <w:vAlign w:val="center"/>
          </w:tcPr>
          <w:p w14:paraId="635FBBDF" w14:textId="77777777" w:rsidR="00606B00" w:rsidRPr="006B0B80" w:rsidRDefault="00000000" w:rsidP="008C29E6">
            <w:pPr>
              <w:jc w:val="both"/>
            </w:pPr>
            <w:r w:rsidRPr="006B0B80">
              <w:rPr>
                <w:rFonts w:ascii="Arial" w:hAnsi="Arial"/>
                <w:sz w:val="17"/>
              </w:rPr>
              <w:t xml:space="preserve">(McCrory et al., 2013; McCrory et al., 2015; Trasatti &amp; </w:t>
            </w:r>
            <w:proofErr w:type="spellStart"/>
            <w:r w:rsidRPr="006B0B80">
              <w:rPr>
                <w:rFonts w:ascii="Arial" w:hAnsi="Arial"/>
                <w:sz w:val="17"/>
              </w:rPr>
              <w:t>Petrii</w:t>
            </w:r>
            <w:proofErr w:type="spellEnd"/>
            <w:r w:rsidRPr="006B0B80">
              <w:rPr>
                <w:rFonts w:ascii="Arial" w:hAnsi="Arial"/>
                <w:sz w:val="17"/>
              </w:rPr>
              <w:t>, 1991)</w:t>
            </w:r>
          </w:p>
        </w:tc>
      </w:tr>
      <w:tr w:rsidR="006B0B80" w:rsidRPr="006B0B80" w14:paraId="4CCBEF36" w14:textId="77777777" w:rsidTr="006B0B80">
        <w:trPr>
          <w:cantSplit/>
          <w:jc w:val="center"/>
        </w:trPr>
        <w:tc>
          <w:tcPr>
            <w:tcW w:w="2016" w:type="dxa"/>
            <w:tcMar>
              <w:top w:w="70" w:type="dxa"/>
              <w:left w:w="80" w:type="dxa"/>
              <w:bottom w:w="70" w:type="dxa"/>
              <w:right w:w="80" w:type="dxa"/>
            </w:tcMar>
            <w:vAlign w:val="center"/>
          </w:tcPr>
          <w:p w14:paraId="15469617" w14:textId="77777777" w:rsidR="00606B00" w:rsidRPr="006B0B80" w:rsidRDefault="00000000" w:rsidP="008C29E6">
            <w:pPr>
              <w:jc w:val="both"/>
            </w:pPr>
            <w:r w:rsidRPr="006B0B80">
              <w:rPr>
                <w:rFonts w:ascii="Arial" w:hAnsi="Arial"/>
                <w:sz w:val="17"/>
              </w:rPr>
              <w:t>Pulse deposition improves morphology</w:t>
            </w:r>
          </w:p>
        </w:tc>
        <w:tc>
          <w:tcPr>
            <w:tcW w:w="2016" w:type="dxa"/>
            <w:tcMar>
              <w:top w:w="70" w:type="dxa"/>
              <w:left w:w="80" w:type="dxa"/>
              <w:bottom w:w="70" w:type="dxa"/>
              <w:right w:w="80" w:type="dxa"/>
            </w:tcMar>
            <w:vAlign w:val="center"/>
          </w:tcPr>
          <w:p w14:paraId="4FF8A255" w14:textId="77777777" w:rsidR="00606B00" w:rsidRPr="006B0B80" w:rsidRDefault="00000000" w:rsidP="008C29E6">
            <w:pPr>
              <w:jc w:val="both"/>
            </w:pPr>
            <w:r w:rsidRPr="006B0B80">
              <w:rPr>
                <w:rFonts w:ascii="Arial" w:hAnsi="Arial"/>
                <w:sz w:val="17"/>
              </w:rPr>
              <w:t>Composition, impurity incorporation or side reactions also change</w:t>
            </w:r>
          </w:p>
        </w:tc>
        <w:tc>
          <w:tcPr>
            <w:tcW w:w="2016" w:type="dxa"/>
            <w:tcMar>
              <w:top w:w="70" w:type="dxa"/>
              <w:left w:w="80" w:type="dxa"/>
              <w:bottom w:w="70" w:type="dxa"/>
              <w:right w:w="80" w:type="dxa"/>
            </w:tcMar>
            <w:vAlign w:val="center"/>
          </w:tcPr>
          <w:p w14:paraId="107876A4" w14:textId="77777777" w:rsidR="00606B00" w:rsidRPr="006B0B80" w:rsidRDefault="00000000" w:rsidP="008C29E6">
            <w:pPr>
              <w:jc w:val="both"/>
            </w:pPr>
            <w:r w:rsidRPr="006B0B80">
              <w:rPr>
                <w:rFonts w:ascii="Arial" w:hAnsi="Arial"/>
                <w:sz w:val="17"/>
              </w:rPr>
              <w:t>The waveform changes interfacial concentration and reaction selectivity as well as nucleation</w:t>
            </w:r>
          </w:p>
        </w:tc>
        <w:tc>
          <w:tcPr>
            <w:tcW w:w="2016" w:type="dxa"/>
            <w:tcMar>
              <w:top w:w="70" w:type="dxa"/>
              <w:left w:w="80" w:type="dxa"/>
              <w:bottom w:w="70" w:type="dxa"/>
              <w:right w:w="80" w:type="dxa"/>
            </w:tcMar>
            <w:vAlign w:val="center"/>
          </w:tcPr>
          <w:p w14:paraId="786C2A4C" w14:textId="77777777" w:rsidR="00606B00" w:rsidRPr="006B0B80" w:rsidRDefault="00000000" w:rsidP="008C29E6">
            <w:pPr>
              <w:jc w:val="both"/>
            </w:pPr>
            <w:r w:rsidRPr="006B0B80">
              <w:rPr>
                <w:rFonts w:ascii="Arial" w:hAnsi="Arial"/>
                <w:sz w:val="17"/>
              </w:rPr>
              <w:t>Measure composition, current efficiency and morphology across the same waveform series</w:t>
            </w:r>
          </w:p>
        </w:tc>
        <w:tc>
          <w:tcPr>
            <w:tcW w:w="2016" w:type="dxa"/>
            <w:tcMar>
              <w:top w:w="70" w:type="dxa"/>
              <w:left w:w="80" w:type="dxa"/>
              <w:bottom w:w="70" w:type="dxa"/>
              <w:right w:w="80" w:type="dxa"/>
            </w:tcMar>
            <w:vAlign w:val="center"/>
          </w:tcPr>
          <w:p w14:paraId="689F92B4" w14:textId="77777777" w:rsidR="00606B00" w:rsidRPr="006B0B80" w:rsidRDefault="00000000" w:rsidP="008C29E6">
            <w:pPr>
              <w:jc w:val="both"/>
            </w:pPr>
            <w:r w:rsidRPr="006B0B80">
              <w:rPr>
                <w:rFonts w:ascii="Arial" w:hAnsi="Arial"/>
                <w:sz w:val="17"/>
              </w:rPr>
              <w:t>(Bernal &amp; Ustarroz, 2021; Tovar-Oliva &amp; Tudela, 2024)</w:t>
            </w:r>
          </w:p>
        </w:tc>
      </w:tr>
      <w:tr w:rsidR="006B0B80" w:rsidRPr="006B0B80" w14:paraId="2696B814" w14:textId="77777777" w:rsidTr="006B0B80">
        <w:trPr>
          <w:cantSplit/>
          <w:jc w:val="center"/>
        </w:trPr>
        <w:tc>
          <w:tcPr>
            <w:tcW w:w="2016" w:type="dxa"/>
            <w:tcMar>
              <w:top w:w="70" w:type="dxa"/>
              <w:left w:w="80" w:type="dxa"/>
              <w:bottom w:w="70" w:type="dxa"/>
              <w:right w:w="80" w:type="dxa"/>
            </w:tcMar>
            <w:vAlign w:val="center"/>
          </w:tcPr>
          <w:p w14:paraId="46A4D311" w14:textId="77777777" w:rsidR="00606B00" w:rsidRPr="006B0B80" w:rsidRDefault="00000000" w:rsidP="008C29E6">
            <w:pPr>
              <w:jc w:val="both"/>
            </w:pPr>
            <w:r w:rsidRPr="006B0B80">
              <w:rPr>
                <w:rFonts w:ascii="Arial" w:hAnsi="Arial"/>
                <w:sz w:val="17"/>
              </w:rPr>
              <w:t>Template size determines nanowire quality</w:t>
            </w:r>
          </w:p>
        </w:tc>
        <w:tc>
          <w:tcPr>
            <w:tcW w:w="2016" w:type="dxa"/>
            <w:tcMar>
              <w:top w:w="70" w:type="dxa"/>
              <w:left w:w="80" w:type="dxa"/>
              <w:bottom w:w="70" w:type="dxa"/>
              <w:right w:w="80" w:type="dxa"/>
            </w:tcMar>
            <w:vAlign w:val="center"/>
          </w:tcPr>
          <w:p w14:paraId="3C4214F5" w14:textId="77777777" w:rsidR="00606B00" w:rsidRPr="006B0B80" w:rsidRDefault="00000000" w:rsidP="008C29E6">
            <w:pPr>
              <w:jc w:val="both"/>
            </w:pPr>
            <w:r w:rsidRPr="006B0B80">
              <w:rPr>
                <w:rFonts w:ascii="Arial" w:hAnsi="Arial"/>
                <w:sz w:val="17"/>
              </w:rPr>
              <w:t>Pore wetting and diffusion vary across the template</w:t>
            </w:r>
          </w:p>
        </w:tc>
        <w:tc>
          <w:tcPr>
            <w:tcW w:w="2016" w:type="dxa"/>
            <w:tcMar>
              <w:top w:w="70" w:type="dxa"/>
              <w:left w:w="80" w:type="dxa"/>
              <w:bottom w:w="70" w:type="dxa"/>
              <w:right w:w="80" w:type="dxa"/>
            </w:tcMar>
            <w:vAlign w:val="center"/>
          </w:tcPr>
          <w:p w14:paraId="4E2AD66A" w14:textId="77777777" w:rsidR="00606B00" w:rsidRPr="006B0B80" w:rsidRDefault="00000000" w:rsidP="008C29E6">
            <w:pPr>
              <w:jc w:val="both"/>
            </w:pPr>
            <w:r w:rsidRPr="006B0B80">
              <w:rPr>
                <w:rFonts w:ascii="Arial" w:hAnsi="Arial"/>
                <w:sz w:val="17"/>
              </w:rPr>
              <w:t>Nominal pore diameter does not guarantee complete or uniform filling</w:t>
            </w:r>
          </w:p>
        </w:tc>
        <w:tc>
          <w:tcPr>
            <w:tcW w:w="2016" w:type="dxa"/>
            <w:tcMar>
              <w:top w:w="70" w:type="dxa"/>
              <w:left w:w="80" w:type="dxa"/>
              <w:bottom w:w="70" w:type="dxa"/>
              <w:right w:w="80" w:type="dxa"/>
            </w:tcMar>
            <w:vAlign w:val="center"/>
          </w:tcPr>
          <w:p w14:paraId="5C70916C" w14:textId="77777777" w:rsidR="00606B00" w:rsidRPr="006B0B80" w:rsidRDefault="00000000" w:rsidP="008C29E6">
            <w:pPr>
              <w:jc w:val="both"/>
            </w:pPr>
            <w:r w:rsidRPr="006B0B80">
              <w:rPr>
                <w:rFonts w:ascii="Arial" w:hAnsi="Arial"/>
                <w:sz w:val="17"/>
              </w:rPr>
              <w:t>Cross-sectional filling analysis and transport-aware deposition controls</w:t>
            </w:r>
          </w:p>
        </w:tc>
        <w:tc>
          <w:tcPr>
            <w:tcW w:w="2016" w:type="dxa"/>
            <w:tcMar>
              <w:top w:w="70" w:type="dxa"/>
              <w:left w:w="80" w:type="dxa"/>
              <w:bottom w:w="70" w:type="dxa"/>
              <w:right w:w="80" w:type="dxa"/>
            </w:tcMar>
            <w:vAlign w:val="center"/>
          </w:tcPr>
          <w:p w14:paraId="6587D22B" w14:textId="77777777" w:rsidR="00606B00" w:rsidRPr="006B0B80" w:rsidRDefault="00000000" w:rsidP="008C29E6">
            <w:pPr>
              <w:jc w:val="both"/>
            </w:pPr>
            <w:r w:rsidRPr="006B0B80">
              <w:rPr>
                <w:rFonts w:ascii="Arial" w:hAnsi="Arial"/>
                <w:sz w:val="17"/>
              </w:rPr>
              <w:t>(</w:t>
            </w:r>
            <w:proofErr w:type="spellStart"/>
            <w:r w:rsidRPr="006B0B80">
              <w:rPr>
                <w:rFonts w:ascii="Arial" w:hAnsi="Arial"/>
                <w:sz w:val="17"/>
              </w:rPr>
              <w:t>Bograchev</w:t>
            </w:r>
            <w:proofErr w:type="spellEnd"/>
            <w:r w:rsidRPr="006B0B80">
              <w:rPr>
                <w:rFonts w:ascii="Arial" w:hAnsi="Arial"/>
                <w:sz w:val="17"/>
              </w:rPr>
              <w:t xml:space="preserve"> et al., 2025)</w:t>
            </w:r>
          </w:p>
        </w:tc>
      </w:tr>
      <w:tr w:rsidR="006B0B80" w:rsidRPr="00D77772" w14:paraId="1B049855" w14:textId="77777777" w:rsidTr="006B0B80">
        <w:trPr>
          <w:cantSplit/>
          <w:jc w:val="center"/>
        </w:trPr>
        <w:tc>
          <w:tcPr>
            <w:tcW w:w="2016" w:type="dxa"/>
            <w:tcMar>
              <w:top w:w="70" w:type="dxa"/>
              <w:left w:w="80" w:type="dxa"/>
              <w:bottom w:w="70" w:type="dxa"/>
              <w:right w:w="80" w:type="dxa"/>
            </w:tcMar>
            <w:vAlign w:val="center"/>
          </w:tcPr>
          <w:p w14:paraId="7F20A5C9" w14:textId="77777777" w:rsidR="00606B00" w:rsidRPr="006B0B80" w:rsidRDefault="00000000" w:rsidP="008C29E6">
            <w:pPr>
              <w:jc w:val="both"/>
            </w:pPr>
            <w:proofErr w:type="spellStart"/>
            <w:r w:rsidRPr="006B0B80">
              <w:rPr>
                <w:rFonts w:ascii="Arial" w:hAnsi="Arial"/>
                <w:sz w:val="17"/>
              </w:rPr>
              <w:t>Anodisation</w:t>
            </w:r>
            <w:proofErr w:type="spellEnd"/>
            <w:r w:rsidRPr="006B0B80">
              <w:rPr>
                <w:rFonts w:ascii="Arial" w:hAnsi="Arial"/>
                <w:sz w:val="17"/>
              </w:rPr>
              <w:t xml:space="preserve"> variable controls tube dimension</w:t>
            </w:r>
          </w:p>
        </w:tc>
        <w:tc>
          <w:tcPr>
            <w:tcW w:w="2016" w:type="dxa"/>
            <w:tcMar>
              <w:top w:w="70" w:type="dxa"/>
              <w:left w:w="80" w:type="dxa"/>
              <w:bottom w:w="70" w:type="dxa"/>
              <w:right w:w="80" w:type="dxa"/>
            </w:tcMar>
            <w:vAlign w:val="center"/>
          </w:tcPr>
          <w:p w14:paraId="22851E03" w14:textId="77777777" w:rsidR="00606B00" w:rsidRPr="006B0B80" w:rsidRDefault="00000000" w:rsidP="008C29E6">
            <w:pPr>
              <w:jc w:val="both"/>
            </w:pPr>
            <w:r w:rsidRPr="006B0B80">
              <w:rPr>
                <w:rFonts w:ascii="Arial" w:hAnsi="Arial"/>
                <w:sz w:val="17"/>
              </w:rPr>
              <w:t>Electrolyte water/fluoride content and temperature co-vary</w:t>
            </w:r>
          </w:p>
        </w:tc>
        <w:tc>
          <w:tcPr>
            <w:tcW w:w="2016" w:type="dxa"/>
            <w:tcMar>
              <w:top w:w="70" w:type="dxa"/>
              <w:left w:w="80" w:type="dxa"/>
              <w:bottom w:w="70" w:type="dxa"/>
              <w:right w:w="80" w:type="dxa"/>
            </w:tcMar>
            <w:vAlign w:val="center"/>
          </w:tcPr>
          <w:p w14:paraId="67DD14A8" w14:textId="77777777" w:rsidR="00606B00" w:rsidRPr="006B0B80" w:rsidRDefault="00000000" w:rsidP="008C29E6">
            <w:pPr>
              <w:jc w:val="both"/>
            </w:pPr>
            <w:r w:rsidRPr="006B0B80">
              <w:rPr>
                <w:rFonts w:ascii="Arial" w:hAnsi="Arial"/>
                <w:sz w:val="17"/>
              </w:rPr>
              <w:t>Oxide formation and dissolution are simultaneously affected</w:t>
            </w:r>
          </w:p>
        </w:tc>
        <w:tc>
          <w:tcPr>
            <w:tcW w:w="2016" w:type="dxa"/>
            <w:tcMar>
              <w:top w:w="70" w:type="dxa"/>
              <w:left w:w="80" w:type="dxa"/>
              <w:bottom w:w="70" w:type="dxa"/>
              <w:right w:w="80" w:type="dxa"/>
            </w:tcMar>
            <w:vAlign w:val="center"/>
          </w:tcPr>
          <w:p w14:paraId="276E5A62" w14:textId="77777777" w:rsidR="00606B00" w:rsidRPr="006B0B80" w:rsidRDefault="00000000" w:rsidP="008C29E6">
            <w:pPr>
              <w:jc w:val="both"/>
            </w:pPr>
            <w:r w:rsidRPr="006B0B80">
              <w:rPr>
                <w:rFonts w:ascii="Arial" w:hAnsi="Arial"/>
                <w:sz w:val="17"/>
              </w:rPr>
              <w:t>Report full electrolyte and thermal history; quantify distributions across independent samples</w:t>
            </w:r>
          </w:p>
        </w:tc>
        <w:tc>
          <w:tcPr>
            <w:tcW w:w="2016" w:type="dxa"/>
            <w:tcMar>
              <w:top w:w="70" w:type="dxa"/>
              <w:left w:w="80" w:type="dxa"/>
              <w:bottom w:w="70" w:type="dxa"/>
              <w:right w:w="80" w:type="dxa"/>
            </w:tcMar>
            <w:vAlign w:val="center"/>
          </w:tcPr>
          <w:p w14:paraId="4F8E23EA" w14:textId="77777777" w:rsidR="00606B00" w:rsidRPr="00D77772" w:rsidRDefault="00000000" w:rsidP="008C29E6">
            <w:pPr>
              <w:jc w:val="both"/>
              <w:rPr>
                <w:lang w:val="nl-BE"/>
              </w:rPr>
            </w:pPr>
            <w:r w:rsidRPr="00D77772">
              <w:rPr>
                <w:rFonts w:ascii="Arial" w:hAnsi="Arial"/>
                <w:sz w:val="17"/>
                <w:lang w:val="nl-BE"/>
              </w:rPr>
              <w:t>(David et al., 2022; Lee et al., 2014)</w:t>
            </w:r>
          </w:p>
        </w:tc>
      </w:tr>
      <w:tr w:rsidR="006B0B80" w:rsidRPr="00D77772" w14:paraId="0538D2D3" w14:textId="77777777" w:rsidTr="006B0B80">
        <w:trPr>
          <w:cantSplit/>
          <w:jc w:val="center"/>
        </w:trPr>
        <w:tc>
          <w:tcPr>
            <w:tcW w:w="2016" w:type="dxa"/>
            <w:tcMar>
              <w:top w:w="70" w:type="dxa"/>
              <w:left w:w="80" w:type="dxa"/>
              <w:bottom w:w="70" w:type="dxa"/>
              <w:right w:w="80" w:type="dxa"/>
            </w:tcMar>
            <w:vAlign w:val="center"/>
          </w:tcPr>
          <w:p w14:paraId="1A54C3EE" w14:textId="77777777" w:rsidR="00606B00" w:rsidRPr="006B0B80" w:rsidRDefault="00000000" w:rsidP="008C29E6">
            <w:pPr>
              <w:jc w:val="both"/>
            </w:pPr>
            <w:r w:rsidRPr="006B0B80">
              <w:rPr>
                <w:rFonts w:ascii="Arial" w:hAnsi="Arial"/>
                <w:sz w:val="17"/>
              </w:rPr>
              <w:t>Exfoliation increases yield without damaging sheets</w:t>
            </w:r>
          </w:p>
        </w:tc>
        <w:tc>
          <w:tcPr>
            <w:tcW w:w="2016" w:type="dxa"/>
            <w:tcMar>
              <w:top w:w="70" w:type="dxa"/>
              <w:left w:w="80" w:type="dxa"/>
              <w:bottom w:w="70" w:type="dxa"/>
              <w:right w:w="80" w:type="dxa"/>
            </w:tcMar>
            <w:vAlign w:val="center"/>
          </w:tcPr>
          <w:p w14:paraId="40ED4D24" w14:textId="77777777" w:rsidR="00606B00" w:rsidRPr="006B0B80" w:rsidRDefault="00000000" w:rsidP="008C29E6">
            <w:pPr>
              <w:jc w:val="both"/>
            </w:pPr>
            <w:r w:rsidRPr="006B0B80">
              <w:rPr>
                <w:rFonts w:ascii="Arial" w:hAnsi="Arial"/>
                <w:sz w:val="17"/>
              </w:rPr>
              <w:t>Faster delamination increases oxidation or fragmentation</w:t>
            </w:r>
          </w:p>
        </w:tc>
        <w:tc>
          <w:tcPr>
            <w:tcW w:w="2016" w:type="dxa"/>
            <w:tcMar>
              <w:top w:w="70" w:type="dxa"/>
              <w:left w:w="80" w:type="dxa"/>
              <w:bottom w:w="70" w:type="dxa"/>
              <w:right w:w="80" w:type="dxa"/>
            </w:tcMar>
            <w:vAlign w:val="center"/>
          </w:tcPr>
          <w:p w14:paraId="6AB52316" w14:textId="77777777" w:rsidR="00606B00" w:rsidRPr="006B0B80" w:rsidRDefault="00000000" w:rsidP="008C29E6">
            <w:pPr>
              <w:jc w:val="both"/>
            </w:pPr>
            <w:r w:rsidRPr="006B0B80">
              <w:rPr>
                <w:rFonts w:ascii="Arial" w:hAnsi="Arial"/>
                <w:sz w:val="17"/>
              </w:rPr>
              <w:t>Recovered mass can rise while the usable quality fraction falls</w:t>
            </w:r>
          </w:p>
        </w:tc>
        <w:tc>
          <w:tcPr>
            <w:tcW w:w="2016" w:type="dxa"/>
            <w:tcMar>
              <w:top w:w="70" w:type="dxa"/>
              <w:left w:w="80" w:type="dxa"/>
              <w:bottom w:w="70" w:type="dxa"/>
              <w:right w:w="80" w:type="dxa"/>
            </w:tcMar>
            <w:vAlign w:val="center"/>
          </w:tcPr>
          <w:p w14:paraId="420FE7FF" w14:textId="77777777" w:rsidR="00606B00" w:rsidRPr="006B0B80" w:rsidRDefault="00000000" w:rsidP="008C29E6">
            <w:pPr>
              <w:jc w:val="both"/>
            </w:pPr>
            <w:r w:rsidRPr="006B0B80">
              <w:rPr>
                <w:rFonts w:ascii="Arial" w:hAnsi="Arial"/>
                <w:sz w:val="17"/>
              </w:rPr>
              <w:t>Report layer-number, lateral-size and defect distributions plus quality yield</w:t>
            </w:r>
          </w:p>
        </w:tc>
        <w:tc>
          <w:tcPr>
            <w:tcW w:w="2016" w:type="dxa"/>
            <w:tcMar>
              <w:top w:w="70" w:type="dxa"/>
              <w:left w:w="80" w:type="dxa"/>
              <w:bottom w:w="70" w:type="dxa"/>
              <w:right w:w="80" w:type="dxa"/>
            </w:tcMar>
            <w:vAlign w:val="center"/>
          </w:tcPr>
          <w:p w14:paraId="7743F5C7" w14:textId="77777777" w:rsidR="00606B00" w:rsidRPr="00D77772" w:rsidRDefault="00000000" w:rsidP="008C29E6">
            <w:pPr>
              <w:jc w:val="both"/>
              <w:rPr>
                <w:lang w:val="nl-BE"/>
              </w:rPr>
            </w:pPr>
            <w:r w:rsidRPr="00D77772">
              <w:rPr>
                <w:rFonts w:ascii="Arial" w:hAnsi="Arial"/>
                <w:sz w:val="17"/>
                <w:lang w:val="nl-BE"/>
              </w:rPr>
              <w:t>(Lim et al., 2026; Parvez et al., 2014; Yang et al., 2015)</w:t>
            </w:r>
          </w:p>
        </w:tc>
      </w:tr>
      <w:tr w:rsidR="006B0B80" w:rsidRPr="00D77772" w14:paraId="32DC447A" w14:textId="77777777" w:rsidTr="006B0B80">
        <w:trPr>
          <w:cantSplit/>
          <w:jc w:val="center"/>
        </w:trPr>
        <w:tc>
          <w:tcPr>
            <w:tcW w:w="2016" w:type="dxa"/>
            <w:tcMar>
              <w:top w:w="70" w:type="dxa"/>
              <w:left w:w="80" w:type="dxa"/>
              <w:bottom w:w="70" w:type="dxa"/>
              <w:right w:w="80" w:type="dxa"/>
            </w:tcMar>
            <w:vAlign w:val="center"/>
          </w:tcPr>
          <w:p w14:paraId="6FFCA21F" w14:textId="77777777" w:rsidR="00606B00" w:rsidRPr="006B0B80" w:rsidRDefault="00000000" w:rsidP="008C29E6">
            <w:pPr>
              <w:jc w:val="both"/>
            </w:pPr>
            <w:r w:rsidRPr="006B0B80">
              <w:rPr>
                <w:rFonts w:ascii="Arial" w:hAnsi="Arial"/>
                <w:sz w:val="17"/>
              </w:rPr>
              <w:t>Dealloying improves catalytic activity through porosity</w:t>
            </w:r>
          </w:p>
        </w:tc>
        <w:tc>
          <w:tcPr>
            <w:tcW w:w="2016" w:type="dxa"/>
            <w:tcMar>
              <w:top w:w="70" w:type="dxa"/>
              <w:left w:w="80" w:type="dxa"/>
              <w:bottom w:w="70" w:type="dxa"/>
              <w:right w:w="80" w:type="dxa"/>
            </w:tcMar>
            <w:vAlign w:val="center"/>
          </w:tcPr>
          <w:p w14:paraId="49E46550" w14:textId="77777777" w:rsidR="00606B00" w:rsidRPr="006B0B80" w:rsidRDefault="00000000" w:rsidP="008C29E6">
            <w:pPr>
              <w:jc w:val="both"/>
            </w:pPr>
            <w:r w:rsidRPr="006B0B80">
              <w:rPr>
                <w:rFonts w:ascii="Arial" w:hAnsi="Arial"/>
                <w:sz w:val="17"/>
              </w:rPr>
              <w:t>Residual alloy composition, strain and surface state change</w:t>
            </w:r>
          </w:p>
        </w:tc>
        <w:tc>
          <w:tcPr>
            <w:tcW w:w="2016" w:type="dxa"/>
            <w:tcMar>
              <w:top w:w="70" w:type="dxa"/>
              <w:left w:w="80" w:type="dxa"/>
              <w:bottom w:w="70" w:type="dxa"/>
              <w:right w:w="80" w:type="dxa"/>
            </w:tcMar>
            <w:vAlign w:val="center"/>
          </w:tcPr>
          <w:p w14:paraId="5A0F9730" w14:textId="77777777" w:rsidR="00606B00" w:rsidRPr="006B0B80" w:rsidRDefault="00000000" w:rsidP="008C29E6">
            <w:pPr>
              <w:jc w:val="both"/>
            </w:pPr>
            <w:r w:rsidRPr="006B0B80">
              <w:rPr>
                <w:rFonts w:ascii="Arial" w:hAnsi="Arial"/>
                <w:sz w:val="17"/>
              </w:rPr>
              <w:t>Area and intrinsic surface chemistry evolve together</w:t>
            </w:r>
          </w:p>
        </w:tc>
        <w:tc>
          <w:tcPr>
            <w:tcW w:w="2016" w:type="dxa"/>
            <w:tcMar>
              <w:top w:w="70" w:type="dxa"/>
              <w:left w:w="80" w:type="dxa"/>
              <w:bottom w:w="70" w:type="dxa"/>
              <w:right w:w="80" w:type="dxa"/>
            </w:tcMar>
            <w:vAlign w:val="center"/>
          </w:tcPr>
          <w:p w14:paraId="2327E036" w14:textId="77777777" w:rsidR="00606B00" w:rsidRPr="006B0B80" w:rsidRDefault="00000000" w:rsidP="008C29E6">
            <w:pPr>
              <w:jc w:val="both"/>
            </w:pPr>
            <w:r w:rsidRPr="006B0B80">
              <w:rPr>
                <w:rFonts w:ascii="Arial" w:hAnsi="Arial"/>
                <w:sz w:val="17"/>
              </w:rPr>
              <w:t xml:space="preserve">Measure residual composition, ligament size and activity </w:t>
            </w:r>
            <w:proofErr w:type="spellStart"/>
            <w:r w:rsidRPr="006B0B80">
              <w:rPr>
                <w:rFonts w:ascii="Arial" w:hAnsi="Arial"/>
                <w:sz w:val="17"/>
              </w:rPr>
              <w:t>normalised</w:t>
            </w:r>
            <w:proofErr w:type="spellEnd"/>
            <w:r w:rsidRPr="006B0B80">
              <w:rPr>
                <w:rFonts w:ascii="Arial" w:hAnsi="Arial"/>
                <w:sz w:val="17"/>
              </w:rPr>
              <w:t xml:space="preserve"> by multiple denominators</w:t>
            </w:r>
          </w:p>
        </w:tc>
        <w:tc>
          <w:tcPr>
            <w:tcW w:w="2016" w:type="dxa"/>
            <w:tcMar>
              <w:top w:w="70" w:type="dxa"/>
              <w:left w:w="80" w:type="dxa"/>
              <w:bottom w:w="70" w:type="dxa"/>
              <w:right w:w="80" w:type="dxa"/>
            </w:tcMar>
            <w:vAlign w:val="center"/>
          </w:tcPr>
          <w:p w14:paraId="4BD12DF1" w14:textId="77777777" w:rsidR="00606B00" w:rsidRPr="00D77772" w:rsidRDefault="00000000" w:rsidP="008C29E6">
            <w:pPr>
              <w:jc w:val="both"/>
              <w:rPr>
                <w:lang w:val="nl-BE"/>
              </w:rPr>
            </w:pPr>
            <w:r w:rsidRPr="00D77772">
              <w:rPr>
                <w:rFonts w:ascii="Arial" w:hAnsi="Arial"/>
                <w:sz w:val="17"/>
                <w:lang w:val="nl-BE"/>
              </w:rPr>
              <w:t>(Rurainsky et al., 2020; Sang et al., 2022)</w:t>
            </w:r>
          </w:p>
        </w:tc>
      </w:tr>
      <w:tr w:rsidR="006B0B80" w:rsidRPr="00D77772" w14:paraId="26B8C974" w14:textId="77777777" w:rsidTr="006B0B80">
        <w:trPr>
          <w:cantSplit/>
          <w:jc w:val="center"/>
        </w:trPr>
        <w:tc>
          <w:tcPr>
            <w:tcW w:w="2016" w:type="dxa"/>
            <w:tcMar>
              <w:top w:w="70" w:type="dxa"/>
              <w:left w:w="80" w:type="dxa"/>
              <w:bottom w:w="70" w:type="dxa"/>
              <w:right w:w="80" w:type="dxa"/>
            </w:tcMar>
            <w:vAlign w:val="center"/>
          </w:tcPr>
          <w:p w14:paraId="473BD290" w14:textId="77777777" w:rsidR="00606B00" w:rsidRPr="006B0B80" w:rsidRDefault="00000000" w:rsidP="008C29E6">
            <w:pPr>
              <w:jc w:val="both"/>
            </w:pPr>
            <w:r w:rsidRPr="006B0B80">
              <w:rPr>
                <w:rFonts w:ascii="Arial" w:hAnsi="Arial"/>
                <w:sz w:val="17"/>
              </w:rPr>
              <w:t>Local activity map represents the whole electrode</w:t>
            </w:r>
          </w:p>
        </w:tc>
        <w:tc>
          <w:tcPr>
            <w:tcW w:w="2016" w:type="dxa"/>
            <w:tcMar>
              <w:top w:w="70" w:type="dxa"/>
              <w:left w:w="80" w:type="dxa"/>
              <w:bottom w:w="70" w:type="dxa"/>
              <w:right w:w="80" w:type="dxa"/>
            </w:tcMar>
            <w:vAlign w:val="center"/>
          </w:tcPr>
          <w:p w14:paraId="5D09BAC6" w14:textId="77777777" w:rsidR="00606B00" w:rsidRPr="006B0B80" w:rsidRDefault="00000000" w:rsidP="008C29E6">
            <w:pPr>
              <w:jc w:val="both"/>
            </w:pPr>
            <w:r w:rsidRPr="006B0B80">
              <w:rPr>
                <w:rFonts w:ascii="Arial" w:hAnsi="Arial"/>
                <w:sz w:val="17"/>
              </w:rPr>
              <w:t>Spatial sampling is incomplete</w:t>
            </w:r>
          </w:p>
        </w:tc>
        <w:tc>
          <w:tcPr>
            <w:tcW w:w="2016" w:type="dxa"/>
            <w:tcMar>
              <w:top w:w="70" w:type="dxa"/>
              <w:left w:w="80" w:type="dxa"/>
              <w:bottom w:w="70" w:type="dxa"/>
              <w:right w:w="80" w:type="dxa"/>
            </w:tcMar>
            <w:vAlign w:val="center"/>
          </w:tcPr>
          <w:p w14:paraId="594F1D50" w14:textId="77777777" w:rsidR="00606B00" w:rsidRPr="006B0B80" w:rsidRDefault="00000000" w:rsidP="008C29E6">
            <w:pPr>
              <w:jc w:val="both"/>
            </w:pPr>
            <w:r w:rsidRPr="006B0B80">
              <w:rPr>
                <w:rFonts w:ascii="Arial" w:hAnsi="Arial"/>
                <w:sz w:val="17"/>
              </w:rPr>
              <w:t>Nanomaterial heterogeneity can make hotspots non-representative</w:t>
            </w:r>
          </w:p>
        </w:tc>
        <w:tc>
          <w:tcPr>
            <w:tcW w:w="2016" w:type="dxa"/>
            <w:tcMar>
              <w:top w:w="70" w:type="dxa"/>
              <w:left w:w="80" w:type="dxa"/>
              <w:bottom w:w="70" w:type="dxa"/>
              <w:right w:w="80" w:type="dxa"/>
            </w:tcMar>
            <w:vAlign w:val="center"/>
          </w:tcPr>
          <w:p w14:paraId="4B2468AB" w14:textId="77777777" w:rsidR="00606B00" w:rsidRPr="006B0B80" w:rsidRDefault="00000000" w:rsidP="008C29E6">
            <w:pPr>
              <w:jc w:val="both"/>
            </w:pPr>
            <w:r w:rsidRPr="006B0B80">
              <w:rPr>
                <w:rFonts w:ascii="Arial" w:hAnsi="Arial"/>
                <w:sz w:val="17"/>
              </w:rPr>
              <w:t>Predefined sampling strategy and correlative imaging at identical locations</w:t>
            </w:r>
          </w:p>
        </w:tc>
        <w:tc>
          <w:tcPr>
            <w:tcW w:w="2016" w:type="dxa"/>
            <w:tcMar>
              <w:top w:w="70" w:type="dxa"/>
              <w:left w:w="80" w:type="dxa"/>
              <w:bottom w:w="70" w:type="dxa"/>
              <w:right w:w="80" w:type="dxa"/>
            </w:tcMar>
            <w:vAlign w:val="center"/>
          </w:tcPr>
          <w:p w14:paraId="4ED04375" w14:textId="77777777" w:rsidR="00606B00" w:rsidRPr="00D77772" w:rsidRDefault="00000000" w:rsidP="008C29E6">
            <w:pPr>
              <w:jc w:val="both"/>
              <w:rPr>
                <w:lang w:val="nl-BE"/>
              </w:rPr>
            </w:pPr>
            <w:r w:rsidRPr="00D77772">
              <w:rPr>
                <w:rFonts w:ascii="Arial" w:hAnsi="Arial"/>
                <w:sz w:val="17"/>
                <w:lang w:val="nl-BE"/>
              </w:rPr>
              <w:t>(Gaudin et al., 2024; Jayamaha et al., 2024)</w:t>
            </w:r>
          </w:p>
        </w:tc>
      </w:tr>
    </w:tbl>
    <w:p w14:paraId="1A153AD7" w14:textId="77777777" w:rsidR="00606B00" w:rsidRPr="006B0B80" w:rsidRDefault="00000000" w:rsidP="008C29E6">
      <w:pPr>
        <w:spacing w:before="80" w:after="160"/>
        <w:jc w:val="both"/>
      </w:pPr>
      <w:r w:rsidRPr="006B0B80">
        <w:rPr>
          <w:i/>
          <w:sz w:val="18"/>
        </w:rPr>
        <w:t>Note. The preferred control is intended to reduce, not necessarily eliminate, alternative mechanistic explanations.</w:t>
      </w:r>
    </w:p>
    <w:p w14:paraId="3B7EF976" w14:textId="77777777" w:rsidR="00606B00" w:rsidRPr="006B0B80" w:rsidRDefault="00000000" w:rsidP="008C29E6">
      <w:pPr>
        <w:pStyle w:val="Heading1"/>
        <w:jc w:val="both"/>
        <w:rPr>
          <w:color w:val="auto"/>
        </w:rPr>
      </w:pPr>
      <w:r w:rsidRPr="006B0B80">
        <w:rPr>
          <w:color w:val="auto"/>
        </w:rPr>
        <w:t>6. Applications of Electrochemically Produced Nanomaterials</w:t>
      </w:r>
    </w:p>
    <w:p w14:paraId="1134F5EB" w14:textId="77777777" w:rsidR="00606B00" w:rsidRPr="006B0B80" w:rsidRDefault="00000000" w:rsidP="008C29E6">
      <w:pPr>
        <w:pStyle w:val="Heading2"/>
        <w:jc w:val="both"/>
        <w:rPr>
          <w:color w:val="auto"/>
        </w:rPr>
      </w:pPr>
      <w:r w:rsidRPr="006B0B80">
        <w:rPr>
          <w:color w:val="auto"/>
        </w:rPr>
        <w:t>6.1 Electrocatalysis and Electrochemical Energy Conversion</w:t>
      </w:r>
    </w:p>
    <w:p w14:paraId="37CAE7E0" w14:textId="77777777" w:rsidR="00606B00" w:rsidRPr="006B0B80" w:rsidRDefault="00000000" w:rsidP="008C29E6">
      <w:pPr>
        <w:pStyle w:val="BodyText"/>
        <w:jc w:val="both"/>
      </w:pPr>
      <w:r w:rsidRPr="006B0B80">
        <w:t xml:space="preserve">Electrocatalysis is a natural application for electrodeposited and </w:t>
      </w:r>
      <w:proofErr w:type="spellStart"/>
      <w:r w:rsidRPr="006B0B80">
        <w:t>dealloyed</w:t>
      </w:r>
      <w:proofErr w:type="spellEnd"/>
      <w:r w:rsidRPr="006B0B80">
        <w:t xml:space="preserve"> nanomaterials because synthesis and operation occur at an electronically connected interface. Electrodeposition can produce metals, oxides, hydroxides, chalcogenides and phosphide-derived structures directly on conductive supports, avoiding binders and facilitating composition gradients or hierarchical architectures (Bernal &amp; Ustarroz, 2021; Tovar-Oliva &amp; Tudela, 2024). Dealloying can expose high-area, conductive, compositionally tuned metal networks (</w:t>
      </w:r>
      <w:proofErr w:type="spellStart"/>
      <w:r w:rsidRPr="006B0B80">
        <w:t>Rurainsky</w:t>
      </w:r>
      <w:proofErr w:type="spellEnd"/>
      <w:r w:rsidRPr="006B0B80">
        <w:t xml:space="preserve"> et al., 2020; Sang et al., 2022). These routes can lower apparent overpotentials and raise geometric current density, but the mechanistic question is whether they improve intrinsic site activity, increase the number of accessible sites, or improve mass and gas transport.</w:t>
      </w:r>
    </w:p>
    <w:p w14:paraId="7E2E5C5B" w14:textId="77777777" w:rsidR="00606B00" w:rsidRPr="006B0B80" w:rsidRDefault="00000000" w:rsidP="008C29E6">
      <w:pPr>
        <w:pStyle w:val="BodyText"/>
        <w:jc w:val="both"/>
      </w:pPr>
      <w:r w:rsidRPr="006B0B80">
        <w:t xml:space="preserve">Benchmarking studies in oxygen and hydrogen evolution showed that electrodeposited catalysts can be compared reproducibly only when activity, Faradaic efficiency and stability are measured under controlled conditions (McCrory et al., 2013; McCrory et al., 2015). This principle extends to CO2 reduction, where </w:t>
      </w:r>
      <w:r w:rsidRPr="006B0B80">
        <w:lastRenderedPageBreak/>
        <w:t xml:space="preserve">nanostructure influences local reactant availability, intermediate binding and interfacial </w:t>
      </w:r>
      <w:proofErr w:type="spellStart"/>
      <w:r w:rsidRPr="006B0B80">
        <w:t>pH.</w:t>
      </w:r>
      <w:proofErr w:type="spellEnd"/>
      <w:r w:rsidRPr="006B0B80">
        <w:t xml:space="preserve"> High ethylene selectivity on copper under strongly alkaline interfacial conditions illustrates how catalyst architecture and reaction environment can interact (Dinh et al., 2018). It would be misleading to attribute selectivity solely to particle size or roughness when the nanoscale interface simultaneously changes local chemistry.</w:t>
      </w:r>
    </w:p>
    <w:p w14:paraId="539A030C" w14:textId="77777777" w:rsidR="00606B00" w:rsidRPr="006B0B80" w:rsidRDefault="00000000" w:rsidP="008C29E6">
      <w:pPr>
        <w:pStyle w:val="BodyText"/>
        <w:jc w:val="both"/>
      </w:pPr>
      <w:r w:rsidRPr="006B0B80">
        <w:t xml:space="preserve">For translation, current density and selectivity must be maintained for technologically relevant durations and under reactant fluxes closer to devices than to static analytical cells. Nanostructures that </w:t>
      </w:r>
      <w:proofErr w:type="spellStart"/>
      <w:r w:rsidRPr="006B0B80">
        <w:t>maximise</w:t>
      </w:r>
      <w:proofErr w:type="spellEnd"/>
      <w:r w:rsidRPr="006B0B80">
        <w:t xml:space="preserve"> area can also trap bubbles, intensify local pH gradients or accelerate dissolution. Precious-metal nanoporous structures face an additional </w:t>
      </w:r>
      <w:proofErr w:type="spellStart"/>
      <w:r w:rsidRPr="006B0B80">
        <w:t>utilisation</w:t>
      </w:r>
      <w:proofErr w:type="spellEnd"/>
      <w:r w:rsidRPr="006B0B80">
        <w:t xml:space="preserve"> question: a high mass activity may still be economically unattractive if precursor alloy preparation and dealloying discard valuable material. The field is therefore moving from morphology-</w:t>
      </w:r>
      <w:proofErr w:type="spellStart"/>
      <w:r w:rsidRPr="006B0B80">
        <w:t>centred</w:t>
      </w:r>
      <w:proofErr w:type="spellEnd"/>
      <w:r w:rsidRPr="006B0B80">
        <w:t xml:space="preserve"> demonstrations towards interface engineering in which synthesis, transport and device architecture are designed together.</w:t>
      </w:r>
    </w:p>
    <w:p w14:paraId="5673C417" w14:textId="77777777" w:rsidR="00606B00" w:rsidRPr="006B0B80" w:rsidRDefault="00000000" w:rsidP="008C29E6">
      <w:pPr>
        <w:pStyle w:val="Heading2"/>
        <w:jc w:val="both"/>
        <w:rPr>
          <w:color w:val="auto"/>
        </w:rPr>
      </w:pPr>
      <w:r w:rsidRPr="006B0B80">
        <w:rPr>
          <w:color w:val="auto"/>
        </w:rPr>
        <w:t>6.2 Batteries and Electrochemical Capacitors</w:t>
      </w:r>
    </w:p>
    <w:p w14:paraId="3236934D" w14:textId="77777777" w:rsidR="00606B00" w:rsidRPr="006B0B80" w:rsidRDefault="00000000" w:rsidP="008C29E6">
      <w:pPr>
        <w:pStyle w:val="BodyText"/>
        <w:jc w:val="both"/>
      </w:pPr>
      <w:proofErr w:type="spellStart"/>
      <w:r w:rsidRPr="006B0B80">
        <w:t>Nanostructuring</w:t>
      </w:r>
      <w:proofErr w:type="spellEnd"/>
      <w:r w:rsidRPr="006B0B80">
        <w:t xml:space="preserve"> can improve electrochemical storage by shortening solid-state diffusion distances, increasing interfacial contact and accommodating strain. Electrochemically deposited arrays are especially attractive because each nanostructure can remain connected to the current collector, reducing inactive binder and conductive additive requirements (Li et al., 2013). In electrochemical capacitors, high accessible surface area supports double-layer storage, while pseudocapacitive oxides exploit fast near-surface redox reactions (Augustyn et al., 2014; Simon &amp; </w:t>
      </w:r>
      <w:proofErr w:type="spellStart"/>
      <w:r w:rsidRPr="006B0B80">
        <w:t>Gogotsi</w:t>
      </w:r>
      <w:proofErr w:type="spellEnd"/>
      <w:r w:rsidRPr="006B0B80">
        <w:t>, 2008). These benefits explain the sustained interest in nanoporous, nanotubular and nanosheet electrodes.</w:t>
      </w:r>
    </w:p>
    <w:p w14:paraId="72BDCEDB" w14:textId="77777777" w:rsidR="00606B00" w:rsidRPr="006B0B80" w:rsidRDefault="00000000" w:rsidP="008C29E6">
      <w:pPr>
        <w:pStyle w:val="BodyText"/>
        <w:jc w:val="both"/>
      </w:pPr>
      <w:r w:rsidRPr="006B0B80">
        <w:t>The same high surface area creates penalties. More electrode-electrolyte interface can accelerate side reactions, increase first-cycle loss, promote dissolution or generate thicker interphases. Low packing density can reduce volumetric energy even when gravimetric performance is high. Reviews of nanostructured energy materials explicitly identify interfacial side reactions, tap density and uniform manufacture as barriers to translating impressive laboratory rate capability into devices (Zhang et al., 2016). Electrochemical synthesis does not remove these trade-offs; it can, however, provide direct architectural control that makes them experimentally testable.</w:t>
      </w:r>
    </w:p>
    <w:p w14:paraId="76B5983F" w14:textId="77777777" w:rsidR="00606B00" w:rsidRPr="006B0B80" w:rsidRDefault="00000000" w:rsidP="008C29E6">
      <w:pPr>
        <w:pStyle w:val="BodyText"/>
        <w:jc w:val="both"/>
      </w:pPr>
      <w:r w:rsidRPr="006B0B80">
        <w:t xml:space="preserve">A credible application claim should therefore progress from three-electrode or half-cell </w:t>
      </w:r>
      <w:proofErr w:type="spellStart"/>
      <w:r w:rsidRPr="006B0B80">
        <w:t>characterisation</w:t>
      </w:r>
      <w:proofErr w:type="spellEnd"/>
      <w:r w:rsidRPr="006B0B80">
        <w:t xml:space="preserve"> to relevant full-cell conditions, practical loading and controlled electrolyte excess. Rate performance should be interpreted against areal and volumetric metrics as well as gravimetric values. When nanoscale architecture is created by </w:t>
      </w:r>
      <w:proofErr w:type="spellStart"/>
      <w:r w:rsidRPr="006B0B80">
        <w:t>anodisation</w:t>
      </w:r>
      <w:proofErr w:type="spellEnd"/>
      <w:r w:rsidRPr="006B0B80">
        <w:t xml:space="preserve"> or template growth, the mass and volume of the supporting substrate and template residue should be included where they remain in the device. The most useful nanostructure is not necessarily the one with the highest measured surface area, but the one that preserves accessible transport and stability at practical density.</w:t>
      </w:r>
    </w:p>
    <w:p w14:paraId="2F9EB049" w14:textId="77777777" w:rsidR="00606B00" w:rsidRPr="006B0B80" w:rsidRDefault="00000000" w:rsidP="008C29E6">
      <w:pPr>
        <w:pStyle w:val="Heading2"/>
        <w:jc w:val="both"/>
        <w:rPr>
          <w:color w:val="auto"/>
        </w:rPr>
      </w:pPr>
      <w:r w:rsidRPr="006B0B80">
        <w:rPr>
          <w:color w:val="auto"/>
        </w:rPr>
        <w:t>6.3 Sensors and Biosensors</w:t>
      </w:r>
    </w:p>
    <w:p w14:paraId="75DD9CAF" w14:textId="77777777" w:rsidR="00606B00" w:rsidRPr="006B0B80" w:rsidRDefault="00000000" w:rsidP="008C29E6">
      <w:pPr>
        <w:pStyle w:val="BodyText"/>
        <w:jc w:val="both"/>
      </w:pPr>
      <w:r w:rsidRPr="006B0B80">
        <w:t xml:space="preserve">Electrodeposition is unusually compatible with sensor fabrication because material can be grown directly on the transducer and patterned through electrode geometry. Metallic nanostructures can increase electroactive area, nanowires can provide conductive pathways, and </w:t>
      </w:r>
      <w:proofErr w:type="spellStart"/>
      <w:r w:rsidRPr="006B0B80">
        <w:t>electropolymerisation</w:t>
      </w:r>
      <w:proofErr w:type="spellEnd"/>
      <w:r w:rsidRPr="006B0B80">
        <w:t xml:space="preserve"> can </w:t>
      </w:r>
      <w:proofErr w:type="spellStart"/>
      <w:r w:rsidRPr="006B0B80">
        <w:t>immobilise</w:t>
      </w:r>
      <w:proofErr w:type="spellEnd"/>
      <w:r w:rsidRPr="006B0B80">
        <w:t xml:space="preserve"> recognition elements during film formation (Choi et al., 2023). Reviews of electrochemical deposition for sensing also show broad use of gold nanostructures, layered hydroxides, oxides and conducting polymers (Tonelli et al., 2019). The electrochemical route is therefore valuable not only for sensitivity but for integration and low-temperature manufacture.</w:t>
      </w:r>
    </w:p>
    <w:p w14:paraId="51D0E04E" w14:textId="77777777" w:rsidR="00606B00" w:rsidRPr="006B0B80" w:rsidRDefault="00000000" w:rsidP="008C29E6">
      <w:pPr>
        <w:pStyle w:val="BodyText"/>
        <w:jc w:val="both"/>
      </w:pPr>
      <w:r w:rsidRPr="006B0B80">
        <w:t>Sensitivity improvements are nevertheless easier to demonstrate than selectivity, matrix robustness and shelf life. A rougher electrode can produce a larger signal without improving the chemistry of recognition. Nanoparticle surfaces may foul or restructure in real samples, and receptor activity can decline during storage. Consequently, analytical performance should be reported with blank and interferent controls, calibration uncertainty, between-</w:t>
      </w:r>
      <w:r w:rsidRPr="006B0B80">
        <w:lastRenderedPageBreak/>
        <w:t>electrode variation and recovery in relevant matrices. When electrodeposition is used for signal amplification, the amplification chemistry itself must be separated from changes in target capture. The strongest sensor studies treat the nanomaterial as one component in a complete analytical system rather than equating high electrochemical response with diagnostic validity.</w:t>
      </w:r>
    </w:p>
    <w:p w14:paraId="5539FE8E" w14:textId="77777777" w:rsidR="00606B00" w:rsidRPr="006B0B80" w:rsidRDefault="00000000" w:rsidP="008C29E6">
      <w:pPr>
        <w:pStyle w:val="Heading2"/>
        <w:jc w:val="both"/>
        <w:rPr>
          <w:color w:val="auto"/>
        </w:rPr>
      </w:pPr>
      <w:r w:rsidRPr="006B0B80">
        <w:rPr>
          <w:color w:val="auto"/>
        </w:rPr>
        <w:t>6.4 Water Treatment and Ionic Separations</w:t>
      </w:r>
    </w:p>
    <w:p w14:paraId="2CE76ED8" w14:textId="77777777" w:rsidR="00606B00" w:rsidRPr="006B0B80" w:rsidRDefault="00000000" w:rsidP="008C29E6">
      <w:pPr>
        <w:pStyle w:val="BodyText"/>
        <w:jc w:val="both"/>
      </w:pPr>
      <w:r w:rsidRPr="006B0B80">
        <w:t xml:space="preserve">Capacitive </w:t>
      </w:r>
      <w:proofErr w:type="spellStart"/>
      <w:r w:rsidRPr="006B0B80">
        <w:t>deionisation</w:t>
      </w:r>
      <w:proofErr w:type="spellEnd"/>
      <w:r w:rsidRPr="006B0B80">
        <w:t xml:space="preserve"> (CDI) illustrates an application in which nanostructure and electrochemical </w:t>
      </w:r>
      <w:proofErr w:type="spellStart"/>
      <w:r w:rsidRPr="006B0B80">
        <w:t>characterisation</w:t>
      </w:r>
      <w:proofErr w:type="spellEnd"/>
      <w:r w:rsidRPr="006B0B80">
        <w:t xml:space="preserve"> are essential but not sufficient. Porous carbon electrodes store ions electrostatically or, in hybrid concepts, through Faradaic processes. High surface area and tuned pore structure can improve charge storage, yet salt adsorption depends on pore accessibility, co-ion exclusion, solution concentration, cell architecture and operating protocol (Porada et al., 2013; </w:t>
      </w:r>
      <w:proofErr w:type="spellStart"/>
      <w:r w:rsidRPr="006B0B80">
        <w:t>Suss</w:t>
      </w:r>
      <w:proofErr w:type="spellEnd"/>
      <w:r w:rsidRPr="006B0B80">
        <w:t xml:space="preserve"> et al., 2015). Material comparisons made under different voltages, salinities or flow conditions are therefore difficult to interpret, mirroring the </w:t>
      </w:r>
      <w:proofErr w:type="spellStart"/>
      <w:r w:rsidRPr="006B0B80">
        <w:t>normalisation</w:t>
      </w:r>
      <w:proofErr w:type="spellEnd"/>
      <w:r w:rsidRPr="006B0B80">
        <w:t xml:space="preserve"> problem in electrocatalysis.</w:t>
      </w:r>
    </w:p>
    <w:p w14:paraId="45942577" w14:textId="77777777" w:rsidR="00606B00" w:rsidRPr="006B0B80" w:rsidRDefault="00000000" w:rsidP="008C29E6">
      <w:pPr>
        <w:pStyle w:val="BodyText"/>
        <w:jc w:val="both"/>
      </w:pPr>
      <w:r w:rsidRPr="006B0B80">
        <w:t>Electrochemically produced nanoporous or composite electrodes could improve CDI by integrating conductive pathways and controlled porosity, but practical evaluation must include charge efficiency, energy consumption, water recovery, electrode stability and regeneration. The application also demonstrates a broader lesson for environmental nanotechnology: a high-capacitance material is not automatically a high-performance separation medium. Device hydrodynamics and ion selectivity can dominate. Electrochemical nanomanufacturing is most valuable when it enables controlled pore or surface chemistry that addresses those system-level constraints rather than merely increasing total area.</w:t>
      </w:r>
    </w:p>
    <w:p w14:paraId="5F6E2DA1" w14:textId="77777777" w:rsidR="00606B00" w:rsidRPr="006B0B80" w:rsidRDefault="00000000" w:rsidP="008C29E6">
      <w:pPr>
        <w:pStyle w:val="Heading2"/>
        <w:jc w:val="both"/>
        <w:rPr>
          <w:color w:val="auto"/>
        </w:rPr>
      </w:pPr>
      <w:r w:rsidRPr="006B0B80">
        <w:rPr>
          <w:color w:val="auto"/>
        </w:rPr>
        <w:t>6.5 Printed Electronics and Functional Coatings</w:t>
      </w:r>
    </w:p>
    <w:p w14:paraId="20D96CCE" w14:textId="77777777" w:rsidR="00606B00" w:rsidRPr="006B0B80" w:rsidRDefault="00000000" w:rsidP="008C29E6">
      <w:pPr>
        <w:pStyle w:val="BodyText"/>
        <w:jc w:val="both"/>
      </w:pPr>
      <w:r w:rsidRPr="006B0B80">
        <w:t xml:space="preserve">The boundary between nanoparticle synthesis and functional manufacturing is visible in printed electronics. Continuous rotating electrodeposition has been used to harvest metal nanoparticles and formulate conductive inks for near-field communication tags and touch-screen-related structures (Huang et al., 2020). This route provides a rare demonstration in which electrochemical nanoparticle production is connected to a downstream device rather than ending at powder </w:t>
      </w:r>
      <w:proofErr w:type="spellStart"/>
      <w:r w:rsidRPr="006B0B80">
        <w:t>characterisation</w:t>
      </w:r>
      <w:proofErr w:type="spellEnd"/>
      <w:r w:rsidRPr="006B0B80">
        <w:t>. It also underscores that particle dispersibility, surface chemistry and ink rheology can be as important as the primary particle size.</w:t>
      </w:r>
    </w:p>
    <w:p w14:paraId="502FE337" w14:textId="77777777" w:rsidR="00606B00" w:rsidRPr="006B0B80" w:rsidRDefault="00000000" w:rsidP="008C29E6">
      <w:pPr>
        <w:pStyle w:val="BodyText"/>
        <w:jc w:val="both"/>
      </w:pPr>
      <w:r w:rsidRPr="006B0B80">
        <w:t>Nanostructured electrodeposited coatings have a longer industrial lineage, including wear, corrosion, magnetic and functional surfaces (</w:t>
      </w:r>
      <w:proofErr w:type="spellStart"/>
      <w:r w:rsidRPr="006B0B80">
        <w:t>Gurrappa</w:t>
      </w:r>
      <w:proofErr w:type="spellEnd"/>
      <w:r w:rsidRPr="006B0B80">
        <w:t xml:space="preserve"> &amp; Binder, 2008). For these applications, large-area uniformity and adhesion often matter more than </w:t>
      </w:r>
      <w:proofErr w:type="spellStart"/>
      <w:r w:rsidRPr="006B0B80">
        <w:t>maximising</w:t>
      </w:r>
      <w:proofErr w:type="spellEnd"/>
      <w:r w:rsidRPr="006B0B80">
        <w:t xml:space="preserve"> nanoscale surface area. Grain refinement can improve selected properties, but internal stress, porosity and substrate preparation can compromise durability. The application evidence therefore divides into two manufacturing logics: recoverable nanoparticles require efficient separation and formulation, whereas integrated coatings require uniform current distribution and interface integrity. Electrochemistry can serve both, but reactor design and quality control differ substantially.</w:t>
      </w:r>
    </w:p>
    <w:p w14:paraId="582CA0A7" w14:textId="77777777" w:rsidR="00606B00" w:rsidRPr="006B0B80" w:rsidRDefault="00000000" w:rsidP="008C29E6">
      <w:pPr>
        <w:pStyle w:val="BodyText"/>
        <w:jc w:val="both"/>
      </w:pPr>
      <w:r w:rsidRPr="006B0B80">
        <w:t xml:space="preserve">Table 4 </w:t>
      </w:r>
      <w:proofErr w:type="spellStart"/>
      <w:r w:rsidRPr="006B0B80">
        <w:t>summarises</w:t>
      </w:r>
      <w:proofErr w:type="spellEnd"/>
      <w:r w:rsidRPr="006B0B80">
        <w:t xml:space="preserve"> the application-level benefits and the main evidence gap that remains after a </w:t>
      </w:r>
      <w:proofErr w:type="spellStart"/>
      <w:r w:rsidRPr="006B0B80">
        <w:t>favourable</w:t>
      </w:r>
      <w:proofErr w:type="spellEnd"/>
      <w:r w:rsidRPr="006B0B80">
        <w:t xml:space="preserve"> nanoscale response is observed. Across applications, the common weakness is movement from a material descriptor to a system claim without an intermediate validation step. Electrocatalysis needs product and durability benchmarking, storage needs practical loading and full-cell validation, sensing needs matrix selectivity and reproducibility, separations need energy and water metrics, and printed systems need process yield and device reliability.</w:t>
      </w:r>
    </w:p>
    <w:p w14:paraId="431C012E" w14:textId="77777777" w:rsidR="00606B00" w:rsidRPr="006B0B80" w:rsidRDefault="00000000" w:rsidP="008C29E6">
      <w:pPr>
        <w:pStyle w:val="TableCaption"/>
        <w:keepNext/>
        <w:keepLines/>
        <w:jc w:val="both"/>
      </w:pPr>
      <w:r w:rsidRPr="006B0B80">
        <w:t>Table 4. Application-level value of electrochemically produced nanomaterials and the evidence needed for translation</w:t>
      </w:r>
    </w:p>
    <w:tbl>
      <w:tblPr>
        <w:tblStyle w:val="TableGrid"/>
        <w:tblW w:w="0" w:type="auto"/>
        <w:jc w:val="center"/>
        <w:tblLayout w:type="fixed"/>
        <w:tblLook w:val="04A0" w:firstRow="1" w:lastRow="0" w:firstColumn="1" w:lastColumn="0" w:noHBand="0" w:noVBand="1"/>
      </w:tblPr>
      <w:tblGrid>
        <w:gridCol w:w="2016"/>
        <w:gridCol w:w="2016"/>
        <w:gridCol w:w="2016"/>
        <w:gridCol w:w="3125"/>
        <w:gridCol w:w="2016"/>
      </w:tblGrid>
      <w:tr w:rsidR="006B0B80" w:rsidRPr="006B0B80" w14:paraId="1783E039" w14:textId="77777777" w:rsidTr="006B0B80">
        <w:trPr>
          <w:cantSplit/>
          <w:tblHeader/>
          <w:jc w:val="center"/>
        </w:trPr>
        <w:tc>
          <w:tcPr>
            <w:tcW w:w="1469" w:type="dxa"/>
            <w:tcMar>
              <w:top w:w="70" w:type="dxa"/>
              <w:left w:w="80" w:type="dxa"/>
              <w:bottom w:w="70" w:type="dxa"/>
              <w:right w:w="80" w:type="dxa"/>
            </w:tcMar>
            <w:vAlign w:val="center"/>
          </w:tcPr>
          <w:p w14:paraId="24662BBD" w14:textId="77777777" w:rsidR="00606B00" w:rsidRPr="006B0B80" w:rsidRDefault="00000000" w:rsidP="008C29E6">
            <w:pPr>
              <w:jc w:val="both"/>
            </w:pPr>
            <w:r w:rsidRPr="006B0B80">
              <w:rPr>
                <w:rFonts w:ascii="Arial" w:hAnsi="Arial"/>
                <w:b/>
                <w:sz w:val="17"/>
              </w:rPr>
              <w:t>Application</w:t>
            </w:r>
          </w:p>
        </w:tc>
        <w:tc>
          <w:tcPr>
            <w:tcW w:w="1800" w:type="dxa"/>
            <w:tcMar>
              <w:top w:w="70" w:type="dxa"/>
              <w:left w:w="80" w:type="dxa"/>
              <w:bottom w:w="70" w:type="dxa"/>
              <w:right w:w="80" w:type="dxa"/>
            </w:tcMar>
            <w:vAlign w:val="center"/>
          </w:tcPr>
          <w:p w14:paraId="7EA8A5F5" w14:textId="77777777" w:rsidR="00606B00" w:rsidRPr="006B0B80" w:rsidRDefault="00000000" w:rsidP="008C29E6">
            <w:pPr>
              <w:jc w:val="both"/>
            </w:pPr>
            <w:r w:rsidRPr="006B0B80">
              <w:rPr>
                <w:rFonts w:ascii="Arial" w:hAnsi="Arial"/>
                <w:b/>
                <w:sz w:val="17"/>
              </w:rPr>
              <w:t>Electrochemical nanomaterial advantage</w:t>
            </w:r>
          </w:p>
        </w:tc>
        <w:tc>
          <w:tcPr>
            <w:tcW w:w="1872" w:type="dxa"/>
            <w:tcMar>
              <w:top w:w="70" w:type="dxa"/>
              <w:left w:w="80" w:type="dxa"/>
              <w:bottom w:w="70" w:type="dxa"/>
              <w:right w:w="80" w:type="dxa"/>
            </w:tcMar>
            <w:vAlign w:val="center"/>
          </w:tcPr>
          <w:p w14:paraId="26F39FF7" w14:textId="77777777" w:rsidR="00606B00" w:rsidRPr="006B0B80" w:rsidRDefault="00000000" w:rsidP="008C29E6">
            <w:pPr>
              <w:jc w:val="both"/>
            </w:pPr>
            <w:r w:rsidRPr="006B0B80">
              <w:rPr>
                <w:rFonts w:ascii="Arial" w:hAnsi="Arial"/>
                <w:b/>
                <w:sz w:val="17"/>
              </w:rPr>
              <w:t>Common laboratory metric</w:t>
            </w:r>
          </w:p>
        </w:tc>
        <w:tc>
          <w:tcPr>
            <w:tcW w:w="3125" w:type="dxa"/>
            <w:tcMar>
              <w:top w:w="70" w:type="dxa"/>
              <w:left w:w="80" w:type="dxa"/>
              <w:bottom w:w="70" w:type="dxa"/>
              <w:right w:w="80" w:type="dxa"/>
            </w:tcMar>
            <w:vAlign w:val="center"/>
          </w:tcPr>
          <w:p w14:paraId="6B4C9939" w14:textId="77777777" w:rsidR="00606B00" w:rsidRPr="006B0B80" w:rsidRDefault="00000000" w:rsidP="008C29E6">
            <w:pPr>
              <w:jc w:val="both"/>
            </w:pPr>
            <w:r w:rsidRPr="006B0B80">
              <w:rPr>
                <w:rFonts w:ascii="Arial" w:hAnsi="Arial"/>
                <w:b/>
                <w:sz w:val="17"/>
              </w:rPr>
              <w:t>Translation-critical evidence</w:t>
            </w:r>
          </w:p>
        </w:tc>
        <w:tc>
          <w:tcPr>
            <w:tcW w:w="1728" w:type="dxa"/>
            <w:tcMar>
              <w:top w:w="70" w:type="dxa"/>
              <w:left w:w="80" w:type="dxa"/>
              <w:bottom w:w="70" w:type="dxa"/>
              <w:right w:w="80" w:type="dxa"/>
            </w:tcMar>
            <w:vAlign w:val="center"/>
          </w:tcPr>
          <w:p w14:paraId="749F1F62" w14:textId="77777777" w:rsidR="00606B00" w:rsidRPr="006B0B80" w:rsidRDefault="00000000" w:rsidP="008C29E6">
            <w:pPr>
              <w:jc w:val="both"/>
            </w:pPr>
            <w:r w:rsidRPr="006B0B80">
              <w:rPr>
                <w:rFonts w:ascii="Arial" w:hAnsi="Arial"/>
                <w:b/>
                <w:sz w:val="17"/>
              </w:rPr>
              <w:t>Supporting references</w:t>
            </w:r>
          </w:p>
        </w:tc>
      </w:tr>
      <w:tr w:rsidR="006B0B80" w:rsidRPr="006B0B80" w14:paraId="064F3AF8" w14:textId="77777777" w:rsidTr="006B0B80">
        <w:trPr>
          <w:cantSplit/>
          <w:jc w:val="center"/>
        </w:trPr>
        <w:tc>
          <w:tcPr>
            <w:tcW w:w="2016" w:type="dxa"/>
            <w:tcMar>
              <w:top w:w="70" w:type="dxa"/>
              <w:left w:w="80" w:type="dxa"/>
              <w:bottom w:w="70" w:type="dxa"/>
              <w:right w:w="80" w:type="dxa"/>
            </w:tcMar>
            <w:vAlign w:val="center"/>
          </w:tcPr>
          <w:p w14:paraId="393DBAA8" w14:textId="77777777" w:rsidR="00606B00" w:rsidRPr="006B0B80" w:rsidRDefault="00000000" w:rsidP="008C29E6">
            <w:pPr>
              <w:jc w:val="both"/>
            </w:pPr>
            <w:r w:rsidRPr="006B0B80">
              <w:rPr>
                <w:rFonts w:ascii="Arial" w:hAnsi="Arial"/>
                <w:sz w:val="17"/>
              </w:rPr>
              <w:lastRenderedPageBreak/>
              <w:t>Electrocatalysis</w:t>
            </w:r>
          </w:p>
        </w:tc>
        <w:tc>
          <w:tcPr>
            <w:tcW w:w="2016" w:type="dxa"/>
            <w:tcMar>
              <w:top w:w="70" w:type="dxa"/>
              <w:left w:w="80" w:type="dxa"/>
              <w:bottom w:w="70" w:type="dxa"/>
              <w:right w:w="80" w:type="dxa"/>
            </w:tcMar>
            <w:vAlign w:val="center"/>
          </w:tcPr>
          <w:p w14:paraId="102E919B" w14:textId="77777777" w:rsidR="00606B00" w:rsidRPr="006B0B80" w:rsidRDefault="00000000" w:rsidP="008C29E6">
            <w:pPr>
              <w:jc w:val="both"/>
            </w:pPr>
            <w:r w:rsidRPr="006B0B80">
              <w:rPr>
                <w:rFonts w:ascii="Arial" w:hAnsi="Arial"/>
                <w:sz w:val="17"/>
              </w:rPr>
              <w:t>Binder-free high-area structures, composition gradients and nanoporous conductive networks</w:t>
            </w:r>
          </w:p>
        </w:tc>
        <w:tc>
          <w:tcPr>
            <w:tcW w:w="2016" w:type="dxa"/>
            <w:tcMar>
              <w:top w:w="70" w:type="dxa"/>
              <w:left w:w="80" w:type="dxa"/>
              <w:bottom w:w="70" w:type="dxa"/>
              <w:right w:w="80" w:type="dxa"/>
            </w:tcMar>
            <w:vAlign w:val="center"/>
          </w:tcPr>
          <w:p w14:paraId="6594A13A" w14:textId="77777777" w:rsidR="00606B00" w:rsidRPr="006B0B80" w:rsidRDefault="00000000" w:rsidP="008C29E6">
            <w:pPr>
              <w:jc w:val="both"/>
            </w:pPr>
            <w:r w:rsidRPr="006B0B80">
              <w:rPr>
                <w:rFonts w:ascii="Arial" w:hAnsi="Arial"/>
                <w:sz w:val="17"/>
              </w:rPr>
              <w:t>Overpotential, current density, mass activity</w:t>
            </w:r>
          </w:p>
        </w:tc>
        <w:tc>
          <w:tcPr>
            <w:tcW w:w="2016" w:type="dxa"/>
            <w:tcMar>
              <w:top w:w="70" w:type="dxa"/>
              <w:left w:w="80" w:type="dxa"/>
              <w:bottom w:w="70" w:type="dxa"/>
              <w:right w:w="80" w:type="dxa"/>
            </w:tcMar>
            <w:vAlign w:val="center"/>
          </w:tcPr>
          <w:p w14:paraId="11FA1793" w14:textId="77777777" w:rsidR="00606B00" w:rsidRPr="006B0B80" w:rsidRDefault="00000000" w:rsidP="008C29E6">
            <w:pPr>
              <w:jc w:val="both"/>
            </w:pPr>
            <w:r w:rsidRPr="006B0B80">
              <w:rPr>
                <w:rFonts w:ascii="Arial" w:hAnsi="Arial"/>
                <w:sz w:val="17"/>
              </w:rPr>
              <w:t xml:space="preserve">Faradaic efficiency, matched </w:t>
            </w:r>
            <w:proofErr w:type="spellStart"/>
            <w:r w:rsidRPr="006B0B80">
              <w:rPr>
                <w:rFonts w:ascii="Arial" w:hAnsi="Arial"/>
                <w:sz w:val="17"/>
              </w:rPr>
              <w:t>normalisation</w:t>
            </w:r>
            <w:proofErr w:type="spellEnd"/>
            <w:r w:rsidRPr="006B0B80">
              <w:rPr>
                <w:rFonts w:ascii="Arial" w:hAnsi="Arial"/>
                <w:sz w:val="17"/>
              </w:rPr>
              <w:t>, long-duration stability and device-relevant reactant transport</w:t>
            </w:r>
          </w:p>
        </w:tc>
        <w:tc>
          <w:tcPr>
            <w:tcW w:w="2016" w:type="dxa"/>
            <w:tcMar>
              <w:top w:w="70" w:type="dxa"/>
              <w:left w:w="80" w:type="dxa"/>
              <w:bottom w:w="70" w:type="dxa"/>
              <w:right w:w="80" w:type="dxa"/>
            </w:tcMar>
            <w:vAlign w:val="center"/>
          </w:tcPr>
          <w:p w14:paraId="42670C4A" w14:textId="77777777" w:rsidR="00606B00" w:rsidRPr="006B0B80" w:rsidRDefault="00000000" w:rsidP="008C29E6">
            <w:pPr>
              <w:jc w:val="both"/>
            </w:pPr>
            <w:r w:rsidRPr="006B0B80">
              <w:rPr>
                <w:rFonts w:ascii="Arial" w:hAnsi="Arial"/>
                <w:sz w:val="17"/>
              </w:rPr>
              <w:t xml:space="preserve">(Bernal &amp; Ustarroz, 2021; Dinh et al., 2018; McCrory et al., 2015; </w:t>
            </w:r>
            <w:proofErr w:type="spellStart"/>
            <w:r w:rsidRPr="006B0B80">
              <w:rPr>
                <w:rFonts w:ascii="Arial" w:hAnsi="Arial"/>
                <w:sz w:val="17"/>
              </w:rPr>
              <w:t>Rurainsky</w:t>
            </w:r>
            <w:proofErr w:type="spellEnd"/>
            <w:r w:rsidRPr="006B0B80">
              <w:rPr>
                <w:rFonts w:ascii="Arial" w:hAnsi="Arial"/>
                <w:sz w:val="17"/>
              </w:rPr>
              <w:t xml:space="preserve"> et al., 2020)</w:t>
            </w:r>
          </w:p>
        </w:tc>
      </w:tr>
      <w:tr w:rsidR="006B0B80" w:rsidRPr="00D77772" w14:paraId="0DCEF1B6" w14:textId="77777777" w:rsidTr="006B0B80">
        <w:trPr>
          <w:cantSplit/>
          <w:jc w:val="center"/>
        </w:trPr>
        <w:tc>
          <w:tcPr>
            <w:tcW w:w="2016" w:type="dxa"/>
            <w:tcMar>
              <w:top w:w="70" w:type="dxa"/>
              <w:left w:w="80" w:type="dxa"/>
              <w:bottom w:w="70" w:type="dxa"/>
              <w:right w:w="80" w:type="dxa"/>
            </w:tcMar>
            <w:vAlign w:val="center"/>
          </w:tcPr>
          <w:p w14:paraId="2895E588" w14:textId="77777777" w:rsidR="00606B00" w:rsidRPr="006B0B80" w:rsidRDefault="00000000" w:rsidP="008C29E6">
            <w:pPr>
              <w:jc w:val="both"/>
            </w:pPr>
            <w:r w:rsidRPr="006B0B80">
              <w:rPr>
                <w:rFonts w:ascii="Arial" w:hAnsi="Arial"/>
                <w:sz w:val="17"/>
              </w:rPr>
              <w:t>Batteries and electrochemical capacitors</w:t>
            </w:r>
          </w:p>
        </w:tc>
        <w:tc>
          <w:tcPr>
            <w:tcW w:w="2016" w:type="dxa"/>
            <w:tcMar>
              <w:top w:w="70" w:type="dxa"/>
              <w:left w:w="80" w:type="dxa"/>
              <w:bottom w:w="70" w:type="dxa"/>
              <w:right w:w="80" w:type="dxa"/>
            </w:tcMar>
            <w:vAlign w:val="center"/>
          </w:tcPr>
          <w:p w14:paraId="1993570B" w14:textId="77777777" w:rsidR="00606B00" w:rsidRPr="006B0B80" w:rsidRDefault="00000000" w:rsidP="008C29E6">
            <w:pPr>
              <w:jc w:val="both"/>
            </w:pPr>
            <w:r w:rsidRPr="006B0B80">
              <w:rPr>
                <w:rFonts w:ascii="Arial" w:hAnsi="Arial"/>
                <w:sz w:val="17"/>
              </w:rPr>
              <w:t>Short transport length and direct current-collector contact</w:t>
            </w:r>
          </w:p>
        </w:tc>
        <w:tc>
          <w:tcPr>
            <w:tcW w:w="2016" w:type="dxa"/>
            <w:tcMar>
              <w:top w:w="70" w:type="dxa"/>
              <w:left w:w="80" w:type="dxa"/>
              <w:bottom w:w="70" w:type="dxa"/>
              <w:right w:w="80" w:type="dxa"/>
            </w:tcMar>
            <w:vAlign w:val="center"/>
          </w:tcPr>
          <w:p w14:paraId="447F0328" w14:textId="77777777" w:rsidR="00606B00" w:rsidRPr="006B0B80" w:rsidRDefault="00000000" w:rsidP="008C29E6">
            <w:pPr>
              <w:jc w:val="both"/>
            </w:pPr>
            <w:r w:rsidRPr="006B0B80">
              <w:rPr>
                <w:rFonts w:ascii="Arial" w:hAnsi="Arial"/>
                <w:sz w:val="17"/>
              </w:rPr>
              <w:t>Gravimetric capacity/capacitance and rate retention</w:t>
            </w:r>
          </w:p>
        </w:tc>
        <w:tc>
          <w:tcPr>
            <w:tcW w:w="2016" w:type="dxa"/>
            <w:tcMar>
              <w:top w:w="70" w:type="dxa"/>
              <w:left w:w="80" w:type="dxa"/>
              <w:bottom w:w="70" w:type="dxa"/>
              <w:right w:w="80" w:type="dxa"/>
            </w:tcMar>
            <w:vAlign w:val="center"/>
          </w:tcPr>
          <w:p w14:paraId="57A8FE48" w14:textId="77777777" w:rsidR="00606B00" w:rsidRPr="006B0B80" w:rsidRDefault="00000000" w:rsidP="008C29E6">
            <w:pPr>
              <w:jc w:val="both"/>
            </w:pPr>
            <w:r w:rsidRPr="006B0B80">
              <w:rPr>
                <w:rFonts w:ascii="Arial" w:hAnsi="Arial"/>
                <w:sz w:val="17"/>
              </w:rPr>
              <w:t>Practical areal loading, volumetric metrics, full-cell balance and interfacial stability</w:t>
            </w:r>
          </w:p>
        </w:tc>
        <w:tc>
          <w:tcPr>
            <w:tcW w:w="2016" w:type="dxa"/>
            <w:tcMar>
              <w:top w:w="70" w:type="dxa"/>
              <w:left w:w="80" w:type="dxa"/>
              <w:bottom w:w="70" w:type="dxa"/>
              <w:right w:w="80" w:type="dxa"/>
            </w:tcMar>
            <w:vAlign w:val="center"/>
          </w:tcPr>
          <w:p w14:paraId="092FE774" w14:textId="77777777" w:rsidR="00606B00" w:rsidRPr="00D77772" w:rsidRDefault="00000000" w:rsidP="008C29E6">
            <w:pPr>
              <w:jc w:val="both"/>
              <w:rPr>
                <w:lang w:val="nl-BE"/>
              </w:rPr>
            </w:pPr>
            <w:r w:rsidRPr="00D77772">
              <w:rPr>
                <w:rFonts w:ascii="Arial" w:hAnsi="Arial"/>
                <w:sz w:val="17"/>
                <w:lang w:val="nl-BE"/>
              </w:rPr>
              <w:t>(Augustyn et al., 2014; Li et al., 2013; Simon &amp; Gogotsi, 2008; Zhang et al., 2016)</w:t>
            </w:r>
          </w:p>
        </w:tc>
      </w:tr>
      <w:tr w:rsidR="006B0B80" w:rsidRPr="00D77772" w14:paraId="427F18F0" w14:textId="77777777" w:rsidTr="006B0B80">
        <w:trPr>
          <w:cantSplit/>
          <w:jc w:val="center"/>
        </w:trPr>
        <w:tc>
          <w:tcPr>
            <w:tcW w:w="2016" w:type="dxa"/>
            <w:tcMar>
              <w:top w:w="70" w:type="dxa"/>
              <w:left w:w="80" w:type="dxa"/>
              <w:bottom w:w="70" w:type="dxa"/>
              <w:right w:w="80" w:type="dxa"/>
            </w:tcMar>
            <w:vAlign w:val="center"/>
          </w:tcPr>
          <w:p w14:paraId="571B78CE" w14:textId="77777777" w:rsidR="00606B00" w:rsidRPr="006B0B80" w:rsidRDefault="00000000" w:rsidP="008C29E6">
            <w:pPr>
              <w:jc w:val="both"/>
            </w:pPr>
            <w:r w:rsidRPr="006B0B80">
              <w:rPr>
                <w:rFonts w:ascii="Arial" w:hAnsi="Arial"/>
                <w:sz w:val="17"/>
              </w:rPr>
              <w:t>Sensors and biosensors</w:t>
            </w:r>
          </w:p>
        </w:tc>
        <w:tc>
          <w:tcPr>
            <w:tcW w:w="2016" w:type="dxa"/>
            <w:tcMar>
              <w:top w:w="70" w:type="dxa"/>
              <w:left w:w="80" w:type="dxa"/>
              <w:bottom w:w="70" w:type="dxa"/>
              <w:right w:w="80" w:type="dxa"/>
            </w:tcMar>
            <w:vAlign w:val="center"/>
          </w:tcPr>
          <w:p w14:paraId="53F65EB0" w14:textId="77777777" w:rsidR="00606B00" w:rsidRPr="006B0B80" w:rsidRDefault="00000000" w:rsidP="008C29E6">
            <w:pPr>
              <w:jc w:val="both"/>
            </w:pPr>
            <w:r w:rsidRPr="006B0B80">
              <w:rPr>
                <w:rFonts w:ascii="Arial" w:hAnsi="Arial"/>
                <w:sz w:val="17"/>
              </w:rPr>
              <w:t>Direct nanostructure growth on transducers and electrochemical signal amplification</w:t>
            </w:r>
          </w:p>
        </w:tc>
        <w:tc>
          <w:tcPr>
            <w:tcW w:w="2016" w:type="dxa"/>
            <w:tcMar>
              <w:top w:w="70" w:type="dxa"/>
              <w:left w:w="80" w:type="dxa"/>
              <w:bottom w:w="70" w:type="dxa"/>
              <w:right w:w="80" w:type="dxa"/>
            </w:tcMar>
            <w:vAlign w:val="center"/>
          </w:tcPr>
          <w:p w14:paraId="2D9B5656" w14:textId="77777777" w:rsidR="00606B00" w:rsidRPr="006B0B80" w:rsidRDefault="00000000" w:rsidP="008C29E6">
            <w:pPr>
              <w:jc w:val="both"/>
            </w:pPr>
            <w:r w:rsidRPr="006B0B80">
              <w:rPr>
                <w:rFonts w:ascii="Arial" w:hAnsi="Arial"/>
                <w:sz w:val="17"/>
              </w:rPr>
              <w:t>Sensitivity, detection limit and calibration slope</w:t>
            </w:r>
          </w:p>
        </w:tc>
        <w:tc>
          <w:tcPr>
            <w:tcW w:w="2016" w:type="dxa"/>
            <w:tcMar>
              <w:top w:w="70" w:type="dxa"/>
              <w:left w:w="80" w:type="dxa"/>
              <w:bottom w:w="70" w:type="dxa"/>
              <w:right w:w="80" w:type="dxa"/>
            </w:tcMar>
            <w:vAlign w:val="center"/>
          </w:tcPr>
          <w:p w14:paraId="3B4BF743" w14:textId="77777777" w:rsidR="00606B00" w:rsidRPr="006B0B80" w:rsidRDefault="00000000" w:rsidP="008C29E6">
            <w:pPr>
              <w:jc w:val="both"/>
            </w:pPr>
            <w:r w:rsidRPr="006B0B80">
              <w:rPr>
                <w:rFonts w:ascii="Arial" w:hAnsi="Arial"/>
                <w:sz w:val="17"/>
              </w:rPr>
              <w:t>Selectivity in realistic matrices, between-device reproducibility, fouling and shelf/operating stability</w:t>
            </w:r>
          </w:p>
        </w:tc>
        <w:tc>
          <w:tcPr>
            <w:tcW w:w="2016" w:type="dxa"/>
            <w:tcMar>
              <w:top w:w="70" w:type="dxa"/>
              <w:left w:w="80" w:type="dxa"/>
              <w:bottom w:w="70" w:type="dxa"/>
              <w:right w:w="80" w:type="dxa"/>
            </w:tcMar>
            <w:vAlign w:val="center"/>
          </w:tcPr>
          <w:p w14:paraId="6C598CE5" w14:textId="77777777" w:rsidR="00606B00" w:rsidRPr="00D77772" w:rsidRDefault="00000000" w:rsidP="008C29E6">
            <w:pPr>
              <w:jc w:val="both"/>
              <w:rPr>
                <w:lang w:val="nl-BE"/>
              </w:rPr>
            </w:pPr>
            <w:r w:rsidRPr="00D77772">
              <w:rPr>
                <w:rFonts w:ascii="Arial" w:hAnsi="Arial"/>
                <w:sz w:val="17"/>
                <w:lang w:val="nl-BE"/>
              </w:rPr>
              <w:t>(Choi et al., 2023; Tonelli et al., 2019)</w:t>
            </w:r>
          </w:p>
        </w:tc>
      </w:tr>
      <w:tr w:rsidR="006B0B80" w:rsidRPr="00D77772" w14:paraId="604522C1" w14:textId="77777777" w:rsidTr="006B0B80">
        <w:trPr>
          <w:cantSplit/>
          <w:jc w:val="center"/>
        </w:trPr>
        <w:tc>
          <w:tcPr>
            <w:tcW w:w="2016" w:type="dxa"/>
            <w:tcMar>
              <w:top w:w="70" w:type="dxa"/>
              <w:left w:w="80" w:type="dxa"/>
              <w:bottom w:w="70" w:type="dxa"/>
              <w:right w:w="80" w:type="dxa"/>
            </w:tcMar>
            <w:vAlign w:val="center"/>
          </w:tcPr>
          <w:p w14:paraId="20EC90D2" w14:textId="77777777" w:rsidR="00606B00" w:rsidRPr="006B0B80" w:rsidRDefault="00000000" w:rsidP="008C29E6">
            <w:pPr>
              <w:jc w:val="both"/>
            </w:pPr>
            <w:r w:rsidRPr="006B0B80">
              <w:rPr>
                <w:rFonts w:ascii="Arial" w:hAnsi="Arial"/>
                <w:sz w:val="17"/>
              </w:rPr>
              <w:t xml:space="preserve">Capacitive </w:t>
            </w:r>
            <w:proofErr w:type="spellStart"/>
            <w:r w:rsidRPr="006B0B80">
              <w:rPr>
                <w:rFonts w:ascii="Arial" w:hAnsi="Arial"/>
                <w:sz w:val="17"/>
              </w:rPr>
              <w:t>deionisation</w:t>
            </w:r>
            <w:proofErr w:type="spellEnd"/>
            <w:r w:rsidRPr="006B0B80">
              <w:rPr>
                <w:rFonts w:ascii="Arial" w:hAnsi="Arial"/>
                <w:sz w:val="17"/>
              </w:rPr>
              <w:t xml:space="preserve"> and ionic separations</w:t>
            </w:r>
          </w:p>
        </w:tc>
        <w:tc>
          <w:tcPr>
            <w:tcW w:w="2016" w:type="dxa"/>
            <w:tcMar>
              <w:top w:w="70" w:type="dxa"/>
              <w:left w:w="80" w:type="dxa"/>
              <w:bottom w:w="70" w:type="dxa"/>
              <w:right w:w="80" w:type="dxa"/>
            </w:tcMar>
            <w:vAlign w:val="center"/>
          </w:tcPr>
          <w:p w14:paraId="2E7C95C4" w14:textId="77777777" w:rsidR="00606B00" w:rsidRPr="006B0B80" w:rsidRDefault="00000000" w:rsidP="008C29E6">
            <w:pPr>
              <w:jc w:val="both"/>
            </w:pPr>
            <w:r w:rsidRPr="006B0B80">
              <w:rPr>
                <w:rFonts w:ascii="Arial" w:hAnsi="Arial"/>
                <w:sz w:val="17"/>
              </w:rPr>
              <w:t xml:space="preserve">Controlled porous conductive electrodes for ion </w:t>
            </w:r>
            <w:proofErr w:type="spellStart"/>
            <w:r w:rsidRPr="006B0B80">
              <w:rPr>
                <w:rFonts w:ascii="Arial" w:hAnsi="Arial"/>
                <w:sz w:val="17"/>
              </w:rPr>
              <w:t>electrosorption</w:t>
            </w:r>
            <w:proofErr w:type="spellEnd"/>
          </w:p>
        </w:tc>
        <w:tc>
          <w:tcPr>
            <w:tcW w:w="2016" w:type="dxa"/>
            <w:tcMar>
              <w:top w:w="70" w:type="dxa"/>
              <w:left w:w="80" w:type="dxa"/>
              <w:bottom w:w="70" w:type="dxa"/>
              <w:right w:w="80" w:type="dxa"/>
            </w:tcMar>
            <w:vAlign w:val="center"/>
          </w:tcPr>
          <w:p w14:paraId="7C8A52FF" w14:textId="77777777" w:rsidR="00606B00" w:rsidRPr="006B0B80" w:rsidRDefault="00000000" w:rsidP="008C29E6">
            <w:pPr>
              <w:jc w:val="both"/>
            </w:pPr>
            <w:r w:rsidRPr="006B0B80">
              <w:rPr>
                <w:rFonts w:ascii="Arial" w:hAnsi="Arial"/>
                <w:sz w:val="17"/>
              </w:rPr>
              <w:t>Salt adsorption and capacitance</w:t>
            </w:r>
          </w:p>
        </w:tc>
        <w:tc>
          <w:tcPr>
            <w:tcW w:w="2016" w:type="dxa"/>
            <w:tcMar>
              <w:top w:w="70" w:type="dxa"/>
              <w:left w:w="80" w:type="dxa"/>
              <w:bottom w:w="70" w:type="dxa"/>
              <w:right w:w="80" w:type="dxa"/>
            </w:tcMar>
            <w:vAlign w:val="center"/>
          </w:tcPr>
          <w:p w14:paraId="619EF5D3" w14:textId="77777777" w:rsidR="00606B00" w:rsidRPr="006B0B80" w:rsidRDefault="00000000" w:rsidP="008C29E6">
            <w:pPr>
              <w:jc w:val="both"/>
            </w:pPr>
            <w:r w:rsidRPr="006B0B80">
              <w:rPr>
                <w:rFonts w:ascii="Arial" w:hAnsi="Arial"/>
                <w:sz w:val="17"/>
              </w:rPr>
              <w:t>Charge efficiency, energy consumption, water recovery, feed-defined performance and regeneration durability</w:t>
            </w:r>
          </w:p>
        </w:tc>
        <w:tc>
          <w:tcPr>
            <w:tcW w:w="2016" w:type="dxa"/>
            <w:tcMar>
              <w:top w:w="70" w:type="dxa"/>
              <w:left w:w="80" w:type="dxa"/>
              <w:bottom w:w="70" w:type="dxa"/>
              <w:right w:w="80" w:type="dxa"/>
            </w:tcMar>
            <w:vAlign w:val="center"/>
          </w:tcPr>
          <w:p w14:paraId="2A497CCA" w14:textId="77777777" w:rsidR="00606B00" w:rsidRPr="00D77772" w:rsidRDefault="00000000" w:rsidP="008C29E6">
            <w:pPr>
              <w:jc w:val="both"/>
              <w:rPr>
                <w:lang w:val="nl-BE"/>
              </w:rPr>
            </w:pPr>
            <w:r w:rsidRPr="00D77772">
              <w:rPr>
                <w:rFonts w:ascii="Arial" w:hAnsi="Arial"/>
                <w:sz w:val="17"/>
                <w:lang w:val="nl-BE"/>
              </w:rPr>
              <w:t>(Porada et al., 2013; Suss et al., 2015)</w:t>
            </w:r>
          </w:p>
        </w:tc>
      </w:tr>
      <w:tr w:rsidR="006B0B80" w:rsidRPr="00D77772" w14:paraId="5226BF6F" w14:textId="77777777" w:rsidTr="006B0B80">
        <w:trPr>
          <w:cantSplit/>
          <w:jc w:val="center"/>
        </w:trPr>
        <w:tc>
          <w:tcPr>
            <w:tcW w:w="2016" w:type="dxa"/>
            <w:tcMar>
              <w:top w:w="70" w:type="dxa"/>
              <w:left w:w="80" w:type="dxa"/>
              <w:bottom w:w="70" w:type="dxa"/>
              <w:right w:w="80" w:type="dxa"/>
            </w:tcMar>
            <w:vAlign w:val="center"/>
          </w:tcPr>
          <w:p w14:paraId="575329FE" w14:textId="77777777" w:rsidR="00606B00" w:rsidRPr="006B0B80" w:rsidRDefault="00000000" w:rsidP="008C29E6">
            <w:pPr>
              <w:jc w:val="both"/>
            </w:pPr>
            <w:r w:rsidRPr="006B0B80">
              <w:rPr>
                <w:rFonts w:ascii="Arial" w:hAnsi="Arial"/>
                <w:sz w:val="17"/>
              </w:rPr>
              <w:t>Printed electronics / functional coatings</w:t>
            </w:r>
          </w:p>
        </w:tc>
        <w:tc>
          <w:tcPr>
            <w:tcW w:w="2016" w:type="dxa"/>
            <w:tcMar>
              <w:top w:w="70" w:type="dxa"/>
              <w:left w:w="80" w:type="dxa"/>
              <w:bottom w:w="70" w:type="dxa"/>
              <w:right w:w="80" w:type="dxa"/>
            </w:tcMar>
            <w:vAlign w:val="center"/>
          </w:tcPr>
          <w:p w14:paraId="2C7ED3FC" w14:textId="77777777" w:rsidR="00606B00" w:rsidRPr="006B0B80" w:rsidRDefault="00000000" w:rsidP="008C29E6">
            <w:pPr>
              <w:jc w:val="both"/>
            </w:pPr>
            <w:r w:rsidRPr="006B0B80">
              <w:rPr>
                <w:rFonts w:ascii="Arial" w:hAnsi="Arial"/>
                <w:sz w:val="17"/>
              </w:rPr>
              <w:t>Recoverable conductive nanoparticles or directly integrated nanostructured coatings</w:t>
            </w:r>
          </w:p>
        </w:tc>
        <w:tc>
          <w:tcPr>
            <w:tcW w:w="2016" w:type="dxa"/>
            <w:tcMar>
              <w:top w:w="70" w:type="dxa"/>
              <w:left w:w="80" w:type="dxa"/>
              <w:bottom w:w="70" w:type="dxa"/>
              <w:right w:w="80" w:type="dxa"/>
            </w:tcMar>
            <w:vAlign w:val="center"/>
          </w:tcPr>
          <w:p w14:paraId="189734CE" w14:textId="77777777" w:rsidR="00606B00" w:rsidRPr="006B0B80" w:rsidRDefault="00000000" w:rsidP="008C29E6">
            <w:pPr>
              <w:jc w:val="both"/>
            </w:pPr>
            <w:r w:rsidRPr="006B0B80">
              <w:rPr>
                <w:rFonts w:ascii="Arial" w:hAnsi="Arial"/>
                <w:sz w:val="17"/>
              </w:rPr>
              <w:t>Conductivity, morphology and laboratory device response</w:t>
            </w:r>
          </w:p>
        </w:tc>
        <w:tc>
          <w:tcPr>
            <w:tcW w:w="2016" w:type="dxa"/>
            <w:tcMar>
              <w:top w:w="70" w:type="dxa"/>
              <w:left w:w="80" w:type="dxa"/>
              <w:bottom w:w="70" w:type="dxa"/>
              <w:right w:w="80" w:type="dxa"/>
            </w:tcMar>
            <w:vAlign w:val="center"/>
          </w:tcPr>
          <w:p w14:paraId="7BD17688" w14:textId="77777777" w:rsidR="00606B00" w:rsidRPr="006B0B80" w:rsidRDefault="00000000" w:rsidP="008C29E6">
            <w:pPr>
              <w:jc w:val="both"/>
            </w:pPr>
            <w:r w:rsidRPr="006B0B80">
              <w:rPr>
                <w:rFonts w:ascii="Arial" w:hAnsi="Arial"/>
                <w:sz w:val="17"/>
              </w:rPr>
              <w:t>Quality yield, ink/formulation stability, large-area uniformity, adhesion and device reliability</w:t>
            </w:r>
          </w:p>
        </w:tc>
        <w:tc>
          <w:tcPr>
            <w:tcW w:w="2016" w:type="dxa"/>
            <w:tcMar>
              <w:top w:w="70" w:type="dxa"/>
              <w:left w:w="80" w:type="dxa"/>
              <w:bottom w:w="70" w:type="dxa"/>
              <w:right w:w="80" w:type="dxa"/>
            </w:tcMar>
            <w:vAlign w:val="center"/>
          </w:tcPr>
          <w:p w14:paraId="2DBD4C59" w14:textId="77777777" w:rsidR="00606B00" w:rsidRPr="00D77772" w:rsidRDefault="00000000" w:rsidP="008C29E6">
            <w:pPr>
              <w:jc w:val="both"/>
              <w:rPr>
                <w:lang w:val="nl-BE"/>
              </w:rPr>
            </w:pPr>
            <w:r w:rsidRPr="00D77772">
              <w:rPr>
                <w:rFonts w:ascii="Arial" w:hAnsi="Arial"/>
                <w:sz w:val="17"/>
                <w:lang w:val="nl-BE"/>
              </w:rPr>
              <w:t>(Gurrappa &amp; Binder, 2008; Huang et al., 2020)</w:t>
            </w:r>
          </w:p>
        </w:tc>
      </w:tr>
    </w:tbl>
    <w:p w14:paraId="338ADBA5" w14:textId="77777777" w:rsidR="00606B00" w:rsidRPr="006B0B80" w:rsidRDefault="00000000" w:rsidP="008C29E6">
      <w:pPr>
        <w:spacing w:before="80" w:after="160"/>
        <w:jc w:val="both"/>
      </w:pPr>
      <w:r w:rsidRPr="006B0B80">
        <w:rPr>
          <w:i/>
          <w:sz w:val="18"/>
        </w:rPr>
        <w:t xml:space="preserve">Note. A </w:t>
      </w:r>
      <w:proofErr w:type="spellStart"/>
      <w:r w:rsidRPr="006B0B80">
        <w:rPr>
          <w:i/>
          <w:sz w:val="18"/>
        </w:rPr>
        <w:t>favourable</w:t>
      </w:r>
      <w:proofErr w:type="spellEnd"/>
      <w:r w:rsidRPr="006B0B80">
        <w:rPr>
          <w:i/>
          <w:sz w:val="18"/>
        </w:rPr>
        <w:t xml:space="preserve"> material metric is necessary but not sufficient for a system-level performance claim.</w:t>
      </w:r>
    </w:p>
    <w:p w14:paraId="71190601" w14:textId="77777777" w:rsidR="00606B00" w:rsidRPr="006B0B80" w:rsidRDefault="00000000" w:rsidP="008C29E6">
      <w:pPr>
        <w:pStyle w:val="Heading1"/>
        <w:jc w:val="both"/>
        <w:rPr>
          <w:color w:val="auto"/>
        </w:rPr>
      </w:pPr>
      <w:r w:rsidRPr="006B0B80">
        <w:rPr>
          <w:color w:val="auto"/>
        </w:rPr>
        <w:t>7. Scalability, Sustainability and Translation</w:t>
      </w:r>
    </w:p>
    <w:p w14:paraId="680855FD" w14:textId="77777777" w:rsidR="00606B00" w:rsidRPr="006B0B80" w:rsidRDefault="00000000" w:rsidP="008C29E6">
      <w:pPr>
        <w:pStyle w:val="BodyText"/>
        <w:jc w:val="both"/>
      </w:pPr>
      <w:r w:rsidRPr="006B0B80">
        <w:t xml:space="preserve">Electrochemical synthesis is frequently described as green because it can operate near ambient temperature and replace stoichiometric reducing agents with electrons. That description is conditionally valid rather than intrinsic. Electricity source, current efficiency, supporting electrolyte, solvent, template removal, washing, drying and metal recovery determine the environmental burden. An aqueous deposition with low current efficiency and repeated rinse streams may be less </w:t>
      </w:r>
      <w:proofErr w:type="spellStart"/>
      <w:r w:rsidRPr="006B0B80">
        <w:t>favourable</w:t>
      </w:r>
      <w:proofErr w:type="spellEnd"/>
      <w:r w:rsidRPr="006B0B80">
        <w:t xml:space="preserve"> than a highly selective non-aqueous process with closed-loop solvent recovery. Likewise, electrochemical exfoliation can avoid strong oxidants yet still generate salt-rich waste and require energy for purification and drying (Lim et al., 2026; Yu et al., 2015).</w:t>
      </w:r>
    </w:p>
    <w:p w14:paraId="22D7AE0B" w14:textId="77777777" w:rsidR="00606B00" w:rsidRPr="006B0B80" w:rsidRDefault="00000000" w:rsidP="008C29E6">
      <w:pPr>
        <w:pStyle w:val="BodyText"/>
        <w:jc w:val="both"/>
      </w:pPr>
      <w:r w:rsidRPr="006B0B80">
        <w:t xml:space="preserve">Current efficiency is a useful but incomplete production metric. A high Faradaic efficiency for material formation does not guarantee high precursor </w:t>
      </w:r>
      <w:proofErr w:type="spellStart"/>
      <w:r w:rsidRPr="006B0B80">
        <w:t>utilisation</w:t>
      </w:r>
      <w:proofErr w:type="spellEnd"/>
      <w:r w:rsidRPr="006B0B80">
        <w:t xml:space="preserve"> if the electrolyte must remain dilute or if substantial material is left in templates and piping. Product yield should be reported on a recovered dry-mass basis when powders are the objective and on an accepted coated-area basis when integrated films are the product. Continuous electrodeposition illustrates the value of linking electrochemical growth with an explicit harvesting step (Huang et al., 2020). Similar systems thinking is needed for exfoliation, where yield must distinguish exfoliated material from the fraction that meets layer-number, lateral-size and defect specifications.</w:t>
      </w:r>
    </w:p>
    <w:p w14:paraId="473C9B63" w14:textId="77777777" w:rsidR="00606B00" w:rsidRPr="006B0B80" w:rsidRDefault="00000000" w:rsidP="008C29E6">
      <w:pPr>
        <w:pStyle w:val="BodyText"/>
        <w:jc w:val="both"/>
      </w:pPr>
      <w:r w:rsidRPr="006B0B80">
        <w:t>Scale-up also changes electrical uniformity. Larger electrodes increase the importance of ohmic drop, busbar design, edge effects and local current distribution. In porous templates, reactor-scale concentration gradients can be superimposed on pore-scale transport limitations (</w:t>
      </w:r>
      <w:proofErr w:type="spellStart"/>
      <w:r w:rsidRPr="006B0B80">
        <w:t>Bograchev</w:t>
      </w:r>
      <w:proofErr w:type="spellEnd"/>
      <w:r w:rsidRPr="006B0B80">
        <w:t xml:space="preserve"> et al., 2025). In </w:t>
      </w:r>
      <w:proofErr w:type="spellStart"/>
      <w:r w:rsidRPr="006B0B80">
        <w:t>anodisation</w:t>
      </w:r>
      <w:proofErr w:type="spellEnd"/>
      <w:r w:rsidRPr="006B0B80">
        <w:t xml:space="preserve">, temperature control becomes critical because local heating changes oxide growth and dissolution. These effects mean that a fixed applied cell voltage may not correspond to the same local interfacial potential across a large substrate. Engineering models of current distribution and mass transfer should therefore enter nanomaterials synthesis earlier, before a laboratory morphology becomes the sole </w:t>
      </w:r>
      <w:proofErr w:type="spellStart"/>
      <w:r w:rsidRPr="006B0B80">
        <w:t>optimisation</w:t>
      </w:r>
      <w:proofErr w:type="spellEnd"/>
      <w:r w:rsidRPr="006B0B80">
        <w:t xml:space="preserve"> target.</w:t>
      </w:r>
    </w:p>
    <w:p w14:paraId="7B21F210" w14:textId="77777777" w:rsidR="00606B00" w:rsidRPr="006B0B80" w:rsidRDefault="00000000" w:rsidP="008C29E6">
      <w:pPr>
        <w:pStyle w:val="BodyText"/>
        <w:jc w:val="both"/>
      </w:pPr>
      <w:r w:rsidRPr="006B0B80">
        <w:t xml:space="preserve">Electrolyte lifetime is another neglected scale variable. Additives can be consumed, decomposed or incorporated into deposits; metal-ion ratios drift during alloy deposition; and dissolved species from anodes or </w:t>
      </w:r>
      <w:r w:rsidRPr="006B0B80">
        <w:lastRenderedPageBreak/>
        <w:t>substrates accumulate. A process that is reproducible with fresh electrolyte may drift during repeated use. Industrial electrodeposition already manages bath chemistry as a controlled process variable, and nanoscale manufacture requires even tighter limits because small changes can alter nucleation and surface chemistry. Closed-loop monitoring should therefore measure not only bulk metal concentration but the species known to govern morphology.</w:t>
      </w:r>
    </w:p>
    <w:p w14:paraId="60504C7E" w14:textId="77777777" w:rsidR="00606B00" w:rsidRPr="006B0B80" w:rsidRDefault="00000000" w:rsidP="008C29E6">
      <w:pPr>
        <w:pStyle w:val="BodyText"/>
        <w:jc w:val="both"/>
      </w:pPr>
      <w:r w:rsidRPr="006B0B80">
        <w:t>Metrology must be compatible with throughput. Electron microscopy provides indispensable structural evidence but is too slow to monitor every production batch at statistically meaningful scale. Electrochemical signatures can become process-control tools if they are calibrated against structural attributes, while inline optical, acoustic or mass-sensitive measurements may provide complementary information. EQCM demonstrates how electrochemical charge and mass can be linked during deposition on a model resonator (Zhao et al., 2022). The translational challenge is to convert such mechanistic measurements into robust proxies that can operate in larger reactors without assuming that a laboratory sensor perfectly reproduces production hydrodynamics.</w:t>
      </w:r>
    </w:p>
    <w:p w14:paraId="03936135" w14:textId="77777777" w:rsidR="00606B00" w:rsidRPr="006B0B80" w:rsidRDefault="00000000" w:rsidP="008C29E6">
      <w:pPr>
        <w:pStyle w:val="BodyText"/>
        <w:jc w:val="both"/>
      </w:pPr>
      <w:r w:rsidRPr="006B0B80">
        <w:t xml:space="preserve">Durability should be separated into storage stability, processing stability and operating stability. Exfoliated nanosheets can restack during drying; nanoporous metals can coarsen; electrodeposited catalysts can reconstruct during </w:t>
      </w:r>
      <w:proofErr w:type="spellStart"/>
      <w:r w:rsidRPr="006B0B80">
        <w:t>polarisation</w:t>
      </w:r>
      <w:proofErr w:type="spellEnd"/>
      <w:r w:rsidRPr="006B0B80">
        <w:t>; and nanostructured coatings can crack under thermal or mechanical cycling. A material may therefore meet its as-produced specification but lose the defining nanostructure before or during application. Accelerated tests are useful only when their failure mechanism is connected to realistic operation. Long-duration electrochemical cycling without post-mortem structural analysis can show performance retention but not whether the original nanoscale design remained responsible for that retention.</w:t>
      </w:r>
    </w:p>
    <w:p w14:paraId="4804E327" w14:textId="77777777" w:rsidR="00606B00" w:rsidRPr="006B0B80" w:rsidRDefault="00000000" w:rsidP="008C29E6">
      <w:pPr>
        <w:pStyle w:val="BodyText"/>
        <w:jc w:val="both"/>
      </w:pPr>
      <w:r w:rsidRPr="006B0B80">
        <w:t xml:space="preserve">Economic claims similarly require consistent boundaries. Electrochemical equipment can be relatively simple and modular, and low-temperature operation may reduce capital and thermal demand. Conversely, high-purity precursors, noble substrates, templates and separation steps can dominate cost. Reporting only reagent price or electrical energy per deposition step underestimates the system. A credible techno-economic comparison should specify production rate, quality yield, electrolyte recycle, </w:t>
      </w:r>
      <w:proofErr w:type="spellStart"/>
      <w:r w:rsidRPr="006B0B80">
        <w:t>labour</w:t>
      </w:r>
      <w:proofErr w:type="spellEnd"/>
      <w:r w:rsidRPr="006B0B80">
        <w:t xml:space="preserve"> or automation assumptions, substrate reuse and waste treatment. For high-value sensor or catalyst applications, electrochemical precision may justify modest throughput; for bulk conductive inks or storage materials, mass productivity becomes decisive.</w:t>
      </w:r>
    </w:p>
    <w:p w14:paraId="7E8B3225" w14:textId="77777777" w:rsidR="00606B00" w:rsidRPr="006B0B80" w:rsidRDefault="00000000" w:rsidP="008C29E6">
      <w:pPr>
        <w:pStyle w:val="BodyText"/>
        <w:jc w:val="both"/>
      </w:pPr>
      <w:r w:rsidRPr="006B0B80">
        <w:t>Translation therefore depends on preserving a functionally relevant process window rather than reproducing a laboratory recipe exactly. The most scalable variables are dimensionless or mechanistic descriptors such as transport regime, current distribution, residence time, supersaturation at the interface and ratio of productive to parasitic current. Table 3 has already shown how many laboratory confounders originate from these coupled variables. Manufacturing research should make them explicit and define acceptance ranges for product morphology, composition and electrochemical function. This would move the field from recipe transfer towards process understanding.</w:t>
      </w:r>
    </w:p>
    <w:p w14:paraId="3D0FB39F" w14:textId="77777777" w:rsidR="00606B00" w:rsidRPr="006B0B80" w:rsidRDefault="00000000" w:rsidP="008C29E6">
      <w:pPr>
        <w:pStyle w:val="Heading2"/>
        <w:jc w:val="both"/>
        <w:rPr>
          <w:color w:val="auto"/>
        </w:rPr>
      </w:pPr>
      <w:r w:rsidRPr="006B0B80">
        <w:rPr>
          <w:color w:val="auto"/>
        </w:rPr>
        <w:t>7.1 Reactor Intensification and Quality Control</w:t>
      </w:r>
    </w:p>
    <w:p w14:paraId="1E6AB01B" w14:textId="77777777" w:rsidR="00606B00" w:rsidRPr="006B0B80" w:rsidRDefault="00000000" w:rsidP="008C29E6">
      <w:pPr>
        <w:pStyle w:val="BodyText"/>
        <w:jc w:val="both"/>
      </w:pPr>
      <w:r w:rsidRPr="006B0B80">
        <w:t xml:space="preserve">Reactor intensification should be evaluated against nanoscale quality rather than throughput alone. Flow-through electrodes, rotating substrates and narrow-gap cells can increase mass transfer and reduce diffusion-layer thickness, but the resulting hydrodynamics may </w:t>
      </w:r>
      <w:proofErr w:type="spellStart"/>
      <w:r w:rsidRPr="006B0B80">
        <w:t>favour</w:t>
      </w:r>
      <w:proofErr w:type="spellEnd"/>
      <w:r w:rsidRPr="006B0B80">
        <w:t xml:space="preserve"> different nucleation and growth pathways from those established in quiescent laboratory cells. Higher current density is therefore useful only when the product distribution remains within specification. A scale-up study should map particle or feature distributions against local current density and residence time, then identify the operating region in which quality yield remains stable. This approach is more informative than reporting the largest electrode area or highest instantaneous production rate because it links engineering intensification to the material attribute that the application actually requires (Huang et al., 2020; Tovar-Oliva &amp; Tudela, 2024).</w:t>
      </w:r>
    </w:p>
    <w:p w14:paraId="7DF2D160" w14:textId="77777777" w:rsidR="00606B00" w:rsidRPr="006B0B80" w:rsidRDefault="00000000" w:rsidP="008C29E6">
      <w:pPr>
        <w:pStyle w:val="BodyText"/>
        <w:jc w:val="both"/>
      </w:pPr>
      <w:r w:rsidRPr="006B0B80">
        <w:t xml:space="preserve">Electrode architecture provides another route to intensification. Three-dimensional current collectors increase available area and can reduce footprint, but deep porous structures create current and concentration gradients that </w:t>
      </w:r>
      <w:r w:rsidRPr="006B0B80">
        <w:lastRenderedPageBreak/>
        <w:t>resemble, at a larger scale, the confinement problems encountered in template electrodeposition. If deposition begins preferentially near the pore mouth, the reactor can become progressively less accessible even while total current remains high. Strategies such as pulsed flow, pulsed current or staged precursor delivery may help, but their value should be demonstrated through spatial loading and composition measurements rather than total charge alone. The mechanistic lessons from nanopore filling therefore have direct relevance to reactor-scale porous electrodes (</w:t>
      </w:r>
      <w:proofErr w:type="spellStart"/>
      <w:r w:rsidRPr="006B0B80">
        <w:t>Bograchev</w:t>
      </w:r>
      <w:proofErr w:type="spellEnd"/>
      <w:r w:rsidRPr="006B0B80">
        <w:t xml:space="preserve"> et al., 2025).</w:t>
      </w:r>
    </w:p>
    <w:p w14:paraId="67573A59" w14:textId="77777777" w:rsidR="00606B00" w:rsidRPr="006B0B80" w:rsidRDefault="00000000" w:rsidP="008C29E6">
      <w:pPr>
        <w:pStyle w:val="BodyText"/>
        <w:jc w:val="both"/>
      </w:pPr>
      <w:r w:rsidRPr="006B0B80">
        <w:t>Quality control will increasingly depend on linking fast process signals with slower reference measurements. Cell voltage, current efficiency, bath conductivity, temperature and pressure or flow can be monitored continuously, while microscopy, spectroscopy and composition analysis remain periodic. Multivariate models can be useful for detecting drift, but they should be trained against independently verified product attributes and challenged when electrolyte age, substrate lot or reactor scale changes. Electrochemical signals are attractive process analytical variables precisely because they are generated at the manufacturing interface; their weakness is that the same signal can reflect several physical changes. Robust control therefore requires a deliberately redundant set of observables rather than a single proprietary quality index.</w:t>
      </w:r>
    </w:p>
    <w:p w14:paraId="18664685" w14:textId="77777777" w:rsidR="00606B00" w:rsidRPr="006B0B80" w:rsidRDefault="00000000" w:rsidP="008C29E6">
      <w:pPr>
        <w:pStyle w:val="BodyText"/>
        <w:jc w:val="both"/>
      </w:pPr>
      <w:r w:rsidRPr="006B0B80">
        <w:t>Standard reference materials and interlaboratory exercises would accelerate this transition. Many electrochemical nanomaterials methods are sensitive to laboratory-specific details that are rarely captured in nominal recipes. A shared substrate, electrolyte specification and target morphology could be used to determine which variables dominate between-laboratory variation, while a common electrochemical benchmark could test whether structurally similar products deliver comparable function. Such studies are less glamorous than introducing a new morphology, but they would provide the uncertainty estimates required for manufacturing transfer and would help distinguish genuinely robust electrochemical control from outcomes that depend on tacit experimental practice.</w:t>
      </w:r>
    </w:p>
    <w:p w14:paraId="26AC1C28" w14:textId="77777777" w:rsidR="00606B00" w:rsidRPr="006B0B80" w:rsidRDefault="00000000" w:rsidP="008C29E6">
      <w:pPr>
        <w:pStyle w:val="Heading1"/>
        <w:jc w:val="both"/>
        <w:rPr>
          <w:color w:val="auto"/>
        </w:rPr>
      </w:pPr>
      <w:r w:rsidRPr="006B0B80">
        <w:rPr>
          <w:color w:val="auto"/>
        </w:rPr>
        <w:t>8. Future Directions</w:t>
      </w:r>
    </w:p>
    <w:p w14:paraId="33C0FB15" w14:textId="77777777" w:rsidR="00606B00" w:rsidRPr="006B0B80" w:rsidRDefault="00000000" w:rsidP="008C29E6">
      <w:pPr>
        <w:pStyle w:val="BodyText"/>
        <w:jc w:val="both"/>
      </w:pPr>
      <w:r w:rsidRPr="006B0B80">
        <w:t xml:space="preserve">The immediate research priority is to convert electrochemical synthesis from one-variable </w:t>
      </w:r>
      <w:proofErr w:type="spellStart"/>
      <w:r w:rsidRPr="006B0B80">
        <w:t>optimisation</w:t>
      </w:r>
      <w:proofErr w:type="spellEnd"/>
      <w:r w:rsidRPr="006B0B80">
        <w:t xml:space="preserve"> into mechanism-informed multivariable control. Electrodeposition studies should measure composition, loading, roughness and current efficiency together when waveform, additive or potential is changed. </w:t>
      </w:r>
      <w:proofErr w:type="spellStart"/>
      <w:r w:rsidRPr="006B0B80">
        <w:t>Anodisation</w:t>
      </w:r>
      <w:proofErr w:type="spellEnd"/>
      <w:r w:rsidRPr="006B0B80">
        <w:t xml:space="preserve"> studies should report electrolyte water content, temperature and post-treatment alongside tube dimensions. Exfoliation studies should quantify quality yield rather than total recovered mass. Dealloying studies should track residual composition and ligament evolution during the same condition series. Such designs would reveal whether a performance optimum corresponds to a structural optimum or merely to a coupled chemical change (Bernal &amp; Ustarroz, 2021; David et al., 2022; Lim et al., 2026; </w:t>
      </w:r>
      <w:proofErr w:type="spellStart"/>
      <w:r w:rsidRPr="006B0B80">
        <w:t>Rurainsky</w:t>
      </w:r>
      <w:proofErr w:type="spellEnd"/>
      <w:r w:rsidRPr="006B0B80">
        <w:t xml:space="preserve"> et al., 2020).</w:t>
      </w:r>
    </w:p>
    <w:p w14:paraId="0D6D1239" w14:textId="77777777" w:rsidR="00606B00" w:rsidRPr="006B0B80" w:rsidRDefault="00000000" w:rsidP="008C29E6">
      <w:pPr>
        <w:pStyle w:val="BodyText"/>
        <w:jc w:val="both"/>
      </w:pPr>
      <w:r w:rsidRPr="006B0B80">
        <w:t>A second priority is operando correlation between electrochemical response and the active structure. EQCM can provide mass changes during deposition or cycling, while local scanning methods can connect activity to heterogeneous surface features (</w:t>
      </w:r>
      <w:proofErr w:type="spellStart"/>
      <w:r w:rsidRPr="006B0B80">
        <w:t>Ebejer</w:t>
      </w:r>
      <w:proofErr w:type="spellEnd"/>
      <w:r w:rsidRPr="006B0B80">
        <w:t xml:space="preserve"> et al., 2013; Gaudin et al., 2024; Zhao et al., 2022). These measurements should be combined with spectroscopic or microscopic methods at matched potentials and, where possible, at the same locations. The objective is not maximal instrument complexity but removal of alternative explanations. For example, a decline in charge-transfer resistance after activation should be tested against whether surface area, oxidation state, porosity or wetting changed simultaneously.</w:t>
      </w:r>
    </w:p>
    <w:p w14:paraId="2C60D406" w14:textId="77777777" w:rsidR="00606B00" w:rsidRPr="006B0B80" w:rsidRDefault="00000000" w:rsidP="008C29E6">
      <w:pPr>
        <w:pStyle w:val="BodyText"/>
        <w:jc w:val="both"/>
      </w:pPr>
      <w:r w:rsidRPr="006B0B80">
        <w:t xml:space="preserve">Third, benchmarking should become application specific but internally consistent. Electrocatalysis requires geometric, mass and appropriately justified specific activities, Faradaic efficiency, uncompensated-resistance treatment and stability under meaningful current (McCrory et al., 2013; McCrory et al., 2015; </w:t>
      </w:r>
      <w:proofErr w:type="spellStart"/>
      <w:r w:rsidRPr="006B0B80">
        <w:t>Voiry</w:t>
      </w:r>
      <w:proofErr w:type="spellEnd"/>
      <w:r w:rsidRPr="006B0B80">
        <w:t xml:space="preserve"> et al., 2018). Energy-storage electrodes require areal and volumetric metrics at practical loading, with electrolyte and inactive-component fractions reported. Sensor studies require between-device reproducibility and matrix validation. CDI requires salt-removal, charge-efficiency and energy metrics under defined feed conditions (</w:t>
      </w:r>
      <w:proofErr w:type="spellStart"/>
      <w:r w:rsidRPr="006B0B80">
        <w:t>Suss</w:t>
      </w:r>
      <w:proofErr w:type="spellEnd"/>
      <w:r w:rsidRPr="006B0B80">
        <w:t xml:space="preserve"> et al., 2015). </w:t>
      </w:r>
      <w:r w:rsidRPr="006B0B80">
        <w:lastRenderedPageBreak/>
        <w:t xml:space="preserve">These benchmarks should be treated as design constraints during synthesis rather than added after material </w:t>
      </w:r>
      <w:proofErr w:type="spellStart"/>
      <w:r w:rsidRPr="006B0B80">
        <w:t>optimisation</w:t>
      </w:r>
      <w:proofErr w:type="spellEnd"/>
      <w:r w:rsidRPr="006B0B80">
        <w:t>.</w:t>
      </w:r>
    </w:p>
    <w:p w14:paraId="19B2B051" w14:textId="77777777" w:rsidR="00606B00" w:rsidRPr="006B0B80" w:rsidRDefault="00000000" w:rsidP="008C29E6">
      <w:pPr>
        <w:pStyle w:val="BodyText"/>
        <w:jc w:val="both"/>
      </w:pPr>
      <w:r w:rsidRPr="006B0B80">
        <w:t>Fourth, synthesis studies should report distributions and batch statistics. Nanomaterial function is often nonlinear with feature size, so an average diameter can conceal a minority population that dominates reactivity. Independent batches should be used to estimate process variability, while within-batch particle measurements define morphological dispersion. Continuous processes should report time-resolved drift and quality yield. This is especially important when a route is described as scalable, because scalability implies reproducibility over area, time or volume, not simply the ability to make more material (Huang et al., 2020).</w:t>
      </w:r>
    </w:p>
    <w:p w14:paraId="7722C77F" w14:textId="77777777" w:rsidR="00606B00" w:rsidRPr="006B0B80" w:rsidRDefault="00000000" w:rsidP="008C29E6">
      <w:pPr>
        <w:pStyle w:val="BodyText"/>
        <w:jc w:val="both"/>
      </w:pPr>
      <w:r w:rsidRPr="006B0B80">
        <w:t xml:space="preserve">Fifth, manufacturing studies need closed material and energy balances. Electrochemical methods are well positioned for electrified manufacturing, but environmental benefit should be demonstrated through electricity demand, current efficiency, solvent and electrolyte recycle, wash-water burden and precursor </w:t>
      </w:r>
      <w:proofErr w:type="spellStart"/>
      <w:r w:rsidRPr="006B0B80">
        <w:t>utilisation</w:t>
      </w:r>
      <w:proofErr w:type="spellEnd"/>
      <w:r w:rsidRPr="006B0B80">
        <w:t>. Template-assisted routes should include template manufacture or recovery where it is integral to the process. Exfoliation should include purification and drying. Dealloying should account for dissolved sacrificial metals and their recovery. These balances would allow genuine comparison with non-electrochemical synthesis rather than relying on low operating temperature as a proxy for sustainability.</w:t>
      </w:r>
    </w:p>
    <w:p w14:paraId="0C4C5C8F" w14:textId="77777777" w:rsidR="00606B00" w:rsidRPr="006B0B80" w:rsidRDefault="00000000" w:rsidP="008C29E6">
      <w:pPr>
        <w:pStyle w:val="BodyText"/>
        <w:jc w:val="both"/>
      </w:pPr>
      <w:r w:rsidRPr="006B0B80">
        <w:t xml:space="preserve">Sixth, process models should bridge electrode scale and nanoscale growth. Pore-scale mass transport is already </w:t>
      </w:r>
      <w:proofErr w:type="spellStart"/>
      <w:r w:rsidRPr="006B0B80">
        <w:t>recognised</w:t>
      </w:r>
      <w:proofErr w:type="spellEnd"/>
      <w:r w:rsidRPr="006B0B80">
        <w:t xml:space="preserve"> as a key determinant of template filling (</w:t>
      </w:r>
      <w:proofErr w:type="spellStart"/>
      <w:r w:rsidRPr="006B0B80">
        <w:t>Bograchev</w:t>
      </w:r>
      <w:proofErr w:type="spellEnd"/>
      <w:r w:rsidRPr="006B0B80">
        <w:t xml:space="preserve"> et al., 2025), and the same logic should be extended to large-area current distribution, flow reactors and continuous exfoliation or deposition systems. Models should be validated with spatial measurements rather than fitted only to total current. Digital process control can then use measurable variables such as local potential, conductivity, temperature and precursor concentration to maintain a morphology window as production rate changes.</w:t>
      </w:r>
    </w:p>
    <w:p w14:paraId="68879285" w14:textId="77777777" w:rsidR="00606B00" w:rsidRPr="006B0B80" w:rsidRDefault="00000000" w:rsidP="008C29E6">
      <w:pPr>
        <w:pStyle w:val="BodyText"/>
        <w:jc w:val="both"/>
      </w:pPr>
      <w:r w:rsidRPr="006B0B80">
        <w:t xml:space="preserve">Longer-term work should target electrochemical routes that decouple properties now changed together. Examples include deposition protocols that vary morphology while holding composition constant, dealloying sequences that independently tune residual alloying and pore size, and exfoliation chemistries that separate delamination rate from oxidative </w:t>
      </w:r>
      <w:proofErr w:type="spellStart"/>
      <w:r w:rsidRPr="006B0B80">
        <w:t>functionalisation</w:t>
      </w:r>
      <w:proofErr w:type="spellEnd"/>
      <w:r w:rsidRPr="006B0B80">
        <w:t xml:space="preserve">. This is scientifically demanding because the coupling often arises from the mechanism itself. Nevertheless, even partial decoupling through matched control experiments would produce more transferable design rules than </w:t>
      </w:r>
      <w:proofErr w:type="spellStart"/>
      <w:r w:rsidRPr="006B0B80">
        <w:t>optimisation</w:t>
      </w:r>
      <w:proofErr w:type="spellEnd"/>
      <w:r w:rsidRPr="006B0B80">
        <w:t xml:space="preserve"> of a single application metric.</w:t>
      </w:r>
    </w:p>
    <w:p w14:paraId="340CD77A" w14:textId="77777777" w:rsidR="00606B00" w:rsidRPr="006B0B80" w:rsidRDefault="00000000" w:rsidP="008C29E6">
      <w:pPr>
        <w:pStyle w:val="BodyText"/>
        <w:jc w:val="both"/>
      </w:pPr>
      <w:r w:rsidRPr="006B0B80">
        <w:t>Table 5 ranks these priorities by the uncertainty they address and the evidence needed to resolve it. The near-term emphasis is methodological: better controls, operando correlation, batch statistics and application-level benchmarking. Longer-term advances depend on manufacturing integration and mechanistic decoupling. This ordering reflects the present evidence base, in which many electrochemical nanostructures already show high functional performance, but confidence in why they perform and whether that performance survives scale remains less mature.</w:t>
      </w:r>
    </w:p>
    <w:p w14:paraId="6BB33105" w14:textId="77777777" w:rsidR="00606B00" w:rsidRPr="006B0B80" w:rsidRDefault="00000000" w:rsidP="008C29E6">
      <w:pPr>
        <w:pStyle w:val="TableCaption"/>
        <w:keepNext/>
        <w:keepLines/>
        <w:jc w:val="both"/>
      </w:pPr>
      <w:r w:rsidRPr="006B0B80">
        <w:t xml:space="preserve">Table 5. </w:t>
      </w:r>
      <w:proofErr w:type="spellStart"/>
      <w:r w:rsidRPr="006B0B80">
        <w:t>Prioritised</w:t>
      </w:r>
      <w:proofErr w:type="spellEnd"/>
      <w:r w:rsidRPr="006B0B80">
        <w:t xml:space="preserve"> research directions for electrochemical nanomaterials</w:t>
      </w:r>
    </w:p>
    <w:tbl>
      <w:tblPr>
        <w:tblStyle w:val="TableGrid"/>
        <w:tblW w:w="0" w:type="auto"/>
        <w:jc w:val="center"/>
        <w:tblLayout w:type="fixed"/>
        <w:tblLook w:val="04A0" w:firstRow="1" w:lastRow="0" w:firstColumn="1" w:lastColumn="0" w:noHBand="0" w:noVBand="1"/>
      </w:tblPr>
      <w:tblGrid>
        <w:gridCol w:w="2016"/>
        <w:gridCol w:w="2016"/>
        <w:gridCol w:w="2016"/>
        <w:gridCol w:w="3125"/>
        <w:gridCol w:w="2016"/>
      </w:tblGrid>
      <w:tr w:rsidR="006B0B80" w:rsidRPr="006B0B80" w14:paraId="6130B83A" w14:textId="77777777" w:rsidTr="006B0B80">
        <w:trPr>
          <w:cantSplit/>
          <w:tblHeader/>
          <w:jc w:val="center"/>
        </w:trPr>
        <w:tc>
          <w:tcPr>
            <w:tcW w:w="1469" w:type="dxa"/>
            <w:tcMar>
              <w:top w:w="70" w:type="dxa"/>
              <w:left w:w="80" w:type="dxa"/>
              <w:bottom w:w="70" w:type="dxa"/>
              <w:right w:w="80" w:type="dxa"/>
            </w:tcMar>
            <w:vAlign w:val="center"/>
          </w:tcPr>
          <w:p w14:paraId="546C7484" w14:textId="77777777" w:rsidR="00606B00" w:rsidRPr="006B0B80" w:rsidRDefault="00000000" w:rsidP="008C29E6">
            <w:pPr>
              <w:jc w:val="both"/>
            </w:pPr>
            <w:r w:rsidRPr="006B0B80">
              <w:rPr>
                <w:rFonts w:ascii="Arial" w:hAnsi="Arial"/>
                <w:b/>
                <w:sz w:val="17"/>
              </w:rPr>
              <w:t>Priority</w:t>
            </w:r>
          </w:p>
        </w:tc>
        <w:tc>
          <w:tcPr>
            <w:tcW w:w="1800" w:type="dxa"/>
            <w:tcMar>
              <w:top w:w="70" w:type="dxa"/>
              <w:left w:w="80" w:type="dxa"/>
              <w:bottom w:w="70" w:type="dxa"/>
              <w:right w:w="80" w:type="dxa"/>
            </w:tcMar>
            <w:vAlign w:val="center"/>
          </w:tcPr>
          <w:p w14:paraId="5FBED4C7" w14:textId="77777777" w:rsidR="00606B00" w:rsidRPr="006B0B80" w:rsidRDefault="00000000" w:rsidP="008C29E6">
            <w:pPr>
              <w:jc w:val="both"/>
            </w:pPr>
            <w:r w:rsidRPr="006B0B80">
              <w:rPr>
                <w:rFonts w:ascii="Arial" w:hAnsi="Arial"/>
                <w:b/>
                <w:sz w:val="17"/>
              </w:rPr>
              <w:t>Unresolved problem</w:t>
            </w:r>
          </w:p>
        </w:tc>
        <w:tc>
          <w:tcPr>
            <w:tcW w:w="1872" w:type="dxa"/>
            <w:tcMar>
              <w:top w:w="70" w:type="dxa"/>
              <w:left w:w="80" w:type="dxa"/>
              <w:bottom w:w="70" w:type="dxa"/>
              <w:right w:w="80" w:type="dxa"/>
            </w:tcMar>
            <w:vAlign w:val="center"/>
          </w:tcPr>
          <w:p w14:paraId="36F5B48E" w14:textId="77777777" w:rsidR="00606B00" w:rsidRPr="006B0B80" w:rsidRDefault="00000000" w:rsidP="008C29E6">
            <w:pPr>
              <w:jc w:val="both"/>
            </w:pPr>
            <w:r w:rsidRPr="006B0B80">
              <w:rPr>
                <w:rFonts w:ascii="Arial" w:hAnsi="Arial"/>
                <w:b/>
                <w:sz w:val="17"/>
              </w:rPr>
              <w:t>Recommended study design</w:t>
            </w:r>
          </w:p>
        </w:tc>
        <w:tc>
          <w:tcPr>
            <w:tcW w:w="3125" w:type="dxa"/>
            <w:tcMar>
              <w:top w:w="70" w:type="dxa"/>
              <w:left w:w="80" w:type="dxa"/>
              <w:bottom w:w="70" w:type="dxa"/>
              <w:right w:w="80" w:type="dxa"/>
            </w:tcMar>
            <w:vAlign w:val="center"/>
          </w:tcPr>
          <w:p w14:paraId="0B1C7266" w14:textId="77777777" w:rsidR="00606B00" w:rsidRPr="006B0B80" w:rsidRDefault="00000000" w:rsidP="008C29E6">
            <w:pPr>
              <w:jc w:val="both"/>
            </w:pPr>
            <w:r w:rsidRPr="006B0B80">
              <w:rPr>
                <w:rFonts w:ascii="Arial" w:hAnsi="Arial"/>
                <w:b/>
                <w:sz w:val="17"/>
              </w:rPr>
              <w:t>Decisive outcome</w:t>
            </w:r>
          </w:p>
        </w:tc>
        <w:tc>
          <w:tcPr>
            <w:tcW w:w="1728" w:type="dxa"/>
            <w:tcMar>
              <w:top w:w="70" w:type="dxa"/>
              <w:left w:w="80" w:type="dxa"/>
              <w:bottom w:w="70" w:type="dxa"/>
              <w:right w:w="80" w:type="dxa"/>
            </w:tcMar>
            <w:vAlign w:val="center"/>
          </w:tcPr>
          <w:p w14:paraId="5D5D591E" w14:textId="77777777" w:rsidR="00606B00" w:rsidRPr="006B0B80" w:rsidRDefault="00000000" w:rsidP="008C29E6">
            <w:pPr>
              <w:jc w:val="both"/>
            </w:pPr>
            <w:r w:rsidRPr="006B0B80">
              <w:rPr>
                <w:rFonts w:ascii="Arial" w:hAnsi="Arial"/>
                <w:b/>
                <w:sz w:val="17"/>
              </w:rPr>
              <w:t>Supporting references</w:t>
            </w:r>
          </w:p>
        </w:tc>
      </w:tr>
      <w:tr w:rsidR="006B0B80" w:rsidRPr="006B0B80" w14:paraId="6547A579" w14:textId="77777777" w:rsidTr="006B0B80">
        <w:trPr>
          <w:cantSplit/>
          <w:jc w:val="center"/>
        </w:trPr>
        <w:tc>
          <w:tcPr>
            <w:tcW w:w="2016" w:type="dxa"/>
            <w:tcMar>
              <w:top w:w="70" w:type="dxa"/>
              <w:left w:w="80" w:type="dxa"/>
              <w:bottom w:w="70" w:type="dxa"/>
              <w:right w:w="80" w:type="dxa"/>
            </w:tcMar>
            <w:vAlign w:val="center"/>
          </w:tcPr>
          <w:p w14:paraId="25186B3A" w14:textId="77777777" w:rsidR="00606B00" w:rsidRPr="006B0B80" w:rsidRDefault="00000000" w:rsidP="008C29E6">
            <w:pPr>
              <w:jc w:val="both"/>
            </w:pPr>
            <w:r w:rsidRPr="006B0B80">
              <w:rPr>
                <w:rFonts w:ascii="Arial" w:hAnsi="Arial"/>
                <w:sz w:val="17"/>
              </w:rPr>
              <w:t>1. Mechanism-informed multivariable synthesis</w:t>
            </w:r>
          </w:p>
        </w:tc>
        <w:tc>
          <w:tcPr>
            <w:tcW w:w="2016" w:type="dxa"/>
            <w:tcMar>
              <w:top w:w="70" w:type="dxa"/>
              <w:left w:w="80" w:type="dxa"/>
              <w:bottom w:w="70" w:type="dxa"/>
              <w:right w:w="80" w:type="dxa"/>
            </w:tcMar>
            <w:vAlign w:val="center"/>
          </w:tcPr>
          <w:p w14:paraId="34D667F6" w14:textId="77777777" w:rsidR="00606B00" w:rsidRPr="006B0B80" w:rsidRDefault="00000000" w:rsidP="008C29E6">
            <w:pPr>
              <w:jc w:val="both"/>
            </w:pPr>
            <w:r w:rsidRPr="006B0B80">
              <w:rPr>
                <w:rFonts w:ascii="Arial" w:hAnsi="Arial"/>
                <w:sz w:val="17"/>
              </w:rPr>
              <w:t>Morphology, composition and side reactions change together</w:t>
            </w:r>
          </w:p>
        </w:tc>
        <w:tc>
          <w:tcPr>
            <w:tcW w:w="2016" w:type="dxa"/>
            <w:tcMar>
              <w:top w:w="70" w:type="dxa"/>
              <w:left w:w="80" w:type="dxa"/>
              <w:bottom w:w="70" w:type="dxa"/>
              <w:right w:w="80" w:type="dxa"/>
            </w:tcMar>
            <w:vAlign w:val="center"/>
          </w:tcPr>
          <w:p w14:paraId="205F24AE" w14:textId="77777777" w:rsidR="00606B00" w:rsidRPr="006B0B80" w:rsidRDefault="00000000" w:rsidP="008C29E6">
            <w:pPr>
              <w:jc w:val="both"/>
            </w:pPr>
            <w:r w:rsidRPr="006B0B80">
              <w:rPr>
                <w:rFonts w:ascii="Arial" w:hAnsi="Arial"/>
                <w:sz w:val="17"/>
              </w:rPr>
              <w:t>Factorial or response-surface studies with charge, composition, loading and morphology measured concurrently</w:t>
            </w:r>
          </w:p>
        </w:tc>
        <w:tc>
          <w:tcPr>
            <w:tcW w:w="2016" w:type="dxa"/>
            <w:tcMar>
              <w:top w:w="70" w:type="dxa"/>
              <w:left w:w="80" w:type="dxa"/>
              <w:bottom w:w="70" w:type="dxa"/>
              <w:right w:w="80" w:type="dxa"/>
            </w:tcMar>
            <w:vAlign w:val="center"/>
          </w:tcPr>
          <w:p w14:paraId="7D0EF8A8" w14:textId="77777777" w:rsidR="00606B00" w:rsidRPr="006B0B80" w:rsidRDefault="00000000" w:rsidP="008C29E6">
            <w:pPr>
              <w:jc w:val="both"/>
            </w:pPr>
            <w:r w:rsidRPr="006B0B80">
              <w:rPr>
                <w:rFonts w:ascii="Arial" w:hAnsi="Arial"/>
                <w:sz w:val="17"/>
              </w:rPr>
              <w:t>Causal map of process variables to independent material attributes</w:t>
            </w:r>
          </w:p>
        </w:tc>
        <w:tc>
          <w:tcPr>
            <w:tcW w:w="2016" w:type="dxa"/>
            <w:tcMar>
              <w:top w:w="70" w:type="dxa"/>
              <w:left w:w="80" w:type="dxa"/>
              <w:bottom w:w="70" w:type="dxa"/>
              <w:right w:w="80" w:type="dxa"/>
            </w:tcMar>
            <w:vAlign w:val="center"/>
          </w:tcPr>
          <w:p w14:paraId="42662FE1" w14:textId="77777777" w:rsidR="00606B00" w:rsidRPr="006B0B80" w:rsidRDefault="00000000" w:rsidP="008C29E6">
            <w:pPr>
              <w:jc w:val="both"/>
            </w:pPr>
            <w:r w:rsidRPr="006B0B80">
              <w:rPr>
                <w:rFonts w:ascii="Arial" w:hAnsi="Arial"/>
                <w:sz w:val="17"/>
              </w:rPr>
              <w:t>(Bernal &amp; Ustarroz, 2021; Tovar-Oliva &amp; Tudela, 2024)</w:t>
            </w:r>
          </w:p>
        </w:tc>
      </w:tr>
      <w:tr w:rsidR="006B0B80" w:rsidRPr="00D77772" w14:paraId="7B675C8D" w14:textId="77777777" w:rsidTr="006B0B80">
        <w:trPr>
          <w:cantSplit/>
          <w:jc w:val="center"/>
        </w:trPr>
        <w:tc>
          <w:tcPr>
            <w:tcW w:w="2016" w:type="dxa"/>
            <w:tcMar>
              <w:top w:w="70" w:type="dxa"/>
              <w:left w:w="80" w:type="dxa"/>
              <w:bottom w:w="70" w:type="dxa"/>
              <w:right w:w="80" w:type="dxa"/>
            </w:tcMar>
            <w:vAlign w:val="center"/>
          </w:tcPr>
          <w:p w14:paraId="08A411E4" w14:textId="77777777" w:rsidR="00606B00" w:rsidRPr="006B0B80" w:rsidRDefault="00000000" w:rsidP="008C29E6">
            <w:pPr>
              <w:jc w:val="both"/>
            </w:pPr>
            <w:r w:rsidRPr="006B0B80">
              <w:rPr>
                <w:rFonts w:ascii="Arial" w:hAnsi="Arial"/>
                <w:sz w:val="17"/>
              </w:rPr>
              <w:t xml:space="preserve">2. Operando and correlative </w:t>
            </w:r>
            <w:proofErr w:type="spellStart"/>
            <w:r w:rsidRPr="006B0B80">
              <w:rPr>
                <w:rFonts w:ascii="Arial" w:hAnsi="Arial"/>
                <w:sz w:val="17"/>
              </w:rPr>
              <w:t>characterisation</w:t>
            </w:r>
            <w:proofErr w:type="spellEnd"/>
          </w:p>
        </w:tc>
        <w:tc>
          <w:tcPr>
            <w:tcW w:w="2016" w:type="dxa"/>
            <w:tcMar>
              <w:top w:w="70" w:type="dxa"/>
              <w:left w:w="80" w:type="dxa"/>
              <w:bottom w:w="70" w:type="dxa"/>
              <w:right w:w="80" w:type="dxa"/>
            </w:tcMar>
            <w:vAlign w:val="center"/>
          </w:tcPr>
          <w:p w14:paraId="194EFFC5" w14:textId="77777777" w:rsidR="00606B00" w:rsidRPr="006B0B80" w:rsidRDefault="00000000" w:rsidP="008C29E6">
            <w:pPr>
              <w:jc w:val="both"/>
            </w:pPr>
            <w:r w:rsidRPr="006B0B80">
              <w:rPr>
                <w:rFonts w:ascii="Arial" w:hAnsi="Arial"/>
                <w:sz w:val="17"/>
              </w:rPr>
              <w:t>As-prepared structure may differ from the active state</w:t>
            </w:r>
          </w:p>
        </w:tc>
        <w:tc>
          <w:tcPr>
            <w:tcW w:w="2016" w:type="dxa"/>
            <w:tcMar>
              <w:top w:w="70" w:type="dxa"/>
              <w:left w:w="80" w:type="dxa"/>
              <w:bottom w:w="70" w:type="dxa"/>
              <w:right w:w="80" w:type="dxa"/>
            </w:tcMar>
            <w:vAlign w:val="center"/>
          </w:tcPr>
          <w:p w14:paraId="06B6D4EE" w14:textId="77777777" w:rsidR="00606B00" w:rsidRPr="006B0B80" w:rsidRDefault="00000000" w:rsidP="008C29E6">
            <w:pPr>
              <w:jc w:val="both"/>
            </w:pPr>
            <w:r w:rsidRPr="006B0B80">
              <w:rPr>
                <w:rFonts w:ascii="Arial" w:hAnsi="Arial"/>
                <w:sz w:val="17"/>
              </w:rPr>
              <w:t>Combine EQCM or local electrochemistry with matched-potential structural/chemical analysis</w:t>
            </w:r>
          </w:p>
        </w:tc>
        <w:tc>
          <w:tcPr>
            <w:tcW w:w="2016" w:type="dxa"/>
            <w:tcMar>
              <w:top w:w="70" w:type="dxa"/>
              <w:left w:w="80" w:type="dxa"/>
              <w:bottom w:w="70" w:type="dxa"/>
              <w:right w:w="80" w:type="dxa"/>
            </w:tcMar>
            <w:vAlign w:val="center"/>
          </w:tcPr>
          <w:p w14:paraId="2F134FF5" w14:textId="77777777" w:rsidR="00606B00" w:rsidRPr="006B0B80" w:rsidRDefault="00000000" w:rsidP="008C29E6">
            <w:pPr>
              <w:jc w:val="both"/>
            </w:pPr>
            <w:r w:rsidRPr="006B0B80">
              <w:rPr>
                <w:rFonts w:ascii="Arial" w:hAnsi="Arial"/>
                <w:sz w:val="17"/>
              </w:rPr>
              <w:t>Identification of the structure and composition present during function</w:t>
            </w:r>
          </w:p>
        </w:tc>
        <w:tc>
          <w:tcPr>
            <w:tcW w:w="2016" w:type="dxa"/>
            <w:tcMar>
              <w:top w:w="70" w:type="dxa"/>
              <w:left w:w="80" w:type="dxa"/>
              <w:bottom w:w="70" w:type="dxa"/>
              <w:right w:w="80" w:type="dxa"/>
            </w:tcMar>
            <w:vAlign w:val="center"/>
          </w:tcPr>
          <w:p w14:paraId="12EF24E7" w14:textId="77777777" w:rsidR="00606B00" w:rsidRPr="00D77772" w:rsidRDefault="00000000" w:rsidP="008C29E6">
            <w:pPr>
              <w:jc w:val="both"/>
              <w:rPr>
                <w:lang w:val="nl-BE"/>
              </w:rPr>
            </w:pPr>
            <w:r w:rsidRPr="00D77772">
              <w:rPr>
                <w:rFonts w:ascii="Arial" w:hAnsi="Arial"/>
                <w:sz w:val="17"/>
                <w:lang w:val="nl-BE"/>
              </w:rPr>
              <w:t>(Ebejer et al., 2013; Gaudin et al., 2024; Zhao et al., 2022)</w:t>
            </w:r>
          </w:p>
        </w:tc>
      </w:tr>
      <w:tr w:rsidR="006B0B80" w:rsidRPr="00D77772" w14:paraId="29366CE2" w14:textId="77777777" w:rsidTr="006B0B80">
        <w:trPr>
          <w:cantSplit/>
          <w:jc w:val="center"/>
        </w:trPr>
        <w:tc>
          <w:tcPr>
            <w:tcW w:w="2016" w:type="dxa"/>
            <w:tcMar>
              <w:top w:w="70" w:type="dxa"/>
              <w:left w:w="80" w:type="dxa"/>
              <w:bottom w:w="70" w:type="dxa"/>
              <w:right w:w="80" w:type="dxa"/>
            </w:tcMar>
            <w:vAlign w:val="center"/>
          </w:tcPr>
          <w:p w14:paraId="475674A0" w14:textId="77777777" w:rsidR="00606B00" w:rsidRPr="006B0B80" w:rsidRDefault="00000000" w:rsidP="008C29E6">
            <w:pPr>
              <w:jc w:val="both"/>
            </w:pPr>
            <w:r w:rsidRPr="006B0B80">
              <w:rPr>
                <w:rFonts w:ascii="Arial" w:hAnsi="Arial"/>
                <w:sz w:val="17"/>
              </w:rPr>
              <w:lastRenderedPageBreak/>
              <w:t xml:space="preserve">3. Benchmarking and </w:t>
            </w:r>
            <w:proofErr w:type="spellStart"/>
            <w:r w:rsidRPr="006B0B80">
              <w:rPr>
                <w:rFonts w:ascii="Arial" w:hAnsi="Arial"/>
                <w:sz w:val="17"/>
              </w:rPr>
              <w:t>normalisation</w:t>
            </w:r>
            <w:proofErr w:type="spellEnd"/>
          </w:p>
        </w:tc>
        <w:tc>
          <w:tcPr>
            <w:tcW w:w="2016" w:type="dxa"/>
            <w:tcMar>
              <w:top w:w="70" w:type="dxa"/>
              <w:left w:w="80" w:type="dxa"/>
              <w:bottom w:w="70" w:type="dxa"/>
              <w:right w:w="80" w:type="dxa"/>
            </w:tcMar>
            <w:vAlign w:val="center"/>
          </w:tcPr>
          <w:p w14:paraId="5AC4EB13" w14:textId="77777777" w:rsidR="00606B00" w:rsidRPr="006B0B80" w:rsidRDefault="00000000" w:rsidP="008C29E6">
            <w:pPr>
              <w:jc w:val="both"/>
            </w:pPr>
            <w:r w:rsidRPr="006B0B80">
              <w:rPr>
                <w:rFonts w:ascii="Arial" w:hAnsi="Arial"/>
                <w:sz w:val="17"/>
              </w:rPr>
              <w:t>High surface area can be mistaken for intrinsic activity</w:t>
            </w:r>
          </w:p>
        </w:tc>
        <w:tc>
          <w:tcPr>
            <w:tcW w:w="2016" w:type="dxa"/>
            <w:tcMar>
              <w:top w:w="70" w:type="dxa"/>
              <w:left w:w="80" w:type="dxa"/>
              <w:bottom w:w="70" w:type="dxa"/>
              <w:right w:w="80" w:type="dxa"/>
            </w:tcMar>
            <w:vAlign w:val="center"/>
          </w:tcPr>
          <w:p w14:paraId="4F7B26A5" w14:textId="77777777" w:rsidR="00606B00" w:rsidRPr="006B0B80" w:rsidRDefault="00000000" w:rsidP="008C29E6">
            <w:pPr>
              <w:jc w:val="both"/>
            </w:pPr>
            <w:r w:rsidRPr="006B0B80">
              <w:rPr>
                <w:rFonts w:ascii="Arial" w:hAnsi="Arial"/>
                <w:sz w:val="17"/>
              </w:rPr>
              <w:t>Report geometric, mass and justified area metrics with product or device outputs</w:t>
            </w:r>
          </w:p>
        </w:tc>
        <w:tc>
          <w:tcPr>
            <w:tcW w:w="2016" w:type="dxa"/>
            <w:tcMar>
              <w:top w:w="70" w:type="dxa"/>
              <w:left w:w="80" w:type="dxa"/>
              <w:bottom w:w="70" w:type="dxa"/>
              <w:right w:w="80" w:type="dxa"/>
            </w:tcMar>
            <w:vAlign w:val="center"/>
          </w:tcPr>
          <w:p w14:paraId="4286739D" w14:textId="77777777" w:rsidR="00606B00" w:rsidRPr="006B0B80" w:rsidRDefault="00000000" w:rsidP="008C29E6">
            <w:pPr>
              <w:jc w:val="both"/>
            </w:pPr>
            <w:r w:rsidRPr="006B0B80">
              <w:rPr>
                <w:rFonts w:ascii="Arial" w:hAnsi="Arial"/>
                <w:sz w:val="17"/>
              </w:rPr>
              <w:t>Comparable performance and explicit distinction between area and intrinsic kinetics</w:t>
            </w:r>
          </w:p>
        </w:tc>
        <w:tc>
          <w:tcPr>
            <w:tcW w:w="2016" w:type="dxa"/>
            <w:tcMar>
              <w:top w:w="70" w:type="dxa"/>
              <w:left w:w="80" w:type="dxa"/>
              <w:bottom w:w="70" w:type="dxa"/>
              <w:right w:w="80" w:type="dxa"/>
            </w:tcMar>
            <w:vAlign w:val="center"/>
          </w:tcPr>
          <w:p w14:paraId="3B0E288D" w14:textId="77777777" w:rsidR="00606B00" w:rsidRPr="00D77772" w:rsidRDefault="00000000" w:rsidP="008C29E6">
            <w:pPr>
              <w:jc w:val="both"/>
              <w:rPr>
                <w:lang w:val="nl-BE"/>
              </w:rPr>
            </w:pPr>
            <w:r w:rsidRPr="00D77772">
              <w:rPr>
                <w:rFonts w:ascii="Arial" w:hAnsi="Arial"/>
                <w:sz w:val="17"/>
                <w:lang w:val="nl-BE"/>
              </w:rPr>
              <w:t>(McCrory et al., 2013; McCrory et al., 2015; Trasatti &amp; Petrii, 1991; Voiry et al., 2018)</w:t>
            </w:r>
          </w:p>
        </w:tc>
      </w:tr>
      <w:tr w:rsidR="006B0B80" w:rsidRPr="00D77772" w14:paraId="03F4A73E" w14:textId="77777777" w:rsidTr="006B0B80">
        <w:trPr>
          <w:cantSplit/>
          <w:jc w:val="center"/>
        </w:trPr>
        <w:tc>
          <w:tcPr>
            <w:tcW w:w="2016" w:type="dxa"/>
            <w:tcMar>
              <w:top w:w="70" w:type="dxa"/>
              <w:left w:w="80" w:type="dxa"/>
              <w:bottom w:w="70" w:type="dxa"/>
              <w:right w:w="80" w:type="dxa"/>
            </w:tcMar>
            <w:vAlign w:val="center"/>
          </w:tcPr>
          <w:p w14:paraId="27FBF4C4" w14:textId="77777777" w:rsidR="00606B00" w:rsidRPr="006B0B80" w:rsidRDefault="00000000" w:rsidP="008C29E6">
            <w:pPr>
              <w:jc w:val="both"/>
            </w:pPr>
            <w:r w:rsidRPr="006B0B80">
              <w:rPr>
                <w:rFonts w:ascii="Arial" w:hAnsi="Arial"/>
                <w:sz w:val="17"/>
              </w:rPr>
              <w:t>4. Batch statistics and quality yield</w:t>
            </w:r>
          </w:p>
        </w:tc>
        <w:tc>
          <w:tcPr>
            <w:tcW w:w="2016" w:type="dxa"/>
            <w:tcMar>
              <w:top w:w="70" w:type="dxa"/>
              <w:left w:w="80" w:type="dxa"/>
              <w:bottom w:w="70" w:type="dxa"/>
              <w:right w:w="80" w:type="dxa"/>
            </w:tcMar>
            <w:vAlign w:val="center"/>
          </w:tcPr>
          <w:p w14:paraId="07E9D4CE" w14:textId="77777777" w:rsidR="00606B00" w:rsidRPr="006B0B80" w:rsidRDefault="00000000" w:rsidP="008C29E6">
            <w:pPr>
              <w:jc w:val="both"/>
            </w:pPr>
            <w:r w:rsidRPr="006B0B80">
              <w:rPr>
                <w:rFonts w:ascii="Arial" w:hAnsi="Arial"/>
                <w:sz w:val="17"/>
              </w:rPr>
              <w:t>Representative images conceal process distributions</w:t>
            </w:r>
          </w:p>
        </w:tc>
        <w:tc>
          <w:tcPr>
            <w:tcW w:w="2016" w:type="dxa"/>
            <w:tcMar>
              <w:top w:w="70" w:type="dxa"/>
              <w:left w:w="80" w:type="dxa"/>
              <w:bottom w:w="70" w:type="dxa"/>
              <w:right w:w="80" w:type="dxa"/>
            </w:tcMar>
            <w:vAlign w:val="center"/>
          </w:tcPr>
          <w:p w14:paraId="30958EE5" w14:textId="77777777" w:rsidR="00606B00" w:rsidRPr="006B0B80" w:rsidRDefault="00000000" w:rsidP="008C29E6">
            <w:pPr>
              <w:jc w:val="both"/>
            </w:pPr>
            <w:r w:rsidRPr="006B0B80">
              <w:rPr>
                <w:rFonts w:ascii="Arial" w:hAnsi="Arial"/>
                <w:sz w:val="17"/>
              </w:rPr>
              <w:t>Independent synthesis replicates plus distribution-based morphology and function</w:t>
            </w:r>
          </w:p>
        </w:tc>
        <w:tc>
          <w:tcPr>
            <w:tcW w:w="2016" w:type="dxa"/>
            <w:tcMar>
              <w:top w:w="70" w:type="dxa"/>
              <w:left w:w="80" w:type="dxa"/>
              <w:bottom w:w="70" w:type="dxa"/>
              <w:right w:w="80" w:type="dxa"/>
            </w:tcMar>
            <w:vAlign w:val="center"/>
          </w:tcPr>
          <w:p w14:paraId="7497B989" w14:textId="77777777" w:rsidR="00606B00" w:rsidRPr="006B0B80" w:rsidRDefault="00000000" w:rsidP="008C29E6">
            <w:pPr>
              <w:jc w:val="both"/>
            </w:pPr>
            <w:r w:rsidRPr="006B0B80">
              <w:rPr>
                <w:rFonts w:ascii="Arial" w:hAnsi="Arial"/>
                <w:sz w:val="17"/>
              </w:rPr>
              <w:t>Manufacturing-relevant variance and acceptance yield</w:t>
            </w:r>
          </w:p>
        </w:tc>
        <w:tc>
          <w:tcPr>
            <w:tcW w:w="2016" w:type="dxa"/>
            <w:tcMar>
              <w:top w:w="70" w:type="dxa"/>
              <w:left w:w="80" w:type="dxa"/>
              <w:bottom w:w="70" w:type="dxa"/>
              <w:right w:w="80" w:type="dxa"/>
            </w:tcMar>
            <w:vAlign w:val="center"/>
          </w:tcPr>
          <w:p w14:paraId="7BB5AE82" w14:textId="77777777" w:rsidR="00606B00" w:rsidRPr="00D77772" w:rsidRDefault="00000000" w:rsidP="008C29E6">
            <w:pPr>
              <w:jc w:val="both"/>
              <w:rPr>
                <w:lang w:val="nl-BE"/>
              </w:rPr>
            </w:pPr>
            <w:r w:rsidRPr="00D77772">
              <w:rPr>
                <w:rFonts w:ascii="Arial" w:hAnsi="Arial"/>
                <w:sz w:val="17"/>
                <w:lang w:val="nl-BE"/>
              </w:rPr>
              <w:t>(Huang et al., 2020; Lim et al., 2026)</w:t>
            </w:r>
          </w:p>
        </w:tc>
      </w:tr>
      <w:tr w:rsidR="006B0B80" w:rsidRPr="00D77772" w14:paraId="1A67E9E4" w14:textId="77777777" w:rsidTr="006B0B80">
        <w:trPr>
          <w:cantSplit/>
          <w:jc w:val="center"/>
        </w:trPr>
        <w:tc>
          <w:tcPr>
            <w:tcW w:w="2016" w:type="dxa"/>
            <w:tcMar>
              <w:top w:w="70" w:type="dxa"/>
              <w:left w:w="80" w:type="dxa"/>
              <w:bottom w:w="70" w:type="dxa"/>
              <w:right w:w="80" w:type="dxa"/>
            </w:tcMar>
            <w:vAlign w:val="center"/>
          </w:tcPr>
          <w:p w14:paraId="5BC0AC4B" w14:textId="77777777" w:rsidR="00606B00" w:rsidRPr="006B0B80" w:rsidRDefault="00000000" w:rsidP="008C29E6">
            <w:pPr>
              <w:jc w:val="both"/>
            </w:pPr>
            <w:r w:rsidRPr="006B0B80">
              <w:rPr>
                <w:rFonts w:ascii="Arial" w:hAnsi="Arial"/>
                <w:sz w:val="17"/>
              </w:rPr>
              <w:t>5. Closed material and energy balances</w:t>
            </w:r>
          </w:p>
        </w:tc>
        <w:tc>
          <w:tcPr>
            <w:tcW w:w="2016" w:type="dxa"/>
            <w:tcMar>
              <w:top w:w="70" w:type="dxa"/>
              <w:left w:w="80" w:type="dxa"/>
              <w:bottom w:w="70" w:type="dxa"/>
              <w:right w:w="80" w:type="dxa"/>
            </w:tcMar>
            <w:vAlign w:val="center"/>
          </w:tcPr>
          <w:p w14:paraId="099EB0FC" w14:textId="77777777" w:rsidR="00606B00" w:rsidRPr="006B0B80" w:rsidRDefault="00000000" w:rsidP="008C29E6">
            <w:pPr>
              <w:jc w:val="both"/>
            </w:pPr>
            <w:r w:rsidRPr="006B0B80">
              <w:rPr>
                <w:rFonts w:ascii="Arial" w:hAnsi="Arial"/>
                <w:sz w:val="17"/>
              </w:rPr>
              <w:t>Low-temperature processing is used as a proxy for sustainability</w:t>
            </w:r>
          </w:p>
        </w:tc>
        <w:tc>
          <w:tcPr>
            <w:tcW w:w="2016" w:type="dxa"/>
            <w:tcMar>
              <w:top w:w="70" w:type="dxa"/>
              <w:left w:w="80" w:type="dxa"/>
              <w:bottom w:w="70" w:type="dxa"/>
              <w:right w:w="80" w:type="dxa"/>
            </w:tcMar>
            <w:vAlign w:val="center"/>
          </w:tcPr>
          <w:p w14:paraId="27F87111" w14:textId="77777777" w:rsidR="00606B00" w:rsidRPr="006B0B80" w:rsidRDefault="00000000" w:rsidP="008C29E6">
            <w:pPr>
              <w:jc w:val="both"/>
            </w:pPr>
            <w:r w:rsidRPr="006B0B80">
              <w:rPr>
                <w:rFonts w:ascii="Arial" w:hAnsi="Arial"/>
                <w:sz w:val="17"/>
              </w:rPr>
              <w:t xml:space="preserve">Measure current efficiency, precursor </w:t>
            </w:r>
            <w:proofErr w:type="spellStart"/>
            <w:r w:rsidRPr="006B0B80">
              <w:rPr>
                <w:rFonts w:ascii="Arial" w:hAnsi="Arial"/>
                <w:sz w:val="17"/>
              </w:rPr>
              <w:t>utilisation</w:t>
            </w:r>
            <w:proofErr w:type="spellEnd"/>
            <w:r w:rsidRPr="006B0B80">
              <w:rPr>
                <w:rFonts w:ascii="Arial" w:hAnsi="Arial"/>
                <w:sz w:val="17"/>
              </w:rPr>
              <w:t>, recycle, washing, drying and waste treatment</w:t>
            </w:r>
          </w:p>
        </w:tc>
        <w:tc>
          <w:tcPr>
            <w:tcW w:w="2016" w:type="dxa"/>
            <w:tcMar>
              <w:top w:w="70" w:type="dxa"/>
              <w:left w:w="80" w:type="dxa"/>
              <w:bottom w:w="70" w:type="dxa"/>
              <w:right w:w="80" w:type="dxa"/>
            </w:tcMar>
            <w:vAlign w:val="center"/>
          </w:tcPr>
          <w:p w14:paraId="01165187" w14:textId="77777777" w:rsidR="00606B00" w:rsidRPr="006B0B80" w:rsidRDefault="00000000" w:rsidP="008C29E6">
            <w:pPr>
              <w:jc w:val="both"/>
            </w:pPr>
            <w:r w:rsidRPr="006B0B80">
              <w:rPr>
                <w:rFonts w:ascii="Arial" w:hAnsi="Arial"/>
                <w:sz w:val="17"/>
              </w:rPr>
              <w:t>Process-level energy/material intensity per accepted product mass or area</w:t>
            </w:r>
          </w:p>
        </w:tc>
        <w:tc>
          <w:tcPr>
            <w:tcW w:w="2016" w:type="dxa"/>
            <w:tcMar>
              <w:top w:w="70" w:type="dxa"/>
              <w:left w:w="80" w:type="dxa"/>
              <w:bottom w:w="70" w:type="dxa"/>
              <w:right w:w="80" w:type="dxa"/>
            </w:tcMar>
            <w:vAlign w:val="center"/>
          </w:tcPr>
          <w:p w14:paraId="50424BEF" w14:textId="77777777" w:rsidR="00606B00" w:rsidRPr="00D77772" w:rsidRDefault="00000000" w:rsidP="008C29E6">
            <w:pPr>
              <w:jc w:val="both"/>
              <w:rPr>
                <w:lang w:val="nl-BE"/>
              </w:rPr>
            </w:pPr>
            <w:r w:rsidRPr="00D77772">
              <w:rPr>
                <w:rFonts w:ascii="Arial" w:hAnsi="Arial"/>
                <w:sz w:val="17"/>
                <w:lang w:val="nl-BE"/>
              </w:rPr>
              <w:t>(Huang et al., 2020; Yu et al., 2015)</w:t>
            </w:r>
          </w:p>
        </w:tc>
      </w:tr>
      <w:tr w:rsidR="006B0B80" w:rsidRPr="00D77772" w14:paraId="418136FF" w14:textId="77777777" w:rsidTr="006B0B80">
        <w:trPr>
          <w:cantSplit/>
          <w:jc w:val="center"/>
        </w:trPr>
        <w:tc>
          <w:tcPr>
            <w:tcW w:w="2016" w:type="dxa"/>
            <w:tcMar>
              <w:top w:w="70" w:type="dxa"/>
              <w:left w:w="80" w:type="dxa"/>
              <w:bottom w:w="70" w:type="dxa"/>
              <w:right w:w="80" w:type="dxa"/>
            </w:tcMar>
            <w:vAlign w:val="center"/>
          </w:tcPr>
          <w:p w14:paraId="1F849B82" w14:textId="77777777" w:rsidR="00606B00" w:rsidRPr="006B0B80" w:rsidRDefault="00000000" w:rsidP="008C29E6">
            <w:pPr>
              <w:jc w:val="both"/>
            </w:pPr>
            <w:r w:rsidRPr="006B0B80">
              <w:rPr>
                <w:rFonts w:ascii="Arial" w:hAnsi="Arial"/>
                <w:sz w:val="17"/>
              </w:rPr>
              <w:t>6. Scale-bridging electrochemical engineering</w:t>
            </w:r>
          </w:p>
        </w:tc>
        <w:tc>
          <w:tcPr>
            <w:tcW w:w="2016" w:type="dxa"/>
            <w:tcMar>
              <w:top w:w="70" w:type="dxa"/>
              <w:left w:w="80" w:type="dxa"/>
              <w:bottom w:w="70" w:type="dxa"/>
              <w:right w:w="80" w:type="dxa"/>
            </w:tcMar>
            <w:vAlign w:val="center"/>
          </w:tcPr>
          <w:p w14:paraId="3D4E8F3C" w14:textId="77777777" w:rsidR="00606B00" w:rsidRPr="006B0B80" w:rsidRDefault="00000000" w:rsidP="008C29E6">
            <w:pPr>
              <w:jc w:val="both"/>
            </w:pPr>
            <w:r w:rsidRPr="006B0B80">
              <w:rPr>
                <w:rFonts w:ascii="Arial" w:hAnsi="Arial"/>
                <w:sz w:val="17"/>
              </w:rPr>
              <w:t>Local process window changes with area and throughput</w:t>
            </w:r>
          </w:p>
        </w:tc>
        <w:tc>
          <w:tcPr>
            <w:tcW w:w="2016" w:type="dxa"/>
            <w:tcMar>
              <w:top w:w="70" w:type="dxa"/>
              <w:left w:w="80" w:type="dxa"/>
              <w:bottom w:w="70" w:type="dxa"/>
              <w:right w:w="80" w:type="dxa"/>
            </w:tcMar>
            <w:vAlign w:val="center"/>
          </w:tcPr>
          <w:p w14:paraId="09D9D5CE" w14:textId="77777777" w:rsidR="00606B00" w:rsidRPr="006B0B80" w:rsidRDefault="00000000" w:rsidP="008C29E6">
            <w:pPr>
              <w:jc w:val="both"/>
            </w:pPr>
            <w:r w:rsidRPr="006B0B80">
              <w:rPr>
                <w:rFonts w:ascii="Arial" w:hAnsi="Arial"/>
                <w:sz w:val="17"/>
              </w:rPr>
              <w:t>Validated transport/current-distribution models linked to spatial process measurements</w:t>
            </w:r>
          </w:p>
        </w:tc>
        <w:tc>
          <w:tcPr>
            <w:tcW w:w="2016" w:type="dxa"/>
            <w:tcMar>
              <w:top w:w="70" w:type="dxa"/>
              <w:left w:w="80" w:type="dxa"/>
              <w:bottom w:w="70" w:type="dxa"/>
              <w:right w:w="80" w:type="dxa"/>
            </w:tcMar>
            <w:vAlign w:val="center"/>
          </w:tcPr>
          <w:p w14:paraId="04EBED9F" w14:textId="77777777" w:rsidR="00606B00" w:rsidRPr="006B0B80" w:rsidRDefault="00000000" w:rsidP="008C29E6">
            <w:pPr>
              <w:jc w:val="both"/>
            </w:pPr>
            <w:r w:rsidRPr="006B0B80">
              <w:rPr>
                <w:rFonts w:ascii="Arial" w:hAnsi="Arial"/>
                <w:sz w:val="17"/>
              </w:rPr>
              <w:t>Predictive preservation of morphology and composition during scale-up</w:t>
            </w:r>
          </w:p>
        </w:tc>
        <w:tc>
          <w:tcPr>
            <w:tcW w:w="2016" w:type="dxa"/>
            <w:tcMar>
              <w:top w:w="70" w:type="dxa"/>
              <w:left w:w="80" w:type="dxa"/>
              <w:bottom w:w="70" w:type="dxa"/>
              <w:right w:w="80" w:type="dxa"/>
            </w:tcMar>
            <w:vAlign w:val="center"/>
          </w:tcPr>
          <w:p w14:paraId="6A079F90" w14:textId="77777777" w:rsidR="00606B00" w:rsidRPr="00D77772" w:rsidRDefault="00000000" w:rsidP="008C29E6">
            <w:pPr>
              <w:jc w:val="both"/>
              <w:rPr>
                <w:lang w:val="nl-BE"/>
              </w:rPr>
            </w:pPr>
            <w:r w:rsidRPr="00D77772">
              <w:rPr>
                <w:rFonts w:ascii="Arial" w:hAnsi="Arial"/>
                <w:sz w:val="17"/>
                <w:lang w:val="nl-BE"/>
              </w:rPr>
              <w:t>(Bograchev et al., 2025; Huang et al., 2020)</w:t>
            </w:r>
          </w:p>
        </w:tc>
      </w:tr>
    </w:tbl>
    <w:p w14:paraId="1527ACC1" w14:textId="77777777" w:rsidR="00606B00" w:rsidRPr="006B0B80" w:rsidRDefault="00000000" w:rsidP="008C29E6">
      <w:pPr>
        <w:spacing w:before="80" w:after="160"/>
        <w:jc w:val="both"/>
      </w:pPr>
      <w:r w:rsidRPr="006B0B80">
        <w:rPr>
          <w:i/>
          <w:sz w:val="18"/>
        </w:rPr>
        <w:t>Note. Priorities are ordered by their expected ability to improve interpretability and translation across multiple electrochemical production routes.</w:t>
      </w:r>
    </w:p>
    <w:p w14:paraId="2E1B32F8" w14:textId="77777777" w:rsidR="00606B00" w:rsidRPr="006B0B80" w:rsidRDefault="00000000" w:rsidP="008C29E6">
      <w:pPr>
        <w:pStyle w:val="Heading1"/>
        <w:jc w:val="both"/>
        <w:rPr>
          <w:color w:val="auto"/>
        </w:rPr>
      </w:pPr>
      <w:r w:rsidRPr="006B0B80">
        <w:rPr>
          <w:color w:val="auto"/>
        </w:rPr>
        <w:t>9. Conclusions</w:t>
      </w:r>
    </w:p>
    <w:p w14:paraId="647F192D" w14:textId="77777777" w:rsidR="00606B00" w:rsidRPr="006B0B80" w:rsidRDefault="00000000" w:rsidP="008C29E6">
      <w:pPr>
        <w:pStyle w:val="BodyText"/>
        <w:jc w:val="both"/>
      </w:pPr>
      <w:r w:rsidRPr="006B0B80">
        <w:t xml:space="preserve">Electrochemical techniques provide a uniquely integrated platform for nanomaterials because interfacial electron transfer can drive production, probe function and serve as the operating principle of the final device. Electrodeposition offers broad compositional flexibility and direct integration with conductive supports; templates convert that flexibility into stronger geometric control; </w:t>
      </w:r>
      <w:proofErr w:type="spellStart"/>
      <w:r w:rsidRPr="006B0B80">
        <w:t>anodisation</w:t>
      </w:r>
      <w:proofErr w:type="spellEnd"/>
      <w:r w:rsidRPr="006B0B80">
        <w:t xml:space="preserve"> produces self-</w:t>
      </w:r>
      <w:proofErr w:type="spellStart"/>
      <w:r w:rsidRPr="006B0B80">
        <w:t>organised</w:t>
      </w:r>
      <w:proofErr w:type="spellEnd"/>
      <w:r w:rsidRPr="006B0B80">
        <w:t xml:space="preserve"> oxide nanopores and nanotubes; electrochemical exfoliation provides rapid access to solution-processable two-dimensional materials; and dealloying converts selective dissolution into conductive nanoporous networks. Continuous electrodeposition further demonstrates that electrochemical nanomaterials synthesis can be redesigned for recoverable, manufacturing-scale products.</w:t>
      </w:r>
    </w:p>
    <w:p w14:paraId="7AF5BF51" w14:textId="77777777" w:rsidR="00606B00" w:rsidRPr="006B0B80" w:rsidRDefault="00000000" w:rsidP="008C29E6">
      <w:pPr>
        <w:pStyle w:val="BodyText"/>
        <w:jc w:val="both"/>
      </w:pPr>
      <w:r w:rsidRPr="006B0B80">
        <w:t xml:space="preserve">The principal limitation across these routes is the coupling of nominal process variables. Potential, current, electrolyte composition, transport and evolving surface area act together, so a change intended to control morphology often changes composition, defect chemistry or local reaction environment. Electrochemical </w:t>
      </w:r>
      <w:proofErr w:type="spellStart"/>
      <w:r w:rsidRPr="006B0B80">
        <w:t>characterisation</w:t>
      </w:r>
      <w:proofErr w:type="spellEnd"/>
      <w:r w:rsidRPr="006B0B80">
        <w:t xml:space="preserve"> has the same interpretive challenge. Voltammetry, impedance, mass-sensitive measurements and local probes are highly responsive to nanoscale interfaces, but none alone uniquely identifies structure or intrinsic activity. Reliable conclusions require orthogonal </w:t>
      </w:r>
      <w:proofErr w:type="spellStart"/>
      <w:r w:rsidRPr="006B0B80">
        <w:t>characterisation</w:t>
      </w:r>
      <w:proofErr w:type="spellEnd"/>
      <w:r w:rsidRPr="006B0B80">
        <w:t xml:space="preserve">, matched controls and explicit </w:t>
      </w:r>
      <w:proofErr w:type="spellStart"/>
      <w:r w:rsidRPr="006B0B80">
        <w:t>normalisation</w:t>
      </w:r>
      <w:proofErr w:type="spellEnd"/>
      <w:r w:rsidRPr="006B0B80">
        <w:t>.</w:t>
      </w:r>
    </w:p>
    <w:p w14:paraId="40B97CD0" w14:textId="77777777" w:rsidR="00606B00" w:rsidRPr="006B0B80" w:rsidRDefault="00000000" w:rsidP="008C29E6">
      <w:pPr>
        <w:pStyle w:val="BodyText"/>
        <w:jc w:val="both"/>
      </w:pPr>
      <w:r w:rsidRPr="006B0B80">
        <w:t>Applications in electrocatalysis, energy storage, sensing, ionic separations and printed devices support the practical value of electrochemically produced nanostructures, yet the evidence is strongest at the level of controllable laboratory function rather than universal manufacturing advantage. Device architecture, practical loading, matrix effects, durability, material recovery and electrolyte management determine whether a nanoscale benefit survives translation. High surface area is especially double-edged: it can improve accessibility and kinetics while increasing side reactions, lowering packing density or magnifying instability.</w:t>
      </w:r>
    </w:p>
    <w:p w14:paraId="26F6111B" w14:textId="77777777" w:rsidR="00606B00" w:rsidRPr="006B0B80" w:rsidRDefault="00000000" w:rsidP="008C29E6">
      <w:pPr>
        <w:pStyle w:val="BodyText"/>
        <w:jc w:val="both"/>
      </w:pPr>
      <w:r w:rsidRPr="006B0B80">
        <w:t>The field is therefore ready to shift from morphology-</w:t>
      </w:r>
      <w:proofErr w:type="spellStart"/>
      <w:r w:rsidRPr="006B0B80">
        <w:t>centred</w:t>
      </w:r>
      <w:proofErr w:type="spellEnd"/>
      <w:r w:rsidRPr="006B0B80">
        <w:t xml:space="preserve"> </w:t>
      </w:r>
      <w:proofErr w:type="spellStart"/>
      <w:r w:rsidRPr="006B0B80">
        <w:t>optimisation</w:t>
      </w:r>
      <w:proofErr w:type="spellEnd"/>
      <w:r w:rsidRPr="006B0B80">
        <w:t xml:space="preserve"> towards integrated electrochemical manufacturing. The decisive advances will come from experiments that distinguish area from intrinsic activity, composition from geometry and local </w:t>
      </w:r>
      <w:proofErr w:type="spellStart"/>
      <w:r w:rsidRPr="006B0B80">
        <w:t>behaviour</w:t>
      </w:r>
      <w:proofErr w:type="spellEnd"/>
      <w:r w:rsidRPr="006B0B80">
        <w:t xml:space="preserve"> from ensemble performance; from operando measurements that identify the active state; and from scale-up studies that report quality yield, process drift, energy and material balances. Electrochemistry already offers the control framework. The remaining task is to connect that control to </w:t>
      </w:r>
      <w:r w:rsidRPr="006B0B80">
        <w:lastRenderedPageBreak/>
        <w:t>evidence standards and engineering metrics that make nanoscale performance reproducible, interpretable and durable.</w:t>
      </w:r>
    </w:p>
    <w:p w14:paraId="48FAEE9B" w14:textId="77777777" w:rsidR="00606B00" w:rsidRPr="006B0B80" w:rsidRDefault="00000000" w:rsidP="008C29E6">
      <w:pPr>
        <w:pStyle w:val="Heading1"/>
        <w:jc w:val="both"/>
        <w:rPr>
          <w:color w:val="auto"/>
        </w:rPr>
      </w:pPr>
      <w:r w:rsidRPr="006B0B80">
        <w:rPr>
          <w:color w:val="auto"/>
        </w:rPr>
        <w:t>10. Limitations</w:t>
      </w:r>
    </w:p>
    <w:p w14:paraId="5DA09A2E" w14:textId="77777777" w:rsidR="00606B00" w:rsidRPr="006B0B80" w:rsidRDefault="00000000" w:rsidP="008C29E6">
      <w:pPr>
        <w:pStyle w:val="BodyText"/>
        <w:jc w:val="both"/>
      </w:pPr>
      <w:r w:rsidRPr="006B0B80">
        <w:t xml:space="preserve">As a critical narrative review, this article is intrinsically susceptible to selection and interpretive bias despite the use of explicit search concepts, source verification and structured critical appraisal. The breadth of electrochemical nanomaterials research means that no narrative synthesis can capture every material, electrolyte, waveform, template or device architecture. The review therefore </w:t>
      </w:r>
      <w:proofErr w:type="spellStart"/>
      <w:r w:rsidRPr="006B0B80">
        <w:t>prioritised</w:t>
      </w:r>
      <w:proofErr w:type="spellEnd"/>
      <w:r w:rsidRPr="006B0B80">
        <w:t xml:space="preserve"> representative mechanisms and methodologically informative studies rather than attempting exhaustive enumeration.</w:t>
      </w:r>
    </w:p>
    <w:p w14:paraId="7547C9CC" w14:textId="77777777" w:rsidR="00606B00" w:rsidRPr="006B0B80" w:rsidRDefault="00000000" w:rsidP="008C29E6">
      <w:pPr>
        <w:pStyle w:val="BodyText"/>
        <w:jc w:val="both"/>
      </w:pPr>
      <w:r w:rsidRPr="006B0B80">
        <w:t xml:space="preserve">The evidence base is heterogeneous in design, reporting quality and outcome definition. Direct comparison across electrodeposition, </w:t>
      </w:r>
      <w:proofErr w:type="spellStart"/>
      <w:r w:rsidRPr="006B0B80">
        <w:t>anodisation</w:t>
      </w:r>
      <w:proofErr w:type="spellEnd"/>
      <w:r w:rsidRPr="006B0B80">
        <w:t xml:space="preserve">, exfoliation and dealloying is constrained because each route solves a different manufacturing problem and commonly reports different structural descriptors. Application studies also vary in loading, cell geometry, electrolyte and </w:t>
      </w:r>
      <w:proofErr w:type="spellStart"/>
      <w:r w:rsidRPr="006B0B80">
        <w:t>normalisation</w:t>
      </w:r>
      <w:proofErr w:type="spellEnd"/>
      <w:r w:rsidRPr="006B0B80">
        <w:t>, preventing quantitative synthesis across most themes. Rapid development of the field means that work appearing after the final search date is not represented.</w:t>
      </w:r>
    </w:p>
    <w:p w14:paraId="5E15974F" w14:textId="77777777" w:rsidR="00606B00" w:rsidRDefault="00000000" w:rsidP="008C29E6">
      <w:pPr>
        <w:pStyle w:val="BodyText"/>
        <w:jc w:val="both"/>
      </w:pPr>
      <w:r w:rsidRPr="006B0B80">
        <w:t>The review was restricted to literature that could be bibliographically verified and was predominantly English-language, which may underrepresent relevant regional or non-English research. Subscription access was not uniform for all articles, so some appraisal relied on accessible abstracts, indexing records and verified article metadata rather than complete full text. These constraints were managed by avoiding unsupported numerical synthesis and by limiting conclusions to patterns that were supported across multiple independent or methodologically complementary sources.</w:t>
      </w:r>
    </w:p>
    <w:p w14:paraId="7D5AA9CE" w14:textId="77777777" w:rsidR="00DF56ED" w:rsidRDefault="00DF56ED" w:rsidP="008C29E6">
      <w:pPr>
        <w:spacing w:after="0" w:line="240" w:lineRule="auto"/>
        <w:jc w:val="both"/>
        <w:rPr>
          <w:rFonts w:cs="Times New Roman"/>
          <w:b/>
        </w:rPr>
      </w:pPr>
      <w:r w:rsidRPr="000839CE">
        <w:rPr>
          <w:rFonts w:cs="Times New Roman"/>
          <w:b/>
        </w:rPr>
        <w:t>Declaration of AI Use</w:t>
      </w:r>
    </w:p>
    <w:p w14:paraId="1A314A8F" w14:textId="77777777" w:rsidR="00DF56ED" w:rsidRDefault="00DF56ED" w:rsidP="008C29E6">
      <w:pPr>
        <w:spacing w:after="0" w:line="240" w:lineRule="auto"/>
        <w:jc w:val="both"/>
        <w:rPr>
          <w:rFonts w:cs="Times New Roman"/>
          <w:b/>
        </w:rPr>
      </w:pPr>
    </w:p>
    <w:p w14:paraId="70061A33" w14:textId="77777777" w:rsidR="00DF56ED" w:rsidRDefault="00DF56ED" w:rsidP="008C29E6">
      <w:pPr>
        <w:spacing w:after="0" w:line="240" w:lineRule="auto"/>
        <w:jc w:val="both"/>
        <w:rPr>
          <w:rFonts w:cs="Times New Roman"/>
          <w:b/>
        </w:rPr>
      </w:pPr>
    </w:p>
    <w:p w14:paraId="352816F5" w14:textId="77777777" w:rsidR="00DF56ED" w:rsidRDefault="00DF56ED" w:rsidP="008C29E6">
      <w:pPr>
        <w:spacing w:after="0" w:line="240" w:lineRule="auto"/>
        <w:jc w:val="both"/>
        <w:rPr>
          <w:rFonts w:cs="Times New Roman"/>
          <w:b/>
        </w:rPr>
      </w:pPr>
    </w:p>
    <w:p w14:paraId="5E05755E" w14:textId="77777777" w:rsidR="00DF56ED" w:rsidRPr="002D08AC" w:rsidRDefault="00DF56ED" w:rsidP="008C29E6">
      <w:pPr>
        <w:spacing w:after="0" w:line="240" w:lineRule="auto"/>
        <w:jc w:val="both"/>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274721D" w14:textId="77777777" w:rsidR="00DF56ED" w:rsidRPr="006B0B80" w:rsidRDefault="00DF56ED" w:rsidP="008C29E6">
      <w:pPr>
        <w:pStyle w:val="BodyText"/>
        <w:jc w:val="both"/>
      </w:pPr>
    </w:p>
    <w:p w14:paraId="184A89A5" w14:textId="77777777" w:rsidR="00606B00" w:rsidRPr="006B0B80" w:rsidRDefault="00000000" w:rsidP="008C29E6">
      <w:pPr>
        <w:pStyle w:val="Heading1"/>
        <w:jc w:val="both"/>
        <w:rPr>
          <w:color w:val="auto"/>
        </w:rPr>
      </w:pPr>
      <w:r w:rsidRPr="006B0B80">
        <w:rPr>
          <w:color w:val="auto"/>
        </w:rPr>
        <w:t>References</w:t>
      </w:r>
    </w:p>
    <w:p w14:paraId="5C240A55" w14:textId="77777777" w:rsidR="00D77772" w:rsidRDefault="00D77772" w:rsidP="00D77772">
      <w:pPr>
        <w:pStyle w:val="pdq2pgselectionanchorcontainer"/>
        <w:ind w:left="540" w:hanging="540"/>
        <w:jc w:val="both"/>
      </w:pPr>
      <w:r>
        <w:t xml:space="preserve">Abdelkader, A. M., Cooper, A. J., </w:t>
      </w:r>
      <w:proofErr w:type="spellStart"/>
      <w:r>
        <w:t>Dryfe</w:t>
      </w:r>
      <w:proofErr w:type="spellEnd"/>
      <w:r>
        <w:t xml:space="preserve">, R. A. W., &amp; Kinloch, I. A. (2015). How to get between the sheets: A review of recent works on the electrochemical exfoliation of graphene materials from bulk graphite. </w:t>
      </w:r>
      <w:r>
        <w:rPr>
          <w:rStyle w:val="Emphasis"/>
        </w:rPr>
        <w:t>Nanoscale, 7</w:t>
      </w:r>
      <w:r>
        <w:t xml:space="preserve">(16), 6944–6956. </w:t>
      </w:r>
      <w:r>
        <w:rPr>
          <w:rStyle w:val="contents"/>
        </w:rPr>
        <w:t>https://doi.org/10.1039/C4NR06942K</w:t>
      </w:r>
    </w:p>
    <w:p w14:paraId="6DAD35B8" w14:textId="77777777" w:rsidR="00D77772" w:rsidRDefault="00D77772" w:rsidP="00D77772">
      <w:pPr>
        <w:pStyle w:val="NormalWeb"/>
        <w:ind w:left="540" w:hanging="540"/>
        <w:jc w:val="both"/>
      </w:pPr>
      <w:r>
        <w:t xml:space="preserve">Augustyn, V., Simon, P., &amp; Dunn, B. (2014). Pseudocapacitive oxide materials for high-rate electrochemical energy storage. </w:t>
      </w:r>
      <w:r>
        <w:rPr>
          <w:rStyle w:val="Emphasis"/>
        </w:rPr>
        <w:t>Energy &amp; Environmental Science, 7</w:t>
      </w:r>
      <w:r>
        <w:t xml:space="preserve">(5), 1597–1614. </w:t>
      </w:r>
      <w:r>
        <w:rPr>
          <w:rStyle w:val="contents"/>
        </w:rPr>
        <w:t>https://doi.org/10.1039/C3EE44164D</w:t>
      </w:r>
    </w:p>
    <w:p w14:paraId="28F2C1B1" w14:textId="77777777" w:rsidR="00D77772" w:rsidRDefault="00D77772" w:rsidP="00D77772">
      <w:pPr>
        <w:pStyle w:val="NormalWeb"/>
        <w:ind w:left="540" w:hanging="540"/>
        <w:jc w:val="both"/>
      </w:pPr>
      <w:proofErr w:type="spellStart"/>
      <w:r>
        <w:t>Baethge</w:t>
      </w:r>
      <w:proofErr w:type="spellEnd"/>
      <w:r>
        <w:t xml:space="preserve">, C., Goldbeck-Wood, S., &amp; Mertens, S. (2019). SANRA—a scale for the quality assessment of narrative review articles. </w:t>
      </w:r>
      <w:r>
        <w:rPr>
          <w:rStyle w:val="Emphasis"/>
        </w:rPr>
        <w:t>Research Integrity and Peer Review, 4</w:t>
      </w:r>
      <w:r>
        <w:t xml:space="preserve">, Article 5. </w:t>
      </w:r>
      <w:hyperlink r:id="rId8" w:tgtFrame="_blank" w:history="1">
        <w:r>
          <w:rPr>
            <w:rStyle w:val="Hyperlink"/>
          </w:rPr>
          <w:t>https://doi.org/10.1186/s41073-019-0064-8</w:t>
        </w:r>
      </w:hyperlink>
    </w:p>
    <w:p w14:paraId="03FD61DF" w14:textId="77777777" w:rsidR="00D77772" w:rsidRDefault="00D77772" w:rsidP="00D77772">
      <w:pPr>
        <w:pStyle w:val="NormalWeb"/>
        <w:ind w:left="540" w:hanging="540"/>
        <w:jc w:val="both"/>
      </w:pPr>
      <w:r>
        <w:t xml:space="preserve">Bernal, M., &amp; Ustarroz, J. (2021). Electrodeposition of nanostructured catalysts for electrochemical energy conversion: Current trends and innovative strategies. </w:t>
      </w:r>
      <w:r>
        <w:rPr>
          <w:rStyle w:val="Emphasis"/>
        </w:rPr>
        <w:t>Current Opinion in Electrochemistry, 27</w:t>
      </w:r>
      <w:r>
        <w:t xml:space="preserve">, Article 100688. </w:t>
      </w:r>
      <w:r>
        <w:rPr>
          <w:rStyle w:val="contents"/>
        </w:rPr>
        <w:t>https://doi.org/10.1016/j.coelec.2021.100688</w:t>
      </w:r>
    </w:p>
    <w:p w14:paraId="2AA04ED4" w14:textId="77777777" w:rsidR="00D77772" w:rsidRDefault="00D77772" w:rsidP="00D77772">
      <w:pPr>
        <w:pStyle w:val="NormalWeb"/>
        <w:ind w:left="540" w:hanging="540"/>
        <w:jc w:val="both"/>
      </w:pPr>
      <w:r>
        <w:lastRenderedPageBreak/>
        <w:t xml:space="preserve">Bograchev, D. A., Kabanova, T. B., &amp; Davydov, A. D. (2025). Electrodeposition of metals into nano/micropores of templates: A type of electrochemistry under confinement (review). </w:t>
      </w:r>
      <w:r>
        <w:rPr>
          <w:rStyle w:val="Emphasis"/>
        </w:rPr>
        <w:t xml:space="preserve">Journal of </w:t>
      </w:r>
      <w:proofErr w:type="gramStart"/>
      <w:r>
        <w:rPr>
          <w:rStyle w:val="Emphasis"/>
        </w:rPr>
        <w:t>Solid State</w:t>
      </w:r>
      <w:proofErr w:type="gramEnd"/>
      <w:r>
        <w:rPr>
          <w:rStyle w:val="Emphasis"/>
        </w:rPr>
        <w:t xml:space="preserve"> Electrochemistry, 29</w:t>
      </w:r>
      <w:r>
        <w:t xml:space="preserve">(4), 1309–1340. </w:t>
      </w:r>
      <w:hyperlink r:id="rId9" w:tgtFrame="_blank" w:history="1">
        <w:r>
          <w:rPr>
            <w:rStyle w:val="Hyperlink"/>
          </w:rPr>
          <w:t>https://doi.org/10.1007/s10008-024-06118-8</w:t>
        </w:r>
      </w:hyperlink>
    </w:p>
    <w:p w14:paraId="62FCD1F0" w14:textId="77777777" w:rsidR="00D77772" w:rsidRDefault="00D77772" w:rsidP="00D77772">
      <w:pPr>
        <w:pStyle w:val="NormalWeb"/>
        <w:ind w:left="540" w:hanging="540"/>
        <w:jc w:val="both"/>
      </w:pPr>
      <w:r>
        <w:t xml:space="preserve">Buttry, D. A., &amp; Ward, M. D. (1992). Measurement of interfacial processes at electrode surfaces with the electrochemical quartz crystal microbalance. </w:t>
      </w:r>
      <w:r>
        <w:rPr>
          <w:rStyle w:val="Emphasis"/>
        </w:rPr>
        <w:t>Chemical Reviews, 92</w:t>
      </w:r>
      <w:r>
        <w:t xml:space="preserve">(6), 1355–1379. </w:t>
      </w:r>
      <w:r>
        <w:rPr>
          <w:rStyle w:val="contents"/>
        </w:rPr>
        <w:t>https://doi.org/10.1021/cr00014a006</w:t>
      </w:r>
    </w:p>
    <w:p w14:paraId="180EC380" w14:textId="77777777" w:rsidR="00D77772" w:rsidRDefault="00D77772" w:rsidP="00D77772">
      <w:pPr>
        <w:pStyle w:val="NormalWeb"/>
        <w:ind w:left="540" w:hanging="540"/>
        <w:jc w:val="both"/>
      </w:pPr>
      <w:r>
        <w:t xml:space="preserve">Chatterjee, S., Gawas, R., &amp; Snyder, J. (2024). Top-down electrochemical synthesis of nanoporous metal nanosheets from nonlayered alloy precursors. </w:t>
      </w:r>
      <w:r>
        <w:rPr>
          <w:rStyle w:val="Emphasis"/>
        </w:rPr>
        <w:t>Advanced Engineering Materials, 26</w:t>
      </w:r>
      <w:r>
        <w:t xml:space="preserve">(5), Article 2301538. </w:t>
      </w:r>
      <w:r>
        <w:rPr>
          <w:rStyle w:val="contents"/>
        </w:rPr>
        <w:t>https://doi.org/10.1002/adem.202301538</w:t>
      </w:r>
    </w:p>
    <w:p w14:paraId="096EBAC7" w14:textId="77777777" w:rsidR="00D77772" w:rsidRDefault="00D77772" w:rsidP="00D77772">
      <w:pPr>
        <w:pStyle w:val="NormalWeb"/>
        <w:ind w:left="540" w:hanging="540"/>
        <w:jc w:val="both"/>
      </w:pPr>
      <w:r>
        <w:t xml:space="preserve">Choi, E. J., Drago, N. P., Humphrey, N. J., Van Houten, J., Ahn, J., Lee, J., Kim, I. D., Ogata, A. F., &amp; Penner, R. M. (2023). Electrodeposition-enabled, electrically-transduced sensors and biosensors. </w:t>
      </w:r>
      <w:r>
        <w:rPr>
          <w:rStyle w:val="Emphasis"/>
        </w:rPr>
        <w:t>Materials Today, 62</w:t>
      </w:r>
      <w:r>
        <w:t xml:space="preserve">, 129–150. </w:t>
      </w:r>
      <w:hyperlink r:id="rId10" w:tgtFrame="_blank" w:history="1">
        <w:r>
          <w:rPr>
            <w:rStyle w:val="Hyperlink"/>
          </w:rPr>
          <w:t>https://doi.org/10.1016/j.mattod.2022.11.021</w:t>
        </w:r>
      </w:hyperlink>
    </w:p>
    <w:p w14:paraId="78001D63" w14:textId="77777777" w:rsidR="00D77772" w:rsidRDefault="00D77772" w:rsidP="00D77772">
      <w:pPr>
        <w:pStyle w:val="NormalWeb"/>
        <w:ind w:left="540" w:hanging="540"/>
        <w:jc w:val="both"/>
      </w:pPr>
      <w:r>
        <w:t xml:space="preserve">Ciucci, F. (2019). Modeling electrochemical impedance spectroscopy. </w:t>
      </w:r>
      <w:r>
        <w:rPr>
          <w:rStyle w:val="Emphasis"/>
        </w:rPr>
        <w:t>Current Opinion in Electrochemistry, 13</w:t>
      </w:r>
      <w:r>
        <w:t xml:space="preserve">, 132–139. </w:t>
      </w:r>
      <w:r>
        <w:rPr>
          <w:rStyle w:val="contents"/>
        </w:rPr>
        <w:t>https://doi.org/10.1016/j.coelec.2018.12.003</w:t>
      </w:r>
    </w:p>
    <w:p w14:paraId="3774488A" w14:textId="77777777" w:rsidR="00D77772" w:rsidRDefault="00D77772" w:rsidP="00D77772">
      <w:pPr>
        <w:pStyle w:val="NormalWeb"/>
        <w:ind w:left="540" w:hanging="540"/>
        <w:jc w:val="both"/>
      </w:pPr>
      <w:r>
        <w:t xml:space="preserve">David, T. M., Dev, P. R., Wilson, P., Sagayaraj, P., &amp; Mathews, T. (2022). A critical review on the variations in anodization parameters toward microstructural formation of </w:t>
      </w:r>
      <w:proofErr w:type="spellStart"/>
      <w:r>
        <w:t>TiO</w:t>
      </w:r>
      <w:proofErr w:type="spellEnd"/>
      <w:r>
        <w:t xml:space="preserve">₂ nanotubes. </w:t>
      </w:r>
      <w:r>
        <w:rPr>
          <w:rStyle w:val="Emphasis"/>
        </w:rPr>
        <w:t>Electrochemical Science Advances, 2</w:t>
      </w:r>
      <w:r>
        <w:t xml:space="preserve">(4), Article e202100083. </w:t>
      </w:r>
      <w:hyperlink r:id="rId11" w:tgtFrame="_blank" w:history="1">
        <w:r>
          <w:rPr>
            <w:rStyle w:val="Hyperlink"/>
          </w:rPr>
          <w:t>https://doi.org/10.1002/elsa.202100083</w:t>
        </w:r>
      </w:hyperlink>
    </w:p>
    <w:p w14:paraId="030FAD6E" w14:textId="77777777" w:rsidR="00D77772" w:rsidRDefault="00D77772" w:rsidP="00D77772">
      <w:pPr>
        <w:pStyle w:val="NormalWeb"/>
        <w:ind w:left="540" w:hanging="540"/>
        <w:jc w:val="both"/>
      </w:pPr>
      <w:r>
        <w:t xml:space="preserve">Dinh, C.-T., </w:t>
      </w:r>
      <w:proofErr w:type="spellStart"/>
      <w:r>
        <w:t>Burdyny</w:t>
      </w:r>
      <w:proofErr w:type="spellEnd"/>
      <w:r>
        <w:t xml:space="preserve">, T., Kibria, M. G., </w:t>
      </w:r>
      <w:proofErr w:type="spellStart"/>
      <w:r>
        <w:t>Seifitokaldani</w:t>
      </w:r>
      <w:proofErr w:type="spellEnd"/>
      <w:r>
        <w:t xml:space="preserve">, A., Gabardo, C. M., García de Arquer, F. P., Kiani, A., Edwards, J. P., De Luna, P., Bushuyev, O. S., Zou, C., Quintero-Bermudez, R., Pang, Y., Sinton, D., &amp; Sargent, E. H. (2018). CO₂ electroreduction to ethylene via hydroxide-mediated copper catalysis at an abrupt interface. </w:t>
      </w:r>
      <w:r>
        <w:rPr>
          <w:rStyle w:val="Emphasis"/>
        </w:rPr>
        <w:t>Science, 360</w:t>
      </w:r>
      <w:r>
        <w:t xml:space="preserve">(6390), 783–787. </w:t>
      </w:r>
      <w:hyperlink r:id="rId12" w:tgtFrame="_blank" w:history="1">
        <w:r>
          <w:rPr>
            <w:rStyle w:val="Hyperlink"/>
          </w:rPr>
          <w:t>https://doi.org/10.1126/science.aas9100</w:t>
        </w:r>
      </w:hyperlink>
    </w:p>
    <w:p w14:paraId="0B7CF988" w14:textId="77777777" w:rsidR="00D77772" w:rsidRDefault="00D77772" w:rsidP="00D77772">
      <w:pPr>
        <w:pStyle w:val="NormalWeb"/>
        <w:ind w:left="540" w:hanging="540"/>
        <w:jc w:val="both"/>
      </w:pPr>
      <w:proofErr w:type="spellStart"/>
      <w:r>
        <w:t>Ebejer</w:t>
      </w:r>
      <w:proofErr w:type="spellEnd"/>
      <w:r>
        <w:t xml:space="preserve">, N., </w:t>
      </w:r>
      <w:proofErr w:type="spellStart"/>
      <w:r>
        <w:t>Güell</w:t>
      </w:r>
      <w:proofErr w:type="spellEnd"/>
      <w:r>
        <w:t xml:space="preserve">, A. G., Lai, S. C. S., McKelvey, K., Snowden, M. E., &amp; Unwin, P. R. (2013). Scanning electrochemical cell microscopy: A versatile technique for nanoscale electrochemistry and functional imaging. </w:t>
      </w:r>
      <w:r>
        <w:rPr>
          <w:rStyle w:val="Emphasis"/>
        </w:rPr>
        <w:t>Annual Review of Analytical Chemistry, 6</w:t>
      </w:r>
      <w:r>
        <w:t xml:space="preserve">, 329–351. </w:t>
      </w:r>
      <w:r>
        <w:rPr>
          <w:rStyle w:val="contents"/>
        </w:rPr>
        <w:t>https://doi.org/10.1146/annurev-anchem-062012-092650</w:t>
      </w:r>
    </w:p>
    <w:p w14:paraId="547D7C19" w14:textId="77777777" w:rsidR="00D77772" w:rsidRDefault="00D77772" w:rsidP="00D77772">
      <w:pPr>
        <w:pStyle w:val="NormalWeb"/>
        <w:ind w:left="540" w:hanging="540"/>
        <w:jc w:val="both"/>
      </w:pPr>
      <w:proofErr w:type="spellStart"/>
      <w:r>
        <w:t>Elgrishi</w:t>
      </w:r>
      <w:proofErr w:type="spellEnd"/>
      <w:r>
        <w:t xml:space="preserve">, N., Rountree, K. J., McCarthy, B. D., Rountree, E. S., Eisenhart, T. T., &amp; Dempsey, J. L. (2018). A practical beginner’s guide to cyclic voltammetry. </w:t>
      </w:r>
      <w:r>
        <w:rPr>
          <w:rStyle w:val="Emphasis"/>
        </w:rPr>
        <w:t>Journal of Chemical Education, 95</w:t>
      </w:r>
      <w:r>
        <w:t xml:space="preserve">(2), 197–206. </w:t>
      </w:r>
      <w:hyperlink r:id="rId13" w:tgtFrame="_blank" w:history="1">
        <w:r>
          <w:rPr>
            <w:rStyle w:val="Hyperlink"/>
          </w:rPr>
          <w:t>https://doi.org/10.1021/acs.jchemed.7b00361</w:t>
        </w:r>
      </w:hyperlink>
    </w:p>
    <w:p w14:paraId="6D0EA390" w14:textId="77777777" w:rsidR="00D77772" w:rsidRDefault="00D77772" w:rsidP="00D77772">
      <w:pPr>
        <w:pStyle w:val="NormalWeb"/>
        <w:ind w:left="540" w:hanging="540"/>
        <w:jc w:val="both"/>
      </w:pPr>
      <w:proofErr w:type="spellStart"/>
      <w:r>
        <w:t>Elnagar</w:t>
      </w:r>
      <w:proofErr w:type="spellEnd"/>
      <w:r>
        <w:t xml:space="preserve">, M. M., Kibler, L. A., &amp; Jacob, T. (2025). Electrochemical fabrication of nanoparticles and single-atom catalysts via cathodic corrosion. </w:t>
      </w:r>
      <w:r>
        <w:rPr>
          <w:rStyle w:val="Emphasis"/>
        </w:rPr>
        <w:t>Chemistry – A European Journal, 31</w:t>
      </w:r>
      <w:r>
        <w:t xml:space="preserve">(31), Article e202500036. </w:t>
      </w:r>
      <w:r>
        <w:rPr>
          <w:rStyle w:val="contents"/>
        </w:rPr>
        <w:t>https://doi.org/10.1002/chem.202500036</w:t>
      </w:r>
    </w:p>
    <w:p w14:paraId="65A5A9B8" w14:textId="77777777" w:rsidR="00D77772" w:rsidRDefault="00D77772" w:rsidP="00D77772">
      <w:pPr>
        <w:pStyle w:val="NormalWeb"/>
        <w:ind w:left="540" w:hanging="540"/>
        <w:jc w:val="both"/>
      </w:pPr>
      <w:r w:rsidRPr="00D77772">
        <w:rPr>
          <w:lang w:val="nl-BE"/>
        </w:rPr>
        <w:t xml:space="preserve">Erlebacher, J., Aziz, M. J., Karma, A., Dimitrov, N., &amp; Sieradzki, K. (2001). </w:t>
      </w:r>
      <w:r>
        <w:t xml:space="preserve">Evolution of </w:t>
      </w:r>
      <w:proofErr w:type="spellStart"/>
      <w:r>
        <w:t>nanoporosity</w:t>
      </w:r>
      <w:proofErr w:type="spellEnd"/>
      <w:r>
        <w:t xml:space="preserve"> in dealloying. </w:t>
      </w:r>
      <w:r>
        <w:rPr>
          <w:rStyle w:val="Emphasis"/>
        </w:rPr>
        <w:t>Nature, 410</w:t>
      </w:r>
      <w:r>
        <w:t xml:space="preserve">(6827), 450–453. </w:t>
      </w:r>
      <w:r>
        <w:rPr>
          <w:rStyle w:val="contents"/>
        </w:rPr>
        <w:t>https://doi.org/10.1038/35068529</w:t>
      </w:r>
    </w:p>
    <w:p w14:paraId="1F6CF2F4" w14:textId="77777777" w:rsidR="00D77772" w:rsidRDefault="00D77772" w:rsidP="00D77772">
      <w:pPr>
        <w:pStyle w:val="NormalWeb"/>
        <w:ind w:left="540" w:hanging="540"/>
        <w:jc w:val="both"/>
      </w:pPr>
      <w:r>
        <w:t xml:space="preserve">Gaudin, L. F., Wright, I. R., Harris-Lee, T. R., </w:t>
      </w:r>
      <w:proofErr w:type="spellStart"/>
      <w:r>
        <w:t>Jayamaha</w:t>
      </w:r>
      <w:proofErr w:type="spellEnd"/>
      <w:r>
        <w:t xml:space="preserve">, G., Kang, M., &amp; Bentley, C. L. (2024). Five years of scanning electrochemical cell microscopy (SECCM): New insights and innovations. </w:t>
      </w:r>
      <w:r>
        <w:rPr>
          <w:rStyle w:val="Emphasis"/>
        </w:rPr>
        <w:t>Nanoscale, 16</w:t>
      </w:r>
      <w:r>
        <w:t xml:space="preserve">(26), 12345–12367. </w:t>
      </w:r>
      <w:r>
        <w:rPr>
          <w:rStyle w:val="contents"/>
        </w:rPr>
        <w:t>https://doi.org/10.1039/D4NR00859F</w:t>
      </w:r>
    </w:p>
    <w:p w14:paraId="31B13ED4" w14:textId="77777777" w:rsidR="00D77772" w:rsidRDefault="00D77772" w:rsidP="00D77772">
      <w:pPr>
        <w:pStyle w:val="NormalWeb"/>
        <w:ind w:left="540" w:hanging="540"/>
        <w:jc w:val="both"/>
      </w:pPr>
      <w:r>
        <w:lastRenderedPageBreak/>
        <w:t xml:space="preserve">Gowrisankar, A., </w:t>
      </w:r>
      <w:proofErr w:type="spellStart"/>
      <w:r>
        <w:t>Bhandigare</w:t>
      </w:r>
      <w:proofErr w:type="spellEnd"/>
      <w:r>
        <w:t xml:space="preserve">, V. P., Park, K., &amp; Kim, B.-K. (2025). Single-entity electrochemistry: Unveiling nanoparticle behavior with advanced scanning probe electrochemical techniques. </w:t>
      </w:r>
      <w:r>
        <w:rPr>
          <w:rStyle w:val="Emphasis"/>
        </w:rPr>
        <w:t>Current Opinion in Electrochemistry, 52</w:t>
      </w:r>
      <w:r>
        <w:t xml:space="preserve">, Article 101710. </w:t>
      </w:r>
      <w:r>
        <w:rPr>
          <w:rStyle w:val="contents"/>
        </w:rPr>
        <w:t>https://doi.org/10.1016/j.coelec.2025.101710</w:t>
      </w:r>
    </w:p>
    <w:p w14:paraId="77C409BA" w14:textId="77777777" w:rsidR="00D77772" w:rsidRDefault="00D77772" w:rsidP="00D77772">
      <w:pPr>
        <w:pStyle w:val="NormalWeb"/>
        <w:ind w:left="540" w:hanging="540"/>
        <w:jc w:val="both"/>
      </w:pPr>
      <w:proofErr w:type="spellStart"/>
      <w:r>
        <w:t>Gurrappa</w:t>
      </w:r>
      <w:proofErr w:type="spellEnd"/>
      <w:r>
        <w:t xml:space="preserve">, I., &amp; Binder, L. (2008). Electrodeposition of nanostructured coatings and their characterization—a review. </w:t>
      </w:r>
      <w:r>
        <w:rPr>
          <w:rStyle w:val="Emphasis"/>
        </w:rPr>
        <w:t>Science and Technology of Advanced Materials, 9</w:t>
      </w:r>
      <w:r>
        <w:t xml:space="preserve">(4), Article 043001. </w:t>
      </w:r>
      <w:r>
        <w:rPr>
          <w:rStyle w:val="contents"/>
        </w:rPr>
        <w:t>https://doi.org/10.1088/1468-6996/9/4/043001</w:t>
      </w:r>
    </w:p>
    <w:p w14:paraId="36B6260C" w14:textId="77777777" w:rsidR="00D77772" w:rsidRDefault="00D77772" w:rsidP="00D77772">
      <w:pPr>
        <w:pStyle w:val="NormalWeb"/>
        <w:ind w:left="540" w:hanging="540"/>
        <w:jc w:val="both"/>
      </w:pPr>
      <w:r>
        <w:t xml:space="preserve">Huang, Y., Yang, C., Lang, J., Zhang, S., Feng, S., Schaefer, L.-A., Carney, T. J., Mu, J., Lin, S., Zhou, Y., Long, Y., Kong, D., Li, Q., Li, X., &amp; Wu, H. (2020). Metal nanoparticle harvesting by continuous rotating electrodeposition and separation. </w:t>
      </w:r>
      <w:r>
        <w:rPr>
          <w:rStyle w:val="Emphasis"/>
        </w:rPr>
        <w:t>Matter, 3</w:t>
      </w:r>
      <w:r>
        <w:t xml:space="preserve">(4), 1294–1307. </w:t>
      </w:r>
      <w:hyperlink r:id="rId14" w:tgtFrame="_blank" w:history="1">
        <w:r>
          <w:rPr>
            <w:rStyle w:val="Hyperlink"/>
          </w:rPr>
          <w:t>https://doi.org/10.1016/j.matt.2020.08.019</w:t>
        </w:r>
      </w:hyperlink>
    </w:p>
    <w:p w14:paraId="04DE6F68" w14:textId="77777777" w:rsidR="00D77772" w:rsidRDefault="00D77772" w:rsidP="00D77772">
      <w:pPr>
        <w:pStyle w:val="NormalWeb"/>
        <w:ind w:left="540" w:hanging="540"/>
        <w:jc w:val="both"/>
      </w:pPr>
      <w:r>
        <w:t xml:space="preserve">Hulteen, J. C., &amp; Martin, C. R. (1997). A general template-based method for the preparation of nanomaterials. </w:t>
      </w:r>
      <w:r>
        <w:rPr>
          <w:rStyle w:val="Emphasis"/>
        </w:rPr>
        <w:t>Journal of Materials Chemistry, 7</w:t>
      </w:r>
      <w:r>
        <w:t xml:space="preserve">, 1075–1087. </w:t>
      </w:r>
      <w:r>
        <w:rPr>
          <w:rStyle w:val="contents"/>
        </w:rPr>
        <w:t>https://doi.org/10.1039/A700027H</w:t>
      </w:r>
    </w:p>
    <w:p w14:paraId="6464A279" w14:textId="77777777" w:rsidR="00D77772" w:rsidRPr="00D77772" w:rsidRDefault="00D77772" w:rsidP="00D77772">
      <w:pPr>
        <w:pStyle w:val="NormalWeb"/>
        <w:ind w:left="540" w:hanging="540"/>
        <w:jc w:val="both"/>
        <w:rPr>
          <w:lang w:val="nl-BE"/>
        </w:rPr>
      </w:pPr>
      <w:r>
        <w:t xml:space="preserve">Jayamaha, G., Maleki, M., Bentley, C. L., &amp; Kang, M. (2024). Practical guidelines for the use of scanning electrochemical cell microscopy (SECCM). </w:t>
      </w:r>
      <w:r w:rsidRPr="00D77772">
        <w:rPr>
          <w:rStyle w:val="Emphasis"/>
          <w:lang w:val="nl-BE"/>
        </w:rPr>
        <w:t>Analyst, 149</w:t>
      </w:r>
      <w:r w:rsidRPr="00D77772">
        <w:rPr>
          <w:lang w:val="nl-BE"/>
        </w:rPr>
        <w:t xml:space="preserve">(9), 2542–2555. </w:t>
      </w:r>
      <w:r w:rsidRPr="00D77772">
        <w:rPr>
          <w:rStyle w:val="contents"/>
          <w:lang w:val="nl-BE"/>
        </w:rPr>
        <w:t>https://doi.org/10.1039/D4AN00117F</w:t>
      </w:r>
    </w:p>
    <w:p w14:paraId="03B9F6EB" w14:textId="77777777" w:rsidR="00D77772" w:rsidRDefault="00D77772" w:rsidP="00D77772">
      <w:pPr>
        <w:pStyle w:val="NormalWeb"/>
        <w:ind w:left="540" w:hanging="540"/>
        <w:jc w:val="both"/>
      </w:pPr>
      <w:r w:rsidRPr="00D77772">
        <w:rPr>
          <w:lang w:val="nl-BE"/>
        </w:rPr>
        <w:t xml:space="preserve">Lee, W., Schwirn, K., Steinhart, M., Pippel, E., Scholz, R., &amp; Gösele, U. (2008). </w:t>
      </w:r>
      <w:r>
        <w:t xml:space="preserve">Structural engineering of nanoporous anodic </w:t>
      </w:r>
      <w:proofErr w:type="spellStart"/>
      <w:r>
        <w:t>aluminium</w:t>
      </w:r>
      <w:proofErr w:type="spellEnd"/>
      <w:r>
        <w:t xml:space="preserve"> oxide by pulse anodization of </w:t>
      </w:r>
      <w:proofErr w:type="spellStart"/>
      <w:r>
        <w:t>aluminium</w:t>
      </w:r>
      <w:proofErr w:type="spellEnd"/>
      <w:r>
        <w:t xml:space="preserve">. </w:t>
      </w:r>
      <w:r>
        <w:rPr>
          <w:rStyle w:val="Emphasis"/>
        </w:rPr>
        <w:t>Nature Nanotechnology, 3</w:t>
      </w:r>
      <w:r>
        <w:t xml:space="preserve">(4), 234–239. </w:t>
      </w:r>
      <w:r>
        <w:rPr>
          <w:rStyle w:val="contents"/>
        </w:rPr>
        <w:t>https://doi.org/10.1038/nnano.2008.54</w:t>
      </w:r>
    </w:p>
    <w:p w14:paraId="10424B9F" w14:textId="77777777" w:rsidR="00D77772" w:rsidRDefault="00D77772" w:rsidP="00D77772">
      <w:pPr>
        <w:pStyle w:val="NormalWeb"/>
        <w:ind w:left="540" w:hanging="540"/>
        <w:jc w:val="both"/>
      </w:pPr>
      <w:r>
        <w:t xml:space="preserve">Lee, K., Mazare, A., &amp; </w:t>
      </w:r>
      <w:proofErr w:type="spellStart"/>
      <w:r>
        <w:t>Schmuki</w:t>
      </w:r>
      <w:proofErr w:type="spellEnd"/>
      <w:r>
        <w:t xml:space="preserve">, P. (2014). </w:t>
      </w:r>
      <w:r w:rsidRPr="00D77772">
        <w:rPr>
          <w:lang w:val="nl-BE"/>
        </w:rPr>
        <w:t xml:space="preserve">One-dimensional titanium dioxide nanomaterials: Nanotubes. </w:t>
      </w:r>
      <w:r>
        <w:rPr>
          <w:rStyle w:val="Emphasis"/>
        </w:rPr>
        <w:t>Chemical Reviews, 114</w:t>
      </w:r>
      <w:r>
        <w:t xml:space="preserve">(19), 9385–9454. </w:t>
      </w:r>
      <w:r>
        <w:rPr>
          <w:rStyle w:val="contents"/>
        </w:rPr>
        <w:t>https://doi.org/10.1021/cr500061m</w:t>
      </w:r>
    </w:p>
    <w:p w14:paraId="5A5BD9B8" w14:textId="77777777" w:rsidR="00D77772" w:rsidRDefault="00D77772" w:rsidP="00D77772">
      <w:pPr>
        <w:pStyle w:val="NormalWeb"/>
        <w:ind w:left="540" w:hanging="540"/>
        <w:jc w:val="both"/>
      </w:pPr>
      <w:r>
        <w:t xml:space="preserve">Li, G.-R., Xu, H., Lu, X.-F., Feng, J.-X., Tong, Y.-X., &amp; Su, C.-Y. (2013). Electrochemical synthesis of nanostructured materials for electrochemical energy conversion and storage. </w:t>
      </w:r>
      <w:r>
        <w:rPr>
          <w:rStyle w:val="Emphasis"/>
        </w:rPr>
        <w:t>Nanoscale, 5</w:t>
      </w:r>
      <w:r>
        <w:t xml:space="preserve">(10), 4056–4069. </w:t>
      </w:r>
      <w:r>
        <w:rPr>
          <w:rStyle w:val="contents"/>
        </w:rPr>
        <w:t>https://doi.org/10.1039/C3NR00607G</w:t>
      </w:r>
    </w:p>
    <w:p w14:paraId="10BC4236" w14:textId="77777777" w:rsidR="00D77772" w:rsidRDefault="00D77772" w:rsidP="00D77772">
      <w:pPr>
        <w:pStyle w:val="NormalWeb"/>
        <w:ind w:left="540" w:hanging="540"/>
        <w:jc w:val="both"/>
      </w:pPr>
      <w:r>
        <w:t xml:space="preserve">Li, D., Batchelor-McAuley, C., &amp; Compton, R. G. (2020). Some thoughts about reporting the electrocatalytic performance of nanomaterials. </w:t>
      </w:r>
      <w:r>
        <w:rPr>
          <w:rStyle w:val="Emphasis"/>
        </w:rPr>
        <w:t>Applied Materials Today, 18</w:t>
      </w:r>
      <w:r>
        <w:t xml:space="preserve">, Article 100404. </w:t>
      </w:r>
      <w:r>
        <w:rPr>
          <w:rStyle w:val="contents"/>
        </w:rPr>
        <w:t>https://doi.org/10.1016/j.apmt.2019.05.011</w:t>
      </w:r>
    </w:p>
    <w:p w14:paraId="2144C758" w14:textId="77777777" w:rsidR="00D77772" w:rsidRDefault="00D77772" w:rsidP="00D77772">
      <w:pPr>
        <w:pStyle w:val="NormalWeb"/>
        <w:ind w:left="540" w:hanging="540"/>
        <w:jc w:val="both"/>
      </w:pPr>
      <w:r>
        <w:t xml:space="preserve">Lim, S., Chang, M., &amp; Lee, W. (2026). A comprehensive review of electrochemical exfoliation of graphite for tunable graphene architecture: Mechanistic insights, design principles, functional derivatives, and emerging applications. </w:t>
      </w:r>
      <w:r>
        <w:rPr>
          <w:rStyle w:val="Emphasis"/>
        </w:rPr>
        <w:t>Carbon, 246</w:t>
      </w:r>
      <w:r>
        <w:t xml:space="preserve">, Article 120888. </w:t>
      </w:r>
      <w:r>
        <w:rPr>
          <w:rStyle w:val="contents"/>
        </w:rPr>
        <w:t>https://doi.org/10.1016/j.carbon.2025.120888</w:t>
      </w:r>
    </w:p>
    <w:p w14:paraId="66A03782" w14:textId="77777777" w:rsidR="00D77772" w:rsidRDefault="00D77772" w:rsidP="00D77772">
      <w:pPr>
        <w:pStyle w:val="NormalWeb"/>
        <w:ind w:left="540" w:hanging="540"/>
        <w:jc w:val="both"/>
      </w:pPr>
      <w:r>
        <w:t xml:space="preserve">Lin, J., Kilani, M., </w:t>
      </w:r>
      <w:proofErr w:type="spellStart"/>
      <w:r>
        <w:t>Baharfar</w:t>
      </w:r>
      <w:proofErr w:type="spellEnd"/>
      <w:r>
        <w:t xml:space="preserve">, M., Wang, R., &amp; Mao, G. (2024). Understanding the nanoscale phenomena of nucleation and crystal growth in electrodeposition. </w:t>
      </w:r>
      <w:r>
        <w:rPr>
          <w:rStyle w:val="Emphasis"/>
        </w:rPr>
        <w:t>Nanoscale, 16</w:t>
      </w:r>
      <w:r>
        <w:t xml:space="preserve">(42), 19564–19588. </w:t>
      </w:r>
      <w:r>
        <w:rPr>
          <w:rStyle w:val="contents"/>
        </w:rPr>
        <w:t>https://doi.org/10.1039/D4NR02389G</w:t>
      </w:r>
    </w:p>
    <w:p w14:paraId="2B7E6D70" w14:textId="77777777" w:rsidR="00D77772" w:rsidRDefault="00D77772" w:rsidP="00D77772">
      <w:pPr>
        <w:pStyle w:val="NormalWeb"/>
        <w:ind w:left="540" w:hanging="540"/>
        <w:jc w:val="both"/>
      </w:pPr>
      <w:r>
        <w:t xml:space="preserve">Liu, F., Wang, C., Sui, X., Riaz, M. A., Xu, M., Wei, L., &amp; Chen, Y. (2019). Synthesis of graphene materials by electrochemical exfoliation: Recent progress and future potential. </w:t>
      </w:r>
      <w:r>
        <w:rPr>
          <w:rStyle w:val="Emphasis"/>
        </w:rPr>
        <w:t>Carbon Energy, 1</w:t>
      </w:r>
      <w:r>
        <w:t xml:space="preserve">(2), 173–199. </w:t>
      </w:r>
      <w:hyperlink r:id="rId15" w:tgtFrame="_blank" w:history="1">
        <w:r>
          <w:rPr>
            <w:rStyle w:val="Hyperlink"/>
          </w:rPr>
          <w:t>https://doi.org/10.1002/cey2.14</w:t>
        </w:r>
      </w:hyperlink>
    </w:p>
    <w:p w14:paraId="2C393B27" w14:textId="77777777" w:rsidR="00D77772" w:rsidRDefault="00D77772" w:rsidP="00D77772">
      <w:pPr>
        <w:pStyle w:val="NormalWeb"/>
        <w:ind w:left="540" w:hanging="540"/>
        <w:jc w:val="both"/>
      </w:pPr>
      <w:r>
        <w:lastRenderedPageBreak/>
        <w:t xml:space="preserve">Martin, C. R. (1995). Template synthesis of electronically conductive polymer nanostructures. </w:t>
      </w:r>
      <w:r>
        <w:rPr>
          <w:rStyle w:val="Emphasis"/>
        </w:rPr>
        <w:t>Accounts of Chemical Research, 28</w:t>
      </w:r>
      <w:r>
        <w:t xml:space="preserve">(2), 61–68. </w:t>
      </w:r>
      <w:r>
        <w:rPr>
          <w:rStyle w:val="contents"/>
        </w:rPr>
        <w:t>https://doi.org/10.1021/ar00050a002</w:t>
      </w:r>
    </w:p>
    <w:p w14:paraId="2A9F1C5D" w14:textId="77777777" w:rsidR="00D77772" w:rsidRDefault="00D77772" w:rsidP="00D77772">
      <w:pPr>
        <w:pStyle w:val="NormalWeb"/>
        <w:ind w:left="540" w:hanging="540"/>
        <w:jc w:val="both"/>
      </w:pPr>
      <w:r>
        <w:t xml:space="preserve">Masuda, H., &amp; Fukuda, K. (1995). Ordered metal nanohole arrays made by a two-step replication of honeycomb structures of anodic alumina. </w:t>
      </w:r>
      <w:r>
        <w:rPr>
          <w:rStyle w:val="Emphasis"/>
        </w:rPr>
        <w:t>Science, 268</w:t>
      </w:r>
      <w:r>
        <w:t xml:space="preserve">(5216), 1466–1468. </w:t>
      </w:r>
      <w:r>
        <w:rPr>
          <w:rStyle w:val="contents"/>
        </w:rPr>
        <w:t>https://doi.org/10.1126/science.268.5216.1466</w:t>
      </w:r>
    </w:p>
    <w:p w14:paraId="350FE36B" w14:textId="77777777" w:rsidR="00D77772" w:rsidRDefault="00D77772" w:rsidP="00D77772">
      <w:pPr>
        <w:pStyle w:val="NormalWeb"/>
        <w:ind w:left="540" w:hanging="540"/>
        <w:jc w:val="both"/>
      </w:pPr>
      <w:r>
        <w:t xml:space="preserve">McCrory, C. C. L., Jung, S., Peters, J. C., &amp; Jaramillo, T. F. (2013). Benchmarking heterogeneous electrocatalysts for the oxygen evolution reaction. </w:t>
      </w:r>
      <w:r>
        <w:rPr>
          <w:rStyle w:val="Emphasis"/>
        </w:rPr>
        <w:t>Journal of the American Chemical Society, 135</w:t>
      </w:r>
      <w:r>
        <w:t xml:space="preserve">(45), 16977–16987. </w:t>
      </w:r>
      <w:r>
        <w:rPr>
          <w:rStyle w:val="contents"/>
        </w:rPr>
        <w:t>https://doi.org/10.1021/ja407115p</w:t>
      </w:r>
    </w:p>
    <w:p w14:paraId="3D944C39" w14:textId="77777777" w:rsidR="00D77772" w:rsidRDefault="00D77772" w:rsidP="00D77772">
      <w:pPr>
        <w:pStyle w:val="NormalWeb"/>
        <w:ind w:left="540" w:hanging="540"/>
        <w:jc w:val="both"/>
      </w:pPr>
      <w:r>
        <w:t xml:space="preserve">McCrory, C. C. L., Jung, S., Ferrer, I. M., Chatman, S. M., Peters, J. C., &amp; Jaramillo, T. F. (2015). Benchmarking hydrogen evolving reaction and oxygen evolving reaction electrocatalysts for solar water splitting devices. </w:t>
      </w:r>
      <w:r>
        <w:rPr>
          <w:rStyle w:val="Emphasis"/>
        </w:rPr>
        <w:t>Journal of the American Chemical Society, 137</w:t>
      </w:r>
      <w:r>
        <w:t xml:space="preserve">(13), 4347–4357. </w:t>
      </w:r>
      <w:hyperlink r:id="rId16" w:tgtFrame="_blank" w:history="1">
        <w:r>
          <w:rPr>
            <w:rStyle w:val="Hyperlink"/>
          </w:rPr>
          <w:t>https://doi.org/10.1021/ja510442p</w:t>
        </w:r>
      </w:hyperlink>
    </w:p>
    <w:p w14:paraId="7D3D0410" w14:textId="77777777" w:rsidR="00D77772" w:rsidRDefault="00D77772" w:rsidP="00D77772">
      <w:pPr>
        <w:pStyle w:val="NormalWeb"/>
        <w:ind w:left="540" w:hanging="540"/>
        <w:jc w:val="both"/>
      </w:pPr>
      <w:r>
        <w:t xml:space="preserve">Nielsch, K., Choi, J., </w:t>
      </w:r>
      <w:proofErr w:type="spellStart"/>
      <w:r>
        <w:t>Schwirn</w:t>
      </w:r>
      <w:proofErr w:type="spellEnd"/>
      <w:r>
        <w:t xml:space="preserve">, K., </w:t>
      </w:r>
      <w:proofErr w:type="spellStart"/>
      <w:r>
        <w:t>Wehrspohn</w:t>
      </w:r>
      <w:proofErr w:type="spellEnd"/>
      <w:r>
        <w:t xml:space="preserve">, R. B., &amp; </w:t>
      </w:r>
      <w:proofErr w:type="spellStart"/>
      <w:r>
        <w:t>Gösele</w:t>
      </w:r>
      <w:proofErr w:type="spellEnd"/>
      <w:r>
        <w:t xml:space="preserve">, U. (2002). Self-ordering regimes of porous alumina: The 10% porosity rule. </w:t>
      </w:r>
      <w:r>
        <w:rPr>
          <w:rStyle w:val="Emphasis"/>
        </w:rPr>
        <w:t>Nano Letters, 2</w:t>
      </w:r>
      <w:r>
        <w:t xml:space="preserve">(7), 677–680. </w:t>
      </w:r>
      <w:r>
        <w:rPr>
          <w:rStyle w:val="contents"/>
        </w:rPr>
        <w:t>https://doi.org/10.1021/nl025537k</w:t>
      </w:r>
    </w:p>
    <w:p w14:paraId="28D1E674" w14:textId="77777777" w:rsidR="00D77772" w:rsidRDefault="00D77772" w:rsidP="00D77772">
      <w:pPr>
        <w:pStyle w:val="NormalWeb"/>
        <w:ind w:left="540" w:hanging="540"/>
        <w:jc w:val="both"/>
      </w:pPr>
      <w:r w:rsidRPr="00D77772">
        <w:rPr>
          <w:lang w:val="nl-BE"/>
        </w:rPr>
        <w:t xml:space="preserve">Parvez, K., Wu, Z.-S., Li, R., Liu, X., Graf, R., Feng, X., &amp; Müllen, K. (2014). </w:t>
      </w:r>
      <w:r>
        <w:t xml:space="preserve">Exfoliation of graphite into graphene in aqueous solutions of inorganic salts. </w:t>
      </w:r>
      <w:r>
        <w:rPr>
          <w:rStyle w:val="Emphasis"/>
        </w:rPr>
        <w:t>Journal of the American Chemical Society, 136</w:t>
      </w:r>
      <w:r>
        <w:t xml:space="preserve">(16), 6083–6091. </w:t>
      </w:r>
      <w:r>
        <w:rPr>
          <w:rStyle w:val="contents"/>
        </w:rPr>
        <w:t>https://doi.org/10.1021/ja5017156</w:t>
      </w:r>
    </w:p>
    <w:p w14:paraId="1782C7BC" w14:textId="77777777" w:rsidR="00D77772" w:rsidRDefault="00D77772" w:rsidP="00D77772">
      <w:pPr>
        <w:pStyle w:val="NormalWeb"/>
        <w:ind w:left="540" w:hanging="540"/>
        <w:jc w:val="both"/>
      </w:pPr>
      <w:r>
        <w:t xml:space="preserve">Porada, S., Zhao, R., van der Wal, A., Presser, V., &amp; Biesheuvel, P. M. (2013). Review on the science and technology of water desalination by capacitive deionization. </w:t>
      </w:r>
      <w:r>
        <w:rPr>
          <w:rStyle w:val="Emphasis"/>
        </w:rPr>
        <w:t>Progress in Materials Science, 58</w:t>
      </w:r>
      <w:r>
        <w:t xml:space="preserve">(8), 1388–1442. </w:t>
      </w:r>
      <w:hyperlink r:id="rId17" w:tgtFrame="_blank" w:history="1">
        <w:r>
          <w:rPr>
            <w:rStyle w:val="Hyperlink"/>
          </w:rPr>
          <w:t>https://doi.org/10.1016/j.pmatsci.2013.03.005</w:t>
        </w:r>
      </w:hyperlink>
    </w:p>
    <w:p w14:paraId="0F3537BD" w14:textId="77777777" w:rsidR="00D77772" w:rsidRDefault="00D77772" w:rsidP="00D77772">
      <w:pPr>
        <w:pStyle w:val="NormalWeb"/>
        <w:ind w:left="540" w:hanging="540"/>
        <w:jc w:val="both"/>
      </w:pPr>
      <w:r>
        <w:t xml:space="preserve">Quílez-Bermejo, J., </w:t>
      </w:r>
      <w:proofErr w:type="spellStart"/>
      <w:r>
        <w:t>Morallón</w:t>
      </w:r>
      <w:proofErr w:type="spellEnd"/>
      <w:r>
        <w:t xml:space="preserve">, E., Cazorla-Amorós, D., </w:t>
      </w:r>
      <w:proofErr w:type="spellStart"/>
      <w:r>
        <w:t>Celzard</w:t>
      </w:r>
      <w:proofErr w:type="spellEnd"/>
      <w:r>
        <w:t xml:space="preserve">, A., &amp; Fierro, V. (2025). Progress and perspectives in the electrochemical synthesis of carbon nanomaterials. </w:t>
      </w:r>
      <w:r>
        <w:rPr>
          <w:rStyle w:val="Emphasis"/>
        </w:rPr>
        <w:t>Carbon, 237</w:t>
      </w:r>
      <w:r>
        <w:t xml:space="preserve">, Article 120151. </w:t>
      </w:r>
      <w:r>
        <w:rPr>
          <w:rStyle w:val="contents"/>
        </w:rPr>
        <w:t>https://doi.org/10.1016/j.carbon.2025.120151</w:t>
      </w:r>
    </w:p>
    <w:p w14:paraId="07A8093B" w14:textId="77777777" w:rsidR="00D77772" w:rsidRPr="00D77772" w:rsidRDefault="00D77772" w:rsidP="00D77772">
      <w:pPr>
        <w:pStyle w:val="NormalWeb"/>
        <w:ind w:left="540" w:hanging="540"/>
        <w:jc w:val="both"/>
        <w:rPr>
          <w:lang w:val="nl-BE"/>
        </w:rPr>
      </w:pPr>
      <w:r>
        <w:t xml:space="preserve">Roy, P., Berger, S., &amp; </w:t>
      </w:r>
      <w:proofErr w:type="spellStart"/>
      <w:r>
        <w:t>Schmuki</w:t>
      </w:r>
      <w:proofErr w:type="spellEnd"/>
      <w:r>
        <w:t xml:space="preserve">, P. (2011). </w:t>
      </w:r>
      <w:proofErr w:type="spellStart"/>
      <w:r>
        <w:t>TiO</w:t>
      </w:r>
      <w:proofErr w:type="spellEnd"/>
      <w:r>
        <w:t xml:space="preserve">₂ nanotubes: Synthesis and applications. </w:t>
      </w:r>
      <w:r w:rsidRPr="00D77772">
        <w:rPr>
          <w:rStyle w:val="Emphasis"/>
          <w:lang w:val="nl-BE"/>
        </w:rPr>
        <w:t>Angewandte Chemie International Edition, 50</w:t>
      </w:r>
      <w:r w:rsidRPr="00D77772">
        <w:rPr>
          <w:lang w:val="nl-BE"/>
        </w:rPr>
        <w:t xml:space="preserve">(13), 2904–2939. </w:t>
      </w:r>
      <w:hyperlink r:id="rId18" w:tgtFrame="_blank" w:history="1">
        <w:r w:rsidRPr="00D77772">
          <w:rPr>
            <w:rStyle w:val="Hyperlink"/>
            <w:lang w:val="nl-BE"/>
          </w:rPr>
          <w:t>https://doi.org/10.1002/anie.201001374</w:t>
        </w:r>
      </w:hyperlink>
    </w:p>
    <w:p w14:paraId="5476DF6B" w14:textId="77777777" w:rsidR="00D77772" w:rsidRDefault="00D77772" w:rsidP="00D77772">
      <w:pPr>
        <w:pStyle w:val="NormalWeb"/>
        <w:ind w:left="540" w:hanging="540"/>
        <w:jc w:val="both"/>
      </w:pPr>
      <w:r w:rsidRPr="00D77772">
        <w:rPr>
          <w:lang w:val="nl-BE"/>
        </w:rPr>
        <w:t xml:space="preserve">Rurainsky, C., Garzón Manjón, A., Hiege, F., Chen, Y.-T., Scheu, C., &amp; Tschulik, K. (2020). </w:t>
      </w:r>
      <w:r>
        <w:t xml:space="preserve">Electrochemical dealloying as a tool to tune the porosity, composition and catalytic activity of nanomaterials. </w:t>
      </w:r>
      <w:r>
        <w:rPr>
          <w:rStyle w:val="Emphasis"/>
        </w:rPr>
        <w:t>Journal of Materials Chemistry A, 8</w:t>
      </w:r>
      <w:r>
        <w:t xml:space="preserve">, 19405–19413. </w:t>
      </w:r>
      <w:r>
        <w:rPr>
          <w:rStyle w:val="contents"/>
        </w:rPr>
        <w:t>https://doi.org/10.1039/D0TA04880A</w:t>
      </w:r>
    </w:p>
    <w:p w14:paraId="6F65F48B" w14:textId="77777777" w:rsidR="00D77772" w:rsidRDefault="00D77772" w:rsidP="00D77772">
      <w:pPr>
        <w:pStyle w:val="NormalWeb"/>
        <w:ind w:left="540" w:hanging="540"/>
        <w:jc w:val="both"/>
      </w:pPr>
      <w:r>
        <w:t xml:space="preserve">Sang, Q., Hao, S., Han, J., &amp; Ding, Y. (2022). </w:t>
      </w:r>
      <w:proofErr w:type="spellStart"/>
      <w:r>
        <w:t>Dealloyed</w:t>
      </w:r>
      <w:proofErr w:type="spellEnd"/>
      <w:r>
        <w:t xml:space="preserve"> nanoporous materials for electrochemical energy conversion and storage. </w:t>
      </w:r>
      <w:proofErr w:type="spellStart"/>
      <w:r>
        <w:rPr>
          <w:rStyle w:val="Emphasis"/>
        </w:rPr>
        <w:t>EnergyChem</w:t>
      </w:r>
      <w:proofErr w:type="spellEnd"/>
      <w:r>
        <w:rPr>
          <w:rStyle w:val="Emphasis"/>
        </w:rPr>
        <w:t>, 4</w:t>
      </w:r>
      <w:r>
        <w:t xml:space="preserve">(1), Article 100069. </w:t>
      </w:r>
      <w:r>
        <w:rPr>
          <w:rStyle w:val="contents"/>
        </w:rPr>
        <w:t>https://doi.org/10.1016/j.enchem.2022.100069</w:t>
      </w:r>
    </w:p>
    <w:p w14:paraId="35636F2F" w14:textId="77777777" w:rsidR="00D77772" w:rsidRDefault="00D77772" w:rsidP="00D77772">
      <w:pPr>
        <w:pStyle w:val="NormalWeb"/>
        <w:ind w:left="540" w:hanging="540"/>
        <w:jc w:val="both"/>
      </w:pPr>
      <w:proofErr w:type="spellStart"/>
      <w:r>
        <w:t>Schönleber</w:t>
      </w:r>
      <w:proofErr w:type="spellEnd"/>
      <w:r>
        <w:t>, M., Klotz, D., &amp; Ivers-</w:t>
      </w:r>
      <w:proofErr w:type="spellStart"/>
      <w:r>
        <w:t>Tiffée</w:t>
      </w:r>
      <w:proofErr w:type="spellEnd"/>
      <w:r>
        <w:t>, E. (2014). A method for improving the robustness of linear Kramers-</w:t>
      </w:r>
      <w:proofErr w:type="spellStart"/>
      <w:r>
        <w:t>Kronig</w:t>
      </w:r>
      <w:proofErr w:type="spellEnd"/>
      <w:r>
        <w:t xml:space="preserve"> validity tests. </w:t>
      </w:r>
      <w:proofErr w:type="spellStart"/>
      <w:r>
        <w:rPr>
          <w:rStyle w:val="Emphasis"/>
        </w:rPr>
        <w:t>Electrochimica</w:t>
      </w:r>
      <w:proofErr w:type="spellEnd"/>
      <w:r>
        <w:rPr>
          <w:rStyle w:val="Emphasis"/>
        </w:rPr>
        <w:t xml:space="preserve"> Acta, 131</w:t>
      </w:r>
      <w:r>
        <w:t xml:space="preserve">, 20–27. </w:t>
      </w:r>
      <w:r>
        <w:rPr>
          <w:rStyle w:val="contents"/>
        </w:rPr>
        <w:t>https://doi.org/10.1016/j.electacta.2014.01.034</w:t>
      </w:r>
    </w:p>
    <w:p w14:paraId="42AD2D20" w14:textId="77777777" w:rsidR="00D77772" w:rsidRDefault="00D77772" w:rsidP="00D77772">
      <w:pPr>
        <w:pStyle w:val="NormalWeb"/>
        <w:ind w:left="540" w:hanging="540"/>
        <w:jc w:val="both"/>
      </w:pPr>
      <w:r>
        <w:lastRenderedPageBreak/>
        <w:t xml:space="preserve">Simon, P., &amp; </w:t>
      </w:r>
      <w:proofErr w:type="spellStart"/>
      <w:r>
        <w:t>Gogotsi</w:t>
      </w:r>
      <w:proofErr w:type="spellEnd"/>
      <w:r>
        <w:t xml:space="preserve">, Y. (2008). Materials for electrochemical capacitors. </w:t>
      </w:r>
      <w:r>
        <w:rPr>
          <w:rStyle w:val="Emphasis"/>
        </w:rPr>
        <w:t>Nature Materials, 7</w:t>
      </w:r>
      <w:r>
        <w:t xml:space="preserve">(11), 845–854. </w:t>
      </w:r>
      <w:hyperlink r:id="rId19" w:tgtFrame="_blank" w:history="1">
        <w:r>
          <w:rPr>
            <w:rStyle w:val="Hyperlink"/>
          </w:rPr>
          <w:t>https://doi.org/10.1038/nmat2297</w:t>
        </w:r>
      </w:hyperlink>
    </w:p>
    <w:p w14:paraId="08A8F04E" w14:textId="77777777" w:rsidR="00D77772" w:rsidRDefault="00D77772" w:rsidP="00D77772">
      <w:pPr>
        <w:pStyle w:val="NormalWeb"/>
        <w:ind w:left="540" w:hanging="540"/>
        <w:jc w:val="both"/>
      </w:pPr>
      <w:proofErr w:type="spellStart"/>
      <w:r>
        <w:t>Suss</w:t>
      </w:r>
      <w:proofErr w:type="spellEnd"/>
      <w:r>
        <w:t xml:space="preserve">, M. E., Porada, S., Sun, X., Biesheuvel, P. M., Yoon, J., &amp; Presser, V. (2015). Water desalination via capacitive deionization: What is it and what can we expect from it? </w:t>
      </w:r>
      <w:r>
        <w:rPr>
          <w:rStyle w:val="Emphasis"/>
        </w:rPr>
        <w:t>Energy &amp; Environmental Science, 8</w:t>
      </w:r>
      <w:r>
        <w:t xml:space="preserve">(8), 2296–2319. </w:t>
      </w:r>
      <w:hyperlink r:id="rId20" w:tgtFrame="_blank" w:history="1">
        <w:r>
          <w:rPr>
            <w:rStyle w:val="Hyperlink"/>
          </w:rPr>
          <w:t>https://doi.org/10.1039/C5EE00519A</w:t>
        </w:r>
      </w:hyperlink>
    </w:p>
    <w:p w14:paraId="5417A558" w14:textId="77777777" w:rsidR="00D77772" w:rsidRDefault="00D77772" w:rsidP="00D77772">
      <w:pPr>
        <w:pStyle w:val="NormalWeb"/>
        <w:ind w:left="540" w:hanging="540"/>
        <w:jc w:val="both"/>
      </w:pPr>
      <w:r>
        <w:t xml:space="preserve">Tonelli, D., Scavetta, E., &amp; Gualandi, I. (2019). Electrochemical deposition of nanomaterials for electrochemical sensing. </w:t>
      </w:r>
      <w:r>
        <w:rPr>
          <w:rStyle w:val="Emphasis"/>
        </w:rPr>
        <w:t>Sensors, 19</w:t>
      </w:r>
      <w:r>
        <w:t xml:space="preserve">(5), Article 1186. </w:t>
      </w:r>
      <w:hyperlink r:id="rId21" w:tgtFrame="_blank" w:history="1">
        <w:r>
          <w:rPr>
            <w:rStyle w:val="Hyperlink"/>
          </w:rPr>
          <w:t>https://doi.org/10.3390/s19051186</w:t>
        </w:r>
      </w:hyperlink>
    </w:p>
    <w:p w14:paraId="2A2F05F9" w14:textId="77777777" w:rsidR="00D77772" w:rsidRDefault="00D77772" w:rsidP="00D77772">
      <w:pPr>
        <w:pStyle w:val="NormalWeb"/>
        <w:ind w:left="540" w:hanging="540"/>
        <w:jc w:val="both"/>
      </w:pPr>
      <w:r>
        <w:t xml:space="preserve">Tovar-Oliva, M. S., &amp; Tudela, I. (2024). Electrodeposition of nano- and micro-materials: Advancements in electrocatalysts for electrochemical applications. </w:t>
      </w:r>
      <w:r>
        <w:rPr>
          <w:rStyle w:val="Emphasis"/>
        </w:rPr>
        <w:t>Results in Engineering, 24</w:t>
      </w:r>
      <w:r>
        <w:t xml:space="preserve">, Article 103285. </w:t>
      </w:r>
      <w:r>
        <w:rPr>
          <w:rStyle w:val="contents"/>
        </w:rPr>
        <w:t>https://doi.org/10.1016/j.rineng.2024.103285</w:t>
      </w:r>
    </w:p>
    <w:p w14:paraId="6904F599" w14:textId="77777777" w:rsidR="00D77772" w:rsidRDefault="00D77772" w:rsidP="00D77772">
      <w:pPr>
        <w:pStyle w:val="NormalWeb"/>
        <w:ind w:left="540" w:hanging="540"/>
        <w:jc w:val="both"/>
      </w:pPr>
      <w:r>
        <w:t xml:space="preserve">Trasatti, S., &amp; </w:t>
      </w:r>
      <w:proofErr w:type="spellStart"/>
      <w:r>
        <w:t>Petrii</w:t>
      </w:r>
      <w:proofErr w:type="spellEnd"/>
      <w:r>
        <w:t xml:space="preserve">, O. A. (1991). Real surface area measurements in electrochemistry. </w:t>
      </w:r>
      <w:r>
        <w:rPr>
          <w:rStyle w:val="Emphasis"/>
        </w:rPr>
        <w:t>Pure and Applied Chemistry, 63</w:t>
      </w:r>
      <w:r>
        <w:t xml:space="preserve">(5), 711–734. </w:t>
      </w:r>
      <w:r>
        <w:rPr>
          <w:rStyle w:val="contents"/>
        </w:rPr>
        <w:t>https://doi.org/10.1351/pac199163050711</w:t>
      </w:r>
    </w:p>
    <w:p w14:paraId="7E4EEE1B" w14:textId="77777777" w:rsidR="00D77772" w:rsidRDefault="00D77772" w:rsidP="00D77772">
      <w:pPr>
        <w:pStyle w:val="NormalWeb"/>
        <w:ind w:left="540" w:hanging="540"/>
        <w:jc w:val="both"/>
      </w:pPr>
      <w:proofErr w:type="spellStart"/>
      <w:r>
        <w:t>Voiry</w:t>
      </w:r>
      <w:proofErr w:type="spellEnd"/>
      <w:r>
        <w:t xml:space="preserve">, D., </w:t>
      </w:r>
      <w:proofErr w:type="spellStart"/>
      <w:r>
        <w:t>Chhowalla</w:t>
      </w:r>
      <w:proofErr w:type="spellEnd"/>
      <w:r>
        <w:t xml:space="preserve">, M., </w:t>
      </w:r>
      <w:proofErr w:type="spellStart"/>
      <w:r>
        <w:t>Gogotsi</w:t>
      </w:r>
      <w:proofErr w:type="spellEnd"/>
      <w:r>
        <w:t xml:space="preserve">, Y., Kotov, N. A., Li, Y., Penner, R. M., Schaak, R. E., &amp; Weiss, P. S. (2018). Best practices for reporting electrocatalytic performance of nanomaterials. </w:t>
      </w:r>
      <w:r>
        <w:rPr>
          <w:rStyle w:val="Emphasis"/>
        </w:rPr>
        <w:t>ACS Nano, 12</w:t>
      </w:r>
      <w:r>
        <w:t xml:space="preserve">(10), 9635–9638. </w:t>
      </w:r>
      <w:hyperlink r:id="rId22" w:tgtFrame="_blank" w:history="1">
        <w:r>
          <w:rPr>
            <w:rStyle w:val="Hyperlink"/>
          </w:rPr>
          <w:t>https://doi.org/10.1021/acsnano.8b07700</w:t>
        </w:r>
      </w:hyperlink>
    </w:p>
    <w:p w14:paraId="351187DB" w14:textId="77777777" w:rsidR="00D77772" w:rsidRDefault="00D77772" w:rsidP="00D77772">
      <w:pPr>
        <w:pStyle w:val="NormalWeb"/>
        <w:ind w:left="540" w:hanging="540"/>
        <w:jc w:val="both"/>
      </w:pPr>
      <w:r>
        <w:t xml:space="preserve">Yang, S., Brüller, S., Wu, Z.-S., Liu, Z., Parvez, K., Dong, R., Richard, F., </w:t>
      </w:r>
      <w:proofErr w:type="spellStart"/>
      <w:r>
        <w:t>Samorì</w:t>
      </w:r>
      <w:proofErr w:type="spellEnd"/>
      <w:r>
        <w:t xml:space="preserve">, P., Feng, X., &amp; </w:t>
      </w:r>
      <w:proofErr w:type="spellStart"/>
      <w:r>
        <w:t>Müllen</w:t>
      </w:r>
      <w:proofErr w:type="spellEnd"/>
      <w:r>
        <w:t xml:space="preserve">, K. (2015). Organic radical-assisted electrochemical exfoliation for the scalable production of high-quality graphene. </w:t>
      </w:r>
      <w:r>
        <w:rPr>
          <w:rStyle w:val="Emphasis"/>
        </w:rPr>
        <w:t>Journal of the American Chemical Society, 137</w:t>
      </w:r>
      <w:r>
        <w:t xml:space="preserve">(43), 13927–13932. </w:t>
      </w:r>
      <w:r>
        <w:rPr>
          <w:rStyle w:val="contents"/>
        </w:rPr>
        <w:t>https://doi.org/10.1021/jacs.5b09000</w:t>
      </w:r>
    </w:p>
    <w:p w14:paraId="7C95B4BF" w14:textId="77777777" w:rsidR="00D77772" w:rsidRDefault="00D77772" w:rsidP="00D77772">
      <w:pPr>
        <w:pStyle w:val="NormalWeb"/>
        <w:ind w:left="540" w:hanging="540"/>
        <w:jc w:val="both"/>
      </w:pPr>
      <w:r w:rsidRPr="00D77772">
        <w:rPr>
          <w:lang w:val="nl-BE"/>
        </w:rPr>
        <w:t xml:space="preserve">Yang, Y., Hou, H., Zou, G., Shi, W., Shuai, H., Li, J., &amp; Ji, X. (2019). </w:t>
      </w:r>
      <w:r>
        <w:t xml:space="preserve">Electrochemical exfoliation of graphene-like two-dimensional nanomaterials. </w:t>
      </w:r>
      <w:r>
        <w:rPr>
          <w:rStyle w:val="Emphasis"/>
        </w:rPr>
        <w:t>Nanoscale, 11</w:t>
      </w:r>
      <w:r>
        <w:t xml:space="preserve">(1), 16–33. </w:t>
      </w:r>
      <w:r>
        <w:rPr>
          <w:rStyle w:val="contents"/>
        </w:rPr>
        <w:t>https://doi.org/10.1039/C8NR08227H</w:t>
      </w:r>
    </w:p>
    <w:p w14:paraId="1643FB93" w14:textId="77777777" w:rsidR="00D77772" w:rsidRDefault="00D77772" w:rsidP="00D77772">
      <w:pPr>
        <w:pStyle w:val="NormalWeb"/>
        <w:ind w:left="540" w:hanging="540"/>
        <w:jc w:val="both"/>
      </w:pPr>
      <w:r>
        <w:t xml:space="preserve">Yu, P., Lowe, S. E., Simon, G. P., &amp; Zhong, Y. L. (2015). Electrochemical exfoliation of graphite and production of functional graphene. </w:t>
      </w:r>
      <w:r>
        <w:rPr>
          <w:rStyle w:val="Emphasis"/>
        </w:rPr>
        <w:t>Current Opinion in Colloid &amp; Interface Science, 20</w:t>
      </w:r>
      <w:r>
        <w:t xml:space="preserve">(5–6), 329–338. </w:t>
      </w:r>
      <w:r>
        <w:rPr>
          <w:rStyle w:val="contents"/>
        </w:rPr>
        <w:t>https://doi.org/10.1016/j.cocis.2015.10.007</w:t>
      </w:r>
    </w:p>
    <w:p w14:paraId="4916F75D" w14:textId="77777777" w:rsidR="00D77772" w:rsidRDefault="00D77772" w:rsidP="00D77772">
      <w:pPr>
        <w:pStyle w:val="NormalWeb"/>
        <w:ind w:left="540" w:hanging="540"/>
        <w:jc w:val="both"/>
      </w:pPr>
      <w:r w:rsidRPr="00D77772">
        <w:rPr>
          <w:lang w:val="nl-BE"/>
        </w:rPr>
        <w:t xml:space="preserve">Zhang, X.-Q., Cheng, X.-B., &amp; Zhang, Q. (2016). </w:t>
      </w:r>
      <w:r>
        <w:t xml:space="preserve">Nanostructured energy materials for electrochemical energy conversion and storage: A review. </w:t>
      </w:r>
      <w:r>
        <w:rPr>
          <w:rStyle w:val="Emphasis"/>
        </w:rPr>
        <w:t>Journal of Energy Chemistry, 25</w:t>
      </w:r>
      <w:r>
        <w:t xml:space="preserve">(6), 967–984. </w:t>
      </w:r>
      <w:r>
        <w:rPr>
          <w:rStyle w:val="contents"/>
        </w:rPr>
        <w:t>https://doi.org/10.1016/j.jechem.2016.11.003</w:t>
      </w:r>
    </w:p>
    <w:p w14:paraId="111C9722" w14:textId="77777777" w:rsidR="00D77772" w:rsidRDefault="00D77772" w:rsidP="00D77772">
      <w:pPr>
        <w:pStyle w:val="NormalWeb"/>
        <w:ind w:left="540" w:hanging="540"/>
        <w:jc w:val="both"/>
      </w:pPr>
      <w:r>
        <w:t xml:space="preserve">Zhao, X., Gao, H., Hou, Y., </w:t>
      </w:r>
      <w:proofErr w:type="spellStart"/>
      <w:r>
        <w:t>Gbologah</w:t>
      </w:r>
      <w:proofErr w:type="spellEnd"/>
      <w:r>
        <w:t xml:space="preserve">, L., Zeng, X., &amp; Wang, Y. (2022). Analysis of crystallization and deposition process using electrochemical-quartz crystal microbalance: A review. </w:t>
      </w:r>
      <w:r>
        <w:rPr>
          <w:rStyle w:val="Emphasis"/>
        </w:rPr>
        <w:t>Journal of Electroanalytical Chemistry, 904</w:t>
      </w:r>
      <w:r>
        <w:t xml:space="preserve">, Article 115936. </w:t>
      </w:r>
      <w:r>
        <w:rPr>
          <w:rStyle w:val="contents"/>
        </w:rPr>
        <w:t>https://doi.org/10.1016/j.jelechem.2021.115936</w:t>
      </w:r>
    </w:p>
    <w:p w14:paraId="10DEBFDB" w14:textId="77777777" w:rsidR="00D77772" w:rsidRDefault="00D77772" w:rsidP="00D77772">
      <w:pPr>
        <w:pStyle w:val="NormalWeb"/>
        <w:ind w:left="540" w:hanging="540"/>
        <w:jc w:val="both"/>
      </w:pPr>
      <w:r>
        <w:t xml:space="preserve">Zhao, M., Casiraghi, C., &amp; Parvez, K. (2024). Electrochemical exfoliation of 2D materials beyond graphene. </w:t>
      </w:r>
      <w:r>
        <w:rPr>
          <w:rStyle w:val="Emphasis"/>
        </w:rPr>
        <w:t>Chemical Society Reviews, 53</w:t>
      </w:r>
      <w:r>
        <w:t xml:space="preserve">(6), 3036–3064. </w:t>
      </w:r>
      <w:r>
        <w:rPr>
          <w:rStyle w:val="contents"/>
        </w:rPr>
        <w:t>https://doi.org/10.1039/D3CS00815K</w:t>
      </w:r>
    </w:p>
    <w:p w14:paraId="0F568812" w14:textId="7CC63D21" w:rsidR="00606B00" w:rsidRPr="008C29E6" w:rsidRDefault="00606B00" w:rsidP="00D77772">
      <w:pPr>
        <w:pStyle w:val="Reference"/>
        <w:spacing w:after="60" w:line="240" w:lineRule="auto"/>
        <w:ind w:left="461" w:hanging="461"/>
        <w:jc w:val="both"/>
      </w:pPr>
    </w:p>
    <w:sectPr w:rsidR="00606B00" w:rsidRPr="008C29E6" w:rsidSect="00034616">
      <w:headerReference w:type="even" r:id="rId23"/>
      <w:headerReference w:type="default" r:id="rId24"/>
      <w:footerReference w:type="even" r:id="rId25"/>
      <w:footerReference w:type="default" r:id="rId26"/>
      <w:headerReference w:type="first" r:id="rId27"/>
      <w:footerReference w:type="first" r:id="rId28"/>
      <w:pgSz w:w="12240" w:h="15840"/>
      <w:pgMar w:top="1123" w:right="1080" w:bottom="1037" w:left="1080"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F7564" w14:textId="77777777" w:rsidR="001C4E6C" w:rsidRDefault="001C4E6C">
      <w:pPr>
        <w:spacing w:after="0" w:line="240" w:lineRule="auto"/>
      </w:pPr>
      <w:r>
        <w:separator/>
      </w:r>
    </w:p>
  </w:endnote>
  <w:endnote w:type="continuationSeparator" w:id="0">
    <w:p w14:paraId="2B759BE9" w14:textId="77777777" w:rsidR="001C4E6C" w:rsidRDefault="001C4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805AA" w14:textId="77777777" w:rsidR="003A0669" w:rsidRDefault="003A06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0B61F" w14:textId="77777777" w:rsidR="00606B00" w:rsidRDefault="00000000">
    <w:pPr>
      <w:pStyle w:val="Footer"/>
      <w:jc w:val="center"/>
    </w:pPr>
    <w:r>
      <w:rPr>
        <w:sz w:val="18"/>
      </w:rPr>
      <w:fldChar w:fldCharType="begin"/>
    </w:r>
    <w:r>
      <w:rPr>
        <w:sz w:val="18"/>
      </w:rPr>
      <w:instrText xml:space="preserve"> PAGE </w:instrText>
    </w:r>
    <w:r>
      <w:rPr>
        <w:sz w:val="18"/>
      </w:rPr>
      <w:fldChar w:fldCharType="separate"/>
    </w:r>
    <w:r w:rsidR="006B0B80">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EDE3" w14:textId="77777777" w:rsidR="003A0669" w:rsidRDefault="003A0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D1FE6" w14:textId="77777777" w:rsidR="001C4E6C" w:rsidRDefault="001C4E6C">
      <w:pPr>
        <w:spacing w:after="0" w:line="240" w:lineRule="auto"/>
      </w:pPr>
      <w:r>
        <w:separator/>
      </w:r>
    </w:p>
  </w:footnote>
  <w:footnote w:type="continuationSeparator" w:id="0">
    <w:p w14:paraId="4362B236" w14:textId="77777777" w:rsidR="001C4E6C" w:rsidRDefault="001C4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705A2" w14:textId="77777777" w:rsidR="003A0669" w:rsidRDefault="00000000">
    <w:pPr>
      <w:pStyle w:val="Header"/>
    </w:pPr>
    <w:r>
      <w:rPr>
        <w:noProof/>
      </w:rPr>
      <w:pict w14:anchorId="467ABD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03110"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4648" w14:textId="77777777" w:rsidR="003A0669" w:rsidRDefault="00000000">
    <w:pPr>
      <w:pStyle w:val="Header"/>
    </w:pPr>
    <w:r>
      <w:rPr>
        <w:noProof/>
      </w:rPr>
      <w:pict w14:anchorId="00E8AC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03111" o:spid="_x0000_s1027" type="#_x0000_t136" style="position:absolute;margin-left:0;margin-top:0;width:639.45pt;height:71.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60DB6" w14:textId="77777777" w:rsidR="003A0669" w:rsidRDefault="00000000">
    <w:pPr>
      <w:pStyle w:val="Header"/>
    </w:pPr>
    <w:r>
      <w:rPr>
        <w:noProof/>
      </w:rPr>
      <w:pict w14:anchorId="7C7CD4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403109"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6235412">
    <w:abstractNumId w:val="8"/>
  </w:num>
  <w:num w:numId="2" w16cid:durableId="1287154045">
    <w:abstractNumId w:val="6"/>
  </w:num>
  <w:num w:numId="3" w16cid:durableId="1399474590">
    <w:abstractNumId w:val="5"/>
  </w:num>
  <w:num w:numId="4" w16cid:durableId="1843660432">
    <w:abstractNumId w:val="4"/>
  </w:num>
  <w:num w:numId="5" w16cid:durableId="1444035216">
    <w:abstractNumId w:val="7"/>
  </w:num>
  <w:num w:numId="6" w16cid:durableId="1150052137">
    <w:abstractNumId w:val="3"/>
  </w:num>
  <w:num w:numId="7" w16cid:durableId="326175073">
    <w:abstractNumId w:val="2"/>
  </w:num>
  <w:num w:numId="8" w16cid:durableId="884946691">
    <w:abstractNumId w:val="1"/>
  </w:num>
  <w:num w:numId="9" w16cid:durableId="1818834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sDS3NDIwtLQ0M7JQ0lEKTi0uzszPAykwrAUAFo1RFCwAAAA="/>
  </w:docVars>
  <w:rsids>
    <w:rsidRoot w:val="00B47730"/>
    <w:rsid w:val="00034616"/>
    <w:rsid w:val="0006063C"/>
    <w:rsid w:val="000C4AE8"/>
    <w:rsid w:val="0015074B"/>
    <w:rsid w:val="001C4E6C"/>
    <w:rsid w:val="002368F3"/>
    <w:rsid w:val="0029639D"/>
    <w:rsid w:val="00326F90"/>
    <w:rsid w:val="003919F1"/>
    <w:rsid w:val="003A0669"/>
    <w:rsid w:val="005A2C2D"/>
    <w:rsid w:val="00606B00"/>
    <w:rsid w:val="00686986"/>
    <w:rsid w:val="006B0B80"/>
    <w:rsid w:val="006F51AD"/>
    <w:rsid w:val="00724B59"/>
    <w:rsid w:val="007D487F"/>
    <w:rsid w:val="007E56AD"/>
    <w:rsid w:val="008C29E6"/>
    <w:rsid w:val="009B318F"/>
    <w:rsid w:val="00AA1D8D"/>
    <w:rsid w:val="00AF4FC4"/>
    <w:rsid w:val="00B47730"/>
    <w:rsid w:val="00CB0664"/>
    <w:rsid w:val="00D77772"/>
    <w:rsid w:val="00DF56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D5F573"/>
  <w14:defaultImageDpi w14:val="300"/>
  <w15:docId w15:val="{17A42130-EC18-4EBC-82D7-E49A3EFB9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7365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69" w:lineRule="auto"/>
      <w:ind w:firstLine="317"/>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spacing w:before="160" w:after="80"/>
    </w:pPr>
    <w:rPr>
      <w:rFonts w:ascii="Times New Roman" w:hAnsi="Times New Roman"/>
      <w:b/>
      <w:sz w:val="20"/>
    </w:rPr>
  </w:style>
  <w:style w:type="paragraph" w:customStyle="1" w:styleId="Reference">
    <w:name w:val="Reference"/>
    <w:rPr>
      <w:rFonts w:ascii="Times New Roman" w:hAnsi="Times New Roman"/>
      <w:sz w:val="20"/>
    </w:rPr>
  </w:style>
  <w:style w:type="paragraph" w:customStyle="1" w:styleId="pdq2pgselectionanchorcontainer">
    <w:name w:val="pdq2pg_selectionanchorcontainer"/>
    <w:basedOn w:val="Normal"/>
    <w:rsid w:val="00D77772"/>
    <w:pPr>
      <w:spacing w:before="100" w:beforeAutospacing="1" w:after="100" w:afterAutospacing="1" w:line="240" w:lineRule="auto"/>
    </w:pPr>
    <w:rPr>
      <w:rFonts w:eastAsia="Times New Roman" w:cs="Times New Roman"/>
      <w:sz w:val="24"/>
      <w:szCs w:val="24"/>
    </w:rPr>
  </w:style>
  <w:style w:type="character" w:customStyle="1" w:styleId="contents">
    <w:name w:val="contents"/>
    <w:basedOn w:val="DefaultParagraphFont"/>
    <w:rsid w:val="00D77772"/>
  </w:style>
  <w:style w:type="paragraph" w:styleId="NormalWeb">
    <w:name w:val="Normal (Web)"/>
    <w:basedOn w:val="Normal"/>
    <w:uiPriority w:val="99"/>
    <w:semiHidden/>
    <w:unhideWhenUsed/>
    <w:rsid w:val="00D77772"/>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D777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41073-019-0064-8?utm_source=chatgpt.com" TargetMode="External"/><Relationship Id="rId13" Type="http://schemas.openxmlformats.org/officeDocument/2006/relationships/hyperlink" Target="https://doi.org/10.1021/acs.jchemed.7b00361?utm_source=chatgpt.com" TargetMode="External"/><Relationship Id="rId18" Type="http://schemas.openxmlformats.org/officeDocument/2006/relationships/hyperlink" Target="https://doi.org/10.1002/anie.201001374?utm_source=chatgpt.co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3390/s19051186?utm_source=chatgpt.com" TargetMode="External"/><Relationship Id="rId7" Type="http://schemas.openxmlformats.org/officeDocument/2006/relationships/endnotes" Target="endnotes.xml"/><Relationship Id="rId12" Type="http://schemas.openxmlformats.org/officeDocument/2006/relationships/hyperlink" Target="https://doi.org/10.1126/science.aas9100?utm_source=chatgpt.com" TargetMode="External"/><Relationship Id="rId17" Type="http://schemas.openxmlformats.org/officeDocument/2006/relationships/hyperlink" Target="https://doi.org/10.1016/j.pmatsci.2013.03.005?utm_source=chatgpt.co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1021/ja510442p?utm_source=chatgpt.com" TargetMode="External"/><Relationship Id="rId20" Type="http://schemas.openxmlformats.org/officeDocument/2006/relationships/hyperlink" Target="https://doi.org/10.1039/C5EE00519A?utm_source=chatgpt.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elsa.202100083?utm_source=chatgpt.com"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1002/cey2.14?utm_source=chatgpt.co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doi.org/10.1016/j.mattod.2022.11.021?utm_source=chatgpt.com" TargetMode="External"/><Relationship Id="rId19" Type="http://schemas.openxmlformats.org/officeDocument/2006/relationships/hyperlink" Target="https://doi.org/10.1038/nmat2297?utm_source=chatgpt.com" TargetMode="External"/><Relationship Id="rId4" Type="http://schemas.openxmlformats.org/officeDocument/2006/relationships/settings" Target="settings.xml"/><Relationship Id="rId9" Type="http://schemas.openxmlformats.org/officeDocument/2006/relationships/hyperlink" Target="https://doi.org/10.1007/s10008-024-06118-8?utm_source=chatgpt.com" TargetMode="External"/><Relationship Id="rId14" Type="http://schemas.openxmlformats.org/officeDocument/2006/relationships/hyperlink" Target="https://doi.org/10.1016/j.matt.2020.08.019?utm_source=chatgpt.com" TargetMode="External"/><Relationship Id="rId22" Type="http://schemas.openxmlformats.org/officeDocument/2006/relationships/hyperlink" Target="https://doi.org/10.1021/acsnano.8b07700?utm_source=chatgpt.com"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15284</Words>
  <Characters>87123</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Electrochemical Techniques for Nanomaterials: A Critical Review of Production, Characterisation and Application</dc:title>
  <dc:subject>Critical narrative review of electrochemical techniques for nanomaterials</dc:subject>
  <dc:creator/>
  <cp:keywords>electrochemistry, nanomaterials, electrodeposition, characterisation</cp:keywords>
  <dc:description>generated by python-docx</dc:description>
  <cp:lastModifiedBy>Editor-90</cp:lastModifiedBy>
  <cp:revision>8</cp:revision>
  <dcterms:created xsi:type="dcterms:W3CDTF">2013-12-23T23:15:00Z</dcterms:created>
  <dcterms:modified xsi:type="dcterms:W3CDTF">2026-09-02T13:24:00Z</dcterms:modified>
  <cp:category/>
</cp:coreProperties>
</file>