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1319D" w14:textId="77777777" w:rsidR="00B33122" w:rsidRPr="00B33122" w:rsidRDefault="00B33122" w:rsidP="00B33122">
      <w:pPr>
        <w:jc w:val="center"/>
        <w:rPr>
          <w:b/>
          <w:bCs/>
          <w:i/>
          <w:iCs/>
          <w:sz w:val="32"/>
          <w:u w:val="single"/>
        </w:rPr>
      </w:pPr>
      <w:r w:rsidRPr="00B33122">
        <w:rPr>
          <w:b/>
          <w:bCs/>
          <w:i/>
          <w:iCs/>
          <w:sz w:val="32"/>
          <w:u w:val="single"/>
        </w:rPr>
        <w:t>Original Research Article</w:t>
      </w:r>
    </w:p>
    <w:p w14:paraId="6F5931B1" w14:textId="77777777" w:rsidR="00381D6F" w:rsidRPr="007A0044" w:rsidRDefault="009D0121">
      <w:pPr>
        <w:jc w:val="center"/>
      </w:pPr>
      <w:r w:rsidRPr="007A0044">
        <w:rPr>
          <w:b/>
          <w:sz w:val="32"/>
        </w:rPr>
        <w:t xml:space="preserve">EVALUATION OF NUTRITIONAL AND ANTI-NUTRITIONAL CONTENTS OF </w:t>
      </w:r>
      <w:r w:rsidRPr="007A0044">
        <w:rPr>
          <w:b/>
          <w:i/>
          <w:sz w:val="32"/>
        </w:rPr>
        <w:t>Capsicum annuum L.</w:t>
      </w:r>
      <w:r w:rsidRPr="007A0044">
        <w:rPr>
          <w:b/>
          <w:sz w:val="32"/>
        </w:rPr>
        <w:t xml:space="preserve"> FRUITS</w:t>
      </w:r>
    </w:p>
    <w:p w14:paraId="4BD45573" w14:textId="77777777" w:rsidR="00C35F22" w:rsidRDefault="00C35F22" w:rsidP="009E08A0">
      <w:pPr>
        <w:pStyle w:val="Heading1"/>
        <w:spacing w:before="200" w:after="100" w:line="240" w:lineRule="auto"/>
        <w:jc w:val="center"/>
        <w:rPr>
          <w:rFonts w:ascii="Times New Roman" w:hAnsi="Times New Roman" w:cs="Times New Roman"/>
          <w:color w:val="auto"/>
          <w:sz w:val="24"/>
          <w:szCs w:val="24"/>
        </w:rPr>
      </w:pPr>
    </w:p>
    <w:p w14:paraId="2BDF0A40" w14:textId="77777777" w:rsidR="00C35F22" w:rsidRDefault="00C35F22" w:rsidP="009E08A0">
      <w:pPr>
        <w:pStyle w:val="Heading1"/>
        <w:spacing w:before="200" w:after="100" w:line="240" w:lineRule="auto"/>
        <w:jc w:val="center"/>
        <w:rPr>
          <w:rFonts w:ascii="Times New Roman" w:hAnsi="Times New Roman" w:cs="Times New Roman"/>
          <w:color w:val="auto"/>
          <w:sz w:val="24"/>
          <w:szCs w:val="24"/>
        </w:rPr>
      </w:pPr>
    </w:p>
    <w:p w14:paraId="2698FB30" w14:textId="77777777" w:rsidR="00381D6F" w:rsidRPr="007A0044" w:rsidRDefault="009D0121" w:rsidP="009E08A0">
      <w:pPr>
        <w:pStyle w:val="Heading1"/>
        <w:spacing w:before="200" w:after="100" w:line="240" w:lineRule="auto"/>
        <w:jc w:val="center"/>
        <w:rPr>
          <w:rFonts w:ascii="Times New Roman" w:hAnsi="Times New Roman" w:cs="Times New Roman"/>
          <w:color w:val="auto"/>
          <w:sz w:val="24"/>
          <w:szCs w:val="24"/>
        </w:rPr>
      </w:pPr>
      <w:r w:rsidRPr="007A0044">
        <w:rPr>
          <w:rFonts w:ascii="Times New Roman" w:hAnsi="Times New Roman" w:cs="Times New Roman"/>
          <w:color w:val="auto"/>
          <w:sz w:val="24"/>
          <w:szCs w:val="24"/>
        </w:rPr>
        <w:t>Abstract</w:t>
      </w:r>
    </w:p>
    <w:p w14:paraId="55E93448" w14:textId="77777777" w:rsidR="00D33926" w:rsidRDefault="00D33926">
      <w:pPr>
        <w:spacing w:after="200"/>
      </w:pPr>
      <w:r>
        <w:rPr>
          <w:rStyle w:val="Emphasis"/>
        </w:rPr>
        <w:t>Capsicum annuum</w:t>
      </w:r>
      <w:r>
        <w:t xml:space="preserve"> L. is widely cultivated and consumed as food in Nigeria and is also used for medicinal purposes. This study evaluated the proximate composition, selected mineral elements, vitamin content, and anti-nutritional and flavonoid contents of the fruits. Fresh fruits obtained in </w:t>
      </w:r>
      <w:proofErr w:type="spellStart"/>
      <w:r>
        <w:t>Aliero</w:t>
      </w:r>
      <w:proofErr w:type="spellEnd"/>
      <w:r>
        <w:t xml:space="preserve">, Kebbi State, Nigeria, were identified, dried at room temperature, milled, and </w:t>
      </w:r>
      <w:proofErr w:type="spellStart"/>
      <w:r>
        <w:t>analysed</w:t>
      </w:r>
      <w:proofErr w:type="spellEnd"/>
      <w:r>
        <w:t xml:space="preserve"> using standard analytical procedures. Selected minerals were determined by the reported titrimetric and Atomic Absorption Spectrophotometric methods, while proximate, vitamin, and anti-nutritional constituents were determined using the procedures described in the manuscript. Proximate analysis showed moisture of 36.00 ± 1.00%, crude </w:t>
      </w:r>
      <w:proofErr w:type="spellStart"/>
      <w:r>
        <w:t>fibre</w:t>
      </w:r>
      <w:proofErr w:type="spellEnd"/>
      <w:r>
        <w:t xml:space="preserve"> of 24.00 ± 1.00%, carbohydrate of 15.03 ± 2.84%, crude protein of 12.96 ± 1.38%, crude fat of 6.67 ± 1.44%, and ash of 5.17 ± 0.29%. Manganese had the highest concentration among the selected minerals at 51.00 ± 0.18 ppm, followed by magnesium at 15.27 ± 0.15 ppm, zinc at 14.93 ± 0.12 ppm, and calcium at 4.23 ± 0.15 ppm. Vitamin C was 22.89 ± 0.52 mg/100 g, vitamin A was 20.91 ± 0.35 mg/100 g, and vitamin E was 11.60 ± 0.90 mg/100 g. Phytate and oxalate were 4.76 ± 0.59% and 1.83 ± 0.21%, respectively, while flavonoids were 39.56 ± 0.77%. The findings show that the </w:t>
      </w:r>
      <w:proofErr w:type="spellStart"/>
      <w:r>
        <w:t>analysed</w:t>
      </w:r>
      <w:proofErr w:type="spellEnd"/>
      <w:r>
        <w:t xml:space="preserve"> fruits contain measurable nutrients, selected minerals, vitamins, flavonoids, and anti-nutritional constituents. Their nutritional value should therefore be considered together with the presence of phytate and oxalate.</w:t>
      </w:r>
    </w:p>
    <w:p w14:paraId="6E8791CF" w14:textId="77777777" w:rsidR="00D33926" w:rsidRDefault="00D33926">
      <w:pPr>
        <w:spacing w:after="200"/>
      </w:pPr>
    </w:p>
    <w:p w14:paraId="61F1A25D" w14:textId="77777777" w:rsidR="00D33926" w:rsidRDefault="00D33926">
      <w:pPr>
        <w:spacing w:after="200"/>
      </w:pPr>
    </w:p>
    <w:p w14:paraId="0DEEC6D8" w14:textId="77777777" w:rsidR="00A14475" w:rsidRDefault="009D0121" w:rsidP="00A14475">
      <w:pPr>
        <w:spacing w:after="200"/>
      </w:pPr>
      <w:r w:rsidRPr="007A0044">
        <w:rPr>
          <w:rFonts w:cs="Times New Roman"/>
          <w:i/>
          <w:sz w:val="24"/>
          <w:szCs w:val="24"/>
        </w:rPr>
        <w:t xml:space="preserve">Keywords: </w:t>
      </w:r>
      <w:bookmarkStart w:id="0" w:name="introduction"/>
      <w:r w:rsidR="00A14475">
        <w:rPr>
          <w:rStyle w:val="Emphasis"/>
        </w:rPr>
        <w:t>Capsicum annuum</w:t>
      </w:r>
      <w:r w:rsidR="00A14475">
        <w:t xml:space="preserve"> L.; proximate composition; mineral elements; vitamins; anti-nutritional factors; flavonoids; oxalate; phytate; nutritional quality</w:t>
      </w:r>
    </w:p>
    <w:p w14:paraId="1C4F0604" w14:textId="77777777" w:rsidR="00A14475" w:rsidRDefault="00A14475" w:rsidP="00A14475">
      <w:pPr>
        <w:spacing w:after="200"/>
      </w:pPr>
    </w:p>
    <w:p w14:paraId="1EA68E1D" w14:textId="77777777" w:rsidR="00E54614" w:rsidRPr="007A0044" w:rsidRDefault="00E54614" w:rsidP="00A14475">
      <w:pPr>
        <w:spacing w:after="200"/>
        <w:rPr>
          <w:rFonts w:cs="Times New Roman"/>
          <w:sz w:val="24"/>
          <w:szCs w:val="24"/>
        </w:rPr>
      </w:pPr>
      <w:r w:rsidRPr="007A0044">
        <w:rPr>
          <w:rFonts w:cs="Times New Roman"/>
          <w:sz w:val="24"/>
          <w:szCs w:val="24"/>
        </w:rPr>
        <w:t>1.</w:t>
      </w:r>
      <w:r w:rsidR="00751C0D">
        <w:rPr>
          <w:rFonts w:cs="Times New Roman"/>
          <w:sz w:val="24"/>
          <w:szCs w:val="24"/>
        </w:rPr>
        <w:t>0</w:t>
      </w:r>
      <w:r w:rsidRPr="007A0044">
        <w:rPr>
          <w:rFonts w:cs="Times New Roman"/>
          <w:sz w:val="24"/>
          <w:szCs w:val="24"/>
        </w:rPr>
        <w:t xml:space="preserve"> Introduction</w:t>
      </w:r>
    </w:p>
    <w:p w14:paraId="76A6AD06" w14:textId="77777777" w:rsidR="00E54614" w:rsidRPr="00D33926" w:rsidRDefault="00E54614" w:rsidP="00950A2F">
      <w:pPr>
        <w:pStyle w:val="FirstParagraph"/>
        <w:spacing w:before="0" w:after="0" w:line="276" w:lineRule="auto"/>
        <w:jc w:val="both"/>
        <w:rPr>
          <w:rFonts w:ascii="Times New Roman" w:hAnsi="Times New Roman" w:cs="Times New Roman"/>
          <w:bCs/>
        </w:rPr>
      </w:pPr>
      <w:r w:rsidRPr="007A0044">
        <w:rPr>
          <w:rFonts w:ascii="Times New Roman" w:hAnsi="Times New Roman" w:cs="Times New Roman"/>
        </w:rPr>
        <w:t xml:space="preserve">In recent years, increasing attention has been directed towards maintaining good health through the consumption of foods with high nutritional value, bioactive compounds, and antioxidant properties. Fruits and vegetables are important sources of nutraceutical compounds, including vitamins, minerals, phenolic compounds, natural antioxidants, dietary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and other bioactive constituents. Regular consumption of fruits and vegetables has been associated with beneficial health outcomes, including reduced risks of cardiovascular diseases, cancer, degenerative diseases, and age-related disorders </w:t>
      </w:r>
      <w:r w:rsidR="003E79AE" w:rsidRPr="00822A5A">
        <w:rPr>
          <w:rFonts w:ascii="Times New Roman" w:hAnsi="Times New Roman" w:cs="Times New Roman"/>
        </w:rPr>
        <w:t xml:space="preserve">(Chávez-Mendoza </w:t>
      </w:r>
      <w:r w:rsidR="003E79AE" w:rsidRPr="00822A5A">
        <w:rPr>
          <w:rFonts w:ascii="Times New Roman" w:hAnsi="Times New Roman" w:cs="Times New Roman"/>
          <w:i/>
        </w:rPr>
        <w:t>et al</w:t>
      </w:r>
      <w:r w:rsidR="003E79AE" w:rsidRPr="00822A5A">
        <w:rPr>
          <w:rFonts w:ascii="Times New Roman" w:hAnsi="Times New Roman" w:cs="Times New Roman"/>
        </w:rPr>
        <w:t>., 2015)</w:t>
      </w:r>
      <w:r w:rsidRPr="00822A5A">
        <w:rPr>
          <w:rFonts w:ascii="Times New Roman" w:hAnsi="Times New Roman" w:cs="Times New Roman"/>
        </w:rPr>
        <w:t>.</w:t>
      </w:r>
      <w:r>
        <w:rPr>
          <w:rFonts w:ascii="Times New Roman" w:hAnsi="Times New Roman"/>
          <w:b/>
          <w:highlight w:val="yellow"/>
        </w:rPr>
        <w:t xml:space="preserve"> </w:t>
      </w:r>
      <w:r w:rsidRPr="00D33926">
        <w:rPr>
          <w:rFonts w:ascii="Times New Roman" w:hAnsi="Times New Roman"/>
          <w:bCs/>
          <w:highlight w:val="yellow"/>
        </w:rPr>
        <w:t>Recent evaluations of pepper germplasm have also shown that nutritional composition can vary among genotypes, reinforcing the importance of direct measurement of proximate constituents and minerals when assessing dietary value (Pinar et al., 2023).</w:t>
      </w:r>
    </w:p>
    <w:p w14:paraId="7348ABBF" w14:textId="77777777" w:rsidR="00E54614" w:rsidRPr="007A0044" w:rsidRDefault="00E54614" w:rsidP="00950A2F">
      <w:pPr>
        <w:pStyle w:val="BodyText"/>
        <w:spacing w:after="0"/>
        <w:jc w:val="both"/>
        <w:rPr>
          <w:rFonts w:cs="Times New Roman"/>
          <w:sz w:val="24"/>
          <w:szCs w:val="24"/>
        </w:rPr>
      </w:pPr>
      <w:r w:rsidRPr="007A0044">
        <w:rPr>
          <w:rFonts w:cs="Times New Roman"/>
          <w:sz w:val="24"/>
          <w:szCs w:val="24"/>
        </w:rPr>
        <w:lastRenderedPageBreak/>
        <w:t xml:space="preserve">Pepper is an important horticultural crop cultivated in many parts of the world. </w:t>
      </w:r>
      <w:r w:rsidRPr="007A0044">
        <w:rPr>
          <w:rFonts w:cs="Times New Roman"/>
          <w:i/>
          <w:iCs/>
          <w:sz w:val="24"/>
          <w:szCs w:val="24"/>
        </w:rPr>
        <w:t>Capsicum annuum</w:t>
      </w:r>
      <w:r w:rsidRPr="007A0044">
        <w:rPr>
          <w:rFonts w:cs="Times New Roman"/>
          <w:sz w:val="24"/>
          <w:szCs w:val="24"/>
        </w:rPr>
        <w:t xml:space="preserve"> L. belongs to the family Solanaceae and the genus </w:t>
      </w:r>
      <w:r w:rsidRPr="007A0044">
        <w:rPr>
          <w:rFonts w:cs="Times New Roman"/>
          <w:i/>
          <w:iCs/>
          <w:sz w:val="24"/>
          <w:szCs w:val="24"/>
        </w:rPr>
        <w:t>Capsicum</w:t>
      </w:r>
      <w:r w:rsidRPr="007A0044">
        <w:rPr>
          <w:rFonts w:cs="Times New Roman"/>
          <w:sz w:val="24"/>
          <w:szCs w:val="24"/>
        </w:rPr>
        <w:t xml:space="preserve">. It is widely consumed because of its characteristic taste, attractive </w:t>
      </w:r>
      <w:proofErr w:type="spellStart"/>
      <w:r w:rsidRPr="007A0044">
        <w:rPr>
          <w:rFonts w:cs="Times New Roman"/>
          <w:sz w:val="24"/>
          <w:szCs w:val="24"/>
        </w:rPr>
        <w:t>colour</w:t>
      </w:r>
      <w:proofErr w:type="spellEnd"/>
      <w:r w:rsidRPr="007A0044">
        <w:rPr>
          <w:rFonts w:cs="Times New Roman"/>
          <w:sz w:val="24"/>
          <w:szCs w:val="24"/>
        </w:rPr>
        <w:t>, and distinctive biochemical composition</w:t>
      </w:r>
      <w:r w:rsidR="00A379CD">
        <w:rPr>
          <w:rFonts w:cs="Times New Roman"/>
          <w:sz w:val="24"/>
          <w:szCs w:val="24"/>
        </w:rPr>
        <w:t xml:space="preserve"> </w:t>
      </w:r>
      <w:r w:rsidR="00A379CD" w:rsidRPr="00822A5A">
        <w:rPr>
          <w:sz w:val="24"/>
          <w:szCs w:val="24"/>
        </w:rPr>
        <w:t xml:space="preserve">(Soare </w:t>
      </w:r>
      <w:r w:rsidR="00A379CD" w:rsidRPr="00822A5A">
        <w:rPr>
          <w:i/>
          <w:sz w:val="24"/>
          <w:szCs w:val="24"/>
        </w:rPr>
        <w:t>et al.,</w:t>
      </w:r>
      <w:r w:rsidR="00A379CD" w:rsidRPr="00822A5A">
        <w:rPr>
          <w:sz w:val="24"/>
          <w:szCs w:val="24"/>
        </w:rPr>
        <w:t xml:space="preserve"> 2017)</w:t>
      </w:r>
      <w:r w:rsidRPr="00822A5A">
        <w:rPr>
          <w:rFonts w:cs="Times New Roman"/>
          <w:sz w:val="24"/>
          <w:szCs w:val="24"/>
        </w:rPr>
        <w:t>.</w:t>
      </w:r>
    </w:p>
    <w:p w14:paraId="45F1C63B" w14:textId="77777777" w:rsidR="00E54614" w:rsidRPr="007A0044" w:rsidRDefault="00E54614" w:rsidP="00950A2F">
      <w:pPr>
        <w:pStyle w:val="BodyText"/>
        <w:spacing w:after="0"/>
        <w:jc w:val="both"/>
        <w:rPr>
          <w:rFonts w:cs="Times New Roman"/>
          <w:sz w:val="24"/>
          <w:szCs w:val="24"/>
        </w:rPr>
      </w:pPr>
      <w:r w:rsidRPr="007A0044">
        <w:rPr>
          <w:rFonts w:cs="Times New Roman"/>
          <w:i/>
          <w:iCs/>
          <w:sz w:val="24"/>
          <w:szCs w:val="24"/>
        </w:rPr>
        <w:t>Capsicum</w:t>
      </w:r>
      <w:r w:rsidRPr="007A0044">
        <w:rPr>
          <w:rFonts w:cs="Times New Roman"/>
          <w:sz w:val="24"/>
          <w:szCs w:val="24"/>
        </w:rPr>
        <w:t xml:space="preserve"> species constitute an important component of the Nigerian diet. In addition to their use in the preparation of stews and as </w:t>
      </w:r>
      <w:proofErr w:type="spellStart"/>
      <w:r w:rsidRPr="007A0044">
        <w:rPr>
          <w:rFonts w:cs="Times New Roman"/>
          <w:sz w:val="24"/>
          <w:szCs w:val="24"/>
        </w:rPr>
        <w:t>flavour</w:t>
      </w:r>
      <w:proofErr w:type="spellEnd"/>
      <w:r w:rsidRPr="007A0044">
        <w:rPr>
          <w:rFonts w:cs="Times New Roman"/>
          <w:sz w:val="24"/>
          <w:szCs w:val="24"/>
        </w:rPr>
        <w:t xml:space="preserve">-enhancing ingredients, peppers are also used as preservatives and in traditional medicinal practices. Smallholder farmers, particularly women, are involved in pepper production for household consumption and local markets, especially in southwestern Nigeria. It has been reported that approximately 100,000–200,000 hectares of land are devoted to pepper cultivation annually in Nigeria </w:t>
      </w:r>
      <w:r w:rsidR="00D46394" w:rsidRPr="00822A5A">
        <w:rPr>
          <w:sz w:val="24"/>
        </w:rPr>
        <w:t xml:space="preserve">(Omotayo </w:t>
      </w:r>
      <w:r w:rsidR="00D46394" w:rsidRPr="00822A5A">
        <w:rPr>
          <w:i/>
          <w:sz w:val="24"/>
        </w:rPr>
        <w:t>et al</w:t>
      </w:r>
      <w:r w:rsidR="00D46394" w:rsidRPr="00822A5A">
        <w:rPr>
          <w:sz w:val="24"/>
        </w:rPr>
        <w:t>., 2015</w:t>
      </w:r>
      <w:r w:rsidR="00D46394">
        <w:t>)</w:t>
      </w:r>
      <w:r w:rsidRPr="007A0044">
        <w:rPr>
          <w:rFonts w:cs="Times New Roman"/>
          <w:sz w:val="24"/>
          <w:szCs w:val="24"/>
        </w:rPr>
        <w:t>.</w:t>
      </w:r>
    </w:p>
    <w:p w14:paraId="674EAB69" w14:textId="77777777" w:rsidR="00A379CD" w:rsidRDefault="00E54614" w:rsidP="00950A2F">
      <w:pPr>
        <w:pStyle w:val="BodyText"/>
        <w:spacing w:after="0"/>
        <w:jc w:val="both"/>
        <w:rPr>
          <w:rFonts w:cs="Times New Roman"/>
          <w:sz w:val="24"/>
          <w:szCs w:val="24"/>
        </w:rPr>
      </w:pPr>
      <w:r w:rsidRPr="007A0044">
        <w:rPr>
          <w:rFonts w:cs="Times New Roman"/>
          <w:sz w:val="24"/>
          <w:szCs w:val="24"/>
        </w:rPr>
        <w:t xml:space="preserve">The fruit of </w:t>
      </w:r>
      <w:r w:rsidRPr="007A0044">
        <w:rPr>
          <w:rFonts w:cs="Times New Roman"/>
          <w:i/>
          <w:iCs/>
          <w:sz w:val="24"/>
          <w:szCs w:val="24"/>
        </w:rPr>
        <w:t>C. annuum</w:t>
      </w:r>
      <w:r w:rsidRPr="007A0044">
        <w:rPr>
          <w:rFonts w:cs="Times New Roman"/>
          <w:sz w:val="24"/>
          <w:szCs w:val="24"/>
        </w:rPr>
        <w:t xml:space="preserve"> L. is well known for its high content of bioactive compounds and antioxidant activity. </w:t>
      </w:r>
      <w:r>
        <w:rPr>
          <w:rFonts w:cs="Times New Roman"/>
          <w:sz w:val="24"/>
          <w:szCs w:val="24"/>
          <w:highlight w:val="yellow"/>
        </w:rPr>
        <w:t>It is a widely consumed fresh vegetable</w:t>
      </w:r>
      <w:r>
        <w:rPr>
          <w:rFonts w:cs="Times New Roman"/>
          <w:sz w:val="24"/>
          <w:szCs w:val="24"/>
        </w:rPr>
        <w:t xml:space="preserve"> because of its combination of </w:t>
      </w:r>
      <w:proofErr w:type="spellStart"/>
      <w:r>
        <w:rPr>
          <w:rFonts w:cs="Times New Roman"/>
          <w:sz w:val="24"/>
          <w:szCs w:val="24"/>
        </w:rPr>
        <w:t>colour</w:t>
      </w:r>
      <w:proofErr w:type="spellEnd"/>
      <w:r>
        <w:rPr>
          <w:rFonts w:cs="Times New Roman"/>
          <w:sz w:val="24"/>
          <w:szCs w:val="24"/>
        </w:rPr>
        <w:t xml:space="preserve">, </w:t>
      </w:r>
      <w:proofErr w:type="spellStart"/>
      <w:r>
        <w:rPr>
          <w:rFonts w:cs="Times New Roman"/>
          <w:sz w:val="24"/>
          <w:szCs w:val="24"/>
        </w:rPr>
        <w:t>flavour</w:t>
      </w:r>
      <w:proofErr w:type="spellEnd"/>
      <w:r>
        <w:rPr>
          <w:rFonts w:cs="Times New Roman"/>
          <w:sz w:val="24"/>
          <w:szCs w:val="24"/>
        </w:rPr>
        <w:t xml:space="preserve">, and nutritional value. The species originated in North and South America and is well adapted to warm climates. It is currently cultivated and consumed as food and used for medicinal purposes in Africa and other parts of the world </w:t>
      </w:r>
      <w:r w:rsidR="00A379CD" w:rsidRPr="00822A5A">
        <w:rPr>
          <w:sz w:val="24"/>
        </w:rPr>
        <w:t xml:space="preserve">(Chávez-Mendoza </w:t>
      </w:r>
      <w:r w:rsidR="00A379CD" w:rsidRPr="00822A5A">
        <w:rPr>
          <w:i/>
          <w:sz w:val="24"/>
        </w:rPr>
        <w:t>et al</w:t>
      </w:r>
      <w:r w:rsidR="00A379CD" w:rsidRPr="00822A5A">
        <w:rPr>
          <w:sz w:val="24"/>
        </w:rPr>
        <w:t>., 2015)</w:t>
      </w:r>
      <w:r w:rsidR="00A379CD" w:rsidRPr="00822A5A">
        <w:rPr>
          <w:rFonts w:cs="Times New Roman"/>
          <w:sz w:val="24"/>
        </w:rPr>
        <w:t>.</w:t>
      </w:r>
      <w:r w:rsidR="00A379CD" w:rsidRPr="00822A5A">
        <w:rPr>
          <w:rFonts w:cs="Times New Roman"/>
          <w:sz w:val="28"/>
          <w:szCs w:val="24"/>
        </w:rPr>
        <w:t xml:space="preserve"> </w:t>
      </w:r>
    </w:p>
    <w:p w14:paraId="5012BD26" w14:textId="77777777" w:rsidR="00E54614" w:rsidRPr="00D33926" w:rsidRDefault="00E54614" w:rsidP="00950A2F">
      <w:pPr>
        <w:pStyle w:val="BodyText"/>
        <w:spacing w:after="0"/>
        <w:jc w:val="both"/>
        <w:rPr>
          <w:rFonts w:cs="Times New Roman"/>
          <w:bCs/>
          <w:sz w:val="24"/>
          <w:szCs w:val="24"/>
        </w:rPr>
      </w:pPr>
      <w:r w:rsidRPr="007A0044">
        <w:rPr>
          <w:rFonts w:cs="Times New Roman"/>
          <w:i/>
          <w:iCs/>
          <w:sz w:val="24"/>
          <w:szCs w:val="24"/>
        </w:rPr>
        <w:t>C. annuum</w:t>
      </w:r>
      <w:r w:rsidRPr="007A0044">
        <w:rPr>
          <w:rFonts w:cs="Times New Roman"/>
          <w:sz w:val="24"/>
          <w:szCs w:val="24"/>
        </w:rPr>
        <w:t xml:space="preserve"> L. is </w:t>
      </w:r>
      <w:proofErr w:type="spellStart"/>
      <w:r>
        <w:rPr>
          <w:rFonts w:cs="Times New Roman"/>
          <w:sz w:val="24"/>
          <w:szCs w:val="24"/>
          <w:highlight w:val="yellow"/>
        </w:rPr>
        <w:t>characterised</w:t>
      </w:r>
      <w:proofErr w:type="spellEnd"/>
      <w:r>
        <w:rPr>
          <w:rFonts w:cs="Times New Roman"/>
          <w:sz w:val="24"/>
          <w:szCs w:val="24"/>
        </w:rPr>
        <w:t xml:space="preserve"> by its intense red </w:t>
      </w:r>
      <w:proofErr w:type="spellStart"/>
      <w:r>
        <w:rPr>
          <w:rFonts w:cs="Times New Roman"/>
          <w:sz w:val="24"/>
          <w:szCs w:val="24"/>
        </w:rPr>
        <w:t>colour</w:t>
      </w:r>
      <w:proofErr w:type="spellEnd"/>
      <w:r>
        <w:rPr>
          <w:rFonts w:cs="Times New Roman"/>
          <w:sz w:val="24"/>
          <w:szCs w:val="24"/>
        </w:rPr>
        <w:t xml:space="preserve">, characteristic sweet or pungent </w:t>
      </w:r>
      <w:proofErr w:type="spellStart"/>
      <w:r>
        <w:rPr>
          <w:rFonts w:cs="Times New Roman"/>
          <w:sz w:val="24"/>
          <w:szCs w:val="24"/>
        </w:rPr>
        <w:t>flavour</w:t>
      </w:r>
      <w:proofErr w:type="spellEnd"/>
      <w:r>
        <w:rPr>
          <w:rFonts w:cs="Times New Roman"/>
          <w:sz w:val="24"/>
          <w:szCs w:val="24"/>
        </w:rPr>
        <w:t xml:space="preserve">, crispy texture, and thin waxy layer. The fruit is valued for its bioactive constituents, including carotenoids, flavonoids, polyphenols, and vitamins A, C, and E, as well as minerals such as zinc, iron, copper, potassium, calcium, and magnesium. These constituents contribute to the nutritional and antioxidant properties of the fruit. Bioactive compounds such as capsaicin and capsanthin have also been associated with the antioxidant characteristics of </w:t>
      </w:r>
      <w:r w:rsidRPr="007A0044">
        <w:rPr>
          <w:rFonts w:cs="Times New Roman"/>
          <w:i/>
          <w:iCs/>
          <w:sz w:val="24"/>
          <w:szCs w:val="24"/>
        </w:rPr>
        <w:t>C. annuum</w:t>
      </w:r>
      <w:r w:rsidRPr="007A0044">
        <w:rPr>
          <w:rFonts w:cs="Times New Roman"/>
          <w:sz w:val="24"/>
          <w:szCs w:val="24"/>
        </w:rPr>
        <w:t xml:space="preserve"> fruits</w:t>
      </w:r>
      <w:r w:rsidR="003860D5">
        <w:rPr>
          <w:rFonts w:cs="Times New Roman"/>
          <w:sz w:val="24"/>
          <w:szCs w:val="24"/>
        </w:rPr>
        <w:t xml:space="preserve"> </w:t>
      </w:r>
      <w:r w:rsidR="003860D5" w:rsidRPr="00822A5A">
        <w:rPr>
          <w:sz w:val="24"/>
          <w:szCs w:val="24"/>
        </w:rPr>
        <w:t>(</w:t>
      </w:r>
      <w:proofErr w:type="spellStart"/>
      <w:r w:rsidR="003860D5" w:rsidRPr="00822A5A">
        <w:rPr>
          <w:sz w:val="24"/>
          <w:szCs w:val="24"/>
        </w:rPr>
        <w:t>Otulak</w:t>
      </w:r>
      <w:proofErr w:type="spellEnd"/>
      <w:r w:rsidR="003860D5" w:rsidRPr="00822A5A">
        <w:rPr>
          <w:sz w:val="24"/>
          <w:szCs w:val="24"/>
        </w:rPr>
        <w:t xml:space="preserve">-Kozieł </w:t>
      </w:r>
      <w:r w:rsidR="003860D5" w:rsidRPr="00822A5A">
        <w:rPr>
          <w:i/>
          <w:sz w:val="24"/>
          <w:szCs w:val="24"/>
        </w:rPr>
        <w:t>et al.,</w:t>
      </w:r>
      <w:r w:rsidR="003860D5" w:rsidRPr="00822A5A">
        <w:rPr>
          <w:sz w:val="24"/>
          <w:szCs w:val="24"/>
        </w:rPr>
        <w:t xml:space="preserve"> 2020)</w:t>
      </w:r>
      <w:r w:rsidRPr="00822A5A">
        <w:rPr>
          <w:rFonts w:cs="Times New Roman"/>
          <w:sz w:val="24"/>
          <w:szCs w:val="24"/>
        </w:rPr>
        <w:t>.</w:t>
      </w:r>
      <w:r>
        <w:rPr>
          <w:b/>
          <w:sz w:val="24"/>
          <w:highlight w:val="yellow"/>
        </w:rPr>
        <w:t xml:space="preserve"> </w:t>
      </w:r>
      <w:r w:rsidRPr="00D33926">
        <w:rPr>
          <w:bCs/>
          <w:sz w:val="24"/>
          <w:highlight w:val="yellow"/>
        </w:rPr>
        <w:t xml:space="preserve">Recent phytochemical analyses further indicate that </w:t>
      </w:r>
      <w:r w:rsidRPr="00D33926">
        <w:rPr>
          <w:bCs/>
          <w:i/>
          <w:sz w:val="24"/>
          <w:highlight w:val="yellow"/>
        </w:rPr>
        <w:t>C. annuum</w:t>
      </w:r>
      <w:r w:rsidRPr="00D33926">
        <w:rPr>
          <w:bCs/>
          <w:sz w:val="24"/>
          <w:highlight w:val="yellow"/>
        </w:rPr>
        <w:t xml:space="preserve"> fruits contain diverse phenolic, </w:t>
      </w:r>
      <w:proofErr w:type="spellStart"/>
      <w:r w:rsidRPr="00D33926">
        <w:rPr>
          <w:bCs/>
          <w:sz w:val="24"/>
          <w:highlight w:val="yellow"/>
        </w:rPr>
        <w:t>capsaicinoid</w:t>
      </w:r>
      <w:proofErr w:type="spellEnd"/>
      <w:r w:rsidRPr="00D33926">
        <w:rPr>
          <w:bCs/>
          <w:sz w:val="24"/>
          <w:highlight w:val="yellow"/>
        </w:rPr>
        <w:t>, and related bioactive constituents whose abundance may differ among genotypes or cultivars (Karaman et al., 2023; Jang et al., 2024).</w:t>
      </w:r>
    </w:p>
    <w:p w14:paraId="79EF4B1E" w14:textId="77777777" w:rsidR="00E54614" w:rsidRPr="00D33926" w:rsidRDefault="00E54614" w:rsidP="00950A2F">
      <w:pPr>
        <w:pStyle w:val="BodyText"/>
        <w:spacing w:after="0"/>
        <w:jc w:val="both"/>
        <w:rPr>
          <w:rFonts w:cs="Times New Roman"/>
          <w:bCs/>
          <w:sz w:val="24"/>
          <w:szCs w:val="24"/>
        </w:rPr>
      </w:pPr>
      <w:r w:rsidRPr="007A0044">
        <w:rPr>
          <w:rFonts w:cs="Times New Roman"/>
          <w:sz w:val="24"/>
          <w:szCs w:val="24"/>
        </w:rPr>
        <w:t xml:space="preserve">The consumption of </w:t>
      </w:r>
      <w:r w:rsidRPr="007A0044">
        <w:rPr>
          <w:rFonts w:cs="Times New Roman"/>
          <w:i/>
          <w:iCs/>
          <w:sz w:val="24"/>
          <w:szCs w:val="24"/>
        </w:rPr>
        <w:t>C. annuum</w:t>
      </w:r>
      <w:r w:rsidRPr="007A0044">
        <w:rPr>
          <w:rFonts w:cs="Times New Roman"/>
          <w:sz w:val="24"/>
          <w:szCs w:val="24"/>
        </w:rPr>
        <w:t xml:space="preserve"> L. contributes to dietary nutrition and may enhance the palatability of meals, thereby improving food intake. The fruit can be consumed either raw or cooked, while the leaves may also be used in soups. Pepper production is influenced by several factors, including soil fertility and adequate nutrient availability, which are important for optimum growth and yield </w:t>
      </w:r>
      <w:r w:rsidR="00174FEE" w:rsidRPr="00822A5A">
        <w:rPr>
          <w:sz w:val="24"/>
          <w:szCs w:val="24"/>
        </w:rPr>
        <w:t>(</w:t>
      </w:r>
      <w:proofErr w:type="spellStart"/>
      <w:r w:rsidR="00174FEE" w:rsidRPr="00822A5A">
        <w:rPr>
          <w:sz w:val="24"/>
          <w:szCs w:val="24"/>
        </w:rPr>
        <w:t>Juroszek</w:t>
      </w:r>
      <w:proofErr w:type="spellEnd"/>
      <w:r w:rsidR="00174FEE" w:rsidRPr="00822A5A">
        <w:rPr>
          <w:sz w:val="24"/>
          <w:szCs w:val="24"/>
        </w:rPr>
        <w:t xml:space="preserve"> &amp; Tsai, 2009)</w:t>
      </w:r>
      <w:r w:rsidRPr="00822A5A">
        <w:rPr>
          <w:rFonts w:cs="Times New Roman"/>
          <w:sz w:val="24"/>
          <w:szCs w:val="24"/>
        </w:rPr>
        <w:t>.</w:t>
      </w:r>
      <w:r>
        <w:rPr>
          <w:b/>
          <w:sz w:val="24"/>
          <w:highlight w:val="yellow"/>
        </w:rPr>
        <w:t xml:space="preserve"> </w:t>
      </w:r>
      <w:r w:rsidRPr="00D33926">
        <w:rPr>
          <w:bCs/>
          <w:sz w:val="24"/>
          <w:highlight w:val="yellow"/>
        </w:rPr>
        <w:t xml:space="preserve">Recent soilless cultivation research likewise shows that </w:t>
      </w:r>
      <w:proofErr w:type="spellStart"/>
      <w:r w:rsidRPr="00D33926">
        <w:rPr>
          <w:bCs/>
          <w:sz w:val="24"/>
          <w:highlight w:val="yellow"/>
        </w:rPr>
        <w:t>fertiliser</w:t>
      </w:r>
      <w:proofErr w:type="spellEnd"/>
      <w:r w:rsidRPr="00D33926">
        <w:rPr>
          <w:bCs/>
          <w:sz w:val="24"/>
          <w:highlight w:val="yellow"/>
        </w:rPr>
        <w:t xml:space="preserve"> source can influence the growth and yield responses of </w:t>
      </w:r>
      <w:r w:rsidRPr="00D33926">
        <w:rPr>
          <w:bCs/>
          <w:i/>
          <w:sz w:val="24"/>
          <w:highlight w:val="yellow"/>
        </w:rPr>
        <w:t>C. annuum</w:t>
      </w:r>
      <w:r w:rsidRPr="00D33926">
        <w:rPr>
          <w:bCs/>
          <w:sz w:val="24"/>
          <w:highlight w:val="yellow"/>
        </w:rPr>
        <w:t xml:space="preserve">, further supporting the agronomic importance of nutrient management in pepper production (Edwige-Gwladys et al., 2026). In Nigerian-grown hot pepper, proximate composition, mineral content, and vitamin C have also been evaluated alongside production factors, reinforcing the value of direct compositional assessment of </w:t>
      </w:r>
      <w:r w:rsidRPr="00D33926">
        <w:rPr>
          <w:bCs/>
          <w:i/>
          <w:sz w:val="24"/>
          <w:highlight w:val="yellow"/>
        </w:rPr>
        <w:t>C. annuum</w:t>
      </w:r>
      <w:r w:rsidRPr="00D33926">
        <w:rPr>
          <w:bCs/>
          <w:sz w:val="24"/>
          <w:highlight w:val="yellow"/>
        </w:rPr>
        <w:t xml:space="preserve"> fruits (Alabi &amp; Ayodele, 2019).</w:t>
      </w:r>
    </w:p>
    <w:p w14:paraId="6C21C8D0" w14:textId="77777777" w:rsidR="007E45CF" w:rsidRPr="00D33926" w:rsidRDefault="00000000">
      <w:pPr>
        <w:pStyle w:val="BodyText"/>
        <w:rPr>
          <w:bCs/>
        </w:rPr>
      </w:pPr>
      <w:r w:rsidRPr="00D33926">
        <w:rPr>
          <w:bCs/>
          <w:sz w:val="24"/>
          <w:highlight w:val="yellow"/>
        </w:rPr>
        <w:t xml:space="preserve">However, the combined assessment of proximate composition, selected mineral elements, vitamins, and anti-nutritional constituents in </w:t>
      </w:r>
      <w:r w:rsidRPr="00D33926">
        <w:rPr>
          <w:bCs/>
          <w:i/>
          <w:sz w:val="24"/>
          <w:highlight w:val="yellow"/>
        </w:rPr>
        <w:t>C. annuum</w:t>
      </w:r>
      <w:r w:rsidRPr="00D33926">
        <w:rPr>
          <w:bCs/>
          <w:sz w:val="24"/>
          <w:highlight w:val="yellow"/>
        </w:rPr>
        <w:t xml:space="preserve"> fruits remains insufficiently documented within the present study context.</w:t>
      </w:r>
    </w:p>
    <w:p w14:paraId="6721CAC5" w14:textId="77777777" w:rsidR="00E54614" w:rsidRDefault="00E54614" w:rsidP="00950A2F">
      <w:pPr>
        <w:pStyle w:val="BodyText"/>
        <w:spacing w:after="0"/>
        <w:jc w:val="both"/>
        <w:rPr>
          <w:rFonts w:cs="Times New Roman"/>
          <w:sz w:val="24"/>
          <w:szCs w:val="24"/>
        </w:rPr>
      </w:pPr>
      <w:r w:rsidRPr="007A0044">
        <w:rPr>
          <w:rFonts w:cs="Times New Roman"/>
          <w:sz w:val="24"/>
          <w:szCs w:val="24"/>
        </w:rPr>
        <w:t xml:space="preserve">Despite the nutritional and potential health benefits associated with </w:t>
      </w:r>
      <w:r w:rsidRPr="007A0044">
        <w:rPr>
          <w:rFonts w:cs="Times New Roman"/>
          <w:i/>
          <w:iCs/>
          <w:sz w:val="24"/>
          <w:szCs w:val="24"/>
        </w:rPr>
        <w:t>C. annuum</w:t>
      </w:r>
      <w:r w:rsidRPr="007A0044">
        <w:rPr>
          <w:rFonts w:cs="Times New Roman"/>
          <w:sz w:val="24"/>
          <w:szCs w:val="24"/>
        </w:rPr>
        <w:t xml:space="preserve"> L., information on its combined nutritional and anti-nutritional composition remains important for assessing its dietary value. Therefore, this study evaluated the proximate composition, selected mineral elements, vitamin </w:t>
      </w:r>
      <w:r w:rsidRPr="007A0044">
        <w:rPr>
          <w:rFonts w:cs="Times New Roman"/>
          <w:sz w:val="24"/>
          <w:szCs w:val="24"/>
        </w:rPr>
        <w:lastRenderedPageBreak/>
        <w:t xml:space="preserve">content, and anti-nutritional constituents of </w:t>
      </w:r>
      <w:r w:rsidRPr="007A0044">
        <w:rPr>
          <w:rFonts w:cs="Times New Roman"/>
          <w:i/>
          <w:iCs/>
          <w:sz w:val="24"/>
          <w:szCs w:val="24"/>
        </w:rPr>
        <w:t>C. annuum</w:t>
      </w:r>
      <w:r w:rsidRPr="007A0044">
        <w:rPr>
          <w:rFonts w:cs="Times New Roman"/>
          <w:sz w:val="24"/>
          <w:szCs w:val="24"/>
        </w:rPr>
        <w:t xml:space="preserve"> L. fruits.</w:t>
      </w:r>
      <w:bookmarkEnd w:id="0"/>
      <w:r w:rsidR="009E08A0" w:rsidRPr="009E08A0">
        <w:rPr>
          <w:bCs/>
          <w:noProof/>
          <w:sz w:val="24"/>
          <w:szCs w:val="24"/>
        </w:rPr>
        <w:t xml:space="preserve"> </w:t>
      </w:r>
      <w:r w:rsidR="009E08A0" w:rsidRPr="0090134E">
        <w:rPr>
          <w:bCs/>
          <w:noProof/>
          <w:sz w:val="24"/>
          <w:szCs w:val="24"/>
        </w:rPr>
        <w:drawing>
          <wp:inline distT="0" distB="0" distL="0" distR="0" wp14:anchorId="77B78903" wp14:editId="5710331F">
            <wp:extent cx="4729480" cy="253492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9480" cy="2534920"/>
                    </a:xfrm>
                    <a:prstGeom prst="rect">
                      <a:avLst/>
                    </a:prstGeom>
                    <a:noFill/>
                    <a:ln>
                      <a:noFill/>
                    </a:ln>
                  </pic:spPr>
                </pic:pic>
              </a:graphicData>
            </a:graphic>
          </wp:inline>
        </w:drawing>
      </w:r>
    </w:p>
    <w:p w14:paraId="166CE779" w14:textId="77777777" w:rsidR="009E08A0" w:rsidRPr="009E08A0" w:rsidRDefault="009E08A0" w:rsidP="00950A2F">
      <w:pPr>
        <w:spacing w:after="0"/>
        <w:rPr>
          <w:rFonts w:cs="Times New Roman"/>
          <w:i/>
          <w:sz w:val="24"/>
          <w:szCs w:val="24"/>
        </w:rPr>
      </w:pPr>
      <w:r w:rsidRPr="007A0044">
        <w:rPr>
          <w:rFonts w:cs="Times New Roman"/>
          <w:i/>
          <w:sz w:val="24"/>
          <w:szCs w:val="24"/>
        </w:rPr>
        <w:t xml:space="preserve">Figure 1. Capsicum annuum L. fruits. </w:t>
      </w:r>
    </w:p>
    <w:p w14:paraId="6AF8C2C1" w14:textId="77777777" w:rsidR="00381D6F" w:rsidRDefault="009E08A0" w:rsidP="00950A2F">
      <w:pPr>
        <w:spacing w:after="0"/>
        <w:jc w:val="both"/>
        <w:rPr>
          <w:rFonts w:cs="Times New Roman"/>
          <w:sz w:val="24"/>
          <w:szCs w:val="24"/>
        </w:rPr>
      </w:pPr>
      <w:r w:rsidRPr="0090134E">
        <w:rPr>
          <w:bCs/>
          <w:noProof/>
          <w:sz w:val="24"/>
          <w:szCs w:val="24"/>
        </w:rPr>
        <w:drawing>
          <wp:inline distT="0" distB="0" distL="0" distR="0" wp14:anchorId="2F5704E0" wp14:editId="3862CCA2">
            <wp:extent cx="4857750" cy="251206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0" cy="2512060"/>
                    </a:xfrm>
                    <a:prstGeom prst="rect">
                      <a:avLst/>
                    </a:prstGeom>
                    <a:noFill/>
                    <a:ln>
                      <a:noFill/>
                    </a:ln>
                  </pic:spPr>
                </pic:pic>
              </a:graphicData>
            </a:graphic>
          </wp:inline>
        </w:drawing>
      </w:r>
    </w:p>
    <w:p w14:paraId="64544FFC" w14:textId="77777777" w:rsidR="009E08A0" w:rsidRDefault="009E08A0" w:rsidP="00950A2F">
      <w:pPr>
        <w:spacing w:after="0"/>
        <w:jc w:val="both"/>
        <w:rPr>
          <w:rFonts w:cs="Times New Roman"/>
          <w:sz w:val="24"/>
          <w:szCs w:val="24"/>
        </w:rPr>
      </w:pPr>
      <w:r w:rsidRPr="007A0044">
        <w:rPr>
          <w:rFonts w:cs="Times New Roman"/>
          <w:i/>
          <w:sz w:val="24"/>
          <w:szCs w:val="24"/>
        </w:rPr>
        <w:t>Figure 2. Powdered Capsicum annuum L. fruits.</w:t>
      </w:r>
    </w:p>
    <w:p w14:paraId="118D69B7" w14:textId="77777777" w:rsidR="009E08A0" w:rsidRPr="007A0044" w:rsidRDefault="009E08A0" w:rsidP="00950A2F">
      <w:pPr>
        <w:spacing w:after="0"/>
        <w:jc w:val="both"/>
        <w:rPr>
          <w:rFonts w:cs="Times New Roman"/>
          <w:sz w:val="24"/>
          <w:szCs w:val="24"/>
        </w:rPr>
      </w:pPr>
    </w:p>
    <w:p w14:paraId="791D4BEC" w14:textId="77777777" w:rsidR="007D4B27" w:rsidRPr="007A0044" w:rsidRDefault="007D4B27" w:rsidP="00950A2F">
      <w:pPr>
        <w:pStyle w:val="Heading1"/>
        <w:spacing w:before="0"/>
        <w:jc w:val="both"/>
        <w:rPr>
          <w:rFonts w:ascii="Times New Roman" w:hAnsi="Times New Roman" w:cs="Times New Roman"/>
          <w:color w:val="auto"/>
          <w:sz w:val="24"/>
          <w:szCs w:val="24"/>
        </w:rPr>
      </w:pPr>
      <w:bookmarkStart w:id="1" w:name="materials-and-methods"/>
      <w:r w:rsidRPr="007A0044">
        <w:rPr>
          <w:rFonts w:ascii="Times New Roman" w:hAnsi="Times New Roman" w:cs="Times New Roman"/>
          <w:color w:val="auto"/>
          <w:sz w:val="24"/>
          <w:szCs w:val="24"/>
        </w:rPr>
        <w:t>2.</w:t>
      </w:r>
      <w:r w:rsidR="00751C0D">
        <w:rPr>
          <w:rFonts w:ascii="Times New Roman" w:hAnsi="Times New Roman" w:cs="Times New Roman"/>
          <w:color w:val="auto"/>
          <w:sz w:val="24"/>
          <w:szCs w:val="24"/>
        </w:rPr>
        <w:t>0</w:t>
      </w:r>
      <w:r w:rsidRPr="007A0044">
        <w:rPr>
          <w:rFonts w:ascii="Times New Roman" w:hAnsi="Times New Roman" w:cs="Times New Roman"/>
          <w:color w:val="auto"/>
          <w:sz w:val="24"/>
          <w:szCs w:val="24"/>
        </w:rPr>
        <w:t xml:space="preserve"> MATERIALS AND METHODS</w:t>
      </w:r>
    </w:p>
    <w:p w14:paraId="73F690A5"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2" w:name="sample-collection-and-identification"/>
      <w:r w:rsidRPr="007A0044">
        <w:rPr>
          <w:rFonts w:ascii="Times New Roman" w:hAnsi="Times New Roman" w:cs="Times New Roman"/>
          <w:color w:val="auto"/>
          <w:sz w:val="24"/>
          <w:szCs w:val="24"/>
        </w:rPr>
        <w:t>2.1 Sample Collection and Identification</w:t>
      </w:r>
    </w:p>
    <w:p w14:paraId="55180A25"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Fresh fruits of </w:t>
      </w:r>
      <w:r w:rsidRPr="007A0044">
        <w:rPr>
          <w:rFonts w:ascii="Times New Roman" w:hAnsi="Times New Roman" w:cs="Times New Roman"/>
          <w:i/>
          <w:iCs/>
        </w:rPr>
        <w:t>Capsicum annuum</w:t>
      </w:r>
      <w:r w:rsidRPr="007A0044">
        <w:rPr>
          <w:rFonts w:ascii="Times New Roman" w:hAnsi="Times New Roman" w:cs="Times New Roman"/>
        </w:rPr>
        <w:t xml:space="preserve"> L. were purchased from a local market in </w:t>
      </w:r>
      <w:proofErr w:type="spellStart"/>
      <w:r w:rsidRPr="007A0044">
        <w:rPr>
          <w:rFonts w:ascii="Times New Roman" w:hAnsi="Times New Roman" w:cs="Times New Roman"/>
        </w:rPr>
        <w:t>Aliero</w:t>
      </w:r>
      <w:proofErr w:type="spellEnd"/>
      <w:r w:rsidRPr="007A0044">
        <w:rPr>
          <w:rFonts w:ascii="Times New Roman" w:hAnsi="Times New Roman" w:cs="Times New Roman"/>
        </w:rPr>
        <w:t xml:space="preserve">, Kebbi State, Nigeria (Figure 1). The samples were identified and authenticated by a botanist in the Department of Plant Sciences and Biotechnology, Kebbi State University of Science and Technology, </w:t>
      </w:r>
      <w:proofErr w:type="spellStart"/>
      <w:r w:rsidRPr="007A0044">
        <w:rPr>
          <w:rFonts w:ascii="Times New Roman" w:hAnsi="Times New Roman" w:cs="Times New Roman"/>
        </w:rPr>
        <w:t>Aliero</w:t>
      </w:r>
      <w:proofErr w:type="spellEnd"/>
      <w:r w:rsidRPr="007A0044">
        <w:rPr>
          <w:rFonts w:ascii="Times New Roman" w:hAnsi="Times New Roman" w:cs="Times New Roman"/>
        </w:rPr>
        <w:t xml:space="preserve">. Taxonomic identification of the fruit was confirmed in the same department under voucher number </w:t>
      </w:r>
      <w:r w:rsidR="00822A5A">
        <w:rPr>
          <w:rFonts w:ascii="Times New Roman" w:hAnsi="Times New Roman" w:cs="Times New Roman"/>
        </w:rPr>
        <w:t>(</w:t>
      </w:r>
      <w:r w:rsidRPr="007A0044">
        <w:rPr>
          <w:rFonts w:ascii="Times New Roman" w:hAnsi="Times New Roman" w:cs="Times New Roman"/>
        </w:rPr>
        <w:t>KSUSTA/PSB/H/VUCHER NO: S. N.</w:t>
      </w:r>
      <w:r w:rsidR="00822A5A">
        <w:rPr>
          <w:rFonts w:ascii="Times New Roman" w:hAnsi="Times New Roman" w:cs="Times New Roman"/>
        </w:rPr>
        <w:t>)</w:t>
      </w:r>
      <w:r>
        <w:rPr>
          <w:rFonts w:ascii="Times New Roman" w:hAnsi="Times New Roman" w:cs="Times New Roman"/>
          <w:highlight w:val="yellow"/>
        </w:rPr>
        <w:t>.</w:t>
      </w:r>
    </w:p>
    <w:p w14:paraId="1649FF31"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3" w:name="sample-preparation"/>
      <w:bookmarkEnd w:id="2"/>
      <w:r w:rsidRPr="007A0044">
        <w:rPr>
          <w:rFonts w:ascii="Times New Roman" w:hAnsi="Times New Roman" w:cs="Times New Roman"/>
          <w:color w:val="auto"/>
          <w:sz w:val="24"/>
          <w:szCs w:val="24"/>
        </w:rPr>
        <w:t>2.2 Sample Preparation</w:t>
      </w:r>
    </w:p>
    <w:p w14:paraId="2FCFB4CC"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The fruit samples were thoroughly washed and thinly sliced before being allowed to dry at room temperature. The dried samples were subsequently ground into powder using a mortar and pestle, as shown in Figure 2. The powdered samples were stored in airtight containers until required for the determination of proximate composition, mineral elements, vitamins, and anti-nutritional constituents.</w:t>
      </w:r>
    </w:p>
    <w:p w14:paraId="4E57C037"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4" w:name="determination-of-proximate-composition"/>
      <w:bookmarkEnd w:id="3"/>
      <w:r w:rsidRPr="007A0044">
        <w:rPr>
          <w:rFonts w:ascii="Times New Roman" w:hAnsi="Times New Roman" w:cs="Times New Roman"/>
          <w:color w:val="auto"/>
          <w:sz w:val="24"/>
          <w:szCs w:val="24"/>
        </w:rPr>
        <w:lastRenderedPageBreak/>
        <w:t>2.3 Determination of Proximate Composition</w:t>
      </w:r>
    </w:p>
    <w:p w14:paraId="1775CA1C"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5" w:name="determination-of-moisture-content"/>
      <w:r w:rsidRPr="007A0044">
        <w:rPr>
          <w:rFonts w:ascii="Times New Roman" w:hAnsi="Times New Roman" w:cs="Times New Roman"/>
          <w:color w:val="auto"/>
          <w:sz w:val="24"/>
          <w:szCs w:val="24"/>
        </w:rPr>
        <w:t>2.3.1 Determination of Moisture Content</w:t>
      </w:r>
    </w:p>
    <w:p w14:paraId="1CD75CA1"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Moisture content was determined using the method described by the Association of Official Analytical Chemists (AOAC, 1990). The percentage moisture content was calculated using the following equation:</w:t>
      </w:r>
    </w:p>
    <w:p w14:paraId="0D0958C5"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Moisture content (%) = [(W₃ − W₁) / (W₂ − W₁)] × 100</w:t>
      </w:r>
    </w:p>
    <w:p w14:paraId="3A9F2D99"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where W₁ is the weight of the empty crucible, W₂ is the weight of the crucible plus sample before drying, and W₃ is the weight of the crucible plus sample after drying in the oven.</w:t>
      </w:r>
    </w:p>
    <w:p w14:paraId="07A50A9F"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6" w:name="determination-of-crude-protein"/>
      <w:bookmarkEnd w:id="5"/>
      <w:r w:rsidRPr="007A0044">
        <w:rPr>
          <w:rFonts w:ascii="Times New Roman" w:hAnsi="Times New Roman" w:cs="Times New Roman"/>
          <w:color w:val="auto"/>
          <w:sz w:val="24"/>
          <w:szCs w:val="24"/>
        </w:rPr>
        <w:t>2.3.2 Determination of Crude Protein</w:t>
      </w:r>
    </w:p>
    <w:p w14:paraId="6195268A"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Crude protein content was determined using the Kjeldahl method described by AOAC (1990). The percentage nitrogen was calculated from the </w:t>
      </w:r>
      <w:proofErr w:type="spellStart"/>
      <w:r w:rsidRPr="007A0044">
        <w:rPr>
          <w:rFonts w:ascii="Times New Roman" w:hAnsi="Times New Roman" w:cs="Times New Roman"/>
        </w:rPr>
        <w:t>titre</w:t>
      </w:r>
      <w:proofErr w:type="spellEnd"/>
      <w:r w:rsidRPr="007A0044">
        <w:rPr>
          <w:rFonts w:ascii="Times New Roman" w:hAnsi="Times New Roman" w:cs="Times New Roman"/>
        </w:rPr>
        <w:t xml:space="preserve"> value, molarity, sample weight, and aliquot volume using the following equation:</w:t>
      </w:r>
    </w:p>
    <w:p w14:paraId="31F45F7D"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Nitrogen = (TV × MA × 0.014 × 50 × 100) / (Weight of sample × Aliquot)</w:t>
      </w:r>
    </w:p>
    <w:p w14:paraId="070012B5"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TV represents the </w:t>
      </w:r>
      <w:proofErr w:type="spellStart"/>
      <w:r w:rsidRPr="007A0044">
        <w:rPr>
          <w:rFonts w:cs="Times New Roman"/>
          <w:sz w:val="24"/>
          <w:szCs w:val="24"/>
        </w:rPr>
        <w:t>titre</w:t>
      </w:r>
      <w:proofErr w:type="spellEnd"/>
      <w:r w:rsidRPr="007A0044">
        <w:rPr>
          <w:rFonts w:cs="Times New Roman"/>
          <w:sz w:val="24"/>
          <w:szCs w:val="24"/>
        </w:rPr>
        <w:t xml:space="preserve"> value and MA represents the molarity of the distillation solution.</w:t>
      </w:r>
    </w:p>
    <w:p w14:paraId="28DA6A7E"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The crude protein content was subsequently calculated using a nitrogen-to-protein conversion factor of 6.25:</w:t>
      </w:r>
    </w:p>
    <w:p w14:paraId="5E343B37"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Crude protein = % Nitrogen × 6.25</w:t>
      </w:r>
    </w:p>
    <w:p w14:paraId="14D085D9"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7" w:name="determination-of-crude-lipid"/>
      <w:bookmarkEnd w:id="6"/>
      <w:r w:rsidRPr="007A0044">
        <w:rPr>
          <w:rFonts w:ascii="Times New Roman" w:hAnsi="Times New Roman" w:cs="Times New Roman"/>
          <w:color w:val="auto"/>
          <w:sz w:val="24"/>
          <w:szCs w:val="24"/>
        </w:rPr>
        <w:t>2.3.3 Determination of Crude Lipid</w:t>
      </w:r>
    </w:p>
    <w:p w14:paraId="1EAB99A5"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Crude lipid content was determined using the Soxhlet extraction method described by AOAC (1990). The percentage crude lipid was calculated as:</w:t>
      </w:r>
    </w:p>
    <w:p w14:paraId="3832112E"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Crude lipid = [(W₂ − W₁) / W₀] × 100</w:t>
      </w:r>
    </w:p>
    <w:p w14:paraId="73C9DB10"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where W₀ is the weight of the sample, W₁ is the weight of the empty receiving vessel, and W₂ is the weight of the receiving vessel plus extracted oil.</w:t>
      </w:r>
    </w:p>
    <w:p w14:paraId="21E5EE59"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8" w:name="determination-of-crude-fibre"/>
      <w:bookmarkEnd w:id="7"/>
      <w:r w:rsidRPr="007A0044">
        <w:rPr>
          <w:rFonts w:ascii="Times New Roman" w:hAnsi="Times New Roman" w:cs="Times New Roman"/>
          <w:color w:val="auto"/>
          <w:sz w:val="24"/>
          <w:szCs w:val="24"/>
        </w:rPr>
        <w:t xml:space="preserve">2.3.4 Determination of Crude </w:t>
      </w:r>
      <w:proofErr w:type="spellStart"/>
      <w:r w:rsidRPr="007A0044">
        <w:rPr>
          <w:rFonts w:ascii="Times New Roman" w:hAnsi="Times New Roman" w:cs="Times New Roman"/>
          <w:color w:val="auto"/>
          <w:sz w:val="24"/>
          <w:szCs w:val="24"/>
        </w:rPr>
        <w:t>Fibre</w:t>
      </w:r>
      <w:proofErr w:type="spellEnd"/>
    </w:p>
    <w:p w14:paraId="0CF597CA"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was determined according to the method described by AOAC (1990). The percentage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was calculated using:</w:t>
      </w:r>
    </w:p>
    <w:p w14:paraId="44CCD07D"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xml:space="preserve">Crude </w:t>
      </w:r>
      <w:proofErr w:type="spellStart"/>
      <w:r w:rsidRPr="007A0044">
        <w:rPr>
          <w:rFonts w:cs="Times New Roman"/>
          <w:b/>
          <w:bCs/>
          <w:sz w:val="24"/>
          <w:szCs w:val="24"/>
        </w:rPr>
        <w:t>fibre</w:t>
      </w:r>
      <w:proofErr w:type="spellEnd"/>
      <w:r w:rsidRPr="007A0044">
        <w:rPr>
          <w:rFonts w:cs="Times New Roman"/>
          <w:b/>
          <w:bCs/>
          <w:sz w:val="24"/>
          <w:szCs w:val="24"/>
        </w:rPr>
        <w:t xml:space="preserve"> (%) = [(W₁ − W₂) / W₀] × 100</w:t>
      </w:r>
    </w:p>
    <w:p w14:paraId="0067166B"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W₁ is the weight of the crucible plus sample after oven drying, W₂ is the weight of the crucible plus residue after </w:t>
      </w:r>
      <w:proofErr w:type="spellStart"/>
      <w:r w:rsidRPr="007A0044">
        <w:rPr>
          <w:rFonts w:cs="Times New Roman"/>
          <w:sz w:val="24"/>
          <w:szCs w:val="24"/>
        </w:rPr>
        <w:t>ashing</w:t>
      </w:r>
      <w:proofErr w:type="spellEnd"/>
      <w:r w:rsidRPr="007A0044">
        <w:rPr>
          <w:rFonts w:cs="Times New Roman"/>
          <w:sz w:val="24"/>
          <w:szCs w:val="24"/>
        </w:rPr>
        <w:t xml:space="preserve"> in a muffle furnace, and W₀ is the weight of the sample.</w:t>
      </w:r>
    </w:p>
    <w:p w14:paraId="0DD3B388"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9" w:name="determination-of-ash-content"/>
      <w:bookmarkEnd w:id="8"/>
      <w:r w:rsidRPr="007A0044">
        <w:rPr>
          <w:rFonts w:ascii="Times New Roman" w:hAnsi="Times New Roman" w:cs="Times New Roman"/>
          <w:color w:val="auto"/>
          <w:sz w:val="24"/>
          <w:szCs w:val="24"/>
        </w:rPr>
        <w:t>2.3.5 Determination of Ash Content</w:t>
      </w:r>
    </w:p>
    <w:p w14:paraId="0D9B25C7"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Ash content was determined using the method described by AOAC (1990). Exactly 2 g of the powdered sample was placed in a previously weighed crucible and ignited in a muffle furnace at 550 °C for 6 h. The crucible was subsequently cooled in a desiccator and weighed at room temperature. Ash content was calculated using:</w:t>
      </w:r>
    </w:p>
    <w:p w14:paraId="1404FC13"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Ash content (%) = [(W₃ − W₁) / (W₂ − W₁)] × 100</w:t>
      </w:r>
    </w:p>
    <w:p w14:paraId="1E471417"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W₁ is the weight of the empty crucible, W₂ is the weight of the crucible plus sample before </w:t>
      </w:r>
      <w:proofErr w:type="spellStart"/>
      <w:r w:rsidRPr="007A0044">
        <w:rPr>
          <w:rFonts w:cs="Times New Roman"/>
          <w:sz w:val="24"/>
          <w:szCs w:val="24"/>
        </w:rPr>
        <w:t>ashing</w:t>
      </w:r>
      <w:proofErr w:type="spellEnd"/>
      <w:r w:rsidRPr="007A0044">
        <w:rPr>
          <w:rFonts w:cs="Times New Roman"/>
          <w:sz w:val="24"/>
          <w:szCs w:val="24"/>
        </w:rPr>
        <w:t xml:space="preserve">, and W₃ is the weight of the crucible plus ash after </w:t>
      </w:r>
      <w:proofErr w:type="spellStart"/>
      <w:r w:rsidRPr="007A0044">
        <w:rPr>
          <w:rFonts w:cs="Times New Roman"/>
          <w:sz w:val="24"/>
          <w:szCs w:val="24"/>
        </w:rPr>
        <w:t>ashing</w:t>
      </w:r>
      <w:proofErr w:type="spellEnd"/>
      <w:r w:rsidRPr="007A0044">
        <w:rPr>
          <w:rFonts w:cs="Times New Roman"/>
          <w:sz w:val="24"/>
          <w:szCs w:val="24"/>
        </w:rPr>
        <w:t>.</w:t>
      </w:r>
    </w:p>
    <w:p w14:paraId="27DA8251"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0" w:name="determination-of-carbohydrate-content"/>
      <w:bookmarkEnd w:id="9"/>
      <w:r w:rsidRPr="007A0044">
        <w:rPr>
          <w:rFonts w:ascii="Times New Roman" w:hAnsi="Times New Roman" w:cs="Times New Roman"/>
          <w:color w:val="auto"/>
          <w:sz w:val="24"/>
          <w:szCs w:val="24"/>
        </w:rPr>
        <w:t>2.3.6 Determination of Carbohydrate Content</w:t>
      </w:r>
    </w:p>
    <w:p w14:paraId="04C61FD1"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Carbohydrate content was determined by difference according to AOAC (1990). It was calculated by subtracting the sum of the percentages of moisture, crude lipid, crude protein,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and ash from 100:</w:t>
      </w:r>
    </w:p>
    <w:p w14:paraId="3FBF45DB"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xml:space="preserve">Carbohydrate (%) = 100 − [Moisture + Crude lipid + Crude protein + Crude </w:t>
      </w:r>
      <w:proofErr w:type="spellStart"/>
      <w:r w:rsidRPr="007A0044">
        <w:rPr>
          <w:rFonts w:cs="Times New Roman"/>
          <w:b/>
          <w:bCs/>
          <w:sz w:val="24"/>
          <w:szCs w:val="24"/>
        </w:rPr>
        <w:t>fibre</w:t>
      </w:r>
      <w:proofErr w:type="spellEnd"/>
      <w:r w:rsidRPr="007A0044">
        <w:rPr>
          <w:rFonts w:cs="Times New Roman"/>
          <w:b/>
          <w:bCs/>
          <w:sz w:val="24"/>
          <w:szCs w:val="24"/>
        </w:rPr>
        <w:t xml:space="preserve"> + Ash]</w:t>
      </w:r>
    </w:p>
    <w:p w14:paraId="27E7AD7D"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11" w:name="Xb5adbd1c581ce29974c9f0d216867857ecb0e80"/>
      <w:bookmarkEnd w:id="4"/>
      <w:bookmarkEnd w:id="10"/>
      <w:r w:rsidRPr="007A0044">
        <w:rPr>
          <w:rFonts w:ascii="Times New Roman" w:hAnsi="Times New Roman" w:cs="Times New Roman"/>
          <w:color w:val="auto"/>
          <w:sz w:val="24"/>
          <w:szCs w:val="24"/>
        </w:rPr>
        <w:lastRenderedPageBreak/>
        <w:t>2.4 Determination of Anti-Nutritional Factors</w:t>
      </w:r>
    </w:p>
    <w:p w14:paraId="7DF76075"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2" w:name="determination-of-oxalate-content"/>
      <w:r w:rsidRPr="007A0044">
        <w:rPr>
          <w:rFonts w:ascii="Times New Roman" w:hAnsi="Times New Roman" w:cs="Times New Roman"/>
          <w:color w:val="auto"/>
          <w:sz w:val="24"/>
          <w:szCs w:val="24"/>
        </w:rPr>
        <w:t>2.4.1 Determination of Oxalate Content</w:t>
      </w:r>
    </w:p>
    <w:p w14:paraId="163C76B8"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Oxalate content was determined using the titrimetric method described by Nuhu et al. (2015). Exactly 1.0 g of the powdered sample was weighed into a conical flask, and 75 mL of 3 N H₂SO₄ was added. The mixture was stirred intermittently using a magnetic stirrer for 1 h and subsequently filtered through Whatman No. 1 filter paper. A 25-mL aliquot of the filtrate was heated to approximately 80–90 °C and titrated against 0.1 N </w:t>
      </w:r>
      <w:proofErr w:type="spellStart"/>
      <w:r w:rsidRPr="007A0044">
        <w:rPr>
          <w:rFonts w:ascii="Times New Roman" w:hAnsi="Times New Roman" w:cs="Times New Roman"/>
        </w:rPr>
        <w:t>KMnO</w:t>
      </w:r>
      <w:proofErr w:type="spellEnd"/>
      <w:r w:rsidRPr="007A0044">
        <w:rPr>
          <w:rFonts w:ascii="Times New Roman" w:hAnsi="Times New Roman" w:cs="Times New Roman"/>
        </w:rPr>
        <w:t xml:space="preserve">₄ solution until a faint pink </w:t>
      </w:r>
      <w:proofErr w:type="spellStart"/>
      <w:r w:rsidRPr="007A0044">
        <w:rPr>
          <w:rFonts w:ascii="Times New Roman" w:hAnsi="Times New Roman" w:cs="Times New Roman"/>
        </w:rPr>
        <w:t>colour</w:t>
      </w:r>
      <w:proofErr w:type="spellEnd"/>
      <w:r w:rsidRPr="007A0044">
        <w:rPr>
          <w:rFonts w:ascii="Times New Roman" w:hAnsi="Times New Roman" w:cs="Times New Roman"/>
        </w:rPr>
        <w:t xml:space="preserve"> persisted for at least 30 s.</w:t>
      </w:r>
    </w:p>
    <w:p w14:paraId="28A34165"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The oxalate content was calculated according to the procedure described by Nuhu </w:t>
      </w:r>
      <w:r w:rsidRPr="00761CA4">
        <w:rPr>
          <w:rFonts w:cs="Times New Roman"/>
          <w:i/>
          <w:sz w:val="24"/>
          <w:szCs w:val="24"/>
        </w:rPr>
        <w:t>et al</w:t>
      </w:r>
      <w:r w:rsidRPr="007A0044">
        <w:rPr>
          <w:rFonts w:cs="Times New Roman"/>
          <w:sz w:val="24"/>
          <w:szCs w:val="24"/>
        </w:rPr>
        <w:t xml:space="preserve">. (2015), using the average </w:t>
      </w:r>
      <w:proofErr w:type="spellStart"/>
      <w:r w:rsidRPr="007A0044">
        <w:rPr>
          <w:rFonts w:cs="Times New Roman"/>
          <w:sz w:val="24"/>
          <w:szCs w:val="24"/>
        </w:rPr>
        <w:t>titre</w:t>
      </w:r>
      <w:proofErr w:type="spellEnd"/>
      <w:r w:rsidRPr="007A0044">
        <w:rPr>
          <w:rFonts w:cs="Times New Roman"/>
          <w:sz w:val="24"/>
          <w:szCs w:val="24"/>
        </w:rPr>
        <w:t xml:space="preserve"> value. One </w:t>
      </w:r>
      <w:proofErr w:type="spellStart"/>
      <w:r w:rsidRPr="007A0044">
        <w:rPr>
          <w:rFonts w:cs="Times New Roman"/>
          <w:sz w:val="24"/>
          <w:szCs w:val="24"/>
        </w:rPr>
        <w:t>millilitre</w:t>
      </w:r>
      <w:proofErr w:type="spellEnd"/>
      <w:r w:rsidRPr="007A0044">
        <w:rPr>
          <w:rFonts w:cs="Times New Roman"/>
          <w:sz w:val="24"/>
          <w:szCs w:val="24"/>
        </w:rPr>
        <w:t xml:space="preserve"> of 0.1 N </w:t>
      </w:r>
      <w:proofErr w:type="spellStart"/>
      <w:r w:rsidRPr="007A0044">
        <w:rPr>
          <w:rFonts w:cs="Times New Roman"/>
          <w:sz w:val="24"/>
          <w:szCs w:val="24"/>
        </w:rPr>
        <w:t>KMnO</w:t>
      </w:r>
      <w:proofErr w:type="spellEnd"/>
      <w:r w:rsidRPr="007A0044">
        <w:rPr>
          <w:rFonts w:cs="Times New Roman"/>
          <w:sz w:val="24"/>
          <w:szCs w:val="24"/>
        </w:rPr>
        <w:t>₄ was reported as equivalent to 0.00450 g of anhydrous oxalic acid.</w:t>
      </w:r>
    </w:p>
    <w:p w14:paraId="1A107D49"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3" w:name="determination-of-phytic-acid-content"/>
      <w:bookmarkEnd w:id="12"/>
      <w:r w:rsidRPr="007A0044">
        <w:rPr>
          <w:rFonts w:ascii="Times New Roman" w:hAnsi="Times New Roman" w:cs="Times New Roman"/>
          <w:color w:val="auto"/>
          <w:sz w:val="24"/>
          <w:szCs w:val="24"/>
        </w:rPr>
        <w:t>2.4.2 Determination of Phytic Acid Content</w:t>
      </w:r>
    </w:p>
    <w:p w14:paraId="05A318D6"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Phytic acid content was determined using the titrimetric method described by Nuhu </w:t>
      </w:r>
      <w:r w:rsidRPr="00761CA4">
        <w:rPr>
          <w:rFonts w:ascii="Times New Roman" w:hAnsi="Times New Roman" w:cs="Times New Roman"/>
          <w:i/>
        </w:rPr>
        <w:t>et al</w:t>
      </w:r>
      <w:r w:rsidRPr="007A0044">
        <w:rPr>
          <w:rFonts w:ascii="Times New Roman" w:hAnsi="Times New Roman" w:cs="Times New Roman"/>
        </w:rPr>
        <w:t xml:space="preserve">. (2015). Exactly 2.0 g of the powdered sample was weighed into a 250-mL beaker and soaked in 100 mL of 2% HCl for 3 h. The extract was filtered through a double layer of hardened filter paper. A 50-mL aliquot of the filtrate was transferred into another 250-mL beaker and diluted with distilled water. Subsequently, 10 mL of 0.3% ammonium thiocyanate solution was added as an indicator. The solution was titrated against standard ferric chloride solution containing 0.00195 g iron per </w:t>
      </w:r>
      <w:proofErr w:type="spellStart"/>
      <w:r w:rsidRPr="007A0044">
        <w:rPr>
          <w:rFonts w:ascii="Times New Roman" w:hAnsi="Times New Roman" w:cs="Times New Roman"/>
        </w:rPr>
        <w:t>millilitre</w:t>
      </w:r>
      <w:proofErr w:type="spellEnd"/>
      <w:r w:rsidRPr="007A0044">
        <w:rPr>
          <w:rFonts w:ascii="Times New Roman" w:hAnsi="Times New Roman" w:cs="Times New Roman"/>
        </w:rPr>
        <w:t>.</w:t>
      </w:r>
    </w:p>
    <w:p w14:paraId="5CFC8FE0"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The titration was carried out in triplicate, and the average </w:t>
      </w:r>
      <w:proofErr w:type="spellStart"/>
      <w:r w:rsidRPr="007A0044">
        <w:rPr>
          <w:rFonts w:cs="Times New Roman"/>
          <w:sz w:val="24"/>
          <w:szCs w:val="24"/>
        </w:rPr>
        <w:t>titre</w:t>
      </w:r>
      <w:proofErr w:type="spellEnd"/>
      <w:r w:rsidRPr="007A0044">
        <w:rPr>
          <w:rFonts w:cs="Times New Roman"/>
          <w:sz w:val="24"/>
          <w:szCs w:val="24"/>
        </w:rPr>
        <w:t xml:space="preserve"> value was used for calculation. Phytic acid content was calculated as:</w:t>
      </w:r>
    </w:p>
    <w:p w14:paraId="60285ED0"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Phytic acid = X × 1.19</w:t>
      </w:r>
    </w:p>
    <w:p w14:paraId="07CA349F"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X is the product of the average </w:t>
      </w:r>
      <w:proofErr w:type="spellStart"/>
      <w:r w:rsidRPr="007A0044">
        <w:rPr>
          <w:rFonts w:cs="Times New Roman"/>
          <w:sz w:val="24"/>
          <w:szCs w:val="24"/>
        </w:rPr>
        <w:t>titre</w:t>
      </w:r>
      <w:proofErr w:type="spellEnd"/>
      <w:r w:rsidRPr="007A0044">
        <w:rPr>
          <w:rFonts w:cs="Times New Roman"/>
          <w:sz w:val="24"/>
          <w:szCs w:val="24"/>
        </w:rPr>
        <w:t xml:space="preserve"> value and the mass of iron per </w:t>
      </w:r>
      <w:proofErr w:type="spellStart"/>
      <w:r w:rsidRPr="007A0044">
        <w:rPr>
          <w:rFonts w:cs="Times New Roman"/>
          <w:sz w:val="24"/>
          <w:szCs w:val="24"/>
        </w:rPr>
        <w:t>millilitre</w:t>
      </w:r>
      <w:proofErr w:type="spellEnd"/>
      <w:r w:rsidRPr="007A0044">
        <w:rPr>
          <w:rFonts w:cs="Times New Roman"/>
          <w:sz w:val="24"/>
          <w:szCs w:val="24"/>
        </w:rPr>
        <w:t xml:space="preserve"> (0.00195 g).</w:t>
      </w:r>
    </w:p>
    <w:p w14:paraId="7351702E"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4" w:name="determination-of-flavonoid-content"/>
      <w:bookmarkEnd w:id="13"/>
      <w:r w:rsidRPr="007A0044">
        <w:rPr>
          <w:rFonts w:ascii="Times New Roman" w:hAnsi="Times New Roman" w:cs="Times New Roman"/>
          <w:color w:val="auto"/>
          <w:sz w:val="24"/>
          <w:szCs w:val="24"/>
        </w:rPr>
        <w:t>2.4.3 Determination of Flavonoid Content</w:t>
      </w:r>
    </w:p>
    <w:p w14:paraId="16498C4D"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Flavonoid content was determined using the ethyl acetate precipitation method described by </w:t>
      </w:r>
      <w:r>
        <w:rPr>
          <w:rFonts w:ascii="Times New Roman" w:hAnsi="Times New Roman" w:cs="Times New Roman"/>
          <w:highlight w:val="yellow"/>
        </w:rPr>
        <w:t xml:space="preserve">Bohm and </w:t>
      </w:r>
      <w:proofErr w:type="spellStart"/>
      <w:r>
        <w:rPr>
          <w:rFonts w:ascii="Times New Roman" w:hAnsi="Times New Roman" w:cs="Times New Roman"/>
          <w:highlight w:val="yellow"/>
        </w:rPr>
        <w:t>Koupai-Abyazani</w:t>
      </w:r>
      <w:proofErr w:type="spellEnd"/>
      <w:r>
        <w:rPr>
          <w:rFonts w:ascii="Times New Roman" w:hAnsi="Times New Roman" w:cs="Times New Roman"/>
        </w:rPr>
        <w:t xml:space="preserve"> (1994). The percentage flavonoid content was calculated from the difference between the weight of the filter paper containing the precipitate and the weight of the empty filter paper relative to the sample weight.</w:t>
      </w:r>
    </w:p>
    <w:p w14:paraId="1E98158E"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 Flavonoid = [(W₂ − W₁) / Weight of sample] × 100</w:t>
      </w:r>
    </w:p>
    <w:p w14:paraId="4B7FA92C"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where W₁ is the weight of the empty filter paper and W₂ is the weight of the filter paper plus precipitated flavonoid.</w:t>
      </w:r>
    </w:p>
    <w:p w14:paraId="7B89ECD9"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15" w:name="vitamin-analysis"/>
      <w:bookmarkEnd w:id="11"/>
      <w:bookmarkEnd w:id="14"/>
      <w:r w:rsidRPr="007A0044">
        <w:rPr>
          <w:rFonts w:ascii="Times New Roman" w:hAnsi="Times New Roman" w:cs="Times New Roman"/>
          <w:color w:val="auto"/>
          <w:sz w:val="24"/>
          <w:szCs w:val="24"/>
        </w:rPr>
        <w:t>2.5 Vitamin Analysis</w:t>
      </w:r>
    </w:p>
    <w:p w14:paraId="7550484D"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vitamin contents of </w:t>
      </w:r>
      <w:r w:rsidRPr="007A0044">
        <w:rPr>
          <w:rFonts w:ascii="Times New Roman" w:hAnsi="Times New Roman" w:cs="Times New Roman"/>
          <w:i/>
          <w:iCs/>
        </w:rPr>
        <w:t>C. annuum</w:t>
      </w:r>
      <w:r w:rsidRPr="007A0044">
        <w:rPr>
          <w:rFonts w:ascii="Times New Roman" w:hAnsi="Times New Roman" w:cs="Times New Roman"/>
        </w:rPr>
        <w:t xml:space="preserve"> L. fruits were determined using standard methods described by </w:t>
      </w:r>
      <w:proofErr w:type="spellStart"/>
      <w:r>
        <w:rPr>
          <w:rFonts w:ascii="Times New Roman" w:hAnsi="Times New Roman" w:cs="Times New Roman"/>
          <w:highlight w:val="yellow"/>
        </w:rPr>
        <w:t>Cemeroğlu</w:t>
      </w:r>
      <w:proofErr w:type="spellEnd"/>
      <w:r>
        <w:rPr>
          <w:rFonts w:ascii="Times New Roman" w:hAnsi="Times New Roman" w:cs="Times New Roman"/>
        </w:rPr>
        <w:t xml:space="preserve"> (2007).</w:t>
      </w:r>
    </w:p>
    <w:p w14:paraId="23F29B66"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6" w:name="determination-of-vitamin-a-content"/>
      <w:r w:rsidRPr="007A0044">
        <w:rPr>
          <w:rFonts w:ascii="Times New Roman" w:hAnsi="Times New Roman" w:cs="Times New Roman"/>
          <w:color w:val="auto"/>
          <w:sz w:val="24"/>
          <w:szCs w:val="24"/>
        </w:rPr>
        <w:t>2.5.1 Determination of Vitamin A Content</w:t>
      </w:r>
    </w:p>
    <w:p w14:paraId="2D406169"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Vitamin A was determined according to the method described by </w:t>
      </w:r>
      <w:proofErr w:type="spellStart"/>
      <w:r>
        <w:rPr>
          <w:rFonts w:ascii="Times New Roman" w:hAnsi="Times New Roman" w:cs="Times New Roman"/>
          <w:highlight w:val="yellow"/>
        </w:rPr>
        <w:t>Cemeroğlu</w:t>
      </w:r>
      <w:proofErr w:type="spellEnd"/>
      <w:r>
        <w:rPr>
          <w:rFonts w:ascii="Times New Roman" w:hAnsi="Times New Roman" w:cs="Times New Roman"/>
        </w:rPr>
        <w:t xml:space="preserve"> (2007). Three clean, dry test tubes were labelled Test, Standard, and Blank. Appropriate quantities of sample, ethanol, standard solution, petroleum ether, and distilled water were added according to the analytical procedure.</w:t>
      </w:r>
    </w:p>
    <w:p w14:paraId="19E5CC51"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The tubes were thoroughly shaken and centrifuged at 3,000 rpm for 5 min. The absorbance of the resulting supernatant was measured at 450 nm against the reagent blank.</w:t>
      </w:r>
    </w:p>
    <w:p w14:paraId="1FDC0ABB"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The concentration of β-carotene was calculated using:</w:t>
      </w:r>
    </w:p>
    <w:p w14:paraId="57947077"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Concentration of β-carotene = (Absorbance of sample × Concentration of standard) / Absorbance of standard</w:t>
      </w:r>
    </w:p>
    <w:p w14:paraId="74AB5879"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7" w:name="determination-of-vitamin-c-content"/>
      <w:bookmarkEnd w:id="16"/>
      <w:r w:rsidRPr="007A0044">
        <w:rPr>
          <w:rFonts w:ascii="Times New Roman" w:hAnsi="Times New Roman" w:cs="Times New Roman"/>
          <w:color w:val="auto"/>
          <w:sz w:val="24"/>
          <w:szCs w:val="24"/>
        </w:rPr>
        <w:lastRenderedPageBreak/>
        <w:t>2.5.2 Determination of Vitamin C Content</w:t>
      </w:r>
    </w:p>
    <w:p w14:paraId="6C6E1297"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Vitamin C content was determined using the method described by </w:t>
      </w:r>
      <w:proofErr w:type="spellStart"/>
      <w:r>
        <w:rPr>
          <w:rFonts w:ascii="Times New Roman" w:hAnsi="Times New Roman" w:cs="Times New Roman"/>
          <w:highlight w:val="yellow"/>
        </w:rPr>
        <w:t>Cemeroğlu</w:t>
      </w:r>
      <w:proofErr w:type="spellEnd"/>
      <w:r>
        <w:rPr>
          <w:rFonts w:ascii="Times New Roman" w:hAnsi="Times New Roman" w:cs="Times New Roman"/>
        </w:rPr>
        <w:t xml:space="preserve"> (2007). The concentration of vitamin C was calculated from the absorbance of the sample relative to that of the standard:</w:t>
      </w:r>
    </w:p>
    <w:p w14:paraId="55CC15C7"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Vitamin C concentration (mmol/L) = (Absorbance of sample × Concentration of standard) / Absorbance of standard</w:t>
      </w:r>
    </w:p>
    <w:p w14:paraId="116C54ED"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18" w:name="determination-of-vitamin-e-content"/>
      <w:bookmarkEnd w:id="17"/>
      <w:r w:rsidRPr="007A0044">
        <w:rPr>
          <w:rFonts w:ascii="Times New Roman" w:hAnsi="Times New Roman" w:cs="Times New Roman"/>
          <w:color w:val="auto"/>
          <w:sz w:val="24"/>
          <w:szCs w:val="24"/>
        </w:rPr>
        <w:t>2.5.3 Determination of Vitamin E Content</w:t>
      </w:r>
    </w:p>
    <w:p w14:paraId="0402D594"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Vitamin E content was determined according to the method described by </w:t>
      </w:r>
      <w:proofErr w:type="spellStart"/>
      <w:r>
        <w:rPr>
          <w:rFonts w:ascii="Times New Roman" w:hAnsi="Times New Roman" w:cs="Times New Roman"/>
          <w:highlight w:val="yellow"/>
        </w:rPr>
        <w:t>Cemeroğlu</w:t>
      </w:r>
      <w:proofErr w:type="spellEnd"/>
      <w:r>
        <w:rPr>
          <w:rFonts w:ascii="Times New Roman" w:hAnsi="Times New Roman" w:cs="Times New Roman"/>
        </w:rPr>
        <w:t xml:space="preserve"> (2007). The concentration was calculated using the relationship between the absorbance of the sample and that of the standard:</w:t>
      </w:r>
    </w:p>
    <w:p w14:paraId="7BC83B32"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Vitamin E concentration = (Absorbance of sample × Concentration of standard) / Absorbance of standard</w:t>
      </w:r>
    </w:p>
    <w:p w14:paraId="4B93E25A" w14:textId="77777777" w:rsidR="007D4B27" w:rsidRPr="007A0044" w:rsidRDefault="007D4B27" w:rsidP="00950A2F">
      <w:pPr>
        <w:pStyle w:val="Heading2"/>
        <w:spacing w:before="0"/>
        <w:jc w:val="both"/>
        <w:rPr>
          <w:rFonts w:ascii="Times New Roman" w:hAnsi="Times New Roman" w:cs="Times New Roman"/>
          <w:color w:val="auto"/>
          <w:sz w:val="24"/>
          <w:szCs w:val="24"/>
        </w:rPr>
      </w:pPr>
      <w:bookmarkStart w:id="19" w:name="mineral-analysis"/>
      <w:bookmarkEnd w:id="15"/>
      <w:bookmarkEnd w:id="18"/>
      <w:r w:rsidRPr="007A0044">
        <w:rPr>
          <w:rFonts w:ascii="Times New Roman" w:hAnsi="Times New Roman" w:cs="Times New Roman"/>
          <w:color w:val="auto"/>
          <w:sz w:val="24"/>
          <w:szCs w:val="24"/>
        </w:rPr>
        <w:t>2.6 Mineral Analysis</w:t>
      </w:r>
    </w:p>
    <w:p w14:paraId="035F73D6"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Mineral analysis was conducted using the method described by AOAC (1990). Five grams of the powdered sample were digested with 10 mL of 5 N concentrated hydrochloric acid. The mixture was heated on a water bath and evaporated almost to dryness. The digest was allowed to cool, filtered into a 100-mL standard volumetric flask, and made up to volume with distilled water.</w:t>
      </w:r>
    </w:p>
    <w:p w14:paraId="7FEB83BF"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Selected mineral elements were subsequently determined using an Atomic Absorption Spectrophotometer (AAS) following acid digestion of the samples.</w:t>
      </w:r>
    </w:p>
    <w:p w14:paraId="092A40A2"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20" w:name="determination-of-magnesium-content"/>
      <w:r w:rsidRPr="007A0044">
        <w:rPr>
          <w:rFonts w:ascii="Times New Roman" w:hAnsi="Times New Roman" w:cs="Times New Roman"/>
          <w:color w:val="auto"/>
          <w:sz w:val="24"/>
          <w:szCs w:val="24"/>
        </w:rPr>
        <w:t>2.6.1 Determination of Magnesium Content</w:t>
      </w:r>
    </w:p>
    <w:p w14:paraId="34FE3F46"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Magnesium content was determined by complexometric titration using EDTA according to AOAC (1990). The concentration of mag</w:t>
      </w:r>
      <w:r w:rsidR="00C85E75">
        <w:rPr>
          <w:rFonts w:ascii="Times New Roman" w:hAnsi="Times New Roman" w:cs="Times New Roman"/>
        </w:rPr>
        <w:t xml:space="preserve">nesium was calculated from the </w:t>
      </w:r>
      <w:proofErr w:type="spellStart"/>
      <w:r w:rsidR="00C85E75">
        <w:rPr>
          <w:rFonts w:ascii="Times New Roman" w:hAnsi="Times New Roman" w:cs="Times New Roman"/>
        </w:rPr>
        <w:t>t</w:t>
      </w:r>
      <w:r w:rsidRPr="007A0044">
        <w:rPr>
          <w:rFonts w:ascii="Times New Roman" w:hAnsi="Times New Roman" w:cs="Times New Roman"/>
        </w:rPr>
        <w:t>itre</w:t>
      </w:r>
      <w:proofErr w:type="spellEnd"/>
      <w:r w:rsidRPr="007A0044">
        <w:rPr>
          <w:rFonts w:ascii="Times New Roman" w:hAnsi="Times New Roman" w:cs="Times New Roman"/>
        </w:rPr>
        <w:t xml:space="preserve"> value obtained:</w:t>
      </w:r>
    </w:p>
    <w:p w14:paraId="18CE31A8"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Concentration (mg/100 mL) = (TV × NE × AM × DF) / (WD × AT)</w:t>
      </w:r>
    </w:p>
    <w:p w14:paraId="3953A99D"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TV is the </w:t>
      </w:r>
      <w:proofErr w:type="spellStart"/>
      <w:r w:rsidRPr="007A0044">
        <w:rPr>
          <w:rFonts w:cs="Times New Roman"/>
          <w:sz w:val="24"/>
          <w:szCs w:val="24"/>
        </w:rPr>
        <w:t>titre</w:t>
      </w:r>
      <w:proofErr w:type="spellEnd"/>
      <w:r w:rsidRPr="007A0044">
        <w:rPr>
          <w:rFonts w:cs="Times New Roman"/>
          <w:sz w:val="24"/>
          <w:szCs w:val="24"/>
        </w:rPr>
        <w:t xml:space="preserve"> value, NE is the normality of EDTA, AM is the atomic mass of magnesium, DF is the dilution factor, WD is the weight of the digested sample, and AT is the aliquot volume used for titration.</w:t>
      </w:r>
    </w:p>
    <w:p w14:paraId="599EAC9F"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21" w:name="determination-of-calcium-content"/>
      <w:bookmarkEnd w:id="20"/>
      <w:r w:rsidRPr="007A0044">
        <w:rPr>
          <w:rFonts w:ascii="Times New Roman" w:hAnsi="Times New Roman" w:cs="Times New Roman"/>
          <w:color w:val="auto"/>
          <w:sz w:val="24"/>
          <w:szCs w:val="24"/>
        </w:rPr>
        <w:t>2.6.2 Determination of Calcium Content</w:t>
      </w:r>
    </w:p>
    <w:p w14:paraId="37513FA1"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Calcium content was determined by complexometric titration using EDTA according to AOAC (1990). The concentration was calculated using:</w:t>
      </w:r>
    </w:p>
    <w:p w14:paraId="4302E498" w14:textId="77777777" w:rsidR="007D4B27" w:rsidRPr="007A0044" w:rsidRDefault="007D4B27" w:rsidP="00950A2F">
      <w:pPr>
        <w:pStyle w:val="BodyText"/>
        <w:spacing w:after="0"/>
        <w:jc w:val="both"/>
        <w:rPr>
          <w:rFonts w:cs="Times New Roman"/>
          <w:sz w:val="24"/>
          <w:szCs w:val="24"/>
        </w:rPr>
      </w:pPr>
      <w:r w:rsidRPr="007A0044">
        <w:rPr>
          <w:rFonts w:cs="Times New Roman"/>
          <w:b/>
          <w:bCs/>
          <w:sz w:val="24"/>
          <w:szCs w:val="24"/>
        </w:rPr>
        <w:t>Concentration (mg/100 mL) = (TV × NE × AM × DF) / (WD × AT)</w:t>
      </w:r>
    </w:p>
    <w:p w14:paraId="610884A4"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where TV is the </w:t>
      </w:r>
      <w:proofErr w:type="spellStart"/>
      <w:r w:rsidRPr="007A0044">
        <w:rPr>
          <w:rFonts w:cs="Times New Roman"/>
          <w:sz w:val="24"/>
          <w:szCs w:val="24"/>
        </w:rPr>
        <w:t>titre</w:t>
      </w:r>
      <w:proofErr w:type="spellEnd"/>
      <w:r w:rsidRPr="007A0044">
        <w:rPr>
          <w:rFonts w:cs="Times New Roman"/>
          <w:sz w:val="24"/>
          <w:szCs w:val="24"/>
        </w:rPr>
        <w:t xml:space="preserve"> value, NE is the normality of EDTA, AM is the atomic mass of calcium, DF is the dilution factor, WD is the weight of the digested sample, and AT is the aliquot volume used for titration.</w:t>
      </w:r>
    </w:p>
    <w:p w14:paraId="1ED57739" w14:textId="77777777" w:rsidR="007D4B27" w:rsidRPr="007A0044" w:rsidRDefault="007D4B27" w:rsidP="00950A2F">
      <w:pPr>
        <w:pStyle w:val="Heading3"/>
        <w:spacing w:before="0"/>
        <w:jc w:val="both"/>
        <w:rPr>
          <w:rFonts w:ascii="Times New Roman" w:hAnsi="Times New Roman" w:cs="Times New Roman"/>
          <w:color w:val="auto"/>
          <w:sz w:val="24"/>
          <w:szCs w:val="24"/>
        </w:rPr>
      </w:pPr>
      <w:bookmarkStart w:id="22" w:name="determination-of-zinc-and-manganese"/>
      <w:bookmarkEnd w:id="21"/>
      <w:r w:rsidRPr="007A0044">
        <w:rPr>
          <w:rFonts w:ascii="Times New Roman" w:hAnsi="Times New Roman" w:cs="Times New Roman"/>
          <w:color w:val="auto"/>
          <w:sz w:val="24"/>
          <w:szCs w:val="24"/>
        </w:rPr>
        <w:t>2.6.3 Determination of Zinc and Manganese</w:t>
      </w:r>
    </w:p>
    <w:p w14:paraId="7E4B91E8" w14:textId="77777777" w:rsidR="007D4B27" w:rsidRPr="007A0044" w:rsidRDefault="007D4B27"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digested </w:t>
      </w:r>
      <w:r w:rsidRPr="007A0044">
        <w:rPr>
          <w:rFonts w:ascii="Times New Roman" w:hAnsi="Times New Roman" w:cs="Times New Roman"/>
          <w:i/>
          <w:iCs/>
        </w:rPr>
        <w:t>C. annuum</w:t>
      </w:r>
      <w:r w:rsidRPr="007A0044">
        <w:rPr>
          <w:rFonts w:ascii="Times New Roman" w:hAnsi="Times New Roman" w:cs="Times New Roman"/>
        </w:rPr>
        <w:t xml:space="preserve"> L. samples were used for the determination of zinc (Zn) and manganese (Mn) using Atomic Absorption Spectrophotometry as described by </w:t>
      </w:r>
      <w:r>
        <w:rPr>
          <w:rFonts w:ascii="Times New Roman" w:hAnsi="Times New Roman" w:cs="Times New Roman"/>
          <w:highlight w:val="yellow"/>
        </w:rPr>
        <w:t>Paul</w:t>
      </w:r>
      <w:r>
        <w:rPr>
          <w:rFonts w:ascii="Times New Roman" w:hAnsi="Times New Roman" w:cs="Times New Roman"/>
        </w:rPr>
        <w:t xml:space="preserve"> </w:t>
      </w:r>
      <w:r w:rsidRPr="00761CA4">
        <w:rPr>
          <w:rFonts w:ascii="Times New Roman" w:hAnsi="Times New Roman" w:cs="Times New Roman"/>
          <w:i/>
        </w:rPr>
        <w:t>et al</w:t>
      </w:r>
      <w:r w:rsidRPr="007A0044">
        <w:rPr>
          <w:rFonts w:ascii="Times New Roman" w:hAnsi="Times New Roman" w:cs="Times New Roman"/>
        </w:rPr>
        <w:t>. (2014).</w:t>
      </w:r>
    </w:p>
    <w:p w14:paraId="34296712" w14:textId="77777777" w:rsidR="007D4B27" w:rsidRPr="007A0044" w:rsidRDefault="007D4B27" w:rsidP="00950A2F">
      <w:pPr>
        <w:pStyle w:val="BodyText"/>
        <w:spacing w:after="0"/>
        <w:jc w:val="both"/>
        <w:rPr>
          <w:rFonts w:cs="Times New Roman"/>
          <w:sz w:val="24"/>
          <w:szCs w:val="24"/>
        </w:rPr>
      </w:pPr>
      <w:r w:rsidRPr="007A0044">
        <w:rPr>
          <w:rFonts w:cs="Times New Roman"/>
          <w:sz w:val="24"/>
          <w:szCs w:val="24"/>
        </w:rPr>
        <w:t xml:space="preserve">Atomic Absorption Spectrophotometry determines individual elements based on their characteristic absorption wavelengths. During analysis, the instrument directs light of a specific wavelength through the </w:t>
      </w:r>
      <w:proofErr w:type="spellStart"/>
      <w:r>
        <w:rPr>
          <w:rFonts w:cs="Times New Roman"/>
          <w:sz w:val="24"/>
          <w:szCs w:val="24"/>
          <w:highlight w:val="yellow"/>
        </w:rPr>
        <w:t>atomised</w:t>
      </w:r>
      <w:proofErr w:type="spellEnd"/>
      <w:r>
        <w:rPr>
          <w:rFonts w:cs="Times New Roman"/>
          <w:sz w:val="24"/>
          <w:szCs w:val="24"/>
        </w:rPr>
        <w:t xml:space="preserve"> sample, and the amount of light absorbed is measured by the detector. The absorbance is proportional to the concentration of the corresponding element in the sample.</w:t>
      </w:r>
    </w:p>
    <w:p w14:paraId="3363E5B2" w14:textId="77777777" w:rsidR="00B04EBD" w:rsidRPr="007A0044" w:rsidRDefault="00B04EBD" w:rsidP="00950A2F">
      <w:pPr>
        <w:pStyle w:val="Heading1"/>
        <w:spacing w:before="0"/>
        <w:jc w:val="both"/>
        <w:rPr>
          <w:rFonts w:ascii="Times New Roman" w:hAnsi="Times New Roman" w:cs="Times New Roman"/>
          <w:color w:val="auto"/>
          <w:sz w:val="24"/>
          <w:szCs w:val="24"/>
        </w:rPr>
      </w:pPr>
      <w:bookmarkStart w:id="23" w:name="results"/>
      <w:bookmarkEnd w:id="1"/>
      <w:bookmarkEnd w:id="19"/>
      <w:bookmarkEnd w:id="22"/>
      <w:r w:rsidRPr="007A0044">
        <w:rPr>
          <w:rFonts w:ascii="Times New Roman" w:hAnsi="Times New Roman" w:cs="Times New Roman"/>
          <w:color w:val="auto"/>
          <w:sz w:val="24"/>
          <w:szCs w:val="24"/>
        </w:rPr>
        <w:lastRenderedPageBreak/>
        <w:t>3.</w:t>
      </w:r>
      <w:r w:rsidR="00751C0D">
        <w:rPr>
          <w:rFonts w:ascii="Times New Roman" w:hAnsi="Times New Roman" w:cs="Times New Roman"/>
          <w:color w:val="auto"/>
          <w:sz w:val="24"/>
          <w:szCs w:val="24"/>
        </w:rPr>
        <w:t>0</w:t>
      </w:r>
      <w:r w:rsidRPr="007A0044">
        <w:rPr>
          <w:rFonts w:ascii="Times New Roman" w:hAnsi="Times New Roman" w:cs="Times New Roman"/>
          <w:color w:val="auto"/>
          <w:sz w:val="24"/>
          <w:szCs w:val="24"/>
        </w:rPr>
        <w:t xml:space="preserve"> RESULTS</w:t>
      </w:r>
    </w:p>
    <w:p w14:paraId="1A6FB46F"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4" w:name="X2103dc2071d35dd54df69ab9839c3d61f91718d"/>
      <w:r w:rsidRPr="007A0044">
        <w:rPr>
          <w:rFonts w:ascii="Times New Roman" w:hAnsi="Times New Roman" w:cs="Times New Roman"/>
          <w:color w:val="auto"/>
          <w:sz w:val="24"/>
          <w:szCs w:val="24"/>
        </w:rPr>
        <w:t xml:space="preserve">3.1 Proximate Composition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w:t>
      </w:r>
    </w:p>
    <w:p w14:paraId="4A69C6D6" w14:textId="77777777"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proximate composition of </w:t>
      </w:r>
      <w:r w:rsidRPr="007A0044">
        <w:rPr>
          <w:rFonts w:ascii="Times New Roman" w:hAnsi="Times New Roman" w:cs="Times New Roman"/>
          <w:i/>
          <w:iCs/>
        </w:rPr>
        <w:t>Capsicum annuum</w:t>
      </w:r>
      <w:r w:rsidRPr="007A0044">
        <w:rPr>
          <w:rFonts w:ascii="Times New Roman" w:hAnsi="Times New Roman" w:cs="Times New Roman"/>
        </w:rPr>
        <w:t xml:space="preserve"> L. fruits is presented in Table </w:t>
      </w:r>
      <w:r w:rsidR="00F9789E">
        <w:rPr>
          <w:rFonts w:ascii="Times New Roman" w:hAnsi="Times New Roman" w:cs="Times New Roman"/>
        </w:rPr>
        <w:t>1</w:t>
      </w:r>
      <w:r w:rsidRPr="007A0044">
        <w:rPr>
          <w:rFonts w:ascii="Times New Roman" w:hAnsi="Times New Roman" w:cs="Times New Roman"/>
        </w:rPr>
        <w:t xml:space="preserve">. The fruits contained measurable amounts of moisture, ash,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crude fat, crude protein, and carbohydrate. Moisture had the highest proportion (36.00 ± 1.00%), followed by crude </w:t>
      </w:r>
      <w:proofErr w:type="spellStart"/>
      <w:r w:rsidRPr="007A0044">
        <w:rPr>
          <w:rFonts w:ascii="Times New Roman" w:hAnsi="Times New Roman" w:cs="Times New Roman"/>
        </w:rPr>
        <w:t>fibre</w:t>
      </w:r>
      <w:proofErr w:type="spellEnd"/>
      <w:r w:rsidRPr="007A0044">
        <w:rPr>
          <w:rFonts w:ascii="Times New Roman" w:hAnsi="Times New Roman" w:cs="Times New Roman"/>
        </w:rPr>
        <w:t xml:space="preserve"> (24.00 ± 1.00%), carbohydrate (15.03 ± 2.84%), crude protein (12.96 ± 1.38%), crude fat (6.67 ± 1.44%), and ash (5.17 ± 0.29%).</w:t>
      </w:r>
    </w:p>
    <w:p w14:paraId="56FDE8A4" w14:textId="77777777"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1</w:t>
      </w:r>
      <w:r w:rsidRPr="007A0044">
        <w:rPr>
          <w:rFonts w:cs="Times New Roman"/>
          <w:b/>
          <w:bCs/>
          <w:sz w:val="24"/>
          <w:szCs w:val="24"/>
        </w:rPr>
        <w:t xml:space="preserve">. Proximate composition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543"/>
        <w:gridCol w:w="1876"/>
      </w:tblGrid>
      <w:tr w:rsidR="007A0044" w:rsidRPr="007A0044" w14:paraId="43D8DC44"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65D2C0CE"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Parameter</w:t>
            </w:r>
          </w:p>
        </w:tc>
        <w:tc>
          <w:tcPr>
            <w:tcW w:w="0" w:type="auto"/>
          </w:tcPr>
          <w:p w14:paraId="613B87E2"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w:t>
            </w:r>
          </w:p>
        </w:tc>
      </w:tr>
      <w:tr w:rsidR="007A0044" w:rsidRPr="007A0044" w14:paraId="551A36EB" w14:textId="77777777" w:rsidTr="007A5219">
        <w:tc>
          <w:tcPr>
            <w:tcW w:w="0" w:type="auto"/>
          </w:tcPr>
          <w:p w14:paraId="7186FD82"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Moisture</w:t>
            </w:r>
          </w:p>
        </w:tc>
        <w:tc>
          <w:tcPr>
            <w:tcW w:w="0" w:type="auto"/>
          </w:tcPr>
          <w:p w14:paraId="62B85824"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36.00 ± 1.00</w:t>
            </w:r>
          </w:p>
        </w:tc>
      </w:tr>
      <w:tr w:rsidR="007A0044" w:rsidRPr="007A0044" w14:paraId="4248E631" w14:textId="77777777" w:rsidTr="007A5219">
        <w:tc>
          <w:tcPr>
            <w:tcW w:w="0" w:type="auto"/>
          </w:tcPr>
          <w:p w14:paraId="69B9A70A"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Ash</w:t>
            </w:r>
          </w:p>
        </w:tc>
        <w:tc>
          <w:tcPr>
            <w:tcW w:w="0" w:type="auto"/>
          </w:tcPr>
          <w:p w14:paraId="124A2A63"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5.17 ± 0.29</w:t>
            </w:r>
          </w:p>
        </w:tc>
      </w:tr>
      <w:tr w:rsidR="007A0044" w:rsidRPr="007A0044" w14:paraId="14185533" w14:textId="77777777" w:rsidTr="007A5219">
        <w:tc>
          <w:tcPr>
            <w:tcW w:w="0" w:type="auto"/>
          </w:tcPr>
          <w:p w14:paraId="01B3B18F"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Crude fibre</w:t>
            </w:r>
          </w:p>
        </w:tc>
        <w:tc>
          <w:tcPr>
            <w:tcW w:w="0" w:type="auto"/>
          </w:tcPr>
          <w:p w14:paraId="65AF6090"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24.00 ± 1.00</w:t>
            </w:r>
          </w:p>
        </w:tc>
      </w:tr>
      <w:tr w:rsidR="007A0044" w:rsidRPr="007A0044" w14:paraId="6A50A9DA" w14:textId="77777777" w:rsidTr="007A5219">
        <w:tc>
          <w:tcPr>
            <w:tcW w:w="0" w:type="auto"/>
          </w:tcPr>
          <w:p w14:paraId="04894AB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Crude fat</w:t>
            </w:r>
          </w:p>
        </w:tc>
        <w:tc>
          <w:tcPr>
            <w:tcW w:w="0" w:type="auto"/>
          </w:tcPr>
          <w:p w14:paraId="22030E84"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6.67 ± 1.44</w:t>
            </w:r>
          </w:p>
        </w:tc>
      </w:tr>
      <w:tr w:rsidR="007A0044" w:rsidRPr="007A0044" w14:paraId="143624DA" w14:textId="77777777" w:rsidTr="007A5219">
        <w:tc>
          <w:tcPr>
            <w:tcW w:w="0" w:type="auto"/>
          </w:tcPr>
          <w:p w14:paraId="33911079"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Crude protein</w:t>
            </w:r>
          </w:p>
        </w:tc>
        <w:tc>
          <w:tcPr>
            <w:tcW w:w="0" w:type="auto"/>
          </w:tcPr>
          <w:p w14:paraId="5F31CA98"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12.96 ± 1.38</w:t>
            </w:r>
          </w:p>
        </w:tc>
      </w:tr>
      <w:tr w:rsidR="007A0044" w:rsidRPr="007A0044" w14:paraId="766D4E56" w14:textId="77777777" w:rsidTr="007A5219">
        <w:tc>
          <w:tcPr>
            <w:tcW w:w="0" w:type="auto"/>
          </w:tcPr>
          <w:p w14:paraId="7C308DCB"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Carbohydrate</w:t>
            </w:r>
          </w:p>
        </w:tc>
        <w:tc>
          <w:tcPr>
            <w:tcW w:w="0" w:type="auto"/>
          </w:tcPr>
          <w:p w14:paraId="6DBC9356"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15.03 ± 2.84</w:t>
            </w:r>
          </w:p>
        </w:tc>
      </w:tr>
    </w:tbl>
    <w:p w14:paraId="5A63426F"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p w14:paraId="2CF88CA5"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5" w:name="X63917f9f4ea7c8b6047e0d2d2f8c70ca03b45a4"/>
      <w:bookmarkEnd w:id="24"/>
      <w:r w:rsidRPr="007A0044">
        <w:rPr>
          <w:rFonts w:ascii="Times New Roman" w:hAnsi="Times New Roman" w:cs="Times New Roman"/>
          <w:color w:val="auto"/>
          <w:sz w:val="24"/>
          <w:szCs w:val="24"/>
        </w:rPr>
        <w:t xml:space="preserve">3.2 Mineral Element Composition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w:t>
      </w:r>
    </w:p>
    <w:p w14:paraId="56385422" w14:textId="77777777"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selected mineral element composition of </w:t>
      </w:r>
      <w:r w:rsidRPr="007A0044">
        <w:rPr>
          <w:rFonts w:ascii="Times New Roman" w:hAnsi="Times New Roman" w:cs="Times New Roman"/>
          <w:i/>
          <w:iCs/>
        </w:rPr>
        <w:t>Capsicum annuum</w:t>
      </w:r>
      <w:r w:rsidRPr="007A0044">
        <w:rPr>
          <w:rFonts w:ascii="Times New Roman" w:hAnsi="Times New Roman" w:cs="Times New Roman"/>
        </w:rPr>
        <w:t xml:space="preserve"> L. fruits is presented in Table </w:t>
      </w:r>
      <w:r w:rsidR="00F9789E">
        <w:rPr>
          <w:rFonts w:ascii="Times New Roman" w:hAnsi="Times New Roman" w:cs="Times New Roman"/>
        </w:rPr>
        <w:t>2</w:t>
      </w:r>
      <w:r w:rsidRPr="007A0044">
        <w:rPr>
          <w:rFonts w:ascii="Times New Roman" w:hAnsi="Times New Roman" w:cs="Times New Roman"/>
        </w:rPr>
        <w:t xml:space="preserve">. Among the minerals </w:t>
      </w:r>
      <w:proofErr w:type="spellStart"/>
      <w:r w:rsidRPr="007A0044">
        <w:rPr>
          <w:rFonts w:ascii="Times New Roman" w:hAnsi="Times New Roman" w:cs="Times New Roman"/>
        </w:rPr>
        <w:t>analysed</w:t>
      </w:r>
      <w:proofErr w:type="spellEnd"/>
      <w:r w:rsidRPr="007A0044">
        <w:rPr>
          <w:rFonts w:ascii="Times New Roman" w:hAnsi="Times New Roman" w:cs="Times New Roman"/>
        </w:rPr>
        <w:t>, manganese had the highest concentration (51.00 ± 0.18 ppm), followed by magnesium (15.27 ± 0.15 ppm), zinc (14.93 ± 0.12 ppm), and calcium (4.23 ± 0.15 ppm).</w:t>
      </w:r>
    </w:p>
    <w:p w14:paraId="4A006D0D" w14:textId="77777777"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2</w:t>
      </w:r>
      <w:r w:rsidRPr="007A0044">
        <w:rPr>
          <w:rFonts w:cs="Times New Roman"/>
          <w:b/>
          <w:bCs/>
          <w:sz w:val="24"/>
          <w:szCs w:val="24"/>
        </w:rPr>
        <w:t xml:space="preserve">. Selected mineral element composition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903"/>
        <w:gridCol w:w="2103"/>
      </w:tblGrid>
      <w:tr w:rsidR="007A0044" w:rsidRPr="007A0044" w14:paraId="488A99D2"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0D64574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Mineral element</w:t>
            </w:r>
          </w:p>
        </w:tc>
        <w:tc>
          <w:tcPr>
            <w:tcW w:w="0" w:type="auto"/>
          </w:tcPr>
          <w:p w14:paraId="5D740FAF"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(ppm)</w:t>
            </w:r>
          </w:p>
        </w:tc>
      </w:tr>
      <w:tr w:rsidR="007A0044" w:rsidRPr="007A0044" w14:paraId="1177D031" w14:textId="77777777" w:rsidTr="007A5219">
        <w:tc>
          <w:tcPr>
            <w:tcW w:w="0" w:type="auto"/>
          </w:tcPr>
          <w:p w14:paraId="083BE0B0"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Magnesium (Mg)</w:t>
            </w:r>
          </w:p>
        </w:tc>
        <w:tc>
          <w:tcPr>
            <w:tcW w:w="0" w:type="auto"/>
          </w:tcPr>
          <w:p w14:paraId="7C2779C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15.27 ± 0.15</w:t>
            </w:r>
          </w:p>
        </w:tc>
      </w:tr>
      <w:tr w:rsidR="007A0044" w:rsidRPr="007A0044" w14:paraId="0FE71A7F" w14:textId="77777777" w:rsidTr="007A5219">
        <w:tc>
          <w:tcPr>
            <w:tcW w:w="0" w:type="auto"/>
          </w:tcPr>
          <w:p w14:paraId="3C7A95E2"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Calcium (Ca)</w:t>
            </w:r>
          </w:p>
        </w:tc>
        <w:tc>
          <w:tcPr>
            <w:tcW w:w="0" w:type="auto"/>
          </w:tcPr>
          <w:p w14:paraId="45D4CDC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4.23 ± 0.15</w:t>
            </w:r>
          </w:p>
        </w:tc>
      </w:tr>
      <w:tr w:rsidR="007A0044" w:rsidRPr="007A0044" w14:paraId="19650879" w14:textId="77777777" w:rsidTr="007A5219">
        <w:tc>
          <w:tcPr>
            <w:tcW w:w="0" w:type="auto"/>
          </w:tcPr>
          <w:p w14:paraId="2FF02D64"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Manganese (Mn)</w:t>
            </w:r>
          </w:p>
        </w:tc>
        <w:tc>
          <w:tcPr>
            <w:tcW w:w="0" w:type="auto"/>
          </w:tcPr>
          <w:p w14:paraId="2C0A1219"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51.00 ± 0.18</w:t>
            </w:r>
          </w:p>
        </w:tc>
      </w:tr>
      <w:tr w:rsidR="007A0044" w:rsidRPr="007A0044" w14:paraId="24B8B2A3" w14:textId="77777777" w:rsidTr="007A5219">
        <w:tc>
          <w:tcPr>
            <w:tcW w:w="0" w:type="auto"/>
          </w:tcPr>
          <w:p w14:paraId="5402D70F"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Zinc (Zn)</w:t>
            </w:r>
          </w:p>
        </w:tc>
        <w:tc>
          <w:tcPr>
            <w:tcW w:w="0" w:type="auto"/>
          </w:tcPr>
          <w:p w14:paraId="0C0130C5"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14.93 ± 0.12</w:t>
            </w:r>
          </w:p>
        </w:tc>
      </w:tr>
    </w:tbl>
    <w:p w14:paraId="5CA9CC1D"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p w14:paraId="79085783"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6" w:name="Xee1e6cabad288413646d7fd92446be6471a8abb"/>
      <w:bookmarkEnd w:id="25"/>
      <w:r w:rsidRPr="007A0044">
        <w:rPr>
          <w:rFonts w:ascii="Times New Roman" w:hAnsi="Times New Roman" w:cs="Times New Roman"/>
          <w:color w:val="auto"/>
          <w:sz w:val="24"/>
          <w:szCs w:val="24"/>
        </w:rPr>
        <w:t xml:space="preserve">3.3 Vitamin Composition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 Fruits</w:t>
      </w:r>
    </w:p>
    <w:p w14:paraId="50123AC5" w14:textId="77777777"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vitamin composition of </w:t>
      </w:r>
      <w:r w:rsidRPr="007A0044">
        <w:rPr>
          <w:rFonts w:ascii="Times New Roman" w:hAnsi="Times New Roman" w:cs="Times New Roman"/>
          <w:i/>
          <w:iCs/>
        </w:rPr>
        <w:t>Capsicum annuum</w:t>
      </w:r>
      <w:r w:rsidRPr="007A0044">
        <w:rPr>
          <w:rFonts w:ascii="Times New Roman" w:hAnsi="Times New Roman" w:cs="Times New Roman"/>
        </w:rPr>
        <w:t xml:space="preserve"> L. fruits is presented in Table </w:t>
      </w:r>
      <w:r w:rsidR="00F9789E">
        <w:rPr>
          <w:rFonts w:ascii="Times New Roman" w:hAnsi="Times New Roman" w:cs="Times New Roman"/>
        </w:rPr>
        <w:t>3</w:t>
      </w:r>
      <w:r w:rsidRPr="007A0044">
        <w:rPr>
          <w:rFonts w:ascii="Times New Roman" w:hAnsi="Times New Roman" w:cs="Times New Roman"/>
        </w:rPr>
        <w:t>. Vitamin C had the highest concentration (22.89 ± 0.52 mg/100 g), followed by vitamin A (20.91 ± 0.35 mg/100 g) and vitamin E (11.60 ± 0.90 mg/100 g).</w:t>
      </w:r>
    </w:p>
    <w:p w14:paraId="66656CE8" w14:textId="77777777"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3</w:t>
      </w:r>
      <w:r w:rsidRPr="007A0044">
        <w:rPr>
          <w:rFonts w:cs="Times New Roman"/>
          <w:b/>
          <w:bCs/>
          <w:sz w:val="24"/>
          <w:szCs w:val="24"/>
        </w:rPr>
        <w:t xml:space="preserve">. Vitamin composition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236"/>
        <w:gridCol w:w="2590"/>
      </w:tblGrid>
      <w:tr w:rsidR="007A0044" w:rsidRPr="007A0044" w14:paraId="2996E678"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5C0FFC36"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w:t>
            </w:r>
          </w:p>
        </w:tc>
        <w:tc>
          <w:tcPr>
            <w:tcW w:w="0" w:type="auto"/>
          </w:tcPr>
          <w:p w14:paraId="6C4B8E1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(mg/100 g)</w:t>
            </w:r>
          </w:p>
        </w:tc>
      </w:tr>
      <w:tr w:rsidR="007A0044" w:rsidRPr="007A0044" w14:paraId="0A0A9223" w14:textId="77777777" w:rsidTr="007A5219">
        <w:tc>
          <w:tcPr>
            <w:tcW w:w="0" w:type="auto"/>
          </w:tcPr>
          <w:p w14:paraId="1D14427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 A</w:t>
            </w:r>
          </w:p>
        </w:tc>
        <w:tc>
          <w:tcPr>
            <w:tcW w:w="0" w:type="auto"/>
          </w:tcPr>
          <w:p w14:paraId="2D46A3E7"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20.91 ± 0.35</w:t>
            </w:r>
          </w:p>
        </w:tc>
      </w:tr>
      <w:tr w:rsidR="007A0044" w:rsidRPr="007A0044" w14:paraId="16F087EF" w14:textId="77777777" w:rsidTr="007A5219">
        <w:tc>
          <w:tcPr>
            <w:tcW w:w="0" w:type="auto"/>
          </w:tcPr>
          <w:p w14:paraId="52950B8D"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 C</w:t>
            </w:r>
          </w:p>
        </w:tc>
        <w:tc>
          <w:tcPr>
            <w:tcW w:w="0" w:type="auto"/>
          </w:tcPr>
          <w:p w14:paraId="3AE8FAF6"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22.89 ± 0.52</w:t>
            </w:r>
          </w:p>
        </w:tc>
      </w:tr>
      <w:tr w:rsidR="007A0044" w:rsidRPr="007A0044" w14:paraId="0EAEFE31" w14:textId="77777777" w:rsidTr="007A5219">
        <w:tc>
          <w:tcPr>
            <w:tcW w:w="0" w:type="auto"/>
          </w:tcPr>
          <w:p w14:paraId="249BAA20"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Vitamin E</w:t>
            </w:r>
          </w:p>
        </w:tc>
        <w:tc>
          <w:tcPr>
            <w:tcW w:w="0" w:type="auto"/>
          </w:tcPr>
          <w:p w14:paraId="02DA605A"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11.60 ± 0.90</w:t>
            </w:r>
          </w:p>
        </w:tc>
      </w:tr>
    </w:tbl>
    <w:p w14:paraId="6A5A58B2"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p w14:paraId="27098CAB" w14:textId="77777777" w:rsidR="00B04EBD" w:rsidRPr="007A0044" w:rsidRDefault="00B04EBD" w:rsidP="00950A2F">
      <w:pPr>
        <w:pStyle w:val="Heading2"/>
        <w:spacing w:before="0"/>
        <w:jc w:val="both"/>
        <w:rPr>
          <w:rFonts w:ascii="Times New Roman" w:hAnsi="Times New Roman" w:cs="Times New Roman"/>
          <w:color w:val="auto"/>
          <w:sz w:val="24"/>
          <w:szCs w:val="24"/>
        </w:rPr>
      </w:pPr>
      <w:bookmarkStart w:id="27" w:name="X299db4e47c1eca9916db31078947a18e498a3bf"/>
      <w:bookmarkEnd w:id="26"/>
      <w:r w:rsidRPr="007A0044">
        <w:rPr>
          <w:rFonts w:ascii="Times New Roman" w:hAnsi="Times New Roman" w:cs="Times New Roman"/>
          <w:color w:val="auto"/>
          <w:sz w:val="24"/>
          <w:szCs w:val="24"/>
        </w:rPr>
        <w:t xml:space="preserve">3.4 Anti-Nutritional and Flavonoid Contents of </w:t>
      </w:r>
      <w:r w:rsidRPr="007A0044">
        <w:rPr>
          <w:rFonts w:ascii="Times New Roman" w:hAnsi="Times New Roman" w:cs="Times New Roman"/>
          <w:i/>
          <w:iCs/>
          <w:color w:val="auto"/>
          <w:sz w:val="24"/>
          <w:szCs w:val="24"/>
        </w:rPr>
        <w:t>Capsicum annuum</w:t>
      </w:r>
      <w:r w:rsidRPr="007A0044">
        <w:rPr>
          <w:rFonts w:ascii="Times New Roman" w:hAnsi="Times New Roman" w:cs="Times New Roman"/>
          <w:color w:val="auto"/>
          <w:sz w:val="24"/>
          <w:szCs w:val="24"/>
        </w:rPr>
        <w:t xml:space="preserve"> L. Fruits</w:t>
      </w:r>
    </w:p>
    <w:p w14:paraId="34663418" w14:textId="77777777" w:rsidR="00B04EBD" w:rsidRPr="007A0044" w:rsidRDefault="00B04EBD" w:rsidP="00950A2F">
      <w:pPr>
        <w:pStyle w:val="FirstParagraph"/>
        <w:spacing w:before="0" w:after="0" w:line="276" w:lineRule="auto"/>
        <w:jc w:val="both"/>
        <w:rPr>
          <w:rFonts w:ascii="Times New Roman" w:hAnsi="Times New Roman" w:cs="Times New Roman"/>
        </w:rPr>
      </w:pPr>
      <w:r w:rsidRPr="007A0044">
        <w:rPr>
          <w:rFonts w:ascii="Times New Roman" w:hAnsi="Times New Roman" w:cs="Times New Roman"/>
        </w:rPr>
        <w:t xml:space="preserve">The anti-nutritional and flavonoid contents of </w:t>
      </w:r>
      <w:r w:rsidRPr="007A0044">
        <w:rPr>
          <w:rFonts w:ascii="Times New Roman" w:hAnsi="Times New Roman" w:cs="Times New Roman"/>
          <w:i/>
          <w:iCs/>
        </w:rPr>
        <w:t>Capsicum annuum</w:t>
      </w:r>
      <w:r w:rsidRPr="007A0044">
        <w:rPr>
          <w:rFonts w:ascii="Times New Roman" w:hAnsi="Times New Roman" w:cs="Times New Roman"/>
        </w:rPr>
        <w:t xml:space="preserve"> L. fruits are presented in Table </w:t>
      </w:r>
      <w:r w:rsidR="00F9789E">
        <w:rPr>
          <w:rFonts w:ascii="Times New Roman" w:hAnsi="Times New Roman" w:cs="Times New Roman"/>
        </w:rPr>
        <w:t>4</w:t>
      </w:r>
      <w:r w:rsidRPr="007A0044">
        <w:rPr>
          <w:rFonts w:ascii="Times New Roman" w:hAnsi="Times New Roman" w:cs="Times New Roman"/>
        </w:rPr>
        <w:t>. Flavonoids had the highest recorded value (39.56 ± 0.77%), followed by phytate (4.76 ± 0.59%) and oxalate (1.83 ± 0.21%).</w:t>
      </w:r>
    </w:p>
    <w:p w14:paraId="4FE94A7E" w14:textId="77777777" w:rsidR="00B04EBD" w:rsidRPr="007A0044" w:rsidRDefault="00B04EBD" w:rsidP="00950A2F">
      <w:pPr>
        <w:pStyle w:val="BodyText"/>
        <w:spacing w:after="0"/>
        <w:jc w:val="both"/>
        <w:rPr>
          <w:rFonts w:cs="Times New Roman"/>
          <w:sz w:val="24"/>
          <w:szCs w:val="24"/>
        </w:rPr>
      </w:pPr>
      <w:r w:rsidRPr="007A0044">
        <w:rPr>
          <w:rFonts w:cs="Times New Roman"/>
          <w:b/>
          <w:bCs/>
          <w:sz w:val="24"/>
          <w:szCs w:val="24"/>
        </w:rPr>
        <w:t xml:space="preserve">Table </w:t>
      </w:r>
      <w:r w:rsidR="00F9789E">
        <w:rPr>
          <w:rFonts w:cs="Times New Roman"/>
          <w:b/>
          <w:bCs/>
          <w:sz w:val="24"/>
          <w:szCs w:val="24"/>
        </w:rPr>
        <w:t>4</w:t>
      </w:r>
      <w:r w:rsidRPr="007A0044">
        <w:rPr>
          <w:rFonts w:cs="Times New Roman"/>
          <w:b/>
          <w:bCs/>
          <w:sz w:val="24"/>
          <w:szCs w:val="24"/>
        </w:rPr>
        <w:t xml:space="preserve">. Anti-nutritional and flavonoid contents of </w:t>
      </w:r>
      <w:r w:rsidRPr="007A0044">
        <w:rPr>
          <w:rFonts w:cs="Times New Roman"/>
          <w:b/>
          <w:bCs/>
          <w:i/>
          <w:iCs/>
          <w:sz w:val="24"/>
          <w:szCs w:val="24"/>
        </w:rPr>
        <w:t>Capsicum annuum</w:t>
      </w:r>
      <w:r w:rsidRPr="007A0044">
        <w:rPr>
          <w:rFonts w:cs="Times New Roman"/>
          <w:b/>
          <w:bCs/>
          <w:sz w:val="24"/>
          <w:szCs w:val="24"/>
        </w:rPr>
        <w:t xml:space="preserve"> L. fruits</w:t>
      </w:r>
    </w:p>
    <w:tbl>
      <w:tblPr>
        <w:tblStyle w:val="Table"/>
        <w:tblW w:w="0" w:type="auto"/>
        <w:tblLook w:val="0020" w:firstRow="1" w:lastRow="0" w:firstColumn="0" w:lastColumn="0" w:noHBand="0" w:noVBand="0"/>
      </w:tblPr>
      <w:tblGrid>
        <w:gridCol w:w="1323"/>
        <w:gridCol w:w="1876"/>
      </w:tblGrid>
      <w:tr w:rsidR="007A0044" w:rsidRPr="007A0044" w14:paraId="2A3A33C0" w14:textId="77777777" w:rsidTr="007A5219">
        <w:trPr>
          <w:cnfStyle w:val="100000000000" w:firstRow="1" w:lastRow="0" w:firstColumn="0" w:lastColumn="0" w:oddVBand="0" w:evenVBand="0" w:oddHBand="0" w:evenHBand="0" w:firstRowFirstColumn="0" w:firstRowLastColumn="0" w:lastRowFirstColumn="0" w:lastRowLastColumn="0"/>
          <w:tblHeader/>
        </w:trPr>
        <w:tc>
          <w:tcPr>
            <w:tcW w:w="0" w:type="auto"/>
          </w:tcPr>
          <w:p w14:paraId="43DBB27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lastRenderedPageBreak/>
              <w:t>Constituent</w:t>
            </w:r>
          </w:p>
        </w:tc>
        <w:tc>
          <w:tcPr>
            <w:tcW w:w="0" w:type="auto"/>
          </w:tcPr>
          <w:p w14:paraId="5E597DC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Composition (%)</w:t>
            </w:r>
          </w:p>
        </w:tc>
      </w:tr>
      <w:tr w:rsidR="007A0044" w:rsidRPr="007A0044" w14:paraId="142ED359" w14:textId="77777777" w:rsidTr="007A5219">
        <w:tc>
          <w:tcPr>
            <w:tcW w:w="0" w:type="auto"/>
          </w:tcPr>
          <w:p w14:paraId="15E0100A"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Oxalate</w:t>
            </w:r>
          </w:p>
        </w:tc>
        <w:tc>
          <w:tcPr>
            <w:tcW w:w="0" w:type="auto"/>
          </w:tcPr>
          <w:p w14:paraId="4FD40774"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1.83 ± 0.21</w:t>
            </w:r>
          </w:p>
        </w:tc>
      </w:tr>
      <w:tr w:rsidR="007A0044" w:rsidRPr="007A0044" w14:paraId="2B9BE7F6" w14:textId="77777777" w:rsidTr="007A5219">
        <w:tc>
          <w:tcPr>
            <w:tcW w:w="0" w:type="auto"/>
          </w:tcPr>
          <w:p w14:paraId="636EA784"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Phytate</w:t>
            </w:r>
          </w:p>
        </w:tc>
        <w:tc>
          <w:tcPr>
            <w:tcW w:w="0" w:type="auto"/>
          </w:tcPr>
          <w:p w14:paraId="271D56E9"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4.76 ± 0.59</w:t>
            </w:r>
          </w:p>
        </w:tc>
      </w:tr>
      <w:tr w:rsidR="007A0044" w:rsidRPr="007A0044" w14:paraId="5ED7403E" w14:textId="77777777" w:rsidTr="007A5219">
        <w:tc>
          <w:tcPr>
            <w:tcW w:w="0" w:type="auto"/>
          </w:tcPr>
          <w:p w14:paraId="171E8E8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Flavonoids</w:t>
            </w:r>
          </w:p>
        </w:tc>
        <w:tc>
          <w:tcPr>
            <w:tcW w:w="0" w:type="auto"/>
          </w:tcPr>
          <w:p w14:paraId="0A4D9EF1" w14:textId="77777777" w:rsidR="00B04EBD" w:rsidRPr="007A0044" w:rsidRDefault="00B04EBD" w:rsidP="00950A2F">
            <w:pPr>
              <w:pStyle w:val="Compact"/>
              <w:spacing w:before="0" w:after="0" w:line="276" w:lineRule="auto"/>
              <w:jc w:val="both"/>
              <w:rPr>
                <w:rFonts w:ascii="Times New Roman" w:hAnsi="Times New Roman" w:cs="Times New Roman"/>
              </w:rPr>
            </w:pPr>
            <w:r w:rsidRPr="007A0044">
              <w:rPr>
                <w:rFonts w:ascii="Times New Roman" w:hAnsi="Times New Roman" w:cs="Times New Roman"/>
              </w:rPr>
              <w:t>39.56 ± 0.77</w:t>
            </w:r>
          </w:p>
        </w:tc>
      </w:tr>
    </w:tbl>
    <w:p w14:paraId="02C86950" w14:textId="77777777" w:rsidR="00B04EBD" w:rsidRPr="007A0044" w:rsidRDefault="00B04EBD" w:rsidP="00950A2F">
      <w:pPr>
        <w:pStyle w:val="BodyText"/>
        <w:spacing w:after="0"/>
        <w:jc w:val="both"/>
        <w:rPr>
          <w:rFonts w:cs="Times New Roman"/>
          <w:sz w:val="24"/>
          <w:szCs w:val="24"/>
        </w:rPr>
      </w:pPr>
      <w:r w:rsidRPr="007A0044">
        <w:rPr>
          <w:rFonts w:cs="Times New Roman"/>
          <w:i/>
          <w:iCs/>
          <w:sz w:val="24"/>
          <w:szCs w:val="24"/>
        </w:rPr>
        <w:t>Values are expressed as mean ± standard deviation (SD), n = 3.</w:t>
      </w:r>
    </w:p>
    <w:bookmarkEnd w:id="23"/>
    <w:bookmarkEnd w:id="27"/>
    <w:p w14:paraId="5D7CCCEC" w14:textId="77777777" w:rsidR="007A0044" w:rsidRPr="007A0044" w:rsidRDefault="007A0044" w:rsidP="00950A2F">
      <w:pPr>
        <w:pStyle w:val="Heading1"/>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w:t>
      </w:r>
      <w:r w:rsidR="00751C0D">
        <w:rPr>
          <w:rFonts w:ascii="Times New Roman" w:hAnsi="Times New Roman" w:cs="Times New Roman"/>
          <w:color w:val="auto"/>
          <w:sz w:val="24"/>
          <w:szCs w:val="24"/>
        </w:rPr>
        <w:t>0</w:t>
      </w:r>
      <w:r w:rsidRPr="007A0044">
        <w:rPr>
          <w:rFonts w:ascii="Times New Roman" w:hAnsi="Times New Roman" w:cs="Times New Roman"/>
          <w:color w:val="auto"/>
          <w:sz w:val="24"/>
          <w:szCs w:val="24"/>
        </w:rPr>
        <w:t xml:space="preserve"> DISCUSSION</w:t>
      </w:r>
    </w:p>
    <w:p w14:paraId="17CE4FAF"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4.1 Proximate Composition</w:t>
      </w:r>
    </w:p>
    <w:p w14:paraId="60D39DCD" w14:textId="77777777" w:rsidR="007A0044" w:rsidRPr="007A0044" w:rsidRDefault="007A0044" w:rsidP="00950A2F">
      <w:pPr>
        <w:pStyle w:val="NormalWeb"/>
        <w:spacing w:before="0" w:beforeAutospacing="0" w:after="0" w:afterAutospacing="0" w:line="276" w:lineRule="auto"/>
        <w:jc w:val="both"/>
      </w:pPr>
      <w:r w:rsidRPr="007A0044">
        <w:t xml:space="preserve">The proximate analysis of </w:t>
      </w:r>
      <w:r w:rsidRPr="007A0044">
        <w:rPr>
          <w:rStyle w:val="Emphasis"/>
        </w:rPr>
        <w:t>Capsicum annuum</w:t>
      </w:r>
      <w:r w:rsidRPr="007A0044">
        <w:t xml:space="preserve"> L. fruits revealed appreciable amounts of moisture, ash, crude </w:t>
      </w:r>
      <w:proofErr w:type="spellStart"/>
      <w:r w:rsidRPr="007A0044">
        <w:t>fibre</w:t>
      </w:r>
      <w:proofErr w:type="spellEnd"/>
      <w:r w:rsidRPr="007A0044">
        <w:t xml:space="preserve">, crude fat, crude protein, and carbohydrate. The moisture content is an important quality parameter because water availability influences several biochemical, physiological, and microbiological processes in food materials (Onwuka, 2005). The moisture content recorded in this study suggests that the dried powdered sample has relatively good storage potential, since foods with higher moisture contents are generally more susceptible to microbial growth and deterioration </w:t>
      </w:r>
      <w:r w:rsidR="00F768F3">
        <w:t>(Ruberto &amp; Baratta, 2000)</w:t>
      </w:r>
      <w:r w:rsidRPr="007A0044">
        <w:t>.</w:t>
      </w:r>
    </w:p>
    <w:p w14:paraId="3159A847" w14:textId="77777777" w:rsidR="007A0044" w:rsidRPr="007A0044" w:rsidRDefault="007A0044" w:rsidP="00950A2F">
      <w:pPr>
        <w:pStyle w:val="NormalWeb"/>
        <w:spacing w:before="0" w:beforeAutospacing="0" w:after="0" w:afterAutospacing="0" w:line="276" w:lineRule="auto"/>
        <w:jc w:val="both"/>
      </w:pPr>
      <w:r w:rsidRPr="007A0044">
        <w:t>The ash content obtained in this study was relatively low. Ash represents the inorganic or mineral fraction of a food material and provides an indication of its total mineral content. The relatively low ash content observed may have implications for the mineral contribution of the fruit and may also be relevant to quality assessment of products der</w:t>
      </w:r>
      <w:r w:rsidR="006A180A">
        <w:t>ived from the sample (Ibanga &amp;</w:t>
      </w:r>
      <w:r w:rsidRPr="007A0044">
        <w:t xml:space="preserve"> </w:t>
      </w:r>
      <w:proofErr w:type="spellStart"/>
      <w:r w:rsidRPr="007A0044">
        <w:t>Ekpa</w:t>
      </w:r>
      <w:proofErr w:type="spellEnd"/>
      <w:r w:rsidRPr="007A0044">
        <w:t>, 2009).</w:t>
      </w:r>
    </w:p>
    <w:p w14:paraId="5799675C" w14:textId="77777777" w:rsidR="007A0044" w:rsidRPr="007A0044" w:rsidRDefault="007A0044" w:rsidP="00950A2F">
      <w:pPr>
        <w:pStyle w:val="NormalWeb"/>
        <w:spacing w:before="0" w:beforeAutospacing="0" w:after="0" w:afterAutospacing="0" w:line="276" w:lineRule="auto"/>
        <w:jc w:val="both"/>
      </w:pPr>
      <w:r w:rsidRPr="007A0044">
        <w:t xml:space="preserve">The crude fat content of </w:t>
      </w:r>
      <w:r w:rsidRPr="007A0044">
        <w:rPr>
          <w:rStyle w:val="Emphasis"/>
        </w:rPr>
        <w:t>C. annuum</w:t>
      </w:r>
      <w:r w:rsidRPr="007A0044">
        <w:t xml:space="preserve"> L. was 6.67 ± 1.44%. This value is within the range reported for some commonly consumed legumes and was reported to be comparable with that of scarlet runner bean and higher than values reported for cowpea and Kersting groundnut (Aremu </w:t>
      </w:r>
      <w:r w:rsidRPr="00A13392">
        <w:rPr>
          <w:i/>
        </w:rPr>
        <w:t>et al.,</w:t>
      </w:r>
      <w:r w:rsidRPr="007A0044">
        <w:t xml:space="preserve"> 2006). Dietary fat is an important source of energy and also contributes to the absorption of fat-soluble vitamins. It therefore plays an important nutritional role when consumed as part of a balanced diet (Ogunlade </w:t>
      </w:r>
      <w:r w:rsidRPr="00A13392">
        <w:rPr>
          <w:i/>
        </w:rPr>
        <w:t>et al.,</w:t>
      </w:r>
      <w:r w:rsidRPr="007A0044">
        <w:t xml:space="preserve"> 2012).</w:t>
      </w:r>
    </w:p>
    <w:p w14:paraId="331F1DC6" w14:textId="77777777" w:rsidR="007A0044" w:rsidRPr="007A0044" w:rsidRDefault="007A0044" w:rsidP="00950A2F">
      <w:pPr>
        <w:pStyle w:val="NormalWeb"/>
        <w:spacing w:before="0" w:beforeAutospacing="0" w:after="0" w:afterAutospacing="0" w:line="276" w:lineRule="auto"/>
        <w:jc w:val="both"/>
      </w:pPr>
      <w:r w:rsidRPr="007A0044">
        <w:t xml:space="preserve">The crude </w:t>
      </w:r>
      <w:proofErr w:type="spellStart"/>
      <w:r w:rsidRPr="007A0044">
        <w:t>fibre</w:t>
      </w:r>
      <w:proofErr w:type="spellEnd"/>
      <w:r w:rsidRPr="007A0044">
        <w:t xml:space="preserve"> content was 24.00 ± 1.00%, which was relatively high compared with values reported for some legumes, including cowpea and Bambara groundnut (Aremu </w:t>
      </w:r>
      <w:r w:rsidRPr="00761CA4">
        <w:rPr>
          <w:i/>
        </w:rPr>
        <w:t>et al.,</w:t>
      </w:r>
      <w:r w:rsidRPr="007A0044">
        <w:t xml:space="preserve"> 2008). Dietary </w:t>
      </w:r>
      <w:proofErr w:type="spellStart"/>
      <w:r w:rsidRPr="007A0044">
        <w:t>fibre</w:t>
      </w:r>
      <w:proofErr w:type="spellEnd"/>
      <w:r w:rsidRPr="007A0044">
        <w:t xml:space="preserve"> is important for maintaining normal gastrointestinal function and may contribute to overall digestive health. However, excessive </w:t>
      </w:r>
      <w:proofErr w:type="spellStart"/>
      <w:r w:rsidRPr="007A0044">
        <w:t>fibre</w:t>
      </w:r>
      <w:proofErr w:type="spellEnd"/>
      <w:r w:rsidRPr="007A0044">
        <w:t xml:space="preserve"> intake may reduce the bioavailability of certain mineral elements by binding or interacting with them.</w:t>
      </w:r>
    </w:p>
    <w:p w14:paraId="4BC5F73E" w14:textId="77777777" w:rsidR="007A0044" w:rsidRPr="007A0044" w:rsidRDefault="007A0044" w:rsidP="00950A2F">
      <w:pPr>
        <w:pStyle w:val="NormalWeb"/>
        <w:spacing w:before="0" w:beforeAutospacing="0" w:after="0" w:afterAutospacing="0" w:line="276" w:lineRule="auto"/>
        <w:jc w:val="both"/>
      </w:pPr>
      <w:r w:rsidRPr="007A0044">
        <w:t xml:space="preserve">The crude protein content of </w:t>
      </w:r>
      <w:r w:rsidRPr="007A0044">
        <w:rPr>
          <w:rStyle w:val="Emphasis"/>
        </w:rPr>
        <w:t>C. annuum</w:t>
      </w:r>
      <w:r w:rsidRPr="007A0044">
        <w:t xml:space="preserve"> L. was 12.96 ± 1.38%. This value was higher than those reported by </w:t>
      </w:r>
      <w:proofErr w:type="spellStart"/>
      <w:r w:rsidRPr="007A0044">
        <w:t>Esayas</w:t>
      </w:r>
      <w:proofErr w:type="spellEnd"/>
      <w:r w:rsidRPr="007A0044">
        <w:t xml:space="preserve"> </w:t>
      </w:r>
      <w:r w:rsidRPr="00A13392">
        <w:rPr>
          <w:i/>
        </w:rPr>
        <w:t>et al</w:t>
      </w:r>
      <w:r w:rsidRPr="007A0044">
        <w:t xml:space="preserve">. (2011) for some </w:t>
      </w:r>
      <w:r w:rsidRPr="007A0044">
        <w:rPr>
          <w:rStyle w:val="Emphasis"/>
        </w:rPr>
        <w:t>Capsicum</w:t>
      </w:r>
      <w:r w:rsidRPr="007A0044">
        <w:t xml:space="preserve"> varieties, including Bako Local, </w:t>
      </w:r>
      <w:proofErr w:type="spellStart"/>
      <w:r w:rsidRPr="007A0044">
        <w:t>Odaharo</w:t>
      </w:r>
      <w:proofErr w:type="spellEnd"/>
      <w:r w:rsidRPr="007A0044">
        <w:t xml:space="preserve">, and </w:t>
      </w:r>
      <w:proofErr w:type="spellStart"/>
      <w:r w:rsidRPr="007A0044">
        <w:t>Marakofana</w:t>
      </w:r>
      <w:proofErr w:type="spellEnd"/>
      <w:r w:rsidRPr="007A0044">
        <w:t xml:space="preserve">. Although the protein content of the fruit is appreciable, it remains lower than that of some protein-rich oilseeds and legumes commonly consumed in Nigeria. Therefore, </w:t>
      </w:r>
      <w:r w:rsidRPr="007A0044">
        <w:rPr>
          <w:rStyle w:val="Emphasis"/>
        </w:rPr>
        <w:t>C. annuum</w:t>
      </w:r>
      <w:r w:rsidRPr="007A0044">
        <w:t xml:space="preserve"> L. should be considered mainly as a complementary source of dietary protein rather than a major protein source.</w:t>
      </w:r>
    </w:p>
    <w:p w14:paraId="04AAD5DA" w14:textId="77777777" w:rsidR="007A0044" w:rsidRPr="007A0044" w:rsidRDefault="007A0044" w:rsidP="00950A2F">
      <w:pPr>
        <w:pStyle w:val="NormalWeb"/>
        <w:spacing w:before="0" w:beforeAutospacing="0" w:after="0" w:afterAutospacing="0" w:line="276" w:lineRule="auto"/>
        <w:jc w:val="both"/>
      </w:pPr>
      <w:r w:rsidRPr="007A0044">
        <w:t xml:space="preserve">The carbohydrate content was 15.03 ± 2.84%. The relatively moderate carbohydrate content may partly reflect the moisture composition of the fruit. Previous comparative work has shown significant variation in carbohydrate content among pepper species (Emmanuel-Ikpeme </w:t>
      </w:r>
      <w:r w:rsidRPr="00C712EB">
        <w:rPr>
          <w:i/>
        </w:rPr>
        <w:t>et al</w:t>
      </w:r>
      <w:r w:rsidRPr="007A0044">
        <w:t>., 2014). Carbohydrates are important dietary energy sources and contribute to the provision of readily available fuel for physiological activities. They also play important roles in the normal functioning of nervous tissues (Onwuka, 2005).</w:t>
      </w:r>
    </w:p>
    <w:p w14:paraId="28DAB4E2"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lastRenderedPageBreak/>
        <w:t>4.2 Mineral Element Composition</w:t>
      </w:r>
    </w:p>
    <w:p w14:paraId="695A0DC7" w14:textId="77777777" w:rsidR="007A0044" w:rsidRPr="007A0044" w:rsidRDefault="007A0044" w:rsidP="00950A2F">
      <w:pPr>
        <w:pStyle w:val="NormalWeb"/>
        <w:spacing w:before="0" w:beforeAutospacing="0" w:after="0" w:afterAutospacing="0" w:line="276" w:lineRule="auto"/>
        <w:jc w:val="both"/>
      </w:pPr>
      <w:r w:rsidRPr="007A0044">
        <w:t xml:space="preserve">The mineral analysis showed that </w:t>
      </w:r>
      <w:r w:rsidRPr="007A0044">
        <w:rPr>
          <w:rStyle w:val="Emphasis"/>
        </w:rPr>
        <w:t>C. annuum</w:t>
      </w:r>
      <w:r w:rsidRPr="007A0044">
        <w:t xml:space="preserve"> L. fruits contain appreciable amounts of magnesium, calcium, manganese, and zinc. The observed order of abundance was </w:t>
      </w:r>
      <w:r w:rsidRPr="007A0044">
        <w:rPr>
          <w:rStyle w:val="Strong"/>
          <w:rFonts w:eastAsiaTheme="majorEastAsia"/>
        </w:rPr>
        <w:t>Mn &gt; Mg &gt; Zn &gt; Ca</w:t>
      </w:r>
      <w:r w:rsidRPr="007A0044">
        <w:t>, with manganese having the highest concentration (51.00 ± 0.18 ppm), followed by magnesium (15.27 ± 0.15 ppm), zinc (14.93 ± 0.12 ppm), and calcium (4.23 ± 0.15 ppm).</w:t>
      </w:r>
    </w:p>
    <w:p w14:paraId="3ECF76AA" w14:textId="77777777" w:rsidR="007A0044" w:rsidRPr="007A0044" w:rsidRDefault="007A0044" w:rsidP="00950A2F">
      <w:pPr>
        <w:pStyle w:val="NormalWeb"/>
        <w:spacing w:before="0" w:beforeAutospacing="0" w:after="0" w:afterAutospacing="0" w:line="276" w:lineRule="auto"/>
        <w:jc w:val="both"/>
      </w:pPr>
      <w:r w:rsidRPr="007A0044">
        <w:t xml:space="preserve">Mineral elements are essential for normal growth and physiological functioning. They contribute to the development and maintenance of bones and teeth and participate in processes such as enzyme activity, muscle contraction, nerve transmission, and blood clotting. The relatively high manganese and magnesium contents suggest that </w:t>
      </w:r>
      <w:r w:rsidRPr="007A0044">
        <w:rPr>
          <w:rStyle w:val="Emphasis"/>
        </w:rPr>
        <w:t>C. annuum</w:t>
      </w:r>
      <w:r w:rsidRPr="007A0044">
        <w:t xml:space="preserve"> L. may contribute useful quantities of these minerals to the diet.</w:t>
      </w:r>
    </w:p>
    <w:p w14:paraId="38083CC3" w14:textId="77777777" w:rsidR="007A0044" w:rsidRPr="007A0044" w:rsidRDefault="007A0044" w:rsidP="00950A2F">
      <w:pPr>
        <w:pStyle w:val="NormalWeb"/>
        <w:spacing w:before="0" w:beforeAutospacing="0" w:after="0" w:afterAutospacing="0" w:line="276" w:lineRule="auto"/>
        <w:jc w:val="both"/>
      </w:pPr>
      <w:r w:rsidRPr="007A0044">
        <w:t>Manganese is involved in the activation of several enzymes and participates in metabolic processes associated with the synthesis and metabolism of carbohydrates, lipids, and proteins. Magnesium is also an essential mineral required for several physiological processes, including regulation of muscle and nerve function, blood glucose levels, and blood pressure, as well as protein, bone, and DNA synthesis (</w:t>
      </w:r>
      <w:proofErr w:type="spellStart"/>
      <w:r>
        <w:rPr>
          <w:highlight w:val="yellow"/>
        </w:rPr>
        <w:t>Farsinejad</w:t>
      </w:r>
      <w:proofErr w:type="spellEnd"/>
      <w:r>
        <w:rPr>
          <w:highlight w:val="yellow"/>
        </w:rPr>
        <w:t>-Marj</w:t>
      </w:r>
      <w:r>
        <w:t xml:space="preserve"> </w:t>
      </w:r>
      <w:r w:rsidRPr="00C712EB">
        <w:rPr>
          <w:i/>
        </w:rPr>
        <w:t>et al.,</w:t>
      </w:r>
      <w:r w:rsidRPr="007A0044">
        <w:t xml:space="preserve"> 2016).</w:t>
      </w:r>
    </w:p>
    <w:p w14:paraId="2F0FD8FC" w14:textId="77777777" w:rsidR="007A0044" w:rsidRPr="007A0044" w:rsidRDefault="007A0044" w:rsidP="00950A2F">
      <w:pPr>
        <w:pStyle w:val="NormalWeb"/>
        <w:spacing w:before="0" w:beforeAutospacing="0" w:after="0" w:afterAutospacing="0" w:line="276" w:lineRule="auto"/>
        <w:jc w:val="both"/>
      </w:pPr>
      <w:r w:rsidRPr="007A0044">
        <w:t xml:space="preserve">The zinc concentration obtained in this study indicates that </w:t>
      </w:r>
      <w:r w:rsidRPr="007A0044">
        <w:rPr>
          <w:rStyle w:val="Emphasis"/>
        </w:rPr>
        <w:t>C. annuum</w:t>
      </w:r>
      <w:r w:rsidRPr="007A0044">
        <w:t xml:space="preserve"> L. can contribute to dietary zinc intake. Zinc plays important roles in numerous biological processes, including enzyme activity, immune function, protein synthesis, and normal metabolic processes. The presence of zinc in the fruit therefore adds to its nutritional significance.</w:t>
      </w:r>
    </w:p>
    <w:p w14:paraId="0E0414B7" w14:textId="77777777" w:rsidR="007A0044" w:rsidRPr="007A0044" w:rsidRDefault="007A0044" w:rsidP="00950A2F">
      <w:pPr>
        <w:pStyle w:val="NormalWeb"/>
        <w:spacing w:before="0" w:beforeAutospacing="0" w:after="0" w:afterAutospacing="0" w:line="276" w:lineRule="auto"/>
        <w:jc w:val="both"/>
      </w:pPr>
      <w:r w:rsidRPr="007A0044">
        <w:t xml:space="preserve">Calcium recorded the lowest concentration among the minerals </w:t>
      </w:r>
      <w:proofErr w:type="spellStart"/>
      <w:r w:rsidRPr="007A0044">
        <w:t>analysed</w:t>
      </w:r>
      <w:proofErr w:type="spellEnd"/>
      <w:r w:rsidRPr="007A0044">
        <w:t xml:space="preserve">. Nevertheless, calcium remains an essential mineral because of its role in maintaining healthy bones and teeth. It also participates in blood clotting, muscle contraction, normal cardiac function, and nerve transmission </w:t>
      </w:r>
      <w:r w:rsidR="004B7DD3">
        <w:t>(</w:t>
      </w:r>
      <w:proofErr w:type="spellStart"/>
      <w:r>
        <w:rPr>
          <w:highlight w:val="yellow"/>
        </w:rPr>
        <w:t>Farsinejad</w:t>
      </w:r>
      <w:proofErr w:type="spellEnd"/>
      <w:r>
        <w:rPr>
          <w:highlight w:val="yellow"/>
        </w:rPr>
        <w:t>-Marj</w:t>
      </w:r>
      <w:r>
        <w:t xml:space="preserve"> </w:t>
      </w:r>
      <w:r w:rsidR="004B7DD3" w:rsidRPr="004B7DD3">
        <w:rPr>
          <w:i/>
        </w:rPr>
        <w:t>et al</w:t>
      </w:r>
      <w:r w:rsidR="004B7DD3">
        <w:t>., 2016)</w:t>
      </w:r>
      <w:r>
        <w:rPr>
          <w:highlight w:val="yellow"/>
        </w:rPr>
        <w:t>.</w:t>
      </w:r>
    </w:p>
    <w:p w14:paraId="4D9B69CD"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4.3 Vitamin Composition</w:t>
      </w:r>
    </w:p>
    <w:p w14:paraId="5E36B596" w14:textId="77777777" w:rsidR="007A0044" w:rsidRPr="007A0044" w:rsidRDefault="007A0044" w:rsidP="00950A2F">
      <w:pPr>
        <w:pStyle w:val="NormalWeb"/>
        <w:spacing w:before="0" w:beforeAutospacing="0" w:after="0" w:afterAutospacing="0" w:line="276" w:lineRule="auto"/>
        <w:jc w:val="both"/>
      </w:pPr>
      <w:r w:rsidRPr="007A0044">
        <w:t>The vitamin analysis showed that vitamin C had the highest concentration among the vitamins determined, followed by vitamin A and vitamin E. The concentrations recorded were 22.89 ± 0.52, 20.91 ± 0.35, and 11.60 ± 0.90 mg/100 g for vitamins C, A, and E, respectively.</w:t>
      </w:r>
    </w:p>
    <w:p w14:paraId="73E12CB5" w14:textId="77777777" w:rsidR="007A0044" w:rsidRPr="007A0044" w:rsidRDefault="007A0044" w:rsidP="00950A2F">
      <w:pPr>
        <w:pStyle w:val="NormalWeb"/>
        <w:spacing w:before="0" w:beforeAutospacing="0" w:after="0" w:afterAutospacing="0" w:line="276" w:lineRule="auto"/>
        <w:jc w:val="both"/>
      </w:pPr>
      <w:r w:rsidRPr="007A0044">
        <w:t xml:space="preserve">Vitamins A, C, and </w:t>
      </w:r>
      <w:proofErr w:type="spellStart"/>
      <w:r w:rsidRPr="007A0044">
        <w:t>E</w:t>
      </w:r>
      <w:proofErr w:type="spellEnd"/>
      <w:r w:rsidRPr="007A0044">
        <w:t xml:space="preserve"> are important micronutrients that contribute to normal physiological functions and antioxidant protection. The relatively high vitamin C content observed in </w:t>
      </w:r>
      <w:r w:rsidRPr="007A0044">
        <w:rPr>
          <w:rStyle w:val="Emphasis"/>
        </w:rPr>
        <w:t>C. annuum</w:t>
      </w:r>
      <w:r w:rsidRPr="007A0044">
        <w:t xml:space="preserve"> L. highlights its potential contribution to dietary vitamin C intake. Vitamin C is involved in several physiological processes and also enhances the absorption of non-</w:t>
      </w:r>
      <w:proofErr w:type="spellStart"/>
      <w:r w:rsidRPr="007A0044">
        <w:t>haem</w:t>
      </w:r>
      <w:proofErr w:type="spellEnd"/>
      <w:r w:rsidRPr="007A0044">
        <w:t xml:space="preserve"> iron in the gastrointestinal tract.</w:t>
      </w:r>
    </w:p>
    <w:p w14:paraId="207D0734" w14:textId="77777777" w:rsidR="007A0044" w:rsidRPr="007A0044" w:rsidRDefault="007A0044" w:rsidP="00950A2F">
      <w:pPr>
        <w:pStyle w:val="NormalWeb"/>
        <w:spacing w:before="0" w:beforeAutospacing="0" w:after="0" w:afterAutospacing="0" w:line="276" w:lineRule="auto"/>
        <w:jc w:val="both"/>
      </w:pPr>
      <w:r w:rsidRPr="007A0044">
        <w:t>Vitamin C can improve iron absorption by facilitating the conversion of ferric iron to the more readily absorbed ferrous form. This property may make vitamin-C-rich foods useful as part of diets intended to improve iron availability. Vitamin C also functions as an antioxidant and contributes to the protection of cells from oxidative damage.</w:t>
      </w:r>
    </w:p>
    <w:p w14:paraId="778A1BA5" w14:textId="77777777" w:rsidR="007A0044" w:rsidRPr="007A0044" w:rsidRDefault="007A0044" w:rsidP="00950A2F">
      <w:pPr>
        <w:pStyle w:val="NormalWeb"/>
        <w:spacing w:before="0" w:beforeAutospacing="0" w:after="0" w:afterAutospacing="0" w:line="276" w:lineRule="auto"/>
        <w:jc w:val="both"/>
      </w:pPr>
      <w:r w:rsidRPr="007A0044">
        <w:t>Vitamin E is another important antioxidant nutrient that contributes to protection against oxidative stress. Its antioxidant function complements that of vitamin C and other antioxidant compounds present in plant foods. Vitamin A is essential for normal growth and development, immune function, and vision. In the visual system, vitamin A derivatives participate in the formation of rhodopsin, a light-sensitive pigment required for normal vision (</w:t>
      </w:r>
      <w:proofErr w:type="spellStart"/>
      <w:r w:rsidRPr="007A0044">
        <w:t>Tanumihardjo</w:t>
      </w:r>
      <w:proofErr w:type="spellEnd"/>
      <w:r w:rsidRPr="007A0044">
        <w:t>, 2011).</w:t>
      </w:r>
    </w:p>
    <w:p w14:paraId="08538D45" w14:textId="77777777" w:rsidR="007A0044" w:rsidRPr="007A0044" w:rsidRDefault="007A0044" w:rsidP="00950A2F">
      <w:pPr>
        <w:pStyle w:val="NormalWeb"/>
        <w:spacing w:before="0" w:beforeAutospacing="0" w:after="0" w:afterAutospacing="0" w:line="276" w:lineRule="auto"/>
        <w:jc w:val="both"/>
      </w:pPr>
      <w:r w:rsidRPr="007A0044">
        <w:lastRenderedPageBreak/>
        <w:t xml:space="preserve">The presence of vitamins A, C, and E therefore contributes substantially to the nutritional and potential health-promoting value of </w:t>
      </w:r>
      <w:r w:rsidRPr="007A0044">
        <w:rPr>
          <w:rStyle w:val="Emphasis"/>
        </w:rPr>
        <w:t>C. annuum</w:t>
      </w:r>
      <w:r w:rsidRPr="007A0044">
        <w:t xml:space="preserve"> L. fruits.</w:t>
      </w:r>
    </w:p>
    <w:p w14:paraId="085F3B27" w14:textId="77777777" w:rsidR="007A0044" w:rsidRPr="007A0044" w:rsidRDefault="007A0044" w:rsidP="00950A2F">
      <w:pPr>
        <w:pStyle w:val="Heading2"/>
        <w:spacing w:before="0"/>
        <w:jc w:val="both"/>
        <w:rPr>
          <w:rFonts w:ascii="Times New Roman" w:hAnsi="Times New Roman" w:cs="Times New Roman"/>
          <w:color w:val="auto"/>
          <w:sz w:val="24"/>
          <w:szCs w:val="24"/>
        </w:rPr>
      </w:pPr>
      <w:r w:rsidRPr="007A0044">
        <w:rPr>
          <w:rFonts w:ascii="Times New Roman" w:hAnsi="Times New Roman" w:cs="Times New Roman"/>
          <w:color w:val="auto"/>
          <w:sz w:val="24"/>
          <w:szCs w:val="24"/>
        </w:rPr>
        <w:t>4.4 Anti-Nutritional and Flavonoid Composition</w:t>
      </w:r>
    </w:p>
    <w:p w14:paraId="486D0BA7" w14:textId="77777777" w:rsidR="007A0044" w:rsidRPr="007A0044" w:rsidRDefault="007A0044" w:rsidP="00950A2F">
      <w:pPr>
        <w:pStyle w:val="NormalWeb"/>
        <w:spacing w:before="0" w:beforeAutospacing="0" w:after="0" w:afterAutospacing="0" w:line="276" w:lineRule="auto"/>
        <w:jc w:val="both"/>
      </w:pPr>
      <w:r w:rsidRPr="007A0044">
        <w:t xml:space="preserve">The analysis of anti-nutritional and bioactive constituents showed that flavonoids had the highest concentration (39.56 ± 0.77%), followed by phytate (4.76 ± 0.59%) and oxalate (1.83 ± 0.21%). The relatively high flavonoid content indicates the presence of considerable quantities of these bioactive compounds in </w:t>
      </w:r>
      <w:r w:rsidRPr="007A0044">
        <w:rPr>
          <w:rStyle w:val="Emphasis"/>
        </w:rPr>
        <w:t>C. annuum</w:t>
      </w:r>
      <w:r w:rsidRPr="007A0044">
        <w:t xml:space="preserve"> L.</w:t>
      </w:r>
    </w:p>
    <w:p w14:paraId="1A64E042" w14:textId="77777777" w:rsidR="007A0044" w:rsidRPr="007A0044" w:rsidRDefault="007A0044" w:rsidP="00950A2F">
      <w:pPr>
        <w:pStyle w:val="NormalWeb"/>
        <w:spacing w:before="0" w:beforeAutospacing="0" w:after="0" w:afterAutospacing="0" w:line="276" w:lineRule="auto"/>
        <w:jc w:val="both"/>
      </w:pPr>
      <w:r w:rsidRPr="007A0044">
        <w:t xml:space="preserve">Flavonoids are important secondary metabolites in plants and have been associated with antioxidant activity. Their ability to scavenge free radicals may contribute to the potential protective properties of plant-derived foods. Thus, the relatively high flavonoid content observed in the present study may contribute to the antioxidant potential of </w:t>
      </w:r>
      <w:r w:rsidRPr="007A0044">
        <w:rPr>
          <w:rStyle w:val="Emphasis"/>
        </w:rPr>
        <w:t>C. annuum</w:t>
      </w:r>
      <w:r w:rsidRPr="007A0044">
        <w:t xml:space="preserve"> L. fruits.</w:t>
      </w:r>
    </w:p>
    <w:p w14:paraId="2AFC0E9B" w14:textId="77777777" w:rsidR="007A0044" w:rsidRPr="007A0044" w:rsidRDefault="007A0044" w:rsidP="00950A2F">
      <w:pPr>
        <w:pStyle w:val="NormalWeb"/>
        <w:spacing w:before="0" w:beforeAutospacing="0" w:after="0" w:afterAutospacing="0" w:line="276" w:lineRule="auto"/>
        <w:jc w:val="both"/>
      </w:pPr>
      <w:r w:rsidRPr="007A0044">
        <w:t xml:space="preserve">Oxalate was detected at a concentration of 1.83 ± 0.21%. Oxalates can interact with minerals, particularly calcium, and may consequently reduce their bioavailability when present at high concentrations. However, the oxalate level observed in this study was relatively low compared with the levels associated with toxic effects reported in previous studies (Pearson, 1976; </w:t>
      </w:r>
      <w:r>
        <w:rPr>
          <w:highlight w:val="yellow"/>
        </w:rPr>
        <w:t>Noonan &amp; Savage</w:t>
      </w:r>
      <w:r>
        <w:t xml:space="preserve">, 1999). Akwaowo </w:t>
      </w:r>
      <w:r w:rsidRPr="00761CA4">
        <w:rPr>
          <w:i/>
        </w:rPr>
        <w:t>et al.</w:t>
      </w:r>
      <w:r w:rsidRPr="007A0044">
        <w:t xml:space="preserve"> (2000) also reported that high dietary oxalate may interfere with mineral metabolism and reduce calcium bioavailability.</w:t>
      </w:r>
    </w:p>
    <w:p w14:paraId="22C926DA" w14:textId="77777777" w:rsidR="007A0044" w:rsidRPr="007A0044" w:rsidRDefault="007A0044" w:rsidP="00950A2F">
      <w:pPr>
        <w:pStyle w:val="NormalWeb"/>
        <w:spacing w:before="0" w:beforeAutospacing="0" w:after="0" w:afterAutospacing="0" w:line="276" w:lineRule="auto"/>
        <w:jc w:val="both"/>
      </w:pPr>
      <w:r w:rsidRPr="007A0044">
        <w:t xml:space="preserve">Phytate content was 4.76 ± 0.59%. Phytic acid is commonly found in </w:t>
      </w:r>
      <w:proofErr w:type="spellStart"/>
      <w:r w:rsidRPr="007A0044">
        <w:t>fibre</w:t>
      </w:r>
      <w:proofErr w:type="spellEnd"/>
      <w:r w:rsidRPr="007A0044">
        <w:t>-rich plant foods and has both nutritional and anti-nutritional implications. Although phytate has been associated with beneficial physiological effects and has been investigated for potential protective effects against some chronic diseases, it can also reduce the bioavailability of minerals because of its strong binding affinity for mineral elements (</w:t>
      </w:r>
      <w:proofErr w:type="spellStart"/>
      <w:r>
        <w:rPr>
          <w:highlight w:val="yellow"/>
        </w:rPr>
        <w:t>Norhaizan</w:t>
      </w:r>
      <w:proofErr w:type="spellEnd"/>
      <w:r>
        <w:rPr>
          <w:highlight w:val="yellow"/>
        </w:rPr>
        <w:t xml:space="preserve"> &amp; Nor </w:t>
      </w:r>
      <w:proofErr w:type="spellStart"/>
      <w:r>
        <w:rPr>
          <w:highlight w:val="yellow"/>
        </w:rPr>
        <w:t>Faizadatul</w:t>
      </w:r>
      <w:proofErr w:type="spellEnd"/>
      <w:r>
        <w:rPr>
          <w:highlight w:val="yellow"/>
        </w:rPr>
        <w:t xml:space="preserve"> Ain</w:t>
      </w:r>
      <w:r>
        <w:t xml:space="preserve">, 2009; Ekholm </w:t>
      </w:r>
      <w:r w:rsidRPr="00761CA4">
        <w:rPr>
          <w:i/>
        </w:rPr>
        <w:t>et al.,</w:t>
      </w:r>
      <w:r w:rsidRPr="007A0044">
        <w:t xml:space="preserve"> 2003). The phytate content observed in the present study indicates that this compound is present in </w:t>
      </w:r>
      <w:r w:rsidRPr="007A0044">
        <w:rPr>
          <w:rStyle w:val="Emphasis"/>
        </w:rPr>
        <w:t>C. annuum</w:t>
      </w:r>
      <w:r w:rsidRPr="007A0044">
        <w:t xml:space="preserve"> L.; however, its nutritional significance should be interpreted in relation to dietary intake and overall food composition.</w:t>
      </w:r>
    </w:p>
    <w:p w14:paraId="19E44B2B" w14:textId="77777777" w:rsidR="007A0044" w:rsidRPr="007A0044" w:rsidRDefault="007A0044" w:rsidP="00950A2F">
      <w:pPr>
        <w:pStyle w:val="NormalWeb"/>
        <w:spacing w:before="0" w:beforeAutospacing="0" w:after="0" w:afterAutospacing="0" w:line="276" w:lineRule="auto"/>
        <w:jc w:val="both"/>
      </w:pPr>
      <w:r w:rsidRPr="007A0044">
        <w:t xml:space="preserve">Overall, the findings demonstrate that </w:t>
      </w:r>
      <w:r w:rsidRPr="007A0044">
        <w:rPr>
          <w:rStyle w:val="Emphasis"/>
        </w:rPr>
        <w:t>C. annuum</w:t>
      </w:r>
      <w:r w:rsidRPr="007A0044">
        <w:t xml:space="preserve"> L. fruits contain a combination of nutritional constituents, essential minerals, vitamins, and bioactive compounds, together with measurable anti-nutritional factors. The nutritional benefits of the fruit should therefore be considered alongside the levels of compounds such as phytate and oxalate.</w:t>
      </w:r>
    </w:p>
    <w:p w14:paraId="66247F85" w14:textId="77777777" w:rsidR="007A0044" w:rsidRPr="00C85E75" w:rsidRDefault="00751C0D" w:rsidP="00950A2F">
      <w:pPr>
        <w:spacing w:after="0"/>
        <w:jc w:val="both"/>
        <w:rPr>
          <w:b/>
          <w:bCs/>
          <w:sz w:val="24"/>
          <w:szCs w:val="24"/>
        </w:rPr>
      </w:pPr>
      <w:bookmarkStart w:id="28" w:name="_Toc95654730"/>
      <w:bookmarkStart w:id="29" w:name="_Toc93998330"/>
      <w:bookmarkStart w:id="30" w:name="_Toc93998081"/>
      <w:r>
        <w:rPr>
          <w:rStyle w:val="Heading3Char"/>
          <w:rFonts w:ascii="Times New Roman" w:eastAsia="SimSun" w:hAnsi="Times New Roman" w:cs="Times New Roman"/>
          <w:color w:val="auto"/>
          <w:sz w:val="24"/>
          <w:szCs w:val="24"/>
        </w:rPr>
        <w:t xml:space="preserve">5.0. </w:t>
      </w:r>
      <w:r w:rsidR="007A0044" w:rsidRPr="007A0044">
        <w:rPr>
          <w:rStyle w:val="Heading3Char"/>
          <w:rFonts w:ascii="Times New Roman" w:eastAsia="SimSun" w:hAnsi="Times New Roman" w:cs="Times New Roman"/>
          <w:color w:val="auto"/>
          <w:sz w:val="24"/>
          <w:szCs w:val="24"/>
        </w:rPr>
        <w:t>CONCLUSION</w:t>
      </w:r>
      <w:bookmarkEnd w:id="28"/>
      <w:bookmarkEnd w:id="29"/>
      <w:bookmarkEnd w:id="30"/>
      <w:r w:rsidR="00C85E75">
        <w:rPr>
          <w:rStyle w:val="Heading3Char"/>
          <w:rFonts w:ascii="Times New Roman" w:eastAsia="SimSun" w:hAnsi="Times New Roman" w:cs="Times New Roman"/>
          <w:b w:val="0"/>
          <w:bCs w:val="0"/>
          <w:color w:val="auto"/>
          <w:sz w:val="24"/>
          <w:szCs w:val="24"/>
        </w:rPr>
        <w:t xml:space="preserve"> </w:t>
      </w:r>
      <w:r w:rsidR="00C85E75" w:rsidRPr="00950A2F">
        <w:rPr>
          <w:rStyle w:val="Heading3Char"/>
          <w:rFonts w:ascii="Times New Roman" w:eastAsia="SimSun" w:hAnsi="Times New Roman" w:cs="Times New Roman"/>
          <w:bCs w:val="0"/>
          <w:color w:val="auto"/>
          <w:sz w:val="24"/>
          <w:szCs w:val="24"/>
        </w:rPr>
        <w:t xml:space="preserve">AND </w:t>
      </w:r>
      <w:r w:rsidR="00C85E75" w:rsidRPr="007A0044">
        <w:rPr>
          <w:b/>
          <w:bCs/>
          <w:sz w:val="24"/>
          <w:szCs w:val="24"/>
        </w:rPr>
        <w:t>RECOMMENDATIONS</w:t>
      </w:r>
      <w:r w:rsidR="007A0044" w:rsidRPr="007A0044">
        <w:rPr>
          <w:rStyle w:val="Heading3Char"/>
          <w:rFonts w:ascii="Times New Roman" w:eastAsia="SimSun" w:hAnsi="Times New Roman" w:cs="Times New Roman"/>
          <w:color w:val="auto"/>
          <w:sz w:val="24"/>
          <w:szCs w:val="24"/>
        </w:rPr>
        <w:tab/>
      </w:r>
    </w:p>
    <w:p w14:paraId="213CF56C" w14:textId="77777777" w:rsidR="007A0044" w:rsidRPr="007A0044" w:rsidRDefault="007A0044" w:rsidP="00950A2F">
      <w:pPr>
        <w:spacing w:after="0"/>
        <w:jc w:val="both"/>
        <w:rPr>
          <w:sz w:val="24"/>
          <w:szCs w:val="24"/>
        </w:rPr>
      </w:pPr>
      <w:r w:rsidRPr="007A0044">
        <w:rPr>
          <w:sz w:val="24"/>
          <w:szCs w:val="24"/>
          <w:highlight w:val="yellow"/>
        </w:rPr>
        <w:t xml:space="preserve">The study revealed that </w:t>
      </w:r>
      <w:r>
        <w:rPr>
          <w:i/>
          <w:sz w:val="24"/>
          <w:szCs w:val="24"/>
          <w:highlight w:val="yellow"/>
        </w:rPr>
        <w:t>Capsicum annuum L.</w:t>
      </w:r>
      <w:r>
        <w:rPr>
          <w:sz w:val="24"/>
          <w:szCs w:val="24"/>
          <w:highlight w:val="yellow"/>
        </w:rPr>
        <w:t xml:space="preserve"> fruits contain substantial quantities </w:t>
      </w:r>
      <w:r w:rsidR="00661D85">
        <w:rPr>
          <w:sz w:val="24"/>
          <w:szCs w:val="24"/>
        </w:rPr>
        <w:t>of minerals, vitamins, and anti-</w:t>
      </w:r>
      <w:r>
        <w:rPr>
          <w:sz w:val="24"/>
          <w:szCs w:val="24"/>
          <w:highlight w:val="yellow"/>
        </w:rPr>
        <w:t xml:space="preserve">nutritional compounds. The findings suggest that </w:t>
      </w:r>
      <w:r>
        <w:rPr>
          <w:i/>
          <w:sz w:val="24"/>
          <w:szCs w:val="24"/>
          <w:highlight w:val="yellow"/>
        </w:rPr>
        <w:t>Capsicum annuum L.</w:t>
      </w:r>
      <w:r>
        <w:rPr>
          <w:sz w:val="24"/>
          <w:szCs w:val="24"/>
          <w:highlight w:val="yellow"/>
        </w:rPr>
        <w:t xml:space="preserve"> varieties contain appreciable amounts of nutrients; however, the cultivation of </w:t>
      </w:r>
      <w:r>
        <w:rPr>
          <w:i/>
          <w:sz w:val="24"/>
          <w:szCs w:val="24"/>
          <w:highlight w:val="yellow"/>
        </w:rPr>
        <w:t>Capsicum annuum L.</w:t>
      </w:r>
      <w:r>
        <w:rPr>
          <w:sz w:val="24"/>
          <w:szCs w:val="24"/>
          <w:highlight w:val="yellow"/>
        </w:rPr>
        <w:t xml:space="preserve"> and consumption of its fruit should be encouraged because of its nutritional and medicinal qualities. It was observed that </w:t>
      </w:r>
      <w:r>
        <w:rPr>
          <w:i/>
          <w:sz w:val="24"/>
          <w:szCs w:val="24"/>
          <w:highlight w:val="yellow"/>
        </w:rPr>
        <w:t>Capsicum annuum L.</w:t>
      </w:r>
      <w:r>
        <w:rPr>
          <w:sz w:val="24"/>
          <w:szCs w:val="24"/>
          <w:highlight w:val="yellow"/>
        </w:rPr>
        <w:t xml:space="preserve"> alone is not rich in all nutrients; hence, consuming </w:t>
      </w:r>
      <w:r>
        <w:rPr>
          <w:i/>
          <w:sz w:val="24"/>
          <w:szCs w:val="24"/>
          <w:highlight w:val="yellow"/>
        </w:rPr>
        <w:t>Capsicum annuum L.</w:t>
      </w:r>
      <w:r>
        <w:rPr>
          <w:sz w:val="24"/>
          <w:szCs w:val="24"/>
          <w:highlight w:val="yellow"/>
        </w:rPr>
        <w:t xml:space="preserve"> in combination with other pepper varieties is important. </w:t>
      </w:r>
    </w:p>
    <w:p w14:paraId="3A9FFD7C" w14:textId="77777777" w:rsidR="007A0044" w:rsidRDefault="007A0044" w:rsidP="00950A2F">
      <w:pPr>
        <w:spacing w:after="0"/>
        <w:jc w:val="both"/>
        <w:rPr>
          <w:sz w:val="24"/>
          <w:szCs w:val="24"/>
        </w:rPr>
      </w:pPr>
      <w:r w:rsidRPr="007A0044">
        <w:rPr>
          <w:sz w:val="24"/>
          <w:szCs w:val="24"/>
        </w:rPr>
        <w:t xml:space="preserve">Based on the findings of this study, the cultivation and consumption of </w:t>
      </w:r>
      <w:r w:rsidRPr="007A0044">
        <w:rPr>
          <w:i/>
          <w:iCs/>
          <w:sz w:val="24"/>
          <w:szCs w:val="24"/>
        </w:rPr>
        <w:t>Capsicum annuum</w:t>
      </w:r>
      <w:r w:rsidRPr="007A0044">
        <w:rPr>
          <w:sz w:val="24"/>
          <w:szCs w:val="24"/>
        </w:rPr>
        <w:t xml:space="preserve"> L. should be encouraged because of its appreciable nutritional and potential medicinal value. Consumers are encouraged to include </w:t>
      </w:r>
      <w:r w:rsidRPr="007A0044">
        <w:rPr>
          <w:i/>
          <w:iCs/>
          <w:sz w:val="24"/>
          <w:szCs w:val="24"/>
        </w:rPr>
        <w:t>C. annuum</w:t>
      </w:r>
      <w:r w:rsidRPr="007A0044">
        <w:rPr>
          <w:sz w:val="24"/>
          <w:szCs w:val="24"/>
        </w:rPr>
        <w:t xml:space="preserve"> fruits as part of a balanced and diversified diet and to combine them with other varieties of pepper, vegetables, fruits, and other nutrient-rich foods to obtain a wider range of essential nutrients. Farmers should adopt appropriate cultivation, harvesting, drying, and storage practices to maintain the nutritional quality of the fruits. Further research should also be </w:t>
      </w:r>
      <w:r w:rsidRPr="007A0044">
        <w:rPr>
          <w:sz w:val="24"/>
          <w:szCs w:val="24"/>
        </w:rPr>
        <w:lastRenderedPageBreak/>
        <w:t xml:space="preserve">conducted on different varieties of </w:t>
      </w:r>
      <w:r w:rsidRPr="007A0044">
        <w:rPr>
          <w:i/>
          <w:iCs/>
          <w:sz w:val="24"/>
          <w:szCs w:val="24"/>
        </w:rPr>
        <w:t>C. annuum</w:t>
      </w:r>
      <w:r w:rsidRPr="007A0044">
        <w:rPr>
          <w:sz w:val="24"/>
          <w:szCs w:val="24"/>
        </w:rPr>
        <w:t xml:space="preserve"> L. to compare their nutritional, mineral, vitamin, antioxidant, and anti-nutritional compositions. In addition, further studies are recommended to evaluate the bioavailability and nutritional significance of compounds such as phytate and oxalate and to investigate the potential health benefits of the bioactive compounds present in the fruits.</w:t>
      </w:r>
    </w:p>
    <w:p w14:paraId="26CC624E" w14:textId="77777777" w:rsidR="00D33926" w:rsidRDefault="00D33926" w:rsidP="00950A2F">
      <w:pPr>
        <w:spacing w:after="0"/>
        <w:jc w:val="both"/>
        <w:rPr>
          <w:sz w:val="24"/>
          <w:szCs w:val="24"/>
        </w:rPr>
      </w:pPr>
    </w:p>
    <w:p w14:paraId="09E3FF2A" w14:textId="77777777" w:rsidR="00D33926" w:rsidRPr="00D33926" w:rsidRDefault="00D33926" w:rsidP="00D33926">
      <w:pPr>
        <w:spacing w:before="100" w:beforeAutospacing="1" w:after="100" w:afterAutospacing="1" w:line="240" w:lineRule="auto"/>
        <w:outlineLvl w:val="1"/>
        <w:rPr>
          <w:rFonts w:eastAsia="Times New Roman" w:cs="Times New Roman"/>
          <w:b/>
          <w:bCs/>
          <w:sz w:val="36"/>
          <w:szCs w:val="36"/>
        </w:rPr>
      </w:pPr>
      <w:r w:rsidRPr="00D33926">
        <w:rPr>
          <w:rFonts w:eastAsia="Times New Roman" w:cs="Times New Roman"/>
          <w:b/>
          <w:bCs/>
          <w:sz w:val="36"/>
          <w:szCs w:val="36"/>
        </w:rPr>
        <w:t>Limitations</w:t>
      </w:r>
    </w:p>
    <w:p w14:paraId="0AC0A3E9" w14:textId="77777777" w:rsidR="00D33926" w:rsidRPr="00D33926" w:rsidRDefault="00D33926" w:rsidP="00D33926">
      <w:pPr>
        <w:spacing w:before="100" w:beforeAutospacing="1" w:after="100" w:afterAutospacing="1" w:line="240" w:lineRule="auto"/>
        <w:rPr>
          <w:rFonts w:eastAsia="Times New Roman" w:cs="Times New Roman"/>
          <w:sz w:val="24"/>
          <w:szCs w:val="24"/>
        </w:rPr>
      </w:pPr>
      <w:r w:rsidRPr="00D33926">
        <w:rPr>
          <w:rFonts w:eastAsia="Times New Roman" w:cs="Times New Roman"/>
          <w:sz w:val="24"/>
          <w:szCs w:val="24"/>
        </w:rPr>
        <w:t xml:space="preserve">This study was limited to the </w:t>
      </w:r>
      <w:proofErr w:type="spellStart"/>
      <w:r w:rsidRPr="00D33926">
        <w:rPr>
          <w:rFonts w:eastAsia="Times New Roman" w:cs="Times New Roman"/>
          <w:sz w:val="24"/>
          <w:szCs w:val="24"/>
        </w:rPr>
        <w:t>analysed</w:t>
      </w:r>
      <w:proofErr w:type="spellEnd"/>
      <w:r w:rsidRPr="00D33926">
        <w:rPr>
          <w:rFonts w:eastAsia="Times New Roman" w:cs="Times New Roman"/>
          <w:sz w:val="24"/>
          <w:szCs w:val="24"/>
        </w:rPr>
        <w:t xml:space="preserve"> </w:t>
      </w:r>
      <w:r w:rsidRPr="00D33926">
        <w:rPr>
          <w:rFonts w:eastAsia="Times New Roman" w:cs="Times New Roman"/>
          <w:i/>
          <w:iCs/>
          <w:sz w:val="24"/>
          <w:szCs w:val="24"/>
        </w:rPr>
        <w:t>Capsicum annuum</w:t>
      </w:r>
      <w:r w:rsidRPr="00D33926">
        <w:rPr>
          <w:rFonts w:eastAsia="Times New Roman" w:cs="Times New Roman"/>
          <w:sz w:val="24"/>
          <w:szCs w:val="24"/>
        </w:rPr>
        <w:t xml:space="preserve"> L. fruit samples and the selected proximate components, mineral elements, vitamins, flavonoids, phytate, and oxalate measured using the reported methods. The study did not assess nutrient bioavailability, the effects of cooking or other processing methods, or differences among multiple varieties and growing locations. Consequently, the findings should be interpreted as compositional results for the </w:t>
      </w:r>
      <w:proofErr w:type="spellStart"/>
      <w:r w:rsidRPr="00D33926">
        <w:rPr>
          <w:rFonts w:eastAsia="Times New Roman" w:cs="Times New Roman"/>
          <w:sz w:val="24"/>
          <w:szCs w:val="24"/>
        </w:rPr>
        <w:t>analysed</w:t>
      </w:r>
      <w:proofErr w:type="spellEnd"/>
      <w:r w:rsidRPr="00D33926">
        <w:rPr>
          <w:rFonts w:eastAsia="Times New Roman" w:cs="Times New Roman"/>
          <w:sz w:val="24"/>
          <w:szCs w:val="24"/>
        </w:rPr>
        <w:t xml:space="preserve"> samples rather than as a complete representation of all </w:t>
      </w:r>
      <w:r w:rsidRPr="00D33926">
        <w:rPr>
          <w:rFonts w:eastAsia="Times New Roman" w:cs="Times New Roman"/>
          <w:i/>
          <w:iCs/>
          <w:sz w:val="24"/>
          <w:szCs w:val="24"/>
        </w:rPr>
        <w:t>C. annuum</w:t>
      </w:r>
      <w:r w:rsidRPr="00D33926">
        <w:rPr>
          <w:rFonts w:eastAsia="Times New Roman" w:cs="Times New Roman"/>
          <w:sz w:val="24"/>
          <w:szCs w:val="24"/>
        </w:rPr>
        <w:t xml:space="preserve"> fruits.</w:t>
      </w:r>
    </w:p>
    <w:p w14:paraId="1B5CD739" w14:textId="77777777" w:rsidR="00D33926" w:rsidRDefault="00D33926" w:rsidP="00950A2F">
      <w:pPr>
        <w:spacing w:after="0"/>
        <w:jc w:val="both"/>
        <w:rPr>
          <w:sz w:val="24"/>
          <w:szCs w:val="24"/>
        </w:rPr>
      </w:pPr>
    </w:p>
    <w:p w14:paraId="53B95450" w14:textId="77777777" w:rsidR="002B5059" w:rsidRDefault="002B5059" w:rsidP="00950A2F">
      <w:pPr>
        <w:spacing w:after="0"/>
        <w:jc w:val="both"/>
        <w:rPr>
          <w:sz w:val="24"/>
          <w:szCs w:val="24"/>
        </w:rPr>
      </w:pPr>
    </w:p>
    <w:p w14:paraId="07E45A28" w14:textId="77777777" w:rsidR="00B33122" w:rsidRDefault="00B33122" w:rsidP="00B33122">
      <w:pPr>
        <w:spacing w:after="0" w:line="240" w:lineRule="auto"/>
        <w:rPr>
          <w:rFonts w:cs="Times New Roman"/>
          <w:b/>
        </w:rPr>
      </w:pPr>
      <w:r w:rsidRPr="000839CE">
        <w:rPr>
          <w:rFonts w:cs="Times New Roman"/>
          <w:b/>
        </w:rPr>
        <w:t>Declaration of AI Use</w:t>
      </w:r>
    </w:p>
    <w:p w14:paraId="5E6362E2" w14:textId="77777777" w:rsidR="00B33122" w:rsidRDefault="00B33122" w:rsidP="00B33122">
      <w:pPr>
        <w:spacing w:after="0" w:line="240" w:lineRule="auto"/>
        <w:rPr>
          <w:rFonts w:cs="Times New Roman"/>
          <w:b/>
        </w:rPr>
      </w:pPr>
    </w:p>
    <w:p w14:paraId="25D55457" w14:textId="77777777" w:rsidR="00B33122" w:rsidRDefault="00B33122" w:rsidP="00B33122">
      <w:pPr>
        <w:spacing w:after="0" w:line="240" w:lineRule="auto"/>
        <w:rPr>
          <w:rFonts w:cs="Times New Roman"/>
          <w:b/>
        </w:rPr>
      </w:pPr>
    </w:p>
    <w:p w14:paraId="04115817" w14:textId="77777777" w:rsidR="00B33122" w:rsidRPr="002D08AC" w:rsidRDefault="00B33122" w:rsidP="00B3312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86D0C99" w14:textId="77777777" w:rsidR="00B33122" w:rsidRDefault="00B33122" w:rsidP="00B33122">
      <w:pPr>
        <w:spacing w:after="0" w:line="240" w:lineRule="auto"/>
        <w:rPr>
          <w:rFonts w:cs="Times New Roman"/>
          <w:b/>
        </w:rPr>
      </w:pPr>
    </w:p>
    <w:p w14:paraId="7A8923CB" w14:textId="77777777" w:rsidR="00B33122" w:rsidRPr="007A0044" w:rsidRDefault="00B33122" w:rsidP="00950A2F">
      <w:pPr>
        <w:spacing w:after="0"/>
        <w:jc w:val="both"/>
        <w:rPr>
          <w:sz w:val="24"/>
          <w:szCs w:val="24"/>
        </w:rPr>
      </w:pPr>
    </w:p>
    <w:p w14:paraId="7A2F1742" w14:textId="77777777" w:rsidR="00A66829" w:rsidRDefault="00A66829" w:rsidP="00950A2F">
      <w:pPr>
        <w:pStyle w:val="Heading1"/>
        <w:spacing w:before="0"/>
        <w:rPr>
          <w:rFonts w:ascii="Times New Roman" w:hAnsi="Times New Roman" w:cs="Times New Roman"/>
          <w:color w:val="auto"/>
          <w:sz w:val="24"/>
          <w:szCs w:val="24"/>
        </w:rPr>
      </w:pPr>
    </w:p>
    <w:p w14:paraId="7B9C2A32" w14:textId="77777777" w:rsidR="00381D6F" w:rsidRPr="007A0044" w:rsidRDefault="00C85E75" w:rsidP="00950A2F">
      <w:pPr>
        <w:pStyle w:val="Heading1"/>
        <w:spacing w:before="0"/>
        <w:rPr>
          <w:rFonts w:ascii="Times New Roman" w:hAnsi="Times New Roman" w:cs="Times New Roman"/>
          <w:color w:val="auto"/>
          <w:sz w:val="24"/>
          <w:szCs w:val="24"/>
        </w:rPr>
      </w:pPr>
      <w:r w:rsidRPr="007A0044">
        <w:rPr>
          <w:rFonts w:ascii="Times New Roman" w:hAnsi="Times New Roman" w:cs="Times New Roman"/>
          <w:color w:val="auto"/>
          <w:sz w:val="24"/>
          <w:szCs w:val="24"/>
        </w:rPr>
        <w:t>REFERENCES</w:t>
      </w:r>
    </w:p>
    <w:p w14:paraId="234E6589" w14:textId="77777777" w:rsidR="00355882" w:rsidRDefault="00355882">
      <w:pPr>
        <w:spacing w:after="100" w:line="240" w:lineRule="auto"/>
        <w:ind w:left="540" w:hanging="540"/>
        <w:jc w:val="both"/>
        <w:rPr>
          <w:sz w:val="24"/>
        </w:rPr>
      </w:pPr>
    </w:p>
    <w:p w14:paraId="310BBDAC" w14:textId="256EB625" w:rsidR="006C0194" w:rsidRDefault="00000000">
      <w:pPr>
        <w:spacing w:after="100" w:line="240" w:lineRule="auto"/>
        <w:ind w:left="540" w:hanging="540"/>
        <w:jc w:val="both"/>
      </w:pPr>
      <w:r>
        <w:rPr>
          <w:sz w:val="24"/>
        </w:rPr>
        <w:t>Akwaowo, E. U., Ndon, B. A., &amp; Etuk, E. U. (2000). Minerals and antinutrients in fluted pumpkin (</w:t>
      </w:r>
      <w:r>
        <w:rPr>
          <w:i/>
          <w:sz w:val="24"/>
        </w:rPr>
        <w:t>Telfairia occidentalis</w:t>
      </w:r>
      <w:r>
        <w:rPr>
          <w:sz w:val="24"/>
        </w:rPr>
        <w:t xml:space="preserve"> Hook f.). </w:t>
      </w:r>
      <w:r>
        <w:rPr>
          <w:i/>
          <w:sz w:val="24"/>
        </w:rPr>
        <w:t>Food Chemistry, 70</w:t>
      </w:r>
      <w:r>
        <w:rPr>
          <w:sz w:val="24"/>
        </w:rPr>
        <w:t xml:space="preserve">(2), 235–240. </w:t>
      </w:r>
      <w:hyperlink r:id="rId10">
        <w:r>
          <w:rPr>
            <w:color w:val="0563C1"/>
            <w:sz w:val="24"/>
            <w:szCs w:val="24"/>
            <w:u w:val="single"/>
          </w:rPr>
          <w:t>https://doi.org/10.1016/S0308-8146(99)00207-1</w:t>
        </w:r>
      </w:hyperlink>
    </w:p>
    <w:p w14:paraId="2A782C8D" w14:textId="77777777" w:rsidR="006C0194" w:rsidRDefault="00000000">
      <w:pPr>
        <w:spacing w:after="100" w:line="240" w:lineRule="auto"/>
        <w:ind w:left="540" w:hanging="540"/>
        <w:jc w:val="both"/>
      </w:pPr>
      <w:r>
        <w:rPr>
          <w:sz w:val="24"/>
        </w:rPr>
        <w:t>Alabi, E. O., &amp; Ayodele, O. J. (2019). Effects of phosphorus fertilizer on plant growth, fruit yield and proximate composition of hot pepper (</w:t>
      </w:r>
      <w:r>
        <w:rPr>
          <w:i/>
          <w:sz w:val="24"/>
        </w:rPr>
        <w:t>Capsicum annuum</w:t>
      </w:r>
      <w:r>
        <w:rPr>
          <w:sz w:val="24"/>
        </w:rPr>
        <w:t xml:space="preserve">, Rodo variety). </w:t>
      </w:r>
      <w:r>
        <w:rPr>
          <w:i/>
          <w:sz w:val="24"/>
        </w:rPr>
        <w:t>International Journal of Plant &amp; Soil Science, 31</w:t>
      </w:r>
      <w:r>
        <w:rPr>
          <w:sz w:val="24"/>
        </w:rPr>
        <w:t xml:space="preserve">(3), 1–10. </w:t>
      </w:r>
      <w:hyperlink r:id="rId11">
        <w:r>
          <w:rPr>
            <w:color w:val="0563C1"/>
            <w:sz w:val="24"/>
            <w:szCs w:val="24"/>
            <w:u w:val="single"/>
          </w:rPr>
          <w:t>https://doi.org/10.9734/ijpss/2019/v31i330210</w:t>
        </w:r>
      </w:hyperlink>
    </w:p>
    <w:p w14:paraId="5F51F87C" w14:textId="77777777" w:rsidR="006C0194" w:rsidRDefault="00000000">
      <w:pPr>
        <w:spacing w:after="100" w:line="240" w:lineRule="auto"/>
        <w:ind w:left="540" w:hanging="540"/>
        <w:jc w:val="both"/>
      </w:pPr>
      <w:r>
        <w:rPr>
          <w:sz w:val="24"/>
        </w:rPr>
        <w:t>Aremu, M. O., Olaofe, O., &amp; Akintayo, E. T. (2006). Chemical composition and physicochemical characteristics of two varieties of Bambara groundnut (</w:t>
      </w:r>
      <w:r>
        <w:rPr>
          <w:i/>
          <w:sz w:val="24"/>
        </w:rPr>
        <w:t>Vigna subterranea</w:t>
      </w:r>
      <w:r>
        <w:rPr>
          <w:sz w:val="24"/>
        </w:rPr>
        <w:t xml:space="preserve">) flours. </w:t>
      </w:r>
      <w:r>
        <w:rPr>
          <w:i/>
          <w:sz w:val="24"/>
        </w:rPr>
        <w:t>Journal of Applied Sciences, 6</w:t>
      </w:r>
      <w:r>
        <w:rPr>
          <w:sz w:val="24"/>
        </w:rPr>
        <w:t xml:space="preserve">(9), 1900–1903. </w:t>
      </w:r>
      <w:hyperlink r:id="rId12">
        <w:r>
          <w:rPr>
            <w:color w:val="0563C1"/>
            <w:sz w:val="24"/>
            <w:szCs w:val="24"/>
            <w:u w:val="single"/>
          </w:rPr>
          <w:t>https://doi.org/10.3923/jas.2006.1900.1903</w:t>
        </w:r>
      </w:hyperlink>
    </w:p>
    <w:p w14:paraId="66B69006" w14:textId="46361FCC" w:rsidR="006C0194" w:rsidRPr="00355882" w:rsidRDefault="00000000">
      <w:pPr>
        <w:spacing w:after="100" w:line="240" w:lineRule="auto"/>
        <w:ind w:left="540" w:hanging="540"/>
        <w:jc w:val="both"/>
        <w:rPr>
          <w:lang w:val="nl-BE"/>
        </w:rPr>
      </w:pPr>
      <w:r>
        <w:rPr>
          <w:sz w:val="24"/>
        </w:rPr>
        <w:t>Aremu, M. O., Olaofe, O., &amp; Orjioke, C. A. (2008). Chemical composition of Bambara groundnut (</w:t>
      </w:r>
      <w:r>
        <w:rPr>
          <w:i/>
          <w:sz w:val="24"/>
        </w:rPr>
        <w:t>Vigna subterranea</w:t>
      </w:r>
      <w:r>
        <w:rPr>
          <w:sz w:val="24"/>
        </w:rPr>
        <w:t>), Kersting’s groundnut (</w:t>
      </w:r>
      <w:r>
        <w:rPr>
          <w:i/>
          <w:sz w:val="24"/>
        </w:rPr>
        <w:t>Kerstingiella geocarpa</w:t>
      </w:r>
      <w:r>
        <w:rPr>
          <w:sz w:val="24"/>
        </w:rPr>
        <w:t>) and scarlet runner bean (</w:t>
      </w:r>
      <w:r>
        <w:rPr>
          <w:i/>
          <w:sz w:val="24"/>
        </w:rPr>
        <w:t>Phaseolus coccineus</w:t>
      </w:r>
      <w:r>
        <w:rPr>
          <w:sz w:val="24"/>
        </w:rPr>
        <w:t xml:space="preserve">) protein concentrates. </w:t>
      </w:r>
      <w:r w:rsidRPr="00355882">
        <w:rPr>
          <w:i/>
          <w:sz w:val="24"/>
          <w:lang w:val="nl-BE"/>
        </w:rPr>
        <w:t>Rivista Italiana delle Sostanze Grasse, 85</w:t>
      </w:r>
      <w:r w:rsidRPr="00355882">
        <w:rPr>
          <w:sz w:val="24"/>
          <w:lang w:val="nl-BE"/>
        </w:rPr>
        <w:t xml:space="preserve">(2), 128–134. </w:t>
      </w:r>
    </w:p>
    <w:p w14:paraId="04C0345D" w14:textId="77777777" w:rsidR="006C0194" w:rsidRDefault="00000000">
      <w:pPr>
        <w:spacing w:after="100" w:line="240" w:lineRule="auto"/>
        <w:ind w:left="540" w:hanging="540"/>
        <w:jc w:val="both"/>
      </w:pPr>
      <w:r>
        <w:rPr>
          <w:sz w:val="24"/>
        </w:rPr>
        <w:t xml:space="preserve">Association of Official Analytical Chemists. (1990). </w:t>
      </w:r>
      <w:r>
        <w:rPr>
          <w:i/>
          <w:sz w:val="24"/>
        </w:rPr>
        <w:t>Official methods of analysis of the Association of Official Analytical Chemists</w:t>
      </w:r>
      <w:r>
        <w:rPr>
          <w:sz w:val="24"/>
        </w:rPr>
        <w:t xml:space="preserve"> (15th ed.). Association of Official Analytical Chemists. </w:t>
      </w:r>
      <w:hyperlink r:id="rId13">
        <w:r>
          <w:rPr>
            <w:color w:val="0563C1"/>
            <w:sz w:val="24"/>
            <w:szCs w:val="24"/>
            <w:u w:val="single"/>
          </w:rPr>
          <w:t>https://sibr.nist.gov/record/official-methods-analysis-15th-edition-0</w:t>
        </w:r>
      </w:hyperlink>
    </w:p>
    <w:p w14:paraId="5CA582C4" w14:textId="03CF63D9" w:rsidR="006C0194" w:rsidRDefault="00000000">
      <w:pPr>
        <w:spacing w:after="100" w:line="240" w:lineRule="auto"/>
        <w:ind w:left="540" w:hanging="540"/>
        <w:jc w:val="both"/>
      </w:pPr>
      <w:r>
        <w:rPr>
          <w:sz w:val="24"/>
        </w:rPr>
        <w:lastRenderedPageBreak/>
        <w:t xml:space="preserve">Bohm, B. A., &amp; Koupai-Abyazani, M. R. (1994). Flavonoids and condensed tannins from leaves of Hawaiian </w:t>
      </w:r>
      <w:r>
        <w:rPr>
          <w:i/>
          <w:sz w:val="24"/>
        </w:rPr>
        <w:t>Vaccinium reticulatum</w:t>
      </w:r>
      <w:r>
        <w:rPr>
          <w:sz w:val="24"/>
        </w:rPr>
        <w:t xml:space="preserve"> and </w:t>
      </w:r>
      <w:r>
        <w:rPr>
          <w:i/>
          <w:sz w:val="24"/>
        </w:rPr>
        <w:t>V. calycinum</w:t>
      </w:r>
      <w:r>
        <w:rPr>
          <w:sz w:val="24"/>
        </w:rPr>
        <w:t xml:space="preserve"> (Ericaceae). </w:t>
      </w:r>
      <w:r>
        <w:rPr>
          <w:i/>
          <w:sz w:val="24"/>
        </w:rPr>
        <w:t>Pacific Science, 48</w:t>
      </w:r>
      <w:r>
        <w:rPr>
          <w:sz w:val="24"/>
        </w:rPr>
        <w:t xml:space="preserve">(4), 458–463. </w:t>
      </w:r>
    </w:p>
    <w:p w14:paraId="54966EC5" w14:textId="77777777" w:rsidR="006C0194" w:rsidRDefault="00000000">
      <w:pPr>
        <w:spacing w:after="100" w:line="240" w:lineRule="auto"/>
        <w:ind w:left="540" w:hanging="540"/>
        <w:jc w:val="both"/>
      </w:pPr>
      <w:r>
        <w:rPr>
          <w:sz w:val="24"/>
        </w:rPr>
        <w:t xml:space="preserve">Cemeroğlu, B. (Ed.). (2007). </w:t>
      </w:r>
      <w:r>
        <w:rPr>
          <w:i/>
          <w:sz w:val="24"/>
        </w:rPr>
        <w:t>Gıda analizleri</w:t>
      </w:r>
      <w:r>
        <w:rPr>
          <w:sz w:val="24"/>
        </w:rPr>
        <w:t xml:space="preserve">. Gıda Teknolojisi Derneği Yayınları. </w:t>
      </w:r>
      <w:hyperlink r:id="rId14">
        <w:r>
          <w:rPr>
            <w:color w:val="0563C1"/>
            <w:sz w:val="24"/>
            <w:szCs w:val="24"/>
            <w:u w:val="single"/>
          </w:rPr>
          <w:t>https://food.eng.ankara.edu.tr/kitaplar/</w:t>
        </w:r>
      </w:hyperlink>
    </w:p>
    <w:p w14:paraId="2A24660B" w14:textId="77777777" w:rsidR="006C0194" w:rsidRDefault="00000000">
      <w:pPr>
        <w:spacing w:after="100" w:line="240" w:lineRule="auto"/>
        <w:ind w:left="540" w:hanging="540"/>
        <w:jc w:val="both"/>
      </w:pPr>
      <w:r>
        <w:rPr>
          <w:sz w:val="24"/>
        </w:rPr>
        <w:t xml:space="preserve">Chávez-Mendoza, C., Sanchez, E., Muñoz-Marquez, E., Sida-Arreola, J. P., &amp; Flores-Cordova, M. A. (2015). Bioactive compounds and antioxidant activity in different grafted varieties of bell pepper. </w:t>
      </w:r>
      <w:r>
        <w:rPr>
          <w:i/>
          <w:sz w:val="24"/>
        </w:rPr>
        <w:t>Antioxidants, 4</w:t>
      </w:r>
      <w:r>
        <w:rPr>
          <w:sz w:val="24"/>
        </w:rPr>
        <w:t xml:space="preserve">(2), 427–446. </w:t>
      </w:r>
      <w:hyperlink r:id="rId15">
        <w:r>
          <w:rPr>
            <w:color w:val="0563C1"/>
            <w:sz w:val="24"/>
            <w:szCs w:val="24"/>
            <w:u w:val="single"/>
          </w:rPr>
          <w:t>https://doi.org/10.3390/antiox4020427</w:t>
        </w:r>
      </w:hyperlink>
    </w:p>
    <w:p w14:paraId="516B6BBE" w14:textId="77777777" w:rsidR="006C0194" w:rsidRDefault="00000000">
      <w:pPr>
        <w:spacing w:after="100" w:line="240" w:lineRule="auto"/>
        <w:ind w:left="540" w:hanging="540"/>
        <w:jc w:val="both"/>
      </w:pPr>
      <w:r>
        <w:rPr>
          <w:sz w:val="24"/>
        </w:rPr>
        <w:t xml:space="preserve">Ekholm, P., Virkki, L., Ylinen, M., &amp; Johansson, L. (2003). The effect of phytic acid and some natural chelating agents on the solubility of mineral elements in oat bran. </w:t>
      </w:r>
      <w:r>
        <w:rPr>
          <w:i/>
          <w:sz w:val="24"/>
        </w:rPr>
        <w:t>Food Chemistry, 80</w:t>
      </w:r>
      <w:r>
        <w:rPr>
          <w:sz w:val="24"/>
        </w:rPr>
        <w:t xml:space="preserve">(2), 165–170. </w:t>
      </w:r>
      <w:hyperlink r:id="rId16">
        <w:r>
          <w:rPr>
            <w:color w:val="0563C1"/>
            <w:sz w:val="24"/>
            <w:szCs w:val="24"/>
            <w:u w:val="single"/>
          </w:rPr>
          <w:t>https://doi.org/10.1016/S0308-8146(02)00249-2</w:t>
        </w:r>
      </w:hyperlink>
    </w:p>
    <w:p w14:paraId="21113742" w14:textId="77777777" w:rsidR="006C0194" w:rsidRDefault="00000000">
      <w:pPr>
        <w:spacing w:after="100" w:line="240" w:lineRule="auto"/>
        <w:ind w:left="540" w:hanging="540"/>
        <w:jc w:val="both"/>
      </w:pPr>
      <w:r>
        <w:rPr>
          <w:sz w:val="24"/>
        </w:rPr>
        <w:t xml:space="preserve">Esayas, K., Shimelis, A., Ashebir, F., Negussie, R., Tilahun, B., &amp; Gulelat, D. (2011). Proximate composition, mineral content and antinutritional factors of some </w:t>
      </w:r>
      <w:r>
        <w:rPr>
          <w:i/>
          <w:sz w:val="24"/>
        </w:rPr>
        <w:t>Capsicum annuum</w:t>
      </w:r>
      <w:r>
        <w:rPr>
          <w:sz w:val="24"/>
        </w:rPr>
        <w:t xml:space="preserve"> varieties grown in Ethiopia. </w:t>
      </w:r>
      <w:r>
        <w:rPr>
          <w:i/>
          <w:sz w:val="24"/>
        </w:rPr>
        <w:t>Bulletin of the Chemical Society of Ethiopia, 25</w:t>
      </w:r>
      <w:r>
        <w:rPr>
          <w:sz w:val="24"/>
        </w:rPr>
        <w:t xml:space="preserve">(3), 451–454. </w:t>
      </w:r>
      <w:hyperlink r:id="rId17">
        <w:r>
          <w:rPr>
            <w:color w:val="0563C1"/>
            <w:sz w:val="24"/>
            <w:szCs w:val="24"/>
            <w:u w:val="single"/>
          </w:rPr>
          <w:t>https://doi.org/10.4314/bcse.v25i3.68602</w:t>
        </w:r>
      </w:hyperlink>
    </w:p>
    <w:p w14:paraId="2C81B3A6" w14:textId="77777777" w:rsidR="006C0194" w:rsidRDefault="00000000">
      <w:pPr>
        <w:spacing w:after="100" w:line="240" w:lineRule="auto"/>
        <w:ind w:left="540" w:hanging="540"/>
        <w:jc w:val="both"/>
      </w:pPr>
      <w:r>
        <w:rPr>
          <w:sz w:val="24"/>
        </w:rPr>
        <w:t>Edwige-Gwladys, G. K., Emile, B.-B. B., &amp; Eudoxie, B. A. C. (2026). Comparative effects of four liquid fertilizers on the growth and yield of pepper (</w:t>
      </w:r>
      <w:r>
        <w:rPr>
          <w:i/>
          <w:sz w:val="24"/>
        </w:rPr>
        <w:t>Capsicum annuum</w:t>
      </w:r>
      <w:r>
        <w:rPr>
          <w:sz w:val="24"/>
        </w:rPr>
        <w:t xml:space="preserve"> L.) under soilless cultivation in Southern Côte d’Ivoire. </w:t>
      </w:r>
      <w:r>
        <w:rPr>
          <w:i/>
          <w:sz w:val="24"/>
        </w:rPr>
        <w:t>Journal of Biology and Nature, 18</w:t>
      </w:r>
      <w:r>
        <w:rPr>
          <w:sz w:val="24"/>
        </w:rPr>
        <w:t xml:space="preserve">(2), 431–441. </w:t>
      </w:r>
      <w:hyperlink r:id="rId18">
        <w:r>
          <w:rPr>
            <w:color w:val="0563C1"/>
            <w:sz w:val="24"/>
            <w:szCs w:val="24"/>
            <w:u w:val="single"/>
          </w:rPr>
          <w:t>https://doi.org/10.56557/joban/2026/v18i211033</w:t>
        </w:r>
      </w:hyperlink>
    </w:p>
    <w:p w14:paraId="06D5A486" w14:textId="77777777" w:rsidR="006C0194" w:rsidRDefault="00000000">
      <w:pPr>
        <w:spacing w:after="100" w:line="240" w:lineRule="auto"/>
        <w:ind w:left="540" w:hanging="540"/>
        <w:jc w:val="both"/>
      </w:pPr>
      <w:r>
        <w:rPr>
          <w:sz w:val="24"/>
        </w:rPr>
        <w:t xml:space="preserve">Farsinejad-Marj, M., Saneei, P., &amp; Esmaillzadeh, A. (2016). Dietary magnesium intake, bone mineral density and risk of fracture: A systematic review and meta-analysis. </w:t>
      </w:r>
      <w:r>
        <w:rPr>
          <w:i/>
          <w:sz w:val="24"/>
        </w:rPr>
        <w:t>Osteoporosis International, 27</w:t>
      </w:r>
      <w:r>
        <w:rPr>
          <w:sz w:val="24"/>
        </w:rPr>
        <w:t xml:space="preserve">(4), 1389–1399. </w:t>
      </w:r>
      <w:hyperlink r:id="rId19">
        <w:r>
          <w:rPr>
            <w:color w:val="0563C1"/>
            <w:sz w:val="24"/>
            <w:szCs w:val="24"/>
            <w:u w:val="single"/>
          </w:rPr>
          <w:t>https://doi.org/10.1007/s00198-015-3400-y</w:t>
        </w:r>
      </w:hyperlink>
    </w:p>
    <w:p w14:paraId="4D156B84" w14:textId="77777777" w:rsidR="006C0194" w:rsidRDefault="00000000">
      <w:pPr>
        <w:spacing w:after="100" w:line="240" w:lineRule="auto"/>
        <w:ind w:left="540" w:hanging="540"/>
        <w:jc w:val="both"/>
      </w:pPr>
      <w:r>
        <w:rPr>
          <w:sz w:val="24"/>
        </w:rPr>
        <w:t>Ibanga, O. I., &amp; Ekpa, O. D. (2009). Minerals and anti-nutrients in two varieties of African pear (</w:t>
      </w:r>
      <w:r>
        <w:rPr>
          <w:i/>
          <w:sz w:val="24"/>
        </w:rPr>
        <w:t>Dacryodes edulis</w:t>
      </w:r>
      <w:r>
        <w:rPr>
          <w:sz w:val="24"/>
        </w:rPr>
        <w:t xml:space="preserve">). </w:t>
      </w:r>
      <w:r>
        <w:rPr>
          <w:i/>
          <w:sz w:val="24"/>
        </w:rPr>
        <w:t>Journal of Food Technology, 7</w:t>
      </w:r>
      <w:r>
        <w:rPr>
          <w:sz w:val="24"/>
        </w:rPr>
        <w:t xml:space="preserve">(4), 106–110. </w:t>
      </w:r>
      <w:hyperlink r:id="rId20">
        <w:r>
          <w:rPr>
            <w:color w:val="0563C1"/>
            <w:sz w:val="24"/>
            <w:szCs w:val="24"/>
            <w:u w:val="single"/>
          </w:rPr>
          <w:t>https://doi.org/10.36478/jftech.2009.106.110</w:t>
        </w:r>
      </w:hyperlink>
    </w:p>
    <w:p w14:paraId="49CA81B1" w14:textId="77777777" w:rsidR="006C0194" w:rsidRDefault="00000000">
      <w:pPr>
        <w:spacing w:after="100" w:line="240" w:lineRule="auto"/>
        <w:ind w:left="540" w:hanging="540"/>
        <w:jc w:val="both"/>
      </w:pPr>
      <w:r>
        <w:rPr>
          <w:sz w:val="24"/>
        </w:rPr>
        <w:t>Jang, H., Choi, M., &amp; Jang, K.-S. (2024). Comprehensive phytochemical profiles and antioxidant activity of Korean local cultivars of red chili pepper (</w:t>
      </w:r>
      <w:r>
        <w:rPr>
          <w:i/>
          <w:sz w:val="24"/>
        </w:rPr>
        <w:t>Capsicum annuum</w:t>
      </w:r>
      <w:r>
        <w:rPr>
          <w:sz w:val="24"/>
        </w:rPr>
        <w:t xml:space="preserve"> L.). </w:t>
      </w:r>
      <w:r>
        <w:rPr>
          <w:i/>
          <w:sz w:val="24"/>
        </w:rPr>
        <w:t>Frontiers in Plant Science, 15</w:t>
      </w:r>
      <w:r>
        <w:rPr>
          <w:sz w:val="24"/>
        </w:rPr>
        <w:t xml:space="preserve">, 1333035. </w:t>
      </w:r>
      <w:hyperlink r:id="rId21">
        <w:r>
          <w:rPr>
            <w:color w:val="0563C1"/>
            <w:sz w:val="24"/>
            <w:szCs w:val="24"/>
            <w:u w:val="single"/>
          </w:rPr>
          <w:t>https://doi.org/10.3389/fpls.2024.1333035</w:t>
        </w:r>
      </w:hyperlink>
    </w:p>
    <w:p w14:paraId="78DE3BDD" w14:textId="77777777" w:rsidR="006C0194" w:rsidRDefault="00000000">
      <w:pPr>
        <w:spacing w:after="100" w:line="240" w:lineRule="auto"/>
        <w:ind w:left="540" w:hanging="540"/>
        <w:jc w:val="both"/>
      </w:pPr>
      <w:r>
        <w:rPr>
          <w:sz w:val="24"/>
        </w:rPr>
        <w:t xml:space="preserve">Juroszek, P., &amp; Tsai, H.-H. (2009). Yields of organically grown sweet pepper cultivars and lines during the hot-wet and cool-dry season in the tropics. </w:t>
      </w:r>
      <w:r>
        <w:rPr>
          <w:i/>
          <w:sz w:val="24"/>
        </w:rPr>
        <w:t>HortTechnology, 19</w:t>
      </w:r>
      <w:r>
        <w:rPr>
          <w:sz w:val="24"/>
        </w:rPr>
        <w:t xml:space="preserve">(2), 418–422. </w:t>
      </w:r>
      <w:hyperlink r:id="rId22">
        <w:r>
          <w:rPr>
            <w:color w:val="0563C1"/>
            <w:sz w:val="24"/>
            <w:szCs w:val="24"/>
            <w:u w:val="single"/>
          </w:rPr>
          <w:t>https://doi.org/10.21273/HORTTECH.19.2.418</w:t>
        </w:r>
      </w:hyperlink>
    </w:p>
    <w:p w14:paraId="00AB81F4" w14:textId="77777777" w:rsidR="006C0194" w:rsidRDefault="00000000">
      <w:pPr>
        <w:spacing w:after="100" w:line="240" w:lineRule="auto"/>
        <w:ind w:left="540" w:hanging="540"/>
        <w:jc w:val="both"/>
      </w:pPr>
      <w:r>
        <w:rPr>
          <w:sz w:val="24"/>
        </w:rPr>
        <w:t>Karaman, K., Pinar, H., Ciftci, B., &amp; Kaplan, M. (2023). Characterization of phenolics and tocopherol profile, capsaicinoid composition and bioactive properties of fruits in interspecies (</w:t>
      </w:r>
      <w:r>
        <w:rPr>
          <w:i/>
          <w:sz w:val="24"/>
        </w:rPr>
        <w:t>Capsicum annuum</w:t>
      </w:r>
      <w:r>
        <w:rPr>
          <w:sz w:val="24"/>
        </w:rPr>
        <w:t xml:space="preserve"> × </w:t>
      </w:r>
      <w:r>
        <w:rPr>
          <w:i/>
          <w:sz w:val="24"/>
        </w:rPr>
        <w:t>Capsicum frutescens</w:t>
      </w:r>
      <w:r>
        <w:rPr>
          <w:sz w:val="24"/>
        </w:rPr>
        <w:t xml:space="preserve">) recombinant inbred pepper lines (RIL). </w:t>
      </w:r>
      <w:r>
        <w:rPr>
          <w:i/>
          <w:sz w:val="24"/>
        </w:rPr>
        <w:t>Food Chemistry, 423</w:t>
      </w:r>
      <w:r>
        <w:rPr>
          <w:sz w:val="24"/>
        </w:rPr>
        <w:t xml:space="preserve">, 136173. </w:t>
      </w:r>
      <w:hyperlink r:id="rId23">
        <w:r>
          <w:rPr>
            <w:color w:val="0563C1"/>
            <w:sz w:val="24"/>
            <w:szCs w:val="24"/>
            <w:u w:val="single"/>
          </w:rPr>
          <w:t>https://doi.org/10.1016/j.foodchem.2023.136173</w:t>
        </w:r>
      </w:hyperlink>
    </w:p>
    <w:p w14:paraId="4EA51A13" w14:textId="77777777" w:rsidR="006C0194" w:rsidRDefault="00000000">
      <w:pPr>
        <w:spacing w:after="100" w:line="240" w:lineRule="auto"/>
        <w:ind w:left="540" w:hanging="540"/>
        <w:jc w:val="both"/>
      </w:pPr>
      <w:r>
        <w:rPr>
          <w:sz w:val="24"/>
        </w:rPr>
        <w:t xml:space="preserve">Noonan, S. C., &amp; Savage, G. P. (1999). Oxalate content of foods and its effect on humans. </w:t>
      </w:r>
      <w:r>
        <w:rPr>
          <w:i/>
          <w:sz w:val="24"/>
        </w:rPr>
        <w:t>Asia Pacific Journal of Clinical Nutrition, 8</w:t>
      </w:r>
      <w:r>
        <w:rPr>
          <w:sz w:val="24"/>
        </w:rPr>
        <w:t xml:space="preserve">(1), 64–74. </w:t>
      </w:r>
      <w:hyperlink r:id="rId24">
        <w:r>
          <w:rPr>
            <w:color w:val="0563C1"/>
            <w:sz w:val="24"/>
            <w:szCs w:val="24"/>
            <w:u w:val="single"/>
          </w:rPr>
          <w:t>https://doi.org/10.1046/j.1440-6047.1999.00038.x</w:t>
        </w:r>
      </w:hyperlink>
    </w:p>
    <w:p w14:paraId="2EE619BB" w14:textId="77777777" w:rsidR="006C0194" w:rsidRDefault="00000000">
      <w:pPr>
        <w:spacing w:after="100" w:line="240" w:lineRule="auto"/>
        <w:ind w:left="540" w:hanging="540"/>
        <w:jc w:val="both"/>
      </w:pPr>
      <w:r>
        <w:rPr>
          <w:sz w:val="24"/>
        </w:rPr>
        <w:t xml:space="preserve">Norhaizan, M. E., &amp; Nor Faizadatul Ain, A. W. (2009). Determination of phytate, iron, zinc, calcium contents and their molar ratios in commonly consumed raw and prepared food in Malaysia. </w:t>
      </w:r>
      <w:r>
        <w:rPr>
          <w:i/>
          <w:sz w:val="24"/>
        </w:rPr>
        <w:t>Malaysian Journal of Nutrition, 15</w:t>
      </w:r>
      <w:r>
        <w:rPr>
          <w:sz w:val="24"/>
        </w:rPr>
        <w:t xml:space="preserve">(2), 213–222. </w:t>
      </w:r>
      <w:hyperlink r:id="rId25">
        <w:r>
          <w:rPr>
            <w:color w:val="0563C1"/>
            <w:sz w:val="24"/>
            <w:szCs w:val="24"/>
            <w:u w:val="single"/>
          </w:rPr>
          <w:t>https://pubmed.ncbi.nlm.nih.gov/22691819/</w:t>
        </w:r>
      </w:hyperlink>
    </w:p>
    <w:p w14:paraId="4C75DD2B" w14:textId="5B23B479" w:rsidR="006C0194" w:rsidRDefault="00000000">
      <w:pPr>
        <w:spacing w:after="100" w:line="240" w:lineRule="auto"/>
        <w:ind w:left="540" w:hanging="540"/>
        <w:jc w:val="both"/>
      </w:pPr>
      <w:r>
        <w:rPr>
          <w:sz w:val="24"/>
        </w:rPr>
        <w:t xml:space="preserve">Nuhu, A. H., Shitu, F. A., &amp; Tijani, R. A. (2015). Determination of proximate, anti-nutrients and some trace elements of Trinidad moringa scorpion, bell pepper and cayenne pepper. </w:t>
      </w:r>
      <w:r>
        <w:rPr>
          <w:i/>
          <w:sz w:val="24"/>
        </w:rPr>
        <w:lastRenderedPageBreak/>
        <w:t>Proceedings of the Academic Conference of African Scholar Publications &amp; Research International on Challenge and Prospects, 8</w:t>
      </w:r>
      <w:r>
        <w:rPr>
          <w:sz w:val="24"/>
        </w:rPr>
        <w:t xml:space="preserve">(1). </w:t>
      </w:r>
    </w:p>
    <w:p w14:paraId="60B2AA56" w14:textId="77777777" w:rsidR="006C0194" w:rsidRDefault="00000000">
      <w:pPr>
        <w:spacing w:after="100" w:line="240" w:lineRule="auto"/>
        <w:ind w:left="540" w:hanging="540"/>
        <w:jc w:val="both"/>
      </w:pPr>
      <w:r>
        <w:rPr>
          <w:sz w:val="24"/>
        </w:rPr>
        <w:t>Ogunlade, I., Alebiosu, A. A., &amp; Osasona, A. I. (2012). Proximate, mineral composition, antioxidant activity and total phenolic content of some pepper varieties (</w:t>
      </w:r>
      <w:r>
        <w:rPr>
          <w:i/>
          <w:sz w:val="24"/>
        </w:rPr>
        <w:t>Capsicum</w:t>
      </w:r>
      <w:r>
        <w:rPr>
          <w:sz w:val="24"/>
        </w:rPr>
        <w:t xml:space="preserve"> species). </w:t>
      </w:r>
      <w:r>
        <w:rPr>
          <w:i/>
          <w:sz w:val="24"/>
        </w:rPr>
        <w:t>International Journal of Biological and Chemical Sciences, 6</w:t>
      </w:r>
      <w:r>
        <w:rPr>
          <w:sz w:val="24"/>
        </w:rPr>
        <w:t xml:space="preserve">(5), 2221–2227. </w:t>
      </w:r>
      <w:hyperlink r:id="rId26">
        <w:r>
          <w:rPr>
            <w:color w:val="0563C1"/>
            <w:sz w:val="24"/>
            <w:szCs w:val="24"/>
            <w:u w:val="single"/>
          </w:rPr>
          <w:t>https://doi.org/10.4314/ijbcs.v6i5.28</w:t>
        </w:r>
      </w:hyperlink>
    </w:p>
    <w:p w14:paraId="413D9EC7" w14:textId="77777777" w:rsidR="006C0194" w:rsidRDefault="00000000">
      <w:pPr>
        <w:spacing w:after="100" w:line="240" w:lineRule="auto"/>
        <w:ind w:left="540" w:hanging="540"/>
        <w:jc w:val="both"/>
      </w:pPr>
      <w:r>
        <w:rPr>
          <w:sz w:val="24"/>
        </w:rPr>
        <w:t xml:space="preserve">Emmanuel-Ikpeme, C., Henry, P., &amp; Okiri, O. A. (2014). Comparative evaluation of the nutritional, phytochemical and microbiological quality of three pepper varieties. </w:t>
      </w:r>
      <w:r>
        <w:rPr>
          <w:i/>
          <w:sz w:val="24"/>
        </w:rPr>
        <w:t>Journal of Food and Nutrition Sciences, 2</w:t>
      </w:r>
      <w:r>
        <w:rPr>
          <w:sz w:val="24"/>
        </w:rPr>
        <w:t xml:space="preserve">(3), 74–80. </w:t>
      </w:r>
      <w:hyperlink r:id="rId27">
        <w:r>
          <w:rPr>
            <w:color w:val="0563C1"/>
            <w:sz w:val="24"/>
            <w:szCs w:val="24"/>
            <w:u w:val="single"/>
          </w:rPr>
          <w:t>https://doi.org/10.11648/j.jfns.20140203.15</w:t>
        </w:r>
      </w:hyperlink>
    </w:p>
    <w:p w14:paraId="74010398" w14:textId="77777777" w:rsidR="006C0194" w:rsidRDefault="00000000">
      <w:pPr>
        <w:spacing w:after="100" w:line="240" w:lineRule="auto"/>
        <w:ind w:left="540" w:hanging="540"/>
        <w:jc w:val="both"/>
      </w:pPr>
      <w:r>
        <w:rPr>
          <w:sz w:val="24"/>
        </w:rPr>
        <w:t>Omotayo, A., Ribeiro, C., Oluleye, A. K., &amp; Fajinmi, A. (2015). Introduction and participatory evaluation of exotic cultivars of pepper (</w:t>
      </w:r>
      <w:r>
        <w:rPr>
          <w:i/>
          <w:sz w:val="24"/>
        </w:rPr>
        <w:t>Capsicum</w:t>
      </w:r>
      <w:r>
        <w:rPr>
          <w:sz w:val="24"/>
        </w:rPr>
        <w:t xml:space="preserve"> spp.) among small holder farmers in South-Western Nigeria. </w:t>
      </w:r>
      <w:r>
        <w:rPr>
          <w:i/>
          <w:sz w:val="24"/>
        </w:rPr>
        <w:t>International Proceedings of Chemical, Biological and Environmental Engineering, 80</w:t>
      </w:r>
      <w:r>
        <w:rPr>
          <w:sz w:val="24"/>
        </w:rPr>
        <w:t xml:space="preserve">, 77–82. </w:t>
      </w:r>
      <w:hyperlink r:id="rId28">
        <w:r>
          <w:rPr>
            <w:color w:val="0563C1"/>
            <w:sz w:val="24"/>
            <w:szCs w:val="24"/>
            <w:u w:val="single"/>
          </w:rPr>
          <w:t>https://doi.org/10.7763/IPCBEE.2015.V80.16</w:t>
        </w:r>
      </w:hyperlink>
    </w:p>
    <w:p w14:paraId="65F3CD1C" w14:textId="77777777" w:rsidR="006C0194" w:rsidRDefault="00000000">
      <w:pPr>
        <w:spacing w:after="100" w:line="240" w:lineRule="auto"/>
        <w:ind w:left="540" w:hanging="540"/>
        <w:jc w:val="both"/>
      </w:pPr>
      <w:r w:rsidRPr="00355882">
        <w:rPr>
          <w:sz w:val="24"/>
          <w:lang w:val="nl-BE"/>
        </w:rPr>
        <w:t xml:space="preserve">Otulak-Kozieł, K., Kozieł, E., Escalante, C., &amp; Valverde, R. A. (2020). </w:t>
      </w:r>
      <w:r>
        <w:rPr>
          <w:sz w:val="24"/>
        </w:rPr>
        <w:t>Ultrastructural analysis of cells from bell pepper (</w:t>
      </w:r>
      <w:r>
        <w:rPr>
          <w:i/>
          <w:sz w:val="24"/>
        </w:rPr>
        <w:t>Capsicum annuum</w:t>
      </w:r>
      <w:r>
        <w:rPr>
          <w:sz w:val="24"/>
        </w:rPr>
        <w:t xml:space="preserve">) infected with bell pepper endornavirus. </w:t>
      </w:r>
      <w:r>
        <w:rPr>
          <w:i/>
          <w:sz w:val="24"/>
        </w:rPr>
        <w:t>Frontiers in Plant Science, 11</w:t>
      </w:r>
      <w:r>
        <w:rPr>
          <w:sz w:val="24"/>
        </w:rPr>
        <w:t xml:space="preserve">, 491. </w:t>
      </w:r>
      <w:hyperlink r:id="rId29">
        <w:r>
          <w:rPr>
            <w:color w:val="0563C1"/>
            <w:sz w:val="24"/>
            <w:szCs w:val="24"/>
            <w:u w:val="single"/>
          </w:rPr>
          <w:t>https://doi.org/10.3389/fpls.2020.00491</w:t>
        </w:r>
      </w:hyperlink>
    </w:p>
    <w:p w14:paraId="5510A4C8" w14:textId="4057B362" w:rsidR="006C0194" w:rsidRDefault="00000000">
      <w:pPr>
        <w:spacing w:after="100" w:line="240" w:lineRule="auto"/>
        <w:ind w:left="540" w:hanging="540"/>
        <w:jc w:val="both"/>
      </w:pPr>
      <w:r>
        <w:rPr>
          <w:sz w:val="24"/>
        </w:rPr>
        <w:t xml:space="preserve">Onwuka, G. I. (2005). </w:t>
      </w:r>
      <w:r>
        <w:rPr>
          <w:i/>
          <w:sz w:val="24"/>
        </w:rPr>
        <w:t>Food analysis and instrumentation: Theory and practice</w:t>
      </w:r>
      <w:r>
        <w:rPr>
          <w:sz w:val="24"/>
        </w:rPr>
        <w:t xml:space="preserve">. Napthali Prints. </w:t>
      </w:r>
    </w:p>
    <w:p w14:paraId="7A8E5EED" w14:textId="7F898E44" w:rsidR="006C0194" w:rsidRDefault="00000000">
      <w:pPr>
        <w:spacing w:after="100" w:line="240" w:lineRule="auto"/>
        <w:ind w:left="540" w:hanging="540"/>
        <w:jc w:val="both"/>
      </w:pPr>
      <w:r>
        <w:rPr>
          <w:sz w:val="24"/>
        </w:rPr>
        <w:t xml:space="preserve">Paul, B. N., Chanda, S., Das, S., Singh, P., Pandey, B. K., &amp; Giri, S. S. (2014). Mineral assay in atomic absorption spectroscopy. </w:t>
      </w:r>
      <w:r>
        <w:rPr>
          <w:i/>
          <w:sz w:val="24"/>
        </w:rPr>
        <w:t>The Beats of Natural Sciences, 1</w:t>
      </w:r>
      <w:r>
        <w:rPr>
          <w:sz w:val="24"/>
        </w:rPr>
        <w:t xml:space="preserve">(4), 1–17. </w:t>
      </w:r>
    </w:p>
    <w:p w14:paraId="42DC94DF" w14:textId="77777777" w:rsidR="006C0194" w:rsidRDefault="00000000">
      <w:pPr>
        <w:spacing w:after="100" w:line="240" w:lineRule="auto"/>
        <w:ind w:left="540" w:hanging="540"/>
        <w:jc w:val="both"/>
      </w:pPr>
      <w:r>
        <w:rPr>
          <w:sz w:val="24"/>
        </w:rPr>
        <w:t xml:space="preserve">Pearson, D. (1976). </w:t>
      </w:r>
      <w:r>
        <w:rPr>
          <w:i/>
          <w:sz w:val="24"/>
        </w:rPr>
        <w:t>The chemical analysis of foods</w:t>
      </w:r>
      <w:r>
        <w:rPr>
          <w:sz w:val="24"/>
        </w:rPr>
        <w:t xml:space="preserve"> (7th ed.). Churchill Livingstone. </w:t>
      </w:r>
      <w:hyperlink r:id="rId30">
        <w:r>
          <w:rPr>
            <w:color w:val="0563C1"/>
            <w:sz w:val="24"/>
            <w:szCs w:val="24"/>
            <w:u w:val="single"/>
          </w:rPr>
          <w:t>https://agris.fao.org/search/en/providers/122535/records/65ddef0a4c5aef494fd7972f</w:t>
        </w:r>
      </w:hyperlink>
    </w:p>
    <w:p w14:paraId="234802B5" w14:textId="77777777" w:rsidR="006C0194" w:rsidRDefault="00000000">
      <w:pPr>
        <w:spacing w:after="100" w:line="240" w:lineRule="auto"/>
        <w:ind w:left="540" w:hanging="540"/>
        <w:jc w:val="both"/>
      </w:pPr>
      <w:r w:rsidRPr="00355882">
        <w:rPr>
          <w:sz w:val="24"/>
          <w:lang w:val="nl-BE"/>
        </w:rPr>
        <w:t xml:space="preserve">Pinar, H., Kaplan, M., Karaman, K., &amp; Ciftci, B. (2023). </w:t>
      </w:r>
      <w:r>
        <w:rPr>
          <w:sz w:val="24"/>
        </w:rPr>
        <w:t>Assessment of interspecies (</w:t>
      </w:r>
      <w:r>
        <w:rPr>
          <w:i/>
          <w:sz w:val="24"/>
        </w:rPr>
        <w:t>Capsicum annuum</w:t>
      </w:r>
      <w:r>
        <w:rPr>
          <w:sz w:val="24"/>
        </w:rPr>
        <w:t xml:space="preserve"> × </w:t>
      </w:r>
      <w:r>
        <w:rPr>
          <w:i/>
          <w:sz w:val="24"/>
        </w:rPr>
        <w:t>Capsicum frutescens</w:t>
      </w:r>
      <w:r>
        <w:rPr>
          <w:sz w:val="24"/>
        </w:rPr>
        <w:t xml:space="preserve">) recombinant inbreed lines (RIL) for fruit nutritional traits. </w:t>
      </w:r>
      <w:r>
        <w:rPr>
          <w:i/>
          <w:sz w:val="24"/>
        </w:rPr>
        <w:t>Journal of Food Composition and Analysis, 115</w:t>
      </w:r>
      <w:r>
        <w:rPr>
          <w:sz w:val="24"/>
        </w:rPr>
        <w:t xml:space="preserve">, 104848. </w:t>
      </w:r>
      <w:hyperlink r:id="rId31">
        <w:r>
          <w:rPr>
            <w:color w:val="0563C1"/>
            <w:sz w:val="24"/>
            <w:szCs w:val="24"/>
            <w:u w:val="single"/>
          </w:rPr>
          <w:t>https://doi.org/10.1016/j.jfca.2022.104848</w:t>
        </w:r>
      </w:hyperlink>
    </w:p>
    <w:p w14:paraId="1C9CAF79" w14:textId="77777777" w:rsidR="006C0194" w:rsidRDefault="00000000">
      <w:pPr>
        <w:spacing w:after="100" w:line="240" w:lineRule="auto"/>
        <w:ind w:left="540" w:hanging="540"/>
        <w:jc w:val="both"/>
      </w:pPr>
      <w:r>
        <w:rPr>
          <w:sz w:val="24"/>
        </w:rPr>
        <w:t xml:space="preserve">Ruberto, G., &amp; Baratta, M. T. (2000). Antioxidant activity of selected essential oil components in two lipid model systems. </w:t>
      </w:r>
      <w:r>
        <w:rPr>
          <w:i/>
          <w:sz w:val="24"/>
        </w:rPr>
        <w:t>Food Chemistry, 69</w:t>
      </w:r>
      <w:r>
        <w:rPr>
          <w:sz w:val="24"/>
        </w:rPr>
        <w:t xml:space="preserve">(2), 167–174. </w:t>
      </w:r>
      <w:hyperlink r:id="rId32">
        <w:r>
          <w:rPr>
            <w:color w:val="0563C1"/>
            <w:sz w:val="24"/>
            <w:szCs w:val="24"/>
            <w:u w:val="single"/>
          </w:rPr>
          <w:t>https://doi.org/10.1016/S0308-8146(99)00247-2</w:t>
        </w:r>
      </w:hyperlink>
    </w:p>
    <w:p w14:paraId="42048701" w14:textId="0FB57BB6" w:rsidR="006C0194" w:rsidRDefault="00000000">
      <w:pPr>
        <w:spacing w:after="100" w:line="240" w:lineRule="auto"/>
        <w:ind w:left="540" w:hanging="540"/>
        <w:jc w:val="both"/>
      </w:pPr>
      <w:r>
        <w:rPr>
          <w:sz w:val="24"/>
        </w:rPr>
        <w:t>Soare, R., Dinu, M., Băbeanu, C., Popescu, M., &amp; Popescu, A. (2017). Nutritional value and antioxidant activities in fruit of some cultivars of pepper (</w:t>
      </w:r>
      <w:r>
        <w:rPr>
          <w:i/>
          <w:sz w:val="24"/>
        </w:rPr>
        <w:t>Capsicum annuum</w:t>
      </w:r>
      <w:r>
        <w:rPr>
          <w:sz w:val="24"/>
        </w:rPr>
        <w:t xml:space="preserve"> L.). </w:t>
      </w:r>
      <w:r>
        <w:rPr>
          <w:i/>
          <w:sz w:val="24"/>
        </w:rPr>
        <w:t>Journal of Agroalimentary Processes and Technologies, 23</w:t>
      </w:r>
      <w:r>
        <w:rPr>
          <w:sz w:val="24"/>
        </w:rPr>
        <w:t xml:space="preserve">(4), 217–222. </w:t>
      </w:r>
    </w:p>
    <w:p w14:paraId="42BC073B" w14:textId="77777777" w:rsidR="006C0194" w:rsidRDefault="00000000">
      <w:pPr>
        <w:spacing w:after="100" w:line="240" w:lineRule="auto"/>
        <w:ind w:left="540" w:hanging="540"/>
        <w:jc w:val="both"/>
      </w:pPr>
      <w:r>
        <w:rPr>
          <w:sz w:val="24"/>
        </w:rPr>
        <w:t xml:space="preserve">Tanumihardjo, S. A. (2011). Vitamin A: Biomarkers of nutrition for development. </w:t>
      </w:r>
      <w:r>
        <w:rPr>
          <w:i/>
          <w:sz w:val="24"/>
        </w:rPr>
        <w:t>The American Journal of Clinical Nutrition, 94</w:t>
      </w:r>
      <w:r>
        <w:rPr>
          <w:sz w:val="24"/>
        </w:rPr>
        <w:t xml:space="preserve">(2), 658S–665S. </w:t>
      </w:r>
      <w:hyperlink r:id="rId33">
        <w:r>
          <w:rPr>
            <w:color w:val="0563C1"/>
            <w:sz w:val="24"/>
            <w:szCs w:val="24"/>
            <w:u w:val="single"/>
          </w:rPr>
          <w:t>https://doi.org/10.3945/ajcn.110.005777</w:t>
        </w:r>
      </w:hyperlink>
    </w:p>
    <w:p w14:paraId="215EC8D1" w14:textId="77777777" w:rsidR="00E46948" w:rsidRDefault="00E46948"/>
    <w:sectPr w:rsidR="00E46948" w:rsidSect="00034616">
      <w:headerReference w:type="even" r:id="rId34"/>
      <w:headerReference w:type="default" r:id="rId35"/>
      <w:footerReference w:type="even" r:id="rId36"/>
      <w:footerReference w:type="default" r:id="rId37"/>
      <w:headerReference w:type="first" r:id="rId38"/>
      <w:footerReference w:type="first" r:id="rId39"/>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21E0C" w14:textId="77777777" w:rsidR="00E46948" w:rsidRDefault="00E46948">
      <w:pPr>
        <w:spacing w:after="0" w:line="240" w:lineRule="auto"/>
      </w:pPr>
      <w:r>
        <w:separator/>
      </w:r>
    </w:p>
  </w:endnote>
  <w:endnote w:type="continuationSeparator" w:id="0">
    <w:p w14:paraId="7E84C237" w14:textId="77777777" w:rsidR="00E46948" w:rsidRDefault="00E4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3912" w14:textId="77777777" w:rsidR="00C35F22" w:rsidRDefault="00C35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464078"/>
      <w:docPartObj>
        <w:docPartGallery w:val="Page Numbers (Bottom of Page)"/>
        <w:docPartUnique/>
      </w:docPartObj>
    </w:sdtPr>
    <w:sdtEndPr>
      <w:rPr>
        <w:noProof/>
      </w:rPr>
    </w:sdtEndPr>
    <w:sdtContent>
      <w:p w14:paraId="05F0F0E1" w14:textId="77777777" w:rsidR="00532FE5" w:rsidRDefault="00532FE5">
        <w:pPr>
          <w:pStyle w:val="Footer"/>
          <w:jc w:val="center"/>
        </w:pPr>
        <w:r>
          <w:fldChar w:fldCharType="begin"/>
        </w:r>
        <w:r>
          <w:instrText xml:space="preserve"> PAGE   \* MERGEFORMAT </w:instrText>
        </w:r>
        <w:r>
          <w:fldChar w:fldCharType="separate"/>
        </w:r>
        <w:r w:rsidR="00751C0D">
          <w:rPr>
            <w:noProof/>
          </w:rPr>
          <w:t>9</w:t>
        </w:r>
        <w:r>
          <w:rPr>
            <w:noProof/>
          </w:rPr>
          <w:fldChar w:fldCharType="end"/>
        </w:r>
      </w:p>
    </w:sdtContent>
  </w:sdt>
  <w:p w14:paraId="075593BA" w14:textId="77777777" w:rsidR="00381D6F" w:rsidRDefault="00381D6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E693" w14:textId="77777777" w:rsidR="00C35F22" w:rsidRDefault="00C35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47334" w14:textId="77777777" w:rsidR="00E46948" w:rsidRDefault="00E46948">
      <w:pPr>
        <w:spacing w:after="0" w:line="240" w:lineRule="auto"/>
      </w:pPr>
      <w:r>
        <w:separator/>
      </w:r>
    </w:p>
  </w:footnote>
  <w:footnote w:type="continuationSeparator" w:id="0">
    <w:p w14:paraId="62E2D6BC" w14:textId="77777777" w:rsidR="00E46948" w:rsidRDefault="00E46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1492" w14:textId="77777777" w:rsidR="00C35F22" w:rsidRDefault="00000000">
    <w:pPr>
      <w:pStyle w:val="Header"/>
    </w:pPr>
    <w:r>
      <w:rPr>
        <w:noProof/>
      </w:rPr>
      <w:pict w14:anchorId="53D080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122063"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912A" w14:textId="77777777" w:rsidR="00C35F22" w:rsidRDefault="00000000">
    <w:pPr>
      <w:pStyle w:val="Header"/>
    </w:pPr>
    <w:r>
      <w:rPr>
        <w:noProof/>
      </w:rPr>
      <w:pict w14:anchorId="4276EE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122064"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A8FE" w14:textId="77777777" w:rsidR="00C35F22" w:rsidRDefault="00000000">
    <w:pPr>
      <w:pStyle w:val="Header"/>
    </w:pPr>
    <w:r>
      <w:rPr>
        <w:noProof/>
      </w:rPr>
      <w:pict w14:anchorId="43CBB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122062"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165C45"/>
    <w:multiLevelType w:val="hybridMultilevel"/>
    <w:tmpl w:val="33769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22024"/>
    <w:multiLevelType w:val="multilevel"/>
    <w:tmpl w:val="675E0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0F4DDB"/>
    <w:multiLevelType w:val="multilevel"/>
    <w:tmpl w:val="431E6A7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6724591">
    <w:abstractNumId w:val="8"/>
  </w:num>
  <w:num w:numId="2" w16cid:durableId="11493061">
    <w:abstractNumId w:val="6"/>
  </w:num>
  <w:num w:numId="3" w16cid:durableId="158472338">
    <w:abstractNumId w:val="5"/>
  </w:num>
  <w:num w:numId="4" w16cid:durableId="541402626">
    <w:abstractNumId w:val="4"/>
  </w:num>
  <w:num w:numId="5" w16cid:durableId="671224269">
    <w:abstractNumId w:val="7"/>
  </w:num>
  <w:num w:numId="6" w16cid:durableId="1063598405">
    <w:abstractNumId w:val="3"/>
  </w:num>
  <w:num w:numId="7" w16cid:durableId="416442217">
    <w:abstractNumId w:val="2"/>
  </w:num>
  <w:num w:numId="8" w16cid:durableId="1365597416">
    <w:abstractNumId w:val="1"/>
  </w:num>
  <w:num w:numId="9" w16cid:durableId="1847984929">
    <w:abstractNumId w:val="0"/>
  </w:num>
  <w:num w:numId="10" w16cid:durableId="1729763332">
    <w:abstractNumId w:val="10"/>
  </w:num>
  <w:num w:numId="11" w16cid:durableId="252862847">
    <w:abstractNumId w:val="11"/>
  </w:num>
  <w:num w:numId="12" w16cid:durableId="15249762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1B9"/>
    <w:rsid w:val="0001709D"/>
    <w:rsid w:val="00034616"/>
    <w:rsid w:val="0006063C"/>
    <w:rsid w:val="000B1EE5"/>
    <w:rsid w:val="000C567D"/>
    <w:rsid w:val="00112968"/>
    <w:rsid w:val="0015074B"/>
    <w:rsid w:val="00174FEE"/>
    <w:rsid w:val="001777F7"/>
    <w:rsid w:val="00191AD0"/>
    <w:rsid w:val="001E7C54"/>
    <w:rsid w:val="00211250"/>
    <w:rsid w:val="0029437E"/>
    <w:rsid w:val="0029639D"/>
    <w:rsid w:val="002B5059"/>
    <w:rsid w:val="00326F90"/>
    <w:rsid w:val="00355882"/>
    <w:rsid w:val="00381D6F"/>
    <w:rsid w:val="003860D5"/>
    <w:rsid w:val="003E79AE"/>
    <w:rsid w:val="00405DC6"/>
    <w:rsid w:val="00412503"/>
    <w:rsid w:val="00425D51"/>
    <w:rsid w:val="00427DAF"/>
    <w:rsid w:val="004309F9"/>
    <w:rsid w:val="004B7DD3"/>
    <w:rsid w:val="004C792A"/>
    <w:rsid w:val="00532FE5"/>
    <w:rsid w:val="00594494"/>
    <w:rsid w:val="00661D85"/>
    <w:rsid w:val="00681D07"/>
    <w:rsid w:val="006A180A"/>
    <w:rsid w:val="006B5F7C"/>
    <w:rsid w:val="006C0194"/>
    <w:rsid w:val="00751C0D"/>
    <w:rsid w:val="00761CA4"/>
    <w:rsid w:val="007A0044"/>
    <w:rsid w:val="007D4B27"/>
    <w:rsid w:val="007E45CF"/>
    <w:rsid w:val="00822A5A"/>
    <w:rsid w:val="00907633"/>
    <w:rsid w:val="00934409"/>
    <w:rsid w:val="00950A2F"/>
    <w:rsid w:val="009D0121"/>
    <w:rsid w:val="009E08A0"/>
    <w:rsid w:val="00A13392"/>
    <w:rsid w:val="00A14475"/>
    <w:rsid w:val="00A379CD"/>
    <w:rsid w:val="00A66829"/>
    <w:rsid w:val="00A72236"/>
    <w:rsid w:val="00AA1D8D"/>
    <w:rsid w:val="00AB1E31"/>
    <w:rsid w:val="00B04EBD"/>
    <w:rsid w:val="00B33122"/>
    <w:rsid w:val="00B47730"/>
    <w:rsid w:val="00B73051"/>
    <w:rsid w:val="00BA4EEA"/>
    <w:rsid w:val="00BC6DC7"/>
    <w:rsid w:val="00C35F22"/>
    <w:rsid w:val="00C360CF"/>
    <w:rsid w:val="00C5352E"/>
    <w:rsid w:val="00C712EB"/>
    <w:rsid w:val="00C85E75"/>
    <w:rsid w:val="00CA2A4F"/>
    <w:rsid w:val="00CB0664"/>
    <w:rsid w:val="00D33926"/>
    <w:rsid w:val="00D4386C"/>
    <w:rsid w:val="00D46394"/>
    <w:rsid w:val="00D939C4"/>
    <w:rsid w:val="00D97C00"/>
    <w:rsid w:val="00E46948"/>
    <w:rsid w:val="00E53586"/>
    <w:rsid w:val="00E54614"/>
    <w:rsid w:val="00E636C9"/>
    <w:rsid w:val="00F33C29"/>
    <w:rsid w:val="00F768F3"/>
    <w:rsid w:val="00F9789E"/>
    <w:rsid w:val="00FC693F"/>
    <w:rsid w:val="00FF4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BE11B5"/>
  <w14:defaultImageDpi w14:val="300"/>
  <w15:docId w15:val="{072A61B0-A0C1-438E-BFF2-5247C232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qFormat/>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Paragraph">
    <w:name w:val="First Paragraph"/>
    <w:basedOn w:val="BodyText"/>
    <w:next w:val="BodyText"/>
    <w:qFormat/>
    <w:rsid w:val="00E54614"/>
    <w:pPr>
      <w:spacing w:before="180" w:after="180" w:line="240" w:lineRule="auto"/>
    </w:pPr>
    <w:rPr>
      <w:rFonts w:asciiTheme="minorHAnsi" w:hAnsiTheme="minorHAnsi"/>
      <w:sz w:val="24"/>
      <w:szCs w:val="24"/>
      <w:lang w:eastAsia="zh-CN"/>
    </w:rPr>
  </w:style>
  <w:style w:type="paragraph" w:customStyle="1" w:styleId="Compact">
    <w:name w:val="Compact"/>
    <w:basedOn w:val="BodyText"/>
    <w:qFormat/>
    <w:rsid w:val="00B04EBD"/>
    <w:pPr>
      <w:spacing w:before="36" w:after="36" w:line="240" w:lineRule="auto"/>
    </w:pPr>
    <w:rPr>
      <w:rFonts w:asciiTheme="minorHAnsi" w:hAnsiTheme="minorHAnsi"/>
      <w:sz w:val="24"/>
      <w:szCs w:val="24"/>
      <w:lang w:eastAsia="zh-CN"/>
    </w:rPr>
  </w:style>
  <w:style w:type="table" w:customStyle="1" w:styleId="Table">
    <w:name w:val="Table"/>
    <w:semiHidden/>
    <w:unhideWhenUsed/>
    <w:qFormat/>
    <w:rsid w:val="00B04EBD"/>
    <w:pPr>
      <w:spacing w:line="240" w:lineRule="auto"/>
    </w:pPr>
    <w:rPr>
      <w:sz w:val="24"/>
      <w:szCs w:val="24"/>
      <w:lang w:val="en-GB"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NormalWeb">
    <w:name w:val="Normal (Web)"/>
    <w:basedOn w:val="Normal"/>
    <w:uiPriority w:val="99"/>
    <w:semiHidden/>
    <w:unhideWhenUsed/>
    <w:rsid w:val="007A0044"/>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3E79AE"/>
    <w:rPr>
      <w:color w:val="0000FF" w:themeColor="hyperlink"/>
      <w:u w:val="single"/>
    </w:rPr>
  </w:style>
  <w:style w:type="character" w:styleId="UnresolvedMention">
    <w:name w:val="Unresolved Mention"/>
    <w:basedOn w:val="DefaultParagraphFont"/>
    <w:uiPriority w:val="99"/>
    <w:semiHidden/>
    <w:unhideWhenUsed/>
    <w:rsid w:val="00C53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5056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643">
          <w:marLeft w:val="0"/>
          <w:marRight w:val="0"/>
          <w:marTop w:val="0"/>
          <w:marBottom w:val="0"/>
          <w:divBdr>
            <w:top w:val="none" w:sz="0" w:space="0" w:color="auto"/>
            <w:left w:val="none" w:sz="0" w:space="0" w:color="auto"/>
            <w:bottom w:val="none" w:sz="0" w:space="0" w:color="auto"/>
            <w:right w:val="none" w:sz="0" w:space="0" w:color="auto"/>
          </w:divBdr>
          <w:divsChild>
            <w:div w:id="1191651140">
              <w:marLeft w:val="0"/>
              <w:marRight w:val="0"/>
              <w:marTop w:val="0"/>
              <w:marBottom w:val="0"/>
              <w:divBdr>
                <w:top w:val="none" w:sz="0" w:space="0" w:color="auto"/>
                <w:left w:val="none" w:sz="0" w:space="0" w:color="auto"/>
                <w:bottom w:val="none" w:sz="0" w:space="0" w:color="auto"/>
                <w:right w:val="none" w:sz="0" w:space="0" w:color="auto"/>
              </w:divBdr>
              <w:divsChild>
                <w:div w:id="278953598">
                  <w:marLeft w:val="0"/>
                  <w:marRight w:val="0"/>
                  <w:marTop w:val="0"/>
                  <w:marBottom w:val="0"/>
                  <w:divBdr>
                    <w:top w:val="none" w:sz="0" w:space="0" w:color="auto"/>
                    <w:left w:val="none" w:sz="0" w:space="0" w:color="auto"/>
                    <w:bottom w:val="none" w:sz="0" w:space="0" w:color="auto"/>
                    <w:right w:val="none" w:sz="0" w:space="0" w:color="auto"/>
                  </w:divBdr>
                  <w:divsChild>
                    <w:div w:id="1179199668">
                      <w:marLeft w:val="0"/>
                      <w:marRight w:val="0"/>
                      <w:marTop w:val="0"/>
                      <w:marBottom w:val="0"/>
                      <w:divBdr>
                        <w:top w:val="none" w:sz="0" w:space="0" w:color="auto"/>
                        <w:left w:val="none" w:sz="0" w:space="0" w:color="auto"/>
                        <w:bottom w:val="none" w:sz="0" w:space="0" w:color="auto"/>
                        <w:right w:val="none" w:sz="0" w:space="0" w:color="auto"/>
                      </w:divBdr>
                      <w:divsChild>
                        <w:div w:id="822351712">
                          <w:marLeft w:val="0"/>
                          <w:marRight w:val="0"/>
                          <w:marTop w:val="0"/>
                          <w:marBottom w:val="0"/>
                          <w:divBdr>
                            <w:top w:val="none" w:sz="0" w:space="0" w:color="auto"/>
                            <w:left w:val="none" w:sz="0" w:space="0" w:color="auto"/>
                            <w:bottom w:val="none" w:sz="0" w:space="0" w:color="auto"/>
                            <w:right w:val="none" w:sz="0" w:space="0" w:color="auto"/>
                          </w:divBdr>
                          <w:divsChild>
                            <w:div w:id="99700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br.nist.gov/record/official-methods-analysis-15th-edition-0" TargetMode="External"/><Relationship Id="rId18" Type="http://schemas.openxmlformats.org/officeDocument/2006/relationships/hyperlink" Target="https://doi.org/10.56557/joban/2026/v18i211033" TargetMode="External"/><Relationship Id="rId26" Type="http://schemas.openxmlformats.org/officeDocument/2006/relationships/hyperlink" Target="https://doi.org/10.4314/ijbcs.v6i5.28" TargetMode="External"/><Relationship Id="rId39" Type="http://schemas.openxmlformats.org/officeDocument/2006/relationships/footer" Target="footer3.xml"/><Relationship Id="rId21" Type="http://schemas.openxmlformats.org/officeDocument/2006/relationships/hyperlink" Target="https://doi.org/10.3389/fpls.2024.1333035"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S0308-8146(02)00249-2" TargetMode="External"/><Relationship Id="rId20" Type="http://schemas.openxmlformats.org/officeDocument/2006/relationships/hyperlink" Target="https://doi.org/10.36478/jftech.2009.106.110" TargetMode="External"/><Relationship Id="rId29" Type="http://schemas.openxmlformats.org/officeDocument/2006/relationships/hyperlink" Target="https://doi.org/10.3389/fpls.2020.0049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9734/ijpss/2019/v31i330210" TargetMode="External"/><Relationship Id="rId24" Type="http://schemas.openxmlformats.org/officeDocument/2006/relationships/hyperlink" Target="https://doi.org/10.1046/j.1440-6047.1999.00038.x" TargetMode="External"/><Relationship Id="rId32" Type="http://schemas.openxmlformats.org/officeDocument/2006/relationships/hyperlink" Target="https://doi.org/10.1016/S0308-8146(99)00247-2"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390/antiox4020427" TargetMode="External"/><Relationship Id="rId23" Type="http://schemas.openxmlformats.org/officeDocument/2006/relationships/hyperlink" Target="https://doi.org/10.1016/j.foodchem.2023.136173" TargetMode="External"/><Relationship Id="rId28" Type="http://schemas.openxmlformats.org/officeDocument/2006/relationships/hyperlink" Target="https://doi.org/10.7763/IPCBEE.2015.V80.16" TargetMode="External"/><Relationship Id="rId36" Type="http://schemas.openxmlformats.org/officeDocument/2006/relationships/footer" Target="footer1.xml"/><Relationship Id="rId10" Type="http://schemas.openxmlformats.org/officeDocument/2006/relationships/hyperlink" Target="https://doi.org/10.1016/S0308-8146(99)00207-1" TargetMode="External"/><Relationship Id="rId19" Type="http://schemas.openxmlformats.org/officeDocument/2006/relationships/hyperlink" Target="https://doi.org/10.1007/s00198-015-3400-y" TargetMode="External"/><Relationship Id="rId31" Type="http://schemas.openxmlformats.org/officeDocument/2006/relationships/hyperlink" Target="https://doi.org/10.1016/j.jfca.2022.10484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food.eng.ankara.edu.tr/kitaplar/" TargetMode="External"/><Relationship Id="rId22" Type="http://schemas.openxmlformats.org/officeDocument/2006/relationships/hyperlink" Target="https://doi.org/10.21273/HORTTECH.19.2.418" TargetMode="External"/><Relationship Id="rId27" Type="http://schemas.openxmlformats.org/officeDocument/2006/relationships/hyperlink" Target="https://doi.org/10.11648/j.jfns.20140203.15" TargetMode="External"/><Relationship Id="rId30" Type="http://schemas.openxmlformats.org/officeDocument/2006/relationships/hyperlink" Target="https://agris.fao.org/search/en/providers/122535/records/65ddef0a4c5aef494fd7972f"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doi.org/10.3923/jas.2006.1900.1903" TargetMode="External"/><Relationship Id="rId17" Type="http://schemas.openxmlformats.org/officeDocument/2006/relationships/hyperlink" Target="https://doi.org/10.4314/bcse.v25i3.68602" TargetMode="External"/><Relationship Id="rId25" Type="http://schemas.openxmlformats.org/officeDocument/2006/relationships/hyperlink" Target="https://pubmed.ncbi.nlm.nih.gov/22691819/" TargetMode="External"/><Relationship Id="rId33" Type="http://schemas.openxmlformats.org/officeDocument/2006/relationships/hyperlink" Target="https://doi.org/10.3945/ajcn.110.005777"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11480-00E8-4E30-9017-D21C870B0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13</Pages>
  <Words>5765</Words>
  <Characters>32864</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2026_AJRIB_15706</dc:title>
  <dc:subject/>
  <dc:creator>python-docx</dc:creator>
  <cp:keywords/>
  <dc:description>generated by python-docx</dc:description>
  <cp:lastModifiedBy>Editor-90</cp:lastModifiedBy>
  <cp:revision>52</cp:revision>
  <dcterms:created xsi:type="dcterms:W3CDTF">2013-12-23T23:15:00Z</dcterms:created>
  <dcterms:modified xsi:type="dcterms:W3CDTF">2026-09-14T07:44:00Z</dcterms:modified>
  <cp:category/>
</cp:coreProperties>
</file>