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C0674" w14:textId="77777777" w:rsidR="000553E3" w:rsidRPr="000553E3" w:rsidRDefault="000553E3" w:rsidP="000553E3">
      <w:pPr>
        <w:spacing w:after="360" w:line="300" w:lineRule="auto"/>
        <w:rPr>
          <w:b/>
          <w:bCs/>
          <w:i/>
          <w:iCs/>
          <w:sz w:val="32"/>
          <w:szCs w:val="32"/>
          <w:u w:val="single"/>
          <w:lang w:val="en-US"/>
        </w:rPr>
      </w:pPr>
      <w:r w:rsidRPr="000553E3">
        <w:rPr>
          <w:b/>
          <w:bCs/>
          <w:i/>
          <w:iCs/>
          <w:sz w:val="32"/>
          <w:szCs w:val="32"/>
          <w:u w:val="single"/>
          <w:lang w:val="en-US"/>
        </w:rPr>
        <w:t>Review Article</w:t>
      </w:r>
    </w:p>
    <w:p w14:paraId="44A0560C" w14:textId="77777777" w:rsidR="0092069B" w:rsidRDefault="00000000">
      <w:pPr>
        <w:spacing w:after="360" w:line="300" w:lineRule="auto"/>
      </w:pPr>
      <w:r>
        <w:rPr>
          <w:b/>
          <w:bCs/>
          <w:sz w:val="32"/>
          <w:szCs w:val="32"/>
        </w:rPr>
        <w:t>Intestinal parasitic infection in humans: a critical narrative review of pathophysiology, clinical implications and prevention</w:t>
      </w:r>
    </w:p>
    <w:p w14:paraId="5611F641" w14:textId="77777777" w:rsidR="0092069B" w:rsidRDefault="00000000">
      <w:pPr>
        <w:pStyle w:val="Heading1"/>
        <w:spacing w:before="360" w:after="160"/>
      </w:pPr>
      <w:r>
        <w:rPr>
          <w:b/>
          <w:bCs/>
          <w:color w:val="000000"/>
          <w:sz w:val="26"/>
          <w:szCs w:val="26"/>
        </w:rPr>
        <w:t>Abstract</w:t>
      </w:r>
    </w:p>
    <w:p w14:paraId="0A210B09" w14:textId="77777777" w:rsidR="0092069B" w:rsidRDefault="00000000">
      <w:pPr>
        <w:spacing w:after="160" w:line="320" w:lineRule="auto"/>
        <w:jc w:val="both"/>
      </w:pPr>
      <w:r>
        <w:t xml:space="preserve">Intestinal parasites remain among the most widely distributed infectious agents of humans, yet the relationship between parasite carriage and disease continues to be interpreted inconsistently across parasitology, paediatrics, nutrition and public health. This review examines how helminths and enteric protozoa injure the gastrointestinal tract, what clinical consequences follow from that injury, and how far current preventive strategies address the mechanisms involved. Literature was identified through structured searching of open bibliographic and full-text sources, supplemented by citation tracking and examination of institutional documents, with priority given to peer-reviewed mechanistic studies, cohort investigations, randomised trials and quantitative syntheses. Three findings dominate the synthesis. Epithelial barrier disruption, altered mucosal immunoregulation and interference with nutrient handling are reproducibly demonstrated in organoid, animal and human tissue systems, but the quantitative link between these mechanisms and population-level morbidity remains weakly specified. The clinical burden attributable to intestinal parasites is unevenly evidenced: hookworm-associated iron loss and invasive amoebic and </w:t>
      </w:r>
      <w:proofErr w:type="spellStart"/>
      <w:r>
        <w:t>strongyloidal</w:t>
      </w:r>
      <w:proofErr w:type="spellEnd"/>
      <w:r>
        <w:t xml:space="preserve"> disease rest on comparatively firm ground, whereas claims about growth faltering, cognitive development and long-term functional bowel disease depend on observational data whose confounding structure has not been resolved by the available trials. Prevention has been dominated by anthelmintic distribution to school-aged children, an approach that reduces the intensity of infection but leaves transmission, protozoal infection and reinfection largely untouched. Community-wide treatment, improved sanitation, more sensitive molecular diagnosis and candidate vaccines each address part of the problem, and recent trial evidence indicates that interruption of transmission is achievable in some ecological settings but not reliably so. Persistent uncertainties include the causal weight of subclinical parasite carriage, the pathogenic status of commonly detected protozoa, the trajectory of anthelmintic efficacy, and the extent to which climatic change will redistribute exposure. Progress will depend less on additional prevalence surveys than on mechanistically informed longitudinal studies and on trials designed around transmission rather than around individual worm expulsion.</w:t>
      </w:r>
    </w:p>
    <w:p w14:paraId="30B10F91" w14:textId="77777777" w:rsidR="0092069B" w:rsidRDefault="00000000">
      <w:pPr>
        <w:pStyle w:val="Heading1"/>
        <w:spacing w:before="360" w:after="160"/>
      </w:pPr>
      <w:r>
        <w:rPr>
          <w:b/>
          <w:bCs/>
          <w:color w:val="000000"/>
          <w:sz w:val="26"/>
          <w:szCs w:val="26"/>
        </w:rPr>
        <w:t>Keywords</w:t>
      </w:r>
    </w:p>
    <w:p w14:paraId="13AF0977" w14:textId="77777777" w:rsidR="0092069B" w:rsidRDefault="00000000">
      <w:pPr>
        <w:spacing w:after="160" w:line="320" w:lineRule="auto"/>
        <w:jc w:val="both"/>
      </w:pPr>
      <w:r>
        <w:t xml:space="preserve">soil-transmitted helminths; </w:t>
      </w:r>
      <w:r>
        <w:rPr>
          <w:i/>
          <w:iCs/>
        </w:rPr>
        <w:t xml:space="preserve">Giardia </w:t>
      </w:r>
      <w:proofErr w:type="spellStart"/>
      <w:r>
        <w:rPr>
          <w:i/>
          <w:iCs/>
        </w:rPr>
        <w:t>duodenalis</w:t>
      </w:r>
      <w:proofErr w:type="spellEnd"/>
      <w:r>
        <w:t>; intestinal barrier function; environmental enteric dysfunction; preventive chemotherapy; anthelmintic efficacy; water, sanitation and hygiene</w:t>
      </w:r>
    </w:p>
    <w:p w14:paraId="3D0AE143" w14:textId="77777777" w:rsidR="0092069B" w:rsidRDefault="00000000">
      <w:pPr>
        <w:pStyle w:val="Heading1"/>
        <w:spacing w:before="360" w:after="160"/>
      </w:pPr>
      <w:r>
        <w:rPr>
          <w:b/>
          <w:bCs/>
          <w:color w:val="000000"/>
          <w:sz w:val="26"/>
          <w:szCs w:val="26"/>
        </w:rPr>
        <w:t>1. Introduction</w:t>
      </w:r>
    </w:p>
    <w:p w14:paraId="6570A8AB" w14:textId="77777777" w:rsidR="0092069B" w:rsidRDefault="00000000">
      <w:pPr>
        <w:spacing w:after="160" w:line="320" w:lineRule="auto"/>
        <w:jc w:val="both"/>
      </w:pPr>
      <w:r>
        <w:t xml:space="preserve">Parasites of the human gastrointestinal tract occupy an unusual position in contemporary medicine. They are extraordinarily common, they are rarely fatal, and their attributable morbidity is largely </w:t>
      </w:r>
      <w:r>
        <w:lastRenderedPageBreak/>
        <w:t xml:space="preserve">expressed through outcomes that are difficult to measure and easy to attribute to something else. Analyses of the global disease burden indicate that soil-transmitted helminth infection remains widespread despite two decades of large-scale treatment, with the greatest residual burden concentrated in sub-Saharan Africa, South Asia and parts of Latin America (Chen et al., 2024). Estimates for individual organisms reinforce the point: the global prevalence of </w:t>
      </w:r>
      <w:proofErr w:type="spellStart"/>
      <w:r>
        <w:rPr>
          <w:i/>
          <w:iCs/>
        </w:rPr>
        <w:t>Strongyloides</w:t>
      </w:r>
      <w:proofErr w:type="spellEnd"/>
      <w:r>
        <w:rPr>
          <w:i/>
          <w:iCs/>
        </w:rPr>
        <w:t xml:space="preserve"> </w:t>
      </w:r>
      <w:proofErr w:type="spellStart"/>
      <w:r>
        <w:rPr>
          <w:i/>
          <w:iCs/>
        </w:rPr>
        <w:t>stercoralis</w:t>
      </w:r>
      <w:proofErr w:type="spellEnd"/>
      <w:r>
        <w:t xml:space="preserve"> infection has been estimated at approximately 8% of the world population, corresponding to several hundred million people, a figure far higher than the visibility of the organism in routine clinical practice would suggest (</w:t>
      </w:r>
      <w:proofErr w:type="spellStart"/>
      <w:r>
        <w:t>Buonfrate</w:t>
      </w:r>
      <w:proofErr w:type="spellEnd"/>
      <w:r>
        <w:t xml:space="preserve"> et al., 2020). For </w:t>
      </w:r>
      <w:r>
        <w:rPr>
          <w:i/>
          <w:iCs/>
        </w:rPr>
        <w:t>Cryptosporidium</w:t>
      </w:r>
      <w:r>
        <w:t>, quantitative synthesis of paediatric data has linked infection to substantial diarrhoeal mortality and to growth deficits among children under five years of age (Khalil et al., 2018). These are not the epidemiological signatures of trivial organisms, yet the clinical response in most settings remains episodic and diagnostically shallow.</w:t>
      </w:r>
    </w:p>
    <w:p w14:paraId="2E03A674" w14:textId="77777777" w:rsidR="0092069B" w:rsidRDefault="00000000">
      <w:pPr>
        <w:spacing w:after="160" w:line="320" w:lineRule="auto"/>
        <w:jc w:val="both"/>
      </w:pPr>
      <w:r>
        <w:t xml:space="preserve">The term gut parasite is used loosely in both clinical and public health writing, and the imprecision matters. It encompasses two biologically dissimilar groups. Intestinal helminths are macroscopic multicellular organisms that do not replicate within the human intestine, so that worm burden is a direct function of cumulative exposure; the principal species are </w:t>
      </w:r>
      <w:r>
        <w:rPr>
          <w:i/>
          <w:iCs/>
        </w:rPr>
        <w:t>Ascaris lumbricoides</w:t>
      </w:r>
      <w:r>
        <w:t xml:space="preserve">, </w:t>
      </w:r>
      <w:r>
        <w:rPr>
          <w:i/>
          <w:iCs/>
        </w:rPr>
        <w:t xml:space="preserve">Trichuris </w:t>
      </w:r>
      <w:proofErr w:type="spellStart"/>
      <w:r>
        <w:rPr>
          <w:i/>
          <w:iCs/>
        </w:rPr>
        <w:t>trichiura</w:t>
      </w:r>
      <w:proofErr w:type="spellEnd"/>
      <w:r>
        <w:t xml:space="preserve">, the hookworms </w:t>
      </w:r>
      <w:proofErr w:type="spellStart"/>
      <w:r>
        <w:rPr>
          <w:i/>
          <w:iCs/>
        </w:rPr>
        <w:t>Necator</w:t>
      </w:r>
      <w:proofErr w:type="spellEnd"/>
      <w:r>
        <w:rPr>
          <w:i/>
          <w:iCs/>
        </w:rPr>
        <w:t xml:space="preserve"> americanus</w:t>
      </w:r>
      <w:r>
        <w:t xml:space="preserve"> and </w:t>
      </w:r>
      <w:r>
        <w:rPr>
          <w:i/>
          <w:iCs/>
        </w:rPr>
        <w:t>Ancylostoma duodenale</w:t>
      </w:r>
      <w:r>
        <w:t xml:space="preserve">, and </w:t>
      </w:r>
      <w:r>
        <w:rPr>
          <w:i/>
          <w:iCs/>
        </w:rPr>
        <w:t xml:space="preserve">S. </w:t>
      </w:r>
      <w:proofErr w:type="spellStart"/>
      <w:r>
        <w:rPr>
          <w:i/>
          <w:iCs/>
        </w:rPr>
        <w:t>stercoralis</w:t>
      </w:r>
      <w:proofErr w:type="spellEnd"/>
      <w:r>
        <w:t>, the last of which is exceptional in its capacity for autoinfection (</w:t>
      </w:r>
      <w:proofErr w:type="spellStart"/>
      <w:r>
        <w:t>Buonfrate</w:t>
      </w:r>
      <w:proofErr w:type="spellEnd"/>
      <w:r>
        <w:t xml:space="preserve"> et al., 2023; Gordon et al., 2024). Enteric protozoa are unicellular organisms that multiply within the host, so that a small infectious dose can produce a large parasite population; </w:t>
      </w:r>
      <w:r>
        <w:rPr>
          <w:i/>
          <w:iCs/>
        </w:rPr>
        <w:t xml:space="preserve">Giardia </w:t>
      </w:r>
      <w:proofErr w:type="spellStart"/>
      <w:r>
        <w:rPr>
          <w:i/>
          <w:iCs/>
        </w:rPr>
        <w:t>duodenalis</w:t>
      </w:r>
      <w:proofErr w:type="spellEnd"/>
      <w:r>
        <w:t xml:space="preserve">, </w:t>
      </w:r>
      <w:r>
        <w:rPr>
          <w:i/>
          <w:iCs/>
        </w:rPr>
        <w:t>Entamoeba histolytica</w:t>
      </w:r>
      <w:r>
        <w:t xml:space="preserve">, </w:t>
      </w:r>
      <w:r>
        <w:rPr>
          <w:i/>
          <w:iCs/>
        </w:rPr>
        <w:t>Cryptosporidium</w:t>
      </w:r>
      <w:r>
        <w:t xml:space="preserve"> species and </w:t>
      </w:r>
      <w:r>
        <w:rPr>
          <w:i/>
          <w:iCs/>
        </w:rPr>
        <w:t>Blastocystis</w:t>
      </w:r>
      <w:r>
        <w:t xml:space="preserve"> dominate this group. The two groups differ in transmission dynamics, in the immune responses they provoke, in their susceptibility to chemotherapy and in their responsiveness to sanitation. Treating them as a single entity, as the phrase intestinal parasitic infection often implicitly does, obscures precisely the distinctions on which rational prevention depends.</w:t>
      </w:r>
    </w:p>
    <w:p w14:paraId="5D156D0E" w14:textId="77777777" w:rsidR="00F43F4E" w:rsidRDefault="00000000">
      <w:pPr>
        <w:spacing w:after="160" w:line="320" w:lineRule="auto"/>
        <w:jc w:val="both"/>
      </w:pPr>
      <w:r>
        <w:rPr>
          <w:highlight w:val="yellow"/>
        </w:rPr>
        <w:t>Recent reviews similarly emphasise that intestinal protists vary in pathogenic potential and in their interactions with the gut ecosystem, underscoring the distinction between organism detection and attribution of clinical disease (Gerrick &amp; Howitt, 2025; Heredia &amp; Knoll, 2026).</w:t>
      </w:r>
    </w:p>
    <w:p w14:paraId="1A05A5C7" w14:textId="77777777" w:rsidR="0092069B" w:rsidRDefault="00000000">
      <w:pPr>
        <w:spacing w:after="160" w:line="320" w:lineRule="auto"/>
        <w:jc w:val="both"/>
      </w:pPr>
      <w:r>
        <w:t>The dominant control paradigm was constructed around helminths and around a specific morbidity model. Periodic administration of benzimidazole anthelmintics to school-aged and preschool-aged children was adopted on the reasoning that worm burden drives morbidity, that morbidity is concentrated in heavily infected children, and that reducing burden below a morbidity threshold is achievable without addressing transmission (Montresor et al., 2020). That model delivered measurable progress in treatment coverage, and the current global strategy retains morbidity control as its central objective while adding more ambitious targets for reduction in the population requiring treatment and in disability-adjusted life years (</w:t>
      </w:r>
      <w:proofErr w:type="spellStart"/>
      <w:r>
        <w:t>Casulli</w:t>
      </w:r>
      <w:proofErr w:type="spellEnd"/>
      <w:r>
        <w:t>, 2021; World Health Organization, 2021). The paradigm nonetheless leaves several questions unresolved. It does not address protozoa, which are unaffected by benzimidazoles. It assumes that treatment of children protects communities, an assumption that has only recently been tested directly. It relies on a diagnostic standard, faecal egg microscopy, whose sensitivity declines precisely in the low-intensity settings that successful programmes create (Dunn et al., 2020).</w:t>
      </w:r>
    </w:p>
    <w:p w14:paraId="65B58826" w14:textId="77777777" w:rsidR="00F43F4E" w:rsidRDefault="00000000">
      <w:pPr>
        <w:spacing w:after="160" w:line="320" w:lineRule="auto"/>
        <w:jc w:val="both"/>
      </w:pPr>
      <w:r>
        <w:rPr>
          <w:highlight w:val="yellow"/>
        </w:rPr>
        <w:lastRenderedPageBreak/>
        <w:t>Recent methodological reviews likewise stress that control decisions in low-intensity settings are sensitive to transmission heterogeneity and to the diagnostic limitations of conventional microscopy, supporting the need for context-appropriate surveillance approaches (Maddren &amp; Anderson, 2024; Attaway et al., 2024).</w:t>
      </w:r>
    </w:p>
    <w:p w14:paraId="0035173D" w14:textId="77777777" w:rsidR="0092069B" w:rsidRDefault="00000000">
      <w:pPr>
        <w:spacing w:after="160" w:line="320" w:lineRule="auto"/>
        <w:jc w:val="both"/>
      </w:pPr>
      <w:r>
        <w:t>Disagreement about clinical consequence has been unusually persistent. Systematic review of randomised evidence concluded that community deworming programmes have little or no effect on average weight, haemoglobin concentration, cognitive performance or school attendance in endemic populations (Taylor-Robinson et al., 2019). Long-term follow-up of a Kenyan school-based programme reported higher adult earnings and consumption among treated cohorts two decades later (</w:t>
      </w:r>
      <w:proofErr w:type="spellStart"/>
      <w:r>
        <w:t>Hamory</w:t>
      </w:r>
      <w:proofErr w:type="spellEnd"/>
      <w:r>
        <w:t xml:space="preserve"> et al., 2021). Both bodies of work are methodologically serious, and the discrepancy is not resolved by declaring one of them mistaken. It reflects differences in outcome, timescale, unit of analysis and counterfactual, and it exposes how weakly the intermediate mechanistic steps between worm burden and human capital have been specified. A review that recites both positions without examining why they diverge adds nothing.</w:t>
      </w:r>
    </w:p>
    <w:p w14:paraId="0FC93530" w14:textId="77777777" w:rsidR="0092069B" w:rsidRDefault="00000000">
      <w:pPr>
        <w:spacing w:after="160" w:line="320" w:lineRule="auto"/>
        <w:jc w:val="both"/>
      </w:pPr>
      <w:r>
        <w:t xml:space="preserve">The mechanistic literature has meanwhile advanced considerably. Human intestinal organoid-derived epithelial monolayers have allowed the epithelial consequences of </w:t>
      </w:r>
      <w:r>
        <w:rPr>
          <w:i/>
          <w:iCs/>
        </w:rPr>
        <w:t xml:space="preserve">G. </w:t>
      </w:r>
      <w:proofErr w:type="spellStart"/>
      <w:r>
        <w:rPr>
          <w:i/>
          <w:iCs/>
        </w:rPr>
        <w:t>duodenalis</w:t>
      </w:r>
      <w:proofErr w:type="spellEnd"/>
      <w:r>
        <w:t xml:space="preserve"> colonisation to be dissected without the confounding of an intact immune system (Holthaus et al., 2022). Neonatal murine models have identified specific junctional proteins downregulated during </w:t>
      </w:r>
      <w:r>
        <w:rPr>
          <w:i/>
          <w:iCs/>
        </w:rPr>
        <w:t>Cryptosporidium parvum</w:t>
      </w:r>
      <w:r>
        <w:t xml:space="preserve"> infection (Luo et al., 2024). Trickle-infection models have shown that the brisk protective immunity generated by single high-dose experimental helminth infection is a laboratory artefact rather than a description of what happens in endemic populations (Colombo &amp; </w:t>
      </w:r>
      <w:proofErr w:type="spellStart"/>
      <w:r>
        <w:t>Grencis</w:t>
      </w:r>
      <w:proofErr w:type="spellEnd"/>
      <w:r>
        <w:t xml:space="preserve">, 2020). Quantitative molecular diagnosis applied to birth cohorts has permitted </w:t>
      </w:r>
      <w:proofErr w:type="spellStart"/>
      <w:r>
        <w:t>enteropathogen</w:t>
      </w:r>
      <w:proofErr w:type="spellEnd"/>
      <w:r>
        <w:t xml:space="preserve"> exposure to be related to linear growth with far greater precision than microscopy allowed (</w:t>
      </w:r>
      <w:proofErr w:type="spellStart"/>
      <w:r>
        <w:t>Rogawski</w:t>
      </w:r>
      <w:proofErr w:type="spellEnd"/>
      <w:r>
        <w:t xml:space="preserve"> et al., 2018). These advances have not yet been integrated with the epidemiological and programmatic literature in a way that explains the persistent disagreements described above.</w:t>
      </w:r>
    </w:p>
    <w:p w14:paraId="350A247E" w14:textId="77777777" w:rsidR="0092069B" w:rsidRDefault="00000000">
      <w:pPr>
        <w:spacing w:after="160" w:line="320" w:lineRule="auto"/>
        <w:jc w:val="both"/>
      </w:pPr>
      <w:r>
        <w:t>Existing reviews address parts of this territory well. Comprehensive syntheses exist for strongyloidiasis, for helminth immunoregulation, for helminth interactions with the intestinal microbiota, and for the immunology of cryptosporidiosis (</w:t>
      </w:r>
      <w:proofErr w:type="spellStart"/>
      <w:r>
        <w:t>Buonfrate</w:t>
      </w:r>
      <w:proofErr w:type="spellEnd"/>
      <w:r>
        <w:t xml:space="preserve"> et al., 2023; Maizels, 2020; Pardy et al., 2024; Walusimbi et al., 2023). What is largely absent is a synthesis that carries the mechanistic evidence forward into an appraisal of clinical attribution and then into an evaluation of whether current preventive strategies act on the mechanisms that actually generate morbidity. Reviews organised by organism reproduce the fragmentation of the field; reviews organised by programme tend to treat pathophysiology as background. The consequence is that mechanistic plausibility is repeatedly offered as though it were evidence of programmatic effectiveness.</w:t>
      </w:r>
    </w:p>
    <w:p w14:paraId="6126C481" w14:textId="77777777" w:rsidR="0092069B" w:rsidRDefault="00000000">
      <w:pPr>
        <w:pStyle w:val="Heading2"/>
        <w:spacing w:before="260" w:after="120"/>
      </w:pPr>
      <w:r>
        <w:rPr>
          <w:b/>
          <w:bCs/>
          <w:color w:val="000000"/>
          <w:sz w:val="23"/>
          <w:szCs w:val="23"/>
        </w:rPr>
        <w:t>1.1 Scope, Research Gap and Objectives</w:t>
      </w:r>
    </w:p>
    <w:p w14:paraId="274D66E6" w14:textId="77777777" w:rsidR="0092069B" w:rsidRDefault="00000000">
      <w:pPr>
        <w:spacing w:after="160" w:line="320" w:lineRule="auto"/>
        <w:jc w:val="both"/>
      </w:pPr>
      <w:r>
        <w:t xml:space="preserve">This review is bounded to parasitic infection of the human gastrointestinal lumen and mucosa by intestinal nematodes and enteric protozoa. It covers the mechanisms by which these organisms damage or perturb the intestine, the clinical and functional consequences attributable to that perturbation, and the preventive strategies directed at interrupting infection or its consequences. Populations of principal </w:t>
      </w:r>
      <w:r>
        <w:lastRenderedPageBreak/>
        <w:t xml:space="preserve">interest are those in low-income and middle-income settings where transmission is sustained, with attention to migrant, returning-traveller and immunosuppressed populations where clinical presentations differ. Cestode infections, food-borne </w:t>
      </w:r>
      <w:proofErr w:type="spellStart"/>
      <w:r>
        <w:t>trematodiases</w:t>
      </w:r>
      <w:proofErr w:type="spellEnd"/>
      <w:r>
        <w:t>, extraintestinal protozoal disease and veterinary parasitology are outside the scope except where they illuminate mechanisms relevant to intestinal infection. Laboratory model systems are considered as sources of mechanistic evidence rather than as evidence of clinical effect.</w:t>
      </w:r>
    </w:p>
    <w:p w14:paraId="5F715DD2" w14:textId="77777777" w:rsidR="0092069B" w:rsidRDefault="00000000">
      <w:pPr>
        <w:spacing w:after="160" w:line="320" w:lineRule="auto"/>
        <w:jc w:val="both"/>
      </w:pPr>
      <w:r>
        <w:t>The gap addressed is the weak articulation between three literatures that have developed largely in parallel. Mechanistic work has established how parasites alter epithelial, immune and metabolic function without establishing which of these alterations account for the morbidity observed in populations. Clinical and epidemiological work has documented associations between infection and growth, anaemia, cognition and functional bowel disorders without adjudicating causal contribution against the shared determinants of poverty. Programmatic work has evaluated interventions without reference to whether the intervention targets the mechanism believed to generate the outcome. The critical question that follows is whether current prevention is aimed at the right target.</w:t>
      </w:r>
    </w:p>
    <w:p w14:paraId="1B291A15" w14:textId="77777777" w:rsidR="0092069B" w:rsidRDefault="00000000">
      <w:pPr>
        <w:spacing w:after="160" w:line="320" w:lineRule="auto"/>
        <w:jc w:val="both"/>
      </w:pPr>
      <w:r>
        <w:t>Four objectives follow. The first is to compare the pathophysiological mechanisms of intestinal helminths and enteric protozoa and to identify where evidence is mechanistically strong but clinically unverified. The second is to appraise the strength, consistency and design limitations of the evidence linking intestinal parasitic infection to specific clinical outcomes, distinguishing outcomes that are well supported from those that remain contested. The third is to evaluate preventive strategies against the mechanisms they are intended to interrupt, including anthelmintic chemotherapy, sanitation and hygiene, community-wide treatment, molecular diagnosis and vaccine development. The fourth is to identify research priorities that would materially reduce the uncertainties identified rather than add further descriptive data. The review does not attempt exhaustive coverage of every parasite species, does not provide clinical management protocols, and does not offer quantitative pooling of effect estimates.</w:t>
      </w:r>
    </w:p>
    <w:p w14:paraId="12DA5479" w14:textId="77777777" w:rsidR="0092069B" w:rsidRDefault="00000000">
      <w:pPr>
        <w:pStyle w:val="Heading1"/>
        <w:spacing w:before="360" w:after="160"/>
      </w:pPr>
      <w:r>
        <w:rPr>
          <w:b/>
          <w:bCs/>
          <w:color w:val="000000"/>
          <w:sz w:val="26"/>
          <w:szCs w:val="26"/>
        </w:rPr>
        <w:t>2. Methods for Literature Selection</w:t>
      </w:r>
    </w:p>
    <w:p w14:paraId="5CE76C50" w14:textId="77777777" w:rsidR="0092069B" w:rsidRDefault="00000000">
      <w:pPr>
        <w:pStyle w:val="Heading2"/>
        <w:spacing w:before="260" w:after="120"/>
      </w:pPr>
      <w:r>
        <w:rPr>
          <w:b/>
          <w:bCs/>
          <w:color w:val="000000"/>
          <w:sz w:val="23"/>
          <w:szCs w:val="23"/>
        </w:rPr>
        <w:t>2.1 Review Design and Rationale</w:t>
      </w:r>
    </w:p>
    <w:p w14:paraId="35332868" w14:textId="77777777" w:rsidR="0092069B" w:rsidRDefault="00000000">
      <w:pPr>
        <w:spacing w:after="160" w:line="320" w:lineRule="auto"/>
        <w:jc w:val="both"/>
      </w:pPr>
      <w:r>
        <w:t>A critical narrative design was selected because the review question spans laboratory, clinical and programmatic evidence that cannot be pooled meaningfully. The outcomes of interest range from junctional protein expression in epithelial monolayers to cluster-level transmission interruption, and the study designs range from organoid experiments to cluster-randomised trials. A systematic review restricted to a single comparable outcome would exclude most of the mechanistic evidence that the question requires, and a meta-analysis would impose numerical comparability where none exists. A scoping review would map the literature without adjudicating between conflicting interpretations, which is the principal task here.</w:t>
      </w:r>
    </w:p>
    <w:p w14:paraId="06A1F47A" w14:textId="77777777" w:rsidR="0092069B" w:rsidRDefault="00000000">
      <w:pPr>
        <w:spacing w:after="160" w:line="320" w:lineRule="auto"/>
        <w:jc w:val="both"/>
      </w:pPr>
      <w:r>
        <w:t xml:space="preserve">Narrative design is not an exemption from methodological discipline. The conduct of this review was structured against the domains identified in a validated appraisal instrument for narrative reviews, which specifies justification of importance, statement of aims, description of literature search, referencing of </w:t>
      </w:r>
      <w:r>
        <w:lastRenderedPageBreak/>
        <w:t>claims, presentation of evidence with appropriate support, and adequate presentation of data (</w:t>
      </w:r>
      <w:proofErr w:type="spellStart"/>
      <w:r>
        <w:t>Baethge</w:t>
      </w:r>
      <w:proofErr w:type="spellEnd"/>
      <w:r>
        <w:t xml:space="preserve"> et al., 2019). Search concepts, sources, eligibility rules and appraisal criteria are stated below so that the retrieval can be reproduced and the selection interrogated. Where the evidence base is thin or internally inconsistent, that state is reported rather than smoothed.</w:t>
      </w:r>
    </w:p>
    <w:p w14:paraId="0E2CA5DE" w14:textId="77777777" w:rsidR="0092069B" w:rsidRDefault="00000000">
      <w:pPr>
        <w:pStyle w:val="Heading2"/>
        <w:spacing w:before="260" w:after="120"/>
      </w:pPr>
      <w:r>
        <w:rPr>
          <w:b/>
          <w:bCs/>
          <w:color w:val="000000"/>
          <w:sz w:val="23"/>
          <w:szCs w:val="23"/>
        </w:rPr>
        <w:t>2.2 Information Sources</w:t>
      </w:r>
    </w:p>
    <w:p w14:paraId="61E3FC4E" w14:textId="77777777" w:rsidR="0092069B" w:rsidRDefault="00000000">
      <w:pPr>
        <w:spacing w:after="160" w:line="320" w:lineRule="auto"/>
        <w:jc w:val="both"/>
      </w:pPr>
      <w:r>
        <w:t xml:space="preserve">Bibliographic and full-text searching was conducted in PubMed, Europe PMC, </w:t>
      </w:r>
      <w:proofErr w:type="spellStart"/>
      <w:r>
        <w:t>OpenAlex</w:t>
      </w:r>
      <w:proofErr w:type="spellEnd"/>
      <w:r>
        <w:t xml:space="preserve">, </w:t>
      </w:r>
      <w:proofErr w:type="spellStart"/>
      <w:r>
        <w:t>Crossref</w:t>
      </w:r>
      <w:proofErr w:type="spellEnd"/>
      <w:r>
        <w:t>, the Directory of Open Access Journals, Semantic Scholar and Google Scholar. These sources were selected for their coverage of biomedical, parasitological and public health literature and for their capacity to retrieve open-access and regionally published material that is unevenly represented in citation indexes. Searching was supplemented by backward citation tracking from recent reviews and trials, forward citation tracking of frequently cited mechanistic papers, related-article retrieval, and targeted examination of the publications and guideline pages of the World Health Organization. Records identified in one source were cross-checked in at least one other before inclusion, and bibliographic details and digital object identifiers were verified against registry or publisher records. Because the topic has explicit regional dimensions, particularly in South Asia, additional targeted searches for India-specific and South-Asian prevalence, programme and intervention literature were run within the same sources.</w:t>
      </w:r>
    </w:p>
    <w:p w14:paraId="02532132" w14:textId="77777777" w:rsidR="0092069B" w:rsidRDefault="00000000">
      <w:pPr>
        <w:pStyle w:val="Heading2"/>
        <w:spacing w:before="260" w:after="120"/>
      </w:pPr>
      <w:r>
        <w:rPr>
          <w:b/>
          <w:bCs/>
          <w:color w:val="000000"/>
          <w:sz w:val="23"/>
          <w:szCs w:val="23"/>
        </w:rPr>
        <w:t>2.3 Search Strategy and Search Period</w:t>
      </w:r>
    </w:p>
    <w:p w14:paraId="4A2D1B02" w14:textId="77777777" w:rsidR="0092069B" w:rsidRDefault="00000000">
      <w:pPr>
        <w:spacing w:after="160" w:line="320" w:lineRule="auto"/>
        <w:jc w:val="both"/>
      </w:pPr>
      <w:r>
        <w:t xml:space="preserve">Search concepts were constructed around five domains: the organisms, the pathophysiological processes, the clinical outcomes, the preventive interventions and the population or geographical setting. Representative strings combined controlled and free-text terms with Boolean operators. For the mechanistic domain, terms of the form ("soil-transmitted helminth" OR Ascaris OR Trichuris OR hookworm OR </w:t>
      </w:r>
      <w:proofErr w:type="spellStart"/>
      <w:r>
        <w:t>Necator</w:t>
      </w:r>
      <w:proofErr w:type="spellEnd"/>
      <w:r>
        <w:t xml:space="preserve"> OR </w:t>
      </w:r>
      <w:proofErr w:type="spellStart"/>
      <w:r>
        <w:t>Strongyloides</w:t>
      </w:r>
      <w:proofErr w:type="spellEnd"/>
      <w:r>
        <w:t xml:space="preserve"> OR Giardia OR Cryptosporidium OR Entamoeba OR Blastocystis) AND ("intestinal barrier" OR "tight junction" OR "epithelial permeability" OR "mucosal immunity" OR "type 2 immunity" OR "regulatory T cell" OR microbiota OR "nutrient absorption") were used. For the clinical domain, the organism block was combined with (stunting OR "linear growth" OR anaemia OR "iron deficiency" OR "environmental enteric dysfunction" OR cognition OR "irritable bowel syndrome" OR "post-infectious" OR coinfection OR "vaccine response"). For the preventive domain, the organism block was combined with (albendazole OR mebendazole OR ivermectin OR </w:t>
      </w:r>
      <w:proofErr w:type="spellStart"/>
      <w:r>
        <w:t>emodepside</w:t>
      </w:r>
      <w:proofErr w:type="spellEnd"/>
      <w:r>
        <w:t xml:space="preserve"> OR "mass drug administration" OR "preventive chemotherapy" OR sanitation OR hygiene OR "water supply" OR vaccine OR "polymerase chain reaction" OR "Kato-Katz" OR "drug efficacy" OR "beta-tubulin"). Regional strings added (India OR "South Asia" OR "low-income" OR "middle-income" OR rural OR "school-aged children"). Strings were adapted to the syntax of each source rather than applied uniformly.</w:t>
      </w:r>
    </w:p>
    <w:p w14:paraId="3F71FD23" w14:textId="77777777" w:rsidR="0092069B" w:rsidRDefault="00000000">
      <w:pPr>
        <w:spacing w:after="160" w:line="320" w:lineRule="auto"/>
        <w:jc w:val="both"/>
      </w:pPr>
      <w:r>
        <w:t xml:space="preserve">The search period ran from 1 January 2000 to 3 July 2026, the latter being the final search date. The starting year reflects the point at which large-scale preventive chemotherapy became the organising framework for control and at which molecular diagnosis and molecular epidemiology began to displace microscopy as the reference for prevalence estimation. Publications predating this window were </w:t>
      </w:r>
      <w:r>
        <w:lastRenderedPageBreak/>
        <w:t>admitted where they establish a mechanism, method or concept that remains foundational and has not been superseded.</w:t>
      </w:r>
    </w:p>
    <w:p w14:paraId="1308F74B" w14:textId="77777777" w:rsidR="0092069B" w:rsidRDefault="00000000">
      <w:pPr>
        <w:pStyle w:val="Heading2"/>
        <w:spacing w:before="260" w:after="120"/>
      </w:pPr>
      <w:r>
        <w:rPr>
          <w:b/>
          <w:bCs/>
          <w:color w:val="000000"/>
          <w:sz w:val="23"/>
          <w:szCs w:val="23"/>
        </w:rPr>
        <w:t>2.4 Eligibility Criteria</w:t>
      </w:r>
    </w:p>
    <w:p w14:paraId="5A03A7F9" w14:textId="77777777" w:rsidR="0092069B" w:rsidRDefault="00000000">
      <w:pPr>
        <w:spacing w:after="160" w:line="320" w:lineRule="auto"/>
        <w:jc w:val="both"/>
      </w:pPr>
      <w:r>
        <w:t>Eligible publications were peer-reviewed original research, quantitative syntheses, methodologically substantive reviews, and consensus or guideline documents issued by recognised international or governmental bodies. Included study designs comprised randomised and cluster-randomised trials, prospective and retrospective cohorts, cross-sectional surveys with defined sampling, case-control studies, controlled laboratory and organoid experiments, and modelling analyses where the parameters were empirically grounded. Subject eligibility required that the publication address intestinal parasitic infection of humans in relation to pathophysiological mechanism, clinical or functional outcome, or preventive intervention. Publications were required to be available in English, which is a source of language bias acknowledged later.</w:t>
      </w:r>
    </w:p>
    <w:p w14:paraId="594FF058" w14:textId="77777777" w:rsidR="0092069B" w:rsidRDefault="00000000">
      <w:pPr>
        <w:spacing w:after="160" w:line="320" w:lineRule="auto"/>
        <w:jc w:val="both"/>
      </w:pPr>
      <w:r>
        <w:t>Excluded material comprised individual case reports and small case series except where they document a clinical phenomenon not otherwise represented, conference abstracts without full reporting, commercial or promotional material, non-scholarly commentary, and publications whose bibliographic identity could not be confirmed. Preprints were not used in place of peer-reviewed evidence. Purely veterinary studies were excluded unless the mechanism under investigation has been demonstrated in human infection or human tissue. Publications reporting prevalence alone, without analytic content bearing on mechanism, outcome or intervention, were used sparingly and only where they establish the geographical distribution or programmatic context of the problem.</w:t>
      </w:r>
    </w:p>
    <w:p w14:paraId="6AC44798" w14:textId="77777777" w:rsidR="0092069B" w:rsidRDefault="00000000">
      <w:pPr>
        <w:pStyle w:val="Heading2"/>
        <w:spacing w:before="260" w:after="120"/>
      </w:pPr>
      <w:r>
        <w:rPr>
          <w:b/>
          <w:bCs/>
          <w:color w:val="000000"/>
          <w:sz w:val="23"/>
          <w:szCs w:val="23"/>
        </w:rPr>
        <w:t>2.5 Screening, Duplicate Handling and Study Selection</w:t>
      </w:r>
    </w:p>
    <w:p w14:paraId="06FB7414" w14:textId="77777777" w:rsidR="0092069B" w:rsidRDefault="00000000">
      <w:pPr>
        <w:spacing w:after="160" w:line="320" w:lineRule="auto"/>
        <w:jc w:val="both"/>
      </w:pPr>
      <w:r>
        <w:t>Retrieved records were screened first by title and abstract against the eligibility criteria, and records passing that stage were assessed in full text. Duplicate records arising from overlapping coverage between sources were identified by digital object identifier where available and by matched title, first author and year where not, and were reduced to a single entry retaining the version of record. Where a preprint and a published version of the same work were both retrieved, only the published version was retained. Where a study was reported across multiple publications, the primary report was used for outcome data and companion papers were used only for design or contextual detail. Records that could not be retrieved in full text, or whose bibliographic details could not be independently confirmed, were excluded rather than cited from secondary description. No numerical screening tally is presented, because selection in a critical narrative review is iterative and purposive rather than sequential, and reporting counts would misrepresent the process as systematic.</w:t>
      </w:r>
    </w:p>
    <w:p w14:paraId="77A0DF48" w14:textId="77777777" w:rsidR="0092069B" w:rsidRDefault="00000000">
      <w:pPr>
        <w:pStyle w:val="Heading2"/>
        <w:spacing w:before="260" w:after="120"/>
      </w:pPr>
      <w:r>
        <w:rPr>
          <w:b/>
          <w:bCs/>
          <w:color w:val="000000"/>
          <w:sz w:val="23"/>
          <w:szCs w:val="23"/>
        </w:rPr>
        <w:t>2.6 Critical Appraisal and Evidence Synthesis</w:t>
      </w:r>
    </w:p>
    <w:p w14:paraId="71A2B9F3" w14:textId="77777777" w:rsidR="0092069B" w:rsidRDefault="00000000">
      <w:pPr>
        <w:spacing w:after="160" w:line="320" w:lineRule="auto"/>
        <w:jc w:val="both"/>
      </w:pPr>
      <w:r>
        <w:t xml:space="preserve">Each included study was appraised against criteria appropriate to its design rather than against a single instrument. Trials were assessed for allocation and blinding, outcome definition, follow-up completeness, and whether the analysis matched the randomisation unit. Cohort and cross-sectional studies were assessed for sampling frame, diagnostic method and its sensitivity, treatment of confounding by socioeconomic position and by concurrent enteric infection, and the appropriateness of </w:t>
      </w:r>
      <w:r>
        <w:lastRenderedPageBreak/>
        <w:t>causal language. Laboratory and organoid studies were assessed for the physiological plausibility of the model, the parasite isolate and dose used, and whether findings had been replicated in an independent system. Quantitative syntheses were assessed for the comparability of pooled studies and for whether heterogeneity was explained rather than reported. Formal risk-of-bias scores were not assigned, because the heterogeneity of designs would make such scores incommensurable and because sufficient methodological detail was not uniformly available.</w:t>
      </w:r>
    </w:p>
    <w:p w14:paraId="0AC49598" w14:textId="77777777" w:rsidR="0092069B" w:rsidRDefault="00000000">
      <w:pPr>
        <w:spacing w:after="160" w:line="320" w:lineRule="auto"/>
        <w:jc w:val="both"/>
      </w:pPr>
      <w:r>
        <w:t>Synthesis proceeded thematically. Evidence was grouped by mechanism, by clinical outcome and by preventive strategy rather than by organism or by publication, and organism-specific detail was introduced where it modifies a general mechanism. Where studies disagreed, the disagreement was examined for its likely source, distinguishing differences in diagnostic method, in population transmission intensity, in outcome definition, in analytic unit and in follow-up duration from genuine substantive conflict. Confidence in each conclusion was calibrated to the design and consistency of the supporting evidence, and mechanistic plausibility was not treated as a substitute for demonstrated effect.</w:t>
      </w:r>
    </w:p>
    <w:p w14:paraId="32AB9481" w14:textId="77777777" w:rsidR="0092069B" w:rsidRDefault="00000000">
      <w:pPr>
        <w:pStyle w:val="Heading1"/>
        <w:spacing w:before="360" w:after="160"/>
      </w:pPr>
      <w:r>
        <w:rPr>
          <w:b/>
          <w:bCs/>
          <w:color w:val="000000"/>
          <w:sz w:val="26"/>
          <w:szCs w:val="26"/>
        </w:rPr>
        <w:t>3. The Parasitic Landscape of the Human Gut</w:t>
      </w:r>
    </w:p>
    <w:p w14:paraId="7B6CD9BF" w14:textId="77777777" w:rsidR="0092069B" w:rsidRDefault="00000000">
      <w:pPr>
        <w:spacing w:after="160" w:line="320" w:lineRule="auto"/>
        <w:jc w:val="both"/>
      </w:pPr>
      <w:r>
        <w:t>Any coherent account of pathophysiology has to begin with the biological heterogeneity of the organisms grouped under a single clinical label. The differences are not taxonomic decoration; they determine which mechanisms are available to each organism, which interventions can plausibly work, and which epidemiological patterns should be expected.</w:t>
      </w:r>
    </w:p>
    <w:p w14:paraId="19EA8021" w14:textId="77777777" w:rsidR="0092069B" w:rsidRDefault="00000000">
      <w:pPr>
        <w:pStyle w:val="Heading2"/>
        <w:spacing w:before="260" w:after="120"/>
      </w:pPr>
      <w:r>
        <w:rPr>
          <w:b/>
          <w:bCs/>
          <w:color w:val="000000"/>
          <w:sz w:val="23"/>
          <w:szCs w:val="23"/>
        </w:rPr>
        <w:t>3.1 Intestinal nematodes</w:t>
      </w:r>
    </w:p>
    <w:p w14:paraId="544242AF" w14:textId="77777777" w:rsidR="0092069B" w:rsidRDefault="00000000">
      <w:pPr>
        <w:spacing w:after="160" w:line="320" w:lineRule="auto"/>
        <w:jc w:val="both"/>
      </w:pPr>
      <w:r>
        <w:rPr>
          <w:i/>
          <w:iCs/>
        </w:rPr>
        <w:t>Ascaris lumbricoides</w:t>
      </w:r>
      <w:r>
        <w:t xml:space="preserve"> is the largest and most fecund of the intestinal nematodes and completes an obligatory pulmonary migration before establishing in the small intestine. Its adult stage is a luminal feeder that does not attach to or invade the mucosa, so that the mechanisms available to it are mechanical, nutritional and immunological rather than directly cytolytic. Burden distribution is strongly aggregated, with a minority of hosts carrying the majority of worms, and this aggregation determines both the distribution of clinical complications and the population response to treatment (Chen et al., 2024; Loukas et al., 2021).</w:t>
      </w:r>
    </w:p>
    <w:p w14:paraId="0D052578" w14:textId="77777777" w:rsidR="0092069B" w:rsidRDefault="00000000">
      <w:pPr>
        <w:spacing w:after="160" w:line="320" w:lineRule="auto"/>
        <w:jc w:val="both"/>
      </w:pPr>
      <w:r>
        <w:rPr>
          <w:i/>
          <w:iCs/>
        </w:rPr>
        <w:t xml:space="preserve">Trichuris </w:t>
      </w:r>
      <w:proofErr w:type="spellStart"/>
      <w:r>
        <w:rPr>
          <w:i/>
          <w:iCs/>
        </w:rPr>
        <w:t>trichiura</w:t>
      </w:r>
      <w:proofErr w:type="spellEnd"/>
      <w:r>
        <w:t xml:space="preserve"> occupies the caecum and proximal colon and adopts an intimate relationship with the epithelium, threading its anterior end through epithelial cells to create a syncytial tunnel in which it resides. This position places the parasite in direct and sustained contact with host cells and with the colonic microbiota, and it explains why the secretory products of the genus have attracted such attention: whipworm excretory-secretory material contains proteins, lipids, glycans and extracellular vesicles capable of modulating host epithelial and immune function (Shears &amp; </w:t>
      </w:r>
      <w:proofErr w:type="spellStart"/>
      <w:r>
        <w:t>Grencis</w:t>
      </w:r>
      <w:proofErr w:type="spellEnd"/>
      <w:r>
        <w:t xml:space="preserve">, 2022). The dependence runs in both directions. Experimental work in germ-free systems has established that </w:t>
      </w:r>
      <w:r>
        <w:rPr>
          <w:i/>
          <w:iCs/>
        </w:rPr>
        <w:t>Trichuris</w:t>
      </w:r>
      <w:r>
        <w:t xml:space="preserve"> eggs require bacterial cues to hatch, so that the parasite cannot establish infection in the absence of a resident microbiota, and adult worms carry a distinct bacterial community selected from the host's own (Lawson et al., 2021). This is one of the clearest demonstrations in intestinal parasitology that the parasite, the host and the microbiota constitute a single functional system rather than three separable entities.</w:t>
      </w:r>
    </w:p>
    <w:p w14:paraId="197B23AB" w14:textId="77777777" w:rsidR="0092069B" w:rsidRDefault="00000000">
      <w:pPr>
        <w:spacing w:after="160" w:line="320" w:lineRule="auto"/>
        <w:jc w:val="both"/>
      </w:pPr>
      <w:r>
        <w:lastRenderedPageBreak/>
        <w:t xml:space="preserve">The hookworms </w:t>
      </w:r>
      <w:proofErr w:type="spellStart"/>
      <w:r>
        <w:rPr>
          <w:i/>
          <w:iCs/>
        </w:rPr>
        <w:t>Necator</w:t>
      </w:r>
      <w:proofErr w:type="spellEnd"/>
      <w:r>
        <w:rPr>
          <w:i/>
          <w:iCs/>
        </w:rPr>
        <w:t xml:space="preserve"> americanus</w:t>
      </w:r>
      <w:r>
        <w:t xml:space="preserve"> and </w:t>
      </w:r>
      <w:r>
        <w:rPr>
          <w:i/>
          <w:iCs/>
        </w:rPr>
        <w:t>Ancylostoma duodenale</w:t>
      </w:r>
      <w:r>
        <w:t xml:space="preserve"> differ from the other soil-transmitted nematodes in acquiring the host through percutaneous larval penetration and in feeding on blood at the site of mucosal attachment. The pathophysiology is therefore quantitative and directly haematological, which is why hookworm is the intestinal nematode with the least contested clinical attribution (Smith &amp; Brooker, 2010). The distinction between the two genera matters for control, since </w:t>
      </w:r>
      <w:r>
        <w:rPr>
          <w:i/>
          <w:iCs/>
        </w:rPr>
        <w:t>Ancylostoma</w:t>
      </w:r>
      <w:r>
        <w:t xml:space="preserve"> can also be acquired orally and has a longer-lived infective stage in some settings.</w:t>
      </w:r>
    </w:p>
    <w:p w14:paraId="24141E01" w14:textId="77777777" w:rsidR="0092069B" w:rsidRDefault="00000000">
      <w:pPr>
        <w:spacing w:after="160" w:line="320" w:lineRule="auto"/>
        <w:jc w:val="both"/>
      </w:pPr>
      <w:proofErr w:type="spellStart"/>
      <w:r>
        <w:rPr>
          <w:i/>
          <w:iCs/>
        </w:rPr>
        <w:t>Strongyloides</w:t>
      </w:r>
      <w:proofErr w:type="spellEnd"/>
      <w:r>
        <w:rPr>
          <w:i/>
          <w:iCs/>
        </w:rPr>
        <w:t xml:space="preserve"> </w:t>
      </w:r>
      <w:proofErr w:type="spellStart"/>
      <w:r>
        <w:rPr>
          <w:i/>
          <w:iCs/>
        </w:rPr>
        <w:t>stercoralis</w:t>
      </w:r>
      <w:proofErr w:type="spellEnd"/>
      <w:r>
        <w:t xml:space="preserve"> is biologically exceptional. It maintains a free-living cycle in the environment and, uniquely among the common intestinal nematodes of humans, completes autoinfection within the host, so that infection can persist for decades without further environmental exposure. The consequences are twofold: prevalence is systematically underestimated by methods designed for egg-producing nematodes, and the parasite population can expand catastrophically when host immunity is suppressed. Estimation work suggests a global prevalence far above what routine diagnosis detects, with the greatest concentrations in South-East Asia, Africa and the Western Pacific (</w:t>
      </w:r>
      <w:proofErr w:type="spellStart"/>
      <w:r>
        <w:t>Buonfrate</w:t>
      </w:r>
      <w:proofErr w:type="spellEnd"/>
      <w:r>
        <w:t xml:space="preserve"> et al., 2020). Comprehensive appraisal of the clinical literature has emphasised that diagnostic insensitivity, rather than genuine rarity, accounts for much of the historical neglect of this organism (</w:t>
      </w:r>
      <w:proofErr w:type="spellStart"/>
      <w:r>
        <w:t>Buonfrate</w:t>
      </w:r>
      <w:proofErr w:type="spellEnd"/>
      <w:r>
        <w:t xml:space="preserve"> et al., 2023; Gordon et al., 2024).</w:t>
      </w:r>
    </w:p>
    <w:p w14:paraId="32CFDFC2" w14:textId="77777777" w:rsidR="0092069B" w:rsidRDefault="00000000">
      <w:pPr>
        <w:pStyle w:val="Heading2"/>
        <w:spacing w:before="260" w:after="120"/>
      </w:pPr>
      <w:r>
        <w:rPr>
          <w:b/>
          <w:bCs/>
          <w:color w:val="000000"/>
          <w:sz w:val="23"/>
          <w:szCs w:val="23"/>
        </w:rPr>
        <w:t>3.2 Enteric protozoa</w:t>
      </w:r>
    </w:p>
    <w:p w14:paraId="6BC7F5AF" w14:textId="77777777" w:rsidR="0092069B" w:rsidRDefault="00000000">
      <w:pPr>
        <w:spacing w:after="160" w:line="320" w:lineRule="auto"/>
        <w:jc w:val="both"/>
      </w:pPr>
      <w:r>
        <w:rPr>
          <w:i/>
          <w:iCs/>
        </w:rPr>
        <w:t xml:space="preserve">Giardia </w:t>
      </w:r>
      <w:proofErr w:type="spellStart"/>
      <w:r>
        <w:rPr>
          <w:i/>
          <w:iCs/>
        </w:rPr>
        <w:t>duodenalis</w:t>
      </w:r>
      <w:proofErr w:type="spellEnd"/>
      <w:r>
        <w:t xml:space="preserve"> colonises the proximal small intestine without invading, attaching to the epithelial surface by a ventral disc. Because it does not penetrate the mucosa, its pathophysiology depends on surface-level interference with epithelial function, and this has made it particularly amenable to reductionist experimental analysis (Holthaus et al., 2022). Clinical expression ranges from asymptomatic carriage through acute diarrhoeal illness to prolonged malabsorption, and the determinants of that range remain incompletely defined.</w:t>
      </w:r>
    </w:p>
    <w:p w14:paraId="71291D1A" w14:textId="77777777" w:rsidR="0092069B" w:rsidRDefault="00000000">
      <w:pPr>
        <w:spacing w:after="160" w:line="320" w:lineRule="auto"/>
        <w:jc w:val="both"/>
      </w:pPr>
      <w:r>
        <w:rPr>
          <w:i/>
          <w:iCs/>
        </w:rPr>
        <w:t>Entamoeba histolytica</w:t>
      </w:r>
      <w:r>
        <w:t xml:space="preserve"> is distinguished by its capacity for tissue invasion, which occurs in a minority of infections. Most colonisations remain non-invasive, and the transition to invasive disease involves parasite virulence factors, host immune status and interaction with the resident microbiota (Guillén, 2023). The organism is also the clearest example in intestinal parasitology of the diagnostic problem created by morphologically indistinguishable non-pathogenic congeners, which inflated historical prevalence estimates and continues to complicate microscopy-based surveys.</w:t>
      </w:r>
    </w:p>
    <w:p w14:paraId="514E6941" w14:textId="77777777" w:rsidR="0092069B" w:rsidRDefault="00000000">
      <w:pPr>
        <w:spacing w:after="160" w:line="320" w:lineRule="auto"/>
        <w:jc w:val="both"/>
      </w:pPr>
      <w:r>
        <w:rPr>
          <w:i/>
          <w:iCs/>
        </w:rPr>
        <w:t>Cryptosporidium</w:t>
      </w:r>
      <w:r>
        <w:t xml:space="preserve"> species occupy an intracellular but </w:t>
      </w:r>
      <w:proofErr w:type="spellStart"/>
      <w:r>
        <w:t>extracytoplasmic</w:t>
      </w:r>
      <w:proofErr w:type="spellEnd"/>
      <w:r>
        <w:t xml:space="preserve"> niche within the epithelial cell, a position that shapes both the injury they cause and the immune response required to control them (Pardy et al., 2024). The organism is notable for the disproportionate burden it imposes on young children and on immunosuppressed hosts, and for the persistence of growth deficits after the acute illness has resolved (Khalil et al., 2018). Advances in the molecular characterisation of the parasite have clarified the pathways involved in invasion and intracellular survival, and have identified why the therapeutic options remain so limited (Lu et al., 2025).</w:t>
      </w:r>
    </w:p>
    <w:p w14:paraId="4828B15D" w14:textId="77777777" w:rsidR="0092069B" w:rsidRDefault="00000000">
      <w:pPr>
        <w:pStyle w:val="Heading2"/>
        <w:spacing w:before="260" w:after="120"/>
      </w:pPr>
      <w:r>
        <w:rPr>
          <w:b/>
          <w:bCs/>
          <w:color w:val="000000"/>
          <w:sz w:val="23"/>
          <w:szCs w:val="23"/>
        </w:rPr>
        <w:t>3.3 Organisms of contested pathogenicity</w:t>
      </w:r>
    </w:p>
    <w:p w14:paraId="5C2912F4" w14:textId="77777777" w:rsidR="0092069B" w:rsidRDefault="00000000">
      <w:pPr>
        <w:spacing w:after="160" w:line="320" w:lineRule="auto"/>
        <w:jc w:val="both"/>
      </w:pPr>
      <w:r>
        <w:rPr>
          <w:i/>
          <w:iCs/>
        </w:rPr>
        <w:lastRenderedPageBreak/>
        <w:t>Blastocystis</w:t>
      </w:r>
      <w:r>
        <w:t xml:space="preserve"> is among the most frequently detected eukaryotes in human faeces and among the least securely characterised. Its subtypes differ in their association with clinical illness, and the accumulating evidence points away from a simple pathogen model. Carriage has been associated in several populations with higher, not lower, bacterial diversity, and with metabolic profiles that do not resemble those of an inflamed gut (Antonetti et al., 2024). Mechanistic synthesis has proposed that the organism acts principally through its effects on microbial community structure and host metabolism rather than through direct cytotoxicity, although the causal direction of these associations is not established (Deng &amp; Tan, 2025). The organism illustrates a broader problem: molecular diagnostics detect organisms far more reliably than they attribute disease to them, and the expansion of detection has outpaced the development of criteria for deciding when detection matters.</w:t>
      </w:r>
    </w:p>
    <w:p w14:paraId="2EC8F023" w14:textId="77777777" w:rsidR="0092069B" w:rsidRDefault="00000000">
      <w:pPr>
        <w:spacing w:after="160" w:line="320" w:lineRule="auto"/>
        <w:jc w:val="both"/>
      </w:pPr>
      <w:r>
        <w:t xml:space="preserve">Geographical heterogeneity within endemic regions is as marked as the differences between organisms, and it constrains what can be inferred from national estimates. Synthesis of cross-sectional surveys across nineteen Indian states found soil-transmitted helminth prevalence ranging from below 1% to over 90%, with </w:t>
      </w:r>
      <w:r>
        <w:rPr>
          <w:i/>
          <w:iCs/>
        </w:rPr>
        <w:t>Ascaris lumbricoides</w:t>
      </w:r>
      <w:r>
        <w:t xml:space="preserve"> the most frequently reported species and six states exceeding 50% prevalence (Salam &amp; Azam, 2017). Hospital-based surveillance from a tertiary centre in southern India across five years reported intestinal parasites in 9.3% of stool specimens, with helminths accounting for 3.9% and </w:t>
      </w:r>
      <w:r>
        <w:rPr>
          <w:i/>
          <w:iCs/>
        </w:rPr>
        <w:t>Entamoeba</w:t>
      </w:r>
      <w:r>
        <w:t xml:space="preserve"> species for 2.5%, and with </w:t>
      </w:r>
      <w:r>
        <w:rPr>
          <w:i/>
          <w:iCs/>
        </w:rPr>
        <w:t>Ascaris</w:t>
      </w:r>
      <w:r>
        <w:t xml:space="preserve"> and hookworm together constituting the great majority of helminth detections (</w:t>
      </w:r>
      <w:proofErr w:type="spellStart"/>
      <w:r>
        <w:t>Ulaganeethi</w:t>
      </w:r>
      <w:proofErr w:type="spellEnd"/>
      <w:r>
        <w:t xml:space="preserve"> et al., 2021). Community-based characterisation at the Indian site of a large cluster-randomised trial found hookworm infection distributed by age, occupation and environmental exposure in a pattern quite unlike the child-centred distribution assumed by school-based control (</w:t>
      </w:r>
      <w:proofErr w:type="spellStart"/>
      <w:r>
        <w:t>Ajjampur</w:t>
      </w:r>
      <w:proofErr w:type="spellEnd"/>
      <w:r>
        <w:t xml:space="preserve"> et al., 2021). Estimates drawn from clinical laboratory series and from community surveys are not interchangeable, and programme design based on either alone will misrepresent the population at risk.</w:t>
      </w:r>
    </w:p>
    <w:p w14:paraId="6DB12BDB" w14:textId="77777777" w:rsidR="0092069B" w:rsidRDefault="00000000">
      <w:pPr>
        <w:spacing w:after="160" w:line="320" w:lineRule="auto"/>
        <w:jc w:val="both"/>
      </w:pPr>
      <w:r>
        <w:t>The comparative features summarised in Table 1 make explicit why a single preventive strategy cannot serve this group. Organisms that do not replicate in the host and are acquired from contaminated soil respond to periodic chemotherapy and to sanitation in ways that replicating, low-infectious-dose protozoa do not. Organisms whose principal lesion is blood loss have a dose-response relationship with a measurable haematological outcome, whereas organisms whose principal lesion is barrier perturbation produce outcomes that are diffuse and slow to manifest. The table also indicates where the dominant mechanism is inferred largely from experimental systems rather than from human tissue, which becomes important when mechanistic claims are used to justify programmatic decisions.</w:t>
      </w:r>
    </w:p>
    <w:p w14:paraId="40EC52CA" w14:textId="77777777" w:rsidR="0092069B" w:rsidRDefault="00000000">
      <w:pPr>
        <w:spacing w:before="200" w:after="100" w:line="280" w:lineRule="auto"/>
      </w:pPr>
      <w:r>
        <w:rPr>
          <w:b/>
          <w:bCs/>
          <w:sz w:val="20"/>
          <w:szCs w:val="20"/>
        </w:rPr>
        <w:t>Table 1. Principal intestinal parasites of humans: biology, transmission and dominant pathophysiological mechanism</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0"/>
        <w:gridCol w:w="1500"/>
        <w:gridCol w:w="1500"/>
        <w:gridCol w:w="1900"/>
        <w:gridCol w:w="1500"/>
        <w:gridCol w:w="1326"/>
      </w:tblGrid>
      <w:tr w:rsidR="0092069B" w14:paraId="1270A789" w14:textId="77777777">
        <w:trPr>
          <w:tblHeader/>
        </w:trPr>
        <w:tc>
          <w:tcPr>
            <w:tcW w:w="1300" w:type="dxa"/>
            <w:shd w:val="clear" w:color="auto" w:fill="E8E8E8"/>
            <w:tcMar>
              <w:top w:w="60" w:type="dxa"/>
              <w:left w:w="80" w:type="dxa"/>
              <w:bottom w:w="60" w:type="dxa"/>
              <w:right w:w="80" w:type="dxa"/>
            </w:tcMar>
          </w:tcPr>
          <w:p w14:paraId="4530EE51" w14:textId="77777777" w:rsidR="0092069B" w:rsidRDefault="00000000">
            <w:pPr>
              <w:spacing w:before="20" w:after="20" w:line="220" w:lineRule="auto"/>
            </w:pPr>
            <w:r>
              <w:rPr>
                <w:b/>
                <w:bCs/>
                <w:sz w:val="16"/>
                <w:szCs w:val="16"/>
              </w:rPr>
              <w:t>Organism</w:t>
            </w:r>
          </w:p>
        </w:tc>
        <w:tc>
          <w:tcPr>
            <w:tcW w:w="1500" w:type="dxa"/>
            <w:shd w:val="clear" w:color="auto" w:fill="E8E8E8"/>
            <w:tcMar>
              <w:top w:w="60" w:type="dxa"/>
              <w:left w:w="80" w:type="dxa"/>
              <w:bottom w:w="60" w:type="dxa"/>
              <w:right w:w="80" w:type="dxa"/>
            </w:tcMar>
          </w:tcPr>
          <w:p w14:paraId="01337897" w14:textId="77777777" w:rsidR="0092069B" w:rsidRDefault="00000000">
            <w:pPr>
              <w:spacing w:before="20" w:after="20" w:line="220" w:lineRule="auto"/>
            </w:pPr>
            <w:r>
              <w:rPr>
                <w:b/>
                <w:bCs/>
                <w:sz w:val="16"/>
                <w:szCs w:val="16"/>
              </w:rPr>
              <w:t>Group and principal habitat</w:t>
            </w:r>
          </w:p>
        </w:tc>
        <w:tc>
          <w:tcPr>
            <w:tcW w:w="1500" w:type="dxa"/>
            <w:shd w:val="clear" w:color="auto" w:fill="E8E8E8"/>
            <w:tcMar>
              <w:top w:w="60" w:type="dxa"/>
              <w:left w:w="80" w:type="dxa"/>
              <w:bottom w:w="60" w:type="dxa"/>
              <w:right w:w="80" w:type="dxa"/>
            </w:tcMar>
          </w:tcPr>
          <w:p w14:paraId="2EA5E032" w14:textId="77777777" w:rsidR="0092069B" w:rsidRDefault="00000000">
            <w:pPr>
              <w:spacing w:before="20" w:after="20" w:line="220" w:lineRule="auto"/>
            </w:pPr>
            <w:r>
              <w:rPr>
                <w:b/>
                <w:bCs/>
                <w:sz w:val="16"/>
                <w:szCs w:val="16"/>
              </w:rPr>
              <w:t>Principal transmission route</w:t>
            </w:r>
          </w:p>
        </w:tc>
        <w:tc>
          <w:tcPr>
            <w:tcW w:w="1900" w:type="dxa"/>
            <w:shd w:val="clear" w:color="auto" w:fill="E8E8E8"/>
            <w:tcMar>
              <w:top w:w="60" w:type="dxa"/>
              <w:left w:w="80" w:type="dxa"/>
              <w:bottom w:w="60" w:type="dxa"/>
              <w:right w:w="80" w:type="dxa"/>
            </w:tcMar>
          </w:tcPr>
          <w:p w14:paraId="2C969F81" w14:textId="77777777" w:rsidR="0092069B" w:rsidRDefault="00000000">
            <w:pPr>
              <w:spacing w:before="20" w:after="20" w:line="220" w:lineRule="auto"/>
            </w:pPr>
            <w:r>
              <w:rPr>
                <w:b/>
                <w:bCs/>
                <w:sz w:val="16"/>
                <w:szCs w:val="16"/>
              </w:rPr>
              <w:t>Dominant pathophysiological mechanism</w:t>
            </w:r>
          </w:p>
        </w:tc>
        <w:tc>
          <w:tcPr>
            <w:tcW w:w="1500" w:type="dxa"/>
            <w:shd w:val="clear" w:color="auto" w:fill="E8E8E8"/>
            <w:tcMar>
              <w:top w:w="60" w:type="dxa"/>
              <w:left w:w="80" w:type="dxa"/>
              <w:bottom w:w="60" w:type="dxa"/>
              <w:right w:w="80" w:type="dxa"/>
            </w:tcMar>
          </w:tcPr>
          <w:p w14:paraId="2971E5D4" w14:textId="77777777" w:rsidR="0092069B" w:rsidRDefault="00000000">
            <w:pPr>
              <w:spacing w:before="20" w:after="20" w:line="220" w:lineRule="auto"/>
            </w:pPr>
            <w:r>
              <w:rPr>
                <w:b/>
                <w:bCs/>
                <w:sz w:val="16"/>
                <w:szCs w:val="16"/>
              </w:rPr>
              <w:t>Principal clinical expression</w:t>
            </w:r>
          </w:p>
        </w:tc>
        <w:tc>
          <w:tcPr>
            <w:tcW w:w="1326" w:type="dxa"/>
            <w:shd w:val="clear" w:color="auto" w:fill="E8E8E8"/>
            <w:tcMar>
              <w:top w:w="60" w:type="dxa"/>
              <w:left w:w="80" w:type="dxa"/>
              <w:bottom w:w="60" w:type="dxa"/>
              <w:right w:w="80" w:type="dxa"/>
            </w:tcMar>
          </w:tcPr>
          <w:p w14:paraId="118ABC90" w14:textId="77777777" w:rsidR="0092069B" w:rsidRDefault="00000000">
            <w:pPr>
              <w:spacing w:before="20" w:after="20" w:line="220" w:lineRule="auto"/>
            </w:pPr>
            <w:r>
              <w:rPr>
                <w:b/>
                <w:bCs/>
                <w:sz w:val="16"/>
                <w:szCs w:val="16"/>
              </w:rPr>
              <w:t>Supporting references</w:t>
            </w:r>
          </w:p>
        </w:tc>
      </w:tr>
      <w:tr w:rsidR="0092069B" w14:paraId="5C6A2040" w14:textId="77777777">
        <w:tc>
          <w:tcPr>
            <w:tcW w:w="1300" w:type="dxa"/>
            <w:tcMar>
              <w:top w:w="60" w:type="dxa"/>
              <w:left w:w="80" w:type="dxa"/>
              <w:bottom w:w="60" w:type="dxa"/>
              <w:right w:w="80" w:type="dxa"/>
            </w:tcMar>
          </w:tcPr>
          <w:p w14:paraId="06D7EBFB" w14:textId="77777777" w:rsidR="0092069B" w:rsidRDefault="00000000">
            <w:pPr>
              <w:spacing w:before="20" w:after="20" w:line="220" w:lineRule="auto"/>
            </w:pPr>
            <w:r>
              <w:rPr>
                <w:i/>
                <w:iCs/>
                <w:sz w:val="16"/>
                <w:szCs w:val="16"/>
              </w:rPr>
              <w:t>Ascaris lumbricoides</w:t>
            </w:r>
          </w:p>
        </w:tc>
        <w:tc>
          <w:tcPr>
            <w:tcW w:w="1500" w:type="dxa"/>
            <w:tcMar>
              <w:top w:w="60" w:type="dxa"/>
              <w:left w:w="80" w:type="dxa"/>
              <w:bottom w:w="60" w:type="dxa"/>
              <w:right w:w="80" w:type="dxa"/>
            </w:tcMar>
          </w:tcPr>
          <w:p w14:paraId="2484B6AB" w14:textId="77777777" w:rsidR="0092069B" w:rsidRDefault="00000000">
            <w:pPr>
              <w:spacing w:before="20" w:after="20" w:line="220" w:lineRule="auto"/>
            </w:pPr>
            <w:r>
              <w:rPr>
                <w:sz w:val="16"/>
                <w:szCs w:val="16"/>
              </w:rPr>
              <w:t>Nematode; lumen of small intestine after pulmonary migration</w:t>
            </w:r>
          </w:p>
        </w:tc>
        <w:tc>
          <w:tcPr>
            <w:tcW w:w="1500" w:type="dxa"/>
            <w:tcMar>
              <w:top w:w="60" w:type="dxa"/>
              <w:left w:w="80" w:type="dxa"/>
              <w:bottom w:w="60" w:type="dxa"/>
              <w:right w:w="80" w:type="dxa"/>
            </w:tcMar>
          </w:tcPr>
          <w:p w14:paraId="12607BFA" w14:textId="77777777" w:rsidR="0092069B" w:rsidRDefault="00000000">
            <w:pPr>
              <w:spacing w:before="20" w:after="20" w:line="220" w:lineRule="auto"/>
            </w:pPr>
            <w:r>
              <w:rPr>
                <w:sz w:val="16"/>
                <w:szCs w:val="16"/>
              </w:rPr>
              <w:t>Ingestion of embryonated eggs from contaminated soil, water or food</w:t>
            </w:r>
          </w:p>
        </w:tc>
        <w:tc>
          <w:tcPr>
            <w:tcW w:w="1900" w:type="dxa"/>
            <w:tcMar>
              <w:top w:w="60" w:type="dxa"/>
              <w:left w:w="80" w:type="dxa"/>
              <w:bottom w:w="60" w:type="dxa"/>
              <w:right w:w="80" w:type="dxa"/>
            </w:tcMar>
          </w:tcPr>
          <w:p w14:paraId="1A80EA58" w14:textId="77777777" w:rsidR="0092069B" w:rsidRDefault="00000000">
            <w:pPr>
              <w:spacing w:before="20" w:after="20" w:line="220" w:lineRule="auto"/>
            </w:pPr>
            <w:r>
              <w:rPr>
                <w:sz w:val="16"/>
                <w:szCs w:val="16"/>
              </w:rPr>
              <w:t>Luminal nutrient competition, mechanical mass effect, migration-related inflammation</w:t>
            </w:r>
          </w:p>
        </w:tc>
        <w:tc>
          <w:tcPr>
            <w:tcW w:w="1500" w:type="dxa"/>
            <w:tcMar>
              <w:top w:w="60" w:type="dxa"/>
              <w:left w:w="80" w:type="dxa"/>
              <w:bottom w:w="60" w:type="dxa"/>
              <w:right w:w="80" w:type="dxa"/>
            </w:tcMar>
          </w:tcPr>
          <w:p w14:paraId="5EAAFCDC" w14:textId="77777777" w:rsidR="0092069B" w:rsidRDefault="00000000">
            <w:pPr>
              <w:spacing w:before="20" w:after="20" w:line="220" w:lineRule="auto"/>
            </w:pPr>
            <w:r>
              <w:rPr>
                <w:sz w:val="16"/>
                <w:szCs w:val="16"/>
              </w:rPr>
              <w:t>Asymptomatic carriage; intestinal and biliary obstruction at high burden</w:t>
            </w:r>
          </w:p>
        </w:tc>
        <w:tc>
          <w:tcPr>
            <w:tcW w:w="1326" w:type="dxa"/>
            <w:tcMar>
              <w:top w:w="60" w:type="dxa"/>
              <w:left w:w="80" w:type="dxa"/>
              <w:bottom w:w="60" w:type="dxa"/>
              <w:right w:w="80" w:type="dxa"/>
            </w:tcMar>
          </w:tcPr>
          <w:p w14:paraId="60B35FAB" w14:textId="77777777" w:rsidR="0092069B" w:rsidRDefault="00000000">
            <w:pPr>
              <w:spacing w:before="20" w:after="20" w:line="220" w:lineRule="auto"/>
            </w:pPr>
            <w:r w:rsidRPr="00D81875">
              <w:rPr>
                <w:sz w:val="16"/>
                <w:szCs w:val="16"/>
                <w:lang w:val="nl-BE"/>
              </w:rPr>
              <w:t xml:space="preserve">Chen et al. (2024); Loukas et al. </w:t>
            </w:r>
            <w:r>
              <w:rPr>
                <w:sz w:val="16"/>
                <w:szCs w:val="16"/>
              </w:rPr>
              <w:t>(2021)</w:t>
            </w:r>
          </w:p>
        </w:tc>
      </w:tr>
      <w:tr w:rsidR="0092069B" w14:paraId="1E88FE5F" w14:textId="77777777">
        <w:tc>
          <w:tcPr>
            <w:tcW w:w="1300" w:type="dxa"/>
            <w:tcMar>
              <w:top w:w="60" w:type="dxa"/>
              <w:left w:w="80" w:type="dxa"/>
              <w:bottom w:w="60" w:type="dxa"/>
              <w:right w:w="80" w:type="dxa"/>
            </w:tcMar>
          </w:tcPr>
          <w:p w14:paraId="6E641E20" w14:textId="77777777" w:rsidR="0092069B" w:rsidRDefault="00000000">
            <w:pPr>
              <w:spacing w:before="20" w:after="20" w:line="220" w:lineRule="auto"/>
            </w:pPr>
            <w:r>
              <w:rPr>
                <w:i/>
                <w:iCs/>
                <w:sz w:val="16"/>
                <w:szCs w:val="16"/>
              </w:rPr>
              <w:t xml:space="preserve">Trichuris </w:t>
            </w:r>
            <w:proofErr w:type="spellStart"/>
            <w:r>
              <w:rPr>
                <w:i/>
                <w:iCs/>
                <w:sz w:val="16"/>
                <w:szCs w:val="16"/>
              </w:rPr>
              <w:t>trichiura</w:t>
            </w:r>
            <w:proofErr w:type="spellEnd"/>
          </w:p>
        </w:tc>
        <w:tc>
          <w:tcPr>
            <w:tcW w:w="1500" w:type="dxa"/>
            <w:tcMar>
              <w:top w:w="60" w:type="dxa"/>
              <w:left w:w="80" w:type="dxa"/>
              <w:bottom w:w="60" w:type="dxa"/>
              <w:right w:w="80" w:type="dxa"/>
            </w:tcMar>
          </w:tcPr>
          <w:p w14:paraId="11E49A87" w14:textId="77777777" w:rsidR="0092069B" w:rsidRDefault="00000000">
            <w:pPr>
              <w:spacing w:before="20" w:after="20" w:line="220" w:lineRule="auto"/>
            </w:pPr>
            <w:r>
              <w:rPr>
                <w:sz w:val="16"/>
                <w:szCs w:val="16"/>
              </w:rPr>
              <w:t xml:space="preserve">Nematode; caecum and proximal colon, </w:t>
            </w:r>
            <w:r>
              <w:rPr>
                <w:sz w:val="16"/>
                <w:szCs w:val="16"/>
              </w:rPr>
              <w:lastRenderedPageBreak/>
              <w:t>embedded in epithelial syncytium</w:t>
            </w:r>
          </w:p>
        </w:tc>
        <w:tc>
          <w:tcPr>
            <w:tcW w:w="1500" w:type="dxa"/>
            <w:tcMar>
              <w:top w:w="60" w:type="dxa"/>
              <w:left w:w="80" w:type="dxa"/>
              <w:bottom w:w="60" w:type="dxa"/>
              <w:right w:w="80" w:type="dxa"/>
            </w:tcMar>
          </w:tcPr>
          <w:p w14:paraId="0A08EBE9" w14:textId="77777777" w:rsidR="0092069B" w:rsidRDefault="00000000">
            <w:pPr>
              <w:spacing w:before="20" w:after="20" w:line="220" w:lineRule="auto"/>
            </w:pPr>
            <w:r>
              <w:rPr>
                <w:sz w:val="16"/>
                <w:szCs w:val="16"/>
              </w:rPr>
              <w:lastRenderedPageBreak/>
              <w:t xml:space="preserve">Ingestion of embryonated eggs </w:t>
            </w:r>
            <w:r>
              <w:rPr>
                <w:sz w:val="16"/>
                <w:szCs w:val="16"/>
              </w:rPr>
              <w:lastRenderedPageBreak/>
              <w:t>from contaminated soil</w:t>
            </w:r>
          </w:p>
        </w:tc>
        <w:tc>
          <w:tcPr>
            <w:tcW w:w="1900" w:type="dxa"/>
            <w:tcMar>
              <w:top w:w="60" w:type="dxa"/>
              <w:left w:w="80" w:type="dxa"/>
              <w:bottom w:w="60" w:type="dxa"/>
              <w:right w:w="80" w:type="dxa"/>
            </w:tcMar>
          </w:tcPr>
          <w:p w14:paraId="134F0C55" w14:textId="77777777" w:rsidR="0092069B" w:rsidRDefault="00000000">
            <w:pPr>
              <w:spacing w:before="20" w:after="20" w:line="220" w:lineRule="auto"/>
            </w:pPr>
            <w:r>
              <w:rPr>
                <w:sz w:val="16"/>
                <w:szCs w:val="16"/>
              </w:rPr>
              <w:lastRenderedPageBreak/>
              <w:t xml:space="preserve">Direct epithelial invasion with secretion of </w:t>
            </w:r>
            <w:r>
              <w:rPr>
                <w:sz w:val="16"/>
                <w:szCs w:val="16"/>
              </w:rPr>
              <w:lastRenderedPageBreak/>
              <w:t>immunomodulatory products; microbiota-dependent hatching and persistence</w:t>
            </w:r>
          </w:p>
        </w:tc>
        <w:tc>
          <w:tcPr>
            <w:tcW w:w="1500" w:type="dxa"/>
            <w:tcMar>
              <w:top w:w="60" w:type="dxa"/>
              <w:left w:w="80" w:type="dxa"/>
              <w:bottom w:w="60" w:type="dxa"/>
              <w:right w:w="80" w:type="dxa"/>
            </w:tcMar>
          </w:tcPr>
          <w:p w14:paraId="5A98E5AE" w14:textId="77777777" w:rsidR="0092069B" w:rsidRDefault="00000000">
            <w:pPr>
              <w:spacing w:before="20" w:after="20" w:line="220" w:lineRule="auto"/>
            </w:pPr>
            <w:r>
              <w:rPr>
                <w:sz w:val="16"/>
                <w:szCs w:val="16"/>
              </w:rPr>
              <w:lastRenderedPageBreak/>
              <w:t xml:space="preserve">Asymptomatic carriage; colitis, </w:t>
            </w:r>
            <w:r>
              <w:rPr>
                <w:sz w:val="16"/>
                <w:szCs w:val="16"/>
              </w:rPr>
              <w:lastRenderedPageBreak/>
              <w:t>dysentery and rectal prolapse at high burden</w:t>
            </w:r>
          </w:p>
        </w:tc>
        <w:tc>
          <w:tcPr>
            <w:tcW w:w="1326" w:type="dxa"/>
            <w:tcMar>
              <w:top w:w="60" w:type="dxa"/>
              <w:left w:w="80" w:type="dxa"/>
              <w:bottom w:w="60" w:type="dxa"/>
              <w:right w:w="80" w:type="dxa"/>
            </w:tcMar>
          </w:tcPr>
          <w:p w14:paraId="36B02505" w14:textId="77777777" w:rsidR="0092069B" w:rsidRDefault="00000000">
            <w:pPr>
              <w:spacing w:before="20" w:after="20" w:line="220" w:lineRule="auto"/>
            </w:pPr>
            <w:r>
              <w:rPr>
                <w:sz w:val="16"/>
                <w:szCs w:val="16"/>
              </w:rPr>
              <w:lastRenderedPageBreak/>
              <w:t xml:space="preserve">Lawson et al. (2021); Shears </w:t>
            </w:r>
            <w:r>
              <w:rPr>
                <w:sz w:val="16"/>
                <w:szCs w:val="16"/>
              </w:rPr>
              <w:lastRenderedPageBreak/>
              <w:t xml:space="preserve">and </w:t>
            </w:r>
            <w:proofErr w:type="spellStart"/>
            <w:r>
              <w:rPr>
                <w:sz w:val="16"/>
                <w:szCs w:val="16"/>
              </w:rPr>
              <w:t>Grencis</w:t>
            </w:r>
            <w:proofErr w:type="spellEnd"/>
            <w:r>
              <w:rPr>
                <w:sz w:val="16"/>
                <w:szCs w:val="16"/>
              </w:rPr>
              <w:t xml:space="preserve"> (2022)</w:t>
            </w:r>
          </w:p>
        </w:tc>
      </w:tr>
      <w:tr w:rsidR="0092069B" w14:paraId="4B6D1DCC" w14:textId="77777777">
        <w:tc>
          <w:tcPr>
            <w:tcW w:w="1300" w:type="dxa"/>
            <w:tcMar>
              <w:top w:w="60" w:type="dxa"/>
              <w:left w:w="80" w:type="dxa"/>
              <w:bottom w:w="60" w:type="dxa"/>
              <w:right w:w="80" w:type="dxa"/>
            </w:tcMar>
          </w:tcPr>
          <w:p w14:paraId="089335EB" w14:textId="77777777" w:rsidR="0092069B" w:rsidRDefault="00000000">
            <w:pPr>
              <w:spacing w:before="20" w:after="20" w:line="220" w:lineRule="auto"/>
            </w:pPr>
            <w:proofErr w:type="spellStart"/>
            <w:r>
              <w:rPr>
                <w:i/>
                <w:iCs/>
                <w:sz w:val="16"/>
                <w:szCs w:val="16"/>
              </w:rPr>
              <w:lastRenderedPageBreak/>
              <w:t>Necator</w:t>
            </w:r>
            <w:proofErr w:type="spellEnd"/>
            <w:r>
              <w:rPr>
                <w:i/>
                <w:iCs/>
                <w:sz w:val="16"/>
                <w:szCs w:val="16"/>
              </w:rPr>
              <w:t xml:space="preserve"> americanus</w:t>
            </w:r>
            <w:r>
              <w:rPr>
                <w:sz w:val="16"/>
                <w:szCs w:val="16"/>
              </w:rPr>
              <w:t xml:space="preserve"> and </w:t>
            </w:r>
            <w:r>
              <w:rPr>
                <w:i/>
                <w:iCs/>
                <w:sz w:val="16"/>
                <w:szCs w:val="16"/>
              </w:rPr>
              <w:t>Ancylostoma duodenale</w:t>
            </w:r>
          </w:p>
        </w:tc>
        <w:tc>
          <w:tcPr>
            <w:tcW w:w="1500" w:type="dxa"/>
            <w:tcMar>
              <w:top w:w="60" w:type="dxa"/>
              <w:left w:w="80" w:type="dxa"/>
              <w:bottom w:w="60" w:type="dxa"/>
              <w:right w:w="80" w:type="dxa"/>
            </w:tcMar>
          </w:tcPr>
          <w:p w14:paraId="12881CB7" w14:textId="77777777" w:rsidR="0092069B" w:rsidRDefault="00000000">
            <w:pPr>
              <w:spacing w:before="20" w:after="20" w:line="220" w:lineRule="auto"/>
            </w:pPr>
            <w:r>
              <w:rPr>
                <w:sz w:val="16"/>
                <w:szCs w:val="16"/>
              </w:rPr>
              <w:t>Nematode; mucosa of small intestine</w:t>
            </w:r>
          </w:p>
        </w:tc>
        <w:tc>
          <w:tcPr>
            <w:tcW w:w="1500" w:type="dxa"/>
            <w:tcMar>
              <w:top w:w="60" w:type="dxa"/>
              <w:left w:w="80" w:type="dxa"/>
              <w:bottom w:w="60" w:type="dxa"/>
              <w:right w:w="80" w:type="dxa"/>
            </w:tcMar>
          </w:tcPr>
          <w:p w14:paraId="0AC24FA2" w14:textId="77777777" w:rsidR="0092069B" w:rsidRDefault="00000000">
            <w:pPr>
              <w:spacing w:before="20" w:after="20" w:line="220" w:lineRule="auto"/>
            </w:pPr>
            <w:r>
              <w:rPr>
                <w:sz w:val="16"/>
                <w:szCs w:val="16"/>
              </w:rPr>
              <w:t xml:space="preserve">Percutaneous larval penetration; oral route additionally for </w:t>
            </w:r>
            <w:r>
              <w:rPr>
                <w:i/>
                <w:iCs/>
                <w:sz w:val="16"/>
                <w:szCs w:val="16"/>
              </w:rPr>
              <w:t>A. duodenale</w:t>
            </w:r>
          </w:p>
        </w:tc>
        <w:tc>
          <w:tcPr>
            <w:tcW w:w="1900" w:type="dxa"/>
            <w:tcMar>
              <w:top w:w="60" w:type="dxa"/>
              <w:left w:w="80" w:type="dxa"/>
              <w:bottom w:w="60" w:type="dxa"/>
              <w:right w:w="80" w:type="dxa"/>
            </w:tcMar>
          </w:tcPr>
          <w:p w14:paraId="5B75A156" w14:textId="77777777" w:rsidR="0092069B" w:rsidRDefault="00000000">
            <w:pPr>
              <w:spacing w:before="20" w:after="20" w:line="220" w:lineRule="auto"/>
            </w:pPr>
            <w:r>
              <w:rPr>
                <w:sz w:val="16"/>
                <w:szCs w:val="16"/>
              </w:rPr>
              <w:t>Attachment-site blood loss with chronic iron depletion</w:t>
            </w:r>
          </w:p>
        </w:tc>
        <w:tc>
          <w:tcPr>
            <w:tcW w:w="1500" w:type="dxa"/>
            <w:tcMar>
              <w:top w:w="60" w:type="dxa"/>
              <w:left w:w="80" w:type="dxa"/>
              <w:bottom w:w="60" w:type="dxa"/>
              <w:right w:w="80" w:type="dxa"/>
            </w:tcMar>
          </w:tcPr>
          <w:p w14:paraId="4ABB55E1" w14:textId="77777777" w:rsidR="0092069B" w:rsidRDefault="00000000">
            <w:pPr>
              <w:spacing w:before="20" w:after="20" w:line="220" w:lineRule="auto"/>
            </w:pPr>
            <w:r>
              <w:rPr>
                <w:sz w:val="16"/>
                <w:szCs w:val="16"/>
              </w:rPr>
              <w:t>Iron-deficiency anaemia; hypoproteinaemia at high burden</w:t>
            </w:r>
          </w:p>
        </w:tc>
        <w:tc>
          <w:tcPr>
            <w:tcW w:w="1326" w:type="dxa"/>
            <w:tcMar>
              <w:top w:w="60" w:type="dxa"/>
              <w:left w:w="80" w:type="dxa"/>
              <w:bottom w:w="60" w:type="dxa"/>
              <w:right w:w="80" w:type="dxa"/>
            </w:tcMar>
          </w:tcPr>
          <w:p w14:paraId="0FDA7953" w14:textId="77777777" w:rsidR="0092069B" w:rsidRDefault="00000000">
            <w:pPr>
              <w:spacing w:before="20" w:after="20" w:line="220" w:lineRule="auto"/>
            </w:pPr>
            <w:r>
              <w:rPr>
                <w:sz w:val="16"/>
                <w:szCs w:val="16"/>
              </w:rPr>
              <w:t>Loukas et al. (2021); Smith and Brooker (2010)</w:t>
            </w:r>
          </w:p>
        </w:tc>
      </w:tr>
      <w:tr w:rsidR="0092069B" w14:paraId="09367D76" w14:textId="77777777">
        <w:tc>
          <w:tcPr>
            <w:tcW w:w="1300" w:type="dxa"/>
            <w:tcMar>
              <w:top w:w="60" w:type="dxa"/>
              <w:left w:w="80" w:type="dxa"/>
              <w:bottom w:w="60" w:type="dxa"/>
              <w:right w:w="80" w:type="dxa"/>
            </w:tcMar>
          </w:tcPr>
          <w:p w14:paraId="341D013D" w14:textId="77777777" w:rsidR="0092069B" w:rsidRDefault="00000000">
            <w:pPr>
              <w:spacing w:before="20" w:after="20" w:line="220" w:lineRule="auto"/>
            </w:pPr>
            <w:proofErr w:type="spellStart"/>
            <w:r>
              <w:rPr>
                <w:i/>
                <w:iCs/>
                <w:sz w:val="16"/>
                <w:szCs w:val="16"/>
              </w:rPr>
              <w:t>Strongyloides</w:t>
            </w:r>
            <w:proofErr w:type="spellEnd"/>
            <w:r>
              <w:rPr>
                <w:i/>
                <w:iCs/>
                <w:sz w:val="16"/>
                <w:szCs w:val="16"/>
              </w:rPr>
              <w:t xml:space="preserve"> </w:t>
            </w:r>
            <w:proofErr w:type="spellStart"/>
            <w:r>
              <w:rPr>
                <w:i/>
                <w:iCs/>
                <w:sz w:val="16"/>
                <w:szCs w:val="16"/>
              </w:rPr>
              <w:t>stercoralis</w:t>
            </w:r>
            <w:proofErr w:type="spellEnd"/>
          </w:p>
        </w:tc>
        <w:tc>
          <w:tcPr>
            <w:tcW w:w="1500" w:type="dxa"/>
            <w:tcMar>
              <w:top w:w="60" w:type="dxa"/>
              <w:left w:w="80" w:type="dxa"/>
              <w:bottom w:w="60" w:type="dxa"/>
              <w:right w:w="80" w:type="dxa"/>
            </w:tcMar>
          </w:tcPr>
          <w:p w14:paraId="57C54ABD" w14:textId="77777777" w:rsidR="0092069B" w:rsidRDefault="00000000">
            <w:pPr>
              <w:spacing w:before="20" w:after="20" w:line="220" w:lineRule="auto"/>
            </w:pPr>
            <w:r>
              <w:rPr>
                <w:sz w:val="16"/>
                <w:szCs w:val="16"/>
              </w:rPr>
              <w:t xml:space="preserve">Nematode; mucosa of small intestine with </w:t>
            </w:r>
            <w:proofErr w:type="spellStart"/>
            <w:r>
              <w:rPr>
                <w:sz w:val="16"/>
                <w:szCs w:val="16"/>
              </w:rPr>
              <w:t>autoinfective</w:t>
            </w:r>
            <w:proofErr w:type="spellEnd"/>
            <w:r>
              <w:rPr>
                <w:sz w:val="16"/>
                <w:szCs w:val="16"/>
              </w:rPr>
              <w:t xml:space="preserve"> cycle</w:t>
            </w:r>
          </w:p>
        </w:tc>
        <w:tc>
          <w:tcPr>
            <w:tcW w:w="1500" w:type="dxa"/>
            <w:tcMar>
              <w:top w:w="60" w:type="dxa"/>
              <w:left w:w="80" w:type="dxa"/>
              <w:bottom w:w="60" w:type="dxa"/>
              <w:right w:w="80" w:type="dxa"/>
            </w:tcMar>
          </w:tcPr>
          <w:p w14:paraId="46D11CBC" w14:textId="77777777" w:rsidR="0092069B" w:rsidRDefault="00000000">
            <w:pPr>
              <w:spacing w:before="20" w:after="20" w:line="220" w:lineRule="auto"/>
            </w:pPr>
            <w:r>
              <w:rPr>
                <w:sz w:val="16"/>
                <w:szCs w:val="16"/>
              </w:rPr>
              <w:t>Percutaneous larval penetration; internal autoinfection</w:t>
            </w:r>
          </w:p>
        </w:tc>
        <w:tc>
          <w:tcPr>
            <w:tcW w:w="1900" w:type="dxa"/>
            <w:tcMar>
              <w:top w:w="60" w:type="dxa"/>
              <w:left w:w="80" w:type="dxa"/>
              <w:bottom w:w="60" w:type="dxa"/>
              <w:right w:w="80" w:type="dxa"/>
            </w:tcMar>
          </w:tcPr>
          <w:p w14:paraId="5F483D99" w14:textId="77777777" w:rsidR="0092069B" w:rsidRDefault="00000000">
            <w:pPr>
              <w:spacing w:before="20" w:after="20" w:line="220" w:lineRule="auto"/>
            </w:pPr>
            <w:r>
              <w:rPr>
                <w:sz w:val="16"/>
                <w:szCs w:val="16"/>
              </w:rPr>
              <w:t>Persistent low-grade mucosal infection; uncontrolled larval multiplication under immunosuppression</w:t>
            </w:r>
          </w:p>
        </w:tc>
        <w:tc>
          <w:tcPr>
            <w:tcW w:w="1500" w:type="dxa"/>
            <w:tcMar>
              <w:top w:w="60" w:type="dxa"/>
              <w:left w:w="80" w:type="dxa"/>
              <w:bottom w:w="60" w:type="dxa"/>
              <w:right w:w="80" w:type="dxa"/>
            </w:tcMar>
          </w:tcPr>
          <w:p w14:paraId="71700699" w14:textId="77777777" w:rsidR="0092069B" w:rsidRDefault="00000000">
            <w:pPr>
              <w:spacing w:before="20" w:after="20" w:line="220" w:lineRule="auto"/>
            </w:pPr>
            <w:r>
              <w:rPr>
                <w:sz w:val="16"/>
                <w:szCs w:val="16"/>
              </w:rPr>
              <w:t>Chronic asymptomatic or intermittent infection; hyperinfection and disseminated disease</w:t>
            </w:r>
          </w:p>
        </w:tc>
        <w:tc>
          <w:tcPr>
            <w:tcW w:w="1326" w:type="dxa"/>
            <w:tcMar>
              <w:top w:w="60" w:type="dxa"/>
              <w:left w:w="80" w:type="dxa"/>
              <w:bottom w:w="60" w:type="dxa"/>
              <w:right w:w="80" w:type="dxa"/>
            </w:tcMar>
          </w:tcPr>
          <w:p w14:paraId="71BA0AA0" w14:textId="77777777" w:rsidR="0092069B" w:rsidRDefault="00000000">
            <w:pPr>
              <w:spacing w:before="20" w:after="20" w:line="220" w:lineRule="auto"/>
            </w:pPr>
            <w:r w:rsidRPr="00D81875">
              <w:rPr>
                <w:sz w:val="16"/>
                <w:szCs w:val="16"/>
                <w:lang w:val="nl-BE"/>
              </w:rPr>
              <w:t xml:space="preserve">Buonfrate et al. (2020); Buonfrate et al. </w:t>
            </w:r>
            <w:r>
              <w:rPr>
                <w:sz w:val="16"/>
                <w:szCs w:val="16"/>
              </w:rPr>
              <w:t>(2023); Gordon et al. (2024)</w:t>
            </w:r>
          </w:p>
        </w:tc>
      </w:tr>
      <w:tr w:rsidR="0092069B" w14:paraId="41836022" w14:textId="77777777">
        <w:tc>
          <w:tcPr>
            <w:tcW w:w="1300" w:type="dxa"/>
            <w:tcMar>
              <w:top w:w="60" w:type="dxa"/>
              <w:left w:w="80" w:type="dxa"/>
              <w:bottom w:w="60" w:type="dxa"/>
              <w:right w:w="80" w:type="dxa"/>
            </w:tcMar>
          </w:tcPr>
          <w:p w14:paraId="0A77C98C" w14:textId="77777777" w:rsidR="0092069B" w:rsidRDefault="00000000">
            <w:pPr>
              <w:spacing w:before="20" w:after="20" w:line="220" w:lineRule="auto"/>
            </w:pPr>
            <w:r>
              <w:rPr>
                <w:i/>
                <w:iCs/>
                <w:sz w:val="16"/>
                <w:szCs w:val="16"/>
              </w:rPr>
              <w:t xml:space="preserve">Giardia </w:t>
            </w:r>
            <w:proofErr w:type="spellStart"/>
            <w:r>
              <w:rPr>
                <w:i/>
                <w:iCs/>
                <w:sz w:val="16"/>
                <w:szCs w:val="16"/>
              </w:rPr>
              <w:t>duodenalis</w:t>
            </w:r>
            <w:proofErr w:type="spellEnd"/>
          </w:p>
        </w:tc>
        <w:tc>
          <w:tcPr>
            <w:tcW w:w="1500" w:type="dxa"/>
            <w:tcMar>
              <w:top w:w="60" w:type="dxa"/>
              <w:left w:w="80" w:type="dxa"/>
              <w:bottom w:w="60" w:type="dxa"/>
              <w:right w:w="80" w:type="dxa"/>
            </w:tcMar>
          </w:tcPr>
          <w:p w14:paraId="307BC3BF" w14:textId="77777777" w:rsidR="0092069B" w:rsidRDefault="00000000">
            <w:pPr>
              <w:spacing w:before="20" w:after="20" w:line="220" w:lineRule="auto"/>
            </w:pPr>
            <w:r>
              <w:rPr>
                <w:sz w:val="16"/>
                <w:szCs w:val="16"/>
              </w:rPr>
              <w:t>Protozoan; surface of proximal small-intestinal epithelium</w:t>
            </w:r>
          </w:p>
        </w:tc>
        <w:tc>
          <w:tcPr>
            <w:tcW w:w="1500" w:type="dxa"/>
            <w:tcMar>
              <w:top w:w="60" w:type="dxa"/>
              <w:left w:w="80" w:type="dxa"/>
              <w:bottom w:w="60" w:type="dxa"/>
              <w:right w:w="80" w:type="dxa"/>
            </w:tcMar>
          </w:tcPr>
          <w:p w14:paraId="17113F98" w14:textId="77777777" w:rsidR="0092069B" w:rsidRDefault="00000000">
            <w:pPr>
              <w:spacing w:before="20" w:after="20" w:line="220" w:lineRule="auto"/>
            </w:pPr>
            <w:r>
              <w:rPr>
                <w:sz w:val="16"/>
                <w:szCs w:val="16"/>
              </w:rPr>
              <w:t>Ingestion of cysts in water or food; person-to-person spread</w:t>
            </w:r>
          </w:p>
        </w:tc>
        <w:tc>
          <w:tcPr>
            <w:tcW w:w="1900" w:type="dxa"/>
            <w:tcMar>
              <w:top w:w="60" w:type="dxa"/>
              <w:left w:w="80" w:type="dxa"/>
              <w:bottom w:w="60" w:type="dxa"/>
              <w:right w:w="80" w:type="dxa"/>
            </w:tcMar>
          </w:tcPr>
          <w:p w14:paraId="0BC16F75" w14:textId="77777777" w:rsidR="0092069B" w:rsidRDefault="00000000">
            <w:pPr>
              <w:spacing w:before="20" w:after="20" w:line="220" w:lineRule="auto"/>
            </w:pPr>
            <w:r>
              <w:rPr>
                <w:sz w:val="16"/>
                <w:szCs w:val="16"/>
              </w:rPr>
              <w:t>Non-invasive epithelial attachment with junctional disruption and impaired nutrient handling</w:t>
            </w:r>
          </w:p>
        </w:tc>
        <w:tc>
          <w:tcPr>
            <w:tcW w:w="1500" w:type="dxa"/>
            <w:tcMar>
              <w:top w:w="60" w:type="dxa"/>
              <w:left w:w="80" w:type="dxa"/>
              <w:bottom w:w="60" w:type="dxa"/>
              <w:right w:w="80" w:type="dxa"/>
            </w:tcMar>
          </w:tcPr>
          <w:p w14:paraId="16DD88B0" w14:textId="77777777" w:rsidR="0092069B" w:rsidRDefault="00000000">
            <w:pPr>
              <w:spacing w:before="20" w:after="20" w:line="220" w:lineRule="auto"/>
            </w:pPr>
            <w:r>
              <w:rPr>
                <w:sz w:val="16"/>
                <w:szCs w:val="16"/>
              </w:rPr>
              <w:t>Acute and persistent diarrhoea; malabsorption; asymptomatic carriage</w:t>
            </w:r>
          </w:p>
        </w:tc>
        <w:tc>
          <w:tcPr>
            <w:tcW w:w="1326" w:type="dxa"/>
            <w:tcMar>
              <w:top w:w="60" w:type="dxa"/>
              <w:left w:w="80" w:type="dxa"/>
              <w:bottom w:w="60" w:type="dxa"/>
              <w:right w:w="80" w:type="dxa"/>
            </w:tcMar>
          </w:tcPr>
          <w:p w14:paraId="4BD18FB8" w14:textId="77777777" w:rsidR="0092069B" w:rsidRDefault="00000000">
            <w:pPr>
              <w:spacing w:before="20" w:after="20" w:line="220" w:lineRule="auto"/>
            </w:pPr>
            <w:proofErr w:type="spellStart"/>
            <w:r>
              <w:rPr>
                <w:sz w:val="16"/>
                <w:szCs w:val="16"/>
              </w:rPr>
              <w:t>Giallourou</w:t>
            </w:r>
            <w:proofErr w:type="spellEnd"/>
            <w:r>
              <w:rPr>
                <w:sz w:val="16"/>
                <w:szCs w:val="16"/>
              </w:rPr>
              <w:t xml:space="preserve"> et al. (2023); Holthaus et al. (2022)</w:t>
            </w:r>
          </w:p>
        </w:tc>
      </w:tr>
      <w:tr w:rsidR="0092069B" w14:paraId="651C154C" w14:textId="77777777">
        <w:tc>
          <w:tcPr>
            <w:tcW w:w="1300" w:type="dxa"/>
            <w:tcMar>
              <w:top w:w="60" w:type="dxa"/>
              <w:left w:w="80" w:type="dxa"/>
              <w:bottom w:w="60" w:type="dxa"/>
              <w:right w:w="80" w:type="dxa"/>
            </w:tcMar>
          </w:tcPr>
          <w:p w14:paraId="680BCD78" w14:textId="77777777" w:rsidR="0092069B" w:rsidRDefault="00000000">
            <w:pPr>
              <w:spacing w:before="20" w:after="20" w:line="220" w:lineRule="auto"/>
            </w:pPr>
            <w:r>
              <w:rPr>
                <w:i/>
                <w:iCs/>
                <w:sz w:val="16"/>
                <w:szCs w:val="16"/>
              </w:rPr>
              <w:t>Entamoeba histolytica</w:t>
            </w:r>
          </w:p>
        </w:tc>
        <w:tc>
          <w:tcPr>
            <w:tcW w:w="1500" w:type="dxa"/>
            <w:tcMar>
              <w:top w:w="60" w:type="dxa"/>
              <w:left w:w="80" w:type="dxa"/>
              <w:bottom w:w="60" w:type="dxa"/>
              <w:right w:w="80" w:type="dxa"/>
            </w:tcMar>
          </w:tcPr>
          <w:p w14:paraId="27D65B9F" w14:textId="77777777" w:rsidR="0092069B" w:rsidRDefault="00000000">
            <w:pPr>
              <w:spacing w:before="20" w:after="20" w:line="220" w:lineRule="auto"/>
            </w:pPr>
            <w:r>
              <w:rPr>
                <w:sz w:val="16"/>
                <w:szCs w:val="16"/>
              </w:rPr>
              <w:t>Protozoan; colonic lumen and mucosa</w:t>
            </w:r>
          </w:p>
        </w:tc>
        <w:tc>
          <w:tcPr>
            <w:tcW w:w="1500" w:type="dxa"/>
            <w:tcMar>
              <w:top w:w="60" w:type="dxa"/>
              <w:left w:w="80" w:type="dxa"/>
              <w:bottom w:w="60" w:type="dxa"/>
              <w:right w:w="80" w:type="dxa"/>
            </w:tcMar>
          </w:tcPr>
          <w:p w14:paraId="6585B33C" w14:textId="77777777" w:rsidR="0092069B" w:rsidRDefault="00000000">
            <w:pPr>
              <w:spacing w:before="20" w:after="20" w:line="220" w:lineRule="auto"/>
            </w:pPr>
            <w:r>
              <w:rPr>
                <w:sz w:val="16"/>
                <w:szCs w:val="16"/>
              </w:rPr>
              <w:t>Ingestion of cysts in contaminated water or food</w:t>
            </w:r>
          </w:p>
        </w:tc>
        <w:tc>
          <w:tcPr>
            <w:tcW w:w="1900" w:type="dxa"/>
            <w:tcMar>
              <w:top w:w="60" w:type="dxa"/>
              <w:left w:w="80" w:type="dxa"/>
              <w:bottom w:w="60" w:type="dxa"/>
              <w:right w:w="80" w:type="dxa"/>
            </w:tcMar>
          </w:tcPr>
          <w:p w14:paraId="5539E1C8" w14:textId="77777777" w:rsidR="0092069B" w:rsidRDefault="00000000">
            <w:pPr>
              <w:spacing w:before="20" w:after="20" w:line="220" w:lineRule="auto"/>
            </w:pPr>
            <w:r>
              <w:rPr>
                <w:sz w:val="16"/>
                <w:szCs w:val="16"/>
              </w:rPr>
              <w:t>Contact-dependent host cell killing and tissue invasion in a minority of infections</w:t>
            </w:r>
          </w:p>
        </w:tc>
        <w:tc>
          <w:tcPr>
            <w:tcW w:w="1500" w:type="dxa"/>
            <w:tcMar>
              <w:top w:w="60" w:type="dxa"/>
              <w:left w:w="80" w:type="dxa"/>
              <w:bottom w:w="60" w:type="dxa"/>
              <w:right w:w="80" w:type="dxa"/>
            </w:tcMar>
          </w:tcPr>
          <w:p w14:paraId="28979F75" w14:textId="77777777" w:rsidR="0092069B" w:rsidRDefault="00000000">
            <w:pPr>
              <w:spacing w:before="20" w:after="20" w:line="220" w:lineRule="auto"/>
            </w:pPr>
            <w:r>
              <w:rPr>
                <w:sz w:val="16"/>
                <w:szCs w:val="16"/>
              </w:rPr>
              <w:t>Non-invasive colonisation; amoebic colitis; extraintestinal abscess</w:t>
            </w:r>
          </w:p>
        </w:tc>
        <w:tc>
          <w:tcPr>
            <w:tcW w:w="1326" w:type="dxa"/>
            <w:tcMar>
              <w:top w:w="60" w:type="dxa"/>
              <w:left w:w="80" w:type="dxa"/>
              <w:bottom w:w="60" w:type="dxa"/>
              <w:right w:w="80" w:type="dxa"/>
            </w:tcMar>
          </w:tcPr>
          <w:p w14:paraId="5BCD1143" w14:textId="77777777" w:rsidR="0092069B" w:rsidRDefault="00000000">
            <w:pPr>
              <w:spacing w:before="20" w:after="20" w:line="220" w:lineRule="auto"/>
            </w:pPr>
            <w:r>
              <w:rPr>
                <w:sz w:val="16"/>
                <w:szCs w:val="16"/>
              </w:rPr>
              <w:t>Guillén (2023)</w:t>
            </w:r>
          </w:p>
        </w:tc>
      </w:tr>
      <w:tr w:rsidR="0092069B" w14:paraId="5C8A9DCA" w14:textId="77777777">
        <w:tc>
          <w:tcPr>
            <w:tcW w:w="1300" w:type="dxa"/>
            <w:tcMar>
              <w:top w:w="60" w:type="dxa"/>
              <w:left w:w="80" w:type="dxa"/>
              <w:bottom w:w="60" w:type="dxa"/>
              <w:right w:w="80" w:type="dxa"/>
            </w:tcMar>
          </w:tcPr>
          <w:p w14:paraId="0169FC46" w14:textId="77777777" w:rsidR="0092069B" w:rsidRDefault="00000000">
            <w:pPr>
              <w:spacing w:before="20" w:after="20" w:line="220" w:lineRule="auto"/>
            </w:pPr>
            <w:r>
              <w:rPr>
                <w:i/>
                <w:iCs/>
                <w:sz w:val="16"/>
                <w:szCs w:val="16"/>
              </w:rPr>
              <w:t>Cryptosporidium</w:t>
            </w:r>
            <w:r>
              <w:rPr>
                <w:sz w:val="16"/>
                <w:szCs w:val="16"/>
              </w:rPr>
              <w:t xml:space="preserve"> species</w:t>
            </w:r>
          </w:p>
        </w:tc>
        <w:tc>
          <w:tcPr>
            <w:tcW w:w="1500" w:type="dxa"/>
            <w:tcMar>
              <w:top w:w="60" w:type="dxa"/>
              <w:left w:w="80" w:type="dxa"/>
              <w:bottom w:w="60" w:type="dxa"/>
              <w:right w:w="80" w:type="dxa"/>
            </w:tcMar>
          </w:tcPr>
          <w:p w14:paraId="59FFBFFA" w14:textId="77777777" w:rsidR="0092069B" w:rsidRDefault="00000000">
            <w:pPr>
              <w:spacing w:before="20" w:after="20" w:line="220" w:lineRule="auto"/>
            </w:pPr>
            <w:r>
              <w:rPr>
                <w:sz w:val="16"/>
                <w:szCs w:val="16"/>
              </w:rPr>
              <w:t xml:space="preserve">Protozoan; intracellular but </w:t>
            </w:r>
            <w:proofErr w:type="spellStart"/>
            <w:r>
              <w:rPr>
                <w:sz w:val="16"/>
                <w:szCs w:val="16"/>
              </w:rPr>
              <w:t>extracytoplasmic</w:t>
            </w:r>
            <w:proofErr w:type="spellEnd"/>
            <w:r>
              <w:rPr>
                <w:sz w:val="16"/>
                <w:szCs w:val="16"/>
              </w:rPr>
              <w:t xml:space="preserve"> within enterocytes</w:t>
            </w:r>
          </w:p>
        </w:tc>
        <w:tc>
          <w:tcPr>
            <w:tcW w:w="1500" w:type="dxa"/>
            <w:tcMar>
              <w:top w:w="60" w:type="dxa"/>
              <w:left w:w="80" w:type="dxa"/>
              <w:bottom w:w="60" w:type="dxa"/>
              <w:right w:w="80" w:type="dxa"/>
            </w:tcMar>
          </w:tcPr>
          <w:p w14:paraId="4374BCA7" w14:textId="77777777" w:rsidR="0092069B" w:rsidRDefault="00000000">
            <w:pPr>
              <w:spacing w:before="20" w:after="20" w:line="220" w:lineRule="auto"/>
            </w:pPr>
            <w:r>
              <w:rPr>
                <w:sz w:val="16"/>
                <w:szCs w:val="16"/>
              </w:rPr>
              <w:t>Ingestion of oocysts in water or food; person-to-person and zoonotic spread</w:t>
            </w:r>
          </w:p>
        </w:tc>
        <w:tc>
          <w:tcPr>
            <w:tcW w:w="1900" w:type="dxa"/>
            <w:tcMar>
              <w:top w:w="60" w:type="dxa"/>
              <w:left w:w="80" w:type="dxa"/>
              <w:bottom w:w="60" w:type="dxa"/>
              <w:right w:w="80" w:type="dxa"/>
            </w:tcMar>
          </w:tcPr>
          <w:p w14:paraId="70762802" w14:textId="77777777" w:rsidR="0092069B" w:rsidRDefault="00000000">
            <w:pPr>
              <w:spacing w:before="20" w:after="20" w:line="220" w:lineRule="auto"/>
            </w:pPr>
            <w:r>
              <w:rPr>
                <w:sz w:val="16"/>
                <w:szCs w:val="16"/>
              </w:rPr>
              <w:t>Enterocyte injury with junctional downregulation and disturbed epithelial turnover</w:t>
            </w:r>
          </w:p>
        </w:tc>
        <w:tc>
          <w:tcPr>
            <w:tcW w:w="1500" w:type="dxa"/>
            <w:tcMar>
              <w:top w:w="60" w:type="dxa"/>
              <w:left w:w="80" w:type="dxa"/>
              <w:bottom w:w="60" w:type="dxa"/>
              <w:right w:w="80" w:type="dxa"/>
            </w:tcMar>
          </w:tcPr>
          <w:p w14:paraId="7FE9D0A8" w14:textId="77777777" w:rsidR="0092069B" w:rsidRDefault="00000000">
            <w:pPr>
              <w:spacing w:before="20" w:after="20" w:line="220" w:lineRule="auto"/>
            </w:pPr>
            <w:r>
              <w:rPr>
                <w:sz w:val="16"/>
                <w:szCs w:val="16"/>
              </w:rPr>
              <w:t>Acute watery diarrhoea; prolonged illness and growth deficit in young and immunosuppressed hosts</w:t>
            </w:r>
          </w:p>
        </w:tc>
        <w:tc>
          <w:tcPr>
            <w:tcW w:w="1326" w:type="dxa"/>
            <w:tcMar>
              <w:top w:w="60" w:type="dxa"/>
              <w:left w:w="80" w:type="dxa"/>
              <w:bottom w:w="60" w:type="dxa"/>
              <w:right w:w="80" w:type="dxa"/>
            </w:tcMar>
          </w:tcPr>
          <w:p w14:paraId="47F6A7A7" w14:textId="77777777" w:rsidR="0092069B" w:rsidRDefault="00000000">
            <w:pPr>
              <w:spacing w:before="20" w:after="20" w:line="220" w:lineRule="auto"/>
            </w:pPr>
            <w:r w:rsidRPr="00D81875">
              <w:rPr>
                <w:sz w:val="16"/>
                <w:szCs w:val="16"/>
                <w:lang w:val="nl-BE"/>
              </w:rPr>
              <w:t xml:space="preserve">Khalil et al. (2018); Luo et al. </w:t>
            </w:r>
            <w:r>
              <w:rPr>
                <w:sz w:val="16"/>
                <w:szCs w:val="16"/>
              </w:rPr>
              <w:t>(2024); Pardy et al. (2024)</w:t>
            </w:r>
          </w:p>
        </w:tc>
      </w:tr>
      <w:tr w:rsidR="0092069B" w14:paraId="0EBC8ABE" w14:textId="77777777">
        <w:tc>
          <w:tcPr>
            <w:tcW w:w="1300" w:type="dxa"/>
            <w:tcMar>
              <w:top w:w="60" w:type="dxa"/>
              <w:left w:w="80" w:type="dxa"/>
              <w:bottom w:w="60" w:type="dxa"/>
              <w:right w:w="80" w:type="dxa"/>
            </w:tcMar>
          </w:tcPr>
          <w:p w14:paraId="4CD42C58" w14:textId="77777777" w:rsidR="0092069B" w:rsidRDefault="00000000">
            <w:pPr>
              <w:spacing w:before="20" w:after="20" w:line="220" w:lineRule="auto"/>
            </w:pPr>
            <w:r>
              <w:rPr>
                <w:i/>
                <w:iCs/>
                <w:sz w:val="16"/>
                <w:szCs w:val="16"/>
              </w:rPr>
              <w:t>Blastocystis</w:t>
            </w:r>
            <w:r>
              <w:rPr>
                <w:sz w:val="16"/>
                <w:szCs w:val="16"/>
              </w:rPr>
              <w:t xml:space="preserve"> species</w:t>
            </w:r>
          </w:p>
        </w:tc>
        <w:tc>
          <w:tcPr>
            <w:tcW w:w="1500" w:type="dxa"/>
            <w:tcMar>
              <w:top w:w="60" w:type="dxa"/>
              <w:left w:w="80" w:type="dxa"/>
              <w:bottom w:w="60" w:type="dxa"/>
              <w:right w:w="80" w:type="dxa"/>
            </w:tcMar>
          </w:tcPr>
          <w:p w14:paraId="02B5FD45" w14:textId="77777777" w:rsidR="0092069B" w:rsidRDefault="00000000">
            <w:pPr>
              <w:spacing w:before="20" w:after="20" w:line="220" w:lineRule="auto"/>
            </w:pPr>
            <w:r>
              <w:rPr>
                <w:sz w:val="16"/>
                <w:szCs w:val="16"/>
              </w:rPr>
              <w:t>Protozoan; colonic lumen</w:t>
            </w:r>
          </w:p>
        </w:tc>
        <w:tc>
          <w:tcPr>
            <w:tcW w:w="1500" w:type="dxa"/>
            <w:tcMar>
              <w:top w:w="60" w:type="dxa"/>
              <w:left w:w="80" w:type="dxa"/>
              <w:bottom w:w="60" w:type="dxa"/>
              <w:right w:w="80" w:type="dxa"/>
            </w:tcMar>
          </w:tcPr>
          <w:p w14:paraId="1AC1F69E" w14:textId="77777777" w:rsidR="0092069B" w:rsidRDefault="00000000">
            <w:pPr>
              <w:spacing w:before="20" w:after="20" w:line="220" w:lineRule="auto"/>
            </w:pPr>
            <w:r>
              <w:rPr>
                <w:sz w:val="16"/>
                <w:szCs w:val="16"/>
              </w:rPr>
              <w:t>Faecal-oral ingestion of cysts</w:t>
            </w:r>
          </w:p>
        </w:tc>
        <w:tc>
          <w:tcPr>
            <w:tcW w:w="1900" w:type="dxa"/>
            <w:tcMar>
              <w:top w:w="60" w:type="dxa"/>
              <w:left w:w="80" w:type="dxa"/>
              <w:bottom w:w="60" w:type="dxa"/>
              <w:right w:w="80" w:type="dxa"/>
            </w:tcMar>
          </w:tcPr>
          <w:p w14:paraId="1E1EC7DF" w14:textId="77777777" w:rsidR="0092069B" w:rsidRDefault="00000000">
            <w:pPr>
              <w:spacing w:before="20" w:after="20" w:line="220" w:lineRule="auto"/>
            </w:pPr>
            <w:r>
              <w:rPr>
                <w:sz w:val="16"/>
                <w:szCs w:val="16"/>
              </w:rPr>
              <w:t>Contested; principally alteration of microbial community structure and host metabolism</w:t>
            </w:r>
          </w:p>
        </w:tc>
        <w:tc>
          <w:tcPr>
            <w:tcW w:w="1500" w:type="dxa"/>
            <w:tcMar>
              <w:top w:w="60" w:type="dxa"/>
              <w:left w:w="80" w:type="dxa"/>
              <w:bottom w:w="60" w:type="dxa"/>
              <w:right w:w="80" w:type="dxa"/>
            </w:tcMar>
          </w:tcPr>
          <w:p w14:paraId="1DE67088" w14:textId="77777777" w:rsidR="0092069B" w:rsidRDefault="00000000">
            <w:pPr>
              <w:spacing w:before="20" w:after="20" w:line="220" w:lineRule="auto"/>
            </w:pPr>
            <w:r>
              <w:rPr>
                <w:sz w:val="16"/>
                <w:szCs w:val="16"/>
              </w:rPr>
              <w:t>Frequently asymptomatic; symptom association subtype-dependent and unresolved</w:t>
            </w:r>
          </w:p>
        </w:tc>
        <w:tc>
          <w:tcPr>
            <w:tcW w:w="1326" w:type="dxa"/>
            <w:tcMar>
              <w:top w:w="60" w:type="dxa"/>
              <w:left w:w="80" w:type="dxa"/>
              <w:bottom w:w="60" w:type="dxa"/>
              <w:right w:w="80" w:type="dxa"/>
            </w:tcMar>
          </w:tcPr>
          <w:p w14:paraId="2C77E5ED" w14:textId="77777777" w:rsidR="0092069B" w:rsidRDefault="00000000">
            <w:pPr>
              <w:spacing w:before="20" w:after="20" w:line="220" w:lineRule="auto"/>
            </w:pPr>
            <w:r>
              <w:rPr>
                <w:sz w:val="16"/>
                <w:szCs w:val="16"/>
              </w:rPr>
              <w:t>Antonetti et al. (2024); Deng and Tan (2025)</w:t>
            </w:r>
          </w:p>
        </w:tc>
      </w:tr>
    </w:tbl>
    <w:p w14:paraId="72236619" w14:textId="77777777" w:rsidR="0092069B" w:rsidRDefault="00000000">
      <w:pPr>
        <w:spacing w:before="100" w:after="260" w:line="260" w:lineRule="auto"/>
      </w:pPr>
      <w:r>
        <w:rPr>
          <w:sz w:val="18"/>
          <w:szCs w:val="18"/>
        </w:rPr>
        <w:t>Table note: Mechanisms listed are those most consistently supported for each organism and are not exhaustive. For several organisms the dominant mechanism is established principally in experimental or animal systems, and the extent to which it accounts for human morbidity is discussed in the text.</w:t>
      </w:r>
    </w:p>
    <w:p w14:paraId="5310CD6F" w14:textId="77777777" w:rsidR="0092069B" w:rsidRDefault="00000000">
      <w:pPr>
        <w:pStyle w:val="Heading1"/>
        <w:spacing w:before="360" w:after="160"/>
      </w:pPr>
      <w:r>
        <w:rPr>
          <w:b/>
          <w:bCs/>
          <w:color w:val="000000"/>
          <w:sz w:val="26"/>
          <w:szCs w:val="26"/>
        </w:rPr>
        <w:t>4. Mechanisms of Mucosal Injury and Host Response</w:t>
      </w:r>
    </w:p>
    <w:p w14:paraId="46A5FB02" w14:textId="77777777" w:rsidR="0092069B" w:rsidRDefault="00000000">
      <w:pPr>
        <w:spacing w:after="160" w:line="320" w:lineRule="auto"/>
        <w:jc w:val="both"/>
      </w:pPr>
      <w:r>
        <w:t>The mechanisms by which intestinal parasites perturb the gut fall into four broad categories that operate simultaneously and to differing degrees for each organism: disruption of the epithelial barrier, engagement and modulation of mucosal immunity, interference with nutrient acquisition, and alteration of the microbial community. The analytical task is not to catalogue these processes but to establish which of them are demonstrated in human tissue, which rest on experimental systems, and which have been shown to generate a clinical consequence rather than merely a measurable change.</w:t>
      </w:r>
    </w:p>
    <w:p w14:paraId="689B53D7" w14:textId="77777777" w:rsidR="0092069B" w:rsidRDefault="00000000">
      <w:pPr>
        <w:pStyle w:val="Heading2"/>
        <w:spacing w:before="260" w:after="120"/>
      </w:pPr>
      <w:r>
        <w:rPr>
          <w:b/>
          <w:bCs/>
          <w:color w:val="000000"/>
          <w:sz w:val="23"/>
          <w:szCs w:val="23"/>
        </w:rPr>
        <w:t>4.1 Epithelial barrier disruption and junctional remodelling</w:t>
      </w:r>
    </w:p>
    <w:p w14:paraId="29EC5053" w14:textId="77777777" w:rsidR="0092069B" w:rsidRDefault="00000000">
      <w:pPr>
        <w:spacing w:after="160" w:line="320" w:lineRule="auto"/>
        <w:jc w:val="both"/>
      </w:pPr>
      <w:r>
        <w:t xml:space="preserve">Barrier failure is the mechanism most consistently reported across organisms and the one for which experimental evidence is strongest. Human intestinal organoid-derived epithelial monolayers exposed to </w:t>
      </w:r>
      <w:r>
        <w:rPr>
          <w:i/>
          <w:iCs/>
        </w:rPr>
        <w:t xml:space="preserve">G. </w:t>
      </w:r>
      <w:proofErr w:type="spellStart"/>
      <w:r>
        <w:rPr>
          <w:i/>
          <w:iCs/>
        </w:rPr>
        <w:t>duodenalis</w:t>
      </w:r>
      <w:proofErr w:type="spellEnd"/>
      <w:r>
        <w:t xml:space="preserve"> develop measurable barrier dysfunction that can be resolved into distinct components, allowing the contribution of specific junctional and cytoskeletal changes to be separated from the more general consequences of colonisation (Holthaus et al., 2022). The value of this system lies precisely in </w:t>
      </w:r>
      <w:r>
        <w:lastRenderedPageBreak/>
        <w:t>what it excludes: because it contains no immune compartment and no microbiota, the observed barrier changes must be attributable to direct epithelial interaction. This is a strong design for establishing sufficiency, and correspondingly weak for establishing the magnitude of the effect in an intact host, where immune and microbial responses may amplify or contain it.</w:t>
      </w:r>
    </w:p>
    <w:p w14:paraId="69D2453C" w14:textId="77777777" w:rsidR="0092069B" w:rsidRDefault="00000000">
      <w:pPr>
        <w:spacing w:after="160" w:line="320" w:lineRule="auto"/>
        <w:jc w:val="both"/>
      </w:pPr>
      <w:r>
        <w:t xml:space="preserve">Analogous findings have been reported for </w:t>
      </w:r>
      <w:r>
        <w:rPr>
          <w:i/>
          <w:iCs/>
        </w:rPr>
        <w:t>Cryptosporidium</w:t>
      </w:r>
      <w:r>
        <w:t xml:space="preserve">. In neonatal mice, </w:t>
      </w:r>
      <w:r>
        <w:rPr>
          <w:i/>
          <w:iCs/>
        </w:rPr>
        <w:t>C. parvum</w:t>
      </w:r>
      <w:r>
        <w:t xml:space="preserve"> infection is accompanied by downregulation of cell junction molecules and by demonstrable barrier compromise, providing a mechanistic account of how a parasite confined to the epithelial cell can produce a diffuse absorptive defect (Luo et al., 2024). Review of the broader literature on barrier function and microbial change in cryptosporidiosis indicates that these findings recur across host systems, although much of the underlying work has been conducted in animal models whose intestinal physiology differs from that of the human infant in ways that are not trivial (Ali et al., 2025). Complementary work on the immunology of the infection has clarified that epithelial cells are not passive targets but active sensors that initiate the innate response and shape subsequent T cell-mediated control, so that barrier injury and immune activation are not separable steps but a single coupled process (Pardy et al., 2024).</w:t>
      </w:r>
    </w:p>
    <w:p w14:paraId="42B6FAC5" w14:textId="77777777" w:rsidR="0092069B" w:rsidRDefault="00000000">
      <w:pPr>
        <w:spacing w:after="160" w:line="320" w:lineRule="auto"/>
        <w:jc w:val="both"/>
      </w:pPr>
      <w:r>
        <w:t xml:space="preserve">Helminths compromise the barrier by different routes. </w:t>
      </w:r>
      <w:r>
        <w:rPr>
          <w:i/>
          <w:iCs/>
        </w:rPr>
        <w:t>Trichuris</w:t>
      </w:r>
      <w:r>
        <w:t xml:space="preserve"> achieves an intraepithelial position that necessarily disturbs epithelial architecture, and it releases a complex secretory repertoire directly into that compartment (Shears &amp; </w:t>
      </w:r>
      <w:proofErr w:type="spellStart"/>
      <w:r>
        <w:t>Grencis</w:t>
      </w:r>
      <w:proofErr w:type="spellEnd"/>
      <w:r>
        <w:t xml:space="preserve">, 2022). Hookworms produce discrete attachment lesions with associated haemorrhage. </w:t>
      </w:r>
      <w:r>
        <w:rPr>
          <w:i/>
          <w:iCs/>
        </w:rPr>
        <w:t>Ascaris</w:t>
      </w:r>
      <w:r>
        <w:t xml:space="preserve"> does not attach, and the barrier consequences attributed to it are correspondingly less well substantiated. The evidence therefore supports barrier disruption as a general mechanism only in the sense that most of these organisms can be shown to disturb epithelial integrity by some route; the routes differ, and the quantitative consequences almost certainly differ as well. Generalised statements about parasites increasing intestinal permeability conceal this variation and should be treated with caution.</w:t>
      </w:r>
    </w:p>
    <w:p w14:paraId="00BF2798" w14:textId="77777777" w:rsidR="0092069B" w:rsidRDefault="00000000">
      <w:pPr>
        <w:pStyle w:val="Heading2"/>
        <w:spacing w:before="260" w:after="120"/>
      </w:pPr>
      <w:r>
        <w:rPr>
          <w:b/>
          <w:bCs/>
          <w:color w:val="000000"/>
          <w:sz w:val="23"/>
          <w:szCs w:val="23"/>
        </w:rPr>
        <w:t>4.2 Type 2 immunity and the limits of the laboratory model</w:t>
      </w:r>
    </w:p>
    <w:p w14:paraId="405EA565" w14:textId="77777777" w:rsidR="0092069B" w:rsidRDefault="00000000">
      <w:pPr>
        <w:spacing w:after="160" w:line="320" w:lineRule="auto"/>
        <w:jc w:val="both"/>
      </w:pPr>
      <w:r>
        <w:t xml:space="preserve">The canonical host response to intestinal helminths involves type 2 cytokine production, goblet cell hyperplasia and mucus secretion, smooth muscle contractility and epithelial turnover, a combination often described as a weep-and-sweep response that expels the parasite. This account is derived overwhelmingly from murine models using single high-dose infections, and its correspondence with human infection in endemic settings is poor. Direct comparison of laboratory and field observations has shown that high-dose experimental infection produces rapid expulsion and robust immunity, whereas individuals in endemic areas retain low-level infections throughout life; when experimental infection is delivered as repeated low doses that approximate natural exposure, the resulting immunity is partial and age-dependent in a manner far closer to field observation (Colombo &amp; </w:t>
      </w:r>
      <w:proofErr w:type="spellStart"/>
      <w:r>
        <w:t>Grencis</w:t>
      </w:r>
      <w:proofErr w:type="spellEnd"/>
      <w:r>
        <w:t>, 2020). This is a substantial methodological correction, and it has implications well beyond immunology. Reinfection after treatment, which programmes routinely attribute to continued environmental exposure, is at least partly a consequence of the immunity that natural infection generates being incomplete by design of the host-parasite relationship rather than by failure of the intervention.</w:t>
      </w:r>
    </w:p>
    <w:p w14:paraId="09FBEFDC" w14:textId="77777777" w:rsidR="0092069B" w:rsidRDefault="00000000">
      <w:pPr>
        <w:spacing w:after="160" w:line="320" w:lineRule="auto"/>
        <w:jc w:val="both"/>
      </w:pPr>
      <w:r>
        <w:t xml:space="preserve">The dual character of the helminth-host relationship has been articulated as a balance between the damage caused by the parasite and the immunoregulation it induces (Loukas et al., 2021). The </w:t>
      </w:r>
      <w:r>
        <w:lastRenderedPageBreak/>
        <w:t>formulation is useful provided it is not read as an equivalence. The regulatory phenotype associated with chronic helminth infection is well characterised at the level of cellular immunology, whereas the clinical benefits sometimes inferred from it are supported by observational epidemiology and by experimental therapy trials with largely negative results, a discrepancy examined in Section 5.</w:t>
      </w:r>
    </w:p>
    <w:p w14:paraId="212D7389" w14:textId="77777777" w:rsidR="0092069B" w:rsidRDefault="00000000">
      <w:pPr>
        <w:pStyle w:val="Heading2"/>
        <w:spacing w:before="260" w:after="120"/>
      </w:pPr>
      <w:r>
        <w:rPr>
          <w:b/>
          <w:bCs/>
          <w:color w:val="000000"/>
          <w:sz w:val="23"/>
          <w:szCs w:val="23"/>
        </w:rPr>
        <w:t>4.3 Immunoregulation, chronicity and effects beyond the intestine</w:t>
      </w:r>
    </w:p>
    <w:p w14:paraId="67B6137A" w14:textId="77777777" w:rsidR="0092069B" w:rsidRDefault="00000000">
      <w:pPr>
        <w:spacing w:after="160" w:line="320" w:lineRule="auto"/>
        <w:jc w:val="both"/>
      </w:pPr>
      <w:r>
        <w:t>Chronic helminth infection is associated with expansion of regulatory T cell populations, induction of regulatory B cells and alternatively activated macrophages, and suppression of both type 1 and excessive type 2 effector responses (Maizels, 2020). These changes are demonstrable in infected humans, not only in animal models, and they are not confined to the intestinal compartment. Their functional consequences are best documented where an independent immune outcome can be measured. Synthesis of the evidence on helminth coinfection with viral infection and vaccination indicates that helminths can either attenuate or exacerbate outcomes depending on the anatomical site of the coinfecting pathogen and the temporal relationship between the two exposures, and that reduced vaccine responsiveness in helminth-endemic populations is plausibly mediated by regulatory T cell expansion and suppression of the immune activation required for protective responses (García-</w:t>
      </w:r>
      <w:proofErr w:type="spellStart"/>
      <w:r>
        <w:t>Bernalt</w:t>
      </w:r>
      <w:proofErr w:type="spellEnd"/>
      <w:r>
        <w:t xml:space="preserve"> Diego et al., 2025). Independent appraisal of coinfection reaches a similar conclusion, emphasising that the direction of effect is context-dependent and that generalisations in either direction are unsupported (Nembot Fogang et al., 2025; Schlosser-Brandenburg et al., 2023).</w:t>
      </w:r>
    </w:p>
    <w:p w14:paraId="4F161ED0" w14:textId="77777777" w:rsidR="0092069B" w:rsidRDefault="00000000">
      <w:pPr>
        <w:spacing w:after="160" w:line="320" w:lineRule="auto"/>
        <w:jc w:val="both"/>
      </w:pPr>
      <w:r>
        <w:t>Evidence from specific clinical contexts illustrates both the plausibility and the fragility of these claims. In leprosy-endemic districts of India, individuals with concurrent soil-transmitted helminth infection showed reduced interferon-gamma production compared with helminth-negative cases, and male patients with concurrent infection had elevated odds of multibacillary disease; five-year follow-up of household contacts, however, showed no significant association between baseline helminth status and subsequent development of leprosy (Singh et al., 2025). The immunological signal is therefore reproducible while the incidence signal is not, which is the pattern one would expect if helminth-induced immunoregulation modifies the expression of an established infection without materially altering susceptibility to acquiring it. Interpreting the cross-sectional finding as evidence that deworming would reduce leprosy incidence would not be warranted by these data.</w:t>
      </w:r>
    </w:p>
    <w:p w14:paraId="1EA8F632" w14:textId="77777777" w:rsidR="0092069B" w:rsidRDefault="00000000">
      <w:pPr>
        <w:pStyle w:val="Heading2"/>
        <w:spacing w:before="260" w:after="120"/>
      </w:pPr>
      <w:r>
        <w:rPr>
          <w:b/>
          <w:bCs/>
          <w:color w:val="000000"/>
          <w:sz w:val="23"/>
          <w:szCs w:val="23"/>
        </w:rPr>
        <w:t>4.4 Nutrient handling, blood loss and metabolic disturbance</w:t>
      </w:r>
    </w:p>
    <w:p w14:paraId="52F98D77" w14:textId="77777777" w:rsidR="0092069B" w:rsidRDefault="00000000">
      <w:pPr>
        <w:spacing w:after="160" w:line="320" w:lineRule="auto"/>
        <w:jc w:val="both"/>
      </w:pPr>
      <w:r>
        <w:t xml:space="preserve">Interference with nutrition is the mechanism most often invoked to connect intestinal parasites to growth and developmental outcomes, and it is also the mechanism most often asserted without specification. Three distinct processes are conflated. The first is direct blood loss, which applies to hookworm and is quantitatively straightforward: chronic loss of blood at attachment sites depletes iron stores in proportion to worm burden and dietary iron availability, and systematic review of the non-pregnant population has confirmed a consistent relationship between hookworm infection and both anaemia and iron status, with deworming producing measurable improvement (Smith &amp; Brooker, 2010). The second is luminal competition for nutrients, which is plausible for </w:t>
      </w:r>
      <w:r>
        <w:rPr>
          <w:i/>
          <w:iCs/>
        </w:rPr>
        <w:t>A. lumbricoides</w:t>
      </w:r>
      <w:r>
        <w:t xml:space="preserve"> given worm biomass but is difficult to demonstrate directly in humans and is unlikely to be quantitatively important at the burdens </w:t>
      </w:r>
      <w:r>
        <w:lastRenderedPageBreak/>
        <w:t>typical of contemporary endemic populations. The third is impairment of absorptive and metabolic function of the epithelium itself.</w:t>
      </w:r>
    </w:p>
    <w:p w14:paraId="4AB4FC00" w14:textId="77777777" w:rsidR="0092069B" w:rsidRDefault="00000000">
      <w:pPr>
        <w:spacing w:after="160" w:line="320" w:lineRule="auto"/>
        <w:jc w:val="both"/>
      </w:pPr>
      <w:r>
        <w:t xml:space="preserve">The third mechanism has been the subject of the most informative recent work. Investigation combining murine models with data from human birth cohorts has shown that </w:t>
      </w:r>
      <w:r>
        <w:rPr>
          <w:i/>
          <w:iCs/>
        </w:rPr>
        <w:t>Giardia</w:t>
      </w:r>
      <w:r>
        <w:t xml:space="preserve"> impairs growth by disrupting nutrient metabolism rather than by generating inflammatory enteropathy, and that the growth effect can be dissociated from markers of intestinal inflammation (</w:t>
      </w:r>
      <w:proofErr w:type="spellStart"/>
      <w:r>
        <w:t>Giallourou</w:t>
      </w:r>
      <w:proofErr w:type="spellEnd"/>
      <w:r>
        <w:t xml:space="preserve"> et al., 2023). This is an important result for two reasons. It provides a mechanism by which a non-invasive, frequently asymptomatic organism could contribute to growth faltering. It also undermines the widespread practice of using faecal or systemic inflammatory markers as proxies for parasite-attributable enteropathy, since a growth-relevant metabolic lesion may exist without an inflammatory signature. Reviews of environmental enteric dysfunction that treat inflammation as the defining feature of the condition are, on this evidence, working with an incomplete case definition (Harper et al., 2018).</w:t>
      </w:r>
    </w:p>
    <w:p w14:paraId="1C3469D0" w14:textId="77777777" w:rsidR="0092069B" w:rsidRDefault="00000000">
      <w:pPr>
        <w:pStyle w:val="Heading2"/>
        <w:spacing w:before="260" w:after="120"/>
      </w:pPr>
      <w:r>
        <w:rPr>
          <w:b/>
          <w:bCs/>
          <w:color w:val="000000"/>
          <w:sz w:val="23"/>
          <w:szCs w:val="23"/>
        </w:rPr>
        <w:t>4.5 Parasites and the intestinal microbiota</w:t>
      </w:r>
    </w:p>
    <w:p w14:paraId="21CC13ED" w14:textId="77777777" w:rsidR="0092069B" w:rsidRDefault="00000000">
      <w:pPr>
        <w:spacing w:after="160" w:line="320" w:lineRule="auto"/>
        <w:jc w:val="both"/>
      </w:pPr>
      <w:r>
        <w:t>The interaction between intestinal parasites and the bacterial microbiota has attracted intense interest and has produced a body of evidence whose consistency is frequently overstated. Systematic review and meta-analysis of human studies found that helminth infection is associated with modest increases in bacterial diversity and richness, with pooled standardised mean differences of 0.17 for the Shannon index and 0.25 for the Chao1 index after adjustment for age, sex and anthelmintic treatment across nineteen included studies (Walusimbi et al., 2023). Effects of this magnitude are statistically detectable and biologically ambiguous. They are also derived from cross-sectional comparisons in populations where helminth infection is strongly patterned by diet, water source and household environment, all of which independently shape the microbiota.</w:t>
      </w:r>
    </w:p>
    <w:p w14:paraId="2D2529E4" w14:textId="77777777" w:rsidR="0092069B" w:rsidRDefault="00000000">
      <w:pPr>
        <w:spacing w:after="160" w:line="320" w:lineRule="auto"/>
        <w:jc w:val="both"/>
      </w:pPr>
      <w:r>
        <w:t xml:space="preserve">Experimental work provides firmer ground for the reverse direction of causation. The demonstration that </w:t>
      </w:r>
      <w:r>
        <w:rPr>
          <w:i/>
          <w:iCs/>
        </w:rPr>
        <w:t>Trichuris</w:t>
      </w:r>
      <w:r>
        <w:t xml:space="preserve"> requires bacterial signals to hatch, and that adult worms carry a distinct associated bacterial community, establishes that the microbiota is a determinant of parasite establishment rather than merely a consequence of infection (Lawson et al., 2021). Broader synthesis of helminth-bacterial interactions supports a bidirectional model in which each partner conditions the other, and has proposed that some of the immunoregulatory effects attributed to helminths may be mediated through microbial metabolites rather than through parasite products directly (</w:t>
      </w:r>
      <w:proofErr w:type="spellStart"/>
      <w:r>
        <w:t>Llinás</w:t>
      </w:r>
      <w:proofErr w:type="spellEnd"/>
      <w:r>
        <w:t xml:space="preserve">-Caballero &amp; Caraballo, 2022). For </w:t>
      </w:r>
      <w:r>
        <w:rPr>
          <w:i/>
          <w:iCs/>
        </w:rPr>
        <w:t>Blastocystis</w:t>
      </w:r>
      <w:r>
        <w:t>, the association between carriage and altered community structure is among the most consistently reported findings in the field, but the direction of causation remains unresolved and the possibility that the organism is a marker of a particular microbial and dietary environment rather than a driver of it has not been excluded (Antonetti et al., 2024; Deng &amp; Tan, 2025).</w:t>
      </w:r>
    </w:p>
    <w:p w14:paraId="05C4CB8D" w14:textId="77777777" w:rsidR="0092069B" w:rsidRDefault="00000000">
      <w:pPr>
        <w:spacing w:after="160" w:line="320" w:lineRule="auto"/>
        <w:jc w:val="both"/>
      </w:pPr>
      <w:r>
        <w:t>Clinical translation of this literature has run ahead of the evidence. Reviews addressing helminth-microbiome interactions in childhood health have noted that the mechanistic pathways proposed are largely inferential and that longitudinal human data linking parasite-associated microbial change to a defined clinical outcome are scarce (</w:t>
      </w:r>
      <w:proofErr w:type="spellStart"/>
      <w:r>
        <w:t>Piazzesi</w:t>
      </w:r>
      <w:proofErr w:type="spellEnd"/>
      <w:r>
        <w:t xml:space="preserve"> &amp; </w:t>
      </w:r>
      <w:proofErr w:type="spellStart"/>
      <w:r>
        <w:t>Putignani</w:t>
      </w:r>
      <w:proofErr w:type="spellEnd"/>
      <w:r>
        <w:t>, 2023). The reasonable position is that parasites and the microbiota interact substantially, that this interaction affects parasite establishment with reasonable confidence, and that its contribution to human disease outcomes remains unquantified.</w:t>
      </w:r>
    </w:p>
    <w:p w14:paraId="69C18AC8" w14:textId="77777777" w:rsidR="0092069B" w:rsidRDefault="00000000">
      <w:pPr>
        <w:spacing w:after="160" w:line="320" w:lineRule="auto"/>
        <w:jc w:val="both"/>
      </w:pPr>
      <w:r>
        <w:lastRenderedPageBreak/>
        <w:t>Table 2 sets out the principal mechanistic themes against the type of evidence that supports each and the limitation that most constrains its interpretation. The table is intended to make visible a pattern that is easily lost in narrative description: the mechanisms best characterised experimentally are not those best connected to clinical outcome. Barrier disruption and immunoregulation are demonstrated with considerable rigour in reduced systems and in human immunological studies, yet neither has been shown to account for a specified proportion of any population-level outcome. Blood loss, mechanistically the simplest, is the only mechanism with a direct, measurable and reversible clinical endpoint. This asymmetry is the central methodological problem of the field.</w:t>
      </w:r>
    </w:p>
    <w:p w14:paraId="40F5FB17" w14:textId="77777777" w:rsidR="0092069B" w:rsidRDefault="00000000">
      <w:pPr>
        <w:spacing w:before="200" w:after="100" w:line="280" w:lineRule="auto"/>
      </w:pPr>
      <w:r>
        <w:rPr>
          <w:b/>
          <w:bCs/>
          <w:sz w:val="20"/>
          <w:szCs w:val="20"/>
        </w:rPr>
        <w:t>Table 2. Principal pathophysiological mechanisms, supporting evidence type and interpretive limitations</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600"/>
        <w:gridCol w:w="1500"/>
        <w:gridCol w:w="1800"/>
        <w:gridCol w:w="2000"/>
        <w:gridCol w:w="2126"/>
      </w:tblGrid>
      <w:tr w:rsidR="0092069B" w14:paraId="639C263D" w14:textId="77777777">
        <w:trPr>
          <w:tblHeader/>
        </w:trPr>
        <w:tc>
          <w:tcPr>
            <w:tcW w:w="1600" w:type="dxa"/>
            <w:shd w:val="clear" w:color="auto" w:fill="E8E8E8"/>
            <w:tcMar>
              <w:top w:w="60" w:type="dxa"/>
              <w:left w:w="80" w:type="dxa"/>
              <w:bottom w:w="60" w:type="dxa"/>
              <w:right w:w="80" w:type="dxa"/>
            </w:tcMar>
          </w:tcPr>
          <w:p w14:paraId="37AE726E" w14:textId="77777777" w:rsidR="0092069B" w:rsidRDefault="00000000">
            <w:pPr>
              <w:spacing w:before="20" w:after="20" w:line="220" w:lineRule="auto"/>
            </w:pPr>
            <w:r>
              <w:rPr>
                <w:b/>
                <w:bCs/>
                <w:sz w:val="16"/>
                <w:szCs w:val="16"/>
              </w:rPr>
              <w:t>Mechanism</w:t>
            </w:r>
          </w:p>
        </w:tc>
        <w:tc>
          <w:tcPr>
            <w:tcW w:w="1500" w:type="dxa"/>
            <w:shd w:val="clear" w:color="auto" w:fill="E8E8E8"/>
            <w:tcMar>
              <w:top w:w="60" w:type="dxa"/>
              <w:left w:w="80" w:type="dxa"/>
              <w:bottom w:w="60" w:type="dxa"/>
              <w:right w:w="80" w:type="dxa"/>
            </w:tcMar>
          </w:tcPr>
          <w:p w14:paraId="3A68ADF8" w14:textId="77777777" w:rsidR="0092069B" w:rsidRDefault="00000000">
            <w:pPr>
              <w:spacing w:before="20" w:after="20" w:line="220" w:lineRule="auto"/>
            </w:pPr>
            <w:r>
              <w:rPr>
                <w:b/>
                <w:bCs/>
                <w:sz w:val="16"/>
                <w:szCs w:val="16"/>
              </w:rPr>
              <w:t>Organisms principally involved</w:t>
            </w:r>
          </w:p>
        </w:tc>
        <w:tc>
          <w:tcPr>
            <w:tcW w:w="1800" w:type="dxa"/>
            <w:shd w:val="clear" w:color="auto" w:fill="E8E8E8"/>
            <w:tcMar>
              <w:top w:w="60" w:type="dxa"/>
              <w:left w:w="80" w:type="dxa"/>
              <w:bottom w:w="60" w:type="dxa"/>
              <w:right w:w="80" w:type="dxa"/>
            </w:tcMar>
          </w:tcPr>
          <w:p w14:paraId="5CE6CBEC" w14:textId="77777777" w:rsidR="0092069B" w:rsidRDefault="00000000">
            <w:pPr>
              <w:spacing w:before="20" w:after="20" w:line="220" w:lineRule="auto"/>
            </w:pPr>
            <w:r>
              <w:rPr>
                <w:b/>
                <w:bCs/>
                <w:sz w:val="16"/>
                <w:szCs w:val="16"/>
              </w:rPr>
              <w:t>Predominant type of supporting evidence</w:t>
            </w:r>
          </w:p>
        </w:tc>
        <w:tc>
          <w:tcPr>
            <w:tcW w:w="2000" w:type="dxa"/>
            <w:shd w:val="clear" w:color="auto" w:fill="E8E8E8"/>
            <w:tcMar>
              <w:top w:w="60" w:type="dxa"/>
              <w:left w:w="80" w:type="dxa"/>
              <w:bottom w:w="60" w:type="dxa"/>
              <w:right w:w="80" w:type="dxa"/>
            </w:tcMar>
          </w:tcPr>
          <w:p w14:paraId="1D2A0BDB" w14:textId="77777777" w:rsidR="0092069B" w:rsidRDefault="00000000">
            <w:pPr>
              <w:spacing w:before="20" w:after="20" w:line="220" w:lineRule="auto"/>
            </w:pPr>
            <w:r>
              <w:rPr>
                <w:b/>
                <w:bCs/>
                <w:sz w:val="16"/>
                <w:szCs w:val="16"/>
              </w:rPr>
              <w:t>Principal limitation of the evidence</w:t>
            </w:r>
          </w:p>
        </w:tc>
        <w:tc>
          <w:tcPr>
            <w:tcW w:w="2126" w:type="dxa"/>
            <w:shd w:val="clear" w:color="auto" w:fill="E8E8E8"/>
            <w:tcMar>
              <w:top w:w="60" w:type="dxa"/>
              <w:left w:w="80" w:type="dxa"/>
              <w:bottom w:w="60" w:type="dxa"/>
              <w:right w:w="80" w:type="dxa"/>
            </w:tcMar>
          </w:tcPr>
          <w:p w14:paraId="71159258" w14:textId="77777777" w:rsidR="0092069B" w:rsidRDefault="00000000">
            <w:pPr>
              <w:spacing w:before="20" w:after="20" w:line="220" w:lineRule="auto"/>
            </w:pPr>
            <w:r>
              <w:rPr>
                <w:b/>
                <w:bCs/>
                <w:sz w:val="16"/>
                <w:szCs w:val="16"/>
              </w:rPr>
              <w:t>Supporting references</w:t>
            </w:r>
          </w:p>
        </w:tc>
      </w:tr>
      <w:tr w:rsidR="0092069B" w14:paraId="030B105E" w14:textId="77777777">
        <w:tc>
          <w:tcPr>
            <w:tcW w:w="1600" w:type="dxa"/>
            <w:tcMar>
              <w:top w:w="60" w:type="dxa"/>
              <w:left w:w="80" w:type="dxa"/>
              <w:bottom w:w="60" w:type="dxa"/>
              <w:right w:w="80" w:type="dxa"/>
            </w:tcMar>
          </w:tcPr>
          <w:p w14:paraId="7873DE21" w14:textId="77777777" w:rsidR="0092069B" w:rsidRDefault="00000000">
            <w:pPr>
              <w:spacing w:before="20" w:after="20" w:line="220" w:lineRule="auto"/>
            </w:pPr>
            <w:r>
              <w:rPr>
                <w:sz w:val="16"/>
                <w:szCs w:val="16"/>
              </w:rPr>
              <w:t>Epithelial junctional disruption and barrier failure</w:t>
            </w:r>
          </w:p>
        </w:tc>
        <w:tc>
          <w:tcPr>
            <w:tcW w:w="1500" w:type="dxa"/>
            <w:tcMar>
              <w:top w:w="60" w:type="dxa"/>
              <w:left w:w="80" w:type="dxa"/>
              <w:bottom w:w="60" w:type="dxa"/>
              <w:right w:w="80" w:type="dxa"/>
            </w:tcMar>
          </w:tcPr>
          <w:p w14:paraId="101D8E61" w14:textId="77777777" w:rsidR="0092069B" w:rsidRDefault="00000000">
            <w:pPr>
              <w:spacing w:before="20" w:after="20" w:line="220" w:lineRule="auto"/>
            </w:pPr>
            <w:r>
              <w:rPr>
                <w:i/>
                <w:iCs/>
                <w:sz w:val="16"/>
                <w:szCs w:val="16"/>
              </w:rPr>
              <w:t xml:space="preserve">Giardia </w:t>
            </w:r>
            <w:proofErr w:type="spellStart"/>
            <w:r>
              <w:rPr>
                <w:i/>
                <w:iCs/>
                <w:sz w:val="16"/>
                <w:szCs w:val="16"/>
              </w:rPr>
              <w:t>duodenalis</w:t>
            </w:r>
            <w:proofErr w:type="spellEnd"/>
            <w:r>
              <w:rPr>
                <w:sz w:val="16"/>
                <w:szCs w:val="16"/>
              </w:rPr>
              <w:t xml:space="preserve">; </w:t>
            </w:r>
            <w:r>
              <w:rPr>
                <w:i/>
                <w:iCs/>
                <w:sz w:val="16"/>
                <w:szCs w:val="16"/>
              </w:rPr>
              <w:t>Cryptosporidium</w:t>
            </w:r>
            <w:r>
              <w:rPr>
                <w:sz w:val="16"/>
                <w:szCs w:val="16"/>
              </w:rPr>
              <w:t xml:space="preserve"> species</w:t>
            </w:r>
          </w:p>
        </w:tc>
        <w:tc>
          <w:tcPr>
            <w:tcW w:w="1800" w:type="dxa"/>
            <w:tcMar>
              <w:top w:w="60" w:type="dxa"/>
              <w:left w:w="80" w:type="dxa"/>
              <w:bottom w:w="60" w:type="dxa"/>
              <w:right w:w="80" w:type="dxa"/>
            </w:tcMar>
          </w:tcPr>
          <w:p w14:paraId="58EBD26A" w14:textId="77777777" w:rsidR="0092069B" w:rsidRDefault="00000000">
            <w:pPr>
              <w:spacing w:before="20" w:after="20" w:line="220" w:lineRule="auto"/>
            </w:pPr>
            <w:r>
              <w:rPr>
                <w:sz w:val="16"/>
                <w:szCs w:val="16"/>
              </w:rPr>
              <w:t>Human organoid-derived monolayers; neonatal animal models</w:t>
            </w:r>
          </w:p>
        </w:tc>
        <w:tc>
          <w:tcPr>
            <w:tcW w:w="2000" w:type="dxa"/>
            <w:tcMar>
              <w:top w:w="60" w:type="dxa"/>
              <w:left w:w="80" w:type="dxa"/>
              <w:bottom w:w="60" w:type="dxa"/>
              <w:right w:w="80" w:type="dxa"/>
            </w:tcMar>
          </w:tcPr>
          <w:p w14:paraId="69F408AB" w14:textId="77777777" w:rsidR="0092069B" w:rsidRDefault="00000000">
            <w:pPr>
              <w:spacing w:before="20" w:after="20" w:line="220" w:lineRule="auto"/>
            </w:pPr>
            <w:r>
              <w:rPr>
                <w:sz w:val="16"/>
                <w:szCs w:val="16"/>
              </w:rPr>
              <w:t>Reduced systems exclude immune and microbial modulation; magnitude in intact hosts unquantified</w:t>
            </w:r>
          </w:p>
        </w:tc>
        <w:tc>
          <w:tcPr>
            <w:tcW w:w="2126" w:type="dxa"/>
            <w:tcMar>
              <w:top w:w="60" w:type="dxa"/>
              <w:left w:w="80" w:type="dxa"/>
              <w:bottom w:w="60" w:type="dxa"/>
              <w:right w:w="80" w:type="dxa"/>
            </w:tcMar>
          </w:tcPr>
          <w:p w14:paraId="51FD71FE" w14:textId="77777777" w:rsidR="0092069B" w:rsidRDefault="00000000">
            <w:pPr>
              <w:spacing w:before="20" w:after="20" w:line="220" w:lineRule="auto"/>
            </w:pPr>
            <w:r w:rsidRPr="00D81875">
              <w:rPr>
                <w:sz w:val="16"/>
                <w:szCs w:val="16"/>
                <w:lang w:val="nl-BE"/>
              </w:rPr>
              <w:t xml:space="preserve">Holthaus et al. (2022); Luo et al. </w:t>
            </w:r>
            <w:r>
              <w:rPr>
                <w:sz w:val="16"/>
                <w:szCs w:val="16"/>
              </w:rPr>
              <w:t>(2024); Ali et al. (2025)</w:t>
            </w:r>
          </w:p>
        </w:tc>
      </w:tr>
      <w:tr w:rsidR="0092069B" w14:paraId="5992DC87" w14:textId="77777777">
        <w:tc>
          <w:tcPr>
            <w:tcW w:w="1600" w:type="dxa"/>
            <w:tcMar>
              <w:top w:w="60" w:type="dxa"/>
              <w:left w:w="80" w:type="dxa"/>
              <w:bottom w:w="60" w:type="dxa"/>
              <w:right w:w="80" w:type="dxa"/>
            </w:tcMar>
          </w:tcPr>
          <w:p w14:paraId="5A7F999F" w14:textId="77777777" w:rsidR="0092069B" w:rsidRDefault="00000000">
            <w:pPr>
              <w:spacing w:before="20" w:after="20" w:line="220" w:lineRule="auto"/>
            </w:pPr>
            <w:r>
              <w:rPr>
                <w:sz w:val="16"/>
                <w:szCs w:val="16"/>
              </w:rPr>
              <w:t>Direct epithelial invasion and secretion of immunomodulatory products</w:t>
            </w:r>
          </w:p>
        </w:tc>
        <w:tc>
          <w:tcPr>
            <w:tcW w:w="1500" w:type="dxa"/>
            <w:tcMar>
              <w:top w:w="60" w:type="dxa"/>
              <w:left w:w="80" w:type="dxa"/>
              <w:bottom w:w="60" w:type="dxa"/>
              <w:right w:w="80" w:type="dxa"/>
            </w:tcMar>
          </w:tcPr>
          <w:p w14:paraId="6C3560CC" w14:textId="77777777" w:rsidR="0092069B" w:rsidRDefault="00000000">
            <w:pPr>
              <w:spacing w:before="20" w:after="20" w:line="220" w:lineRule="auto"/>
            </w:pPr>
            <w:r>
              <w:rPr>
                <w:i/>
                <w:iCs/>
                <w:sz w:val="16"/>
                <w:szCs w:val="16"/>
              </w:rPr>
              <w:t xml:space="preserve">Trichuris </w:t>
            </w:r>
            <w:proofErr w:type="spellStart"/>
            <w:r>
              <w:rPr>
                <w:i/>
                <w:iCs/>
                <w:sz w:val="16"/>
                <w:szCs w:val="16"/>
              </w:rPr>
              <w:t>trichiura</w:t>
            </w:r>
            <w:proofErr w:type="spellEnd"/>
          </w:p>
        </w:tc>
        <w:tc>
          <w:tcPr>
            <w:tcW w:w="1800" w:type="dxa"/>
            <w:tcMar>
              <w:top w:w="60" w:type="dxa"/>
              <w:left w:w="80" w:type="dxa"/>
              <w:bottom w:w="60" w:type="dxa"/>
              <w:right w:w="80" w:type="dxa"/>
            </w:tcMar>
          </w:tcPr>
          <w:p w14:paraId="56CF6280" w14:textId="77777777" w:rsidR="0092069B" w:rsidRDefault="00000000">
            <w:pPr>
              <w:spacing w:before="20" w:after="20" w:line="220" w:lineRule="auto"/>
            </w:pPr>
            <w:r>
              <w:rPr>
                <w:sz w:val="16"/>
                <w:szCs w:val="16"/>
              </w:rPr>
              <w:t xml:space="preserve">Animal models; parasite </w:t>
            </w:r>
            <w:proofErr w:type="spellStart"/>
            <w:r>
              <w:rPr>
                <w:sz w:val="16"/>
                <w:szCs w:val="16"/>
              </w:rPr>
              <w:t>secretome</w:t>
            </w:r>
            <w:proofErr w:type="spellEnd"/>
            <w:r>
              <w:rPr>
                <w:sz w:val="16"/>
                <w:szCs w:val="16"/>
              </w:rPr>
              <w:t xml:space="preserve"> characterisation</w:t>
            </w:r>
          </w:p>
        </w:tc>
        <w:tc>
          <w:tcPr>
            <w:tcW w:w="2000" w:type="dxa"/>
            <w:tcMar>
              <w:top w:w="60" w:type="dxa"/>
              <w:left w:w="80" w:type="dxa"/>
              <w:bottom w:w="60" w:type="dxa"/>
              <w:right w:w="80" w:type="dxa"/>
            </w:tcMar>
          </w:tcPr>
          <w:p w14:paraId="6D02B405" w14:textId="77777777" w:rsidR="0092069B" w:rsidRDefault="00000000">
            <w:pPr>
              <w:spacing w:before="20" w:after="20" w:line="220" w:lineRule="auto"/>
            </w:pPr>
            <w:r>
              <w:rPr>
                <w:sz w:val="16"/>
                <w:szCs w:val="16"/>
              </w:rPr>
              <w:t xml:space="preserve">Human colonic tissue data sparse; </w:t>
            </w:r>
            <w:proofErr w:type="spellStart"/>
            <w:r>
              <w:rPr>
                <w:sz w:val="16"/>
                <w:szCs w:val="16"/>
              </w:rPr>
              <w:t>secretome</w:t>
            </w:r>
            <w:proofErr w:type="spellEnd"/>
            <w:r>
              <w:rPr>
                <w:sz w:val="16"/>
                <w:szCs w:val="16"/>
              </w:rPr>
              <w:t xml:space="preserve"> function largely inferred in vitro</w:t>
            </w:r>
          </w:p>
        </w:tc>
        <w:tc>
          <w:tcPr>
            <w:tcW w:w="2126" w:type="dxa"/>
            <w:tcMar>
              <w:top w:w="60" w:type="dxa"/>
              <w:left w:w="80" w:type="dxa"/>
              <w:bottom w:w="60" w:type="dxa"/>
              <w:right w:w="80" w:type="dxa"/>
            </w:tcMar>
          </w:tcPr>
          <w:p w14:paraId="1BC116C2" w14:textId="77777777" w:rsidR="0092069B" w:rsidRDefault="00000000">
            <w:pPr>
              <w:spacing w:before="20" w:after="20" w:line="220" w:lineRule="auto"/>
            </w:pPr>
            <w:r>
              <w:rPr>
                <w:sz w:val="16"/>
                <w:szCs w:val="16"/>
              </w:rPr>
              <w:t xml:space="preserve">Shears and </w:t>
            </w:r>
            <w:proofErr w:type="spellStart"/>
            <w:r>
              <w:rPr>
                <w:sz w:val="16"/>
                <w:szCs w:val="16"/>
              </w:rPr>
              <w:t>Grencis</w:t>
            </w:r>
            <w:proofErr w:type="spellEnd"/>
            <w:r>
              <w:rPr>
                <w:sz w:val="16"/>
                <w:szCs w:val="16"/>
              </w:rPr>
              <w:t xml:space="preserve"> (2022); Lawson et al. (2021)</w:t>
            </w:r>
          </w:p>
        </w:tc>
      </w:tr>
      <w:tr w:rsidR="0092069B" w14:paraId="1E04EDF1" w14:textId="77777777">
        <w:tc>
          <w:tcPr>
            <w:tcW w:w="1600" w:type="dxa"/>
            <w:tcMar>
              <w:top w:w="60" w:type="dxa"/>
              <w:left w:w="80" w:type="dxa"/>
              <w:bottom w:w="60" w:type="dxa"/>
              <w:right w:w="80" w:type="dxa"/>
            </w:tcMar>
          </w:tcPr>
          <w:p w14:paraId="72230EE4" w14:textId="77777777" w:rsidR="0092069B" w:rsidRDefault="00000000">
            <w:pPr>
              <w:spacing w:before="20" w:after="20" w:line="220" w:lineRule="auto"/>
            </w:pPr>
            <w:r>
              <w:rPr>
                <w:sz w:val="16"/>
                <w:szCs w:val="16"/>
              </w:rPr>
              <w:t>Contact-dependent host cell killing and tissue invasion</w:t>
            </w:r>
          </w:p>
        </w:tc>
        <w:tc>
          <w:tcPr>
            <w:tcW w:w="1500" w:type="dxa"/>
            <w:tcMar>
              <w:top w:w="60" w:type="dxa"/>
              <w:left w:w="80" w:type="dxa"/>
              <w:bottom w:w="60" w:type="dxa"/>
              <w:right w:w="80" w:type="dxa"/>
            </w:tcMar>
          </w:tcPr>
          <w:p w14:paraId="45FF3797" w14:textId="77777777" w:rsidR="0092069B" w:rsidRDefault="00000000">
            <w:pPr>
              <w:spacing w:before="20" w:after="20" w:line="220" w:lineRule="auto"/>
            </w:pPr>
            <w:r>
              <w:rPr>
                <w:i/>
                <w:iCs/>
                <w:sz w:val="16"/>
                <w:szCs w:val="16"/>
              </w:rPr>
              <w:t>Entamoeba histolytica</w:t>
            </w:r>
          </w:p>
        </w:tc>
        <w:tc>
          <w:tcPr>
            <w:tcW w:w="1800" w:type="dxa"/>
            <w:tcMar>
              <w:top w:w="60" w:type="dxa"/>
              <w:left w:w="80" w:type="dxa"/>
              <w:bottom w:w="60" w:type="dxa"/>
              <w:right w:w="80" w:type="dxa"/>
            </w:tcMar>
          </w:tcPr>
          <w:p w14:paraId="6B0471F2" w14:textId="77777777" w:rsidR="0092069B" w:rsidRDefault="00000000">
            <w:pPr>
              <w:spacing w:before="20" w:after="20" w:line="220" w:lineRule="auto"/>
            </w:pPr>
            <w:r>
              <w:rPr>
                <w:sz w:val="16"/>
                <w:szCs w:val="16"/>
              </w:rPr>
              <w:t>In vitro cytotoxicity; clinical pathology</w:t>
            </w:r>
          </w:p>
        </w:tc>
        <w:tc>
          <w:tcPr>
            <w:tcW w:w="2000" w:type="dxa"/>
            <w:tcMar>
              <w:top w:w="60" w:type="dxa"/>
              <w:left w:w="80" w:type="dxa"/>
              <w:bottom w:w="60" w:type="dxa"/>
              <w:right w:w="80" w:type="dxa"/>
            </w:tcMar>
          </w:tcPr>
          <w:p w14:paraId="249445CE" w14:textId="77777777" w:rsidR="0092069B" w:rsidRDefault="00000000">
            <w:pPr>
              <w:spacing w:before="20" w:after="20" w:line="220" w:lineRule="auto"/>
            </w:pPr>
            <w:r>
              <w:rPr>
                <w:sz w:val="16"/>
                <w:szCs w:val="16"/>
              </w:rPr>
              <w:t>Determinants of the transition from colonisation to invasion incompletely defined</w:t>
            </w:r>
          </w:p>
        </w:tc>
        <w:tc>
          <w:tcPr>
            <w:tcW w:w="2126" w:type="dxa"/>
            <w:tcMar>
              <w:top w:w="60" w:type="dxa"/>
              <w:left w:w="80" w:type="dxa"/>
              <w:bottom w:w="60" w:type="dxa"/>
              <w:right w:w="80" w:type="dxa"/>
            </w:tcMar>
          </w:tcPr>
          <w:p w14:paraId="6746B119" w14:textId="77777777" w:rsidR="0092069B" w:rsidRDefault="00000000">
            <w:pPr>
              <w:spacing w:before="20" w:after="20" w:line="220" w:lineRule="auto"/>
            </w:pPr>
            <w:r>
              <w:rPr>
                <w:sz w:val="16"/>
                <w:szCs w:val="16"/>
              </w:rPr>
              <w:t>Guillén (2023)</w:t>
            </w:r>
          </w:p>
        </w:tc>
      </w:tr>
      <w:tr w:rsidR="0092069B" w14:paraId="0A658CD3" w14:textId="77777777">
        <w:tc>
          <w:tcPr>
            <w:tcW w:w="1600" w:type="dxa"/>
            <w:tcMar>
              <w:top w:w="60" w:type="dxa"/>
              <w:left w:w="80" w:type="dxa"/>
              <w:bottom w:w="60" w:type="dxa"/>
              <w:right w:w="80" w:type="dxa"/>
            </w:tcMar>
          </w:tcPr>
          <w:p w14:paraId="3E28F292" w14:textId="77777777" w:rsidR="0092069B" w:rsidRDefault="00000000">
            <w:pPr>
              <w:spacing w:before="20" w:after="20" w:line="220" w:lineRule="auto"/>
            </w:pPr>
            <w:r>
              <w:rPr>
                <w:sz w:val="16"/>
                <w:szCs w:val="16"/>
              </w:rPr>
              <w:t>Type 2 mucosal immunity and partial, age-dependent protection</w:t>
            </w:r>
          </w:p>
        </w:tc>
        <w:tc>
          <w:tcPr>
            <w:tcW w:w="1500" w:type="dxa"/>
            <w:tcMar>
              <w:top w:w="60" w:type="dxa"/>
              <w:left w:w="80" w:type="dxa"/>
              <w:bottom w:w="60" w:type="dxa"/>
              <w:right w:w="80" w:type="dxa"/>
            </w:tcMar>
          </w:tcPr>
          <w:p w14:paraId="43EE9179" w14:textId="77777777" w:rsidR="0092069B" w:rsidRDefault="00000000">
            <w:pPr>
              <w:spacing w:before="20" w:after="20" w:line="220" w:lineRule="auto"/>
            </w:pPr>
            <w:r>
              <w:rPr>
                <w:sz w:val="16"/>
                <w:szCs w:val="16"/>
              </w:rPr>
              <w:t>Intestinal nematodes</w:t>
            </w:r>
          </w:p>
        </w:tc>
        <w:tc>
          <w:tcPr>
            <w:tcW w:w="1800" w:type="dxa"/>
            <w:tcMar>
              <w:top w:w="60" w:type="dxa"/>
              <w:left w:w="80" w:type="dxa"/>
              <w:bottom w:w="60" w:type="dxa"/>
              <w:right w:w="80" w:type="dxa"/>
            </w:tcMar>
          </w:tcPr>
          <w:p w14:paraId="324F9EE8" w14:textId="77777777" w:rsidR="0092069B" w:rsidRDefault="00000000">
            <w:pPr>
              <w:spacing w:before="20" w:after="20" w:line="220" w:lineRule="auto"/>
            </w:pPr>
            <w:r>
              <w:rPr>
                <w:sz w:val="16"/>
                <w:szCs w:val="16"/>
              </w:rPr>
              <w:t>Trickle-infection animal models; endemic-population immunoepidemiology</w:t>
            </w:r>
          </w:p>
        </w:tc>
        <w:tc>
          <w:tcPr>
            <w:tcW w:w="2000" w:type="dxa"/>
            <w:tcMar>
              <w:top w:w="60" w:type="dxa"/>
              <w:left w:w="80" w:type="dxa"/>
              <w:bottom w:w="60" w:type="dxa"/>
              <w:right w:w="80" w:type="dxa"/>
            </w:tcMar>
          </w:tcPr>
          <w:p w14:paraId="338FFCDA" w14:textId="77777777" w:rsidR="0092069B" w:rsidRDefault="00000000">
            <w:pPr>
              <w:spacing w:before="20" w:after="20" w:line="220" w:lineRule="auto"/>
            </w:pPr>
            <w:r>
              <w:rPr>
                <w:sz w:val="16"/>
                <w:szCs w:val="16"/>
              </w:rPr>
              <w:t>Classical high-dose models overstate protective immunity; human correlates of protection not established</w:t>
            </w:r>
          </w:p>
        </w:tc>
        <w:tc>
          <w:tcPr>
            <w:tcW w:w="2126" w:type="dxa"/>
            <w:tcMar>
              <w:top w:w="60" w:type="dxa"/>
              <w:left w:w="80" w:type="dxa"/>
              <w:bottom w:w="60" w:type="dxa"/>
              <w:right w:w="80" w:type="dxa"/>
            </w:tcMar>
          </w:tcPr>
          <w:p w14:paraId="35E4177B" w14:textId="77777777" w:rsidR="0092069B" w:rsidRDefault="00000000">
            <w:pPr>
              <w:spacing w:before="20" w:after="20" w:line="220" w:lineRule="auto"/>
            </w:pPr>
            <w:r>
              <w:rPr>
                <w:sz w:val="16"/>
                <w:szCs w:val="16"/>
              </w:rPr>
              <w:t xml:space="preserve">Colombo and </w:t>
            </w:r>
            <w:proofErr w:type="spellStart"/>
            <w:r>
              <w:rPr>
                <w:sz w:val="16"/>
                <w:szCs w:val="16"/>
              </w:rPr>
              <w:t>Grencis</w:t>
            </w:r>
            <w:proofErr w:type="spellEnd"/>
            <w:r>
              <w:rPr>
                <w:sz w:val="16"/>
                <w:szCs w:val="16"/>
              </w:rPr>
              <w:t xml:space="preserve"> (2020); Loukas et al. (2021)</w:t>
            </w:r>
          </w:p>
        </w:tc>
      </w:tr>
      <w:tr w:rsidR="0092069B" w14:paraId="5A441203" w14:textId="77777777">
        <w:tc>
          <w:tcPr>
            <w:tcW w:w="1600" w:type="dxa"/>
            <w:tcMar>
              <w:top w:w="60" w:type="dxa"/>
              <w:left w:w="80" w:type="dxa"/>
              <w:bottom w:w="60" w:type="dxa"/>
              <w:right w:w="80" w:type="dxa"/>
            </w:tcMar>
          </w:tcPr>
          <w:p w14:paraId="74D82489" w14:textId="77777777" w:rsidR="0092069B" w:rsidRDefault="00000000">
            <w:pPr>
              <w:spacing w:before="20" w:after="20" w:line="220" w:lineRule="auto"/>
            </w:pPr>
            <w:r>
              <w:rPr>
                <w:sz w:val="16"/>
                <w:szCs w:val="16"/>
              </w:rPr>
              <w:t>Systemic immunoregulation with regulatory cell expansion</w:t>
            </w:r>
          </w:p>
        </w:tc>
        <w:tc>
          <w:tcPr>
            <w:tcW w:w="1500" w:type="dxa"/>
            <w:tcMar>
              <w:top w:w="60" w:type="dxa"/>
              <w:left w:w="80" w:type="dxa"/>
              <w:bottom w:w="60" w:type="dxa"/>
              <w:right w:w="80" w:type="dxa"/>
            </w:tcMar>
          </w:tcPr>
          <w:p w14:paraId="22FE8A37" w14:textId="77777777" w:rsidR="0092069B" w:rsidRDefault="00000000">
            <w:pPr>
              <w:spacing w:before="20" w:after="20" w:line="220" w:lineRule="auto"/>
            </w:pPr>
            <w:r>
              <w:rPr>
                <w:sz w:val="16"/>
                <w:szCs w:val="16"/>
              </w:rPr>
              <w:t>Intestinal nematodes</w:t>
            </w:r>
          </w:p>
        </w:tc>
        <w:tc>
          <w:tcPr>
            <w:tcW w:w="1800" w:type="dxa"/>
            <w:tcMar>
              <w:top w:w="60" w:type="dxa"/>
              <w:left w:w="80" w:type="dxa"/>
              <w:bottom w:w="60" w:type="dxa"/>
              <w:right w:w="80" w:type="dxa"/>
            </w:tcMar>
          </w:tcPr>
          <w:p w14:paraId="1A092FEE" w14:textId="77777777" w:rsidR="0092069B" w:rsidRDefault="00000000">
            <w:pPr>
              <w:spacing w:before="20" w:after="20" w:line="220" w:lineRule="auto"/>
            </w:pPr>
            <w:r>
              <w:rPr>
                <w:sz w:val="16"/>
                <w:szCs w:val="16"/>
              </w:rPr>
              <w:t>Human immunological studies; coinfection and vaccine-response studies</w:t>
            </w:r>
          </w:p>
        </w:tc>
        <w:tc>
          <w:tcPr>
            <w:tcW w:w="2000" w:type="dxa"/>
            <w:tcMar>
              <w:top w:w="60" w:type="dxa"/>
              <w:left w:w="80" w:type="dxa"/>
              <w:bottom w:w="60" w:type="dxa"/>
              <w:right w:w="80" w:type="dxa"/>
            </w:tcMar>
          </w:tcPr>
          <w:p w14:paraId="6D809008" w14:textId="77777777" w:rsidR="0092069B" w:rsidRDefault="00000000">
            <w:pPr>
              <w:spacing w:before="20" w:after="20" w:line="220" w:lineRule="auto"/>
            </w:pPr>
            <w:r>
              <w:rPr>
                <w:sz w:val="16"/>
                <w:szCs w:val="16"/>
              </w:rPr>
              <w:t>Direction of clinical effect context-dependent; interventional confirmation largely absent</w:t>
            </w:r>
          </w:p>
        </w:tc>
        <w:tc>
          <w:tcPr>
            <w:tcW w:w="2126" w:type="dxa"/>
            <w:tcMar>
              <w:top w:w="60" w:type="dxa"/>
              <w:left w:w="80" w:type="dxa"/>
              <w:bottom w:w="60" w:type="dxa"/>
              <w:right w:w="80" w:type="dxa"/>
            </w:tcMar>
          </w:tcPr>
          <w:p w14:paraId="78226330" w14:textId="77777777" w:rsidR="0092069B" w:rsidRDefault="00000000">
            <w:pPr>
              <w:spacing w:before="20" w:after="20" w:line="220" w:lineRule="auto"/>
            </w:pPr>
            <w:r w:rsidRPr="00D81875">
              <w:rPr>
                <w:sz w:val="16"/>
                <w:szCs w:val="16"/>
                <w:lang w:val="nl-BE"/>
              </w:rPr>
              <w:t xml:space="preserve">Maizels (2020); García-Bernalt Diego et al. (2025); Nembot Fogang et al. (2025); Schlosser-Brandenburg et al. </w:t>
            </w:r>
            <w:r>
              <w:rPr>
                <w:sz w:val="16"/>
                <w:szCs w:val="16"/>
              </w:rPr>
              <w:t>(2023); Singh et al. (2025)</w:t>
            </w:r>
          </w:p>
        </w:tc>
      </w:tr>
      <w:tr w:rsidR="0092069B" w14:paraId="0541F194" w14:textId="77777777">
        <w:tc>
          <w:tcPr>
            <w:tcW w:w="1600" w:type="dxa"/>
            <w:tcMar>
              <w:top w:w="60" w:type="dxa"/>
              <w:left w:w="80" w:type="dxa"/>
              <w:bottom w:w="60" w:type="dxa"/>
              <w:right w:w="80" w:type="dxa"/>
            </w:tcMar>
          </w:tcPr>
          <w:p w14:paraId="0073D463" w14:textId="77777777" w:rsidR="0092069B" w:rsidRDefault="00000000">
            <w:pPr>
              <w:spacing w:before="20" w:after="20" w:line="220" w:lineRule="auto"/>
            </w:pPr>
            <w:r>
              <w:rPr>
                <w:sz w:val="16"/>
                <w:szCs w:val="16"/>
              </w:rPr>
              <w:t>Attachment-site blood loss and iron depletion</w:t>
            </w:r>
          </w:p>
        </w:tc>
        <w:tc>
          <w:tcPr>
            <w:tcW w:w="1500" w:type="dxa"/>
            <w:tcMar>
              <w:top w:w="60" w:type="dxa"/>
              <w:left w:w="80" w:type="dxa"/>
              <w:bottom w:w="60" w:type="dxa"/>
              <w:right w:w="80" w:type="dxa"/>
            </w:tcMar>
          </w:tcPr>
          <w:p w14:paraId="76A77E87" w14:textId="77777777" w:rsidR="0092069B" w:rsidRDefault="00000000">
            <w:pPr>
              <w:spacing w:before="20" w:after="20" w:line="220" w:lineRule="auto"/>
            </w:pPr>
            <w:r>
              <w:rPr>
                <w:sz w:val="16"/>
                <w:szCs w:val="16"/>
              </w:rPr>
              <w:t>Hookworms</w:t>
            </w:r>
          </w:p>
        </w:tc>
        <w:tc>
          <w:tcPr>
            <w:tcW w:w="1800" w:type="dxa"/>
            <w:tcMar>
              <w:top w:w="60" w:type="dxa"/>
              <w:left w:w="80" w:type="dxa"/>
              <w:bottom w:w="60" w:type="dxa"/>
              <w:right w:w="80" w:type="dxa"/>
            </w:tcMar>
          </w:tcPr>
          <w:p w14:paraId="12ADF376" w14:textId="77777777" w:rsidR="0092069B" w:rsidRDefault="00000000">
            <w:pPr>
              <w:spacing w:before="20" w:after="20" w:line="220" w:lineRule="auto"/>
            </w:pPr>
            <w:r>
              <w:rPr>
                <w:sz w:val="16"/>
                <w:szCs w:val="16"/>
              </w:rPr>
              <w:t>Systematic review of human observational and interventional data</w:t>
            </w:r>
          </w:p>
        </w:tc>
        <w:tc>
          <w:tcPr>
            <w:tcW w:w="2000" w:type="dxa"/>
            <w:tcMar>
              <w:top w:w="60" w:type="dxa"/>
              <w:left w:w="80" w:type="dxa"/>
              <w:bottom w:w="60" w:type="dxa"/>
              <w:right w:w="80" w:type="dxa"/>
            </w:tcMar>
          </w:tcPr>
          <w:p w14:paraId="3661C2F8" w14:textId="77777777" w:rsidR="0092069B" w:rsidRDefault="00000000">
            <w:pPr>
              <w:spacing w:before="20" w:after="20" w:line="220" w:lineRule="auto"/>
            </w:pPr>
            <w:r>
              <w:rPr>
                <w:sz w:val="16"/>
                <w:szCs w:val="16"/>
              </w:rPr>
              <w:t>Effect size varies with dietary iron availability and baseline burden</w:t>
            </w:r>
          </w:p>
        </w:tc>
        <w:tc>
          <w:tcPr>
            <w:tcW w:w="2126" w:type="dxa"/>
            <w:tcMar>
              <w:top w:w="60" w:type="dxa"/>
              <w:left w:w="80" w:type="dxa"/>
              <w:bottom w:w="60" w:type="dxa"/>
              <w:right w:w="80" w:type="dxa"/>
            </w:tcMar>
          </w:tcPr>
          <w:p w14:paraId="5F817A69" w14:textId="77777777" w:rsidR="0092069B" w:rsidRDefault="00000000">
            <w:pPr>
              <w:spacing w:before="20" w:after="20" w:line="220" w:lineRule="auto"/>
            </w:pPr>
            <w:r>
              <w:rPr>
                <w:sz w:val="16"/>
                <w:szCs w:val="16"/>
              </w:rPr>
              <w:t>Smith and Brooker (2010)</w:t>
            </w:r>
          </w:p>
        </w:tc>
      </w:tr>
      <w:tr w:rsidR="0092069B" w14:paraId="1C0B83A1" w14:textId="77777777">
        <w:tc>
          <w:tcPr>
            <w:tcW w:w="1600" w:type="dxa"/>
            <w:tcMar>
              <w:top w:w="60" w:type="dxa"/>
              <w:left w:w="80" w:type="dxa"/>
              <w:bottom w:w="60" w:type="dxa"/>
              <w:right w:w="80" w:type="dxa"/>
            </w:tcMar>
          </w:tcPr>
          <w:p w14:paraId="4DDD6FAA" w14:textId="77777777" w:rsidR="0092069B" w:rsidRDefault="00000000">
            <w:pPr>
              <w:spacing w:before="20" w:after="20" w:line="220" w:lineRule="auto"/>
            </w:pPr>
            <w:r>
              <w:rPr>
                <w:sz w:val="16"/>
                <w:szCs w:val="16"/>
              </w:rPr>
              <w:t>Disruption of epithelial nutrient metabolism without inflammatory enteropathy</w:t>
            </w:r>
          </w:p>
        </w:tc>
        <w:tc>
          <w:tcPr>
            <w:tcW w:w="1500" w:type="dxa"/>
            <w:tcMar>
              <w:top w:w="60" w:type="dxa"/>
              <w:left w:w="80" w:type="dxa"/>
              <w:bottom w:w="60" w:type="dxa"/>
              <w:right w:w="80" w:type="dxa"/>
            </w:tcMar>
          </w:tcPr>
          <w:p w14:paraId="4311AFBD" w14:textId="77777777" w:rsidR="0092069B" w:rsidRDefault="00000000">
            <w:pPr>
              <w:spacing w:before="20" w:after="20" w:line="220" w:lineRule="auto"/>
            </w:pPr>
            <w:r>
              <w:rPr>
                <w:i/>
                <w:iCs/>
                <w:sz w:val="16"/>
                <w:szCs w:val="16"/>
              </w:rPr>
              <w:t xml:space="preserve">Giardia </w:t>
            </w:r>
            <w:proofErr w:type="spellStart"/>
            <w:r>
              <w:rPr>
                <w:i/>
                <w:iCs/>
                <w:sz w:val="16"/>
                <w:szCs w:val="16"/>
              </w:rPr>
              <w:t>duodenalis</w:t>
            </w:r>
            <w:proofErr w:type="spellEnd"/>
          </w:p>
        </w:tc>
        <w:tc>
          <w:tcPr>
            <w:tcW w:w="1800" w:type="dxa"/>
            <w:tcMar>
              <w:top w:w="60" w:type="dxa"/>
              <w:left w:w="80" w:type="dxa"/>
              <w:bottom w:w="60" w:type="dxa"/>
              <w:right w:w="80" w:type="dxa"/>
            </w:tcMar>
          </w:tcPr>
          <w:p w14:paraId="188FBD7B" w14:textId="77777777" w:rsidR="0092069B" w:rsidRDefault="00000000">
            <w:pPr>
              <w:spacing w:before="20" w:after="20" w:line="220" w:lineRule="auto"/>
            </w:pPr>
            <w:r>
              <w:rPr>
                <w:sz w:val="16"/>
                <w:szCs w:val="16"/>
              </w:rPr>
              <w:t>Animal models integrated with human birth-cohort data</w:t>
            </w:r>
          </w:p>
        </w:tc>
        <w:tc>
          <w:tcPr>
            <w:tcW w:w="2000" w:type="dxa"/>
            <w:tcMar>
              <w:top w:w="60" w:type="dxa"/>
              <w:left w:w="80" w:type="dxa"/>
              <w:bottom w:w="60" w:type="dxa"/>
              <w:right w:w="80" w:type="dxa"/>
            </w:tcMar>
          </w:tcPr>
          <w:p w14:paraId="5D64C6AA" w14:textId="77777777" w:rsidR="0092069B" w:rsidRDefault="00000000">
            <w:pPr>
              <w:spacing w:before="20" w:after="20" w:line="220" w:lineRule="auto"/>
            </w:pPr>
            <w:r>
              <w:rPr>
                <w:sz w:val="16"/>
                <w:szCs w:val="16"/>
              </w:rPr>
              <w:t>Single organism; requires replication across settings and parasites</w:t>
            </w:r>
          </w:p>
        </w:tc>
        <w:tc>
          <w:tcPr>
            <w:tcW w:w="2126" w:type="dxa"/>
            <w:tcMar>
              <w:top w:w="60" w:type="dxa"/>
              <w:left w:w="80" w:type="dxa"/>
              <w:bottom w:w="60" w:type="dxa"/>
              <w:right w:w="80" w:type="dxa"/>
            </w:tcMar>
          </w:tcPr>
          <w:p w14:paraId="7E263D53" w14:textId="77777777" w:rsidR="0092069B" w:rsidRDefault="00000000">
            <w:pPr>
              <w:spacing w:before="20" w:after="20" w:line="220" w:lineRule="auto"/>
            </w:pPr>
            <w:proofErr w:type="spellStart"/>
            <w:r>
              <w:rPr>
                <w:sz w:val="16"/>
                <w:szCs w:val="16"/>
              </w:rPr>
              <w:t>Giallourou</w:t>
            </w:r>
            <w:proofErr w:type="spellEnd"/>
            <w:r>
              <w:rPr>
                <w:sz w:val="16"/>
                <w:szCs w:val="16"/>
              </w:rPr>
              <w:t xml:space="preserve"> et al. (2023)</w:t>
            </w:r>
          </w:p>
        </w:tc>
      </w:tr>
      <w:tr w:rsidR="0092069B" w14:paraId="7FF19686" w14:textId="77777777">
        <w:tc>
          <w:tcPr>
            <w:tcW w:w="1600" w:type="dxa"/>
            <w:tcMar>
              <w:top w:w="60" w:type="dxa"/>
              <w:left w:w="80" w:type="dxa"/>
              <w:bottom w:w="60" w:type="dxa"/>
              <w:right w:w="80" w:type="dxa"/>
            </w:tcMar>
          </w:tcPr>
          <w:p w14:paraId="00C56F50" w14:textId="77777777" w:rsidR="0092069B" w:rsidRDefault="00000000">
            <w:pPr>
              <w:spacing w:before="20" w:after="20" w:line="220" w:lineRule="auto"/>
            </w:pPr>
            <w:r>
              <w:rPr>
                <w:sz w:val="16"/>
                <w:szCs w:val="16"/>
              </w:rPr>
              <w:t>Alteration of microbial community structure and metabolism</w:t>
            </w:r>
          </w:p>
        </w:tc>
        <w:tc>
          <w:tcPr>
            <w:tcW w:w="1500" w:type="dxa"/>
            <w:tcMar>
              <w:top w:w="60" w:type="dxa"/>
              <w:left w:w="80" w:type="dxa"/>
              <w:bottom w:w="60" w:type="dxa"/>
              <w:right w:w="80" w:type="dxa"/>
            </w:tcMar>
          </w:tcPr>
          <w:p w14:paraId="314C0FE7" w14:textId="77777777" w:rsidR="0092069B" w:rsidRDefault="00000000">
            <w:pPr>
              <w:spacing w:before="20" w:after="20" w:line="220" w:lineRule="auto"/>
            </w:pPr>
            <w:r>
              <w:rPr>
                <w:sz w:val="16"/>
                <w:szCs w:val="16"/>
              </w:rPr>
              <w:t xml:space="preserve">Intestinal nematodes; </w:t>
            </w:r>
            <w:r>
              <w:rPr>
                <w:i/>
                <w:iCs/>
                <w:sz w:val="16"/>
                <w:szCs w:val="16"/>
              </w:rPr>
              <w:t>Blastocystis</w:t>
            </w:r>
            <w:r>
              <w:rPr>
                <w:sz w:val="16"/>
                <w:szCs w:val="16"/>
              </w:rPr>
              <w:t xml:space="preserve"> species</w:t>
            </w:r>
          </w:p>
        </w:tc>
        <w:tc>
          <w:tcPr>
            <w:tcW w:w="1800" w:type="dxa"/>
            <w:tcMar>
              <w:top w:w="60" w:type="dxa"/>
              <w:left w:w="80" w:type="dxa"/>
              <w:bottom w:w="60" w:type="dxa"/>
              <w:right w:w="80" w:type="dxa"/>
            </w:tcMar>
          </w:tcPr>
          <w:p w14:paraId="4E0AE177" w14:textId="77777777" w:rsidR="0092069B" w:rsidRDefault="00000000">
            <w:pPr>
              <w:spacing w:before="20" w:after="20" w:line="220" w:lineRule="auto"/>
            </w:pPr>
            <w:r>
              <w:rPr>
                <w:sz w:val="16"/>
                <w:szCs w:val="16"/>
              </w:rPr>
              <w:t>Cross-sectional human studies; meta-analysis; germ-free experimental systems</w:t>
            </w:r>
          </w:p>
        </w:tc>
        <w:tc>
          <w:tcPr>
            <w:tcW w:w="2000" w:type="dxa"/>
            <w:tcMar>
              <w:top w:w="60" w:type="dxa"/>
              <w:left w:w="80" w:type="dxa"/>
              <w:bottom w:w="60" w:type="dxa"/>
              <w:right w:w="80" w:type="dxa"/>
            </w:tcMar>
          </w:tcPr>
          <w:p w14:paraId="127881B0" w14:textId="77777777" w:rsidR="0092069B" w:rsidRDefault="00000000">
            <w:pPr>
              <w:spacing w:before="20" w:after="20" w:line="220" w:lineRule="auto"/>
            </w:pPr>
            <w:r>
              <w:rPr>
                <w:sz w:val="16"/>
                <w:szCs w:val="16"/>
              </w:rPr>
              <w:t>Small pooled effect sizes; causal direction unresolved; strong environmental confounding</w:t>
            </w:r>
          </w:p>
        </w:tc>
        <w:tc>
          <w:tcPr>
            <w:tcW w:w="2126" w:type="dxa"/>
            <w:tcMar>
              <w:top w:w="60" w:type="dxa"/>
              <w:left w:w="80" w:type="dxa"/>
              <w:bottom w:w="60" w:type="dxa"/>
              <w:right w:w="80" w:type="dxa"/>
            </w:tcMar>
          </w:tcPr>
          <w:p w14:paraId="34140ADD" w14:textId="77777777" w:rsidR="0092069B" w:rsidRDefault="00000000">
            <w:pPr>
              <w:spacing w:before="20" w:after="20" w:line="220" w:lineRule="auto"/>
            </w:pPr>
            <w:r>
              <w:rPr>
                <w:sz w:val="16"/>
                <w:szCs w:val="16"/>
              </w:rPr>
              <w:t xml:space="preserve">Walusimbi et al. (2023); </w:t>
            </w:r>
            <w:proofErr w:type="spellStart"/>
            <w:r>
              <w:rPr>
                <w:sz w:val="16"/>
                <w:szCs w:val="16"/>
              </w:rPr>
              <w:t>Llinás</w:t>
            </w:r>
            <w:proofErr w:type="spellEnd"/>
            <w:r>
              <w:rPr>
                <w:sz w:val="16"/>
                <w:szCs w:val="16"/>
              </w:rPr>
              <w:t xml:space="preserve">-Caballero and Caraballo (2022); Antonetti et al. (2024); Deng and Tan (2025); </w:t>
            </w:r>
            <w:proofErr w:type="spellStart"/>
            <w:r>
              <w:rPr>
                <w:sz w:val="16"/>
                <w:szCs w:val="16"/>
              </w:rPr>
              <w:t>Piazzesi</w:t>
            </w:r>
            <w:proofErr w:type="spellEnd"/>
            <w:r>
              <w:rPr>
                <w:sz w:val="16"/>
                <w:szCs w:val="16"/>
              </w:rPr>
              <w:t xml:space="preserve"> and </w:t>
            </w:r>
            <w:proofErr w:type="spellStart"/>
            <w:r>
              <w:rPr>
                <w:sz w:val="16"/>
                <w:szCs w:val="16"/>
              </w:rPr>
              <w:t>Putignani</w:t>
            </w:r>
            <w:proofErr w:type="spellEnd"/>
            <w:r>
              <w:rPr>
                <w:sz w:val="16"/>
                <w:szCs w:val="16"/>
              </w:rPr>
              <w:t xml:space="preserve"> (2023)</w:t>
            </w:r>
          </w:p>
        </w:tc>
      </w:tr>
    </w:tbl>
    <w:p w14:paraId="72289580" w14:textId="77777777" w:rsidR="0092069B" w:rsidRDefault="00000000">
      <w:pPr>
        <w:spacing w:before="100" w:after="260" w:line="260" w:lineRule="auto"/>
      </w:pPr>
      <w:r>
        <w:rPr>
          <w:sz w:val="18"/>
          <w:szCs w:val="18"/>
        </w:rPr>
        <w:t>Table note: Evidence type refers to the design that provides the strongest support for the mechanism as stated, not to all designs in which it has been examined.</w:t>
      </w:r>
    </w:p>
    <w:p w14:paraId="19FC5566" w14:textId="77777777" w:rsidR="0092069B" w:rsidRDefault="00000000">
      <w:pPr>
        <w:pStyle w:val="Heading1"/>
        <w:spacing w:before="360" w:after="160"/>
      </w:pPr>
      <w:r>
        <w:rPr>
          <w:b/>
          <w:bCs/>
          <w:color w:val="000000"/>
          <w:sz w:val="26"/>
          <w:szCs w:val="26"/>
        </w:rPr>
        <w:t>5. Clinical Implications</w:t>
      </w:r>
    </w:p>
    <w:p w14:paraId="0064F450" w14:textId="77777777" w:rsidR="0092069B" w:rsidRDefault="00000000">
      <w:pPr>
        <w:spacing w:after="160" w:line="320" w:lineRule="auto"/>
        <w:jc w:val="both"/>
      </w:pPr>
      <w:r>
        <w:t xml:space="preserve">Translating the mechanisms described above into clinical consequence requires distinguishing outcomes for which the causal chain is short and measurable from outcomes for which it is long, indirect and shared with other determinants of disadvantage. The evidence is strongest at the two extremes of </w:t>
      </w:r>
      <w:r>
        <w:lastRenderedPageBreak/>
        <w:t>severity, for acute structural disease and for defined haematological deficit, and weakest in the middle range of chronic functional impairment where most of the attributed burden is thought to lie.</w:t>
      </w:r>
    </w:p>
    <w:p w14:paraId="3BFD54C3" w14:textId="77777777" w:rsidR="0092069B" w:rsidRDefault="00000000">
      <w:pPr>
        <w:pStyle w:val="Heading2"/>
        <w:spacing w:before="260" w:after="120"/>
      </w:pPr>
      <w:r>
        <w:rPr>
          <w:b/>
          <w:bCs/>
          <w:color w:val="000000"/>
          <w:sz w:val="23"/>
          <w:szCs w:val="23"/>
        </w:rPr>
        <w:t>5.1 Structural, invasive and acute disease</w:t>
      </w:r>
    </w:p>
    <w:p w14:paraId="00A9A36C" w14:textId="77777777" w:rsidR="0092069B" w:rsidRDefault="00000000">
      <w:pPr>
        <w:spacing w:after="160" w:line="320" w:lineRule="auto"/>
        <w:jc w:val="both"/>
      </w:pPr>
      <w:r>
        <w:t xml:space="preserve">The complications that follow directly from parasite mass or tissue invasion are not seriously contested. High-burden </w:t>
      </w:r>
      <w:r>
        <w:rPr>
          <w:i/>
          <w:iCs/>
        </w:rPr>
        <w:t>A. lumbricoides</w:t>
      </w:r>
      <w:r>
        <w:t xml:space="preserve"> infection produces intestinal and hepatobiliary obstruction, and the aggregated distribution of worm burden means that these complications occur in a small subset of infected children who cannot be identified without quantitative diagnosis (Chen et al., 2024; Loukas et al., 2021). Heavy </w:t>
      </w:r>
      <w:r>
        <w:rPr>
          <w:i/>
          <w:iCs/>
        </w:rPr>
        <w:t xml:space="preserve">T. </w:t>
      </w:r>
      <w:proofErr w:type="spellStart"/>
      <w:r>
        <w:rPr>
          <w:i/>
          <w:iCs/>
        </w:rPr>
        <w:t>trichiura</w:t>
      </w:r>
      <w:proofErr w:type="spellEnd"/>
      <w:r>
        <w:t xml:space="preserve"> infection produces colitis, dysentery and rectal prolapse through a combination of parasite mass and the epithelial injury associated with its intraepithelial habitat (Shears &amp; </w:t>
      </w:r>
      <w:proofErr w:type="spellStart"/>
      <w:r>
        <w:t>Grencis</w:t>
      </w:r>
      <w:proofErr w:type="spellEnd"/>
      <w:r>
        <w:t>, 2022). Invasive amoebiasis follows a defined transition from non-invasive colonisation, with the minority of infections that become invasive producing colitis and, less commonly, extraintestinal abscess (Guillén, 2023). For these outcomes the pathophysiological account and the clinical picture correspond closely, and the appropriate clinical response is diagnosis and treatment of the individual rather than population-level intervention.</w:t>
      </w:r>
    </w:p>
    <w:p w14:paraId="06EF1B4A" w14:textId="77777777" w:rsidR="0092069B" w:rsidRDefault="00000000">
      <w:pPr>
        <w:spacing w:after="160" w:line="320" w:lineRule="auto"/>
        <w:jc w:val="both"/>
      </w:pPr>
      <w:r>
        <w:t xml:space="preserve">Cryptosporidiosis occupies an intermediate position. Quantitative synthesis of paediatric data attributed a substantial proportion of diarrhoeal deaths among children under five years to </w:t>
      </w:r>
      <w:r>
        <w:rPr>
          <w:i/>
          <w:iCs/>
        </w:rPr>
        <w:t>Cryptosporidium</w:t>
      </w:r>
      <w:r>
        <w:t xml:space="preserve"> infection and identified persisting growth deficits among survivors, indicating that the acute illness is not the whole of the burden (Khalil et al., 2018). The therapeutic position remains unsatisfactory: nitazoxanide is the only agent with regulatory approval for immunocompetent patients, its efficacy is reduced in the malnourished and immunosuppressed groups who bear most of the burden, and appraisal of the field concludes that development of more effective agents is a priority rather than an optional refinement (</w:t>
      </w:r>
      <w:proofErr w:type="spellStart"/>
      <w:r>
        <w:t>Caravedo</w:t>
      </w:r>
      <w:proofErr w:type="spellEnd"/>
      <w:r>
        <w:t xml:space="preserve"> &amp; White, 2023; Lu et al., 2025). This is an unusual configuration in which the clinical attribution is comparatively secure and the intervention is not.</w:t>
      </w:r>
    </w:p>
    <w:p w14:paraId="1DF68A14" w14:textId="77777777" w:rsidR="0092069B" w:rsidRDefault="00000000">
      <w:pPr>
        <w:pStyle w:val="Heading2"/>
        <w:spacing w:before="260" w:after="120"/>
      </w:pPr>
      <w:r>
        <w:rPr>
          <w:b/>
          <w:bCs/>
          <w:color w:val="000000"/>
          <w:sz w:val="23"/>
          <w:szCs w:val="23"/>
        </w:rPr>
        <w:t>5.2 Strongyloidiasis and the immunosuppressed host</w:t>
      </w:r>
    </w:p>
    <w:p w14:paraId="161BD5FB" w14:textId="77777777" w:rsidR="0092069B" w:rsidRDefault="00000000">
      <w:pPr>
        <w:spacing w:after="160" w:line="320" w:lineRule="auto"/>
        <w:jc w:val="both"/>
      </w:pPr>
      <w:r>
        <w:rPr>
          <w:i/>
          <w:iCs/>
        </w:rPr>
        <w:t xml:space="preserve">S. </w:t>
      </w:r>
      <w:proofErr w:type="spellStart"/>
      <w:r>
        <w:rPr>
          <w:i/>
          <w:iCs/>
        </w:rPr>
        <w:t>stercoralis</w:t>
      </w:r>
      <w:proofErr w:type="spellEnd"/>
      <w:r>
        <w:t xml:space="preserve"> generates a clinical problem quite different from that of the other soil-transmitted nematodes. Chronic infection is typically asymptomatic or produces intermittent, non-specific gastrointestinal and cutaneous symptoms, and can persist for decades through autoinfection. Under corticosteroid therapy or other forms of immunosuppression the </w:t>
      </w:r>
      <w:proofErr w:type="spellStart"/>
      <w:r>
        <w:t>autoinfective</w:t>
      </w:r>
      <w:proofErr w:type="spellEnd"/>
      <w:r>
        <w:t xml:space="preserve"> cycle accelerates, producing hyperinfection and disseminated disease with high case fatality. Comprehensive review of the field identifies the central clinical failure as diagnostic rather than therapeutic: effective treatment exists, but infection is not sought before immunosuppression is initiated, and the diagnostic methods in routine use lack the sensitivity to exclude it (</w:t>
      </w:r>
      <w:proofErr w:type="spellStart"/>
      <w:r>
        <w:t>Buonfrate</w:t>
      </w:r>
      <w:proofErr w:type="spellEnd"/>
      <w:r>
        <w:t xml:space="preserve"> et al., 2023; Gordon et al., 2024). The discrepancy between estimated global prevalence and clinical recognition is the largest for any organism considered here (</w:t>
      </w:r>
      <w:proofErr w:type="spellStart"/>
      <w:r>
        <w:t>Buonfrate</w:t>
      </w:r>
      <w:proofErr w:type="spellEnd"/>
      <w:r>
        <w:t xml:space="preserve"> et al., 2020). The recent extension of preventive chemotherapy policy to strongyloidiasis represents an acknowledgement that the organism was excluded from control programmes largely because the diagnostic and drug regimens used for the other soil-transmitted helminths do not address it (World Health Organization, 2024).</w:t>
      </w:r>
    </w:p>
    <w:p w14:paraId="44ECBC90" w14:textId="77777777" w:rsidR="0092069B" w:rsidRDefault="00000000">
      <w:pPr>
        <w:pStyle w:val="Heading2"/>
        <w:spacing w:before="260" w:after="120"/>
      </w:pPr>
      <w:r>
        <w:rPr>
          <w:b/>
          <w:bCs/>
          <w:color w:val="000000"/>
          <w:sz w:val="23"/>
          <w:szCs w:val="23"/>
        </w:rPr>
        <w:t>5.3 Growth faltering and environmental enteric dysfunction</w:t>
      </w:r>
    </w:p>
    <w:p w14:paraId="490AAF40" w14:textId="77777777" w:rsidR="0092069B" w:rsidRDefault="00000000">
      <w:pPr>
        <w:spacing w:after="160" w:line="320" w:lineRule="auto"/>
        <w:jc w:val="both"/>
      </w:pPr>
      <w:r>
        <w:lastRenderedPageBreak/>
        <w:t xml:space="preserve">The proposition that intestinal parasites contribute to childhood stunting is mechanistically plausible, epidemiologically well supported at the level of association, and causally underdetermined. Systematic review of the pathways linking environmental enteric dysfunction to stunting found that the individual biomarkers and mechanisms proposed are inconsistently related to linear growth, and that the syndrome is defined more by a cluster of correlated abnormalities than by a demonstrated causal pathway (Harper et al., 2018). Analysis of quantitative molecular diagnostic data from a multi-site birth cohort improved on this considerably by measuring </w:t>
      </w:r>
      <w:proofErr w:type="spellStart"/>
      <w:r>
        <w:t>enteropathogen</w:t>
      </w:r>
      <w:proofErr w:type="spellEnd"/>
      <w:r>
        <w:t xml:space="preserve"> burden rather than symptomatic episodes, and identified associations between cumulative </w:t>
      </w:r>
      <w:proofErr w:type="spellStart"/>
      <w:r>
        <w:t>enteropathogen</w:t>
      </w:r>
      <w:proofErr w:type="spellEnd"/>
      <w:r>
        <w:t xml:space="preserve"> exposure and linear growth deficit (</w:t>
      </w:r>
      <w:proofErr w:type="spellStart"/>
      <w:r>
        <w:t>Rogawski</w:t>
      </w:r>
      <w:proofErr w:type="spellEnd"/>
      <w:r>
        <w:t xml:space="preserve"> et al., 2018). Even here the analytic unit is total </w:t>
      </w:r>
      <w:proofErr w:type="spellStart"/>
      <w:r>
        <w:t>enteropathogen</w:t>
      </w:r>
      <w:proofErr w:type="spellEnd"/>
      <w:r>
        <w:t xml:space="preserve"> burden, of which parasites constitute one component alongside bacterial and viral agents, so that the parasite-specific contribution cannot be isolated without assumptions that the design does not support.</w:t>
      </w:r>
    </w:p>
    <w:p w14:paraId="39F1FE9F" w14:textId="77777777" w:rsidR="0092069B" w:rsidRDefault="00000000">
      <w:pPr>
        <w:spacing w:after="160" w:line="320" w:lineRule="auto"/>
        <w:jc w:val="both"/>
      </w:pPr>
      <w:r>
        <w:t xml:space="preserve">The mechanistic work described earlier changes the interpretation of this literature in a specific way. If </w:t>
      </w:r>
      <w:r>
        <w:rPr>
          <w:i/>
          <w:iCs/>
        </w:rPr>
        <w:t>Giardia</w:t>
      </w:r>
      <w:r>
        <w:t xml:space="preserve"> impairs growth through disruption of nutrient metabolism rather than through inflammatory enteropathy, then studies that define parasite-attributable enteropathy by inflammatory markers will systematically underestimate the parasite contribution, while studies that assume inflammation is the mediating pathway will misattribute causation (</w:t>
      </w:r>
      <w:proofErr w:type="spellStart"/>
      <w:r>
        <w:t>Giallourou</w:t>
      </w:r>
      <w:proofErr w:type="spellEnd"/>
      <w:r>
        <w:t xml:space="preserve"> et al., 2023). This offers a coherent explanation for why associations between parasite carriage and growth are reproducible while associations between parasite carriage and inflammatory biomarkers are not. It does not establish the magnitude of the growth effect in populations, and it should not be read as doing so.</w:t>
      </w:r>
    </w:p>
    <w:p w14:paraId="13C1E179" w14:textId="77777777" w:rsidR="0092069B" w:rsidRDefault="00000000">
      <w:pPr>
        <w:spacing w:after="160" w:line="320" w:lineRule="auto"/>
        <w:jc w:val="both"/>
      </w:pPr>
      <w:r>
        <w:t>The interventional evidence complicates matters further. Three large trials of water, sanitation and hygiene interventions, designed in part on the reasoning that reduced enteric pathogen exposure would improve linear growth, produced minimal effects on growth despite the plausibility of the pathway. The investigative teams' joint interpretation attributed this to insufficient reduction in overall pathogen exposure rather than to the falsity of the underlying model, noting that the interventions delivered did not achieve the magnitude of exposure reduction the hypothesis required (Pickering et al., 2019). A separate consensus appraisal reached compatible conclusions and cautioned against inferring from these results that the environment does not matter for child growth (Cumming et al., 2019). Both interpretations are defensible and neither is testable with the data available. What can be said is that the causal model connecting enteric infection to stunting has not survived its first serious interventional test in the form in which it was proposed.</w:t>
      </w:r>
    </w:p>
    <w:p w14:paraId="0FF38BEB" w14:textId="77777777" w:rsidR="0092069B" w:rsidRDefault="00000000">
      <w:pPr>
        <w:pStyle w:val="Heading2"/>
        <w:spacing w:before="260" w:after="120"/>
      </w:pPr>
      <w:r>
        <w:rPr>
          <w:b/>
          <w:bCs/>
          <w:color w:val="000000"/>
          <w:sz w:val="23"/>
          <w:szCs w:val="23"/>
        </w:rPr>
        <w:t>5.4 Anaemia and iron status</w:t>
      </w:r>
    </w:p>
    <w:p w14:paraId="0D4B6940" w14:textId="77777777" w:rsidR="0092069B" w:rsidRDefault="00000000">
      <w:pPr>
        <w:spacing w:after="160" w:line="320" w:lineRule="auto"/>
        <w:jc w:val="both"/>
      </w:pPr>
      <w:r>
        <w:t xml:space="preserve">Hookworm-associated anaemia is the clearest instance in this field of a mechanism, an outcome and an intervention that align. Systematic review of non-pregnant populations found a consistent relationship between hookworm infection intensity and both haemoglobin concentration and iron status, and found that deworming improved these measures, with the effect size varying according to baseline infection intensity and dietary iron availability (Smith &amp; Brooker, 2010). The dependence on dietary iron is not a qualification to be noted and set aside; it is the reason that deworming produces substantial haematological benefit in some populations and little in others, and it explains part of the heterogeneity in trials that pooled populations with different nutritional baselines. Where dietary iron intake is </w:t>
      </w:r>
      <w:r>
        <w:lastRenderedPageBreak/>
        <w:t>adequate, removal of the parasite restores balance; where it is not, removal of the parasite removes one drain on a store that remains insufficient.</w:t>
      </w:r>
    </w:p>
    <w:p w14:paraId="21117C8A" w14:textId="77777777" w:rsidR="0092069B" w:rsidRDefault="00000000">
      <w:pPr>
        <w:pStyle w:val="Heading2"/>
        <w:spacing w:before="260" w:after="120"/>
      </w:pPr>
      <w:r>
        <w:rPr>
          <w:b/>
          <w:bCs/>
          <w:color w:val="000000"/>
          <w:sz w:val="23"/>
          <w:szCs w:val="23"/>
        </w:rPr>
        <w:t>5.5 Post-infectious functional gastrointestinal disorders</w:t>
      </w:r>
    </w:p>
    <w:p w14:paraId="36E38E21" w14:textId="77777777" w:rsidR="0092069B" w:rsidRDefault="00000000">
      <w:pPr>
        <w:spacing w:after="160" w:line="320" w:lineRule="auto"/>
        <w:jc w:val="both"/>
      </w:pPr>
      <w:r>
        <w:t>That acute enteric infection can be followed by persistent functional disturbance is established, and giardiasis provides the best-characterised parasitic example. A controlled prospective cohort study following a large waterborne outbreak found that six years after infection, exposed individuals had markedly elevated prevalence of irritable bowel syndrome and of chronic fatigue relative to matched controls, with both conditions declining over time but remaining substantially above control levels (</w:t>
      </w:r>
      <w:proofErr w:type="spellStart"/>
      <w:r>
        <w:t>Hanevik</w:t>
      </w:r>
      <w:proofErr w:type="spellEnd"/>
      <w:r>
        <w:t xml:space="preserve"> et al., 2014). The design is unusually strong for this question: the exposure was a discrete, well-documented outbreak with a defined and comparable control group, which removes much of the confounding that ordinarily attends observational studies of parasite carriage.</w:t>
      </w:r>
    </w:p>
    <w:p w14:paraId="52D05337" w14:textId="77777777" w:rsidR="0092069B" w:rsidRDefault="00000000">
      <w:pPr>
        <w:spacing w:after="160" w:line="320" w:lineRule="auto"/>
        <w:jc w:val="both"/>
      </w:pPr>
      <w:r>
        <w:t>Two limitations bound the inference. The outbreak occurred in a high-income setting with previously unexposed adults, and the response of a repeatedly exposed endemic population may differ substantially. The mechanism remains unresolved, with candidate explanations including persistent low-grade barrier dysfunction, altered microbial community structure and visceral hypersensitivity arising from the acute inflammatory episode, none of which has been demonstrated to account for the observed persistence. Extrapolating from these findings to the proposition that endemic parasite carriage causes a comparable burden of functional bowel disease in low-income settings would exceed what the evidence supports.</w:t>
      </w:r>
    </w:p>
    <w:p w14:paraId="1D154CE9" w14:textId="77777777" w:rsidR="0092069B" w:rsidRDefault="00000000">
      <w:pPr>
        <w:pStyle w:val="Heading2"/>
        <w:spacing w:before="260" w:after="120"/>
      </w:pPr>
      <w:r>
        <w:rPr>
          <w:b/>
          <w:bCs/>
          <w:color w:val="000000"/>
          <w:sz w:val="23"/>
          <w:szCs w:val="23"/>
        </w:rPr>
        <w:t>5.6 Immunological consequences and the coinfection question</w:t>
      </w:r>
    </w:p>
    <w:p w14:paraId="553437A6" w14:textId="77777777" w:rsidR="0092069B" w:rsidRDefault="00000000">
      <w:pPr>
        <w:spacing w:after="160" w:line="320" w:lineRule="auto"/>
        <w:jc w:val="both"/>
      </w:pPr>
      <w:r>
        <w:t xml:space="preserve">The clinical significance of helminth-induced immunoregulation has been argued in two directions, and the evidence supports neither strongly. The protective argument holds that helminth-associated regulation attenuates allergic and autoimmune disease, and it draws on a substantial and well-characterised immunological literature (Maizels, 2020). The most direct test of this proposition, therapeutic administration of helminth ova to patients with inflammatory bowel disease, has not supported it: a randomised, double-blind, placebo-controlled trial of </w:t>
      </w:r>
      <w:r>
        <w:rPr>
          <w:i/>
          <w:iCs/>
        </w:rPr>
        <w:t>Trichuris suis</w:t>
      </w:r>
      <w:r>
        <w:t xml:space="preserve"> ova in active Crohn's disease did not demonstrate efficacy (</w:t>
      </w:r>
      <w:proofErr w:type="spellStart"/>
      <w:r>
        <w:t>Schölmerich</w:t>
      </w:r>
      <w:proofErr w:type="spellEnd"/>
      <w:r>
        <w:t xml:space="preserve"> et al., 2017). The discrepancy between mechanistic promise and trial result is instructive. It may reflect the difference between lifelong exposure beginning in early childhood and short-term administration in established disease, or between a live infection and a non-establishing xenogeneic exposure. It does not support continued presentation of helminth therapy as an emerging treatment.</w:t>
      </w:r>
    </w:p>
    <w:p w14:paraId="4F47AD33" w14:textId="77777777" w:rsidR="0092069B" w:rsidRDefault="00000000">
      <w:pPr>
        <w:spacing w:after="160" w:line="320" w:lineRule="auto"/>
        <w:jc w:val="both"/>
      </w:pPr>
      <w:r>
        <w:t>The detrimental argument holds that helminth coinfection impairs responses to unrelated pathogens and to vaccination. The evidence here is more consistent in direction but heterogeneous in magnitude, with synthesis indicating reduced vaccine effectiveness in helminth-endemic populations plausibly mediated by regulatory mechanisms, and with the direction of effect for viral coinfection depending on the site of the coinfecting pathogen and on timing (García-</w:t>
      </w:r>
      <w:proofErr w:type="spellStart"/>
      <w:r>
        <w:t>Bernalt</w:t>
      </w:r>
      <w:proofErr w:type="spellEnd"/>
      <w:r>
        <w:t xml:space="preserve"> Diego et al., 2025; Nembot Fogang et al., 2025). The clinical implication most often drawn, that deworming before vaccination would improve </w:t>
      </w:r>
      <w:r>
        <w:lastRenderedPageBreak/>
        <w:t>immunisation outcomes, has not been adequately tested and does not follow automatically from the immunological data.</w:t>
      </w:r>
    </w:p>
    <w:p w14:paraId="0BCC6BD3" w14:textId="77777777" w:rsidR="0092069B" w:rsidRDefault="00000000">
      <w:pPr>
        <w:pStyle w:val="Heading2"/>
        <w:spacing w:before="260" w:after="120"/>
      </w:pPr>
      <w:r>
        <w:rPr>
          <w:b/>
          <w:bCs/>
          <w:color w:val="000000"/>
          <w:sz w:val="23"/>
          <w:szCs w:val="23"/>
        </w:rPr>
        <w:t>5.7 The deworming and development controversy</w:t>
      </w:r>
    </w:p>
    <w:p w14:paraId="3C513F84" w14:textId="77777777" w:rsidR="0092069B" w:rsidRDefault="00000000">
      <w:pPr>
        <w:spacing w:after="160" w:line="320" w:lineRule="auto"/>
        <w:jc w:val="both"/>
      </w:pPr>
      <w:r>
        <w:t>The disagreement over whether mass deworming improves child development is the most consequential unresolved question in this field, and it is frequently misrepresented as a dispute about evidence quality when it is principally a dispute about what was measured. Systematic review of randomised trials concluded that community deworming programmes have little or no effect on average weight, haemoglobin concentration, cognitive function, school attendance or mortality (Taylor-Robinson et al., 2019). Twenty-year follow-up of a school-based programme in Kenya reported higher earnings and consumption among treated cohorts, and interpreted these as long-run returns to childhood health (</w:t>
      </w:r>
      <w:proofErr w:type="spellStart"/>
      <w:r>
        <w:t>Hamory</w:t>
      </w:r>
      <w:proofErr w:type="spellEnd"/>
      <w:r>
        <w:t xml:space="preserve"> et al., 2021).</w:t>
      </w:r>
    </w:p>
    <w:p w14:paraId="13FE77D5" w14:textId="77777777" w:rsidR="0092069B" w:rsidRDefault="00000000">
      <w:pPr>
        <w:spacing w:after="160" w:line="320" w:lineRule="auto"/>
        <w:jc w:val="both"/>
      </w:pPr>
      <w:r>
        <w:t>Four differences account for most of the divergence, and none of them requires either analysis to be wrong. The outcomes differ: average anthropometric and haemoglobin change in the short term is not the same quantity as labour market outcomes decades later, and an intervention may affect the second without producing a detectable shift in the mean of the first. The analytic unit differs: trials analysing individual-level averages will dilute an effect concentrated in the heavily infected minority, whereas community-level analyses capture externalities from reduced transmission that individual randomisation removes by design. The transmission intensity differs: the settings contributing most to the pooled trial evidence generally had lower baseline burden than the historical Kenyan setting, and an intervention that removes a small burden should be expected to produce a small effect. The timescale differs, and outcomes separated from the intervention by twenty years are correspondingly more exposed to alternative explanation.</w:t>
      </w:r>
    </w:p>
    <w:p w14:paraId="2447E7CB" w14:textId="77777777" w:rsidR="0092069B" w:rsidRDefault="00000000">
      <w:pPr>
        <w:spacing w:after="160" w:line="320" w:lineRule="auto"/>
        <w:jc w:val="both"/>
      </w:pPr>
      <w:r>
        <w:t>The practical implication is that both bodies of evidence are compatible with a moderate effect concentrated in high-intensity settings and in heavily infected individuals, and that neither supports the strong general claims made in its name. Neither supports the position that deworming reliably improves cognition and school attendance across endemic populations, and neither supports the position that deworming has no developmental value where transmission is intense. Table 3 sets out this and the other principal conflicts in the clinical literature alongside the design differences that most plausibly explain them.</w:t>
      </w:r>
    </w:p>
    <w:p w14:paraId="7594202C" w14:textId="77777777" w:rsidR="0092069B" w:rsidRDefault="00000000">
      <w:pPr>
        <w:spacing w:before="200" w:after="100" w:line="280" w:lineRule="auto"/>
      </w:pPr>
      <w:r>
        <w:rPr>
          <w:b/>
          <w:bCs/>
          <w:sz w:val="20"/>
          <w:szCs w:val="20"/>
        </w:rPr>
        <w:t>Table 3. Conflicting findings on the clinical consequences of intestinal parasitic infection and their probable explanations</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700"/>
        <w:gridCol w:w="1800"/>
        <w:gridCol w:w="1800"/>
        <w:gridCol w:w="1900"/>
        <w:gridCol w:w="1826"/>
      </w:tblGrid>
      <w:tr w:rsidR="0092069B" w14:paraId="10941C71" w14:textId="77777777">
        <w:trPr>
          <w:tblHeader/>
        </w:trPr>
        <w:tc>
          <w:tcPr>
            <w:tcW w:w="1700" w:type="dxa"/>
            <w:shd w:val="clear" w:color="auto" w:fill="E8E8E8"/>
            <w:tcMar>
              <w:top w:w="60" w:type="dxa"/>
              <w:left w:w="80" w:type="dxa"/>
              <w:bottom w:w="60" w:type="dxa"/>
              <w:right w:w="80" w:type="dxa"/>
            </w:tcMar>
          </w:tcPr>
          <w:p w14:paraId="4EA3387C" w14:textId="77777777" w:rsidR="0092069B" w:rsidRDefault="00000000">
            <w:pPr>
              <w:spacing w:before="20" w:after="20" w:line="220" w:lineRule="auto"/>
            </w:pPr>
            <w:r>
              <w:rPr>
                <w:b/>
                <w:bCs/>
                <w:sz w:val="16"/>
                <w:szCs w:val="16"/>
              </w:rPr>
              <w:t>Contested question</w:t>
            </w:r>
          </w:p>
        </w:tc>
        <w:tc>
          <w:tcPr>
            <w:tcW w:w="1800" w:type="dxa"/>
            <w:shd w:val="clear" w:color="auto" w:fill="E8E8E8"/>
            <w:tcMar>
              <w:top w:w="60" w:type="dxa"/>
              <w:left w:w="80" w:type="dxa"/>
              <w:bottom w:w="60" w:type="dxa"/>
              <w:right w:w="80" w:type="dxa"/>
            </w:tcMar>
          </w:tcPr>
          <w:p w14:paraId="66BADAAA" w14:textId="77777777" w:rsidR="0092069B" w:rsidRDefault="00000000">
            <w:pPr>
              <w:spacing w:before="20" w:after="20" w:line="220" w:lineRule="auto"/>
            </w:pPr>
            <w:r>
              <w:rPr>
                <w:b/>
                <w:bCs/>
                <w:sz w:val="16"/>
                <w:szCs w:val="16"/>
              </w:rPr>
              <w:t>Evidence supporting an effect</w:t>
            </w:r>
          </w:p>
        </w:tc>
        <w:tc>
          <w:tcPr>
            <w:tcW w:w="1800" w:type="dxa"/>
            <w:shd w:val="clear" w:color="auto" w:fill="E8E8E8"/>
            <w:tcMar>
              <w:top w:w="60" w:type="dxa"/>
              <w:left w:w="80" w:type="dxa"/>
              <w:bottom w:w="60" w:type="dxa"/>
              <w:right w:w="80" w:type="dxa"/>
            </w:tcMar>
          </w:tcPr>
          <w:p w14:paraId="2963A1FF" w14:textId="77777777" w:rsidR="0092069B" w:rsidRDefault="00000000">
            <w:pPr>
              <w:spacing w:before="20" w:after="20" w:line="220" w:lineRule="auto"/>
            </w:pPr>
            <w:r>
              <w:rPr>
                <w:b/>
                <w:bCs/>
                <w:sz w:val="16"/>
                <w:szCs w:val="16"/>
              </w:rPr>
              <w:t>Evidence against or qualifying an effect</w:t>
            </w:r>
          </w:p>
        </w:tc>
        <w:tc>
          <w:tcPr>
            <w:tcW w:w="1900" w:type="dxa"/>
            <w:shd w:val="clear" w:color="auto" w:fill="E8E8E8"/>
            <w:tcMar>
              <w:top w:w="60" w:type="dxa"/>
              <w:left w:w="80" w:type="dxa"/>
              <w:bottom w:w="60" w:type="dxa"/>
              <w:right w:w="80" w:type="dxa"/>
            </w:tcMar>
          </w:tcPr>
          <w:p w14:paraId="6E4A7F3D" w14:textId="77777777" w:rsidR="0092069B" w:rsidRDefault="00000000">
            <w:pPr>
              <w:spacing w:before="20" w:after="20" w:line="220" w:lineRule="auto"/>
            </w:pPr>
            <w:r>
              <w:rPr>
                <w:b/>
                <w:bCs/>
                <w:sz w:val="16"/>
                <w:szCs w:val="16"/>
              </w:rPr>
              <w:t>Most probable source of the discrepancy</w:t>
            </w:r>
          </w:p>
        </w:tc>
        <w:tc>
          <w:tcPr>
            <w:tcW w:w="1826" w:type="dxa"/>
            <w:shd w:val="clear" w:color="auto" w:fill="E8E8E8"/>
            <w:tcMar>
              <w:top w:w="60" w:type="dxa"/>
              <w:left w:w="80" w:type="dxa"/>
              <w:bottom w:w="60" w:type="dxa"/>
              <w:right w:w="80" w:type="dxa"/>
            </w:tcMar>
          </w:tcPr>
          <w:p w14:paraId="3B002B91" w14:textId="77777777" w:rsidR="0092069B" w:rsidRDefault="00000000">
            <w:pPr>
              <w:spacing w:before="20" w:after="20" w:line="220" w:lineRule="auto"/>
            </w:pPr>
            <w:r>
              <w:rPr>
                <w:b/>
                <w:bCs/>
                <w:sz w:val="16"/>
                <w:szCs w:val="16"/>
              </w:rPr>
              <w:t>Supporting references</w:t>
            </w:r>
          </w:p>
        </w:tc>
      </w:tr>
      <w:tr w:rsidR="0092069B" w14:paraId="12C42091" w14:textId="77777777">
        <w:tc>
          <w:tcPr>
            <w:tcW w:w="1700" w:type="dxa"/>
            <w:tcMar>
              <w:top w:w="60" w:type="dxa"/>
              <w:left w:w="80" w:type="dxa"/>
              <w:bottom w:w="60" w:type="dxa"/>
              <w:right w:w="80" w:type="dxa"/>
            </w:tcMar>
          </w:tcPr>
          <w:p w14:paraId="1D13C876" w14:textId="77777777" w:rsidR="0092069B" w:rsidRDefault="00000000">
            <w:pPr>
              <w:spacing w:before="20" w:after="20" w:line="220" w:lineRule="auto"/>
            </w:pPr>
            <w:r>
              <w:rPr>
                <w:sz w:val="16"/>
                <w:szCs w:val="16"/>
              </w:rPr>
              <w:t>Does mass deworming improve child growth, haemoglobin and cognition</w:t>
            </w:r>
          </w:p>
        </w:tc>
        <w:tc>
          <w:tcPr>
            <w:tcW w:w="1800" w:type="dxa"/>
            <w:tcMar>
              <w:top w:w="60" w:type="dxa"/>
              <w:left w:w="80" w:type="dxa"/>
              <w:bottom w:w="60" w:type="dxa"/>
              <w:right w:w="80" w:type="dxa"/>
            </w:tcMar>
          </w:tcPr>
          <w:p w14:paraId="1AFE0D31" w14:textId="77777777" w:rsidR="0092069B" w:rsidRDefault="00000000">
            <w:pPr>
              <w:spacing w:before="20" w:after="20" w:line="220" w:lineRule="auto"/>
            </w:pPr>
            <w:r>
              <w:rPr>
                <w:sz w:val="16"/>
                <w:szCs w:val="16"/>
              </w:rPr>
              <w:t>Long-run cohort follow-up reporting higher adult earnings and consumption</w:t>
            </w:r>
          </w:p>
        </w:tc>
        <w:tc>
          <w:tcPr>
            <w:tcW w:w="1800" w:type="dxa"/>
            <w:tcMar>
              <w:top w:w="60" w:type="dxa"/>
              <w:left w:w="80" w:type="dxa"/>
              <w:bottom w:w="60" w:type="dxa"/>
              <w:right w:w="80" w:type="dxa"/>
            </w:tcMar>
          </w:tcPr>
          <w:p w14:paraId="1F4CDEBB" w14:textId="77777777" w:rsidR="0092069B" w:rsidRDefault="00000000">
            <w:pPr>
              <w:spacing w:before="20" w:after="20" w:line="220" w:lineRule="auto"/>
            </w:pPr>
            <w:r>
              <w:rPr>
                <w:sz w:val="16"/>
                <w:szCs w:val="16"/>
              </w:rPr>
              <w:t>Systematic review of randomised trials finding little or no effect on weight, haemoglobin, cognition or attendance</w:t>
            </w:r>
          </w:p>
        </w:tc>
        <w:tc>
          <w:tcPr>
            <w:tcW w:w="1900" w:type="dxa"/>
            <w:tcMar>
              <w:top w:w="60" w:type="dxa"/>
              <w:left w:w="80" w:type="dxa"/>
              <w:bottom w:w="60" w:type="dxa"/>
              <w:right w:w="80" w:type="dxa"/>
            </w:tcMar>
          </w:tcPr>
          <w:p w14:paraId="63095BD0" w14:textId="77777777" w:rsidR="0092069B" w:rsidRDefault="00000000">
            <w:pPr>
              <w:spacing w:before="20" w:after="20" w:line="220" w:lineRule="auto"/>
            </w:pPr>
            <w:r>
              <w:rPr>
                <w:sz w:val="16"/>
                <w:szCs w:val="16"/>
              </w:rPr>
              <w:t>Different outcomes, analytic units, baseline transmission intensity and timescales; dilution of an effect concentrated in heavily infected individuals</w:t>
            </w:r>
          </w:p>
        </w:tc>
        <w:tc>
          <w:tcPr>
            <w:tcW w:w="1826" w:type="dxa"/>
            <w:tcMar>
              <w:top w:w="60" w:type="dxa"/>
              <w:left w:w="80" w:type="dxa"/>
              <w:bottom w:w="60" w:type="dxa"/>
              <w:right w:w="80" w:type="dxa"/>
            </w:tcMar>
          </w:tcPr>
          <w:p w14:paraId="79141705" w14:textId="77777777" w:rsidR="0092069B" w:rsidRDefault="00000000">
            <w:pPr>
              <w:spacing w:before="20" w:after="20" w:line="220" w:lineRule="auto"/>
            </w:pPr>
            <w:proofErr w:type="spellStart"/>
            <w:r>
              <w:rPr>
                <w:sz w:val="16"/>
                <w:szCs w:val="16"/>
              </w:rPr>
              <w:t>Hamory</w:t>
            </w:r>
            <w:proofErr w:type="spellEnd"/>
            <w:r>
              <w:rPr>
                <w:sz w:val="16"/>
                <w:szCs w:val="16"/>
              </w:rPr>
              <w:t xml:space="preserve"> et al. (2021); Taylor-Robinson et al. (2019)</w:t>
            </w:r>
          </w:p>
        </w:tc>
      </w:tr>
      <w:tr w:rsidR="0092069B" w14:paraId="2732F3F6" w14:textId="77777777">
        <w:tc>
          <w:tcPr>
            <w:tcW w:w="1700" w:type="dxa"/>
            <w:tcMar>
              <w:top w:w="60" w:type="dxa"/>
              <w:left w:w="80" w:type="dxa"/>
              <w:bottom w:w="60" w:type="dxa"/>
              <w:right w:w="80" w:type="dxa"/>
            </w:tcMar>
          </w:tcPr>
          <w:p w14:paraId="092216FF" w14:textId="77777777" w:rsidR="0092069B" w:rsidRDefault="00000000">
            <w:pPr>
              <w:spacing w:before="20" w:after="20" w:line="220" w:lineRule="auto"/>
            </w:pPr>
            <w:r>
              <w:rPr>
                <w:sz w:val="16"/>
                <w:szCs w:val="16"/>
              </w:rPr>
              <w:t>Do intestinal parasites cause linear growth faltering</w:t>
            </w:r>
          </w:p>
        </w:tc>
        <w:tc>
          <w:tcPr>
            <w:tcW w:w="1800" w:type="dxa"/>
            <w:tcMar>
              <w:top w:w="60" w:type="dxa"/>
              <w:left w:w="80" w:type="dxa"/>
              <w:bottom w:w="60" w:type="dxa"/>
              <w:right w:w="80" w:type="dxa"/>
            </w:tcMar>
          </w:tcPr>
          <w:p w14:paraId="7BD8F093" w14:textId="77777777" w:rsidR="0092069B" w:rsidRDefault="00000000">
            <w:pPr>
              <w:spacing w:before="20" w:after="20" w:line="220" w:lineRule="auto"/>
            </w:pPr>
            <w:r>
              <w:rPr>
                <w:sz w:val="16"/>
                <w:szCs w:val="16"/>
              </w:rPr>
              <w:t xml:space="preserve">Cohort data linking cumulative </w:t>
            </w:r>
            <w:proofErr w:type="spellStart"/>
            <w:r>
              <w:rPr>
                <w:sz w:val="16"/>
                <w:szCs w:val="16"/>
              </w:rPr>
              <w:t>enteropathogen</w:t>
            </w:r>
            <w:proofErr w:type="spellEnd"/>
            <w:r>
              <w:rPr>
                <w:sz w:val="16"/>
                <w:szCs w:val="16"/>
              </w:rPr>
              <w:t xml:space="preserve"> burden to growth deficit; </w:t>
            </w:r>
            <w:r>
              <w:rPr>
                <w:sz w:val="16"/>
                <w:szCs w:val="16"/>
              </w:rPr>
              <w:lastRenderedPageBreak/>
              <w:t>mechanistic demonstration of disrupted nutrient metabolism</w:t>
            </w:r>
          </w:p>
        </w:tc>
        <w:tc>
          <w:tcPr>
            <w:tcW w:w="1800" w:type="dxa"/>
            <w:tcMar>
              <w:top w:w="60" w:type="dxa"/>
              <w:left w:w="80" w:type="dxa"/>
              <w:bottom w:w="60" w:type="dxa"/>
              <w:right w:w="80" w:type="dxa"/>
            </w:tcMar>
          </w:tcPr>
          <w:p w14:paraId="4C924398" w14:textId="77777777" w:rsidR="0092069B" w:rsidRDefault="00000000">
            <w:pPr>
              <w:spacing w:before="20" w:after="20" w:line="220" w:lineRule="auto"/>
            </w:pPr>
            <w:r>
              <w:rPr>
                <w:sz w:val="16"/>
                <w:szCs w:val="16"/>
              </w:rPr>
              <w:lastRenderedPageBreak/>
              <w:t>Large sanitation and hygiene trials producing minimal growth effects</w:t>
            </w:r>
          </w:p>
        </w:tc>
        <w:tc>
          <w:tcPr>
            <w:tcW w:w="1900" w:type="dxa"/>
            <w:tcMar>
              <w:top w:w="60" w:type="dxa"/>
              <w:left w:w="80" w:type="dxa"/>
              <w:bottom w:w="60" w:type="dxa"/>
              <w:right w:w="80" w:type="dxa"/>
            </w:tcMar>
          </w:tcPr>
          <w:p w14:paraId="2237F25E" w14:textId="77777777" w:rsidR="0092069B" w:rsidRDefault="00000000">
            <w:pPr>
              <w:spacing w:before="20" w:after="20" w:line="220" w:lineRule="auto"/>
            </w:pPr>
            <w:r>
              <w:rPr>
                <w:sz w:val="16"/>
                <w:szCs w:val="16"/>
              </w:rPr>
              <w:t xml:space="preserve">Parasite-specific contribution not separable from total </w:t>
            </w:r>
            <w:proofErr w:type="spellStart"/>
            <w:r>
              <w:rPr>
                <w:sz w:val="16"/>
                <w:szCs w:val="16"/>
              </w:rPr>
              <w:t>enteropathogen</w:t>
            </w:r>
            <w:proofErr w:type="spellEnd"/>
            <w:r>
              <w:rPr>
                <w:sz w:val="16"/>
                <w:szCs w:val="16"/>
              </w:rPr>
              <w:t xml:space="preserve"> burden; interventions did </w:t>
            </w:r>
            <w:r>
              <w:rPr>
                <w:sz w:val="16"/>
                <w:szCs w:val="16"/>
              </w:rPr>
              <w:lastRenderedPageBreak/>
              <w:t>not achieve the exposure reduction the model required</w:t>
            </w:r>
          </w:p>
        </w:tc>
        <w:tc>
          <w:tcPr>
            <w:tcW w:w="1826" w:type="dxa"/>
            <w:tcMar>
              <w:top w:w="60" w:type="dxa"/>
              <w:left w:w="80" w:type="dxa"/>
              <w:bottom w:w="60" w:type="dxa"/>
              <w:right w:w="80" w:type="dxa"/>
            </w:tcMar>
          </w:tcPr>
          <w:p w14:paraId="5759B2F3" w14:textId="77777777" w:rsidR="0092069B" w:rsidRDefault="00000000">
            <w:pPr>
              <w:spacing w:before="20" w:after="20" w:line="220" w:lineRule="auto"/>
            </w:pPr>
            <w:r w:rsidRPr="00D81875">
              <w:rPr>
                <w:sz w:val="16"/>
                <w:szCs w:val="16"/>
                <w:lang w:val="nl-BE"/>
              </w:rPr>
              <w:lastRenderedPageBreak/>
              <w:t xml:space="preserve">Rogawski et al. (2018); Giallourou et al. (2023); </w:t>
            </w:r>
            <w:r w:rsidRPr="00D81875">
              <w:rPr>
                <w:sz w:val="16"/>
                <w:szCs w:val="16"/>
                <w:lang w:val="nl-BE"/>
              </w:rPr>
              <w:lastRenderedPageBreak/>
              <w:t xml:space="preserve">Pickering et al. (2019); Cumming et al. </w:t>
            </w:r>
            <w:r>
              <w:rPr>
                <w:sz w:val="16"/>
                <w:szCs w:val="16"/>
              </w:rPr>
              <w:t>(2019)</w:t>
            </w:r>
          </w:p>
        </w:tc>
      </w:tr>
      <w:tr w:rsidR="0092069B" w14:paraId="7F2D3538" w14:textId="77777777">
        <w:tc>
          <w:tcPr>
            <w:tcW w:w="1700" w:type="dxa"/>
            <w:tcMar>
              <w:top w:w="60" w:type="dxa"/>
              <w:left w:w="80" w:type="dxa"/>
              <w:bottom w:w="60" w:type="dxa"/>
              <w:right w:w="80" w:type="dxa"/>
            </w:tcMar>
          </w:tcPr>
          <w:p w14:paraId="68C5FC7B" w14:textId="77777777" w:rsidR="0092069B" w:rsidRDefault="00000000">
            <w:pPr>
              <w:spacing w:before="20" w:after="20" w:line="220" w:lineRule="auto"/>
            </w:pPr>
            <w:r>
              <w:rPr>
                <w:sz w:val="16"/>
                <w:szCs w:val="16"/>
              </w:rPr>
              <w:lastRenderedPageBreak/>
              <w:t>Is parasite-attributable enteropathy defined by intestinal inflammation</w:t>
            </w:r>
          </w:p>
        </w:tc>
        <w:tc>
          <w:tcPr>
            <w:tcW w:w="1800" w:type="dxa"/>
            <w:tcMar>
              <w:top w:w="60" w:type="dxa"/>
              <w:left w:w="80" w:type="dxa"/>
              <w:bottom w:w="60" w:type="dxa"/>
              <w:right w:w="80" w:type="dxa"/>
            </w:tcMar>
          </w:tcPr>
          <w:p w14:paraId="0E73EBE7" w14:textId="77777777" w:rsidR="0092069B" w:rsidRDefault="00000000">
            <w:pPr>
              <w:spacing w:before="20" w:after="20" w:line="220" w:lineRule="auto"/>
            </w:pPr>
            <w:r>
              <w:rPr>
                <w:sz w:val="16"/>
                <w:szCs w:val="16"/>
              </w:rPr>
              <w:t>Systematic review treating inflammatory pathways as central to environmental enteric dysfunction</w:t>
            </w:r>
          </w:p>
        </w:tc>
        <w:tc>
          <w:tcPr>
            <w:tcW w:w="1800" w:type="dxa"/>
            <w:tcMar>
              <w:top w:w="60" w:type="dxa"/>
              <w:left w:w="80" w:type="dxa"/>
              <w:bottom w:w="60" w:type="dxa"/>
              <w:right w:w="80" w:type="dxa"/>
            </w:tcMar>
          </w:tcPr>
          <w:p w14:paraId="102DC201" w14:textId="77777777" w:rsidR="0092069B" w:rsidRDefault="00000000">
            <w:pPr>
              <w:spacing w:before="20" w:after="20" w:line="220" w:lineRule="auto"/>
            </w:pPr>
            <w:r>
              <w:rPr>
                <w:sz w:val="16"/>
                <w:szCs w:val="16"/>
              </w:rPr>
              <w:t>Experimental evidence of growth impairment through metabolic disruption without inflammatory enteropathy</w:t>
            </w:r>
          </w:p>
        </w:tc>
        <w:tc>
          <w:tcPr>
            <w:tcW w:w="1900" w:type="dxa"/>
            <w:tcMar>
              <w:top w:w="60" w:type="dxa"/>
              <w:left w:w="80" w:type="dxa"/>
              <w:bottom w:w="60" w:type="dxa"/>
              <w:right w:w="80" w:type="dxa"/>
            </w:tcMar>
          </w:tcPr>
          <w:p w14:paraId="467865F9" w14:textId="77777777" w:rsidR="0092069B" w:rsidRDefault="00000000">
            <w:pPr>
              <w:spacing w:before="20" w:after="20" w:line="220" w:lineRule="auto"/>
            </w:pPr>
            <w:r>
              <w:rPr>
                <w:sz w:val="16"/>
                <w:szCs w:val="16"/>
              </w:rPr>
              <w:t>Case definition based on inflammatory biomarkers may exclude a metabolically mediated lesion</w:t>
            </w:r>
          </w:p>
        </w:tc>
        <w:tc>
          <w:tcPr>
            <w:tcW w:w="1826" w:type="dxa"/>
            <w:tcMar>
              <w:top w:w="60" w:type="dxa"/>
              <w:left w:w="80" w:type="dxa"/>
              <w:bottom w:w="60" w:type="dxa"/>
              <w:right w:w="80" w:type="dxa"/>
            </w:tcMar>
          </w:tcPr>
          <w:p w14:paraId="13ECD17C" w14:textId="77777777" w:rsidR="0092069B" w:rsidRDefault="00000000">
            <w:pPr>
              <w:spacing w:before="20" w:after="20" w:line="220" w:lineRule="auto"/>
            </w:pPr>
            <w:r w:rsidRPr="00D81875">
              <w:rPr>
                <w:sz w:val="16"/>
                <w:szCs w:val="16"/>
                <w:lang w:val="nl-BE"/>
              </w:rPr>
              <w:t xml:space="preserve">Harper et al. (2018); Giallourou et al. </w:t>
            </w:r>
            <w:r>
              <w:rPr>
                <w:sz w:val="16"/>
                <w:szCs w:val="16"/>
              </w:rPr>
              <w:t>(2023)</w:t>
            </w:r>
          </w:p>
        </w:tc>
      </w:tr>
      <w:tr w:rsidR="0092069B" w14:paraId="0A49B053" w14:textId="77777777">
        <w:tc>
          <w:tcPr>
            <w:tcW w:w="1700" w:type="dxa"/>
            <w:tcMar>
              <w:top w:w="60" w:type="dxa"/>
              <w:left w:w="80" w:type="dxa"/>
              <w:bottom w:w="60" w:type="dxa"/>
              <w:right w:w="80" w:type="dxa"/>
            </w:tcMar>
          </w:tcPr>
          <w:p w14:paraId="045FA7DF" w14:textId="77777777" w:rsidR="0092069B" w:rsidRDefault="00000000">
            <w:pPr>
              <w:spacing w:before="20" w:after="20" w:line="220" w:lineRule="auto"/>
            </w:pPr>
            <w:r>
              <w:rPr>
                <w:sz w:val="16"/>
                <w:szCs w:val="16"/>
              </w:rPr>
              <w:t>Does helminth-induced immunoregulation protect against inflammatory disease</w:t>
            </w:r>
          </w:p>
        </w:tc>
        <w:tc>
          <w:tcPr>
            <w:tcW w:w="1800" w:type="dxa"/>
            <w:tcMar>
              <w:top w:w="60" w:type="dxa"/>
              <w:left w:w="80" w:type="dxa"/>
              <w:bottom w:w="60" w:type="dxa"/>
              <w:right w:w="80" w:type="dxa"/>
            </w:tcMar>
          </w:tcPr>
          <w:p w14:paraId="64B7D9AC" w14:textId="77777777" w:rsidR="0092069B" w:rsidRDefault="00000000">
            <w:pPr>
              <w:spacing w:before="20" w:after="20" w:line="220" w:lineRule="auto"/>
            </w:pPr>
            <w:r>
              <w:rPr>
                <w:sz w:val="16"/>
                <w:szCs w:val="16"/>
              </w:rPr>
              <w:t>Human immunological studies documenting regulatory cell expansion and suppressed effector responses</w:t>
            </w:r>
          </w:p>
        </w:tc>
        <w:tc>
          <w:tcPr>
            <w:tcW w:w="1800" w:type="dxa"/>
            <w:tcMar>
              <w:top w:w="60" w:type="dxa"/>
              <w:left w:w="80" w:type="dxa"/>
              <w:bottom w:w="60" w:type="dxa"/>
              <w:right w:w="80" w:type="dxa"/>
            </w:tcMar>
          </w:tcPr>
          <w:p w14:paraId="7C267625" w14:textId="77777777" w:rsidR="0092069B" w:rsidRDefault="00000000">
            <w:pPr>
              <w:spacing w:before="20" w:after="20" w:line="220" w:lineRule="auto"/>
            </w:pPr>
            <w:r>
              <w:rPr>
                <w:sz w:val="16"/>
                <w:szCs w:val="16"/>
              </w:rPr>
              <w:t>Randomised placebo-controlled trial of helminth ova in active Crohn's disease without demonstrated efficacy</w:t>
            </w:r>
          </w:p>
        </w:tc>
        <w:tc>
          <w:tcPr>
            <w:tcW w:w="1900" w:type="dxa"/>
            <w:tcMar>
              <w:top w:w="60" w:type="dxa"/>
              <w:left w:w="80" w:type="dxa"/>
              <w:bottom w:w="60" w:type="dxa"/>
              <w:right w:w="80" w:type="dxa"/>
            </w:tcMar>
          </w:tcPr>
          <w:p w14:paraId="6A8F6166" w14:textId="77777777" w:rsidR="0092069B" w:rsidRDefault="00000000">
            <w:pPr>
              <w:spacing w:before="20" w:after="20" w:line="220" w:lineRule="auto"/>
            </w:pPr>
            <w:r>
              <w:rPr>
                <w:sz w:val="16"/>
                <w:szCs w:val="16"/>
              </w:rPr>
              <w:t>Difference between lifelong natural exposure and short-term xenogeneic administration in established disease</w:t>
            </w:r>
          </w:p>
        </w:tc>
        <w:tc>
          <w:tcPr>
            <w:tcW w:w="1826" w:type="dxa"/>
            <w:tcMar>
              <w:top w:w="60" w:type="dxa"/>
              <w:left w:w="80" w:type="dxa"/>
              <w:bottom w:w="60" w:type="dxa"/>
              <w:right w:w="80" w:type="dxa"/>
            </w:tcMar>
          </w:tcPr>
          <w:p w14:paraId="19987EEB" w14:textId="77777777" w:rsidR="0092069B" w:rsidRDefault="00000000">
            <w:pPr>
              <w:spacing w:before="20" w:after="20" w:line="220" w:lineRule="auto"/>
            </w:pPr>
            <w:r>
              <w:rPr>
                <w:sz w:val="16"/>
                <w:szCs w:val="16"/>
              </w:rPr>
              <w:t xml:space="preserve">Maizels (2020); </w:t>
            </w:r>
            <w:proofErr w:type="spellStart"/>
            <w:r>
              <w:rPr>
                <w:sz w:val="16"/>
                <w:szCs w:val="16"/>
              </w:rPr>
              <w:t>Schölmerich</w:t>
            </w:r>
            <w:proofErr w:type="spellEnd"/>
            <w:r>
              <w:rPr>
                <w:sz w:val="16"/>
                <w:szCs w:val="16"/>
              </w:rPr>
              <w:t xml:space="preserve"> et al. (2017)</w:t>
            </w:r>
          </w:p>
        </w:tc>
      </w:tr>
      <w:tr w:rsidR="0092069B" w14:paraId="6A2AA61D" w14:textId="77777777">
        <w:tc>
          <w:tcPr>
            <w:tcW w:w="1700" w:type="dxa"/>
            <w:tcMar>
              <w:top w:w="60" w:type="dxa"/>
              <w:left w:w="80" w:type="dxa"/>
              <w:bottom w:w="60" w:type="dxa"/>
              <w:right w:w="80" w:type="dxa"/>
            </w:tcMar>
          </w:tcPr>
          <w:p w14:paraId="47FE2769" w14:textId="77777777" w:rsidR="0092069B" w:rsidRDefault="00000000">
            <w:pPr>
              <w:spacing w:before="20" w:after="20" w:line="220" w:lineRule="auto"/>
            </w:pPr>
            <w:r>
              <w:rPr>
                <w:sz w:val="16"/>
                <w:szCs w:val="16"/>
              </w:rPr>
              <w:t>Does helminth coinfection impair vaccine responsiveness</w:t>
            </w:r>
          </w:p>
        </w:tc>
        <w:tc>
          <w:tcPr>
            <w:tcW w:w="1800" w:type="dxa"/>
            <w:tcMar>
              <w:top w:w="60" w:type="dxa"/>
              <w:left w:w="80" w:type="dxa"/>
              <w:bottom w:w="60" w:type="dxa"/>
              <w:right w:w="80" w:type="dxa"/>
            </w:tcMar>
          </w:tcPr>
          <w:p w14:paraId="7C3AB704" w14:textId="77777777" w:rsidR="0092069B" w:rsidRDefault="00000000">
            <w:pPr>
              <w:spacing w:before="20" w:after="20" w:line="220" w:lineRule="auto"/>
            </w:pPr>
            <w:r>
              <w:rPr>
                <w:sz w:val="16"/>
                <w:szCs w:val="16"/>
              </w:rPr>
              <w:t>Synthesis reporting reduced vaccine effectiveness with regulatory mechanisms proposed</w:t>
            </w:r>
          </w:p>
        </w:tc>
        <w:tc>
          <w:tcPr>
            <w:tcW w:w="1800" w:type="dxa"/>
            <w:tcMar>
              <w:top w:w="60" w:type="dxa"/>
              <w:left w:w="80" w:type="dxa"/>
              <w:bottom w:w="60" w:type="dxa"/>
              <w:right w:w="80" w:type="dxa"/>
            </w:tcMar>
          </w:tcPr>
          <w:p w14:paraId="738C066B" w14:textId="77777777" w:rsidR="0092069B" w:rsidRDefault="00000000">
            <w:pPr>
              <w:spacing w:before="20" w:after="20" w:line="220" w:lineRule="auto"/>
            </w:pPr>
            <w:r>
              <w:rPr>
                <w:sz w:val="16"/>
                <w:szCs w:val="16"/>
              </w:rPr>
              <w:t>Direction and magnitude vary with pathogen site, timing and host age; interventional confirmation lacking</w:t>
            </w:r>
          </w:p>
        </w:tc>
        <w:tc>
          <w:tcPr>
            <w:tcW w:w="1900" w:type="dxa"/>
            <w:tcMar>
              <w:top w:w="60" w:type="dxa"/>
              <w:left w:w="80" w:type="dxa"/>
              <w:bottom w:w="60" w:type="dxa"/>
              <w:right w:w="80" w:type="dxa"/>
            </w:tcMar>
          </w:tcPr>
          <w:p w14:paraId="5DDF1B59" w14:textId="77777777" w:rsidR="0092069B" w:rsidRDefault="00000000">
            <w:pPr>
              <w:spacing w:before="20" w:after="20" w:line="220" w:lineRule="auto"/>
            </w:pPr>
            <w:r>
              <w:rPr>
                <w:sz w:val="16"/>
                <w:szCs w:val="16"/>
              </w:rPr>
              <w:t>Heterogeneity of coinfection context; absence of trials testing pre-vaccination deworming</w:t>
            </w:r>
          </w:p>
        </w:tc>
        <w:tc>
          <w:tcPr>
            <w:tcW w:w="1826" w:type="dxa"/>
            <w:tcMar>
              <w:top w:w="60" w:type="dxa"/>
              <w:left w:w="80" w:type="dxa"/>
              <w:bottom w:w="60" w:type="dxa"/>
              <w:right w:w="80" w:type="dxa"/>
            </w:tcMar>
          </w:tcPr>
          <w:p w14:paraId="53291580" w14:textId="77777777" w:rsidR="0092069B" w:rsidRDefault="00000000">
            <w:pPr>
              <w:spacing w:before="20" w:after="20" w:line="220" w:lineRule="auto"/>
            </w:pPr>
            <w:r w:rsidRPr="00D81875">
              <w:rPr>
                <w:sz w:val="16"/>
                <w:szCs w:val="16"/>
                <w:lang w:val="nl-BE"/>
              </w:rPr>
              <w:t xml:space="preserve">García-Bernalt Diego et al. </w:t>
            </w:r>
            <w:r>
              <w:rPr>
                <w:sz w:val="16"/>
                <w:szCs w:val="16"/>
              </w:rPr>
              <w:t>(2025); Nembot Fogang et al. (2025)</w:t>
            </w:r>
          </w:p>
        </w:tc>
      </w:tr>
      <w:tr w:rsidR="0092069B" w14:paraId="3D60445F" w14:textId="77777777">
        <w:tc>
          <w:tcPr>
            <w:tcW w:w="1700" w:type="dxa"/>
            <w:tcMar>
              <w:top w:w="60" w:type="dxa"/>
              <w:left w:w="80" w:type="dxa"/>
              <w:bottom w:w="60" w:type="dxa"/>
              <w:right w:w="80" w:type="dxa"/>
            </w:tcMar>
          </w:tcPr>
          <w:p w14:paraId="0133A5D8" w14:textId="77777777" w:rsidR="0092069B" w:rsidRDefault="00000000">
            <w:pPr>
              <w:spacing w:before="20" w:after="20" w:line="220" w:lineRule="auto"/>
            </w:pPr>
            <w:r>
              <w:rPr>
                <w:sz w:val="16"/>
                <w:szCs w:val="16"/>
              </w:rPr>
              <w:t xml:space="preserve">Is </w:t>
            </w:r>
            <w:r>
              <w:rPr>
                <w:i/>
                <w:iCs/>
                <w:sz w:val="16"/>
                <w:szCs w:val="16"/>
              </w:rPr>
              <w:t>Blastocystis</w:t>
            </w:r>
            <w:r>
              <w:rPr>
                <w:sz w:val="16"/>
                <w:szCs w:val="16"/>
              </w:rPr>
              <w:t xml:space="preserve"> carriage clinically significant</w:t>
            </w:r>
          </w:p>
        </w:tc>
        <w:tc>
          <w:tcPr>
            <w:tcW w:w="1800" w:type="dxa"/>
            <w:tcMar>
              <w:top w:w="60" w:type="dxa"/>
              <w:left w:w="80" w:type="dxa"/>
              <w:bottom w:w="60" w:type="dxa"/>
              <w:right w:w="80" w:type="dxa"/>
            </w:tcMar>
          </w:tcPr>
          <w:p w14:paraId="356DF3E3" w14:textId="77777777" w:rsidR="0092069B" w:rsidRDefault="00000000">
            <w:pPr>
              <w:spacing w:before="20" w:after="20" w:line="220" w:lineRule="auto"/>
            </w:pPr>
            <w:r>
              <w:rPr>
                <w:sz w:val="16"/>
                <w:szCs w:val="16"/>
              </w:rPr>
              <w:t>Subtype-specific symptom associations and altered host metabolism</w:t>
            </w:r>
          </w:p>
        </w:tc>
        <w:tc>
          <w:tcPr>
            <w:tcW w:w="1800" w:type="dxa"/>
            <w:tcMar>
              <w:top w:w="60" w:type="dxa"/>
              <w:left w:w="80" w:type="dxa"/>
              <w:bottom w:w="60" w:type="dxa"/>
              <w:right w:w="80" w:type="dxa"/>
            </w:tcMar>
          </w:tcPr>
          <w:p w14:paraId="56320995" w14:textId="77777777" w:rsidR="0092069B" w:rsidRDefault="00000000">
            <w:pPr>
              <w:spacing w:before="20" w:after="20" w:line="220" w:lineRule="auto"/>
            </w:pPr>
            <w:r>
              <w:rPr>
                <w:sz w:val="16"/>
                <w:szCs w:val="16"/>
              </w:rPr>
              <w:t>Carriage associated with greater bacterial diversity and with profiles not resembling inflamed states</w:t>
            </w:r>
          </w:p>
        </w:tc>
        <w:tc>
          <w:tcPr>
            <w:tcW w:w="1900" w:type="dxa"/>
            <w:tcMar>
              <w:top w:w="60" w:type="dxa"/>
              <w:left w:w="80" w:type="dxa"/>
              <w:bottom w:w="60" w:type="dxa"/>
              <w:right w:w="80" w:type="dxa"/>
            </w:tcMar>
          </w:tcPr>
          <w:p w14:paraId="58A66E52" w14:textId="77777777" w:rsidR="0092069B" w:rsidRDefault="00000000">
            <w:pPr>
              <w:spacing w:before="20" w:after="20" w:line="220" w:lineRule="auto"/>
            </w:pPr>
            <w:r>
              <w:rPr>
                <w:sz w:val="16"/>
                <w:szCs w:val="16"/>
              </w:rPr>
              <w:t>Causal direction unresolved; detection outpacing criteria for attributing disease</w:t>
            </w:r>
          </w:p>
        </w:tc>
        <w:tc>
          <w:tcPr>
            <w:tcW w:w="1826" w:type="dxa"/>
            <w:tcMar>
              <w:top w:w="60" w:type="dxa"/>
              <w:left w:w="80" w:type="dxa"/>
              <w:bottom w:w="60" w:type="dxa"/>
              <w:right w:w="80" w:type="dxa"/>
            </w:tcMar>
          </w:tcPr>
          <w:p w14:paraId="03E32DCA" w14:textId="77777777" w:rsidR="0092069B" w:rsidRDefault="00000000">
            <w:pPr>
              <w:spacing w:before="20" w:after="20" w:line="220" w:lineRule="auto"/>
            </w:pPr>
            <w:r>
              <w:rPr>
                <w:sz w:val="16"/>
                <w:szCs w:val="16"/>
              </w:rPr>
              <w:t>Deng and Tan (2025); Antonetti et al. (2024)</w:t>
            </w:r>
          </w:p>
        </w:tc>
      </w:tr>
    </w:tbl>
    <w:p w14:paraId="312BCDE0" w14:textId="77777777" w:rsidR="0092069B" w:rsidRDefault="00000000">
      <w:pPr>
        <w:spacing w:before="100" w:after="260" w:line="260" w:lineRule="auto"/>
      </w:pPr>
      <w:r>
        <w:rPr>
          <w:sz w:val="18"/>
          <w:szCs w:val="18"/>
        </w:rPr>
        <w:t>Table note: The table presents the principal contested questions identified in the reviewed literature and does not constitute an exhaustive account of disagreement in the field.</w:t>
      </w:r>
    </w:p>
    <w:p w14:paraId="7885CA49" w14:textId="77777777" w:rsidR="0092069B" w:rsidRDefault="00000000">
      <w:pPr>
        <w:pStyle w:val="Heading1"/>
        <w:spacing w:before="360" w:after="160"/>
      </w:pPr>
      <w:r>
        <w:rPr>
          <w:b/>
          <w:bCs/>
          <w:color w:val="000000"/>
          <w:sz w:val="26"/>
          <w:szCs w:val="26"/>
        </w:rPr>
        <w:t>6. Prevention and Control</w:t>
      </w:r>
    </w:p>
    <w:p w14:paraId="3FAE5066" w14:textId="77777777" w:rsidR="0092069B" w:rsidRDefault="00000000">
      <w:pPr>
        <w:spacing w:after="160" w:line="320" w:lineRule="auto"/>
        <w:jc w:val="both"/>
      </w:pPr>
      <w:r>
        <w:t>Prevention of intestinal parasitic infection has been organised around a single dominant technology for more than two decades. Evaluating it properly means asking not whether preventive chemotherapy works, which is not seriously in doubt for its stated purpose, but whether the purpose it serves matches the mechanisms that generate morbidity and whether the strategy can reach the targets now set for it.</w:t>
      </w:r>
    </w:p>
    <w:p w14:paraId="1D4F38E4" w14:textId="77777777" w:rsidR="0092069B" w:rsidRDefault="00000000">
      <w:pPr>
        <w:pStyle w:val="Heading2"/>
        <w:spacing w:before="260" w:after="120"/>
      </w:pPr>
      <w:r>
        <w:rPr>
          <w:b/>
          <w:bCs/>
          <w:color w:val="000000"/>
          <w:sz w:val="23"/>
          <w:szCs w:val="23"/>
        </w:rPr>
        <w:t>6.1 Preventive chemotherapy and the limits of morbidity control</w:t>
      </w:r>
    </w:p>
    <w:p w14:paraId="03464285" w14:textId="77777777" w:rsidR="0092069B" w:rsidRDefault="00000000">
      <w:pPr>
        <w:spacing w:after="160" w:line="320" w:lineRule="auto"/>
        <w:jc w:val="both"/>
      </w:pPr>
      <w:r>
        <w:t>Periodic administration of albendazole or mebendazole to school-aged and preschool-aged children was designed to reduce the intensity of soil-transmitted helminth infection below thresholds associated with morbidity, and treatment coverage expanded substantially under this approach (Montresor et al., 2020). The strategy has three structural features that constrain what it can achieve. It targets children while leaving the adult reservoir untreated, which limits its effect on transmission. It uses drugs that have no activity against enteric protozoa, which are the numerically dominant intestinal parasites in many populations. It measures success by prevalence and intensity of infection rather than by the clinical outcomes it was adopted to prevent, so that programmatic success and morbidity reduction are inferred to be equivalent rather than demonstrated to be so.</w:t>
      </w:r>
    </w:p>
    <w:p w14:paraId="3972AAEE" w14:textId="77777777" w:rsidR="0092069B" w:rsidRDefault="00000000">
      <w:pPr>
        <w:spacing w:after="160" w:line="320" w:lineRule="auto"/>
        <w:jc w:val="both"/>
      </w:pPr>
      <w:r>
        <w:t>The targets now set for the field are more demanding than morbidity control. The current global strategy for neglected tropical diseases seeks a large reduction in the number of people requiring treatment and in disability-adjusted life years, together with elimination of soil-transmitted helminthiasis as a public health problem in most endemic countries (</w:t>
      </w:r>
      <w:proofErr w:type="spellStart"/>
      <w:r>
        <w:t>Casulli</w:t>
      </w:r>
      <w:proofErr w:type="spellEnd"/>
      <w:r>
        <w:t xml:space="preserve">, 2021; World Health Organization, 2021). Reaching </w:t>
      </w:r>
      <w:r>
        <w:lastRenderedPageBreak/>
        <w:t>such targets by school-based treatment alone would require that treating children reduces community transmission sufficiently to prevent recrudescence, an assumption that has now been tested.</w:t>
      </w:r>
    </w:p>
    <w:p w14:paraId="7F14324B" w14:textId="77777777" w:rsidR="0092069B" w:rsidRDefault="00000000">
      <w:pPr>
        <w:pStyle w:val="Heading2"/>
        <w:spacing w:before="260" w:after="120"/>
      </w:pPr>
      <w:r>
        <w:rPr>
          <w:b/>
          <w:bCs/>
          <w:color w:val="000000"/>
          <w:sz w:val="23"/>
          <w:szCs w:val="23"/>
        </w:rPr>
        <w:t>6.2 Community-wide treatment and the feasibility of interrupting transmission</w:t>
      </w:r>
    </w:p>
    <w:p w14:paraId="44DA632D" w14:textId="77777777" w:rsidR="0092069B" w:rsidRDefault="00000000">
      <w:pPr>
        <w:spacing w:after="160" w:line="320" w:lineRule="auto"/>
        <w:jc w:val="both"/>
      </w:pPr>
      <w:r>
        <w:t>The DeWorm3 trial provides the most direct evidence available on this question. In an open-label cluster-randomised trial across 120 clusters in Benin, India and Malawi, involving 357,716 individuals, biannual community-wide mass drug administration of albendazole delivered door to door over three years was compared with standard school-based deworming, with individual-level prevalence and cluster-level transmission interruption of the predominant species assessed by quantitative polymerase chain reaction at twenty-four months (</w:t>
      </w:r>
      <w:proofErr w:type="spellStart"/>
      <w:r>
        <w:t>Ajjampur</w:t>
      </w:r>
      <w:proofErr w:type="spellEnd"/>
      <w:r>
        <w:t xml:space="preserve"> et al., 2025). Community-wide treatment produced significantly lower prevalence of </w:t>
      </w:r>
      <w:proofErr w:type="spellStart"/>
      <w:r>
        <w:rPr>
          <w:i/>
          <w:iCs/>
        </w:rPr>
        <w:t>Necator</w:t>
      </w:r>
      <w:proofErr w:type="spellEnd"/>
      <w:r>
        <w:rPr>
          <w:i/>
          <w:iCs/>
        </w:rPr>
        <w:t xml:space="preserve"> americanus</w:t>
      </w:r>
      <w:r>
        <w:t xml:space="preserve"> than school-based deworming in all three countries, confirming that extending treatment beyond children reduces infection in the population. Transmission interruption, the more demanding outcome, varied sharply by setting: it was achieved in 55% of intervention clusters in Benin, in 5% in India and in none in Malawi. The authors' interpretation, that interruption may be achievable in some settings but is not programmatically feasible within standard timeframes while community-wide treatment nonetheless offers advantages for equity and health outcomes, is a fair reading of these results.</w:t>
      </w:r>
    </w:p>
    <w:p w14:paraId="091B9FF9" w14:textId="77777777" w:rsidR="0092069B" w:rsidRDefault="00000000">
      <w:pPr>
        <w:spacing w:after="160" w:line="320" w:lineRule="auto"/>
        <w:jc w:val="both"/>
      </w:pPr>
      <w:r>
        <w:t>The importance of this trial lies less in the headline result than in what the between-country variation implies. Identical intervention delivery produced radically different transmission outcomes, which means that the binding constraint is ecological, environmental or demographic rather than pharmacological. Baseline analyses from the Indian study site had already documented that hookworm infection in that community was strongly patterned by age, occupation and environmental exposure, with substantial adult burden (</w:t>
      </w:r>
      <w:proofErr w:type="spellStart"/>
      <w:r>
        <w:t>Ajjampur</w:t>
      </w:r>
      <w:proofErr w:type="spellEnd"/>
      <w:r>
        <w:t xml:space="preserve"> et al., 2021). Where the adult reservoir is large, where environmental contamination is persistent, and where reinfection pressure is high, treating everyone twice a year for three years does not empty the environment. This is a finding about transmission ecology that no amount of improved drug efficacy would alter.</w:t>
      </w:r>
    </w:p>
    <w:p w14:paraId="03D4D925" w14:textId="77777777" w:rsidR="0092069B" w:rsidRDefault="00000000">
      <w:pPr>
        <w:pStyle w:val="Heading2"/>
        <w:spacing w:before="260" w:after="120"/>
      </w:pPr>
      <w:r>
        <w:rPr>
          <w:b/>
          <w:bCs/>
          <w:color w:val="000000"/>
          <w:sz w:val="23"/>
          <w:szCs w:val="23"/>
        </w:rPr>
        <w:t>6.3 Drug efficacy, combination therapy and the resistance question</w:t>
      </w:r>
    </w:p>
    <w:p w14:paraId="179B1113" w14:textId="77777777" w:rsidR="0092069B" w:rsidRDefault="00000000">
      <w:pPr>
        <w:spacing w:after="160" w:line="320" w:lineRule="auto"/>
        <w:jc w:val="both"/>
      </w:pPr>
      <w:r>
        <w:t xml:space="preserve">The pharmacological foundation of preventive chemotherapy is narrower than its scale suggests. Systematic review and meta-analysis of albendazole and mebendazole efficacy in preschool-aged and school-aged children found satisfactory efficacy against </w:t>
      </w:r>
      <w:r>
        <w:rPr>
          <w:i/>
          <w:iCs/>
        </w:rPr>
        <w:t>A. lumbricoides</w:t>
      </w:r>
      <w:r>
        <w:t xml:space="preserve"> but considerably more variable performance against </w:t>
      </w:r>
      <w:r>
        <w:rPr>
          <w:i/>
          <w:iCs/>
        </w:rPr>
        <w:t xml:space="preserve">T. </w:t>
      </w:r>
      <w:proofErr w:type="spellStart"/>
      <w:r>
        <w:rPr>
          <w:i/>
          <w:iCs/>
        </w:rPr>
        <w:t>trichiura</w:t>
      </w:r>
      <w:proofErr w:type="spellEnd"/>
      <w:r>
        <w:t xml:space="preserve"> and hookworm, with efficacy differing between the two drugs and between settings (Bekele et al., 2024). Single-dose benzimidazole therapy has never performed well against </w:t>
      </w:r>
      <w:r>
        <w:rPr>
          <w:i/>
          <w:iCs/>
        </w:rPr>
        <w:t xml:space="preserve">T. </w:t>
      </w:r>
      <w:proofErr w:type="spellStart"/>
      <w:r>
        <w:rPr>
          <w:i/>
          <w:iCs/>
        </w:rPr>
        <w:t>trichiura</w:t>
      </w:r>
      <w:proofErr w:type="spellEnd"/>
      <w:r>
        <w:t>, and this has been known for long enough that the persistence of monotherapy in programmes reflects logistical and cost considerations rather than a judgement about efficacy.</w:t>
      </w:r>
    </w:p>
    <w:p w14:paraId="32EAB4F5" w14:textId="77777777" w:rsidR="0092069B" w:rsidRDefault="00000000">
      <w:pPr>
        <w:spacing w:after="160" w:line="320" w:lineRule="auto"/>
        <w:jc w:val="both"/>
      </w:pPr>
      <w:r>
        <w:t xml:space="preserve">Combination and novel therapy have accordingly become the principal research direction. A double-blind phase 3 trial across three countries found co-administered ivermectin and albendazole superior to albendazole alone against </w:t>
      </w:r>
      <w:r>
        <w:rPr>
          <w:i/>
          <w:iCs/>
        </w:rPr>
        <w:t xml:space="preserve">T. </w:t>
      </w:r>
      <w:proofErr w:type="spellStart"/>
      <w:r>
        <w:rPr>
          <w:i/>
          <w:iCs/>
        </w:rPr>
        <w:t>trichiura</w:t>
      </w:r>
      <w:proofErr w:type="spellEnd"/>
      <w:r>
        <w:t xml:space="preserve"> in school-aged children and adults (</w:t>
      </w:r>
      <w:proofErr w:type="spellStart"/>
      <w:r>
        <w:t>Hürlimann</w:t>
      </w:r>
      <w:proofErr w:type="spellEnd"/>
      <w:r>
        <w:t xml:space="preserve"> et al., 2022), and a subsequent randomised phase 2/3 trial of a fixed-dose albendazole-ivermectin co-formulation extended this evidence to a product suitable for programmatic deployment (</w:t>
      </w:r>
      <w:proofErr w:type="spellStart"/>
      <w:r>
        <w:t>Krolewiecki</w:t>
      </w:r>
      <w:proofErr w:type="spellEnd"/>
      <w:r>
        <w:t xml:space="preserve"> et al., 2025). </w:t>
      </w:r>
      <w:proofErr w:type="spellStart"/>
      <w:r>
        <w:lastRenderedPageBreak/>
        <w:t>Emodepside</w:t>
      </w:r>
      <w:proofErr w:type="spellEnd"/>
      <w:r>
        <w:t xml:space="preserve">, developed from veterinary use, has shown activity against both </w:t>
      </w:r>
      <w:r>
        <w:rPr>
          <w:i/>
          <w:iCs/>
        </w:rPr>
        <w:t xml:space="preserve">T. </w:t>
      </w:r>
      <w:proofErr w:type="spellStart"/>
      <w:r>
        <w:rPr>
          <w:i/>
          <w:iCs/>
        </w:rPr>
        <w:t>trichiura</w:t>
      </w:r>
      <w:proofErr w:type="spellEnd"/>
      <w:r>
        <w:t xml:space="preserve"> and hookworm in a randomised trial (</w:t>
      </w:r>
      <w:proofErr w:type="spellStart"/>
      <w:r>
        <w:t>Mrimi</w:t>
      </w:r>
      <w:proofErr w:type="spellEnd"/>
      <w:r>
        <w:t xml:space="preserve"> et al., 2023) and superiority to albendazole against hookworm infection in a phase 2b trial in Tanzania (Taylor et al., 2024). These represent genuine progress against the weakest point in the current pharmacopoeia.</w:t>
      </w:r>
    </w:p>
    <w:p w14:paraId="712CF78A" w14:textId="77777777" w:rsidR="0092069B" w:rsidRDefault="00000000">
      <w:pPr>
        <w:spacing w:after="160" w:line="320" w:lineRule="auto"/>
        <w:jc w:val="both"/>
      </w:pPr>
      <w:r>
        <w:t xml:space="preserve">Whether benzimidazole resistance is emerging in human helminths remains unresolved, and the evidence is frequently overinterpreted in both directions. Systematic review of resistance-associated mutations in the beta-tubulin gene of hookworms identified seven single-nucleotide polymorphism-induced amino acid substitutions at four loci across studies from North America, South America, Africa and Oceania, but found strong evidence of a resistance mechanism only in the animal species </w:t>
      </w:r>
      <w:r>
        <w:rPr>
          <w:i/>
          <w:iCs/>
        </w:rPr>
        <w:t>Ancylostoma caninum</w:t>
      </w:r>
      <w:r>
        <w:t xml:space="preserve"> and </w:t>
      </w:r>
      <w:r>
        <w:rPr>
          <w:i/>
          <w:iCs/>
        </w:rPr>
        <w:t xml:space="preserve">A. </w:t>
      </w:r>
      <w:proofErr w:type="spellStart"/>
      <w:r>
        <w:rPr>
          <w:i/>
          <w:iCs/>
        </w:rPr>
        <w:t>ceylanicum</w:t>
      </w:r>
      <w:proofErr w:type="spellEnd"/>
      <w:r>
        <w:t>, with evidence for the principal human hookworm species remaining insufficient; no resistance mutations were reported from Asia in the studies reviewed (Tenorio et al., 2024). Reduced efficacy observed in the field is therefore not yet attributable to genetic resistance, and may reflect drug quality, dosing, host factors, reinfection or baseline intensity. The appropriate conclusion is that surveillance is warranted and that alarm is premature, and that the two positions frequently taken in this debate are both stronger than the data support.</w:t>
      </w:r>
    </w:p>
    <w:p w14:paraId="65214F7C" w14:textId="77777777" w:rsidR="0092069B" w:rsidRDefault="00000000">
      <w:pPr>
        <w:pStyle w:val="Heading2"/>
        <w:spacing w:before="260" w:after="120"/>
      </w:pPr>
      <w:r>
        <w:rPr>
          <w:b/>
          <w:bCs/>
          <w:color w:val="000000"/>
          <w:sz w:val="23"/>
          <w:szCs w:val="23"/>
        </w:rPr>
        <w:t>6.4 Water, sanitation and hygiene</w:t>
      </w:r>
    </w:p>
    <w:p w14:paraId="49F326AE" w14:textId="77777777" w:rsidR="0092069B" w:rsidRDefault="00000000">
      <w:pPr>
        <w:spacing w:after="160" w:line="320" w:lineRule="auto"/>
        <w:jc w:val="both"/>
      </w:pPr>
      <w:r>
        <w:t>The environmental route is the only preventive approach that addresses transmission rather than infection, and it is the only one applicable to both helminths and protozoa. Systematic review and meta-analysis of observational evidence found that use of treated water was associated with lower odds of soil-transmitted helminth infection, that access to sanitation was associated with reduced likelihood of infection with any soil-transmitted helminth, and that shoe-wearing was strongly protective against hookworm; the authors noted that most contributing evidence was observational and that the overall quality of evidence was low (Strunz et al., 2014). The magnitude of these associations is substantial and their direction is consistent with mechanism, but observational designs in this domain are exposed to confounding by household wealth, education and behaviour that adjustment cannot fully remove.</w:t>
      </w:r>
    </w:p>
    <w:p w14:paraId="101FCADD" w14:textId="77777777" w:rsidR="0092069B" w:rsidRDefault="00000000">
      <w:pPr>
        <w:spacing w:after="160" w:line="320" w:lineRule="auto"/>
        <w:jc w:val="both"/>
      </w:pPr>
      <w:r>
        <w:t>The trial evidence is more sobering. Three large randomised trials of water, sanitation and hygiene interventions produced minimal effects on linear growth and inconsistent effects on diarrhoea. The investigative teams concluded that the interventions had not achieved sufficient reduction in overall enteric pathogen exposure, that transformative rather than incremental improvement in the household environment may be required, and that these results should not be read as evidence that environmental transmission is unimportant (Pickering et al., 2019). Independent consensus appraisal reached compatible conclusions while emphasising the policy risk that these findings would be used to justify disinvestment (Cumming et al., 2019). Evidence from India that coordinated national sanitation and deworming initiatives were followed by measurable decline in parasitic prevalence, with a greater effect on helminths than on protozoa, is consistent with the proposition that environmental improvement operates at a scale and over a timescale that individual household trials are poorly designed to detect (Sharma et al., 2023).</w:t>
      </w:r>
    </w:p>
    <w:p w14:paraId="2EB6381C" w14:textId="77777777" w:rsidR="0092069B" w:rsidRDefault="00000000">
      <w:pPr>
        <w:pStyle w:val="Heading2"/>
        <w:spacing w:before="260" w:after="120"/>
      </w:pPr>
      <w:r>
        <w:rPr>
          <w:b/>
          <w:bCs/>
          <w:color w:val="000000"/>
          <w:sz w:val="23"/>
          <w:szCs w:val="23"/>
        </w:rPr>
        <w:t>6.5 Diagnosis as a preventive technology</w:t>
      </w:r>
    </w:p>
    <w:p w14:paraId="1F934A03" w14:textId="77777777" w:rsidR="0092069B" w:rsidRDefault="00000000">
      <w:pPr>
        <w:spacing w:after="160" w:line="320" w:lineRule="auto"/>
        <w:jc w:val="both"/>
      </w:pPr>
      <w:r>
        <w:lastRenderedPageBreak/>
        <w:t xml:space="preserve">Diagnostic performance is usually treated as a technical matter and is in fact a determinant of programmatic decision-making. Kato-Katz faecal smear microscopy, the standard method for soil-transmitted helminth surveys, loses sensitivity as infection intensity falls, which is precisely the condition that successful programmes produce. Direct comparison in settings that had received multiple rounds of mass drug administration found that the increased sensitivity of quantitative polymerase chain reaction was necessary for accurate prevalence assessment, with microscopy substantially underestimating prevalence at low intensity (Dunn et al., 2020). Comparison of multi-parallel quantitative polymerase chain reaction with double-slide Kato-Katz in rural Bangladesh found substantially higher detection of hookworm and </w:t>
      </w:r>
      <w:r>
        <w:rPr>
          <w:i/>
          <w:iCs/>
        </w:rPr>
        <w:t xml:space="preserve">T. </w:t>
      </w:r>
      <w:proofErr w:type="spellStart"/>
      <w:r>
        <w:rPr>
          <w:i/>
          <w:iCs/>
        </w:rPr>
        <w:t>trichiura</w:t>
      </w:r>
      <w:proofErr w:type="spellEnd"/>
      <w:r>
        <w:t xml:space="preserve"> by molecular methods, and also identified false-positive microscopic results for </w:t>
      </w:r>
      <w:r>
        <w:rPr>
          <w:i/>
          <w:iCs/>
        </w:rPr>
        <w:t>A. lumbricoides</w:t>
      </w:r>
      <w:r>
        <w:t>, indicating that the errors are not unidirectional (Benjamin-Chung et al., 2020).</w:t>
      </w:r>
    </w:p>
    <w:p w14:paraId="708B25A3" w14:textId="77777777" w:rsidR="0092069B" w:rsidRDefault="00000000">
      <w:pPr>
        <w:spacing w:after="160" w:line="320" w:lineRule="auto"/>
        <w:jc w:val="both"/>
      </w:pPr>
      <w:r>
        <w:t>The programmatic consequence is direct. A programme that uses microscopy to decide whether to stop treatment will conclude that transmission has been interrupted at a point where molecular methods would show that it has not, and will stop too early. The DeWorm3 trial's use of quantitative polymerase chain reaction for its primary outcome is significant partly for this reason: the transmission interruption rates it reported are lower than a microscopy-based assessment would have produced, and are more likely to be correct (</w:t>
      </w:r>
      <w:proofErr w:type="spellStart"/>
      <w:r>
        <w:t>Ajjampur</w:t>
      </w:r>
      <w:proofErr w:type="spellEnd"/>
      <w:r>
        <w:t xml:space="preserve"> et al., 2025). Diagnosis, on this reading, is not an adjunct to prevention but a component of it.</w:t>
      </w:r>
    </w:p>
    <w:p w14:paraId="252FC22C" w14:textId="77777777" w:rsidR="0092069B" w:rsidRDefault="00000000">
      <w:pPr>
        <w:pStyle w:val="Heading2"/>
        <w:spacing w:before="260" w:after="120"/>
      </w:pPr>
      <w:r>
        <w:rPr>
          <w:b/>
          <w:bCs/>
          <w:color w:val="000000"/>
          <w:sz w:val="23"/>
          <w:szCs w:val="23"/>
        </w:rPr>
        <w:t>6.6 Vaccines and the long horizon</w:t>
      </w:r>
    </w:p>
    <w:p w14:paraId="3438D173" w14:textId="5A82DE4E" w:rsidR="0092069B" w:rsidRDefault="00000000">
      <w:pPr>
        <w:spacing w:after="160" w:line="320" w:lineRule="auto"/>
        <w:jc w:val="both"/>
      </w:pPr>
      <w:r>
        <w:t>Vaccination against intestinal helminths would address the reinfection problem that chemotherapy cannot solve, and hookworm has been the principal target. A randomised, controlled, double-blind phase 1 dose-escalation trial in Gabonese adults evaluated co-administration of the candidate antigens Na-GST-1 and Na-APR-1, establishing safety and immunogenicity in an exposed adult population (</w:t>
      </w:r>
      <w:proofErr w:type="spellStart"/>
      <w:r w:rsidR="00D81875" w:rsidRPr="00D81875">
        <w:t>Adegnika</w:t>
      </w:r>
      <w:proofErr w:type="spellEnd"/>
      <w:r>
        <w:t xml:space="preserve"> et al., 2021). Progress has been incremental and the field remains at an early clinical stage, which is unsurprising given the immunological difficulty: natural infection generates only partial, age-dependent immunity, so that the vaccine cannot simply recapitulate the natural response and there is no established human correlate of protection to guide development (Colombo &amp; </w:t>
      </w:r>
      <w:proofErr w:type="spellStart"/>
      <w:r>
        <w:t>Grencis</w:t>
      </w:r>
      <w:proofErr w:type="spellEnd"/>
      <w:r>
        <w:t>, 2020). For the enteric protozoa the position is weaker still, with no candidate approaching comparable clinical evaluation despite the burden attributable to cryptosporidiosis (Khalil et al., 2018; Lu et al., 2025).</w:t>
      </w:r>
    </w:p>
    <w:p w14:paraId="02C7FCDA" w14:textId="77777777" w:rsidR="0092069B" w:rsidRDefault="00000000">
      <w:pPr>
        <w:pStyle w:val="Heading2"/>
        <w:spacing w:before="260" w:after="120"/>
      </w:pPr>
      <w:r>
        <w:rPr>
          <w:b/>
          <w:bCs/>
          <w:color w:val="000000"/>
          <w:sz w:val="23"/>
          <w:szCs w:val="23"/>
        </w:rPr>
        <w:t>6.7 The protozoal gap in prevention</w:t>
      </w:r>
    </w:p>
    <w:p w14:paraId="4D3BE307" w14:textId="77777777" w:rsidR="0092069B" w:rsidRDefault="00000000">
      <w:pPr>
        <w:spacing w:after="160" w:line="320" w:lineRule="auto"/>
        <w:jc w:val="both"/>
      </w:pPr>
      <w:r>
        <w:t xml:space="preserve">The most consequential asymmetry in current prevention is that the dominant intervention has no effect on the organisms that are most frequently detected. Enteric protozoa are unaffected by benzimidazoles, are transmitted by routes that mass drug administration does not interrupt, and require treatment decisions at the individual level for which the diagnostic infrastructure is often absent. Where treatment is indicated it is not always straightforward: systematic review of nitroimidazole-refractory giardiasis found that quinacrine monotherapy achieved a clinical cure rate of 88.8% across 179 patients while retreatment with an alternative nitroimidazole alone was ineffective, and that combination of a nitroimidazole with albendazole achieved 66.9% (Bourque et al., 2022). Refractory infection is thus a recognised and increasing clinical problem with a partial evidence base and limited drug availability. </w:t>
      </w:r>
      <w:r>
        <w:lastRenderedPageBreak/>
        <w:t>For cryptosporidiosis the therapeutic gap is wider (</w:t>
      </w:r>
      <w:proofErr w:type="spellStart"/>
      <w:r>
        <w:t>Caravedo</w:t>
      </w:r>
      <w:proofErr w:type="spellEnd"/>
      <w:r>
        <w:t xml:space="preserve"> &amp; White, 2023). Prevention of protozoal infection depends almost entirely on water quality, food safety and hygiene, which returns the argument to the environmental interventions whose trial evidence is equivocal.</w:t>
      </w:r>
    </w:p>
    <w:p w14:paraId="0D81675A" w14:textId="77777777" w:rsidR="0092069B" w:rsidRDefault="00000000">
      <w:pPr>
        <w:pStyle w:val="Heading2"/>
        <w:spacing w:before="260" w:after="120"/>
      </w:pPr>
      <w:r>
        <w:rPr>
          <w:b/>
          <w:bCs/>
          <w:color w:val="000000"/>
          <w:sz w:val="23"/>
          <w:szCs w:val="23"/>
        </w:rPr>
        <w:t>6.8 Ecological change and a moving target</w:t>
      </w:r>
    </w:p>
    <w:p w14:paraId="3866B014" w14:textId="77777777" w:rsidR="0092069B" w:rsidRDefault="00000000">
      <w:pPr>
        <w:spacing w:after="160" w:line="320" w:lineRule="auto"/>
        <w:jc w:val="both"/>
      </w:pPr>
      <w:r>
        <w:t>Preventive planning assumes a stable distribution of transmission, and that assumption is questionable. Modelling that incorporates the ecological requirements of individual helminth species rather than treating helminths as a homogeneous group indicates that the direction and magnitude of climate-driven change in infection hazard depend on the species-specific thermal and moisture tolerances of the free-living stages, so that warming will increase the hazard in some settings and reduce it in others (</w:t>
      </w:r>
      <w:proofErr w:type="spellStart"/>
      <w:r>
        <w:t>Vanalli</w:t>
      </w:r>
      <w:proofErr w:type="spellEnd"/>
      <w:r>
        <w:t xml:space="preserve"> et al., 2024). Aggregate projections that assume uniform expansion of transmission are therefore unreliable. The practical implication is that surveillance systems designed around historical endemicity maps may misallocate effort, and that species-resolved rather than group-level projection is required.</w:t>
      </w:r>
    </w:p>
    <w:p w14:paraId="567DB493" w14:textId="77777777" w:rsidR="0092069B" w:rsidRDefault="00000000">
      <w:pPr>
        <w:spacing w:after="160" w:line="320" w:lineRule="auto"/>
        <w:jc w:val="both"/>
      </w:pPr>
      <w:r>
        <w:t>Table 4 evaluates the principal preventive strategies against the transmission or morbidity mechanism each is intended to interrupt. Two patterns are visible. Interventions with the strongest evidence of effect on infection status have the weakest evidence of effect on clinical outcome, and interventions that act on transmission have the weakest evidence overall because they are the hardest to trial. The strategies are also unevenly distributed across the parasite groups, with the entire protozoal burden dependent on the intervention class with the least secure trial evidence.</w:t>
      </w:r>
    </w:p>
    <w:p w14:paraId="2F8545EB" w14:textId="77777777" w:rsidR="0092069B" w:rsidRDefault="00000000">
      <w:pPr>
        <w:spacing w:before="200" w:after="100" w:line="280" w:lineRule="auto"/>
      </w:pPr>
      <w:r>
        <w:rPr>
          <w:b/>
          <w:bCs/>
          <w:sz w:val="20"/>
          <w:szCs w:val="20"/>
        </w:rPr>
        <w:t>Table 4. Preventive strategies evaluated against the mechanism they are intended to interrupt</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400"/>
        <w:gridCol w:w="1400"/>
        <w:gridCol w:w="1300"/>
        <w:gridCol w:w="1900"/>
        <w:gridCol w:w="1500"/>
        <w:gridCol w:w="1526"/>
      </w:tblGrid>
      <w:tr w:rsidR="0092069B" w14:paraId="10CA11CE" w14:textId="77777777">
        <w:trPr>
          <w:tblHeader/>
        </w:trPr>
        <w:tc>
          <w:tcPr>
            <w:tcW w:w="1400" w:type="dxa"/>
            <w:shd w:val="clear" w:color="auto" w:fill="E8E8E8"/>
            <w:tcMar>
              <w:top w:w="60" w:type="dxa"/>
              <w:left w:w="80" w:type="dxa"/>
              <w:bottom w:w="60" w:type="dxa"/>
              <w:right w:w="80" w:type="dxa"/>
            </w:tcMar>
          </w:tcPr>
          <w:p w14:paraId="26D80C09" w14:textId="77777777" w:rsidR="0092069B" w:rsidRDefault="00000000">
            <w:pPr>
              <w:spacing w:before="20" w:after="20" w:line="220" w:lineRule="auto"/>
            </w:pPr>
            <w:r>
              <w:rPr>
                <w:b/>
                <w:bCs/>
                <w:sz w:val="16"/>
                <w:szCs w:val="16"/>
              </w:rPr>
              <w:t>Strategy</w:t>
            </w:r>
          </w:p>
        </w:tc>
        <w:tc>
          <w:tcPr>
            <w:tcW w:w="1400" w:type="dxa"/>
            <w:shd w:val="clear" w:color="auto" w:fill="E8E8E8"/>
            <w:tcMar>
              <w:top w:w="60" w:type="dxa"/>
              <w:left w:w="80" w:type="dxa"/>
              <w:bottom w:w="60" w:type="dxa"/>
              <w:right w:w="80" w:type="dxa"/>
            </w:tcMar>
          </w:tcPr>
          <w:p w14:paraId="49526992" w14:textId="77777777" w:rsidR="0092069B" w:rsidRDefault="00000000">
            <w:pPr>
              <w:spacing w:before="20" w:after="20" w:line="220" w:lineRule="auto"/>
            </w:pPr>
            <w:r>
              <w:rPr>
                <w:b/>
                <w:bCs/>
                <w:sz w:val="16"/>
                <w:szCs w:val="16"/>
              </w:rPr>
              <w:t>Mechanism targeted</w:t>
            </w:r>
          </w:p>
        </w:tc>
        <w:tc>
          <w:tcPr>
            <w:tcW w:w="1300" w:type="dxa"/>
            <w:shd w:val="clear" w:color="auto" w:fill="E8E8E8"/>
            <w:tcMar>
              <w:top w:w="60" w:type="dxa"/>
              <w:left w:w="80" w:type="dxa"/>
              <w:bottom w:w="60" w:type="dxa"/>
              <w:right w:w="80" w:type="dxa"/>
            </w:tcMar>
          </w:tcPr>
          <w:p w14:paraId="79A8D7A2" w14:textId="77777777" w:rsidR="0092069B" w:rsidRDefault="00000000">
            <w:pPr>
              <w:spacing w:before="20" w:after="20" w:line="220" w:lineRule="auto"/>
            </w:pPr>
            <w:r>
              <w:rPr>
                <w:b/>
                <w:bCs/>
                <w:sz w:val="16"/>
                <w:szCs w:val="16"/>
              </w:rPr>
              <w:t>Parasite groups affected</w:t>
            </w:r>
          </w:p>
        </w:tc>
        <w:tc>
          <w:tcPr>
            <w:tcW w:w="1900" w:type="dxa"/>
            <w:shd w:val="clear" w:color="auto" w:fill="E8E8E8"/>
            <w:tcMar>
              <w:top w:w="60" w:type="dxa"/>
              <w:left w:w="80" w:type="dxa"/>
              <w:bottom w:w="60" w:type="dxa"/>
              <w:right w:w="80" w:type="dxa"/>
            </w:tcMar>
          </w:tcPr>
          <w:p w14:paraId="5D655AA2" w14:textId="77777777" w:rsidR="0092069B" w:rsidRDefault="00000000">
            <w:pPr>
              <w:spacing w:before="20" w:after="20" w:line="220" w:lineRule="auto"/>
            </w:pPr>
            <w:r>
              <w:rPr>
                <w:b/>
                <w:bCs/>
                <w:sz w:val="16"/>
                <w:szCs w:val="16"/>
              </w:rPr>
              <w:t>Strength and nature of supporting evidence</w:t>
            </w:r>
          </w:p>
        </w:tc>
        <w:tc>
          <w:tcPr>
            <w:tcW w:w="1500" w:type="dxa"/>
            <w:shd w:val="clear" w:color="auto" w:fill="E8E8E8"/>
            <w:tcMar>
              <w:top w:w="60" w:type="dxa"/>
              <w:left w:w="80" w:type="dxa"/>
              <w:bottom w:w="60" w:type="dxa"/>
              <w:right w:w="80" w:type="dxa"/>
            </w:tcMar>
          </w:tcPr>
          <w:p w14:paraId="1452F190" w14:textId="77777777" w:rsidR="0092069B" w:rsidRDefault="00000000">
            <w:pPr>
              <w:spacing w:before="20" w:after="20" w:line="220" w:lineRule="auto"/>
            </w:pPr>
            <w:r>
              <w:rPr>
                <w:b/>
                <w:bCs/>
                <w:sz w:val="16"/>
                <w:szCs w:val="16"/>
              </w:rPr>
              <w:t>Principal limitation</w:t>
            </w:r>
          </w:p>
        </w:tc>
        <w:tc>
          <w:tcPr>
            <w:tcW w:w="1526" w:type="dxa"/>
            <w:shd w:val="clear" w:color="auto" w:fill="E8E8E8"/>
            <w:tcMar>
              <w:top w:w="60" w:type="dxa"/>
              <w:left w:w="80" w:type="dxa"/>
              <w:bottom w:w="60" w:type="dxa"/>
              <w:right w:w="80" w:type="dxa"/>
            </w:tcMar>
          </w:tcPr>
          <w:p w14:paraId="4D09ECB1" w14:textId="77777777" w:rsidR="0092069B" w:rsidRDefault="00000000">
            <w:pPr>
              <w:spacing w:before="20" w:after="20" w:line="220" w:lineRule="auto"/>
            </w:pPr>
            <w:r>
              <w:rPr>
                <w:b/>
                <w:bCs/>
                <w:sz w:val="16"/>
                <w:szCs w:val="16"/>
              </w:rPr>
              <w:t>Supporting references</w:t>
            </w:r>
          </w:p>
        </w:tc>
      </w:tr>
      <w:tr w:rsidR="0092069B" w14:paraId="7F59015F" w14:textId="77777777">
        <w:tc>
          <w:tcPr>
            <w:tcW w:w="1400" w:type="dxa"/>
            <w:tcMar>
              <w:top w:w="60" w:type="dxa"/>
              <w:left w:w="80" w:type="dxa"/>
              <w:bottom w:w="60" w:type="dxa"/>
              <w:right w:w="80" w:type="dxa"/>
            </w:tcMar>
          </w:tcPr>
          <w:p w14:paraId="3319B499" w14:textId="77777777" w:rsidR="0092069B" w:rsidRDefault="00000000">
            <w:pPr>
              <w:spacing w:before="20" w:after="20" w:line="220" w:lineRule="auto"/>
            </w:pPr>
            <w:r>
              <w:rPr>
                <w:sz w:val="16"/>
                <w:szCs w:val="16"/>
              </w:rPr>
              <w:t>School-based preventive chemotherapy</w:t>
            </w:r>
          </w:p>
        </w:tc>
        <w:tc>
          <w:tcPr>
            <w:tcW w:w="1400" w:type="dxa"/>
            <w:tcMar>
              <w:top w:w="60" w:type="dxa"/>
              <w:left w:w="80" w:type="dxa"/>
              <w:bottom w:w="60" w:type="dxa"/>
              <w:right w:w="80" w:type="dxa"/>
            </w:tcMar>
          </w:tcPr>
          <w:p w14:paraId="7C322439" w14:textId="77777777" w:rsidR="0092069B" w:rsidRDefault="00000000">
            <w:pPr>
              <w:spacing w:before="20" w:after="20" w:line="220" w:lineRule="auto"/>
            </w:pPr>
            <w:r>
              <w:rPr>
                <w:sz w:val="16"/>
                <w:szCs w:val="16"/>
              </w:rPr>
              <w:t>Reduction of worm burden below morbidity thresholds</w:t>
            </w:r>
          </w:p>
        </w:tc>
        <w:tc>
          <w:tcPr>
            <w:tcW w:w="1300" w:type="dxa"/>
            <w:tcMar>
              <w:top w:w="60" w:type="dxa"/>
              <w:left w:w="80" w:type="dxa"/>
              <w:bottom w:w="60" w:type="dxa"/>
              <w:right w:w="80" w:type="dxa"/>
            </w:tcMar>
          </w:tcPr>
          <w:p w14:paraId="2AA4AC53" w14:textId="77777777" w:rsidR="0092069B" w:rsidRDefault="00000000">
            <w:pPr>
              <w:spacing w:before="20" w:after="20" w:line="220" w:lineRule="auto"/>
            </w:pPr>
            <w:r>
              <w:rPr>
                <w:sz w:val="16"/>
                <w:szCs w:val="16"/>
              </w:rPr>
              <w:t>Intestinal nematodes only</w:t>
            </w:r>
          </w:p>
        </w:tc>
        <w:tc>
          <w:tcPr>
            <w:tcW w:w="1900" w:type="dxa"/>
            <w:tcMar>
              <w:top w:w="60" w:type="dxa"/>
              <w:left w:w="80" w:type="dxa"/>
              <w:bottom w:w="60" w:type="dxa"/>
              <w:right w:w="80" w:type="dxa"/>
            </w:tcMar>
          </w:tcPr>
          <w:p w14:paraId="0A73AB52" w14:textId="77777777" w:rsidR="0092069B" w:rsidRDefault="00000000">
            <w:pPr>
              <w:spacing w:before="20" w:after="20" w:line="220" w:lineRule="auto"/>
            </w:pPr>
            <w:r>
              <w:rPr>
                <w:sz w:val="16"/>
                <w:szCs w:val="16"/>
              </w:rPr>
              <w:t>Consistent reduction in prevalence and intensity; randomised evidence of little or no effect on growth, haemoglobin, cognition or attendance</w:t>
            </w:r>
          </w:p>
        </w:tc>
        <w:tc>
          <w:tcPr>
            <w:tcW w:w="1500" w:type="dxa"/>
            <w:tcMar>
              <w:top w:w="60" w:type="dxa"/>
              <w:left w:w="80" w:type="dxa"/>
              <w:bottom w:w="60" w:type="dxa"/>
              <w:right w:w="80" w:type="dxa"/>
            </w:tcMar>
          </w:tcPr>
          <w:p w14:paraId="128020FD" w14:textId="77777777" w:rsidR="0092069B" w:rsidRDefault="00000000">
            <w:pPr>
              <w:spacing w:before="20" w:after="20" w:line="220" w:lineRule="auto"/>
            </w:pPr>
            <w:r>
              <w:rPr>
                <w:sz w:val="16"/>
                <w:szCs w:val="16"/>
              </w:rPr>
              <w:t>Leaves adult reservoir and transmission untouched; no activity against protozoa; success measured by infection rather than morbidity</w:t>
            </w:r>
          </w:p>
        </w:tc>
        <w:tc>
          <w:tcPr>
            <w:tcW w:w="1526" w:type="dxa"/>
            <w:tcMar>
              <w:top w:w="60" w:type="dxa"/>
              <w:left w:w="80" w:type="dxa"/>
              <w:bottom w:w="60" w:type="dxa"/>
              <w:right w:w="80" w:type="dxa"/>
            </w:tcMar>
          </w:tcPr>
          <w:p w14:paraId="587E463A" w14:textId="77777777" w:rsidR="0092069B" w:rsidRDefault="00000000">
            <w:pPr>
              <w:spacing w:before="20" w:after="20" w:line="220" w:lineRule="auto"/>
            </w:pPr>
            <w:r>
              <w:rPr>
                <w:sz w:val="16"/>
                <w:szCs w:val="16"/>
              </w:rPr>
              <w:t>Montresor et al. (2020); Taylor-Robinson et al. (2019); Bekele et al. (2024)</w:t>
            </w:r>
          </w:p>
        </w:tc>
      </w:tr>
      <w:tr w:rsidR="0092069B" w14:paraId="7776B724" w14:textId="77777777">
        <w:tc>
          <w:tcPr>
            <w:tcW w:w="1400" w:type="dxa"/>
            <w:tcMar>
              <w:top w:w="60" w:type="dxa"/>
              <w:left w:w="80" w:type="dxa"/>
              <w:bottom w:w="60" w:type="dxa"/>
              <w:right w:w="80" w:type="dxa"/>
            </w:tcMar>
          </w:tcPr>
          <w:p w14:paraId="1496A5B5" w14:textId="77777777" w:rsidR="0092069B" w:rsidRDefault="00000000">
            <w:pPr>
              <w:spacing w:before="20" w:after="20" w:line="220" w:lineRule="auto"/>
            </w:pPr>
            <w:r>
              <w:rPr>
                <w:sz w:val="16"/>
                <w:szCs w:val="16"/>
              </w:rPr>
              <w:t>Community-wide mass drug administration</w:t>
            </w:r>
          </w:p>
        </w:tc>
        <w:tc>
          <w:tcPr>
            <w:tcW w:w="1400" w:type="dxa"/>
            <w:tcMar>
              <w:top w:w="60" w:type="dxa"/>
              <w:left w:w="80" w:type="dxa"/>
              <w:bottom w:w="60" w:type="dxa"/>
              <w:right w:w="80" w:type="dxa"/>
            </w:tcMar>
          </w:tcPr>
          <w:p w14:paraId="725FBE88" w14:textId="77777777" w:rsidR="0092069B" w:rsidRDefault="00000000">
            <w:pPr>
              <w:spacing w:before="20" w:after="20" w:line="220" w:lineRule="auto"/>
            </w:pPr>
            <w:r>
              <w:rPr>
                <w:sz w:val="16"/>
                <w:szCs w:val="16"/>
              </w:rPr>
              <w:t>Reduction of the community reservoir and interruption of transmission</w:t>
            </w:r>
          </w:p>
        </w:tc>
        <w:tc>
          <w:tcPr>
            <w:tcW w:w="1300" w:type="dxa"/>
            <w:tcMar>
              <w:top w:w="60" w:type="dxa"/>
              <w:left w:w="80" w:type="dxa"/>
              <w:bottom w:w="60" w:type="dxa"/>
              <w:right w:w="80" w:type="dxa"/>
            </w:tcMar>
          </w:tcPr>
          <w:p w14:paraId="5E1D66EF" w14:textId="77777777" w:rsidR="0092069B" w:rsidRDefault="00000000">
            <w:pPr>
              <w:spacing w:before="20" w:after="20" w:line="220" w:lineRule="auto"/>
            </w:pPr>
            <w:r>
              <w:rPr>
                <w:sz w:val="16"/>
                <w:szCs w:val="16"/>
              </w:rPr>
              <w:t>Intestinal nematodes only</w:t>
            </w:r>
          </w:p>
        </w:tc>
        <w:tc>
          <w:tcPr>
            <w:tcW w:w="1900" w:type="dxa"/>
            <w:tcMar>
              <w:top w:w="60" w:type="dxa"/>
              <w:left w:w="80" w:type="dxa"/>
              <w:bottom w:w="60" w:type="dxa"/>
              <w:right w:w="80" w:type="dxa"/>
            </w:tcMar>
          </w:tcPr>
          <w:p w14:paraId="2902BEA9" w14:textId="77777777" w:rsidR="0092069B" w:rsidRDefault="00000000">
            <w:pPr>
              <w:spacing w:before="20" w:after="20" w:line="220" w:lineRule="auto"/>
            </w:pPr>
            <w:r>
              <w:rPr>
                <w:sz w:val="16"/>
                <w:szCs w:val="16"/>
              </w:rPr>
              <w:t>Cluster-randomised evidence of lower prevalence in all sites; transmission interruption achieved in 55%, 5% and 0% of intervention clusters across three countries</w:t>
            </w:r>
          </w:p>
        </w:tc>
        <w:tc>
          <w:tcPr>
            <w:tcW w:w="1500" w:type="dxa"/>
            <w:tcMar>
              <w:top w:w="60" w:type="dxa"/>
              <w:left w:w="80" w:type="dxa"/>
              <w:bottom w:w="60" w:type="dxa"/>
              <w:right w:w="80" w:type="dxa"/>
            </w:tcMar>
          </w:tcPr>
          <w:p w14:paraId="69591915" w14:textId="77777777" w:rsidR="0092069B" w:rsidRDefault="00000000">
            <w:pPr>
              <w:spacing w:before="20" w:after="20" w:line="220" w:lineRule="auto"/>
            </w:pPr>
            <w:r>
              <w:rPr>
                <w:sz w:val="16"/>
                <w:szCs w:val="16"/>
              </w:rPr>
              <w:t>Interruption not achievable within standard programme timeframes in most settings; delivery intensive</w:t>
            </w:r>
          </w:p>
        </w:tc>
        <w:tc>
          <w:tcPr>
            <w:tcW w:w="1526" w:type="dxa"/>
            <w:tcMar>
              <w:top w:w="60" w:type="dxa"/>
              <w:left w:w="80" w:type="dxa"/>
              <w:bottom w:w="60" w:type="dxa"/>
              <w:right w:w="80" w:type="dxa"/>
            </w:tcMar>
          </w:tcPr>
          <w:p w14:paraId="1A24239B" w14:textId="77777777" w:rsidR="0092069B" w:rsidRDefault="00000000">
            <w:pPr>
              <w:spacing w:before="20" w:after="20" w:line="220" w:lineRule="auto"/>
            </w:pPr>
            <w:r w:rsidRPr="00D81875">
              <w:rPr>
                <w:sz w:val="16"/>
                <w:szCs w:val="16"/>
                <w:lang w:val="nl-BE"/>
              </w:rPr>
              <w:t xml:space="preserve">Ajjampur et al. (2025); Ajjampur et al. </w:t>
            </w:r>
            <w:r>
              <w:rPr>
                <w:sz w:val="16"/>
                <w:szCs w:val="16"/>
              </w:rPr>
              <w:t>(2021)</w:t>
            </w:r>
          </w:p>
        </w:tc>
      </w:tr>
      <w:tr w:rsidR="0092069B" w14:paraId="776C886B" w14:textId="77777777">
        <w:tc>
          <w:tcPr>
            <w:tcW w:w="1400" w:type="dxa"/>
            <w:tcMar>
              <w:top w:w="60" w:type="dxa"/>
              <w:left w:w="80" w:type="dxa"/>
              <w:bottom w:w="60" w:type="dxa"/>
              <w:right w:w="80" w:type="dxa"/>
            </w:tcMar>
          </w:tcPr>
          <w:p w14:paraId="205CC502" w14:textId="77777777" w:rsidR="0092069B" w:rsidRDefault="00000000">
            <w:pPr>
              <w:spacing w:before="20" w:after="20" w:line="220" w:lineRule="auto"/>
            </w:pPr>
            <w:r>
              <w:rPr>
                <w:sz w:val="16"/>
                <w:szCs w:val="16"/>
              </w:rPr>
              <w:t>Combination and novel anthelmintic therapy</w:t>
            </w:r>
          </w:p>
        </w:tc>
        <w:tc>
          <w:tcPr>
            <w:tcW w:w="1400" w:type="dxa"/>
            <w:tcMar>
              <w:top w:w="60" w:type="dxa"/>
              <w:left w:w="80" w:type="dxa"/>
              <w:bottom w:w="60" w:type="dxa"/>
              <w:right w:w="80" w:type="dxa"/>
            </w:tcMar>
          </w:tcPr>
          <w:p w14:paraId="21FEAAFB" w14:textId="77777777" w:rsidR="0092069B" w:rsidRDefault="00000000">
            <w:pPr>
              <w:spacing w:before="20" w:after="20" w:line="220" w:lineRule="auto"/>
            </w:pPr>
            <w:r>
              <w:rPr>
                <w:sz w:val="16"/>
                <w:szCs w:val="16"/>
              </w:rPr>
              <w:t>Improved clearance of species poorly served by benzimidazole monotherapy</w:t>
            </w:r>
          </w:p>
        </w:tc>
        <w:tc>
          <w:tcPr>
            <w:tcW w:w="1300" w:type="dxa"/>
            <w:tcMar>
              <w:top w:w="60" w:type="dxa"/>
              <w:left w:w="80" w:type="dxa"/>
              <w:bottom w:w="60" w:type="dxa"/>
              <w:right w:w="80" w:type="dxa"/>
            </w:tcMar>
          </w:tcPr>
          <w:p w14:paraId="41F21D13" w14:textId="77777777" w:rsidR="0092069B" w:rsidRDefault="00000000">
            <w:pPr>
              <w:spacing w:before="20" w:after="20" w:line="220" w:lineRule="auto"/>
            </w:pPr>
            <w:r>
              <w:rPr>
                <w:sz w:val="16"/>
                <w:szCs w:val="16"/>
              </w:rPr>
              <w:t xml:space="preserve">Intestinal nematodes, particularly </w:t>
            </w:r>
            <w:r>
              <w:rPr>
                <w:i/>
                <w:iCs/>
                <w:sz w:val="16"/>
                <w:szCs w:val="16"/>
              </w:rPr>
              <w:t xml:space="preserve">Trichuris </w:t>
            </w:r>
            <w:proofErr w:type="spellStart"/>
            <w:r>
              <w:rPr>
                <w:i/>
                <w:iCs/>
                <w:sz w:val="16"/>
                <w:szCs w:val="16"/>
              </w:rPr>
              <w:t>trichiura</w:t>
            </w:r>
            <w:proofErr w:type="spellEnd"/>
            <w:r>
              <w:rPr>
                <w:sz w:val="16"/>
                <w:szCs w:val="16"/>
              </w:rPr>
              <w:t xml:space="preserve"> and hookworm</w:t>
            </w:r>
          </w:p>
        </w:tc>
        <w:tc>
          <w:tcPr>
            <w:tcW w:w="1900" w:type="dxa"/>
            <w:tcMar>
              <w:top w:w="60" w:type="dxa"/>
              <w:left w:w="80" w:type="dxa"/>
              <w:bottom w:w="60" w:type="dxa"/>
              <w:right w:w="80" w:type="dxa"/>
            </w:tcMar>
          </w:tcPr>
          <w:p w14:paraId="00523D18" w14:textId="77777777" w:rsidR="0092069B" w:rsidRDefault="00000000">
            <w:pPr>
              <w:spacing w:before="20" w:after="20" w:line="220" w:lineRule="auto"/>
            </w:pPr>
            <w:r>
              <w:rPr>
                <w:sz w:val="16"/>
                <w:szCs w:val="16"/>
              </w:rPr>
              <w:t>Phase 2b, phase 3 and phase 2/3 randomised trials demonstrating superiority over albendazole alone</w:t>
            </w:r>
          </w:p>
        </w:tc>
        <w:tc>
          <w:tcPr>
            <w:tcW w:w="1500" w:type="dxa"/>
            <w:tcMar>
              <w:top w:w="60" w:type="dxa"/>
              <w:left w:w="80" w:type="dxa"/>
              <w:bottom w:w="60" w:type="dxa"/>
              <w:right w:w="80" w:type="dxa"/>
            </w:tcMar>
          </w:tcPr>
          <w:p w14:paraId="6DFE775D" w14:textId="77777777" w:rsidR="0092069B" w:rsidRDefault="00000000">
            <w:pPr>
              <w:spacing w:before="20" w:after="20" w:line="220" w:lineRule="auto"/>
            </w:pPr>
            <w:r>
              <w:rPr>
                <w:sz w:val="16"/>
                <w:szCs w:val="16"/>
              </w:rPr>
              <w:t>Cost, registration and programmatic deployment unresolved; long-term effect on transmission untested</w:t>
            </w:r>
          </w:p>
        </w:tc>
        <w:tc>
          <w:tcPr>
            <w:tcW w:w="1526" w:type="dxa"/>
            <w:tcMar>
              <w:top w:w="60" w:type="dxa"/>
              <w:left w:w="80" w:type="dxa"/>
              <w:bottom w:w="60" w:type="dxa"/>
              <w:right w:w="80" w:type="dxa"/>
            </w:tcMar>
          </w:tcPr>
          <w:p w14:paraId="56362D16" w14:textId="77777777" w:rsidR="0092069B" w:rsidRDefault="00000000">
            <w:pPr>
              <w:spacing w:before="20" w:after="20" w:line="220" w:lineRule="auto"/>
            </w:pPr>
            <w:r w:rsidRPr="00D81875">
              <w:rPr>
                <w:sz w:val="16"/>
                <w:szCs w:val="16"/>
                <w:lang w:val="nl-BE"/>
              </w:rPr>
              <w:t xml:space="preserve">Hürlimann et al. (2022); Krolewiecki et al. (2025); Mrimi et al. (2023); Taylor et al. </w:t>
            </w:r>
            <w:r>
              <w:rPr>
                <w:sz w:val="16"/>
                <w:szCs w:val="16"/>
              </w:rPr>
              <w:t>(2024)</w:t>
            </w:r>
          </w:p>
        </w:tc>
      </w:tr>
      <w:tr w:rsidR="0092069B" w14:paraId="411D4BD9" w14:textId="77777777">
        <w:tc>
          <w:tcPr>
            <w:tcW w:w="1400" w:type="dxa"/>
            <w:tcMar>
              <w:top w:w="60" w:type="dxa"/>
              <w:left w:w="80" w:type="dxa"/>
              <w:bottom w:w="60" w:type="dxa"/>
              <w:right w:w="80" w:type="dxa"/>
            </w:tcMar>
          </w:tcPr>
          <w:p w14:paraId="19BA7280" w14:textId="77777777" w:rsidR="0092069B" w:rsidRDefault="00000000">
            <w:pPr>
              <w:spacing w:before="20" w:after="20" w:line="220" w:lineRule="auto"/>
            </w:pPr>
            <w:r>
              <w:rPr>
                <w:sz w:val="16"/>
                <w:szCs w:val="16"/>
              </w:rPr>
              <w:t>Water, sanitation and hygiene improvement</w:t>
            </w:r>
          </w:p>
        </w:tc>
        <w:tc>
          <w:tcPr>
            <w:tcW w:w="1400" w:type="dxa"/>
            <w:tcMar>
              <w:top w:w="60" w:type="dxa"/>
              <w:left w:w="80" w:type="dxa"/>
              <w:bottom w:w="60" w:type="dxa"/>
              <w:right w:w="80" w:type="dxa"/>
            </w:tcMar>
          </w:tcPr>
          <w:p w14:paraId="20C75545" w14:textId="77777777" w:rsidR="0092069B" w:rsidRDefault="00000000">
            <w:pPr>
              <w:spacing w:before="20" w:after="20" w:line="220" w:lineRule="auto"/>
            </w:pPr>
            <w:r>
              <w:rPr>
                <w:sz w:val="16"/>
                <w:szCs w:val="16"/>
              </w:rPr>
              <w:t>Interruption of environmental and faecal-oral transmission</w:t>
            </w:r>
          </w:p>
        </w:tc>
        <w:tc>
          <w:tcPr>
            <w:tcW w:w="1300" w:type="dxa"/>
            <w:tcMar>
              <w:top w:w="60" w:type="dxa"/>
              <w:left w:w="80" w:type="dxa"/>
              <w:bottom w:w="60" w:type="dxa"/>
              <w:right w:w="80" w:type="dxa"/>
            </w:tcMar>
          </w:tcPr>
          <w:p w14:paraId="1A1EF775" w14:textId="77777777" w:rsidR="0092069B" w:rsidRDefault="00000000">
            <w:pPr>
              <w:spacing w:before="20" w:after="20" w:line="220" w:lineRule="auto"/>
            </w:pPr>
            <w:r>
              <w:rPr>
                <w:sz w:val="16"/>
                <w:szCs w:val="16"/>
              </w:rPr>
              <w:t>Intestinal nematodes and enteric protozoa</w:t>
            </w:r>
          </w:p>
        </w:tc>
        <w:tc>
          <w:tcPr>
            <w:tcW w:w="1900" w:type="dxa"/>
            <w:tcMar>
              <w:top w:w="60" w:type="dxa"/>
              <w:left w:w="80" w:type="dxa"/>
              <w:bottom w:w="60" w:type="dxa"/>
              <w:right w:w="80" w:type="dxa"/>
            </w:tcMar>
          </w:tcPr>
          <w:p w14:paraId="3108109B" w14:textId="77777777" w:rsidR="0092069B" w:rsidRDefault="00000000">
            <w:pPr>
              <w:spacing w:before="20" w:after="20" w:line="220" w:lineRule="auto"/>
            </w:pPr>
            <w:r>
              <w:rPr>
                <w:sz w:val="16"/>
                <w:szCs w:val="16"/>
              </w:rPr>
              <w:t>Consistent protective associations in observational meta-analysis; minimal growth effects in three large randomised trials</w:t>
            </w:r>
          </w:p>
        </w:tc>
        <w:tc>
          <w:tcPr>
            <w:tcW w:w="1500" w:type="dxa"/>
            <w:tcMar>
              <w:top w:w="60" w:type="dxa"/>
              <w:left w:w="80" w:type="dxa"/>
              <w:bottom w:w="60" w:type="dxa"/>
              <w:right w:w="80" w:type="dxa"/>
            </w:tcMar>
          </w:tcPr>
          <w:p w14:paraId="1D71E0A1" w14:textId="77777777" w:rsidR="0092069B" w:rsidRDefault="00000000">
            <w:pPr>
              <w:spacing w:before="20" w:after="20" w:line="220" w:lineRule="auto"/>
            </w:pPr>
            <w:r>
              <w:rPr>
                <w:sz w:val="16"/>
                <w:szCs w:val="16"/>
              </w:rPr>
              <w:t>Observational evidence confounded by socioeconomic position; trial interventions did not achieve required exposure reduction</w:t>
            </w:r>
          </w:p>
        </w:tc>
        <w:tc>
          <w:tcPr>
            <w:tcW w:w="1526" w:type="dxa"/>
            <w:tcMar>
              <w:top w:w="60" w:type="dxa"/>
              <w:left w:w="80" w:type="dxa"/>
              <w:bottom w:w="60" w:type="dxa"/>
              <w:right w:w="80" w:type="dxa"/>
            </w:tcMar>
          </w:tcPr>
          <w:p w14:paraId="34C33D8E" w14:textId="77777777" w:rsidR="0092069B" w:rsidRDefault="00000000">
            <w:pPr>
              <w:spacing w:before="20" w:after="20" w:line="220" w:lineRule="auto"/>
            </w:pPr>
            <w:r w:rsidRPr="00D81875">
              <w:rPr>
                <w:sz w:val="16"/>
                <w:szCs w:val="16"/>
                <w:lang w:val="nl-BE"/>
              </w:rPr>
              <w:t xml:space="preserve">Strunz et al. (2014); Pickering et al. (2019); Cumming et al. (2019); Sharma et al. </w:t>
            </w:r>
            <w:r>
              <w:rPr>
                <w:sz w:val="16"/>
                <w:szCs w:val="16"/>
              </w:rPr>
              <w:t>(2023)</w:t>
            </w:r>
          </w:p>
        </w:tc>
      </w:tr>
      <w:tr w:rsidR="0092069B" w14:paraId="7C451116" w14:textId="77777777">
        <w:tc>
          <w:tcPr>
            <w:tcW w:w="1400" w:type="dxa"/>
            <w:tcMar>
              <w:top w:w="60" w:type="dxa"/>
              <w:left w:w="80" w:type="dxa"/>
              <w:bottom w:w="60" w:type="dxa"/>
              <w:right w:w="80" w:type="dxa"/>
            </w:tcMar>
          </w:tcPr>
          <w:p w14:paraId="1BF3A6D1" w14:textId="77777777" w:rsidR="0092069B" w:rsidRDefault="00000000">
            <w:pPr>
              <w:spacing w:before="20" w:after="20" w:line="220" w:lineRule="auto"/>
            </w:pPr>
            <w:r>
              <w:rPr>
                <w:sz w:val="16"/>
                <w:szCs w:val="16"/>
              </w:rPr>
              <w:lastRenderedPageBreak/>
              <w:t>Molecular diagnosis in surveillance and programme decisions</w:t>
            </w:r>
          </w:p>
        </w:tc>
        <w:tc>
          <w:tcPr>
            <w:tcW w:w="1400" w:type="dxa"/>
            <w:tcMar>
              <w:top w:w="60" w:type="dxa"/>
              <w:left w:w="80" w:type="dxa"/>
              <w:bottom w:w="60" w:type="dxa"/>
              <w:right w:w="80" w:type="dxa"/>
            </w:tcMar>
          </w:tcPr>
          <w:p w14:paraId="6D535160" w14:textId="77777777" w:rsidR="0092069B" w:rsidRDefault="00000000">
            <w:pPr>
              <w:spacing w:before="20" w:after="20" w:line="220" w:lineRule="auto"/>
            </w:pPr>
            <w:r>
              <w:rPr>
                <w:sz w:val="16"/>
                <w:szCs w:val="16"/>
              </w:rPr>
              <w:t>Accurate detection at low infection intensity to guide stopping decisions</w:t>
            </w:r>
          </w:p>
        </w:tc>
        <w:tc>
          <w:tcPr>
            <w:tcW w:w="1300" w:type="dxa"/>
            <w:tcMar>
              <w:top w:w="60" w:type="dxa"/>
              <w:left w:w="80" w:type="dxa"/>
              <w:bottom w:w="60" w:type="dxa"/>
              <w:right w:w="80" w:type="dxa"/>
            </w:tcMar>
          </w:tcPr>
          <w:p w14:paraId="3065CB95" w14:textId="77777777" w:rsidR="0092069B" w:rsidRDefault="00000000">
            <w:pPr>
              <w:spacing w:before="20" w:after="20" w:line="220" w:lineRule="auto"/>
            </w:pPr>
            <w:r>
              <w:rPr>
                <w:sz w:val="16"/>
                <w:szCs w:val="16"/>
              </w:rPr>
              <w:t>Intestinal nematodes and enteric protozoa</w:t>
            </w:r>
          </w:p>
        </w:tc>
        <w:tc>
          <w:tcPr>
            <w:tcW w:w="1900" w:type="dxa"/>
            <w:tcMar>
              <w:top w:w="60" w:type="dxa"/>
              <w:left w:w="80" w:type="dxa"/>
              <w:bottom w:w="60" w:type="dxa"/>
              <w:right w:w="80" w:type="dxa"/>
            </w:tcMar>
          </w:tcPr>
          <w:p w14:paraId="4C3FE8C6" w14:textId="77777777" w:rsidR="0092069B" w:rsidRDefault="00000000">
            <w:pPr>
              <w:spacing w:before="20" w:after="20" w:line="220" w:lineRule="auto"/>
            </w:pPr>
            <w:r>
              <w:rPr>
                <w:sz w:val="16"/>
                <w:szCs w:val="16"/>
              </w:rPr>
              <w:t>Direct comparative studies showing microscopy underestimates prevalence after repeated treatment rounds</w:t>
            </w:r>
          </w:p>
        </w:tc>
        <w:tc>
          <w:tcPr>
            <w:tcW w:w="1500" w:type="dxa"/>
            <w:tcMar>
              <w:top w:w="60" w:type="dxa"/>
              <w:left w:w="80" w:type="dxa"/>
              <w:bottom w:w="60" w:type="dxa"/>
              <w:right w:w="80" w:type="dxa"/>
            </w:tcMar>
          </w:tcPr>
          <w:p w14:paraId="4AD1BF02" w14:textId="77777777" w:rsidR="0092069B" w:rsidRDefault="00000000">
            <w:pPr>
              <w:spacing w:before="20" w:after="20" w:line="220" w:lineRule="auto"/>
            </w:pPr>
            <w:r>
              <w:rPr>
                <w:sz w:val="16"/>
                <w:szCs w:val="16"/>
              </w:rPr>
              <w:t>Cost and laboratory capacity; thresholds for programmatic action not defined for molecular measures</w:t>
            </w:r>
          </w:p>
        </w:tc>
        <w:tc>
          <w:tcPr>
            <w:tcW w:w="1526" w:type="dxa"/>
            <w:tcMar>
              <w:top w:w="60" w:type="dxa"/>
              <w:left w:w="80" w:type="dxa"/>
              <w:bottom w:w="60" w:type="dxa"/>
              <w:right w:w="80" w:type="dxa"/>
            </w:tcMar>
          </w:tcPr>
          <w:p w14:paraId="6B9989B7" w14:textId="77777777" w:rsidR="0092069B" w:rsidRDefault="00000000">
            <w:pPr>
              <w:spacing w:before="20" w:after="20" w:line="220" w:lineRule="auto"/>
            </w:pPr>
            <w:r w:rsidRPr="00D81875">
              <w:rPr>
                <w:sz w:val="16"/>
                <w:szCs w:val="16"/>
                <w:lang w:val="nl-BE"/>
              </w:rPr>
              <w:t xml:space="preserve">Dunn et al. (2020); Benjamin-Chung et al. </w:t>
            </w:r>
            <w:r>
              <w:rPr>
                <w:sz w:val="16"/>
                <w:szCs w:val="16"/>
              </w:rPr>
              <w:t xml:space="preserve">(2020); </w:t>
            </w:r>
            <w:proofErr w:type="spellStart"/>
            <w:r>
              <w:rPr>
                <w:sz w:val="16"/>
                <w:szCs w:val="16"/>
              </w:rPr>
              <w:t>Ajjampur</w:t>
            </w:r>
            <w:proofErr w:type="spellEnd"/>
            <w:r>
              <w:rPr>
                <w:sz w:val="16"/>
                <w:szCs w:val="16"/>
              </w:rPr>
              <w:t xml:space="preserve"> et al. (2025)</w:t>
            </w:r>
          </w:p>
        </w:tc>
      </w:tr>
      <w:tr w:rsidR="0092069B" w14:paraId="729AFB43" w14:textId="77777777">
        <w:tc>
          <w:tcPr>
            <w:tcW w:w="1400" w:type="dxa"/>
            <w:tcMar>
              <w:top w:w="60" w:type="dxa"/>
              <w:left w:w="80" w:type="dxa"/>
              <w:bottom w:w="60" w:type="dxa"/>
              <w:right w:w="80" w:type="dxa"/>
            </w:tcMar>
          </w:tcPr>
          <w:p w14:paraId="00AD7082" w14:textId="77777777" w:rsidR="0092069B" w:rsidRDefault="00000000">
            <w:pPr>
              <w:spacing w:before="20" w:after="20" w:line="220" w:lineRule="auto"/>
            </w:pPr>
            <w:r>
              <w:rPr>
                <w:sz w:val="16"/>
                <w:szCs w:val="16"/>
              </w:rPr>
              <w:t>Vaccination</w:t>
            </w:r>
          </w:p>
        </w:tc>
        <w:tc>
          <w:tcPr>
            <w:tcW w:w="1400" w:type="dxa"/>
            <w:tcMar>
              <w:top w:w="60" w:type="dxa"/>
              <w:left w:w="80" w:type="dxa"/>
              <w:bottom w:w="60" w:type="dxa"/>
              <w:right w:w="80" w:type="dxa"/>
            </w:tcMar>
          </w:tcPr>
          <w:p w14:paraId="18C1D3EA" w14:textId="77777777" w:rsidR="0092069B" w:rsidRDefault="00000000">
            <w:pPr>
              <w:spacing w:before="20" w:after="20" w:line="220" w:lineRule="auto"/>
            </w:pPr>
            <w:r>
              <w:rPr>
                <w:sz w:val="16"/>
                <w:szCs w:val="16"/>
              </w:rPr>
              <w:t>Prevention of establishment and of reinfection after treatment</w:t>
            </w:r>
          </w:p>
        </w:tc>
        <w:tc>
          <w:tcPr>
            <w:tcW w:w="1300" w:type="dxa"/>
            <w:tcMar>
              <w:top w:w="60" w:type="dxa"/>
              <w:left w:w="80" w:type="dxa"/>
              <w:bottom w:w="60" w:type="dxa"/>
              <w:right w:w="80" w:type="dxa"/>
            </w:tcMar>
          </w:tcPr>
          <w:p w14:paraId="5EEB83AF" w14:textId="77777777" w:rsidR="0092069B" w:rsidRDefault="00000000">
            <w:pPr>
              <w:spacing w:before="20" w:after="20" w:line="220" w:lineRule="auto"/>
            </w:pPr>
            <w:r>
              <w:rPr>
                <w:sz w:val="16"/>
                <w:szCs w:val="16"/>
              </w:rPr>
              <w:t>Hookworm at clinical stage; other organisms preclinical</w:t>
            </w:r>
          </w:p>
        </w:tc>
        <w:tc>
          <w:tcPr>
            <w:tcW w:w="1900" w:type="dxa"/>
            <w:tcMar>
              <w:top w:w="60" w:type="dxa"/>
              <w:left w:w="80" w:type="dxa"/>
              <w:bottom w:w="60" w:type="dxa"/>
              <w:right w:w="80" w:type="dxa"/>
            </w:tcMar>
          </w:tcPr>
          <w:p w14:paraId="0C27C774" w14:textId="77777777" w:rsidR="0092069B" w:rsidRDefault="00000000">
            <w:pPr>
              <w:spacing w:before="20" w:after="20" w:line="220" w:lineRule="auto"/>
            </w:pPr>
            <w:r>
              <w:rPr>
                <w:sz w:val="16"/>
                <w:szCs w:val="16"/>
              </w:rPr>
              <w:t>Phase 1 randomised trial establishing safety and immunogenicity of co-administered candidates in an exposed population</w:t>
            </w:r>
          </w:p>
        </w:tc>
        <w:tc>
          <w:tcPr>
            <w:tcW w:w="1500" w:type="dxa"/>
            <w:tcMar>
              <w:top w:w="60" w:type="dxa"/>
              <w:left w:w="80" w:type="dxa"/>
              <w:bottom w:w="60" w:type="dxa"/>
              <w:right w:w="80" w:type="dxa"/>
            </w:tcMar>
          </w:tcPr>
          <w:p w14:paraId="6D1B541A" w14:textId="77777777" w:rsidR="0092069B" w:rsidRDefault="00000000">
            <w:pPr>
              <w:spacing w:before="20" w:after="20" w:line="220" w:lineRule="auto"/>
            </w:pPr>
            <w:r>
              <w:rPr>
                <w:sz w:val="16"/>
                <w:szCs w:val="16"/>
              </w:rPr>
              <w:t>No established human correlate of protection; natural immunity partial; protozoal candidates not at comparable stage</w:t>
            </w:r>
          </w:p>
        </w:tc>
        <w:tc>
          <w:tcPr>
            <w:tcW w:w="1526" w:type="dxa"/>
            <w:tcMar>
              <w:top w:w="60" w:type="dxa"/>
              <w:left w:w="80" w:type="dxa"/>
              <w:bottom w:w="60" w:type="dxa"/>
              <w:right w:w="80" w:type="dxa"/>
            </w:tcMar>
          </w:tcPr>
          <w:p w14:paraId="4C7654AB" w14:textId="1A83F481" w:rsidR="0092069B" w:rsidRDefault="00D81875">
            <w:pPr>
              <w:spacing w:before="20" w:after="20" w:line="220" w:lineRule="auto"/>
            </w:pPr>
            <w:proofErr w:type="spellStart"/>
            <w:r w:rsidRPr="00D81875">
              <w:rPr>
                <w:sz w:val="16"/>
                <w:szCs w:val="16"/>
              </w:rPr>
              <w:t>Adegnika</w:t>
            </w:r>
            <w:proofErr w:type="spellEnd"/>
            <w:r w:rsidRPr="00D81875">
              <w:rPr>
                <w:sz w:val="16"/>
                <w:szCs w:val="16"/>
              </w:rPr>
              <w:t xml:space="preserve"> </w:t>
            </w:r>
            <w:r w:rsidR="00000000">
              <w:rPr>
                <w:sz w:val="16"/>
                <w:szCs w:val="16"/>
              </w:rPr>
              <w:t xml:space="preserve">et al. (2021); Colombo and </w:t>
            </w:r>
            <w:proofErr w:type="spellStart"/>
            <w:r w:rsidR="00000000">
              <w:rPr>
                <w:sz w:val="16"/>
                <w:szCs w:val="16"/>
              </w:rPr>
              <w:t>Grencis</w:t>
            </w:r>
            <w:proofErr w:type="spellEnd"/>
            <w:r w:rsidR="00000000">
              <w:rPr>
                <w:sz w:val="16"/>
                <w:szCs w:val="16"/>
              </w:rPr>
              <w:t xml:space="preserve"> (2020)</w:t>
            </w:r>
          </w:p>
        </w:tc>
      </w:tr>
      <w:tr w:rsidR="0092069B" w14:paraId="789E212A" w14:textId="77777777">
        <w:tc>
          <w:tcPr>
            <w:tcW w:w="1400" w:type="dxa"/>
            <w:tcMar>
              <w:top w:w="60" w:type="dxa"/>
              <w:left w:w="80" w:type="dxa"/>
              <w:bottom w:w="60" w:type="dxa"/>
              <w:right w:w="80" w:type="dxa"/>
            </w:tcMar>
          </w:tcPr>
          <w:p w14:paraId="3EA61CB2" w14:textId="77777777" w:rsidR="0092069B" w:rsidRDefault="00000000">
            <w:pPr>
              <w:spacing w:before="20" w:after="20" w:line="220" w:lineRule="auto"/>
            </w:pPr>
            <w:r>
              <w:rPr>
                <w:sz w:val="16"/>
                <w:szCs w:val="16"/>
              </w:rPr>
              <w:t>Case management of protozoal infection</w:t>
            </w:r>
          </w:p>
        </w:tc>
        <w:tc>
          <w:tcPr>
            <w:tcW w:w="1400" w:type="dxa"/>
            <w:tcMar>
              <w:top w:w="60" w:type="dxa"/>
              <w:left w:w="80" w:type="dxa"/>
              <w:bottom w:w="60" w:type="dxa"/>
              <w:right w:w="80" w:type="dxa"/>
            </w:tcMar>
          </w:tcPr>
          <w:p w14:paraId="05A7AD1D" w14:textId="77777777" w:rsidR="0092069B" w:rsidRDefault="00000000">
            <w:pPr>
              <w:spacing w:before="20" w:after="20" w:line="220" w:lineRule="auto"/>
            </w:pPr>
            <w:r>
              <w:rPr>
                <w:sz w:val="16"/>
                <w:szCs w:val="16"/>
              </w:rPr>
              <w:t>Clearance of established protozoal infection and prevention of onward spread</w:t>
            </w:r>
          </w:p>
        </w:tc>
        <w:tc>
          <w:tcPr>
            <w:tcW w:w="1300" w:type="dxa"/>
            <w:tcMar>
              <w:top w:w="60" w:type="dxa"/>
              <w:left w:w="80" w:type="dxa"/>
              <w:bottom w:w="60" w:type="dxa"/>
              <w:right w:w="80" w:type="dxa"/>
            </w:tcMar>
          </w:tcPr>
          <w:p w14:paraId="0CA8D9DA" w14:textId="77777777" w:rsidR="0092069B" w:rsidRDefault="00000000">
            <w:pPr>
              <w:spacing w:before="20" w:after="20" w:line="220" w:lineRule="auto"/>
            </w:pPr>
            <w:r>
              <w:rPr>
                <w:sz w:val="16"/>
                <w:szCs w:val="16"/>
              </w:rPr>
              <w:t>Enteric protozoa</w:t>
            </w:r>
          </w:p>
        </w:tc>
        <w:tc>
          <w:tcPr>
            <w:tcW w:w="1900" w:type="dxa"/>
            <w:tcMar>
              <w:top w:w="60" w:type="dxa"/>
              <w:left w:w="80" w:type="dxa"/>
              <w:bottom w:w="60" w:type="dxa"/>
              <w:right w:w="80" w:type="dxa"/>
            </w:tcMar>
          </w:tcPr>
          <w:p w14:paraId="44BA2908" w14:textId="77777777" w:rsidR="0092069B" w:rsidRDefault="00000000">
            <w:pPr>
              <w:spacing w:before="20" w:after="20" w:line="220" w:lineRule="auto"/>
            </w:pPr>
            <w:r>
              <w:rPr>
                <w:sz w:val="16"/>
                <w:szCs w:val="16"/>
              </w:rPr>
              <w:t>Systematic review evidence on refractory giardiasis; limited therapeutic options for cryptosporidiosis</w:t>
            </w:r>
          </w:p>
        </w:tc>
        <w:tc>
          <w:tcPr>
            <w:tcW w:w="1500" w:type="dxa"/>
            <w:tcMar>
              <w:top w:w="60" w:type="dxa"/>
              <w:left w:w="80" w:type="dxa"/>
              <w:bottom w:w="60" w:type="dxa"/>
              <w:right w:w="80" w:type="dxa"/>
            </w:tcMar>
          </w:tcPr>
          <w:p w14:paraId="34C4F186" w14:textId="77777777" w:rsidR="0092069B" w:rsidRDefault="00000000">
            <w:pPr>
              <w:spacing w:before="20" w:after="20" w:line="220" w:lineRule="auto"/>
            </w:pPr>
            <w:r>
              <w:rPr>
                <w:sz w:val="16"/>
                <w:szCs w:val="16"/>
              </w:rPr>
              <w:t>Refractory infection increasing; drug availability restricted; diagnostic infrastructure often absent</w:t>
            </w:r>
          </w:p>
        </w:tc>
        <w:tc>
          <w:tcPr>
            <w:tcW w:w="1526" w:type="dxa"/>
            <w:tcMar>
              <w:top w:w="60" w:type="dxa"/>
              <w:left w:w="80" w:type="dxa"/>
              <w:bottom w:w="60" w:type="dxa"/>
              <w:right w:w="80" w:type="dxa"/>
            </w:tcMar>
          </w:tcPr>
          <w:p w14:paraId="02725E73" w14:textId="77777777" w:rsidR="0092069B" w:rsidRDefault="00000000">
            <w:pPr>
              <w:spacing w:before="20" w:after="20" w:line="220" w:lineRule="auto"/>
            </w:pPr>
            <w:r>
              <w:rPr>
                <w:sz w:val="16"/>
                <w:szCs w:val="16"/>
              </w:rPr>
              <w:t xml:space="preserve">Bourque et al. (2022); </w:t>
            </w:r>
            <w:proofErr w:type="spellStart"/>
            <w:r>
              <w:rPr>
                <w:sz w:val="16"/>
                <w:szCs w:val="16"/>
              </w:rPr>
              <w:t>Caravedo</w:t>
            </w:r>
            <w:proofErr w:type="spellEnd"/>
            <w:r>
              <w:rPr>
                <w:sz w:val="16"/>
                <w:szCs w:val="16"/>
              </w:rPr>
              <w:t xml:space="preserve"> and White (2023); Lu et al. (2025)</w:t>
            </w:r>
          </w:p>
        </w:tc>
      </w:tr>
    </w:tbl>
    <w:p w14:paraId="656B3BB9" w14:textId="77777777" w:rsidR="0092069B" w:rsidRDefault="00000000">
      <w:pPr>
        <w:spacing w:before="100" w:after="260" w:line="260" w:lineRule="auto"/>
      </w:pPr>
      <w:r>
        <w:rPr>
          <w:sz w:val="18"/>
          <w:szCs w:val="18"/>
        </w:rPr>
        <w:t>Table note: Strength of evidence refers to the best available design addressing the strategy as deployed, not to the mechanistic plausibility of the approach.</w:t>
      </w:r>
    </w:p>
    <w:p w14:paraId="5DDF1587" w14:textId="77777777" w:rsidR="0092069B" w:rsidRDefault="00000000">
      <w:pPr>
        <w:pStyle w:val="Heading1"/>
        <w:spacing w:before="360" w:after="160"/>
      </w:pPr>
      <w:r>
        <w:rPr>
          <w:b/>
          <w:bCs/>
          <w:color w:val="000000"/>
          <w:sz w:val="26"/>
          <w:szCs w:val="26"/>
        </w:rPr>
        <w:t>7. Future Directions</w:t>
      </w:r>
    </w:p>
    <w:p w14:paraId="5249B668" w14:textId="77777777" w:rsidR="0092069B" w:rsidRDefault="00000000">
      <w:pPr>
        <w:spacing w:after="160" w:line="320" w:lineRule="auto"/>
        <w:jc w:val="both"/>
      </w:pPr>
      <w:r>
        <w:t>The research priorities that follow are ordered by the extent to which resolving them would change practice, rather than by feasibility. Several of the most commonly proposed research activities in this field, particularly further cross-sectional prevalence surveys using microscopy, would add little to what is already known and are not included.</w:t>
      </w:r>
    </w:p>
    <w:p w14:paraId="70E78FDE" w14:textId="77777777" w:rsidR="0092069B" w:rsidRDefault="00000000">
      <w:pPr>
        <w:pStyle w:val="Heading2"/>
        <w:spacing w:before="260" w:after="120"/>
      </w:pPr>
      <w:r>
        <w:rPr>
          <w:b/>
          <w:bCs/>
          <w:color w:val="000000"/>
          <w:sz w:val="23"/>
          <w:szCs w:val="23"/>
        </w:rPr>
        <w:t xml:space="preserve">7.1 Attributing morbidity to specific parasites within a mixed </w:t>
      </w:r>
      <w:proofErr w:type="spellStart"/>
      <w:r>
        <w:rPr>
          <w:b/>
          <w:bCs/>
          <w:color w:val="000000"/>
          <w:sz w:val="23"/>
          <w:szCs w:val="23"/>
        </w:rPr>
        <w:t>enteropathogen</w:t>
      </w:r>
      <w:proofErr w:type="spellEnd"/>
      <w:r>
        <w:rPr>
          <w:b/>
          <w:bCs/>
          <w:color w:val="000000"/>
          <w:sz w:val="23"/>
          <w:szCs w:val="23"/>
        </w:rPr>
        <w:t xml:space="preserve"> environment</w:t>
      </w:r>
    </w:p>
    <w:p w14:paraId="7E871A8D" w14:textId="77777777" w:rsidR="0092069B" w:rsidRDefault="00000000">
      <w:pPr>
        <w:spacing w:after="160" w:line="320" w:lineRule="auto"/>
        <w:jc w:val="both"/>
      </w:pPr>
      <w:r>
        <w:t xml:space="preserve">The single largest obstacle to rational prevention is that the parasite-specific contribution to chronic morbidity cannot presently be isolated. Cohort analyses using quantitative molecular diagnosis have related total </w:t>
      </w:r>
      <w:proofErr w:type="spellStart"/>
      <w:r>
        <w:t>enteropathogen</w:t>
      </w:r>
      <w:proofErr w:type="spellEnd"/>
      <w:r>
        <w:t xml:space="preserve"> burden to linear growth but cannot apportion that burden among organisms (</w:t>
      </w:r>
      <w:proofErr w:type="spellStart"/>
      <w:r>
        <w:t>Rogawski</w:t>
      </w:r>
      <w:proofErr w:type="spellEnd"/>
      <w:r>
        <w:t xml:space="preserve"> et al., 2018), and mechanistic work indicates that at least one important pathway operates without the inflammatory signature that current biomarker panels detect (</w:t>
      </w:r>
      <w:proofErr w:type="spellStart"/>
      <w:r>
        <w:t>Giallourou</w:t>
      </w:r>
      <w:proofErr w:type="spellEnd"/>
      <w:r>
        <w:t xml:space="preserve"> et al., 2023). What is required is longitudinal cohort study with repeated quantitative molecular measurement of the full enteric pathogen panel, paired with metabolic rather than solely inflammatory markers of intestinal function, in populations with contrasting parasite composition. The outcome measures should include linear growth velocity, iron and micronutrient status, and directly measured absorptive function. The purpose is not to demonstrate association once more but to estimate the proportion of growth deficit attributable to specific parasites, which is the quantity that determines whether parasite-directed intervention is a rational use of resources. This is an immediate priority because every subsequent programmatic question depends on the answer.</w:t>
      </w:r>
    </w:p>
    <w:p w14:paraId="20128A70" w14:textId="77777777" w:rsidR="0092069B" w:rsidRDefault="00000000">
      <w:pPr>
        <w:pStyle w:val="Heading2"/>
        <w:spacing w:before="260" w:after="120"/>
      </w:pPr>
      <w:r>
        <w:rPr>
          <w:b/>
          <w:bCs/>
          <w:color w:val="000000"/>
          <w:sz w:val="23"/>
          <w:szCs w:val="23"/>
        </w:rPr>
        <w:t>7.2 Determining what makes transmission interruption achievable in some settings and not others</w:t>
      </w:r>
    </w:p>
    <w:p w14:paraId="02559DDE" w14:textId="77777777" w:rsidR="0092069B" w:rsidRDefault="00000000">
      <w:pPr>
        <w:spacing w:after="160" w:line="320" w:lineRule="auto"/>
        <w:jc w:val="both"/>
      </w:pPr>
      <w:r>
        <w:t>The DeWorm3 result, in which identical intervention produced transmission interruption in 55% of intervention clusters in one country, 5% in another and none in a third, defines the most important open question in helminth control (</w:t>
      </w:r>
      <w:proofErr w:type="spellStart"/>
      <w:r>
        <w:t>Ajjampur</w:t>
      </w:r>
      <w:proofErr w:type="spellEnd"/>
      <w:r>
        <w:t xml:space="preserve"> et al., 2025). The variation cannot be explained by drug efficacy </w:t>
      </w:r>
      <w:r>
        <w:lastRenderedPageBreak/>
        <w:t>or coverage, and is therefore ecological, environmental or demographic. Resolving it requires nested studies within existing trial cohorts that characterise environmental contamination directly through soil and water sampling, that quantify the adult reservoir and its occupational and behavioural determinants as has been done at the Indian site (</w:t>
      </w:r>
      <w:proofErr w:type="spellStart"/>
      <w:r>
        <w:t>Ajjampur</w:t>
      </w:r>
      <w:proofErr w:type="spellEnd"/>
      <w:r>
        <w:t xml:space="preserve"> et al., 2021), and that measure reinfection dynamics at fine temporal resolution. The appropriate design is a comparative ecological study across sites with divergent outcomes rather than a further trial of the same intervention. Without this, decisions about where community-wide treatment is worth its considerable delivery cost will remain arbitrary.</w:t>
      </w:r>
    </w:p>
    <w:p w14:paraId="29960373" w14:textId="77777777" w:rsidR="0092069B" w:rsidRDefault="00000000">
      <w:pPr>
        <w:pStyle w:val="Heading2"/>
        <w:spacing w:before="260" w:after="120"/>
      </w:pPr>
      <w:r>
        <w:rPr>
          <w:b/>
          <w:bCs/>
          <w:color w:val="000000"/>
          <w:sz w:val="23"/>
          <w:szCs w:val="23"/>
        </w:rPr>
        <w:t>7.3 Establishing whether reduced anthelmintic efficacy reflects genetic resistance</w:t>
      </w:r>
    </w:p>
    <w:p w14:paraId="7B0F1649" w14:textId="77777777" w:rsidR="0092069B" w:rsidRDefault="00000000">
      <w:pPr>
        <w:spacing w:after="160" w:line="320" w:lineRule="auto"/>
        <w:jc w:val="both"/>
      </w:pPr>
      <w:r>
        <w:t>Field observations of reduced efficacy and the absence of confirmed resistance mechanisms in the principal human hookworm species constitute a genuine ambiguity rather than an evidential gap that more of the same data would fill (Bekele et al., 2024; Tenorio et al., 2024). What is needed is longitudinal genotypic surveillance embedded within treatment programmes, in which pre-treatment and post-treatment parasite populations from the same individuals are genotyped at candidate loci and related to individually measured egg reduction rates using quantitative molecular rather than microscopic quantification. Sampling should include Asian populations, from which resistance-associated polymorphisms have not been reported and where the largest treated populations reside. The distinction matters because a resistance problem requires drug rotation or combination therapy, whereas a reinfection or drug-quality problem requires entirely different responses. This work is a medium-term priority and depends on the diagnostic developments described below.</w:t>
      </w:r>
    </w:p>
    <w:p w14:paraId="0CD6F89E" w14:textId="77777777" w:rsidR="0092069B" w:rsidRDefault="00000000">
      <w:pPr>
        <w:pStyle w:val="Heading2"/>
        <w:spacing w:before="260" w:after="120"/>
      </w:pPr>
      <w:r>
        <w:rPr>
          <w:b/>
          <w:bCs/>
          <w:color w:val="000000"/>
          <w:sz w:val="23"/>
          <w:szCs w:val="23"/>
        </w:rPr>
        <w:t>7.4 Defining action thresholds for molecular surveillance</w:t>
      </w:r>
    </w:p>
    <w:p w14:paraId="2E0C6FE2" w14:textId="77777777" w:rsidR="0092069B" w:rsidRDefault="00000000">
      <w:pPr>
        <w:spacing w:after="160" w:line="320" w:lineRule="auto"/>
        <w:jc w:val="both"/>
      </w:pPr>
      <w:r>
        <w:t>Molecular diagnosis is now demonstrably necessary for accurate prevalence estimation in treated populations (Benjamin-Chung et al., 2020; Dunn et al., 2020), yet programmatic decision rules remain calibrated to microscopy-derived prevalence and intensity categories. Until molecular equivalents of the thresholds that trigger, intensify or stop treatment are established and validated, improved diagnostic sensitivity will generate data that programmes cannot act on. The required work is methodological and comparative: parallel measurement by both methods across a gradient of transmission intensity, linked to subsequent recrudescence, so that molecular cut-offs predictive of sustained interruption can be derived. Studies should report species-specific results, since the relationship between the two methods differs by organism and is not unidirectional.</w:t>
      </w:r>
    </w:p>
    <w:p w14:paraId="2E2D0A91" w14:textId="77777777" w:rsidR="0092069B" w:rsidRDefault="00000000">
      <w:pPr>
        <w:pStyle w:val="Heading2"/>
        <w:spacing w:before="260" w:after="120"/>
      </w:pPr>
      <w:r>
        <w:rPr>
          <w:b/>
          <w:bCs/>
          <w:color w:val="000000"/>
          <w:sz w:val="23"/>
          <w:szCs w:val="23"/>
        </w:rPr>
        <w:t>7.5 Resolving the clinical status of frequently detected protozoa</w:t>
      </w:r>
    </w:p>
    <w:p w14:paraId="10FB31DF" w14:textId="77777777" w:rsidR="0092069B" w:rsidRDefault="00000000">
      <w:pPr>
        <w:spacing w:after="160" w:line="320" w:lineRule="auto"/>
        <w:jc w:val="both"/>
      </w:pPr>
      <w:r>
        <w:t xml:space="preserve">Molecular detection has outpaced the criteria for attributing disease, and </w:t>
      </w:r>
      <w:r>
        <w:rPr>
          <w:i/>
          <w:iCs/>
        </w:rPr>
        <w:t>Blastocystis</w:t>
      </w:r>
      <w:r>
        <w:t xml:space="preserve"> is the clearest instance (Antonetti et al., 2024; Deng &amp; Tan, 2025). Prospective cohorts with subtype-level characterisation, repeated measurement of the microbiota and host metabolic profile, and prospectively collected symptom data are required to determine whether carriage precedes, follows or is independent of the microbial states with which it is associated. Interventional studies in which carriage is cleared and outcomes measured would be more decisive still, provided that a defined symptomatic population is enrolled. Without such work, the expansion of molecular stool panels into routine practice will generate detections whose management is undefined.</w:t>
      </w:r>
    </w:p>
    <w:p w14:paraId="0FB4FFA5" w14:textId="77777777" w:rsidR="0092069B" w:rsidRDefault="00000000">
      <w:pPr>
        <w:pStyle w:val="Heading2"/>
        <w:spacing w:before="260" w:after="120"/>
      </w:pPr>
      <w:r>
        <w:rPr>
          <w:b/>
          <w:bCs/>
          <w:color w:val="000000"/>
          <w:sz w:val="23"/>
          <w:szCs w:val="23"/>
        </w:rPr>
        <w:lastRenderedPageBreak/>
        <w:t>7.6 Advancing therapeutics and vaccines against the neglected organisms</w:t>
      </w:r>
    </w:p>
    <w:p w14:paraId="2DC0294B" w14:textId="3ABE0DD3" w:rsidR="0092069B" w:rsidRDefault="00000000">
      <w:pPr>
        <w:spacing w:after="160" w:line="320" w:lineRule="auto"/>
        <w:jc w:val="both"/>
      </w:pPr>
      <w:r>
        <w:t xml:space="preserve">The therapeutic pipeline is unbalanced. Substantial progress has been made against </w:t>
      </w:r>
      <w:r>
        <w:rPr>
          <w:i/>
          <w:iCs/>
        </w:rPr>
        <w:t xml:space="preserve">T. </w:t>
      </w:r>
      <w:proofErr w:type="spellStart"/>
      <w:r>
        <w:rPr>
          <w:i/>
          <w:iCs/>
        </w:rPr>
        <w:t>trichiura</w:t>
      </w:r>
      <w:proofErr w:type="spellEnd"/>
      <w:r>
        <w:t xml:space="preserve"> and hookworm through combination and novel anthelmintic therapy (</w:t>
      </w:r>
      <w:proofErr w:type="spellStart"/>
      <w:r>
        <w:t>Hürlimann</w:t>
      </w:r>
      <w:proofErr w:type="spellEnd"/>
      <w:r>
        <w:t xml:space="preserve"> et al., 2022; </w:t>
      </w:r>
      <w:proofErr w:type="spellStart"/>
      <w:r>
        <w:t>Krolewiecki</w:t>
      </w:r>
      <w:proofErr w:type="spellEnd"/>
      <w:r>
        <w:t xml:space="preserve"> et al., 2025; </w:t>
      </w:r>
      <w:proofErr w:type="spellStart"/>
      <w:r>
        <w:t>Mrimi</w:t>
      </w:r>
      <w:proofErr w:type="spellEnd"/>
      <w:r>
        <w:t xml:space="preserve"> et al., 2023; Taylor et al., 2024), while cryptosporidiosis retains a single approved agent of reduced efficacy in the populations that most need it (</w:t>
      </w:r>
      <w:proofErr w:type="spellStart"/>
      <w:r>
        <w:t>Caravedo</w:t>
      </w:r>
      <w:proofErr w:type="spellEnd"/>
      <w:r>
        <w:t xml:space="preserve"> &amp; White, 2023; Lu et al., 2025) and refractory giardiasis depends on agents of restricted availability (Bourque et al., 2022). The priority for cryptosporidiosis is candidate development followed by trials in malnourished and immunosuppressed children with mortality, diarrhoeal duration and subsequent growth as outcomes, since efficacy in immunocompetent adults has already proved a poor guide. For hookworm vaccine development the binding constraint is the absence of a human correlate of protection, and controlled human infection studies in previously unexposed and in endemic populations, designed explicitly to identify such a correlate rather than to demonstrate efficacy, would be the most efficient route forward (</w:t>
      </w:r>
      <w:proofErr w:type="spellStart"/>
      <w:r w:rsidR="00D81875" w:rsidRPr="00D81875">
        <w:t>Adegnika</w:t>
      </w:r>
      <w:proofErr w:type="spellEnd"/>
      <w:r>
        <w:t xml:space="preserve"> et al., 2021; Colombo &amp; </w:t>
      </w:r>
      <w:proofErr w:type="spellStart"/>
      <w:r>
        <w:t>Grencis</w:t>
      </w:r>
      <w:proofErr w:type="spellEnd"/>
      <w:r>
        <w:t>, 2020).</w:t>
      </w:r>
    </w:p>
    <w:p w14:paraId="3FFCFF9B" w14:textId="77777777" w:rsidR="0092069B" w:rsidRDefault="00000000">
      <w:pPr>
        <w:pStyle w:val="Heading2"/>
        <w:spacing w:before="260" w:after="120"/>
      </w:pPr>
      <w:r>
        <w:rPr>
          <w:b/>
          <w:bCs/>
          <w:color w:val="000000"/>
          <w:sz w:val="23"/>
          <w:szCs w:val="23"/>
        </w:rPr>
        <w:t>7.7 Species-resolved projection of ecological change</w:t>
      </w:r>
    </w:p>
    <w:p w14:paraId="67E6C395" w14:textId="77777777" w:rsidR="0092069B" w:rsidRDefault="00000000">
      <w:pPr>
        <w:spacing w:after="160" w:line="320" w:lineRule="auto"/>
        <w:jc w:val="both"/>
      </w:pPr>
      <w:r>
        <w:t>Projection of how climatic change will redistribute intestinal parasite transmission requires species-level ecological parameters rather than group-level assumptions, since the direction of change differs between species according to the tolerances of their free-living stages (</w:t>
      </w:r>
      <w:proofErr w:type="spellStart"/>
      <w:r>
        <w:t>Vanalli</w:t>
      </w:r>
      <w:proofErr w:type="spellEnd"/>
      <w:r>
        <w:t xml:space="preserve"> et al., 2024). Empirical determination of the thermal and moisture limits of the environmental stages of the principal human helminths, combined with soil-level environmental monitoring in sentinel sites, would allow projections that are useful for surveillance planning. This is a longer-term priority, but the parameter estimation on which it depends can begin immediately and is comparatively inexpensive.</w:t>
      </w:r>
    </w:p>
    <w:p w14:paraId="1AEA2903" w14:textId="77777777" w:rsidR="0092069B" w:rsidRDefault="00000000">
      <w:pPr>
        <w:spacing w:after="160" w:line="320" w:lineRule="auto"/>
        <w:jc w:val="both"/>
      </w:pPr>
      <w:r>
        <w:t>Table 5 sets out these priorities with the specific inadequacy of current evidence, the design that would address it and the outcome measures that would make the result actionable. The priorities are not independent: the diagnostic threshold work in the fourth row conditions the resistance surveillance in the third, and the attribution work in the first row determines whether the programmatic questions are worth answering at all.</w:t>
      </w:r>
    </w:p>
    <w:p w14:paraId="24341190" w14:textId="77777777" w:rsidR="0092069B" w:rsidRDefault="00000000">
      <w:pPr>
        <w:spacing w:before="200" w:after="100" w:line="280" w:lineRule="auto"/>
      </w:pPr>
      <w:r>
        <w:rPr>
          <w:b/>
          <w:bCs/>
          <w:sz w:val="20"/>
          <w:szCs w:val="20"/>
        </w:rPr>
        <w:t>Table 5. Research priorities, evidential inadequacy and proposed approach</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0"/>
        <w:gridCol w:w="1500"/>
        <w:gridCol w:w="1600"/>
        <w:gridCol w:w="1700"/>
        <w:gridCol w:w="1500"/>
        <w:gridCol w:w="1426"/>
      </w:tblGrid>
      <w:tr w:rsidR="0092069B" w14:paraId="5ECDC084" w14:textId="77777777">
        <w:trPr>
          <w:tblHeader/>
        </w:trPr>
        <w:tc>
          <w:tcPr>
            <w:tcW w:w="1300" w:type="dxa"/>
            <w:shd w:val="clear" w:color="auto" w:fill="E8E8E8"/>
            <w:tcMar>
              <w:top w:w="60" w:type="dxa"/>
              <w:left w:w="80" w:type="dxa"/>
              <w:bottom w:w="60" w:type="dxa"/>
              <w:right w:w="80" w:type="dxa"/>
            </w:tcMar>
          </w:tcPr>
          <w:p w14:paraId="7C928100" w14:textId="77777777" w:rsidR="0092069B" w:rsidRDefault="00000000">
            <w:pPr>
              <w:spacing w:before="20" w:after="20" w:line="220" w:lineRule="auto"/>
            </w:pPr>
            <w:r>
              <w:rPr>
                <w:b/>
                <w:bCs/>
                <w:sz w:val="16"/>
                <w:szCs w:val="16"/>
              </w:rPr>
              <w:t>Priority</w:t>
            </w:r>
          </w:p>
        </w:tc>
        <w:tc>
          <w:tcPr>
            <w:tcW w:w="1500" w:type="dxa"/>
            <w:shd w:val="clear" w:color="auto" w:fill="E8E8E8"/>
            <w:tcMar>
              <w:top w:w="60" w:type="dxa"/>
              <w:left w:w="80" w:type="dxa"/>
              <w:bottom w:w="60" w:type="dxa"/>
              <w:right w:w="80" w:type="dxa"/>
            </w:tcMar>
          </w:tcPr>
          <w:p w14:paraId="1B6BC5FA" w14:textId="77777777" w:rsidR="0092069B" w:rsidRDefault="00000000">
            <w:pPr>
              <w:spacing w:before="20" w:after="20" w:line="220" w:lineRule="auto"/>
            </w:pPr>
            <w:r>
              <w:rPr>
                <w:b/>
                <w:bCs/>
                <w:sz w:val="16"/>
                <w:szCs w:val="16"/>
              </w:rPr>
              <w:t>Unresolved problem</w:t>
            </w:r>
          </w:p>
        </w:tc>
        <w:tc>
          <w:tcPr>
            <w:tcW w:w="1600" w:type="dxa"/>
            <w:shd w:val="clear" w:color="auto" w:fill="E8E8E8"/>
            <w:tcMar>
              <w:top w:w="60" w:type="dxa"/>
              <w:left w:w="80" w:type="dxa"/>
              <w:bottom w:w="60" w:type="dxa"/>
              <w:right w:w="80" w:type="dxa"/>
            </w:tcMar>
          </w:tcPr>
          <w:p w14:paraId="1096CDBB" w14:textId="77777777" w:rsidR="0092069B" w:rsidRDefault="00000000">
            <w:pPr>
              <w:spacing w:before="20" w:after="20" w:line="220" w:lineRule="auto"/>
            </w:pPr>
            <w:r>
              <w:rPr>
                <w:b/>
                <w:bCs/>
                <w:sz w:val="16"/>
                <w:szCs w:val="16"/>
              </w:rPr>
              <w:t>Why current evidence is inadequate</w:t>
            </w:r>
          </w:p>
        </w:tc>
        <w:tc>
          <w:tcPr>
            <w:tcW w:w="1700" w:type="dxa"/>
            <w:shd w:val="clear" w:color="auto" w:fill="E8E8E8"/>
            <w:tcMar>
              <w:top w:w="60" w:type="dxa"/>
              <w:left w:w="80" w:type="dxa"/>
              <w:bottom w:w="60" w:type="dxa"/>
              <w:right w:w="80" w:type="dxa"/>
            </w:tcMar>
          </w:tcPr>
          <w:p w14:paraId="045F4479" w14:textId="77777777" w:rsidR="0092069B" w:rsidRDefault="00000000">
            <w:pPr>
              <w:spacing w:before="20" w:after="20" w:line="220" w:lineRule="auto"/>
            </w:pPr>
            <w:r>
              <w:rPr>
                <w:b/>
                <w:bCs/>
                <w:sz w:val="16"/>
                <w:szCs w:val="16"/>
              </w:rPr>
              <w:t>Proposed design and setting</w:t>
            </w:r>
          </w:p>
        </w:tc>
        <w:tc>
          <w:tcPr>
            <w:tcW w:w="1500" w:type="dxa"/>
            <w:shd w:val="clear" w:color="auto" w:fill="E8E8E8"/>
            <w:tcMar>
              <w:top w:w="60" w:type="dxa"/>
              <w:left w:w="80" w:type="dxa"/>
              <w:bottom w:w="60" w:type="dxa"/>
              <w:right w:w="80" w:type="dxa"/>
            </w:tcMar>
          </w:tcPr>
          <w:p w14:paraId="55D278A6" w14:textId="77777777" w:rsidR="0092069B" w:rsidRDefault="00000000">
            <w:pPr>
              <w:spacing w:before="20" w:after="20" w:line="220" w:lineRule="auto"/>
            </w:pPr>
            <w:r>
              <w:rPr>
                <w:b/>
                <w:bCs/>
                <w:sz w:val="16"/>
                <w:szCs w:val="16"/>
              </w:rPr>
              <w:t>Key outcome measures</w:t>
            </w:r>
          </w:p>
        </w:tc>
        <w:tc>
          <w:tcPr>
            <w:tcW w:w="1426" w:type="dxa"/>
            <w:shd w:val="clear" w:color="auto" w:fill="E8E8E8"/>
            <w:tcMar>
              <w:top w:w="60" w:type="dxa"/>
              <w:left w:w="80" w:type="dxa"/>
              <w:bottom w:w="60" w:type="dxa"/>
              <w:right w:w="80" w:type="dxa"/>
            </w:tcMar>
          </w:tcPr>
          <w:p w14:paraId="066B55F8" w14:textId="77777777" w:rsidR="0092069B" w:rsidRDefault="00000000">
            <w:pPr>
              <w:spacing w:before="20" w:after="20" w:line="220" w:lineRule="auto"/>
            </w:pPr>
            <w:r>
              <w:rPr>
                <w:b/>
                <w:bCs/>
                <w:sz w:val="16"/>
                <w:szCs w:val="16"/>
              </w:rPr>
              <w:t>Supporting references</w:t>
            </w:r>
          </w:p>
        </w:tc>
      </w:tr>
      <w:tr w:rsidR="0092069B" w14:paraId="69376D62" w14:textId="77777777">
        <w:tc>
          <w:tcPr>
            <w:tcW w:w="1300" w:type="dxa"/>
            <w:tcMar>
              <w:top w:w="60" w:type="dxa"/>
              <w:left w:w="80" w:type="dxa"/>
              <w:bottom w:w="60" w:type="dxa"/>
              <w:right w:w="80" w:type="dxa"/>
            </w:tcMar>
          </w:tcPr>
          <w:p w14:paraId="165F755A" w14:textId="77777777" w:rsidR="0092069B" w:rsidRDefault="00000000">
            <w:pPr>
              <w:spacing w:before="20" w:after="20" w:line="220" w:lineRule="auto"/>
            </w:pPr>
            <w:r>
              <w:rPr>
                <w:sz w:val="16"/>
                <w:szCs w:val="16"/>
              </w:rPr>
              <w:t>Parasite-specific attribution of chronic morbidity</w:t>
            </w:r>
          </w:p>
        </w:tc>
        <w:tc>
          <w:tcPr>
            <w:tcW w:w="1500" w:type="dxa"/>
            <w:tcMar>
              <w:top w:w="60" w:type="dxa"/>
              <w:left w:w="80" w:type="dxa"/>
              <w:bottom w:w="60" w:type="dxa"/>
              <w:right w:w="80" w:type="dxa"/>
            </w:tcMar>
          </w:tcPr>
          <w:p w14:paraId="6725B8A9" w14:textId="77777777" w:rsidR="0092069B" w:rsidRDefault="00000000">
            <w:pPr>
              <w:spacing w:before="20" w:after="20" w:line="220" w:lineRule="auto"/>
            </w:pPr>
            <w:r>
              <w:rPr>
                <w:sz w:val="16"/>
                <w:szCs w:val="16"/>
              </w:rPr>
              <w:t>Proportion of growth and nutritional deficit attributable to individual parasites</w:t>
            </w:r>
          </w:p>
        </w:tc>
        <w:tc>
          <w:tcPr>
            <w:tcW w:w="1600" w:type="dxa"/>
            <w:tcMar>
              <w:top w:w="60" w:type="dxa"/>
              <w:left w:w="80" w:type="dxa"/>
              <w:bottom w:w="60" w:type="dxa"/>
              <w:right w:w="80" w:type="dxa"/>
            </w:tcMar>
          </w:tcPr>
          <w:p w14:paraId="2D2A29BA" w14:textId="77777777" w:rsidR="0092069B" w:rsidRDefault="00000000">
            <w:pPr>
              <w:spacing w:before="20" w:after="20" w:line="220" w:lineRule="auto"/>
            </w:pPr>
            <w:r>
              <w:rPr>
                <w:sz w:val="16"/>
                <w:szCs w:val="16"/>
              </w:rPr>
              <w:t xml:space="preserve">Cohort analyses measure total </w:t>
            </w:r>
            <w:proofErr w:type="spellStart"/>
            <w:r>
              <w:rPr>
                <w:sz w:val="16"/>
                <w:szCs w:val="16"/>
              </w:rPr>
              <w:t>enteropathogen</w:t>
            </w:r>
            <w:proofErr w:type="spellEnd"/>
            <w:r>
              <w:rPr>
                <w:sz w:val="16"/>
                <w:szCs w:val="16"/>
              </w:rPr>
              <w:t xml:space="preserve"> burden; inflammatory biomarker panels miss metabolically mediated lesions</w:t>
            </w:r>
          </w:p>
        </w:tc>
        <w:tc>
          <w:tcPr>
            <w:tcW w:w="1700" w:type="dxa"/>
            <w:tcMar>
              <w:top w:w="60" w:type="dxa"/>
              <w:left w:w="80" w:type="dxa"/>
              <w:bottom w:w="60" w:type="dxa"/>
              <w:right w:w="80" w:type="dxa"/>
            </w:tcMar>
          </w:tcPr>
          <w:p w14:paraId="458F817D" w14:textId="77777777" w:rsidR="0092069B" w:rsidRDefault="00000000">
            <w:pPr>
              <w:spacing w:before="20" w:after="20" w:line="220" w:lineRule="auto"/>
            </w:pPr>
            <w:r>
              <w:rPr>
                <w:sz w:val="16"/>
                <w:szCs w:val="16"/>
              </w:rPr>
              <w:t>Longitudinal birth cohorts with repeated quantitative molecular panels and metabolic markers, in populations of contrasting parasite composition</w:t>
            </w:r>
          </w:p>
        </w:tc>
        <w:tc>
          <w:tcPr>
            <w:tcW w:w="1500" w:type="dxa"/>
            <w:tcMar>
              <w:top w:w="60" w:type="dxa"/>
              <w:left w:w="80" w:type="dxa"/>
              <w:bottom w:w="60" w:type="dxa"/>
              <w:right w:w="80" w:type="dxa"/>
            </w:tcMar>
          </w:tcPr>
          <w:p w14:paraId="2D6765BD" w14:textId="77777777" w:rsidR="0092069B" w:rsidRDefault="00000000">
            <w:pPr>
              <w:spacing w:before="20" w:after="20" w:line="220" w:lineRule="auto"/>
            </w:pPr>
            <w:r>
              <w:rPr>
                <w:sz w:val="16"/>
                <w:szCs w:val="16"/>
              </w:rPr>
              <w:t>Linear growth velocity; iron and micronutrient status; directly measured absorptive function</w:t>
            </w:r>
          </w:p>
        </w:tc>
        <w:tc>
          <w:tcPr>
            <w:tcW w:w="1426" w:type="dxa"/>
            <w:tcMar>
              <w:top w:w="60" w:type="dxa"/>
              <w:left w:w="80" w:type="dxa"/>
              <w:bottom w:w="60" w:type="dxa"/>
              <w:right w:w="80" w:type="dxa"/>
            </w:tcMar>
          </w:tcPr>
          <w:p w14:paraId="72B6C884" w14:textId="77777777" w:rsidR="0092069B" w:rsidRDefault="00000000">
            <w:pPr>
              <w:spacing w:before="20" w:after="20" w:line="220" w:lineRule="auto"/>
            </w:pPr>
            <w:r w:rsidRPr="00D81875">
              <w:rPr>
                <w:sz w:val="16"/>
                <w:szCs w:val="16"/>
                <w:lang w:val="nl-BE"/>
              </w:rPr>
              <w:t xml:space="preserve">Rogawski et al. (2018); Giallourou et al. </w:t>
            </w:r>
            <w:r>
              <w:rPr>
                <w:sz w:val="16"/>
                <w:szCs w:val="16"/>
              </w:rPr>
              <w:t>(2023); Harper et al. (2018)</w:t>
            </w:r>
          </w:p>
        </w:tc>
      </w:tr>
      <w:tr w:rsidR="0092069B" w14:paraId="2FFE3AFE" w14:textId="77777777">
        <w:tc>
          <w:tcPr>
            <w:tcW w:w="1300" w:type="dxa"/>
            <w:tcMar>
              <w:top w:w="60" w:type="dxa"/>
              <w:left w:w="80" w:type="dxa"/>
              <w:bottom w:w="60" w:type="dxa"/>
              <w:right w:w="80" w:type="dxa"/>
            </w:tcMar>
          </w:tcPr>
          <w:p w14:paraId="0E6C2524" w14:textId="77777777" w:rsidR="0092069B" w:rsidRDefault="00000000">
            <w:pPr>
              <w:spacing w:before="20" w:after="20" w:line="220" w:lineRule="auto"/>
            </w:pPr>
            <w:r>
              <w:rPr>
                <w:sz w:val="16"/>
                <w:szCs w:val="16"/>
              </w:rPr>
              <w:t>Determinants of transmission interruption</w:t>
            </w:r>
          </w:p>
        </w:tc>
        <w:tc>
          <w:tcPr>
            <w:tcW w:w="1500" w:type="dxa"/>
            <w:tcMar>
              <w:top w:w="60" w:type="dxa"/>
              <w:left w:w="80" w:type="dxa"/>
              <w:bottom w:w="60" w:type="dxa"/>
              <w:right w:w="80" w:type="dxa"/>
            </w:tcMar>
          </w:tcPr>
          <w:p w14:paraId="65D99611" w14:textId="77777777" w:rsidR="0092069B" w:rsidRDefault="00000000">
            <w:pPr>
              <w:spacing w:before="20" w:after="20" w:line="220" w:lineRule="auto"/>
            </w:pPr>
            <w:r>
              <w:rPr>
                <w:sz w:val="16"/>
                <w:szCs w:val="16"/>
              </w:rPr>
              <w:t>Why identical community-wide treatment interrupts transmission in some settings and not others</w:t>
            </w:r>
          </w:p>
        </w:tc>
        <w:tc>
          <w:tcPr>
            <w:tcW w:w="1600" w:type="dxa"/>
            <w:tcMar>
              <w:top w:w="60" w:type="dxa"/>
              <w:left w:w="80" w:type="dxa"/>
              <w:bottom w:w="60" w:type="dxa"/>
              <w:right w:w="80" w:type="dxa"/>
            </w:tcMar>
          </w:tcPr>
          <w:p w14:paraId="675EE8A9" w14:textId="77777777" w:rsidR="0092069B" w:rsidRDefault="00000000">
            <w:pPr>
              <w:spacing w:before="20" w:after="20" w:line="220" w:lineRule="auto"/>
            </w:pPr>
            <w:r>
              <w:rPr>
                <w:sz w:val="16"/>
                <w:szCs w:val="16"/>
              </w:rPr>
              <w:t>Trial evidence establishes that variation exists but not what drives it; coverage and drug efficacy are excluded as explanations</w:t>
            </w:r>
          </w:p>
        </w:tc>
        <w:tc>
          <w:tcPr>
            <w:tcW w:w="1700" w:type="dxa"/>
            <w:tcMar>
              <w:top w:w="60" w:type="dxa"/>
              <w:left w:w="80" w:type="dxa"/>
              <w:bottom w:w="60" w:type="dxa"/>
              <w:right w:w="80" w:type="dxa"/>
            </w:tcMar>
          </w:tcPr>
          <w:p w14:paraId="3F10771B" w14:textId="77777777" w:rsidR="0092069B" w:rsidRDefault="00000000">
            <w:pPr>
              <w:spacing w:before="20" w:after="20" w:line="220" w:lineRule="auto"/>
            </w:pPr>
            <w:r>
              <w:rPr>
                <w:sz w:val="16"/>
                <w:szCs w:val="16"/>
              </w:rPr>
              <w:t>Comparative ecological studies nested in existing trial cohorts with environmental sampling and reservoir characterisation</w:t>
            </w:r>
          </w:p>
        </w:tc>
        <w:tc>
          <w:tcPr>
            <w:tcW w:w="1500" w:type="dxa"/>
            <w:tcMar>
              <w:top w:w="60" w:type="dxa"/>
              <w:left w:w="80" w:type="dxa"/>
              <w:bottom w:w="60" w:type="dxa"/>
              <w:right w:w="80" w:type="dxa"/>
            </w:tcMar>
          </w:tcPr>
          <w:p w14:paraId="75B62D3C" w14:textId="77777777" w:rsidR="0092069B" w:rsidRDefault="00000000">
            <w:pPr>
              <w:spacing w:before="20" w:after="20" w:line="220" w:lineRule="auto"/>
            </w:pPr>
            <w:r>
              <w:rPr>
                <w:sz w:val="16"/>
                <w:szCs w:val="16"/>
              </w:rPr>
              <w:t>Cluster-level transmission interruption; environmental contamination; reinfection rate by age and occupation</w:t>
            </w:r>
          </w:p>
        </w:tc>
        <w:tc>
          <w:tcPr>
            <w:tcW w:w="1426" w:type="dxa"/>
            <w:tcMar>
              <w:top w:w="60" w:type="dxa"/>
              <w:left w:w="80" w:type="dxa"/>
              <w:bottom w:w="60" w:type="dxa"/>
              <w:right w:w="80" w:type="dxa"/>
            </w:tcMar>
          </w:tcPr>
          <w:p w14:paraId="68F23C3F" w14:textId="77777777" w:rsidR="0092069B" w:rsidRDefault="00000000">
            <w:pPr>
              <w:spacing w:before="20" w:after="20" w:line="220" w:lineRule="auto"/>
            </w:pPr>
            <w:r w:rsidRPr="00D81875">
              <w:rPr>
                <w:sz w:val="16"/>
                <w:szCs w:val="16"/>
                <w:lang w:val="nl-BE"/>
              </w:rPr>
              <w:t xml:space="preserve">Ajjampur et al. (2025); Ajjampur et al. </w:t>
            </w:r>
            <w:r>
              <w:rPr>
                <w:sz w:val="16"/>
                <w:szCs w:val="16"/>
              </w:rPr>
              <w:t>(2021)</w:t>
            </w:r>
          </w:p>
        </w:tc>
      </w:tr>
      <w:tr w:rsidR="0092069B" w14:paraId="31B4C97D" w14:textId="77777777">
        <w:tc>
          <w:tcPr>
            <w:tcW w:w="1300" w:type="dxa"/>
            <w:tcMar>
              <w:top w:w="60" w:type="dxa"/>
              <w:left w:w="80" w:type="dxa"/>
              <w:bottom w:w="60" w:type="dxa"/>
              <w:right w:w="80" w:type="dxa"/>
            </w:tcMar>
          </w:tcPr>
          <w:p w14:paraId="4729F0A6" w14:textId="77777777" w:rsidR="0092069B" w:rsidRDefault="00000000">
            <w:pPr>
              <w:spacing w:before="20" w:after="20" w:line="220" w:lineRule="auto"/>
            </w:pPr>
            <w:r>
              <w:rPr>
                <w:sz w:val="16"/>
                <w:szCs w:val="16"/>
              </w:rPr>
              <w:t xml:space="preserve">Genetic basis of reduced </w:t>
            </w:r>
            <w:r>
              <w:rPr>
                <w:sz w:val="16"/>
                <w:szCs w:val="16"/>
              </w:rPr>
              <w:lastRenderedPageBreak/>
              <w:t>anthelmintic efficacy</w:t>
            </w:r>
          </w:p>
        </w:tc>
        <w:tc>
          <w:tcPr>
            <w:tcW w:w="1500" w:type="dxa"/>
            <w:tcMar>
              <w:top w:w="60" w:type="dxa"/>
              <w:left w:w="80" w:type="dxa"/>
              <w:bottom w:w="60" w:type="dxa"/>
              <w:right w:w="80" w:type="dxa"/>
            </w:tcMar>
          </w:tcPr>
          <w:p w14:paraId="2F01E9FF" w14:textId="77777777" w:rsidR="0092069B" w:rsidRDefault="00000000">
            <w:pPr>
              <w:spacing w:before="20" w:after="20" w:line="220" w:lineRule="auto"/>
            </w:pPr>
            <w:r>
              <w:rPr>
                <w:sz w:val="16"/>
                <w:szCs w:val="16"/>
              </w:rPr>
              <w:lastRenderedPageBreak/>
              <w:t xml:space="preserve">Whether field efficacy loss reflects </w:t>
            </w:r>
            <w:r>
              <w:rPr>
                <w:sz w:val="16"/>
                <w:szCs w:val="16"/>
              </w:rPr>
              <w:lastRenderedPageBreak/>
              <w:t>resistance or other causes</w:t>
            </w:r>
          </w:p>
        </w:tc>
        <w:tc>
          <w:tcPr>
            <w:tcW w:w="1600" w:type="dxa"/>
            <w:tcMar>
              <w:top w:w="60" w:type="dxa"/>
              <w:left w:w="80" w:type="dxa"/>
              <w:bottom w:w="60" w:type="dxa"/>
              <w:right w:w="80" w:type="dxa"/>
            </w:tcMar>
          </w:tcPr>
          <w:p w14:paraId="777A9F5E" w14:textId="77777777" w:rsidR="0092069B" w:rsidRDefault="00000000">
            <w:pPr>
              <w:spacing w:before="20" w:after="20" w:line="220" w:lineRule="auto"/>
            </w:pPr>
            <w:r>
              <w:rPr>
                <w:sz w:val="16"/>
                <w:szCs w:val="16"/>
              </w:rPr>
              <w:lastRenderedPageBreak/>
              <w:t xml:space="preserve">Resistance mechanisms confirmed principally </w:t>
            </w:r>
            <w:r>
              <w:rPr>
                <w:sz w:val="16"/>
                <w:szCs w:val="16"/>
              </w:rPr>
              <w:lastRenderedPageBreak/>
              <w:t>in animal hookworm species; no reports from Asia; efficacy data based on microscopy</w:t>
            </w:r>
          </w:p>
        </w:tc>
        <w:tc>
          <w:tcPr>
            <w:tcW w:w="1700" w:type="dxa"/>
            <w:tcMar>
              <w:top w:w="60" w:type="dxa"/>
              <w:left w:w="80" w:type="dxa"/>
              <w:bottom w:w="60" w:type="dxa"/>
              <w:right w:w="80" w:type="dxa"/>
            </w:tcMar>
          </w:tcPr>
          <w:p w14:paraId="3640E125" w14:textId="77777777" w:rsidR="0092069B" w:rsidRDefault="00000000">
            <w:pPr>
              <w:spacing w:before="20" w:after="20" w:line="220" w:lineRule="auto"/>
            </w:pPr>
            <w:r>
              <w:rPr>
                <w:sz w:val="16"/>
                <w:szCs w:val="16"/>
              </w:rPr>
              <w:lastRenderedPageBreak/>
              <w:t xml:space="preserve">Longitudinal genotypic surveillance nested in treatment programmes, </w:t>
            </w:r>
            <w:r>
              <w:rPr>
                <w:sz w:val="16"/>
                <w:szCs w:val="16"/>
              </w:rPr>
              <w:lastRenderedPageBreak/>
              <w:t>including Asian populations, with molecular egg quantification</w:t>
            </w:r>
          </w:p>
        </w:tc>
        <w:tc>
          <w:tcPr>
            <w:tcW w:w="1500" w:type="dxa"/>
            <w:tcMar>
              <w:top w:w="60" w:type="dxa"/>
              <w:left w:w="80" w:type="dxa"/>
              <w:bottom w:w="60" w:type="dxa"/>
              <w:right w:w="80" w:type="dxa"/>
            </w:tcMar>
          </w:tcPr>
          <w:p w14:paraId="720A15FD" w14:textId="77777777" w:rsidR="0092069B" w:rsidRDefault="00000000">
            <w:pPr>
              <w:spacing w:before="20" w:after="20" w:line="220" w:lineRule="auto"/>
            </w:pPr>
            <w:r>
              <w:rPr>
                <w:sz w:val="16"/>
                <w:szCs w:val="16"/>
              </w:rPr>
              <w:lastRenderedPageBreak/>
              <w:t xml:space="preserve">Individual egg reduction rate; allele frequency change at </w:t>
            </w:r>
            <w:r>
              <w:rPr>
                <w:sz w:val="16"/>
                <w:szCs w:val="16"/>
              </w:rPr>
              <w:lastRenderedPageBreak/>
              <w:t>candidate loci over treatment rounds</w:t>
            </w:r>
          </w:p>
        </w:tc>
        <w:tc>
          <w:tcPr>
            <w:tcW w:w="1426" w:type="dxa"/>
            <w:tcMar>
              <w:top w:w="60" w:type="dxa"/>
              <w:left w:w="80" w:type="dxa"/>
              <w:bottom w:w="60" w:type="dxa"/>
              <w:right w:w="80" w:type="dxa"/>
            </w:tcMar>
          </w:tcPr>
          <w:p w14:paraId="07FA8B0B" w14:textId="77777777" w:rsidR="0092069B" w:rsidRDefault="00000000">
            <w:pPr>
              <w:spacing w:before="20" w:after="20" w:line="220" w:lineRule="auto"/>
            </w:pPr>
            <w:r w:rsidRPr="00D81875">
              <w:rPr>
                <w:sz w:val="16"/>
                <w:szCs w:val="16"/>
                <w:lang w:val="nl-BE"/>
              </w:rPr>
              <w:lastRenderedPageBreak/>
              <w:t xml:space="preserve">Tenorio et al. (2024); Bekele et al. </w:t>
            </w:r>
            <w:r>
              <w:rPr>
                <w:sz w:val="16"/>
                <w:szCs w:val="16"/>
              </w:rPr>
              <w:t>(2024)</w:t>
            </w:r>
          </w:p>
        </w:tc>
      </w:tr>
      <w:tr w:rsidR="0092069B" w14:paraId="3C77E4F3" w14:textId="77777777">
        <w:tc>
          <w:tcPr>
            <w:tcW w:w="1300" w:type="dxa"/>
            <w:tcMar>
              <w:top w:w="60" w:type="dxa"/>
              <w:left w:w="80" w:type="dxa"/>
              <w:bottom w:w="60" w:type="dxa"/>
              <w:right w:w="80" w:type="dxa"/>
            </w:tcMar>
          </w:tcPr>
          <w:p w14:paraId="7FA2857E" w14:textId="77777777" w:rsidR="0092069B" w:rsidRDefault="00000000">
            <w:pPr>
              <w:spacing w:before="20" w:after="20" w:line="220" w:lineRule="auto"/>
            </w:pPr>
            <w:r>
              <w:rPr>
                <w:sz w:val="16"/>
                <w:szCs w:val="16"/>
              </w:rPr>
              <w:t>Programmatic thresholds for molecular surveillance</w:t>
            </w:r>
          </w:p>
        </w:tc>
        <w:tc>
          <w:tcPr>
            <w:tcW w:w="1500" w:type="dxa"/>
            <w:tcMar>
              <w:top w:w="60" w:type="dxa"/>
              <w:left w:w="80" w:type="dxa"/>
              <w:bottom w:w="60" w:type="dxa"/>
              <w:right w:w="80" w:type="dxa"/>
            </w:tcMar>
          </w:tcPr>
          <w:p w14:paraId="18E81EBF" w14:textId="77777777" w:rsidR="0092069B" w:rsidRDefault="00000000">
            <w:pPr>
              <w:spacing w:before="20" w:after="20" w:line="220" w:lineRule="auto"/>
            </w:pPr>
            <w:r>
              <w:rPr>
                <w:sz w:val="16"/>
                <w:szCs w:val="16"/>
              </w:rPr>
              <w:t>Absence of molecular equivalents to microscopy-based action thresholds</w:t>
            </w:r>
          </w:p>
        </w:tc>
        <w:tc>
          <w:tcPr>
            <w:tcW w:w="1600" w:type="dxa"/>
            <w:tcMar>
              <w:top w:w="60" w:type="dxa"/>
              <w:left w:w="80" w:type="dxa"/>
              <w:bottom w:w="60" w:type="dxa"/>
              <w:right w:w="80" w:type="dxa"/>
            </w:tcMar>
          </w:tcPr>
          <w:p w14:paraId="1BF0557D" w14:textId="77777777" w:rsidR="0092069B" w:rsidRDefault="00000000">
            <w:pPr>
              <w:spacing w:before="20" w:after="20" w:line="220" w:lineRule="auto"/>
            </w:pPr>
            <w:r>
              <w:rPr>
                <w:sz w:val="16"/>
                <w:szCs w:val="16"/>
              </w:rPr>
              <w:t>Improved sensitivity generates data outside existing decision rules; method differences are species-specific and bidirectional</w:t>
            </w:r>
          </w:p>
        </w:tc>
        <w:tc>
          <w:tcPr>
            <w:tcW w:w="1700" w:type="dxa"/>
            <w:tcMar>
              <w:top w:w="60" w:type="dxa"/>
              <w:left w:w="80" w:type="dxa"/>
              <w:bottom w:w="60" w:type="dxa"/>
              <w:right w:w="80" w:type="dxa"/>
            </w:tcMar>
          </w:tcPr>
          <w:p w14:paraId="6E0C568D" w14:textId="77777777" w:rsidR="0092069B" w:rsidRDefault="00000000">
            <w:pPr>
              <w:spacing w:before="20" w:after="20" w:line="220" w:lineRule="auto"/>
            </w:pPr>
            <w:r>
              <w:rPr>
                <w:sz w:val="16"/>
                <w:szCs w:val="16"/>
              </w:rPr>
              <w:t>Parallel microscopy and molecular measurement across a transmission gradient with longitudinal follow-up for recrudescence</w:t>
            </w:r>
          </w:p>
        </w:tc>
        <w:tc>
          <w:tcPr>
            <w:tcW w:w="1500" w:type="dxa"/>
            <w:tcMar>
              <w:top w:w="60" w:type="dxa"/>
              <w:left w:w="80" w:type="dxa"/>
              <w:bottom w:w="60" w:type="dxa"/>
              <w:right w:w="80" w:type="dxa"/>
            </w:tcMar>
          </w:tcPr>
          <w:p w14:paraId="6A615DA0" w14:textId="77777777" w:rsidR="0092069B" w:rsidRDefault="00000000">
            <w:pPr>
              <w:spacing w:before="20" w:after="20" w:line="220" w:lineRule="auto"/>
            </w:pPr>
            <w:r>
              <w:rPr>
                <w:sz w:val="16"/>
                <w:szCs w:val="16"/>
              </w:rPr>
              <w:t>Species-specific molecular cut-offs predictive of sustained interruption</w:t>
            </w:r>
          </w:p>
        </w:tc>
        <w:tc>
          <w:tcPr>
            <w:tcW w:w="1426" w:type="dxa"/>
            <w:tcMar>
              <w:top w:w="60" w:type="dxa"/>
              <w:left w:w="80" w:type="dxa"/>
              <w:bottom w:w="60" w:type="dxa"/>
              <w:right w:w="80" w:type="dxa"/>
            </w:tcMar>
          </w:tcPr>
          <w:p w14:paraId="3451AD73" w14:textId="77777777" w:rsidR="0092069B" w:rsidRDefault="00000000">
            <w:pPr>
              <w:spacing w:before="20" w:after="20" w:line="220" w:lineRule="auto"/>
            </w:pPr>
            <w:r w:rsidRPr="00D81875">
              <w:rPr>
                <w:sz w:val="16"/>
                <w:szCs w:val="16"/>
                <w:lang w:val="nl-BE"/>
              </w:rPr>
              <w:t xml:space="preserve">Dunn et al. (2020); Benjamin-Chung et al. </w:t>
            </w:r>
            <w:r>
              <w:rPr>
                <w:sz w:val="16"/>
                <w:szCs w:val="16"/>
              </w:rPr>
              <w:t>(2020)</w:t>
            </w:r>
          </w:p>
        </w:tc>
      </w:tr>
      <w:tr w:rsidR="0092069B" w14:paraId="1C835F4A" w14:textId="77777777">
        <w:tc>
          <w:tcPr>
            <w:tcW w:w="1300" w:type="dxa"/>
            <w:tcMar>
              <w:top w:w="60" w:type="dxa"/>
              <w:left w:w="80" w:type="dxa"/>
              <w:bottom w:w="60" w:type="dxa"/>
              <w:right w:w="80" w:type="dxa"/>
            </w:tcMar>
          </w:tcPr>
          <w:p w14:paraId="5E9725C0" w14:textId="77777777" w:rsidR="0092069B" w:rsidRDefault="00000000">
            <w:pPr>
              <w:spacing w:before="20" w:after="20" w:line="220" w:lineRule="auto"/>
            </w:pPr>
            <w:r>
              <w:rPr>
                <w:sz w:val="16"/>
                <w:szCs w:val="16"/>
              </w:rPr>
              <w:t>Clinical status of commonly detected protozoa</w:t>
            </w:r>
          </w:p>
        </w:tc>
        <w:tc>
          <w:tcPr>
            <w:tcW w:w="1500" w:type="dxa"/>
            <w:tcMar>
              <w:top w:w="60" w:type="dxa"/>
              <w:left w:w="80" w:type="dxa"/>
              <w:bottom w:w="60" w:type="dxa"/>
              <w:right w:w="80" w:type="dxa"/>
            </w:tcMar>
          </w:tcPr>
          <w:p w14:paraId="67903108" w14:textId="77777777" w:rsidR="0092069B" w:rsidRDefault="00000000">
            <w:pPr>
              <w:spacing w:before="20" w:after="20" w:line="220" w:lineRule="auto"/>
            </w:pPr>
            <w:r>
              <w:rPr>
                <w:sz w:val="16"/>
                <w:szCs w:val="16"/>
              </w:rPr>
              <w:t xml:space="preserve">Whether carriage of organisms such as </w:t>
            </w:r>
            <w:r>
              <w:rPr>
                <w:i/>
                <w:iCs/>
                <w:sz w:val="16"/>
                <w:szCs w:val="16"/>
              </w:rPr>
              <w:t>Blastocystis</w:t>
            </w:r>
            <w:r>
              <w:rPr>
                <w:sz w:val="16"/>
                <w:szCs w:val="16"/>
              </w:rPr>
              <w:t xml:space="preserve"> causes, follows or is independent of altered gut states</w:t>
            </w:r>
          </w:p>
        </w:tc>
        <w:tc>
          <w:tcPr>
            <w:tcW w:w="1600" w:type="dxa"/>
            <w:tcMar>
              <w:top w:w="60" w:type="dxa"/>
              <w:left w:w="80" w:type="dxa"/>
              <w:bottom w:w="60" w:type="dxa"/>
              <w:right w:w="80" w:type="dxa"/>
            </w:tcMar>
          </w:tcPr>
          <w:p w14:paraId="21B5EA88" w14:textId="77777777" w:rsidR="0092069B" w:rsidRDefault="00000000">
            <w:pPr>
              <w:spacing w:before="20" w:after="20" w:line="220" w:lineRule="auto"/>
            </w:pPr>
            <w:r>
              <w:rPr>
                <w:sz w:val="16"/>
                <w:szCs w:val="16"/>
              </w:rPr>
              <w:t>Associations are cross-sectional; causal direction unresolved; detection has outpaced attribution criteria</w:t>
            </w:r>
          </w:p>
        </w:tc>
        <w:tc>
          <w:tcPr>
            <w:tcW w:w="1700" w:type="dxa"/>
            <w:tcMar>
              <w:top w:w="60" w:type="dxa"/>
              <w:left w:w="80" w:type="dxa"/>
              <w:bottom w:w="60" w:type="dxa"/>
              <w:right w:w="80" w:type="dxa"/>
            </w:tcMar>
          </w:tcPr>
          <w:p w14:paraId="5AF32917" w14:textId="77777777" w:rsidR="0092069B" w:rsidRDefault="00000000">
            <w:pPr>
              <w:spacing w:before="20" w:after="20" w:line="220" w:lineRule="auto"/>
            </w:pPr>
            <w:r>
              <w:rPr>
                <w:sz w:val="16"/>
                <w:szCs w:val="16"/>
              </w:rPr>
              <w:t>Prospective subtype-resolved cohorts with repeated microbiota and metabolic profiling; clearance studies in defined symptomatic groups</w:t>
            </w:r>
          </w:p>
        </w:tc>
        <w:tc>
          <w:tcPr>
            <w:tcW w:w="1500" w:type="dxa"/>
            <w:tcMar>
              <w:top w:w="60" w:type="dxa"/>
              <w:left w:w="80" w:type="dxa"/>
              <w:bottom w:w="60" w:type="dxa"/>
              <w:right w:w="80" w:type="dxa"/>
            </w:tcMar>
          </w:tcPr>
          <w:p w14:paraId="3D7C2E59" w14:textId="77777777" w:rsidR="0092069B" w:rsidRDefault="00000000">
            <w:pPr>
              <w:spacing w:before="20" w:after="20" w:line="220" w:lineRule="auto"/>
            </w:pPr>
            <w:r>
              <w:rPr>
                <w:sz w:val="16"/>
                <w:szCs w:val="16"/>
              </w:rPr>
              <w:t>Symptom incidence; microbial community change following clearance</w:t>
            </w:r>
          </w:p>
        </w:tc>
        <w:tc>
          <w:tcPr>
            <w:tcW w:w="1426" w:type="dxa"/>
            <w:tcMar>
              <w:top w:w="60" w:type="dxa"/>
              <w:left w:w="80" w:type="dxa"/>
              <w:bottom w:w="60" w:type="dxa"/>
              <w:right w:w="80" w:type="dxa"/>
            </w:tcMar>
          </w:tcPr>
          <w:p w14:paraId="600AE1C0" w14:textId="77777777" w:rsidR="0092069B" w:rsidRDefault="00000000">
            <w:pPr>
              <w:spacing w:before="20" w:after="20" w:line="220" w:lineRule="auto"/>
            </w:pPr>
            <w:r>
              <w:rPr>
                <w:sz w:val="16"/>
                <w:szCs w:val="16"/>
              </w:rPr>
              <w:t xml:space="preserve">Antonetti et al. (2024); Deng and Tan (2025); </w:t>
            </w:r>
            <w:proofErr w:type="spellStart"/>
            <w:r>
              <w:rPr>
                <w:sz w:val="16"/>
                <w:szCs w:val="16"/>
              </w:rPr>
              <w:t>Piazzesi</w:t>
            </w:r>
            <w:proofErr w:type="spellEnd"/>
            <w:r>
              <w:rPr>
                <w:sz w:val="16"/>
                <w:szCs w:val="16"/>
              </w:rPr>
              <w:t xml:space="preserve"> and </w:t>
            </w:r>
            <w:proofErr w:type="spellStart"/>
            <w:r>
              <w:rPr>
                <w:sz w:val="16"/>
                <w:szCs w:val="16"/>
              </w:rPr>
              <w:t>Putignani</w:t>
            </w:r>
            <w:proofErr w:type="spellEnd"/>
            <w:r>
              <w:rPr>
                <w:sz w:val="16"/>
                <w:szCs w:val="16"/>
              </w:rPr>
              <w:t xml:space="preserve"> (2023)</w:t>
            </w:r>
          </w:p>
        </w:tc>
      </w:tr>
      <w:tr w:rsidR="0092069B" w14:paraId="499E8765" w14:textId="77777777">
        <w:tc>
          <w:tcPr>
            <w:tcW w:w="1300" w:type="dxa"/>
            <w:tcMar>
              <w:top w:w="60" w:type="dxa"/>
              <w:left w:w="80" w:type="dxa"/>
              <w:bottom w:w="60" w:type="dxa"/>
              <w:right w:w="80" w:type="dxa"/>
            </w:tcMar>
          </w:tcPr>
          <w:p w14:paraId="76EB59DE" w14:textId="77777777" w:rsidR="0092069B" w:rsidRDefault="00000000">
            <w:pPr>
              <w:spacing w:before="20" w:after="20" w:line="220" w:lineRule="auto"/>
            </w:pPr>
            <w:r>
              <w:rPr>
                <w:sz w:val="16"/>
                <w:szCs w:val="16"/>
              </w:rPr>
              <w:t>Therapeutics and vaccines for neglected organisms</w:t>
            </w:r>
          </w:p>
        </w:tc>
        <w:tc>
          <w:tcPr>
            <w:tcW w:w="1500" w:type="dxa"/>
            <w:tcMar>
              <w:top w:w="60" w:type="dxa"/>
              <w:left w:w="80" w:type="dxa"/>
              <w:bottom w:w="60" w:type="dxa"/>
              <w:right w:w="80" w:type="dxa"/>
            </w:tcMar>
          </w:tcPr>
          <w:p w14:paraId="3DE39E7F" w14:textId="77777777" w:rsidR="0092069B" w:rsidRDefault="00000000">
            <w:pPr>
              <w:spacing w:before="20" w:after="20" w:line="220" w:lineRule="auto"/>
            </w:pPr>
            <w:r>
              <w:rPr>
                <w:sz w:val="16"/>
                <w:szCs w:val="16"/>
              </w:rPr>
              <w:t>Inadequate treatment for cryptosporidiosis and refractory giardiasis; no correlate of protection for hookworm vaccines</w:t>
            </w:r>
          </w:p>
        </w:tc>
        <w:tc>
          <w:tcPr>
            <w:tcW w:w="1600" w:type="dxa"/>
            <w:tcMar>
              <w:top w:w="60" w:type="dxa"/>
              <w:left w:w="80" w:type="dxa"/>
              <w:bottom w:w="60" w:type="dxa"/>
              <w:right w:w="80" w:type="dxa"/>
            </w:tcMar>
          </w:tcPr>
          <w:p w14:paraId="604449EC" w14:textId="77777777" w:rsidR="0092069B" w:rsidRDefault="00000000">
            <w:pPr>
              <w:spacing w:before="20" w:after="20" w:line="220" w:lineRule="auto"/>
            </w:pPr>
            <w:r>
              <w:rPr>
                <w:sz w:val="16"/>
                <w:szCs w:val="16"/>
              </w:rPr>
              <w:t>Approved agents underperform in the populations bearing the burden; natural immunity is partial and offers no template</w:t>
            </w:r>
          </w:p>
        </w:tc>
        <w:tc>
          <w:tcPr>
            <w:tcW w:w="1700" w:type="dxa"/>
            <w:tcMar>
              <w:top w:w="60" w:type="dxa"/>
              <w:left w:w="80" w:type="dxa"/>
              <w:bottom w:w="60" w:type="dxa"/>
              <w:right w:w="80" w:type="dxa"/>
            </w:tcMar>
          </w:tcPr>
          <w:p w14:paraId="36D4D021" w14:textId="77777777" w:rsidR="0092069B" w:rsidRDefault="00000000">
            <w:pPr>
              <w:spacing w:before="20" w:after="20" w:line="220" w:lineRule="auto"/>
            </w:pPr>
            <w:r>
              <w:rPr>
                <w:sz w:val="16"/>
                <w:szCs w:val="16"/>
              </w:rPr>
              <w:t>Candidate trials in malnourished and immunosuppressed children; controlled human infection studies designed to identify correlates of protection</w:t>
            </w:r>
          </w:p>
        </w:tc>
        <w:tc>
          <w:tcPr>
            <w:tcW w:w="1500" w:type="dxa"/>
            <w:tcMar>
              <w:top w:w="60" w:type="dxa"/>
              <w:left w:w="80" w:type="dxa"/>
              <w:bottom w:w="60" w:type="dxa"/>
              <w:right w:w="80" w:type="dxa"/>
            </w:tcMar>
          </w:tcPr>
          <w:p w14:paraId="1D416353" w14:textId="77777777" w:rsidR="0092069B" w:rsidRDefault="00000000">
            <w:pPr>
              <w:spacing w:before="20" w:after="20" w:line="220" w:lineRule="auto"/>
            </w:pPr>
            <w:r>
              <w:rPr>
                <w:sz w:val="16"/>
                <w:szCs w:val="16"/>
              </w:rPr>
              <w:t>Mortality; diarrhoeal duration; subsequent growth; immunological correlate of protection</w:t>
            </w:r>
          </w:p>
        </w:tc>
        <w:tc>
          <w:tcPr>
            <w:tcW w:w="1426" w:type="dxa"/>
            <w:tcMar>
              <w:top w:w="60" w:type="dxa"/>
              <w:left w:w="80" w:type="dxa"/>
              <w:bottom w:w="60" w:type="dxa"/>
              <w:right w:w="80" w:type="dxa"/>
            </w:tcMar>
          </w:tcPr>
          <w:p w14:paraId="708C18C1" w14:textId="1A7F92DB" w:rsidR="0092069B" w:rsidRDefault="00000000">
            <w:pPr>
              <w:spacing w:before="20" w:after="20" w:line="220" w:lineRule="auto"/>
            </w:pPr>
            <w:proofErr w:type="spellStart"/>
            <w:r>
              <w:rPr>
                <w:sz w:val="16"/>
                <w:szCs w:val="16"/>
              </w:rPr>
              <w:t>Caravedo</w:t>
            </w:r>
            <w:proofErr w:type="spellEnd"/>
            <w:r>
              <w:rPr>
                <w:sz w:val="16"/>
                <w:szCs w:val="16"/>
              </w:rPr>
              <w:t xml:space="preserve"> and White (2023); Lu et al. </w:t>
            </w:r>
            <w:r w:rsidRPr="00D81875">
              <w:rPr>
                <w:sz w:val="16"/>
                <w:szCs w:val="16"/>
                <w:lang w:val="nl-BE"/>
              </w:rPr>
              <w:t xml:space="preserve">(2025); Bourque et al. </w:t>
            </w:r>
            <w:r w:rsidRPr="00D81875">
              <w:rPr>
                <w:sz w:val="16"/>
                <w:szCs w:val="16"/>
                <w:lang w:val="en-US"/>
              </w:rPr>
              <w:t xml:space="preserve">(2022); </w:t>
            </w:r>
            <w:proofErr w:type="spellStart"/>
            <w:r w:rsidR="00D81875" w:rsidRPr="00D81875">
              <w:rPr>
                <w:sz w:val="16"/>
                <w:szCs w:val="16"/>
                <w:lang w:val="en-US"/>
              </w:rPr>
              <w:t>Adegnika</w:t>
            </w:r>
            <w:proofErr w:type="spellEnd"/>
            <w:r w:rsidR="00D81875" w:rsidRPr="00D81875">
              <w:rPr>
                <w:sz w:val="16"/>
                <w:szCs w:val="16"/>
                <w:lang w:val="en-US"/>
              </w:rPr>
              <w:t xml:space="preserve"> </w:t>
            </w:r>
            <w:r w:rsidRPr="00D81875">
              <w:rPr>
                <w:sz w:val="16"/>
                <w:szCs w:val="16"/>
                <w:lang w:val="en-US"/>
              </w:rPr>
              <w:t xml:space="preserve">et al. </w:t>
            </w:r>
            <w:r>
              <w:rPr>
                <w:sz w:val="16"/>
                <w:szCs w:val="16"/>
              </w:rPr>
              <w:t xml:space="preserve">(2021); Colombo and </w:t>
            </w:r>
            <w:proofErr w:type="spellStart"/>
            <w:r>
              <w:rPr>
                <w:sz w:val="16"/>
                <w:szCs w:val="16"/>
              </w:rPr>
              <w:t>Grencis</w:t>
            </w:r>
            <w:proofErr w:type="spellEnd"/>
            <w:r>
              <w:rPr>
                <w:sz w:val="16"/>
                <w:szCs w:val="16"/>
              </w:rPr>
              <w:t xml:space="preserve"> (2020)</w:t>
            </w:r>
          </w:p>
        </w:tc>
      </w:tr>
      <w:tr w:rsidR="0092069B" w14:paraId="479AAAE3" w14:textId="77777777">
        <w:tc>
          <w:tcPr>
            <w:tcW w:w="1300" w:type="dxa"/>
            <w:tcMar>
              <w:top w:w="60" w:type="dxa"/>
              <w:left w:w="80" w:type="dxa"/>
              <w:bottom w:w="60" w:type="dxa"/>
              <w:right w:w="80" w:type="dxa"/>
            </w:tcMar>
          </w:tcPr>
          <w:p w14:paraId="61BCFB17" w14:textId="77777777" w:rsidR="0092069B" w:rsidRDefault="00000000">
            <w:pPr>
              <w:spacing w:before="20" w:after="20" w:line="220" w:lineRule="auto"/>
            </w:pPr>
            <w:r>
              <w:rPr>
                <w:sz w:val="16"/>
                <w:szCs w:val="16"/>
              </w:rPr>
              <w:t>Species-resolved ecological projection</w:t>
            </w:r>
          </w:p>
        </w:tc>
        <w:tc>
          <w:tcPr>
            <w:tcW w:w="1500" w:type="dxa"/>
            <w:tcMar>
              <w:top w:w="60" w:type="dxa"/>
              <w:left w:w="80" w:type="dxa"/>
              <w:bottom w:w="60" w:type="dxa"/>
              <w:right w:w="80" w:type="dxa"/>
            </w:tcMar>
          </w:tcPr>
          <w:p w14:paraId="29F9938C" w14:textId="77777777" w:rsidR="0092069B" w:rsidRDefault="00000000">
            <w:pPr>
              <w:spacing w:before="20" w:after="20" w:line="220" w:lineRule="auto"/>
            </w:pPr>
            <w:r>
              <w:rPr>
                <w:sz w:val="16"/>
                <w:szCs w:val="16"/>
              </w:rPr>
              <w:t>How climatic change will redistribute transmission</w:t>
            </w:r>
          </w:p>
        </w:tc>
        <w:tc>
          <w:tcPr>
            <w:tcW w:w="1600" w:type="dxa"/>
            <w:tcMar>
              <w:top w:w="60" w:type="dxa"/>
              <w:left w:w="80" w:type="dxa"/>
              <w:bottom w:w="60" w:type="dxa"/>
              <w:right w:w="80" w:type="dxa"/>
            </w:tcMar>
          </w:tcPr>
          <w:p w14:paraId="669E34CE" w14:textId="77777777" w:rsidR="0092069B" w:rsidRDefault="00000000">
            <w:pPr>
              <w:spacing w:before="20" w:after="20" w:line="220" w:lineRule="auto"/>
            </w:pPr>
            <w:r>
              <w:rPr>
                <w:sz w:val="16"/>
                <w:szCs w:val="16"/>
              </w:rPr>
              <w:t>Group-level projections assume uniform response; species differ in the direction of predicted change</w:t>
            </w:r>
          </w:p>
        </w:tc>
        <w:tc>
          <w:tcPr>
            <w:tcW w:w="1700" w:type="dxa"/>
            <w:tcMar>
              <w:top w:w="60" w:type="dxa"/>
              <w:left w:w="80" w:type="dxa"/>
              <w:bottom w:w="60" w:type="dxa"/>
              <w:right w:w="80" w:type="dxa"/>
            </w:tcMar>
          </w:tcPr>
          <w:p w14:paraId="5E5C9F98" w14:textId="77777777" w:rsidR="0092069B" w:rsidRDefault="00000000">
            <w:pPr>
              <w:spacing w:before="20" w:after="20" w:line="220" w:lineRule="auto"/>
            </w:pPr>
            <w:r>
              <w:rPr>
                <w:sz w:val="16"/>
                <w:szCs w:val="16"/>
              </w:rPr>
              <w:t>Empirical determination of thermal and moisture tolerances of free-living stages with sentinel-site environmental monitoring</w:t>
            </w:r>
          </w:p>
        </w:tc>
        <w:tc>
          <w:tcPr>
            <w:tcW w:w="1500" w:type="dxa"/>
            <w:tcMar>
              <w:top w:w="60" w:type="dxa"/>
              <w:left w:w="80" w:type="dxa"/>
              <w:bottom w:w="60" w:type="dxa"/>
              <w:right w:w="80" w:type="dxa"/>
            </w:tcMar>
          </w:tcPr>
          <w:p w14:paraId="2263857A" w14:textId="77777777" w:rsidR="0092069B" w:rsidRDefault="00000000">
            <w:pPr>
              <w:spacing w:before="20" w:after="20" w:line="220" w:lineRule="auto"/>
            </w:pPr>
            <w:r>
              <w:rPr>
                <w:sz w:val="16"/>
                <w:szCs w:val="16"/>
              </w:rPr>
              <w:t>Species-specific habitat suitability; projected change in infection hazard by setting</w:t>
            </w:r>
          </w:p>
        </w:tc>
        <w:tc>
          <w:tcPr>
            <w:tcW w:w="1426" w:type="dxa"/>
            <w:tcMar>
              <w:top w:w="60" w:type="dxa"/>
              <w:left w:w="80" w:type="dxa"/>
              <w:bottom w:w="60" w:type="dxa"/>
              <w:right w:w="80" w:type="dxa"/>
            </w:tcMar>
          </w:tcPr>
          <w:p w14:paraId="5F046B71" w14:textId="77777777" w:rsidR="0092069B" w:rsidRDefault="00000000">
            <w:pPr>
              <w:spacing w:before="20" w:after="20" w:line="220" w:lineRule="auto"/>
            </w:pPr>
            <w:proofErr w:type="spellStart"/>
            <w:r>
              <w:rPr>
                <w:sz w:val="16"/>
                <w:szCs w:val="16"/>
              </w:rPr>
              <w:t>Vanalli</w:t>
            </w:r>
            <w:proofErr w:type="spellEnd"/>
            <w:r>
              <w:rPr>
                <w:sz w:val="16"/>
                <w:szCs w:val="16"/>
              </w:rPr>
              <w:t xml:space="preserve"> et al. (2024)</w:t>
            </w:r>
          </w:p>
        </w:tc>
      </w:tr>
    </w:tbl>
    <w:p w14:paraId="139AA254" w14:textId="77777777" w:rsidR="0092069B" w:rsidRDefault="00000000">
      <w:pPr>
        <w:spacing w:before="100" w:after="260" w:line="260" w:lineRule="auto"/>
      </w:pPr>
      <w:r>
        <w:rPr>
          <w:sz w:val="18"/>
          <w:szCs w:val="18"/>
        </w:rPr>
        <w:t>Table note: Priorities are ordered by the extent to which resolution would alter policy or practice rather than by feasibility or cost.</w:t>
      </w:r>
    </w:p>
    <w:p w14:paraId="2E523E84" w14:textId="77777777" w:rsidR="0092069B" w:rsidRDefault="00000000">
      <w:pPr>
        <w:pStyle w:val="Heading1"/>
        <w:spacing w:before="360" w:after="160"/>
      </w:pPr>
      <w:r>
        <w:rPr>
          <w:b/>
          <w:bCs/>
          <w:color w:val="000000"/>
          <w:sz w:val="26"/>
          <w:szCs w:val="26"/>
        </w:rPr>
        <w:t>8. Conclusions</w:t>
      </w:r>
    </w:p>
    <w:p w14:paraId="24352B2A" w14:textId="77777777" w:rsidR="0092069B" w:rsidRDefault="00000000">
      <w:pPr>
        <w:spacing w:after="160" w:line="320" w:lineRule="auto"/>
        <w:jc w:val="both"/>
      </w:pPr>
      <w:r>
        <w:t>Intestinal parasites act on the human gut through a small number of well-characterised mechanisms whose clinical consequences are far less well characterised than the mechanisms themselves. Barrier disruption, immunoregulation, interference with nutrient handling and alteration of the microbial community are each demonstrable, in several cases in human tissue and in designs that establish sufficiency with confidence. The evidence that any of these mechanisms accounts for a specified share of the morbidity observed in endemic populations is considerably weaker, and the field has repeatedly allowed mechanistic plausibility to substitute for demonstrated effect. The one mechanism with a short and quantifiable causal chain, blood loss at hookworm attachment sites, is also the one whose clinical attribution has never been seriously disputed, and that correspondence is not coincidental.</w:t>
      </w:r>
    </w:p>
    <w:p w14:paraId="26C5C29A" w14:textId="77777777" w:rsidR="0092069B" w:rsidRDefault="00000000">
      <w:pPr>
        <w:spacing w:after="160" w:line="320" w:lineRule="auto"/>
        <w:jc w:val="both"/>
      </w:pPr>
      <w:r>
        <w:t xml:space="preserve">The clinical implications divide accordingly. Acute and structural disease from high-burden nematode infection, invasive amoebiasis, cryptosporidiosis in young and immunosuppressed hosts, hookworm-associated iron-deficiency anaemia, and hyperinfection in immunosuppressed carriers of </w:t>
      </w:r>
      <w:proofErr w:type="spellStart"/>
      <w:r>
        <w:rPr>
          <w:i/>
          <w:iCs/>
        </w:rPr>
        <w:t>Strongyloides</w:t>
      </w:r>
      <w:proofErr w:type="spellEnd"/>
      <w:r>
        <w:rPr>
          <w:i/>
          <w:iCs/>
        </w:rPr>
        <w:t xml:space="preserve"> </w:t>
      </w:r>
      <w:proofErr w:type="spellStart"/>
      <w:r>
        <w:rPr>
          <w:i/>
          <w:iCs/>
        </w:rPr>
        <w:t>stercoralis</w:t>
      </w:r>
      <w:proofErr w:type="spellEnd"/>
      <w:r>
        <w:t xml:space="preserve"> rest on secure ground, and the clinical failure in each case is one of recognition and diagnosis rather than of causal understanding. Chronic growth faltering, cognitive and educational outcomes, and long-term functional bowel disturbance rest on evidence that is consistent in direction but unresolved </w:t>
      </w:r>
      <w:r>
        <w:lastRenderedPageBreak/>
        <w:t>in magnitude and causal structure. The apparent conflict between trial evidence showing little effect of deworming on development and cohort evidence showing long-run economic benefit is best understood as a difference in outcome, analytic unit, transmission intensity and timescale rather than as a contradiction requiring one body of work to be discarded. Both are compatible with a moderate effect concentrated in high-intensity settings and in the heavily infected minority, and neither supports the categorical claims that have been made in their name.</w:t>
      </w:r>
    </w:p>
    <w:p w14:paraId="0BC74758" w14:textId="77777777" w:rsidR="0092069B" w:rsidRDefault="00000000">
      <w:pPr>
        <w:spacing w:after="160" w:line="320" w:lineRule="auto"/>
        <w:jc w:val="both"/>
      </w:pPr>
      <w:r>
        <w:t>Prevention is misaligned with this picture in a specific and correctable way. The dominant intervention treats children with drugs active only against nematodes, measures success by infection status rather than by the outcomes it was adopted to prevent, and leaves both the adult reservoir and the entire protozoal burden untouched. Community-wide treatment demonstrably reduces prevalence beyond what school-based delivery achieves, but interrupts transmission only in some ecological settings, and the determinants of that variation are unknown. Environmental intervention is the only approach that addresses transmission and the only one applicable to protozoa, yet its trial evidence is the weakest of any strategy considered, for reasons that are as much about trial design and intervention intensity as about the underlying model. Improved diagnosis is not an adjunct to prevention but a condition of it, since programmes currently make stopping decisions using a method that fails at exactly the infection intensities where those decisions are taken.</w:t>
      </w:r>
    </w:p>
    <w:p w14:paraId="7708B3B0" w14:textId="77777777" w:rsidR="0092069B" w:rsidRDefault="00000000">
      <w:pPr>
        <w:spacing w:after="160" w:line="320" w:lineRule="auto"/>
        <w:jc w:val="both"/>
      </w:pPr>
      <w:r>
        <w:t>The broader significance of this synthesis is that the field's central uncertainty is one of attribution rather than of mechanism or of intervention efficacy. Further prevalence surveys, further demonstrations that parasites perturb epithelial function, and further trials of interventions whose target mechanism is unspecified will not resolve it. What would resolve it is longitudinal measurement of the full enteric pathogen environment with outcome measures matched to the mechanisms actually implicated, together with ecological investigation of why identical intervention produces different transmission outcomes in different places. Until the parasite-specific contribution to chronic morbidity is quantified, decisions about how much of a constrained public health budget should be directed at intestinal parasites will continue to be made on grounds that the evidence does not supply.</w:t>
      </w:r>
    </w:p>
    <w:p w14:paraId="23E25409" w14:textId="77777777" w:rsidR="0092069B" w:rsidRDefault="00000000">
      <w:pPr>
        <w:pStyle w:val="Heading1"/>
        <w:spacing w:before="360" w:after="160"/>
      </w:pPr>
      <w:r>
        <w:rPr>
          <w:b/>
          <w:bCs/>
          <w:color w:val="000000"/>
          <w:sz w:val="26"/>
          <w:szCs w:val="26"/>
        </w:rPr>
        <w:t>9. Limitations</w:t>
      </w:r>
    </w:p>
    <w:p w14:paraId="3CBEA2BB" w14:textId="77777777" w:rsidR="0092069B" w:rsidRDefault="00000000">
      <w:pPr>
        <w:spacing w:after="160" w:line="320" w:lineRule="auto"/>
        <w:jc w:val="both"/>
      </w:pPr>
      <w:r>
        <w:t>This review is a narrative synthesis and carries the limitations intrinsic to that design. Selection of studies was purposive rather than exhaustive, and although the search concepts, sources and eligibility rules were specified in advance and applied consistently, the possibility of selection bias in what was retrieved and interpretive bias in what was emphasised cannot be excluded. Appraisal was conducted against design-appropriate criteria rather than a single validated instrument, and no formal risk-of-bias scores were assigned, so judgements about the strength of individual studies reflect reasoned assessment rather than a reproducible scoring procedure. A second reviewer did not independently screen or appraise the included literature.</w:t>
      </w:r>
    </w:p>
    <w:p w14:paraId="7875A204" w14:textId="77777777" w:rsidR="0092069B" w:rsidRDefault="00000000">
      <w:pPr>
        <w:spacing w:after="160" w:line="320" w:lineRule="auto"/>
        <w:jc w:val="both"/>
      </w:pPr>
      <w:r>
        <w:t xml:space="preserve">Retrieval was restricted to sources accessible without subscription, and to publications available in English. Both restrictions bias the evidence base towards research published in internationally visible outlets and away from work published in national and regional journals in other languages, which is a </w:t>
      </w:r>
      <w:r>
        <w:lastRenderedPageBreak/>
        <w:t>particular concern for a topic whose burden falls disproportionately on populations whose research output is unevenly indexed. Regionally published evidence was sought specifically, but the extent to which it was successfully retrieved cannot be quantified.</w:t>
      </w:r>
    </w:p>
    <w:p w14:paraId="53D57B99" w14:textId="77777777" w:rsidR="0092069B" w:rsidRDefault="00000000">
      <w:pPr>
        <w:spacing w:after="160" w:line="320" w:lineRule="auto"/>
        <w:jc w:val="both"/>
      </w:pPr>
      <w:r>
        <w:t>The evidence base itself imposes further constraints. Study designs ranged from organoid experiments to cluster-randomised trials, and outcome definitions varied so substantially across studies that quantitative synthesis was neither attempted nor appropriate; comparisons drawn between studies are therefore qualitative. Diagnostic methods differed between studies in ways that materially affect measured prevalence and intensity, so that findings from microscopy-based and molecular studies are not directly comparable. Much of the mechanistic evidence derives from animal models and reduced human tissue systems whose correspondence with intact human infection is assumed rather than demonstrated. Much of the clinical evidence is observational and exposed to confounding by socioeconomic position, nutritional status and concurrent enteric infection that statistical adjustment cannot fully address. Geographical representation is uneven, with substantially more evidence from a small number of well-studied settings than from the full range of endemic environments, and long-term follow-up data are scarce for most outcomes considered. The therapeutic and diagnostic literature is developing rapidly, and conclusions concerning drug efficacy, resistance and the performance of molecular surveillance are provisional and will require revision as further trial and surveillance data accumulate.</w:t>
      </w:r>
    </w:p>
    <w:p w14:paraId="3FF37812" w14:textId="77777777" w:rsidR="000553E3" w:rsidRDefault="000553E3" w:rsidP="000553E3">
      <w:pPr>
        <w:rPr>
          <w:b/>
        </w:rPr>
      </w:pPr>
      <w:r w:rsidRPr="000839CE">
        <w:rPr>
          <w:b/>
        </w:rPr>
        <w:t>Declaration of AI Use</w:t>
      </w:r>
    </w:p>
    <w:p w14:paraId="7A521C0F" w14:textId="77777777" w:rsidR="000553E3" w:rsidRDefault="000553E3" w:rsidP="000553E3">
      <w:pPr>
        <w:rPr>
          <w:b/>
        </w:rPr>
      </w:pPr>
    </w:p>
    <w:p w14:paraId="3B0B5D44" w14:textId="77777777" w:rsidR="000553E3" w:rsidRDefault="000553E3" w:rsidP="000553E3">
      <w:pPr>
        <w:rPr>
          <w:b/>
        </w:rPr>
      </w:pPr>
    </w:p>
    <w:p w14:paraId="3E05D03F" w14:textId="77777777" w:rsidR="000553E3" w:rsidRDefault="000553E3" w:rsidP="000553E3">
      <w:pPr>
        <w:rPr>
          <w:b/>
        </w:rPr>
      </w:pPr>
    </w:p>
    <w:p w14:paraId="0012D2DD" w14:textId="77777777" w:rsidR="000553E3" w:rsidRPr="002D08AC" w:rsidRDefault="000553E3" w:rsidP="000553E3">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D3010D2" w14:textId="77777777" w:rsidR="000553E3" w:rsidRDefault="000553E3">
      <w:pPr>
        <w:spacing w:after="160" w:line="320" w:lineRule="auto"/>
        <w:jc w:val="both"/>
      </w:pPr>
    </w:p>
    <w:p w14:paraId="68022C64" w14:textId="77777777" w:rsidR="0092069B" w:rsidRDefault="00000000">
      <w:pPr>
        <w:pStyle w:val="Heading1"/>
        <w:spacing w:before="360" w:after="160"/>
      </w:pPr>
      <w:r>
        <w:rPr>
          <w:b/>
          <w:bCs/>
          <w:color w:val="000000"/>
          <w:sz w:val="26"/>
          <w:szCs w:val="26"/>
        </w:rPr>
        <w:t>References</w:t>
      </w:r>
    </w:p>
    <w:p w14:paraId="0A8B71A4"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Adegnika</w:t>
      </w:r>
      <w:proofErr w:type="spellEnd"/>
      <w:r w:rsidRPr="00D81875">
        <w:rPr>
          <w:sz w:val="24"/>
          <w:szCs w:val="24"/>
          <w:lang w:val="en-US" w:eastAsia="en-US"/>
        </w:rPr>
        <w:t xml:space="preserve">, A. A., de Vries, S. G., Zinsou, F. J., </w:t>
      </w:r>
      <w:proofErr w:type="spellStart"/>
      <w:r w:rsidRPr="00D81875">
        <w:rPr>
          <w:sz w:val="24"/>
          <w:szCs w:val="24"/>
          <w:lang w:val="en-US" w:eastAsia="en-US"/>
        </w:rPr>
        <w:t>Honkepehedji</w:t>
      </w:r>
      <w:proofErr w:type="spellEnd"/>
      <w:r w:rsidRPr="00D81875">
        <w:rPr>
          <w:sz w:val="24"/>
          <w:szCs w:val="24"/>
          <w:lang w:val="en-US" w:eastAsia="en-US"/>
        </w:rPr>
        <w:t xml:space="preserve">, Y. J., Dejon Agobé, J.-C., Vodonou, K. G., </w:t>
      </w:r>
      <w:proofErr w:type="spellStart"/>
      <w:r w:rsidRPr="00D81875">
        <w:rPr>
          <w:sz w:val="24"/>
          <w:szCs w:val="24"/>
          <w:lang w:val="en-US" w:eastAsia="en-US"/>
        </w:rPr>
        <w:t>Bikangui</w:t>
      </w:r>
      <w:proofErr w:type="spellEnd"/>
      <w:r w:rsidRPr="00D81875">
        <w:rPr>
          <w:sz w:val="24"/>
          <w:szCs w:val="24"/>
          <w:lang w:val="en-US" w:eastAsia="en-US"/>
        </w:rPr>
        <w:t xml:space="preserve">, R., </w:t>
      </w:r>
      <w:proofErr w:type="spellStart"/>
      <w:r w:rsidRPr="00D81875">
        <w:rPr>
          <w:sz w:val="24"/>
          <w:szCs w:val="24"/>
          <w:lang w:val="en-US" w:eastAsia="en-US"/>
        </w:rPr>
        <w:t>Bouyoukou</w:t>
      </w:r>
      <w:proofErr w:type="spellEnd"/>
      <w:r w:rsidRPr="00D81875">
        <w:rPr>
          <w:sz w:val="24"/>
          <w:szCs w:val="24"/>
          <w:lang w:val="en-US" w:eastAsia="en-US"/>
        </w:rPr>
        <w:t xml:space="preserve"> </w:t>
      </w:r>
      <w:proofErr w:type="spellStart"/>
      <w:r w:rsidRPr="00D81875">
        <w:rPr>
          <w:sz w:val="24"/>
          <w:szCs w:val="24"/>
          <w:lang w:val="en-US" w:eastAsia="en-US"/>
        </w:rPr>
        <w:t>Hounkpatin</w:t>
      </w:r>
      <w:proofErr w:type="spellEnd"/>
      <w:r w:rsidRPr="00D81875">
        <w:rPr>
          <w:sz w:val="24"/>
          <w:szCs w:val="24"/>
          <w:lang w:val="en-US" w:eastAsia="en-US"/>
        </w:rPr>
        <w:t xml:space="preserve">, A., Bache, E. B., </w:t>
      </w:r>
      <w:proofErr w:type="spellStart"/>
      <w:r w:rsidRPr="00D81875">
        <w:rPr>
          <w:sz w:val="24"/>
          <w:szCs w:val="24"/>
          <w:lang w:val="en-US" w:eastAsia="en-US"/>
        </w:rPr>
        <w:t>Massinga</w:t>
      </w:r>
      <w:proofErr w:type="spellEnd"/>
      <w:r w:rsidRPr="00D81875">
        <w:rPr>
          <w:sz w:val="24"/>
          <w:szCs w:val="24"/>
          <w:lang w:val="en-US" w:eastAsia="en-US"/>
        </w:rPr>
        <w:t xml:space="preserve"> </w:t>
      </w:r>
      <w:proofErr w:type="spellStart"/>
      <w:r w:rsidRPr="00D81875">
        <w:rPr>
          <w:sz w:val="24"/>
          <w:szCs w:val="24"/>
          <w:lang w:val="en-US" w:eastAsia="en-US"/>
        </w:rPr>
        <w:t>Loembe</w:t>
      </w:r>
      <w:proofErr w:type="spellEnd"/>
      <w:r w:rsidRPr="00D81875">
        <w:rPr>
          <w:sz w:val="24"/>
          <w:szCs w:val="24"/>
          <w:lang w:val="en-US" w:eastAsia="en-US"/>
        </w:rPr>
        <w:t xml:space="preserve">, M., van Leeuwen, R., </w:t>
      </w:r>
      <w:proofErr w:type="spellStart"/>
      <w:r w:rsidRPr="00D81875">
        <w:rPr>
          <w:sz w:val="24"/>
          <w:szCs w:val="24"/>
          <w:lang w:val="en-US" w:eastAsia="en-US"/>
        </w:rPr>
        <w:t>Molemans</w:t>
      </w:r>
      <w:proofErr w:type="spellEnd"/>
      <w:r w:rsidRPr="00D81875">
        <w:rPr>
          <w:sz w:val="24"/>
          <w:szCs w:val="24"/>
          <w:lang w:val="en-US" w:eastAsia="en-US"/>
        </w:rPr>
        <w:t xml:space="preserve">, M., Kremsner, P. G., </w:t>
      </w:r>
      <w:proofErr w:type="spellStart"/>
      <w:r w:rsidRPr="00D81875">
        <w:rPr>
          <w:sz w:val="24"/>
          <w:szCs w:val="24"/>
          <w:lang w:val="en-US" w:eastAsia="en-US"/>
        </w:rPr>
        <w:t>Yazdanbakhsh</w:t>
      </w:r>
      <w:proofErr w:type="spellEnd"/>
      <w:r w:rsidRPr="00D81875">
        <w:rPr>
          <w:sz w:val="24"/>
          <w:szCs w:val="24"/>
          <w:lang w:val="en-US" w:eastAsia="en-US"/>
        </w:rPr>
        <w:t xml:space="preserve">, M., Hotez, P. J., Bottazzi, M. E., Li, G., Bethony, J. M., Diemert, D. J., &amp; </w:t>
      </w:r>
      <w:proofErr w:type="spellStart"/>
      <w:r w:rsidRPr="00D81875">
        <w:rPr>
          <w:sz w:val="24"/>
          <w:szCs w:val="24"/>
          <w:lang w:val="en-US" w:eastAsia="en-US"/>
        </w:rPr>
        <w:t>Grobusch</w:t>
      </w:r>
      <w:proofErr w:type="spellEnd"/>
      <w:r w:rsidRPr="00D81875">
        <w:rPr>
          <w:sz w:val="24"/>
          <w:szCs w:val="24"/>
          <w:lang w:val="en-US" w:eastAsia="en-US"/>
        </w:rPr>
        <w:t xml:space="preserve">, M. P. (2021). Safety and immunogenicity of co-administered hookworm vaccine candidates Na-GST-1 and Na-APR-1 in Gabonese adults: A </w:t>
      </w:r>
      <w:proofErr w:type="spellStart"/>
      <w:r w:rsidRPr="00D81875">
        <w:rPr>
          <w:sz w:val="24"/>
          <w:szCs w:val="24"/>
          <w:lang w:val="en-US" w:eastAsia="en-US"/>
        </w:rPr>
        <w:t>randomised</w:t>
      </w:r>
      <w:proofErr w:type="spellEnd"/>
      <w:r w:rsidRPr="00D81875">
        <w:rPr>
          <w:sz w:val="24"/>
          <w:szCs w:val="24"/>
          <w:lang w:val="en-US" w:eastAsia="en-US"/>
        </w:rPr>
        <w:t xml:space="preserve">, controlled, double-blind, phase 1 dose-escalation trial. </w:t>
      </w:r>
      <w:r w:rsidRPr="00D81875">
        <w:rPr>
          <w:i/>
          <w:iCs/>
          <w:sz w:val="24"/>
          <w:szCs w:val="24"/>
          <w:lang w:val="en-US" w:eastAsia="en-US"/>
        </w:rPr>
        <w:t>The Lancet Infectious Diseases, 21</w:t>
      </w:r>
      <w:r w:rsidRPr="00D81875">
        <w:rPr>
          <w:sz w:val="24"/>
          <w:szCs w:val="24"/>
          <w:lang w:val="en-US" w:eastAsia="en-US"/>
        </w:rPr>
        <w:t xml:space="preserve">(2), 275–285. </w:t>
      </w:r>
      <w:hyperlink r:id="rId7" w:history="1">
        <w:r w:rsidRPr="00D81875">
          <w:rPr>
            <w:color w:val="0000FF"/>
            <w:sz w:val="24"/>
            <w:szCs w:val="24"/>
            <w:u w:val="single"/>
            <w:lang w:val="en-US" w:eastAsia="en-US"/>
          </w:rPr>
          <w:t>https://doi.org/10.1016/S1473-3099(20)30288-7</w:t>
        </w:r>
      </w:hyperlink>
    </w:p>
    <w:p w14:paraId="0A1202FE"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Ajjampur</w:t>
      </w:r>
      <w:proofErr w:type="spellEnd"/>
      <w:r w:rsidRPr="00D81875">
        <w:rPr>
          <w:sz w:val="24"/>
          <w:szCs w:val="24"/>
          <w:lang w:val="en-US" w:eastAsia="en-US"/>
        </w:rPr>
        <w:t xml:space="preserve">, S. S. R., Kaliappan, S. P., Halliday, K. E., Palanisamy, G., Farzana, J., Manuel, M., Abraham, D., Laxmanan, S., </w:t>
      </w:r>
      <w:proofErr w:type="spellStart"/>
      <w:r w:rsidRPr="00D81875">
        <w:rPr>
          <w:sz w:val="24"/>
          <w:szCs w:val="24"/>
          <w:lang w:val="en-US" w:eastAsia="en-US"/>
        </w:rPr>
        <w:t>Aruldas</w:t>
      </w:r>
      <w:proofErr w:type="spellEnd"/>
      <w:r w:rsidRPr="00D81875">
        <w:rPr>
          <w:sz w:val="24"/>
          <w:szCs w:val="24"/>
          <w:lang w:val="en-US" w:eastAsia="en-US"/>
        </w:rPr>
        <w:t xml:space="preserve">, K., Rose, A., Kennedy, D. S., Oswald, W. E., Pullan, R. L., </w:t>
      </w:r>
      <w:proofErr w:type="spellStart"/>
      <w:r w:rsidRPr="00D81875">
        <w:rPr>
          <w:sz w:val="24"/>
          <w:szCs w:val="24"/>
          <w:lang w:val="en-US" w:eastAsia="en-US"/>
        </w:rPr>
        <w:t>Galagan</w:t>
      </w:r>
      <w:proofErr w:type="spellEnd"/>
      <w:r w:rsidRPr="00D81875">
        <w:rPr>
          <w:sz w:val="24"/>
          <w:szCs w:val="24"/>
          <w:lang w:val="en-US" w:eastAsia="en-US"/>
        </w:rPr>
        <w:t xml:space="preserve">, S. R., Ásbjörnsdóttir, K. H., Anderson, R. M., </w:t>
      </w:r>
      <w:proofErr w:type="spellStart"/>
      <w:r w:rsidRPr="00D81875">
        <w:rPr>
          <w:sz w:val="24"/>
          <w:szCs w:val="24"/>
          <w:lang w:val="en-US" w:eastAsia="en-US"/>
        </w:rPr>
        <w:t>Muliyil</w:t>
      </w:r>
      <w:proofErr w:type="spellEnd"/>
      <w:r w:rsidRPr="00D81875">
        <w:rPr>
          <w:sz w:val="24"/>
          <w:szCs w:val="24"/>
          <w:lang w:val="en-US" w:eastAsia="en-US"/>
        </w:rPr>
        <w:t xml:space="preserve">, J., Sarkar, R., Kang, G., &amp; Walson, J. L. (2021). Epidemiology of soil transmitted helminths and risk analysis of hookworm infections in the community: Results from the DeWorm3 Trial </w:t>
      </w:r>
      <w:r w:rsidRPr="00D81875">
        <w:rPr>
          <w:sz w:val="24"/>
          <w:szCs w:val="24"/>
          <w:lang w:val="en-US" w:eastAsia="en-US"/>
        </w:rPr>
        <w:lastRenderedPageBreak/>
        <w:t xml:space="preserve">in southern India. </w:t>
      </w:r>
      <w:r w:rsidRPr="00D81875">
        <w:rPr>
          <w:i/>
          <w:iCs/>
          <w:sz w:val="24"/>
          <w:szCs w:val="24"/>
          <w:lang w:val="en-US" w:eastAsia="en-US"/>
        </w:rPr>
        <w:t>PLOS Neglected Tropical Diseases, 15</w:t>
      </w:r>
      <w:r w:rsidRPr="00D81875">
        <w:rPr>
          <w:sz w:val="24"/>
          <w:szCs w:val="24"/>
          <w:lang w:val="en-US" w:eastAsia="en-US"/>
        </w:rPr>
        <w:t xml:space="preserve">(4), e0009338. </w:t>
      </w:r>
      <w:hyperlink r:id="rId8" w:history="1">
        <w:r w:rsidRPr="00D81875">
          <w:rPr>
            <w:color w:val="0000FF"/>
            <w:sz w:val="24"/>
            <w:szCs w:val="24"/>
            <w:u w:val="single"/>
            <w:lang w:val="en-US" w:eastAsia="en-US"/>
          </w:rPr>
          <w:t>https://doi.org/10.1371/journal.pntd.0009338</w:t>
        </w:r>
      </w:hyperlink>
    </w:p>
    <w:p w14:paraId="700985EA"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Ajjampur</w:t>
      </w:r>
      <w:proofErr w:type="spellEnd"/>
      <w:r w:rsidRPr="00D81875">
        <w:rPr>
          <w:sz w:val="24"/>
          <w:szCs w:val="24"/>
          <w:lang w:val="en-US" w:eastAsia="en-US"/>
        </w:rPr>
        <w:t xml:space="preserve">, S. S. R., </w:t>
      </w:r>
      <w:proofErr w:type="spellStart"/>
      <w:r w:rsidRPr="00D81875">
        <w:rPr>
          <w:sz w:val="24"/>
          <w:szCs w:val="24"/>
          <w:lang w:val="en-US" w:eastAsia="en-US"/>
        </w:rPr>
        <w:t>Aruldas</w:t>
      </w:r>
      <w:proofErr w:type="spellEnd"/>
      <w:r w:rsidRPr="00D81875">
        <w:rPr>
          <w:sz w:val="24"/>
          <w:szCs w:val="24"/>
          <w:lang w:val="en-US" w:eastAsia="en-US"/>
        </w:rPr>
        <w:t xml:space="preserve">, K., Ásbjörnsdóttir, K. H., </w:t>
      </w:r>
      <w:proofErr w:type="spellStart"/>
      <w:r w:rsidRPr="00D81875">
        <w:rPr>
          <w:sz w:val="24"/>
          <w:szCs w:val="24"/>
          <w:lang w:val="en-US" w:eastAsia="en-US"/>
        </w:rPr>
        <w:t>Avokpaho</w:t>
      </w:r>
      <w:proofErr w:type="spellEnd"/>
      <w:r w:rsidRPr="00D81875">
        <w:rPr>
          <w:sz w:val="24"/>
          <w:szCs w:val="24"/>
          <w:lang w:val="en-US" w:eastAsia="en-US"/>
        </w:rPr>
        <w:t xml:space="preserve">, E., Bailey, R., Cottrell, G., </w:t>
      </w:r>
      <w:proofErr w:type="spellStart"/>
      <w:r w:rsidRPr="00D81875">
        <w:rPr>
          <w:sz w:val="24"/>
          <w:szCs w:val="24"/>
          <w:lang w:val="en-US" w:eastAsia="en-US"/>
        </w:rPr>
        <w:t>Galagan</w:t>
      </w:r>
      <w:proofErr w:type="spellEnd"/>
      <w:r w:rsidRPr="00D81875">
        <w:rPr>
          <w:sz w:val="24"/>
          <w:szCs w:val="24"/>
          <w:lang w:val="en-US" w:eastAsia="en-US"/>
        </w:rPr>
        <w:t xml:space="preserve">, S. R., Halliday, K. E., </w:t>
      </w:r>
      <w:proofErr w:type="spellStart"/>
      <w:r w:rsidRPr="00D81875">
        <w:rPr>
          <w:sz w:val="24"/>
          <w:szCs w:val="24"/>
          <w:lang w:val="en-US" w:eastAsia="en-US"/>
        </w:rPr>
        <w:t>Houngbégnon</w:t>
      </w:r>
      <w:proofErr w:type="spellEnd"/>
      <w:r w:rsidRPr="00D81875">
        <w:rPr>
          <w:sz w:val="24"/>
          <w:szCs w:val="24"/>
          <w:lang w:val="en-US" w:eastAsia="en-US"/>
        </w:rPr>
        <w:t xml:space="preserve">, P., </w:t>
      </w:r>
      <w:proofErr w:type="spellStart"/>
      <w:r w:rsidRPr="00D81875">
        <w:rPr>
          <w:sz w:val="24"/>
          <w:szCs w:val="24"/>
          <w:lang w:val="en-US" w:eastAsia="en-US"/>
        </w:rPr>
        <w:t>Ibikounlé</w:t>
      </w:r>
      <w:proofErr w:type="spellEnd"/>
      <w:r w:rsidRPr="00D81875">
        <w:rPr>
          <w:sz w:val="24"/>
          <w:szCs w:val="24"/>
          <w:lang w:val="en-US" w:eastAsia="en-US"/>
        </w:rPr>
        <w:t xml:space="preserve">, M., Israel, G. J., Kaliappan, S. P., Kalua, K., Legge, H., Littlewood, D. T. J., Luty, A. J. F., Manuel, M., </w:t>
      </w:r>
      <w:proofErr w:type="spellStart"/>
      <w:r w:rsidRPr="00D81875">
        <w:rPr>
          <w:sz w:val="24"/>
          <w:szCs w:val="24"/>
          <w:lang w:val="en-US" w:eastAsia="en-US"/>
        </w:rPr>
        <w:t>Massougbodji</w:t>
      </w:r>
      <w:proofErr w:type="spellEnd"/>
      <w:r w:rsidRPr="00D81875">
        <w:rPr>
          <w:sz w:val="24"/>
          <w:szCs w:val="24"/>
          <w:lang w:val="en-US" w:eastAsia="en-US"/>
        </w:rPr>
        <w:t>, A., Means, A. R., . . . Walson, J. L. (2025). Feasibility of interrupting the transmission of soil-transmitted helminths: The DeWorm3 community cluster-</w:t>
      </w:r>
      <w:proofErr w:type="spellStart"/>
      <w:r w:rsidRPr="00D81875">
        <w:rPr>
          <w:sz w:val="24"/>
          <w:szCs w:val="24"/>
          <w:lang w:val="en-US" w:eastAsia="en-US"/>
        </w:rPr>
        <w:t>randomised</w:t>
      </w:r>
      <w:proofErr w:type="spellEnd"/>
      <w:r w:rsidRPr="00D81875">
        <w:rPr>
          <w:sz w:val="24"/>
          <w:szCs w:val="24"/>
          <w:lang w:val="en-US" w:eastAsia="en-US"/>
        </w:rPr>
        <w:t xml:space="preserve"> controlled trial in Benin, India, and Malawi. </w:t>
      </w:r>
      <w:r w:rsidRPr="00D81875">
        <w:rPr>
          <w:i/>
          <w:iCs/>
          <w:sz w:val="24"/>
          <w:szCs w:val="24"/>
          <w:lang w:val="en-US" w:eastAsia="en-US"/>
        </w:rPr>
        <w:t>The Lancet, 406</w:t>
      </w:r>
      <w:r w:rsidRPr="00D81875">
        <w:rPr>
          <w:sz w:val="24"/>
          <w:szCs w:val="24"/>
          <w:lang w:val="en-US" w:eastAsia="en-US"/>
        </w:rPr>
        <w:t xml:space="preserve">(10502), 475–488. </w:t>
      </w:r>
      <w:hyperlink r:id="rId9" w:history="1">
        <w:r w:rsidRPr="00D81875">
          <w:rPr>
            <w:color w:val="0000FF"/>
            <w:sz w:val="24"/>
            <w:szCs w:val="24"/>
            <w:u w:val="single"/>
            <w:lang w:val="en-US" w:eastAsia="en-US"/>
          </w:rPr>
          <w:t>https://doi.org/10.1016/S0140-6736(25)00766-4</w:t>
        </w:r>
      </w:hyperlink>
    </w:p>
    <w:p w14:paraId="38635253"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Ali, M., Xu, C., Wang, M., Hina, Q., Ji, Y., Anwar, S., Lu, S., He, Q., Qiu, Y., &amp; Li, K. (2025). Gut barrier dysfunction and microbiota variations in cryptosporidiosis: A comprehensive review. </w:t>
      </w:r>
      <w:r w:rsidRPr="00D81875">
        <w:rPr>
          <w:i/>
          <w:iCs/>
          <w:sz w:val="24"/>
          <w:szCs w:val="24"/>
          <w:lang w:val="en-US" w:eastAsia="en-US"/>
        </w:rPr>
        <w:t>Veterinary Sciences, 12</w:t>
      </w:r>
      <w:r w:rsidRPr="00D81875">
        <w:rPr>
          <w:sz w:val="24"/>
          <w:szCs w:val="24"/>
          <w:lang w:val="en-US" w:eastAsia="en-US"/>
        </w:rPr>
        <w:t xml:space="preserve">(2), 85. </w:t>
      </w:r>
      <w:hyperlink r:id="rId10" w:history="1">
        <w:r w:rsidRPr="00D81875">
          <w:rPr>
            <w:color w:val="0000FF"/>
            <w:sz w:val="24"/>
            <w:szCs w:val="24"/>
            <w:u w:val="single"/>
            <w:lang w:val="en-US" w:eastAsia="en-US"/>
          </w:rPr>
          <w:t>https://doi.org/10.3390/vetsci12020085</w:t>
        </w:r>
      </w:hyperlink>
    </w:p>
    <w:p w14:paraId="555A1EC8"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Antonetti, L., </w:t>
      </w:r>
      <w:proofErr w:type="spellStart"/>
      <w:r w:rsidRPr="00D81875">
        <w:rPr>
          <w:sz w:val="24"/>
          <w:szCs w:val="24"/>
          <w:lang w:val="en-US" w:eastAsia="en-US"/>
        </w:rPr>
        <w:t>Berrilli</w:t>
      </w:r>
      <w:proofErr w:type="spellEnd"/>
      <w:r w:rsidRPr="00D81875">
        <w:rPr>
          <w:sz w:val="24"/>
          <w:szCs w:val="24"/>
          <w:lang w:val="en-US" w:eastAsia="en-US"/>
        </w:rPr>
        <w:t xml:space="preserve">, F., Di Cristanziano, V., Farowski, F., </w:t>
      </w:r>
      <w:proofErr w:type="spellStart"/>
      <w:r w:rsidRPr="00D81875">
        <w:rPr>
          <w:sz w:val="24"/>
          <w:szCs w:val="24"/>
          <w:lang w:val="en-US" w:eastAsia="en-US"/>
        </w:rPr>
        <w:t>Daeumer</w:t>
      </w:r>
      <w:proofErr w:type="spellEnd"/>
      <w:r w:rsidRPr="00D81875">
        <w:rPr>
          <w:sz w:val="24"/>
          <w:szCs w:val="24"/>
          <w:lang w:val="en-US" w:eastAsia="en-US"/>
        </w:rPr>
        <w:t xml:space="preserve">, M., Eberhardt, K. A., Santoro, M., Federici, M., &amp; D'Alfonso, R. (2024). Investigation of gut microbiota composition in humans carrying </w:t>
      </w:r>
      <w:r w:rsidRPr="00D81875">
        <w:rPr>
          <w:i/>
          <w:iCs/>
          <w:sz w:val="24"/>
          <w:szCs w:val="24"/>
          <w:lang w:val="en-US" w:eastAsia="en-US"/>
        </w:rPr>
        <w:t>Blastocystis</w:t>
      </w:r>
      <w:r w:rsidRPr="00D81875">
        <w:rPr>
          <w:sz w:val="24"/>
          <w:szCs w:val="24"/>
          <w:lang w:val="en-US" w:eastAsia="en-US"/>
        </w:rPr>
        <w:t xml:space="preserve"> subtypes 1 and 2 and </w:t>
      </w:r>
      <w:r w:rsidRPr="00D81875">
        <w:rPr>
          <w:i/>
          <w:iCs/>
          <w:sz w:val="24"/>
          <w:szCs w:val="24"/>
          <w:lang w:val="en-US" w:eastAsia="en-US"/>
        </w:rPr>
        <w:t xml:space="preserve">Entamoeba </w:t>
      </w:r>
      <w:proofErr w:type="spellStart"/>
      <w:r w:rsidRPr="00D81875">
        <w:rPr>
          <w:i/>
          <w:iCs/>
          <w:sz w:val="24"/>
          <w:szCs w:val="24"/>
          <w:lang w:val="en-US" w:eastAsia="en-US"/>
        </w:rPr>
        <w:t>hartmanni</w:t>
      </w:r>
      <w:proofErr w:type="spellEnd"/>
      <w:r w:rsidRPr="00D81875">
        <w:rPr>
          <w:sz w:val="24"/>
          <w:szCs w:val="24"/>
          <w:lang w:val="en-US" w:eastAsia="en-US"/>
        </w:rPr>
        <w:t xml:space="preserve">. </w:t>
      </w:r>
      <w:r w:rsidRPr="00D81875">
        <w:rPr>
          <w:i/>
          <w:iCs/>
          <w:sz w:val="24"/>
          <w:szCs w:val="24"/>
          <w:lang w:val="en-US" w:eastAsia="en-US"/>
        </w:rPr>
        <w:t>Gut Pathogens, 16</w:t>
      </w:r>
      <w:r w:rsidRPr="00D81875">
        <w:rPr>
          <w:sz w:val="24"/>
          <w:szCs w:val="24"/>
          <w:lang w:val="en-US" w:eastAsia="en-US"/>
        </w:rPr>
        <w:t xml:space="preserve">, 72. </w:t>
      </w:r>
      <w:hyperlink r:id="rId11" w:history="1">
        <w:r w:rsidRPr="00D81875">
          <w:rPr>
            <w:color w:val="0000FF"/>
            <w:sz w:val="24"/>
            <w:szCs w:val="24"/>
            <w:u w:val="single"/>
            <w:lang w:val="en-US" w:eastAsia="en-US"/>
          </w:rPr>
          <w:t>https://doi.org/10.1186/s13099-024-00661-5</w:t>
        </w:r>
      </w:hyperlink>
    </w:p>
    <w:p w14:paraId="7D5BB652"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Attaway, C., Mathison, B. A., &amp; Misra, A. (2024). No longer stuck in the past: New advances in artificial intelligence and molecular assays for parasitology screening and diagnosis. </w:t>
      </w:r>
      <w:r w:rsidRPr="00D81875">
        <w:rPr>
          <w:i/>
          <w:iCs/>
          <w:sz w:val="24"/>
          <w:szCs w:val="24"/>
          <w:lang w:val="en-US" w:eastAsia="en-US"/>
        </w:rPr>
        <w:t>Current Opinion in Infectious Diseases, 37</w:t>
      </w:r>
      <w:r w:rsidRPr="00D81875">
        <w:rPr>
          <w:sz w:val="24"/>
          <w:szCs w:val="24"/>
          <w:lang w:val="en-US" w:eastAsia="en-US"/>
        </w:rPr>
        <w:t xml:space="preserve">(5), 357–366. </w:t>
      </w:r>
      <w:hyperlink r:id="rId12" w:history="1">
        <w:r w:rsidRPr="00D81875">
          <w:rPr>
            <w:color w:val="0000FF"/>
            <w:sz w:val="24"/>
            <w:szCs w:val="24"/>
            <w:u w:val="single"/>
            <w:lang w:val="en-US" w:eastAsia="en-US"/>
          </w:rPr>
          <w:t>https://doi.org/10.1097/QCO.0000000000001041</w:t>
        </w:r>
      </w:hyperlink>
    </w:p>
    <w:p w14:paraId="426E558F"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Baethge</w:t>
      </w:r>
      <w:proofErr w:type="spellEnd"/>
      <w:r w:rsidRPr="00D81875">
        <w:rPr>
          <w:sz w:val="24"/>
          <w:szCs w:val="24"/>
          <w:lang w:val="en-US" w:eastAsia="en-US"/>
        </w:rPr>
        <w:t xml:space="preserve">, C., Goldbeck-Wood, S., &amp; Mertens, S. (2019). SANRA—a scale for the quality assessment of narrative review articles. </w:t>
      </w:r>
      <w:r w:rsidRPr="00D81875">
        <w:rPr>
          <w:i/>
          <w:iCs/>
          <w:sz w:val="24"/>
          <w:szCs w:val="24"/>
          <w:lang w:val="en-US" w:eastAsia="en-US"/>
        </w:rPr>
        <w:t>Research Integrity and Peer Review, 4</w:t>
      </w:r>
      <w:r w:rsidRPr="00D81875">
        <w:rPr>
          <w:sz w:val="24"/>
          <w:szCs w:val="24"/>
          <w:lang w:val="en-US" w:eastAsia="en-US"/>
        </w:rPr>
        <w:t xml:space="preserve">, 5. </w:t>
      </w:r>
      <w:hyperlink r:id="rId13" w:history="1">
        <w:r w:rsidRPr="00D81875">
          <w:rPr>
            <w:color w:val="0000FF"/>
            <w:sz w:val="24"/>
            <w:szCs w:val="24"/>
            <w:u w:val="single"/>
            <w:lang w:val="en-US" w:eastAsia="en-US"/>
          </w:rPr>
          <w:t>https://doi.org/10.1186/s41073-019-0064-8</w:t>
        </w:r>
      </w:hyperlink>
    </w:p>
    <w:p w14:paraId="1DD52CD6"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nl-BE" w:eastAsia="en-US"/>
        </w:rPr>
        <w:t xml:space="preserve">Bekele, T., Lachisa, L., Tsegaye, A., Bacha, K., &amp; Ketema, T. (2024). </w:t>
      </w:r>
      <w:r w:rsidRPr="00D81875">
        <w:rPr>
          <w:sz w:val="24"/>
          <w:szCs w:val="24"/>
          <w:lang w:val="en-US" w:eastAsia="en-US"/>
        </w:rPr>
        <w:t xml:space="preserve">Efficacy of albendazole and mebendazole against soil transmitted infections among pre-school and school age children: A systematic review and meta-analysis. </w:t>
      </w:r>
      <w:r w:rsidRPr="00D81875">
        <w:rPr>
          <w:i/>
          <w:iCs/>
          <w:sz w:val="24"/>
          <w:szCs w:val="24"/>
          <w:lang w:val="en-US" w:eastAsia="en-US"/>
        </w:rPr>
        <w:t>Journal of Epidemiology and Global Health, 14</w:t>
      </w:r>
      <w:r w:rsidRPr="00D81875">
        <w:rPr>
          <w:sz w:val="24"/>
          <w:szCs w:val="24"/>
          <w:lang w:val="en-US" w:eastAsia="en-US"/>
        </w:rPr>
        <w:t xml:space="preserve">(3), 884–904. </w:t>
      </w:r>
      <w:hyperlink r:id="rId14" w:history="1">
        <w:r w:rsidRPr="00D81875">
          <w:rPr>
            <w:color w:val="0000FF"/>
            <w:sz w:val="24"/>
            <w:szCs w:val="24"/>
            <w:u w:val="single"/>
            <w:lang w:val="en-US" w:eastAsia="en-US"/>
          </w:rPr>
          <w:t>https://doi.org/10.1007/s44197-024-00231-7</w:t>
        </w:r>
      </w:hyperlink>
    </w:p>
    <w:p w14:paraId="1625D813"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Benjamin-Chung, J., Pilotte, N., </w:t>
      </w:r>
      <w:proofErr w:type="spellStart"/>
      <w:r w:rsidRPr="00D81875">
        <w:rPr>
          <w:sz w:val="24"/>
          <w:szCs w:val="24"/>
          <w:lang w:val="en-US" w:eastAsia="en-US"/>
        </w:rPr>
        <w:t>Ercumen</w:t>
      </w:r>
      <w:proofErr w:type="spellEnd"/>
      <w:r w:rsidRPr="00D81875">
        <w:rPr>
          <w:sz w:val="24"/>
          <w:szCs w:val="24"/>
          <w:lang w:val="en-US" w:eastAsia="en-US"/>
        </w:rPr>
        <w:t xml:space="preserve">, A., Grant, J. R., Maasch, J. R. M. A., Gonzalez, A. M., Ester, A. C., Arnold, B. F., Rahman, M., Haque, R., Hubbard, A. E., Luby, S. P., Williams, S. A., &amp; Colford, J. M. (2020). Comparison of multi-parallel qPCR and double-slide Kato-Katz for detection of soil-transmitted helminth infection among children in rural Bangladesh. </w:t>
      </w:r>
      <w:r w:rsidRPr="00D81875">
        <w:rPr>
          <w:i/>
          <w:iCs/>
          <w:sz w:val="24"/>
          <w:szCs w:val="24"/>
          <w:lang w:val="en-US" w:eastAsia="en-US"/>
        </w:rPr>
        <w:t>PLOS Neglected Tropical Diseases, 14</w:t>
      </w:r>
      <w:r w:rsidRPr="00D81875">
        <w:rPr>
          <w:sz w:val="24"/>
          <w:szCs w:val="24"/>
          <w:lang w:val="en-US" w:eastAsia="en-US"/>
        </w:rPr>
        <w:t xml:space="preserve">(4), e0008087. </w:t>
      </w:r>
      <w:hyperlink r:id="rId15" w:history="1">
        <w:r w:rsidRPr="00D81875">
          <w:rPr>
            <w:color w:val="0000FF"/>
            <w:sz w:val="24"/>
            <w:szCs w:val="24"/>
            <w:u w:val="single"/>
            <w:lang w:val="en-US" w:eastAsia="en-US"/>
          </w:rPr>
          <w:t>https://doi.org/10.1371/journal.pntd.0008087</w:t>
        </w:r>
      </w:hyperlink>
    </w:p>
    <w:p w14:paraId="44DF0B92"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Bourque, D. L., Neumayr, A., Libman, M., &amp; Chen, L. H. (2022). Treatment strategies for nitroimidazole-refractory giardiasis: A systematic review. </w:t>
      </w:r>
      <w:r w:rsidRPr="00D81875">
        <w:rPr>
          <w:i/>
          <w:iCs/>
          <w:sz w:val="24"/>
          <w:szCs w:val="24"/>
          <w:lang w:val="en-US" w:eastAsia="en-US"/>
        </w:rPr>
        <w:t>Journal of Travel Medicine, 29</w:t>
      </w:r>
      <w:r w:rsidRPr="00D81875">
        <w:rPr>
          <w:sz w:val="24"/>
          <w:szCs w:val="24"/>
          <w:lang w:val="en-US" w:eastAsia="en-US"/>
        </w:rPr>
        <w:t xml:space="preserve">(1), taab120. </w:t>
      </w:r>
      <w:hyperlink r:id="rId16" w:history="1">
        <w:r w:rsidRPr="00D81875">
          <w:rPr>
            <w:color w:val="0000FF"/>
            <w:sz w:val="24"/>
            <w:szCs w:val="24"/>
            <w:u w:val="single"/>
            <w:lang w:val="en-US" w:eastAsia="en-US"/>
          </w:rPr>
          <w:t>https://doi.org/10.1093/jtm/taab120</w:t>
        </w:r>
      </w:hyperlink>
    </w:p>
    <w:p w14:paraId="3BCBC27F"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Buonfrate</w:t>
      </w:r>
      <w:proofErr w:type="spellEnd"/>
      <w:r w:rsidRPr="00D81875">
        <w:rPr>
          <w:sz w:val="24"/>
          <w:szCs w:val="24"/>
          <w:lang w:val="en-US" w:eastAsia="en-US"/>
        </w:rPr>
        <w:t xml:space="preserve">, D., </w:t>
      </w:r>
      <w:proofErr w:type="spellStart"/>
      <w:r w:rsidRPr="00D81875">
        <w:rPr>
          <w:sz w:val="24"/>
          <w:szCs w:val="24"/>
          <w:lang w:val="en-US" w:eastAsia="en-US"/>
        </w:rPr>
        <w:t>Bisanzio</w:t>
      </w:r>
      <w:proofErr w:type="spellEnd"/>
      <w:r w:rsidRPr="00D81875">
        <w:rPr>
          <w:sz w:val="24"/>
          <w:szCs w:val="24"/>
          <w:lang w:val="en-US" w:eastAsia="en-US"/>
        </w:rPr>
        <w:t xml:space="preserve">, D., </w:t>
      </w:r>
      <w:proofErr w:type="spellStart"/>
      <w:r w:rsidRPr="00D81875">
        <w:rPr>
          <w:sz w:val="24"/>
          <w:szCs w:val="24"/>
          <w:lang w:val="en-US" w:eastAsia="en-US"/>
        </w:rPr>
        <w:t>Giorli</w:t>
      </w:r>
      <w:proofErr w:type="spellEnd"/>
      <w:r w:rsidRPr="00D81875">
        <w:rPr>
          <w:sz w:val="24"/>
          <w:szCs w:val="24"/>
          <w:lang w:val="en-US" w:eastAsia="en-US"/>
        </w:rPr>
        <w:t xml:space="preserve">, G., Odermatt, P., Fürst, T., Greenaway, C., French, M., </w:t>
      </w:r>
      <w:proofErr w:type="spellStart"/>
      <w:r w:rsidRPr="00D81875">
        <w:rPr>
          <w:sz w:val="24"/>
          <w:szCs w:val="24"/>
          <w:lang w:val="en-US" w:eastAsia="en-US"/>
        </w:rPr>
        <w:t>Reithinger</w:t>
      </w:r>
      <w:proofErr w:type="spellEnd"/>
      <w:r w:rsidRPr="00D81875">
        <w:rPr>
          <w:sz w:val="24"/>
          <w:szCs w:val="24"/>
          <w:lang w:val="en-US" w:eastAsia="en-US"/>
        </w:rPr>
        <w:t xml:space="preserve">, R., Gobbi, F., Montresor, A., &amp; </w:t>
      </w:r>
      <w:proofErr w:type="spellStart"/>
      <w:r w:rsidRPr="00D81875">
        <w:rPr>
          <w:sz w:val="24"/>
          <w:szCs w:val="24"/>
          <w:lang w:val="en-US" w:eastAsia="en-US"/>
        </w:rPr>
        <w:t>Bisoffi</w:t>
      </w:r>
      <w:proofErr w:type="spellEnd"/>
      <w:r w:rsidRPr="00D81875">
        <w:rPr>
          <w:sz w:val="24"/>
          <w:szCs w:val="24"/>
          <w:lang w:val="en-US" w:eastAsia="en-US"/>
        </w:rPr>
        <w:t xml:space="preserve">, Z. (2020). The global prevalence of </w:t>
      </w:r>
      <w:proofErr w:type="spellStart"/>
      <w:r w:rsidRPr="00D81875">
        <w:rPr>
          <w:i/>
          <w:iCs/>
          <w:sz w:val="24"/>
          <w:szCs w:val="24"/>
          <w:lang w:val="en-US" w:eastAsia="en-US"/>
        </w:rPr>
        <w:t>Strongyloides</w:t>
      </w:r>
      <w:proofErr w:type="spellEnd"/>
      <w:r w:rsidRPr="00D81875">
        <w:rPr>
          <w:i/>
          <w:iCs/>
          <w:sz w:val="24"/>
          <w:szCs w:val="24"/>
          <w:lang w:val="en-US" w:eastAsia="en-US"/>
        </w:rPr>
        <w:t xml:space="preserve"> </w:t>
      </w:r>
      <w:proofErr w:type="spellStart"/>
      <w:r w:rsidRPr="00D81875">
        <w:rPr>
          <w:i/>
          <w:iCs/>
          <w:sz w:val="24"/>
          <w:szCs w:val="24"/>
          <w:lang w:val="en-US" w:eastAsia="en-US"/>
        </w:rPr>
        <w:t>stercoralis</w:t>
      </w:r>
      <w:proofErr w:type="spellEnd"/>
      <w:r w:rsidRPr="00D81875">
        <w:rPr>
          <w:sz w:val="24"/>
          <w:szCs w:val="24"/>
          <w:lang w:val="en-US" w:eastAsia="en-US"/>
        </w:rPr>
        <w:t xml:space="preserve"> infection. </w:t>
      </w:r>
      <w:r w:rsidRPr="00D81875">
        <w:rPr>
          <w:i/>
          <w:iCs/>
          <w:sz w:val="24"/>
          <w:szCs w:val="24"/>
          <w:lang w:val="en-US" w:eastAsia="en-US"/>
        </w:rPr>
        <w:t>Pathogens, 9</w:t>
      </w:r>
      <w:r w:rsidRPr="00D81875">
        <w:rPr>
          <w:sz w:val="24"/>
          <w:szCs w:val="24"/>
          <w:lang w:val="en-US" w:eastAsia="en-US"/>
        </w:rPr>
        <w:t xml:space="preserve">(6), 468. </w:t>
      </w:r>
      <w:hyperlink r:id="rId17" w:history="1">
        <w:r w:rsidRPr="00D81875">
          <w:rPr>
            <w:color w:val="0000FF"/>
            <w:sz w:val="24"/>
            <w:szCs w:val="24"/>
            <w:u w:val="single"/>
            <w:lang w:val="en-US" w:eastAsia="en-US"/>
          </w:rPr>
          <w:t>https://doi.org/10.3390/pathogens9060468</w:t>
        </w:r>
      </w:hyperlink>
    </w:p>
    <w:p w14:paraId="12F14F8A"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lastRenderedPageBreak/>
        <w:t>Buonfrate</w:t>
      </w:r>
      <w:proofErr w:type="spellEnd"/>
      <w:r w:rsidRPr="00D81875">
        <w:rPr>
          <w:sz w:val="24"/>
          <w:szCs w:val="24"/>
          <w:lang w:val="en-US" w:eastAsia="en-US"/>
        </w:rPr>
        <w:t xml:space="preserve">, D., Bradbury, R. S., Watts, M. R., &amp; </w:t>
      </w:r>
      <w:proofErr w:type="spellStart"/>
      <w:r w:rsidRPr="00D81875">
        <w:rPr>
          <w:sz w:val="24"/>
          <w:szCs w:val="24"/>
          <w:lang w:val="en-US" w:eastAsia="en-US"/>
        </w:rPr>
        <w:t>Bisoffi</w:t>
      </w:r>
      <w:proofErr w:type="spellEnd"/>
      <w:r w:rsidRPr="00D81875">
        <w:rPr>
          <w:sz w:val="24"/>
          <w:szCs w:val="24"/>
          <w:lang w:val="en-US" w:eastAsia="en-US"/>
        </w:rPr>
        <w:t xml:space="preserve">, Z. (2023). Human strongyloidiasis: Complexities and pathways forward. </w:t>
      </w:r>
      <w:r w:rsidRPr="00D81875">
        <w:rPr>
          <w:i/>
          <w:iCs/>
          <w:sz w:val="24"/>
          <w:szCs w:val="24"/>
          <w:lang w:val="en-US" w:eastAsia="en-US"/>
        </w:rPr>
        <w:t>Clinical Microbiology Reviews, 36</w:t>
      </w:r>
      <w:r w:rsidRPr="00D81875">
        <w:rPr>
          <w:sz w:val="24"/>
          <w:szCs w:val="24"/>
          <w:lang w:val="en-US" w:eastAsia="en-US"/>
        </w:rPr>
        <w:t xml:space="preserve">(4), e00033-23. </w:t>
      </w:r>
      <w:hyperlink r:id="rId18" w:history="1">
        <w:r w:rsidRPr="00D81875">
          <w:rPr>
            <w:color w:val="0000FF"/>
            <w:sz w:val="24"/>
            <w:szCs w:val="24"/>
            <w:u w:val="single"/>
            <w:lang w:val="en-US" w:eastAsia="en-US"/>
          </w:rPr>
          <w:t>https://doi.org/10.1128/cmr.00033-23</w:t>
        </w:r>
      </w:hyperlink>
    </w:p>
    <w:p w14:paraId="4E852CF6"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Caravedo</w:t>
      </w:r>
      <w:proofErr w:type="spellEnd"/>
      <w:r w:rsidRPr="00D81875">
        <w:rPr>
          <w:sz w:val="24"/>
          <w:szCs w:val="24"/>
          <w:lang w:val="en-US" w:eastAsia="en-US"/>
        </w:rPr>
        <w:t xml:space="preserve">, M. A., &amp; White, A. C. (2023). Treatment of cryptosporidiosis: Nitazoxanide yes, but we can do better. </w:t>
      </w:r>
      <w:r w:rsidRPr="00D81875">
        <w:rPr>
          <w:i/>
          <w:iCs/>
          <w:sz w:val="24"/>
          <w:szCs w:val="24"/>
          <w:lang w:val="en-US" w:eastAsia="en-US"/>
        </w:rPr>
        <w:t>Expert Review of Anti-Infective Therapy, 21</w:t>
      </w:r>
      <w:r w:rsidRPr="00D81875">
        <w:rPr>
          <w:sz w:val="24"/>
          <w:szCs w:val="24"/>
          <w:lang w:val="en-US" w:eastAsia="en-US"/>
        </w:rPr>
        <w:t xml:space="preserve">(2), 167–173. </w:t>
      </w:r>
      <w:hyperlink r:id="rId19" w:history="1">
        <w:r w:rsidRPr="00D81875">
          <w:rPr>
            <w:color w:val="0000FF"/>
            <w:sz w:val="24"/>
            <w:szCs w:val="24"/>
            <w:u w:val="single"/>
            <w:lang w:val="en-US" w:eastAsia="en-US"/>
          </w:rPr>
          <w:t>https://doi.org/10.1080/14787210.2023.2160704</w:t>
        </w:r>
      </w:hyperlink>
    </w:p>
    <w:p w14:paraId="661AAC50"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Casulli, A. (2021). New global targets for NTDs in the WHO roadmap 2021–2030. </w:t>
      </w:r>
      <w:r w:rsidRPr="00D81875">
        <w:rPr>
          <w:i/>
          <w:iCs/>
          <w:sz w:val="24"/>
          <w:szCs w:val="24"/>
          <w:lang w:val="en-US" w:eastAsia="en-US"/>
        </w:rPr>
        <w:t>PLOS Neglected Tropical Diseases, 15</w:t>
      </w:r>
      <w:r w:rsidRPr="00D81875">
        <w:rPr>
          <w:sz w:val="24"/>
          <w:szCs w:val="24"/>
          <w:lang w:val="en-US" w:eastAsia="en-US"/>
        </w:rPr>
        <w:t xml:space="preserve">(5), e0009373. </w:t>
      </w:r>
      <w:hyperlink r:id="rId20" w:history="1">
        <w:r w:rsidRPr="00D81875">
          <w:rPr>
            <w:color w:val="0000FF"/>
            <w:sz w:val="24"/>
            <w:szCs w:val="24"/>
            <w:u w:val="single"/>
            <w:lang w:val="en-US" w:eastAsia="en-US"/>
          </w:rPr>
          <w:t>https://doi.org/10.1371/journal.pntd.0009373</w:t>
        </w:r>
      </w:hyperlink>
    </w:p>
    <w:p w14:paraId="285155D3"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Chen, J., Gong, Y., Chen, Q., Li, S., &amp; Zhou, Y. (2024). Global burden of soil-transmitted helminth infections, 1990–2021. </w:t>
      </w:r>
      <w:r w:rsidRPr="00D81875">
        <w:rPr>
          <w:i/>
          <w:iCs/>
          <w:sz w:val="24"/>
          <w:szCs w:val="24"/>
          <w:lang w:val="en-US" w:eastAsia="en-US"/>
        </w:rPr>
        <w:t>Infectious Diseases of Poverty, 13</w:t>
      </w:r>
      <w:r w:rsidRPr="00D81875">
        <w:rPr>
          <w:sz w:val="24"/>
          <w:szCs w:val="24"/>
          <w:lang w:val="en-US" w:eastAsia="en-US"/>
        </w:rPr>
        <w:t xml:space="preserve">, 77. </w:t>
      </w:r>
      <w:hyperlink r:id="rId21" w:history="1">
        <w:r w:rsidRPr="00D81875">
          <w:rPr>
            <w:color w:val="0000FF"/>
            <w:sz w:val="24"/>
            <w:szCs w:val="24"/>
            <w:u w:val="single"/>
            <w:lang w:val="en-US" w:eastAsia="en-US"/>
          </w:rPr>
          <w:t>https://doi.org/10.1186/s40249-024-01238-9</w:t>
        </w:r>
      </w:hyperlink>
    </w:p>
    <w:p w14:paraId="5356548C"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Colombo, S. A. P., &amp; </w:t>
      </w:r>
      <w:proofErr w:type="spellStart"/>
      <w:r w:rsidRPr="00D81875">
        <w:rPr>
          <w:sz w:val="24"/>
          <w:szCs w:val="24"/>
          <w:lang w:val="en-US" w:eastAsia="en-US"/>
        </w:rPr>
        <w:t>Grencis</w:t>
      </w:r>
      <w:proofErr w:type="spellEnd"/>
      <w:r w:rsidRPr="00D81875">
        <w:rPr>
          <w:sz w:val="24"/>
          <w:szCs w:val="24"/>
          <w:lang w:val="en-US" w:eastAsia="en-US"/>
        </w:rPr>
        <w:t xml:space="preserve">, R. K. (2020). Immunity to soil-transmitted helminths: Evidence from the field and laboratory models. </w:t>
      </w:r>
      <w:r w:rsidRPr="00D81875">
        <w:rPr>
          <w:i/>
          <w:iCs/>
          <w:sz w:val="24"/>
          <w:szCs w:val="24"/>
          <w:lang w:val="en-US" w:eastAsia="en-US"/>
        </w:rPr>
        <w:t>Frontiers in Immunology, 11</w:t>
      </w:r>
      <w:r w:rsidRPr="00D81875">
        <w:rPr>
          <w:sz w:val="24"/>
          <w:szCs w:val="24"/>
          <w:lang w:val="en-US" w:eastAsia="en-US"/>
        </w:rPr>
        <w:t xml:space="preserve">, 1286. </w:t>
      </w:r>
      <w:hyperlink r:id="rId22" w:history="1">
        <w:r w:rsidRPr="00D81875">
          <w:rPr>
            <w:color w:val="0000FF"/>
            <w:sz w:val="24"/>
            <w:szCs w:val="24"/>
            <w:u w:val="single"/>
            <w:lang w:val="en-US" w:eastAsia="en-US"/>
          </w:rPr>
          <w:t>https://doi.org/10.3389/fimmu.2020.01286</w:t>
        </w:r>
      </w:hyperlink>
    </w:p>
    <w:p w14:paraId="31F650FB"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Cumming, O., Arnold, B. F., Ban, R., Clasen, T., Esteves Mills, J., Freeman, M. C., Gordon, B., </w:t>
      </w:r>
      <w:proofErr w:type="spellStart"/>
      <w:r w:rsidRPr="00D81875">
        <w:rPr>
          <w:sz w:val="24"/>
          <w:szCs w:val="24"/>
          <w:lang w:val="en-US" w:eastAsia="en-US"/>
        </w:rPr>
        <w:t>Guiteras</w:t>
      </w:r>
      <w:proofErr w:type="spellEnd"/>
      <w:r w:rsidRPr="00D81875">
        <w:rPr>
          <w:sz w:val="24"/>
          <w:szCs w:val="24"/>
          <w:lang w:val="en-US" w:eastAsia="en-US"/>
        </w:rPr>
        <w:t xml:space="preserve">, R., Howard, G., Hunter, P. R., Johnston, R. B., Pickering, A. J., Prendergast, A. J., </w:t>
      </w:r>
      <w:proofErr w:type="spellStart"/>
      <w:r w:rsidRPr="00D81875">
        <w:rPr>
          <w:sz w:val="24"/>
          <w:szCs w:val="24"/>
          <w:lang w:val="en-US" w:eastAsia="en-US"/>
        </w:rPr>
        <w:t>Prüss-Ustün</w:t>
      </w:r>
      <w:proofErr w:type="spellEnd"/>
      <w:r w:rsidRPr="00D81875">
        <w:rPr>
          <w:sz w:val="24"/>
          <w:szCs w:val="24"/>
          <w:lang w:val="en-US" w:eastAsia="en-US"/>
        </w:rPr>
        <w:t xml:space="preserve">, A., Rosenboom, J. W., Spears, D., Sundberg, S., Wolf, J., Null, C., . . . Colford, J. M., Jr. (2019). The implications of three major new trials for the effect of water, sanitation and hygiene on childhood diarrhea and stunting: A consensus statement. </w:t>
      </w:r>
      <w:r w:rsidRPr="00D81875">
        <w:rPr>
          <w:i/>
          <w:iCs/>
          <w:sz w:val="24"/>
          <w:szCs w:val="24"/>
          <w:lang w:val="en-US" w:eastAsia="en-US"/>
        </w:rPr>
        <w:t>BMC Medicine, 17</w:t>
      </w:r>
      <w:r w:rsidRPr="00D81875">
        <w:rPr>
          <w:sz w:val="24"/>
          <w:szCs w:val="24"/>
          <w:lang w:val="en-US" w:eastAsia="en-US"/>
        </w:rPr>
        <w:t xml:space="preserve">, 173. </w:t>
      </w:r>
      <w:hyperlink r:id="rId23" w:history="1">
        <w:r w:rsidRPr="00D81875">
          <w:rPr>
            <w:color w:val="0000FF"/>
            <w:sz w:val="24"/>
            <w:szCs w:val="24"/>
            <w:u w:val="single"/>
            <w:lang w:val="en-US" w:eastAsia="en-US"/>
          </w:rPr>
          <w:t>https://doi.org/10.1186/s12916-019-1410-x</w:t>
        </w:r>
      </w:hyperlink>
    </w:p>
    <w:p w14:paraId="518D8A05"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Deng, L., &amp; Tan, K. S. W. (2025). Decoding </w:t>
      </w:r>
      <w:r w:rsidRPr="00D81875">
        <w:rPr>
          <w:i/>
          <w:iCs/>
          <w:sz w:val="24"/>
          <w:szCs w:val="24"/>
          <w:lang w:val="en-US" w:eastAsia="en-US"/>
        </w:rPr>
        <w:t>Blastocystis</w:t>
      </w:r>
      <w:r w:rsidRPr="00D81875">
        <w:rPr>
          <w:sz w:val="24"/>
          <w:szCs w:val="24"/>
          <w:lang w:val="en-US" w:eastAsia="en-US"/>
        </w:rPr>
        <w:t xml:space="preserve">-driven mechanisms in gut microbiota and host metabolism. </w:t>
      </w:r>
      <w:r w:rsidRPr="00D81875">
        <w:rPr>
          <w:i/>
          <w:iCs/>
          <w:sz w:val="24"/>
          <w:szCs w:val="24"/>
          <w:lang w:val="en-US" w:eastAsia="en-US"/>
        </w:rPr>
        <w:t>Advanced Science, 12</w:t>
      </w:r>
      <w:r w:rsidRPr="00D81875">
        <w:rPr>
          <w:sz w:val="24"/>
          <w:szCs w:val="24"/>
          <w:lang w:val="en-US" w:eastAsia="en-US"/>
        </w:rPr>
        <w:t xml:space="preserve">(17), e2416325. </w:t>
      </w:r>
      <w:hyperlink r:id="rId24" w:history="1">
        <w:r w:rsidRPr="00D81875">
          <w:rPr>
            <w:color w:val="0000FF"/>
            <w:sz w:val="24"/>
            <w:szCs w:val="24"/>
            <w:u w:val="single"/>
            <w:lang w:val="en-US" w:eastAsia="en-US"/>
          </w:rPr>
          <w:t>https://doi.org/10.1002/advs.202416325</w:t>
        </w:r>
      </w:hyperlink>
    </w:p>
    <w:p w14:paraId="3DF4BDAE"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Dunn, J. C., Papaiakovou, M., Han, K. T., </w:t>
      </w:r>
      <w:proofErr w:type="spellStart"/>
      <w:r w:rsidRPr="00D81875">
        <w:rPr>
          <w:sz w:val="24"/>
          <w:szCs w:val="24"/>
          <w:lang w:val="en-US" w:eastAsia="en-US"/>
        </w:rPr>
        <w:t>Chooneea</w:t>
      </w:r>
      <w:proofErr w:type="spellEnd"/>
      <w:r w:rsidRPr="00D81875">
        <w:rPr>
          <w:sz w:val="24"/>
          <w:szCs w:val="24"/>
          <w:lang w:val="en-US" w:eastAsia="en-US"/>
        </w:rPr>
        <w:t xml:space="preserve">, D., Bettis, A. A., </w:t>
      </w:r>
      <w:proofErr w:type="spellStart"/>
      <w:r w:rsidRPr="00D81875">
        <w:rPr>
          <w:sz w:val="24"/>
          <w:szCs w:val="24"/>
          <w:lang w:val="en-US" w:eastAsia="en-US"/>
        </w:rPr>
        <w:t>Wyine</w:t>
      </w:r>
      <w:proofErr w:type="spellEnd"/>
      <w:r w:rsidRPr="00D81875">
        <w:rPr>
          <w:sz w:val="24"/>
          <w:szCs w:val="24"/>
          <w:lang w:val="en-US" w:eastAsia="en-US"/>
        </w:rPr>
        <w:t xml:space="preserve">, N. Y., Lwin, A. M. M., Maung, N. S., Misra, R., Littlewood, D. T. J., &amp; Anderson, R. M. (2020). The increased sensitivity of qPCR in comparison to Kato-Katz is required for the accurate assessment of the prevalence of soil-transmitted helminth infection in settings that have received multiple rounds of mass drug administration. </w:t>
      </w:r>
      <w:r w:rsidRPr="00D81875">
        <w:rPr>
          <w:i/>
          <w:iCs/>
          <w:sz w:val="24"/>
          <w:szCs w:val="24"/>
          <w:lang w:val="en-US" w:eastAsia="en-US"/>
        </w:rPr>
        <w:t>Parasites &amp; Vectors, 13</w:t>
      </w:r>
      <w:r w:rsidRPr="00D81875">
        <w:rPr>
          <w:sz w:val="24"/>
          <w:szCs w:val="24"/>
          <w:lang w:val="en-US" w:eastAsia="en-US"/>
        </w:rPr>
        <w:t xml:space="preserve">, 324. </w:t>
      </w:r>
      <w:hyperlink r:id="rId25" w:history="1">
        <w:r w:rsidRPr="00D81875">
          <w:rPr>
            <w:color w:val="0000FF"/>
            <w:sz w:val="24"/>
            <w:szCs w:val="24"/>
            <w:u w:val="single"/>
            <w:lang w:val="en-US" w:eastAsia="en-US"/>
          </w:rPr>
          <w:t>https://doi.org/10.1186/s13071-020-04197-w</w:t>
        </w:r>
      </w:hyperlink>
    </w:p>
    <w:p w14:paraId="711D8A35"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García-</w:t>
      </w:r>
      <w:proofErr w:type="spellStart"/>
      <w:r w:rsidRPr="00D81875">
        <w:rPr>
          <w:sz w:val="24"/>
          <w:szCs w:val="24"/>
          <w:lang w:val="en-US" w:eastAsia="en-US"/>
        </w:rPr>
        <w:t>Bernalt</w:t>
      </w:r>
      <w:proofErr w:type="spellEnd"/>
      <w:r w:rsidRPr="00D81875">
        <w:rPr>
          <w:sz w:val="24"/>
          <w:szCs w:val="24"/>
          <w:lang w:val="en-US" w:eastAsia="en-US"/>
        </w:rPr>
        <w:t xml:space="preserve"> Diego, J., Desai, P., Yeung, S. T., Damani-Yokota, P., Khanna, K. M., Diamond, M. S., &amp; </w:t>
      </w:r>
      <w:proofErr w:type="spellStart"/>
      <w:r w:rsidRPr="00D81875">
        <w:rPr>
          <w:sz w:val="24"/>
          <w:szCs w:val="24"/>
          <w:lang w:val="en-US" w:eastAsia="en-US"/>
        </w:rPr>
        <w:t>Schotsaert</w:t>
      </w:r>
      <w:proofErr w:type="spellEnd"/>
      <w:r w:rsidRPr="00D81875">
        <w:rPr>
          <w:sz w:val="24"/>
          <w:szCs w:val="24"/>
          <w:lang w:val="en-US" w:eastAsia="en-US"/>
        </w:rPr>
        <w:t xml:space="preserve">, M. (2025). Helminth infections affect host immune responses to viral infections and vaccines. </w:t>
      </w:r>
      <w:r w:rsidRPr="00D81875">
        <w:rPr>
          <w:i/>
          <w:iCs/>
          <w:sz w:val="24"/>
          <w:szCs w:val="24"/>
          <w:lang w:val="en-US" w:eastAsia="en-US"/>
        </w:rPr>
        <w:t>FEMS Microbiology Reviews, 49</w:t>
      </w:r>
      <w:r w:rsidRPr="00D81875">
        <w:rPr>
          <w:sz w:val="24"/>
          <w:szCs w:val="24"/>
          <w:lang w:val="en-US" w:eastAsia="en-US"/>
        </w:rPr>
        <w:t xml:space="preserve">, fuaf036. </w:t>
      </w:r>
      <w:hyperlink r:id="rId26" w:history="1">
        <w:r w:rsidRPr="00D81875">
          <w:rPr>
            <w:color w:val="0000FF"/>
            <w:sz w:val="24"/>
            <w:szCs w:val="24"/>
            <w:u w:val="single"/>
            <w:lang w:val="en-US" w:eastAsia="en-US"/>
          </w:rPr>
          <w:t>https://doi.org/10.1093/femsre/fuaf036</w:t>
        </w:r>
      </w:hyperlink>
    </w:p>
    <w:p w14:paraId="154C16D5"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Gerrick, E. R., &amp; Howitt, M. R. (2025). The lost kingdom: Commensal protists in the gut microbiota. </w:t>
      </w:r>
      <w:r w:rsidRPr="00D81875">
        <w:rPr>
          <w:i/>
          <w:iCs/>
          <w:sz w:val="24"/>
          <w:szCs w:val="24"/>
          <w:lang w:val="en-US" w:eastAsia="en-US"/>
        </w:rPr>
        <w:t>Trends in Microbiology, 33</w:t>
      </w:r>
      <w:r w:rsidRPr="00D81875">
        <w:rPr>
          <w:sz w:val="24"/>
          <w:szCs w:val="24"/>
          <w:lang w:val="en-US" w:eastAsia="en-US"/>
        </w:rPr>
        <w:t xml:space="preserve">(6), 603–618. </w:t>
      </w:r>
      <w:hyperlink r:id="rId27" w:history="1">
        <w:r w:rsidRPr="00D81875">
          <w:rPr>
            <w:color w:val="0000FF"/>
            <w:sz w:val="24"/>
            <w:szCs w:val="24"/>
            <w:u w:val="single"/>
            <w:lang w:val="en-US" w:eastAsia="en-US"/>
          </w:rPr>
          <w:t>https://doi.org/10.1016/j.tim.2025.01.008</w:t>
        </w:r>
      </w:hyperlink>
    </w:p>
    <w:p w14:paraId="23149B5C"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Giallourou</w:t>
      </w:r>
      <w:proofErr w:type="spellEnd"/>
      <w:r w:rsidRPr="00D81875">
        <w:rPr>
          <w:sz w:val="24"/>
          <w:szCs w:val="24"/>
          <w:lang w:val="en-US" w:eastAsia="en-US"/>
        </w:rPr>
        <w:t xml:space="preserve">, N., Arnold, J. W., </w:t>
      </w:r>
      <w:proofErr w:type="spellStart"/>
      <w:r w:rsidRPr="00D81875">
        <w:rPr>
          <w:sz w:val="24"/>
          <w:szCs w:val="24"/>
          <w:lang w:val="en-US" w:eastAsia="en-US"/>
        </w:rPr>
        <w:t>Rogawski</w:t>
      </w:r>
      <w:proofErr w:type="spellEnd"/>
      <w:r w:rsidRPr="00D81875">
        <w:rPr>
          <w:sz w:val="24"/>
          <w:szCs w:val="24"/>
          <w:lang w:val="en-US" w:eastAsia="en-US"/>
        </w:rPr>
        <w:t xml:space="preserve"> McQuade, E. T., Awoniyi, M., Thomas Becket, R. V., Walsh, K., Herzog, J., Gulati, A. S., Carroll, I. M., Montgomery, S. A., Quintela, P. H., Faust, A. M., Singer, S. M., Fodor, A. A., Ahmad, T., Mahfuz, M., Mduma, E., </w:t>
      </w:r>
      <w:proofErr w:type="spellStart"/>
      <w:r w:rsidRPr="00D81875">
        <w:rPr>
          <w:sz w:val="24"/>
          <w:szCs w:val="24"/>
          <w:lang w:val="en-US" w:eastAsia="en-US"/>
        </w:rPr>
        <w:lastRenderedPageBreak/>
        <w:t>Walongo</w:t>
      </w:r>
      <w:proofErr w:type="spellEnd"/>
      <w:r w:rsidRPr="00D81875">
        <w:rPr>
          <w:sz w:val="24"/>
          <w:szCs w:val="24"/>
          <w:lang w:val="en-US" w:eastAsia="en-US"/>
        </w:rPr>
        <w:t xml:space="preserve">, T., Guerrant, R. L., . . . Bartelt, L. A. (2023). </w:t>
      </w:r>
      <w:r w:rsidRPr="00D81875">
        <w:rPr>
          <w:i/>
          <w:iCs/>
          <w:sz w:val="24"/>
          <w:szCs w:val="24"/>
          <w:lang w:val="en-US" w:eastAsia="en-US"/>
        </w:rPr>
        <w:t>Giardia</w:t>
      </w:r>
      <w:r w:rsidRPr="00D81875">
        <w:rPr>
          <w:sz w:val="24"/>
          <w:szCs w:val="24"/>
          <w:lang w:val="en-US" w:eastAsia="en-US"/>
        </w:rPr>
        <w:t xml:space="preserve"> hinders growth by disrupting nutrient metabolism independent of inflammatory enteropathy. </w:t>
      </w:r>
      <w:r w:rsidRPr="00D81875">
        <w:rPr>
          <w:i/>
          <w:iCs/>
          <w:sz w:val="24"/>
          <w:szCs w:val="24"/>
          <w:lang w:val="en-US" w:eastAsia="en-US"/>
        </w:rPr>
        <w:t>Nature Communications, 14</w:t>
      </w:r>
      <w:r w:rsidRPr="00D81875">
        <w:rPr>
          <w:sz w:val="24"/>
          <w:szCs w:val="24"/>
          <w:lang w:val="en-US" w:eastAsia="en-US"/>
        </w:rPr>
        <w:t xml:space="preserve">, 2840. </w:t>
      </w:r>
      <w:hyperlink r:id="rId28" w:history="1">
        <w:r w:rsidRPr="00D81875">
          <w:rPr>
            <w:color w:val="0000FF"/>
            <w:sz w:val="24"/>
            <w:szCs w:val="24"/>
            <w:u w:val="single"/>
            <w:lang w:val="en-US" w:eastAsia="en-US"/>
          </w:rPr>
          <w:t>https://doi.org/10.1038/s41467-023-38363-2</w:t>
        </w:r>
      </w:hyperlink>
    </w:p>
    <w:p w14:paraId="6898D1D1"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Gordon, C. A., Utzinger, J., Muhi, S., Becker, S. L., Keiser, J., Khieu, V., &amp; Gray, D. J. (2024). Strongyloidiasis. </w:t>
      </w:r>
      <w:r w:rsidRPr="00D81875">
        <w:rPr>
          <w:i/>
          <w:iCs/>
          <w:sz w:val="24"/>
          <w:szCs w:val="24"/>
          <w:lang w:val="en-US" w:eastAsia="en-US"/>
        </w:rPr>
        <w:t>Nature Reviews Disease Primers, 10</w:t>
      </w:r>
      <w:r w:rsidRPr="00D81875">
        <w:rPr>
          <w:sz w:val="24"/>
          <w:szCs w:val="24"/>
          <w:lang w:val="en-US" w:eastAsia="en-US"/>
        </w:rPr>
        <w:t xml:space="preserve">(1), 6. </w:t>
      </w:r>
      <w:hyperlink r:id="rId29" w:history="1">
        <w:r w:rsidRPr="00D81875">
          <w:rPr>
            <w:color w:val="0000FF"/>
            <w:sz w:val="24"/>
            <w:szCs w:val="24"/>
            <w:u w:val="single"/>
            <w:lang w:val="en-US" w:eastAsia="en-US"/>
          </w:rPr>
          <w:t>https://doi.org/10.1038/s41572-023-00490-x</w:t>
        </w:r>
      </w:hyperlink>
    </w:p>
    <w:p w14:paraId="49B61E02"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Guillén, N. (2023). Pathogenicity and virulence of </w:t>
      </w:r>
      <w:r w:rsidRPr="00D81875">
        <w:rPr>
          <w:i/>
          <w:iCs/>
          <w:sz w:val="24"/>
          <w:szCs w:val="24"/>
          <w:lang w:val="en-US" w:eastAsia="en-US"/>
        </w:rPr>
        <w:t>Entamoeba histolytica</w:t>
      </w:r>
      <w:r w:rsidRPr="00D81875">
        <w:rPr>
          <w:sz w:val="24"/>
          <w:szCs w:val="24"/>
          <w:lang w:val="en-US" w:eastAsia="en-US"/>
        </w:rPr>
        <w:t xml:space="preserve">, the agent of amoebiasis. </w:t>
      </w:r>
      <w:r w:rsidRPr="00D81875">
        <w:rPr>
          <w:i/>
          <w:iCs/>
          <w:sz w:val="24"/>
          <w:szCs w:val="24"/>
          <w:lang w:val="en-US" w:eastAsia="en-US"/>
        </w:rPr>
        <w:t>Virulence, 14</w:t>
      </w:r>
      <w:r w:rsidRPr="00D81875">
        <w:rPr>
          <w:sz w:val="24"/>
          <w:szCs w:val="24"/>
          <w:lang w:val="en-US" w:eastAsia="en-US"/>
        </w:rPr>
        <w:t xml:space="preserve">(1), 2158656. </w:t>
      </w:r>
      <w:hyperlink r:id="rId30" w:history="1">
        <w:r w:rsidRPr="00D81875">
          <w:rPr>
            <w:color w:val="0000FF"/>
            <w:sz w:val="24"/>
            <w:szCs w:val="24"/>
            <w:u w:val="single"/>
            <w:lang w:val="en-US" w:eastAsia="en-US"/>
          </w:rPr>
          <w:t>https://doi.org/10.1080/21505594.2022.2158656</w:t>
        </w:r>
      </w:hyperlink>
    </w:p>
    <w:p w14:paraId="6AAA1FD2" w14:textId="77777777" w:rsidR="00D81875" w:rsidRPr="00D81875" w:rsidRDefault="00D81875" w:rsidP="00D81875">
      <w:pPr>
        <w:spacing w:before="100" w:beforeAutospacing="1" w:after="100" w:afterAutospacing="1"/>
        <w:ind w:left="540" w:hanging="540"/>
        <w:jc w:val="both"/>
        <w:rPr>
          <w:sz w:val="24"/>
          <w:szCs w:val="24"/>
          <w:lang w:val="nl-BE" w:eastAsia="en-US"/>
        </w:rPr>
      </w:pPr>
      <w:proofErr w:type="spellStart"/>
      <w:r w:rsidRPr="00D81875">
        <w:rPr>
          <w:sz w:val="24"/>
          <w:szCs w:val="24"/>
          <w:lang w:val="en-US" w:eastAsia="en-US"/>
        </w:rPr>
        <w:t>Hamory</w:t>
      </w:r>
      <w:proofErr w:type="spellEnd"/>
      <w:r w:rsidRPr="00D81875">
        <w:rPr>
          <w:sz w:val="24"/>
          <w:szCs w:val="24"/>
          <w:lang w:val="en-US" w:eastAsia="en-US"/>
        </w:rPr>
        <w:t xml:space="preserve">, J., Miguel, E., Walker, M., Kremer, M., &amp; Baird, S. (2021). Twenty-year economic impacts of deworming. </w:t>
      </w:r>
      <w:r w:rsidRPr="00D81875">
        <w:rPr>
          <w:i/>
          <w:iCs/>
          <w:sz w:val="24"/>
          <w:szCs w:val="24"/>
          <w:lang w:val="en-US" w:eastAsia="en-US"/>
        </w:rPr>
        <w:t>Proceedings of the National Academy of Sciences, 118</w:t>
      </w:r>
      <w:r w:rsidRPr="00D81875">
        <w:rPr>
          <w:sz w:val="24"/>
          <w:szCs w:val="24"/>
          <w:lang w:val="en-US" w:eastAsia="en-US"/>
        </w:rPr>
        <w:t xml:space="preserve">(14), e2023185118. </w:t>
      </w:r>
      <w:hyperlink r:id="rId31" w:history="1">
        <w:r w:rsidRPr="00D81875">
          <w:rPr>
            <w:color w:val="0000FF"/>
            <w:sz w:val="24"/>
            <w:szCs w:val="24"/>
            <w:u w:val="single"/>
            <w:lang w:val="nl-BE" w:eastAsia="en-US"/>
          </w:rPr>
          <w:t>https://doi.org/10.1073/pnas.2023185118</w:t>
        </w:r>
      </w:hyperlink>
    </w:p>
    <w:p w14:paraId="1B93A71D"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nl-BE" w:eastAsia="en-US"/>
        </w:rPr>
        <w:t xml:space="preserve">Hanevik, K., Wensaas, K.-A., Rortveit, G., Eide, G. E., Mørch, K., &amp; Langeland, N. (2014). </w:t>
      </w:r>
      <w:r w:rsidRPr="00D81875">
        <w:rPr>
          <w:sz w:val="24"/>
          <w:szCs w:val="24"/>
          <w:lang w:val="en-US" w:eastAsia="en-US"/>
        </w:rPr>
        <w:t xml:space="preserve">Irritable bowel syndrome and chronic fatigue 6 years after </w:t>
      </w:r>
      <w:r w:rsidRPr="00D81875">
        <w:rPr>
          <w:i/>
          <w:iCs/>
          <w:sz w:val="24"/>
          <w:szCs w:val="24"/>
          <w:lang w:val="en-US" w:eastAsia="en-US"/>
        </w:rPr>
        <w:t>Giardia</w:t>
      </w:r>
      <w:r w:rsidRPr="00D81875">
        <w:rPr>
          <w:sz w:val="24"/>
          <w:szCs w:val="24"/>
          <w:lang w:val="en-US" w:eastAsia="en-US"/>
        </w:rPr>
        <w:t xml:space="preserve"> infection: A controlled prospective cohort study. </w:t>
      </w:r>
      <w:r w:rsidRPr="00D81875">
        <w:rPr>
          <w:i/>
          <w:iCs/>
          <w:sz w:val="24"/>
          <w:szCs w:val="24"/>
          <w:lang w:val="en-US" w:eastAsia="en-US"/>
        </w:rPr>
        <w:t>Clinical Infectious Diseases, 59</w:t>
      </w:r>
      <w:r w:rsidRPr="00D81875">
        <w:rPr>
          <w:sz w:val="24"/>
          <w:szCs w:val="24"/>
          <w:lang w:val="en-US" w:eastAsia="en-US"/>
        </w:rPr>
        <w:t xml:space="preserve">(10), 1394–1400. </w:t>
      </w:r>
      <w:hyperlink r:id="rId32" w:history="1">
        <w:r w:rsidRPr="00D81875">
          <w:rPr>
            <w:color w:val="0000FF"/>
            <w:sz w:val="24"/>
            <w:szCs w:val="24"/>
            <w:u w:val="single"/>
            <w:lang w:val="en-US" w:eastAsia="en-US"/>
          </w:rPr>
          <w:t>https://doi.org/10.1093/cid/ciu629</w:t>
        </w:r>
      </w:hyperlink>
    </w:p>
    <w:p w14:paraId="0A7EC5A0"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Harper, K. M., Mutasa, M., Prendergast, A. J., Humphrey, J., &amp; Manges, A. R. (2018). Environmental enteric dysfunction pathways and child stunting: A systematic review. </w:t>
      </w:r>
      <w:r w:rsidRPr="00D81875">
        <w:rPr>
          <w:i/>
          <w:iCs/>
          <w:sz w:val="24"/>
          <w:szCs w:val="24"/>
          <w:lang w:val="en-US" w:eastAsia="en-US"/>
        </w:rPr>
        <w:t>PLOS Neglected Tropical Diseases, 12</w:t>
      </w:r>
      <w:r w:rsidRPr="00D81875">
        <w:rPr>
          <w:sz w:val="24"/>
          <w:szCs w:val="24"/>
          <w:lang w:val="en-US" w:eastAsia="en-US"/>
        </w:rPr>
        <w:t xml:space="preserve">(1), e0006205. </w:t>
      </w:r>
      <w:hyperlink r:id="rId33" w:history="1">
        <w:r w:rsidRPr="00D81875">
          <w:rPr>
            <w:color w:val="0000FF"/>
            <w:sz w:val="24"/>
            <w:szCs w:val="24"/>
            <w:u w:val="single"/>
            <w:lang w:val="en-US" w:eastAsia="en-US"/>
          </w:rPr>
          <w:t>https://doi.org/10.1371/journal.pntd.0006205</w:t>
        </w:r>
      </w:hyperlink>
    </w:p>
    <w:p w14:paraId="3C70468B" w14:textId="77777777" w:rsidR="00D81875" w:rsidRPr="00D81875" w:rsidRDefault="00D81875" w:rsidP="00D81875">
      <w:pPr>
        <w:spacing w:before="100" w:beforeAutospacing="1" w:after="100" w:afterAutospacing="1"/>
        <w:ind w:left="540" w:hanging="540"/>
        <w:jc w:val="both"/>
        <w:rPr>
          <w:sz w:val="24"/>
          <w:szCs w:val="24"/>
          <w:lang w:val="nl-BE" w:eastAsia="en-US"/>
        </w:rPr>
      </w:pPr>
      <w:r w:rsidRPr="00D81875">
        <w:rPr>
          <w:sz w:val="24"/>
          <w:szCs w:val="24"/>
          <w:lang w:val="en-US" w:eastAsia="en-US"/>
        </w:rPr>
        <w:t xml:space="preserve">Heredia, M. Y., &amp; Knoll, L. J. (2026). Contributions of intestinal protists on the human gut landscape through the lens of </w:t>
      </w:r>
      <w:r w:rsidRPr="00D81875">
        <w:rPr>
          <w:i/>
          <w:iCs/>
          <w:sz w:val="24"/>
          <w:szCs w:val="24"/>
          <w:lang w:val="en-US" w:eastAsia="en-US"/>
        </w:rPr>
        <w:t>Entamoeba</w:t>
      </w:r>
      <w:r w:rsidRPr="00D81875">
        <w:rPr>
          <w:sz w:val="24"/>
          <w:szCs w:val="24"/>
          <w:lang w:val="en-US" w:eastAsia="en-US"/>
        </w:rPr>
        <w:t xml:space="preserve"> spp. </w:t>
      </w:r>
      <w:proofErr w:type="spellStart"/>
      <w:r w:rsidRPr="00D81875">
        <w:rPr>
          <w:i/>
          <w:iCs/>
          <w:sz w:val="24"/>
          <w:szCs w:val="24"/>
          <w:lang w:val="en-US" w:eastAsia="en-US"/>
        </w:rPr>
        <w:t>mSphere</w:t>
      </w:r>
      <w:proofErr w:type="spellEnd"/>
      <w:r w:rsidRPr="00D81875">
        <w:rPr>
          <w:i/>
          <w:iCs/>
          <w:sz w:val="24"/>
          <w:szCs w:val="24"/>
          <w:lang w:val="en-US" w:eastAsia="en-US"/>
        </w:rPr>
        <w:t>, 11</w:t>
      </w:r>
      <w:r w:rsidRPr="00D81875">
        <w:rPr>
          <w:sz w:val="24"/>
          <w:szCs w:val="24"/>
          <w:lang w:val="en-US" w:eastAsia="en-US"/>
        </w:rPr>
        <w:t xml:space="preserve">(6), e00011-26. </w:t>
      </w:r>
      <w:hyperlink r:id="rId34" w:history="1">
        <w:r w:rsidRPr="00D81875">
          <w:rPr>
            <w:color w:val="0000FF"/>
            <w:sz w:val="24"/>
            <w:szCs w:val="24"/>
            <w:u w:val="single"/>
            <w:lang w:val="nl-BE" w:eastAsia="en-US"/>
          </w:rPr>
          <w:t>https://doi.org/10.1128/msphere.00011-26</w:t>
        </w:r>
      </w:hyperlink>
    </w:p>
    <w:p w14:paraId="3A4F1DE9"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nl-BE" w:eastAsia="en-US"/>
        </w:rPr>
        <w:t xml:space="preserve">Holthaus, D., Kraft, M. R., Krug, S. M., Wolf, S., Müller, A., Delgado Betancourt, E., Schorr, M., Holland, G., Knauf, F., Schulzke, J.-D., Aebischer, T., &amp; Klotz, C. (2022). </w:t>
      </w:r>
      <w:r w:rsidRPr="00D81875">
        <w:rPr>
          <w:sz w:val="24"/>
          <w:szCs w:val="24"/>
          <w:lang w:val="en-US" w:eastAsia="en-US"/>
        </w:rPr>
        <w:t xml:space="preserve">Dissection of barrier dysfunction in organoid-derived human intestinal epithelia induced by </w:t>
      </w:r>
      <w:r w:rsidRPr="00D81875">
        <w:rPr>
          <w:i/>
          <w:iCs/>
          <w:sz w:val="24"/>
          <w:szCs w:val="24"/>
          <w:lang w:val="en-US" w:eastAsia="en-US"/>
        </w:rPr>
        <w:t xml:space="preserve">Giardia </w:t>
      </w:r>
      <w:proofErr w:type="spellStart"/>
      <w:r w:rsidRPr="00D81875">
        <w:rPr>
          <w:i/>
          <w:iCs/>
          <w:sz w:val="24"/>
          <w:szCs w:val="24"/>
          <w:lang w:val="en-US" w:eastAsia="en-US"/>
        </w:rPr>
        <w:t>duodenalis</w:t>
      </w:r>
      <w:proofErr w:type="spellEnd"/>
      <w:r w:rsidRPr="00D81875">
        <w:rPr>
          <w:sz w:val="24"/>
          <w:szCs w:val="24"/>
          <w:lang w:val="en-US" w:eastAsia="en-US"/>
        </w:rPr>
        <w:t xml:space="preserve">. </w:t>
      </w:r>
      <w:r w:rsidRPr="00D81875">
        <w:rPr>
          <w:i/>
          <w:iCs/>
          <w:sz w:val="24"/>
          <w:szCs w:val="24"/>
          <w:lang w:val="en-US" w:eastAsia="en-US"/>
        </w:rPr>
        <w:t>Gastroenterology, 162</w:t>
      </w:r>
      <w:r w:rsidRPr="00D81875">
        <w:rPr>
          <w:sz w:val="24"/>
          <w:szCs w:val="24"/>
          <w:lang w:val="en-US" w:eastAsia="en-US"/>
        </w:rPr>
        <w:t xml:space="preserve">(3), 844–858. </w:t>
      </w:r>
      <w:hyperlink r:id="rId35" w:history="1">
        <w:r w:rsidRPr="00D81875">
          <w:rPr>
            <w:color w:val="0000FF"/>
            <w:sz w:val="24"/>
            <w:szCs w:val="24"/>
            <w:u w:val="single"/>
            <w:lang w:val="en-US" w:eastAsia="en-US"/>
          </w:rPr>
          <w:t>https://doi.org/10.1053/j.gastro.2021.11.022</w:t>
        </w:r>
      </w:hyperlink>
    </w:p>
    <w:p w14:paraId="083B3E34"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Hürlimann, E., Keller, L., Patel, C., </w:t>
      </w:r>
      <w:proofErr w:type="spellStart"/>
      <w:r w:rsidRPr="00D81875">
        <w:rPr>
          <w:sz w:val="24"/>
          <w:szCs w:val="24"/>
          <w:lang w:val="en-US" w:eastAsia="en-US"/>
        </w:rPr>
        <w:t>Welsche</w:t>
      </w:r>
      <w:proofErr w:type="spellEnd"/>
      <w:r w:rsidRPr="00D81875">
        <w:rPr>
          <w:sz w:val="24"/>
          <w:szCs w:val="24"/>
          <w:lang w:val="en-US" w:eastAsia="en-US"/>
        </w:rPr>
        <w:t xml:space="preserve">, S., Hattendorf, J., Ali, S. M., Ame, S. M., </w:t>
      </w:r>
      <w:proofErr w:type="spellStart"/>
      <w:r w:rsidRPr="00D81875">
        <w:rPr>
          <w:sz w:val="24"/>
          <w:szCs w:val="24"/>
          <w:lang w:val="en-US" w:eastAsia="en-US"/>
        </w:rPr>
        <w:t>Sayasone</w:t>
      </w:r>
      <w:proofErr w:type="spellEnd"/>
      <w:r w:rsidRPr="00D81875">
        <w:rPr>
          <w:sz w:val="24"/>
          <w:szCs w:val="24"/>
          <w:lang w:val="en-US" w:eastAsia="en-US"/>
        </w:rPr>
        <w:t xml:space="preserve">, S., Coulibaly, J. T., &amp; Keiser, J. (2022). Efficacy and safety of co-administered ivermectin and albendazole in school-aged children and adults infected with </w:t>
      </w:r>
      <w:r w:rsidRPr="00D81875">
        <w:rPr>
          <w:i/>
          <w:iCs/>
          <w:sz w:val="24"/>
          <w:szCs w:val="24"/>
          <w:lang w:val="en-US" w:eastAsia="en-US"/>
        </w:rPr>
        <w:t xml:space="preserve">Trichuris </w:t>
      </w:r>
      <w:proofErr w:type="spellStart"/>
      <w:r w:rsidRPr="00D81875">
        <w:rPr>
          <w:i/>
          <w:iCs/>
          <w:sz w:val="24"/>
          <w:szCs w:val="24"/>
          <w:lang w:val="en-US" w:eastAsia="en-US"/>
        </w:rPr>
        <w:t>trichiura</w:t>
      </w:r>
      <w:proofErr w:type="spellEnd"/>
      <w:r w:rsidRPr="00D81875">
        <w:rPr>
          <w:sz w:val="24"/>
          <w:szCs w:val="24"/>
          <w:lang w:val="en-US" w:eastAsia="en-US"/>
        </w:rPr>
        <w:t xml:space="preserve"> in Côte d'Ivoire, Laos, and Pemba Island, Tanzania: A double-blind, parallel-group, phase 3, </w:t>
      </w:r>
      <w:proofErr w:type="spellStart"/>
      <w:r w:rsidRPr="00D81875">
        <w:rPr>
          <w:sz w:val="24"/>
          <w:szCs w:val="24"/>
          <w:lang w:val="en-US" w:eastAsia="en-US"/>
        </w:rPr>
        <w:t>randomised</w:t>
      </w:r>
      <w:proofErr w:type="spellEnd"/>
      <w:r w:rsidRPr="00D81875">
        <w:rPr>
          <w:sz w:val="24"/>
          <w:szCs w:val="24"/>
          <w:lang w:val="en-US" w:eastAsia="en-US"/>
        </w:rPr>
        <w:t xml:space="preserve"> controlled trial. </w:t>
      </w:r>
      <w:r w:rsidRPr="00D81875">
        <w:rPr>
          <w:i/>
          <w:iCs/>
          <w:sz w:val="24"/>
          <w:szCs w:val="24"/>
          <w:lang w:val="en-US" w:eastAsia="en-US"/>
        </w:rPr>
        <w:t>The Lancet Infectious Diseases, 22</w:t>
      </w:r>
      <w:r w:rsidRPr="00D81875">
        <w:rPr>
          <w:sz w:val="24"/>
          <w:szCs w:val="24"/>
          <w:lang w:val="en-US" w:eastAsia="en-US"/>
        </w:rPr>
        <w:t xml:space="preserve">(1), 123–135. </w:t>
      </w:r>
      <w:hyperlink r:id="rId36" w:history="1">
        <w:r w:rsidRPr="00D81875">
          <w:rPr>
            <w:color w:val="0000FF"/>
            <w:sz w:val="24"/>
            <w:szCs w:val="24"/>
            <w:u w:val="single"/>
            <w:lang w:val="en-US" w:eastAsia="en-US"/>
          </w:rPr>
          <w:t>https://doi.org/10.1016/S1473-3099(21)00421-7</w:t>
        </w:r>
      </w:hyperlink>
    </w:p>
    <w:p w14:paraId="63CDFA19"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Khalil, I. A., Troeger, C., Rao, P. C., Blacker, B. F., Brown, A., Brewer, T. G., </w:t>
      </w:r>
      <w:proofErr w:type="spellStart"/>
      <w:r w:rsidRPr="00D81875">
        <w:rPr>
          <w:sz w:val="24"/>
          <w:szCs w:val="24"/>
          <w:lang w:val="en-US" w:eastAsia="en-US"/>
        </w:rPr>
        <w:t>Colombara</w:t>
      </w:r>
      <w:proofErr w:type="spellEnd"/>
      <w:r w:rsidRPr="00D81875">
        <w:rPr>
          <w:sz w:val="24"/>
          <w:szCs w:val="24"/>
          <w:lang w:val="en-US" w:eastAsia="en-US"/>
        </w:rPr>
        <w:t xml:space="preserve">, D. V., De Hostos, E. L., Engmann, C., Guerrant, R. L., Haque, R., Houpt, E. R., Kang, G., </w:t>
      </w:r>
      <w:proofErr w:type="spellStart"/>
      <w:r w:rsidRPr="00D81875">
        <w:rPr>
          <w:sz w:val="24"/>
          <w:szCs w:val="24"/>
          <w:lang w:val="en-US" w:eastAsia="en-US"/>
        </w:rPr>
        <w:t>Korpe</w:t>
      </w:r>
      <w:proofErr w:type="spellEnd"/>
      <w:r w:rsidRPr="00D81875">
        <w:rPr>
          <w:sz w:val="24"/>
          <w:szCs w:val="24"/>
          <w:lang w:val="en-US" w:eastAsia="en-US"/>
        </w:rPr>
        <w:t xml:space="preserve">, P. S., </w:t>
      </w:r>
      <w:proofErr w:type="spellStart"/>
      <w:r w:rsidRPr="00D81875">
        <w:rPr>
          <w:sz w:val="24"/>
          <w:szCs w:val="24"/>
          <w:lang w:val="en-US" w:eastAsia="en-US"/>
        </w:rPr>
        <w:t>Kotloff</w:t>
      </w:r>
      <w:proofErr w:type="spellEnd"/>
      <w:r w:rsidRPr="00D81875">
        <w:rPr>
          <w:sz w:val="24"/>
          <w:szCs w:val="24"/>
          <w:lang w:val="en-US" w:eastAsia="en-US"/>
        </w:rPr>
        <w:t xml:space="preserve">, K. L., Lima, A. A. M., Petri, W. A., Jr., Platts-Mills, J. A., Shoultz, D. A., . . . Mokdad, A. H. (2018). Morbidity, mortality, and long-term consequences associated with </w:t>
      </w:r>
      <w:proofErr w:type="spellStart"/>
      <w:r w:rsidRPr="00D81875">
        <w:rPr>
          <w:sz w:val="24"/>
          <w:szCs w:val="24"/>
          <w:lang w:val="en-US" w:eastAsia="en-US"/>
        </w:rPr>
        <w:t>diarrhoea</w:t>
      </w:r>
      <w:proofErr w:type="spellEnd"/>
      <w:r w:rsidRPr="00D81875">
        <w:rPr>
          <w:sz w:val="24"/>
          <w:szCs w:val="24"/>
          <w:lang w:val="en-US" w:eastAsia="en-US"/>
        </w:rPr>
        <w:t xml:space="preserve"> from </w:t>
      </w:r>
      <w:r w:rsidRPr="00D81875">
        <w:rPr>
          <w:i/>
          <w:iCs/>
          <w:sz w:val="24"/>
          <w:szCs w:val="24"/>
          <w:lang w:val="en-US" w:eastAsia="en-US"/>
        </w:rPr>
        <w:t>Cryptosporidium</w:t>
      </w:r>
      <w:r w:rsidRPr="00D81875">
        <w:rPr>
          <w:sz w:val="24"/>
          <w:szCs w:val="24"/>
          <w:lang w:val="en-US" w:eastAsia="en-US"/>
        </w:rPr>
        <w:t xml:space="preserve"> infection in children younger than 5 years: A meta-analyses study. </w:t>
      </w:r>
      <w:r w:rsidRPr="00D81875">
        <w:rPr>
          <w:i/>
          <w:iCs/>
          <w:sz w:val="24"/>
          <w:szCs w:val="24"/>
          <w:lang w:val="en-US" w:eastAsia="en-US"/>
        </w:rPr>
        <w:t>The Lancet Global Health, 6</w:t>
      </w:r>
      <w:r w:rsidRPr="00D81875">
        <w:rPr>
          <w:sz w:val="24"/>
          <w:szCs w:val="24"/>
          <w:lang w:val="en-US" w:eastAsia="en-US"/>
        </w:rPr>
        <w:t xml:space="preserve">(7), e758–e768. </w:t>
      </w:r>
      <w:hyperlink r:id="rId37" w:history="1">
        <w:r w:rsidRPr="00D81875">
          <w:rPr>
            <w:color w:val="0000FF"/>
            <w:sz w:val="24"/>
            <w:szCs w:val="24"/>
            <w:u w:val="single"/>
            <w:lang w:val="en-US" w:eastAsia="en-US"/>
          </w:rPr>
          <w:t>https://doi.org/10.1016/S2214-109X(18)30283-3</w:t>
        </w:r>
      </w:hyperlink>
    </w:p>
    <w:p w14:paraId="70008D89"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lastRenderedPageBreak/>
        <w:t xml:space="preserve">Krolewiecki, A., Kepha, S., Fleitas, P. E., van Lieshout, L., </w:t>
      </w:r>
      <w:proofErr w:type="spellStart"/>
      <w:r w:rsidRPr="00D81875">
        <w:rPr>
          <w:sz w:val="24"/>
          <w:szCs w:val="24"/>
          <w:lang w:val="en-US" w:eastAsia="en-US"/>
        </w:rPr>
        <w:t>Gelaye</w:t>
      </w:r>
      <w:proofErr w:type="spellEnd"/>
      <w:r w:rsidRPr="00D81875">
        <w:rPr>
          <w:sz w:val="24"/>
          <w:szCs w:val="24"/>
          <w:lang w:val="en-US" w:eastAsia="en-US"/>
        </w:rPr>
        <w:t xml:space="preserve">, W., Messa, A., </w:t>
      </w:r>
      <w:proofErr w:type="spellStart"/>
      <w:r w:rsidRPr="00D81875">
        <w:rPr>
          <w:sz w:val="24"/>
          <w:szCs w:val="24"/>
          <w:lang w:val="en-US" w:eastAsia="en-US"/>
        </w:rPr>
        <w:t>Gandasegui</w:t>
      </w:r>
      <w:proofErr w:type="spellEnd"/>
      <w:r w:rsidRPr="00D81875">
        <w:rPr>
          <w:sz w:val="24"/>
          <w:szCs w:val="24"/>
          <w:lang w:val="en-US" w:eastAsia="en-US"/>
        </w:rPr>
        <w:t xml:space="preserve">, J., </w:t>
      </w:r>
      <w:proofErr w:type="spellStart"/>
      <w:r w:rsidRPr="00D81875">
        <w:rPr>
          <w:sz w:val="24"/>
          <w:szCs w:val="24"/>
          <w:lang w:val="en-US" w:eastAsia="en-US"/>
        </w:rPr>
        <w:t>Algorta</w:t>
      </w:r>
      <w:proofErr w:type="spellEnd"/>
      <w:r w:rsidRPr="00D81875">
        <w:rPr>
          <w:sz w:val="24"/>
          <w:szCs w:val="24"/>
          <w:lang w:val="en-US" w:eastAsia="en-US"/>
        </w:rPr>
        <w:t xml:space="preserve">, J., Novela, V., de Jesus, Á., Rono, M., </w:t>
      </w:r>
      <w:proofErr w:type="spellStart"/>
      <w:r w:rsidRPr="00D81875">
        <w:rPr>
          <w:sz w:val="24"/>
          <w:szCs w:val="24"/>
          <w:lang w:val="en-US" w:eastAsia="en-US"/>
        </w:rPr>
        <w:t>Degarege</w:t>
      </w:r>
      <w:proofErr w:type="spellEnd"/>
      <w:r w:rsidRPr="00D81875">
        <w:rPr>
          <w:sz w:val="24"/>
          <w:szCs w:val="24"/>
          <w:lang w:val="en-US" w:eastAsia="en-US"/>
        </w:rPr>
        <w:t xml:space="preserve">, D., Bedane, D., </w:t>
      </w:r>
      <w:proofErr w:type="spellStart"/>
      <w:r w:rsidRPr="00D81875">
        <w:rPr>
          <w:sz w:val="24"/>
          <w:szCs w:val="24"/>
          <w:lang w:val="en-US" w:eastAsia="en-US"/>
        </w:rPr>
        <w:t>Mwahanje</w:t>
      </w:r>
      <w:proofErr w:type="spellEnd"/>
      <w:r w:rsidRPr="00D81875">
        <w:rPr>
          <w:sz w:val="24"/>
          <w:szCs w:val="24"/>
          <w:lang w:val="en-US" w:eastAsia="en-US"/>
        </w:rPr>
        <w:t xml:space="preserve">, J., </w:t>
      </w:r>
      <w:proofErr w:type="spellStart"/>
      <w:r w:rsidRPr="00D81875">
        <w:rPr>
          <w:sz w:val="24"/>
          <w:szCs w:val="24"/>
          <w:lang w:val="en-US" w:eastAsia="en-US"/>
        </w:rPr>
        <w:t>Mandomando</w:t>
      </w:r>
      <w:proofErr w:type="spellEnd"/>
      <w:r w:rsidRPr="00D81875">
        <w:rPr>
          <w:sz w:val="24"/>
          <w:szCs w:val="24"/>
          <w:lang w:val="en-US" w:eastAsia="en-US"/>
        </w:rPr>
        <w:t xml:space="preserve">, I., </w:t>
      </w:r>
      <w:proofErr w:type="spellStart"/>
      <w:r w:rsidRPr="00D81875">
        <w:rPr>
          <w:sz w:val="24"/>
          <w:szCs w:val="24"/>
          <w:lang w:val="en-US" w:eastAsia="en-US"/>
        </w:rPr>
        <w:t>Mwandawiro</w:t>
      </w:r>
      <w:proofErr w:type="spellEnd"/>
      <w:r w:rsidRPr="00D81875">
        <w:rPr>
          <w:sz w:val="24"/>
          <w:szCs w:val="24"/>
          <w:lang w:val="en-US" w:eastAsia="en-US"/>
        </w:rPr>
        <w:t xml:space="preserve">, C., </w:t>
      </w:r>
      <w:proofErr w:type="spellStart"/>
      <w:r w:rsidRPr="00D81875">
        <w:rPr>
          <w:sz w:val="24"/>
          <w:szCs w:val="24"/>
          <w:lang w:val="en-US" w:eastAsia="en-US"/>
        </w:rPr>
        <w:t>Enbiale</w:t>
      </w:r>
      <w:proofErr w:type="spellEnd"/>
      <w:r w:rsidRPr="00D81875">
        <w:rPr>
          <w:sz w:val="24"/>
          <w:szCs w:val="24"/>
          <w:lang w:val="en-US" w:eastAsia="en-US"/>
        </w:rPr>
        <w:t xml:space="preserve">, W., &amp; Muñoz, J. (2025). Albendazole–ivermectin co-formulation for the treatment of </w:t>
      </w:r>
      <w:r w:rsidRPr="00D81875">
        <w:rPr>
          <w:i/>
          <w:iCs/>
          <w:sz w:val="24"/>
          <w:szCs w:val="24"/>
          <w:lang w:val="en-US" w:eastAsia="en-US"/>
        </w:rPr>
        <w:t xml:space="preserve">Trichuris </w:t>
      </w:r>
      <w:proofErr w:type="spellStart"/>
      <w:r w:rsidRPr="00D81875">
        <w:rPr>
          <w:i/>
          <w:iCs/>
          <w:sz w:val="24"/>
          <w:szCs w:val="24"/>
          <w:lang w:val="en-US" w:eastAsia="en-US"/>
        </w:rPr>
        <w:t>trichiura</w:t>
      </w:r>
      <w:proofErr w:type="spellEnd"/>
      <w:r w:rsidRPr="00D81875">
        <w:rPr>
          <w:sz w:val="24"/>
          <w:szCs w:val="24"/>
          <w:lang w:val="en-US" w:eastAsia="en-US"/>
        </w:rPr>
        <w:t xml:space="preserve"> and other soil-transmitted helminths: A </w:t>
      </w:r>
      <w:proofErr w:type="spellStart"/>
      <w:r w:rsidRPr="00D81875">
        <w:rPr>
          <w:sz w:val="24"/>
          <w:szCs w:val="24"/>
          <w:lang w:val="en-US" w:eastAsia="en-US"/>
        </w:rPr>
        <w:t>randomised</w:t>
      </w:r>
      <w:proofErr w:type="spellEnd"/>
      <w:r w:rsidRPr="00D81875">
        <w:rPr>
          <w:sz w:val="24"/>
          <w:szCs w:val="24"/>
          <w:lang w:val="en-US" w:eastAsia="en-US"/>
        </w:rPr>
        <w:t xml:space="preserve"> phase 2/3 trial. </w:t>
      </w:r>
      <w:r w:rsidRPr="00D81875">
        <w:rPr>
          <w:i/>
          <w:iCs/>
          <w:sz w:val="24"/>
          <w:szCs w:val="24"/>
          <w:lang w:val="en-US" w:eastAsia="en-US"/>
        </w:rPr>
        <w:t>The Lancet Infectious Diseases, 25</w:t>
      </w:r>
      <w:r w:rsidRPr="00D81875">
        <w:rPr>
          <w:sz w:val="24"/>
          <w:szCs w:val="24"/>
          <w:lang w:val="en-US" w:eastAsia="en-US"/>
        </w:rPr>
        <w:t xml:space="preserve">(5), 548–559. </w:t>
      </w:r>
      <w:hyperlink r:id="rId38" w:history="1">
        <w:r w:rsidRPr="00D81875">
          <w:rPr>
            <w:color w:val="0000FF"/>
            <w:sz w:val="24"/>
            <w:szCs w:val="24"/>
            <w:u w:val="single"/>
            <w:lang w:val="en-US" w:eastAsia="en-US"/>
          </w:rPr>
          <w:t>https://doi.org/10.1016/S1473-3099(24)00669-8</w:t>
        </w:r>
      </w:hyperlink>
    </w:p>
    <w:p w14:paraId="6042B5A8"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Lawson, M. A. E., Roberts, I. S., &amp; </w:t>
      </w:r>
      <w:proofErr w:type="spellStart"/>
      <w:r w:rsidRPr="00D81875">
        <w:rPr>
          <w:sz w:val="24"/>
          <w:szCs w:val="24"/>
          <w:lang w:val="en-US" w:eastAsia="en-US"/>
        </w:rPr>
        <w:t>Grencis</w:t>
      </w:r>
      <w:proofErr w:type="spellEnd"/>
      <w:r w:rsidRPr="00D81875">
        <w:rPr>
          <w:sz w:val="24"/>
          <w:szCs w:val="24"/>
          <w:lang w:val="en-US" w:eastAsia="en-US"/>
        </w:rPr>
        <w:t xml:space="preserve">, R. K. (2021). The interplay between </w:t>
      </w:r>
      <w:r w:rsidRPr="00D81875">
        <w:rPr>
          <w:i/>
          <w:iCs/>
          <w:sz w:val="24"/>
          <w:szCs w:val="24"/>
          <w:lang w:val="en-US" w:eastAsia="en-US"/>
        </w:rPr>
        <w:t>Trichuris</w:t>
      </w:r>
      <w:r w:rsidRPr="00D81875">
        <w:rPr>
          <w:sz w:val="24"/>
          <w:szCs w:val="24"/>
          <w:lang w:val="en-US" w:eastAsia="en-US"/>
        </w:rPr>
        <w:t xml:space="preserve"> and the microbiota. </w:t>
      </w:r>
      <w:r w:rsidRPr="00D81875">
        <w:rPr>
          <w:i/>
          <w:iCs/>
          <w:sz w:val="24"/>
          <w:szCs w:val="24"/>
          <w:lang w:val="en-US" w:eastAsia="en-US"/>
        </w:rPr>
        <w:t>Parasitology, 148</w:t>
      </w:r>
      <w:r w:rsidRPr="00D81875">
        <w:rPr>
          <w:sz w:val="24"/>
          <w:szCs w:val="24"/>
          <w:lang w:val="en-US" w:eastAsia="en-US"/>
        </w:rPr>
        <w:t xml:space="preserve">(14), 1806–1813. </w:t>
      </w:r>
      <w:hyperlink r:id="rId39" w:history="1">
        <w:r w:rsidRPr="00D81875">
          <w:rPr>
            <w:color w:val="0000FF"/>
            <w:sz w:val="24"/>
            <w:szCs w:val="24"/>
            <w:u w:val="single"/>
            <w:lang w:val="en-US" w:eastAsia="en-US"/>
          </w:rPr>
          <w:t>https://doi.org/10.1017/S0031182021000834</w:t>
        </w:r>
      </w:hyperlink>
    </w:p>
    <w:p w14:paraId="7A3FD5A7"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Llinás</w:t>
      </w:r>
      <w:proofErr w:type="spellEnd"/>
      <w:r w:rsidRPr="00D81875">
        <w:rPr>
          <w:sz w:val="24"/>
          <w:szCs w:val="24"/>
          <w:lang w:val="en-US" w:eastAsia="en-US"/>
        </w:rPr>
        <w:t xml:space="preserve">-Caballero, K., &amp; Caraballo, L. (2022). Helminths and bacterial microbiota: The interactions of two of humans' “old friends.” </w:t>
      </w:r>
      <w:r w:rsidRPr="00D81875">
        <w:rPr>
          <w:i/>
          <w:iCs/>
          <w:sz w:val="24"/>
          <w:szCs w:val="24"/>
          <w:lang w:val="en-US" w:eastAsia="en-US"/>
        </w:rPr>
        <w:t>International Journal of Molecular Sciences, 23</w:t>
      </w:r>
      <w:r w:rsidRPr="00D81875">
        <w:rPr>
          <w:sz w:val="24"/>
          <w:szCs w:val="24"/>
          <w:lang w:val="en-US" w:eastAsia="en-US"/>
        </w:rPr>
        <w:t xml:space="preserve">(21), 13358. </w:t>
      </w:r>
      <w:hyperlink r:id="rId40" w:history="1">
        <w:r w:rsidRPr="00D81875">
          <w:rPr>
            <w:color w:val="0000FF"/>
            <w:sz w:val="24"/>
            <w:szCs w:val="24"/>
            <w:u w:val="single"/>
            <w:lang w:val="en-US" w:eastAsia="en-US"/>
          </w:rPr>
          <w:t>https://doi.org/10.3390/ijms232113358</w:t>
        </w:r>
      </w:hyperlink>
    </w:p>
    <w:p w14:paraId="7DF46FE2"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Loukas, A., Maizels, R. M., &amp; Hotez, P. J. (2021). The yin and yang of human soil-transmitted helminth infections. </w:t>
      </w:r>
      <w:r w:rsidRPr="00D81875">
        <w:rPr>
          <w:i/>
          <w:iCs/>
          <w:sz w:val="24"/>
          <w:szCs w:val="24"/>
          <w:lang w:val="en-US" w:eastAsia="en-US"/>
        </w:rPr>
        <w:t>International Journal for Parasitology, 51</w:t>
      </w:r>
      <w:r w:rsidRPr="00D81875">
        <w:rPr>
          <w:sz w:val="24"/>
          <w:szCs w:val="24"/>
          <w:lang w:val="en-US" w:eastAsia="en-US"/>
        </w:rPr>
        <w:t xml:space="preserve">(13–14), 1243–1253. </w:t>
      </w:r>
      <w:hyperlink r:id="rId41" w:history="1">
        <w:r w:rsidRPr="00D81875">
          <w:rPr>
            <w:color w:val="0000FF"/>
            <w:sz w:val="24"/>
            <w:szCs w:val="24"/>
            <w:u w:val="single"/>
            <w:lang w:val="en-US" w:eastAsia="en-US"/>
          </w:rPr>
          <w:t>https://doi.org/10.1016/j.ijpara.2021.11.001</w:t>
        </w:r>
      </w:hyperlink>
    </w:p>
    <w:p w14:paraId="257539FF"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Lu, Y., Zhang, X., Guan, Z., Ji, R., Peng, F., Zhao, C., Gao, W., &amp; Gao, F. (2025). Molecular pathogenesis of </w:t>
      </w:r>
      <w:r w:rsidRPr="00D81875">
        <w:rPr>
          <w:i/>
          <w:iCs/>
          <w:sz w:val="24"/>
          <w:szCs w:val="24"/>
          <w:lang w:val="en-US" w:eastAsia="en-US"/>
        </w:rPr>
        <w:t>Cryptosporidium</w:t>
      </w:r>
      <w:r w:rsidRPr="00D81875">
        <w:rPr>
          <w:sz w:val="24"/>
          <w:szCs w:val="24"/>
          <w:lang w:val="en-US" w:eastAsia="en-US"/>
        </w:rPr>
        <w:t xml:space="preserve"> and advancements in therapeutic interventions. </w:t>
      </w:r>
      <w:r w:rsidRPr="00D81875">
        <w:rPr>
          <w:i/>
          <w:iCs/>
          <w:sz w:val="24"/>
          <w:szCs w:val="24"/>
          <w:lang w:val="en-US" w:eastAsia="en-US"/>
        </w:rPr>
        <w:t>Parasite, 32</w:t>
      </w:r>
      <w:r w:rsidRPr="00D81875">
        <w:rPr>
          <w:sz w:val="24"/>
          <w:szCs w:val="24"/>
          <w:lang w:val="en-US" w:eastAsia="en-US"/>
        </w:rPr>
        <w:t xml:space="preserve">, 7. </w:t>
      </w:r>
      <w:hyperlink r:id="rId42" w:history="1">
        <w:r w:rsidRPr="00D81875">
          <w:rPr>
            <w:color w:val="0000FF"/>
            <w:sz w:val="24"/>
            <w:szCs w:val="24"/>
            <w:u w:val="single"/>
            <w:lang w:val="en-US" w:eastAsia="en-US"/>
          </w:rPr>
          <w:t>https://doi.org/10.1051/parasite/2025001</w:t>
        </w:r>
      </w:hyperlink>
    </w:p>
    <w:p w14:paraId="1D3EC015"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Luo, C., Xu, Y., Zhang, J., Tian, Q., Guo, Y., Li, N., Feng, Y., Xu, R., &amp; Xiao, L. (2024). </w:t>
      </w:r>
      <w:r w:rsidRPr="00D81875">
        <w:rPr>
          <w:i/>
          <w:iCs/>
          <w:sz w:val="24"/>
          <w:szCs w:val="24"/>
          <w:lang w:val="en-US" w:eastAsia="en-US"/>
        </w:rPr>
        <w:t>Cryptosporidium parvum</w:t>
      </w:r>
      <w:r w:rsidRPr="00D81875">
        <w:rPr>
          <w:sz w:val="24"/>
          <w:szCs w:val="24"/>
          <w:lang w:val="en-US" w:eastAsia="en-US"/>
        </w:rPr>
        <w:t xml:space="preserve"> disrupts intestinal epithelial barrier in neonatal mice through downregulation of cell junction molecules. </w:t>
      </w:r>
      <w:r w:rsidRPr="00D81875">
        <w:rPr>
          <w:i/>
          <w:iCs/>
          <w:sz w:val="24"/>
          <w:szCs w:val="24"/>
          <w:lang w:val="en-US" w:eastAsia="en-US"/>
        </w:rPr>
        <w:t>PLOS Neglected Tropical Diseases, 18</w:t>
      </w:r>
      <w:r w:rsidRPr="00D81875">
        <w:rPr>
          <w:sz w:val="24"/>
          <w:szCs w:val="24"/>
          <w:lang w:val="en-US" w:eastAsia="en-US"/>
        </w:rPr>
        <w:t xml:space="preserve">(5), e0012212. </w:t>
      </w:r>
      <w:hyperlink r:id="rId43" w:history="1">
        <w:r w:rsidRPr="00D81875">
          <w:rPr>
            <w:color w:val="0000FF"/>
            <w:sz w:val="24"/>
            <w:szCs w:val="24"/>
            <w:u w:val="single"/>
            <w:lang w:val="en-US" w:eastAsia="en-US"/>
          </w:rPr>
          <w:t>https://doi.org/10.1371/journal.pntd.0012212</w:t>
        </w:r>
      </w:hyperlink>
    </w:p>
    <w:p w14:paraId="0B5BB44F"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Maddren</w:t>
      </w:r>
      <w:proofErr w:type="spellEnd"/>
      <w:r w:rsidRPr="00D81875">
        <w:rPr>
          <w:sz w:val="24"/>
          <w:szCs w:val="24"/>
          <w:lang w:val="en-US" w:eastAsia="en-US"/>
        </w:rPr>
        <w:t xml:space="preserve">, R., &amp; Anderson, R. M. (2024). Measuring heterogeneities in soil-transmitted helminth transmission and control. </w:t>
      </w:r>
      <w:r w:rsidRPr="00D81875">
        <w:rPr>
          <w:i/>
          <w:iCs/>
          <w:sz w:val="24"/>
          <w:szCs w:val="24"/>
          <w:lang w:val="en-US" w:eastAsia="en-US"/>
        </w:rPr>
        <w:t>Trends in Parasitology, 40</w:t>
      </w:r>
      <w:r w:rsidRPr="00D81875">
        <w:rPr>
          <w:sz w:val="24"/>
          <w:szCs w:val="24"/>
          <w:lang w:val="en-US" w:eastAsia="en-US"/>
        </w:rPr>
        <w:t xml:space="preserve">(1), 45–59. </w:t>
      </w:r>
      <w:hyperlink r:id="rId44" w:history="1">
        <w:r w:rsidRPr="00D81875">
          <w:rPr>
            <w:color w:val="0000FF"/>
            <w:sz w:val="24"/>
            <w:szCs w:val="24"/>
            <w:u w:val="single"/>
            <w:lang w:val="en-US" w:eastAsia="en-US"/>
          </w:rPr>
          <w:t>https://doi.org/10.1016/j.pt.2023.11.003</w:t>
        </w:r>
      </w:hyperlink>
    </w:p>
    <w:p w14:paraId="5820E389"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Maizels, R. M. (2020). Regulation of immunity and allergy by helminth parasites. </w:t>
      </w:r>
      <w:r w:rsidRPr="00D81875">
        <w:rPr>
          <w:i/>
          <w:iCs/>
          <w:sz w:val="24"/>
          <w:szCs w:val="24"/>
          <w:lang w:val="en-US" w:eastAsia="en-US"/>
        </w:rPr>
        <w:t>Allergy, 75</w:t>
      </w:r>
      <w:r w:rsidRPr="00D81875">
        <w:rPr>
          <w:sz w:val="24"/>
          <w:szCs w:val="24"/>
          <w:lang w:val="en-US" w:eastAsia="en-US"/>
        </w:rPr>
        <w:t xml:space="preserve">(3), 524–534. </w:t>
      </w:r>
      <w:hyperlink r:id="rId45" w:history="1">
        <w:r w:rsidRPr="00D81875">
          <w:rPr>
            <w:color w:val="0000FF"/>
            <w:sz w:val="24"/>
            <w:szCs w:val="24"/>
            <w:u w:val="single"/>
            <w:lang w:val="en-US" w:eastAsia="en-US"/>
          </w:rPr>
          <w:t>https://doi.org/10.1111/all.13944</w:t>
        </w:r>
      </w:hyperlink>
    </w:p>
    <w:p w14:paraId="00C5D863"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Montresor, A., </w:t>
      </w:r>
      <w:proofErr w:type="spellStart"/>
      <w:r w:rsidRPr="00D81875">
        <w:rPr>
          <w:sz w:val="24"/>
          <w:szCs w:val="24"/>
          <w:lang w:val="en-US" w:eastAsia="en-US"/>
        </w:rPr>
        <w:t>Mupfasoni</w:t>
      </w:r>
      <w:proofErr w:type="spellEnd"/>
      <w:r w:rsidRPr="00D81875">
        <w:rPr>
          <w:sz w:val="24"/>
          <w:szCs w:val="24"/>
          <w:lang w:val="en-US" w:eastAsia="en-US"/>
        </w:rPr>
        <w:t xml:space="preserve">, D., Mikhailov, A., Mwinzi, P., Lucianez, A., Jamsheed, M., Gasimov, E., </w:t>
      </w:r>
      <w:proofErr w:type="spellStart"/>
      <w:r w:rsidRPr="00D81875">
        <w:rPr>
          <w:sz w:val="24"/>
          <w:szCs w:val="24"/>
          <w:lang w:val="en-US" w:eastAsia="en-US"/>
        </w:rPr>
        <w:t>Warusavithana</w:t>
      </w:r>
      <w:proofErr w:type="spellEnd"/>
      <w:r w:rsidRPr="00D81875">
        <w:rPr>
          <w:sz w:val="24"/>
          <w:szCs w:val="24"/>
          <w:lang w:val="en-US" w:eastAsia="en-US"/>
        </w:rPr>
        <w:t xml:space="preserve">, S., Yajima, A., Bisoffi, Z., </w:t>
      </w:r>
      <w:proofErr w:type="spellStart"/>
      <w:r w:rsidRPr="00D81875">
        <w:rPr>
          <w:sz w:val="24"/>
          <w:szCs w:val="24"/>
          <w:lang w:val="en-US" w:eastAsia="en-US"/>
        </w:rPr>
        <w:t>Buonfrate</w:t>
      </w:r>
      <w:proofErr w:type="spellEnd"/>
      <w:r w:rsidRPr="00D81875">
        <w:rPr>
          <w:sz w:val="24"/>
          <w:szCs w:val="24"/>
          <w:lang w:val="en-US" w:eastAsia="en-US"/>
        </w:rPr>
        <w:t xml:space="preserve">, D., Steinmann, P., Utzinger, J., Levecke, B., Vlaminck, J., Cools, P., Vercruysse, J., </w:t>
      </w:r>
      <w:proofErr w:type="spellStart"/>
      <w:r w:rsidRPr="00D81875">
        <w:rPr>
          <w:sz w:val="24"/>
          <w:szCs w:val="24"/>
          <w:lang w:val="en-US" w:eastAsia="en-US"/>
        </w:rPr>
        <w:t>Cringoli</w:t>
      </w:r>
      <w:proofErr w:type="spellEnd"/>
      <w:r w:rsidRPr="00D81875">
        <w:rPr>
          <w:sz w:val="24"/>
          <w:szCs w:val="24"/>
          <w:lang w:val="en-US" w:eastAsia="en-US"/>
        </w:rPr>
        <w:t xml:space="preserve">, G., Rinaldi, L., . . . Gyorkos, T. W. (2020). The global progress of soil-transmitted helminthiases control in 2020 and World Health Organization targets for 2030. </w:t>
      </w:r>
      <w:r w:rsidRPr="00D81875">
        <w:rPr>
          <w:i/>
          <w:iCs/>
          <w:sz w:val="24"/>
          <w:szCs w:val="24"/>
          <w:lang w:val="en-US" w:eastAsia="en-US"/>
        </w:rPr>
        <w:t>PLOS Neglected Tropical Diseases, 14</w:t>
      </w:r>
      <w:r w:rsidRPr="00D81875">
        <w:rPr>
          <w:sz w:val="24"/>
          <w:szCs w:val="24"/>
          <w:lang w:val="en-US" w:eastAsia="en-US"/>
        </w:rPr>
        <w:t xml:space="preserve">(8), e0008505. </w:t>
      </w:r>
      <w:hyperlink r:id="rId46" w:history="1">
        <w:r w:rsidRPr="00D81875">
          <w:rPr>
            <w:color w:val="0000FF"/>
            <w:sz w:val="24"/>
            <w:szCs w:val="24"/>
            <w:u w:val="single"/>
            <w:lang w:val="en-US" w:eastAsia="en-US"/>
          </w:rPr>
          <w:t>https://doi.org/10.1371/journal.pntd.0008505</w:t>
        </w:r>
      </w:hyperlink>
    </w:p>
    <w:p w14:paraId="410B0ABB"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Mrimi, E. C., </w:t>
      </w:r>
      <w:proofErr w:type="spellStart"/>
      <w:r w:rsidRPr="00D81875">
        <w:rPr>
          <w:sz w:val="24"/>
          <w:szCs w:val="24"/>
          <w:lang w:val="en-US" w:eastAsia="en-US"/>
        </w:rPr>
        <w:t>Welsche</w:t>
      </w:r>
      <w:proofErr w:type="spellEnd"/>
      <w:r w:rsidRPr="00D81875">
        <w:rPr>
          <w:sz w:val="24"/>
          <w:szCs w:val="24"/>
          <w:lang w:val="en-US" w:eastAsia="en-US"/>
        </w:rPr>
        <w:t xml:space="preserve">, S., Ali, S. M., Hattendorf, J., &amp; Keiser, J. (2023). </w:t>
      </w:r>
      <w:proofErr w:type="spellStart"/>
      <w:r w:rsidRPr="00D81875">
        <w:rPr>
          <w:sz w:val="24"/>
          <w:szCs w:val="24"/>
          <w:lang w:val="en-US" w:eastAsia="en-US"/>
        </w:rPr>
        <w:t>Emodepside</w:t>
      </w:r>
      <w:proofErr w:type="spellEnd"/>
      <w:r w:rsidRPr="00D81875">
        <w:rPr>
          <w:sz w:val="24"/>
          <w:szCs w:val="24"/>
          <w:lang w:val="en-US" w:eastAsia="en-US"/>
        </w:rPr>
        <w:t xml:space="preserve"> for </w:t>
      </w:r>
      <w:r w:rsidRPr="00D81875">
        <w:rPr>
          <w:i/>
          <w:iCs/>
          <w:sz w:val="24"/>
          <w:szCs w:val="24"/>
          <w:lang w:val="en-US" w:eastAsia="en-US"/>
        </w:rPr>
        <w:t xml:space="preserve">Trichuris </w:t>
      </w:r>
      <w:proofErr w:type="spellStart"/>
      <w:r w:rsidRPr="00D81875">
        <w:rPr>
          <w:i/>
          <w:iCs/>
          <w:sz w:val="24"/>
          <w:szCs w:val="24"/>
          <w:lang w:val="en-US" w:eastAsia="en-US"/>
        </w:rPr>
        <w:t>trichiura</w:t>
      </w:r>
      <w:proofErr w:type="spellEnd"/>
      <w:r w:rsidRPr="00D81875">
        <w:rPr>
          <w:sz w:val="24"/>
          <w:szCs w:val="24"/>
          <w:lang w:val="en-US" w:eastAsia="en-US"/>
        </w:rPr>
        <w:t xml:space="preserve"> and hookworm infection. </w:t>
      </w:r>
      <w:r w:rsidRPr="00D81875">
        <w:rPr>
          <w:i/>
          <w:iCs/>
          <w:sz w:val="24"/>
          <w:szCs w:val="24"/>
          <w:lang w:val="en-US" w:eastAsia="en-US"/>
        </w:rPr>
        <w:t>New England Journal of Medicine, 388</w:t>
      </w:r>
      <w:r w:rsidRPr="00D81875">
        <w:rPr>
          <w:sz w:val="24"/>
          <w:szCs w:val="24"/>
          <w:lang w:val="en-US" w:eastAsia="en-US"/>
        </w:rPr>
        <w:t xml:space="preserve">(20), 1863–1875. </w:t>
      </w:r>
      <w:hyperlink r:id="rId47" w:history="1">
        <w:r w:rsidRPr="00D81875">
          <w:rPr>
            <w:color w:val="0000FF"/>
            <w:sz w:val="24"/>
            <w:szCs w:val="24"/>
            <w:u w:val="single"/>
            <w:lang w:val="en-US" w:eastAsia="en-US"/>
          </w:rPr>
          <w:t>https://doi.org/10.1056/NEJMoa2212825</w:t>
        </w:r>
      </w:hyperlink>
    </w:p>
    <w:p w14:paraId="5FA78DB0"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Nembot Fogang, B. A., Debrah, L. B., Owusu, M., Agyei, G., Meyer, J., </w:t>
      </w:r>
      <w:proofErr w:type="spellStart"/>
      <w:r w:rsidRPr="00D81875">
        <w:rPr>
          <w:sz w:val="24"/>
          <w:szCs w:val="24"/>
          <w:lang w:val="en-US" w:eastAsia="en-US"/>
        </w:rPr>
        <w:t>Gmanyami</w:t>
      </w:r>
      <w:proofErr w:type="spellEnd"/>
      <w:r w:rsidRPr="00D81875">
        <w:rPr>
          <w:sz w:val="24"/>
          <w:szCs w:val="24"/>
          <w:lang w:val="en-US" w:eastAsia="en-US"/>
        </w:rPr>
        <w:t xml:space="preserve">, J. M., Ritter, M., Arndts, K., Adu Mensah, D., </w:t>
      </w:r>
      <w:proofErr w:type="spellStart"/>
      <w:r w:rsidRPr="00D81875">
        <w:rPr>
          <w:sz w:val="24"/>
          <w:szCs w:val="24"/>
          <w:lang w:val="en-US" w:eastAsia="en-US"/>
        </w:rPr>
        <w:t>Adjobimey</w:t>
      </w:r>
      <w:proofErr w:type="spellEnd"/>
      <w:r w:rsidRPr="00D81875">
        <w:rPr>
          <w:sz w:val="24"/>
          <w:szCs w:val="24"/>
          <w:lang w:val="en-US" w:eastAsia="en-US"/>
        </w:rPr>
        <w:t xml:space="preserve">, T., </w:t>
      </w:r>
      <w:proofErr w:type="spellStart"/>
      <w:r w:rsidRPr="00D81875">
        <w:rPr>
          <w:sz w:val="24"/>
          <w:szCs w:val="24"/>
          <w:lang w:val="en-US" w:eastAsia="en-US"/>
        </w:rPr>
        <w:t>Hörauf</w:t>
      </w:r>
      <w:proofErr w:type="spellEnd"/>
      <w:r w:rsidRPr="00D81875">
        <w:rPr>
          <w:sz w:val="24"/>
          <w:szCs w:val="24"/>
          <w:lang w:val="en-US" w:eastAsia="en-US"/>
        </w:rPr>
        <w:t xml:space="preserve">, A., &amp; Debrah, A. Y. (2025). Helminth coinfections modulate disease dynamics and vaccination success in the </w:t>
      </w:r>
      <w:r w:rsidRPr="00D81875">
        <w:rPr>
          <w:sz w:val="24"/>
          <w:szCs w:val="24"/>
          <w:lang w:val="en-US" w:eastAsia="en-US"/>
        </w:rPr>
        <w:lastRenderedPageBreak/>
        <w:t xml:space="preserve">era of emerging infectious diseases. </w:t>
      </w:r>
      <w:r w:rsidRPr="00D81875">
        <w:rPr>
          <w:i/>
          <w:iCs/>
          <w:sz w:val="24"/>
          <w:szCs w:val="24"/>
          <w:lang w:val="en-US" w:eastAsia="en-US"/>
        </w:rPr>
        <w:t>Vaccines, 13</w:t>
      </w:r>
      <w:r w:rsidRPr="00D81875">
        <w:rPr>
          <w:sz w:val="24"/>
          <w:szCs w:val="24"/>
          <w:lang w:val="en-US" w:eastAsia="en-US"/>
        </w:rPr>
        <w:t xml:space="preserve">(5), 436. </w:t>
      </w:r>
      <w:hyperlink r:id="rId48" w:history="1">
        <w:r w:rsidRPr="00D81875">
          <w:rPr>
            <w:color w:val="0000FF"/>
            <w:sz w:val="24"/>
            <w:szCs w:val="24"/>
            <w:u w:val="single"/>
            <w:lang w:val="en-US" w:eastAsia="en-US"/>
          </w:rPr>
          <w:t>https://doi.org/10.3390/vaccines13050436</w:t>
        </w:r>
      </w:hyperlink>
    </w:p>
    <w:p w14:paraId="39F37181"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Pardy, R. D., Wallbank, B. A., </w:t>
      </w:r>
      <w:proofErr w:type="spellStart"/>
      <w:r w:rsidRPr="00D81875">
        <w:rPr>
          <w:sz w:val="24"/>
          <w:szCs w:val="24"/>
          <w:lang w:val="en-US" w:eastAsia="en-US"/>
        </w:rPr>
        <w:t>Striepen</w:t>
      </w:r>
      <w:proofErr w:type="spellEnd"/>
      <w:r w:rsidRPr="00D81875">
        <w:rPr>
          <w:sz w:val="24"/>
          <w:szCs w:val="24"/>
          <w:lang w:val="en-US" w:eastAsia="en-US"/>
        </w:rPr>
        <w:t xml:space="preserve">, B., &amp; Hunter, C. A. (2024). Immunity to </w:t>
      </w:r>
      <w:r w:rsidRPr="00D81875">
        <w:rPr>
          <w:i/>
          <w:iCs/>
          <w:sz w:val="24"/>
          <w:szCs w:val="24"/>
          <w:lang w:val="en-US" w:eastAsia="en-US"/>
        </w:rPr>
        <w:t>Cryptosporidium</w:t>
      </w:r>
      <w:r w:rsidRPr="00D81875">
        <w:rPr>
          <w:sz w:val="24"/>
          <w:szCs w:val="24"/>
          <w:lang w:val="en-US" w:eastAsia="en-US"/>
        </w:rPr>
        <w:t xml:space="preserve">: Insights into principles of enteric responses to infection. </w:t>
      </w:r>
      <w:r w:rsidRPr="00D81875">
        <w:rPr>
          <w:i/>
          <w:iCs/>
          <w:sz w:val="24"/>
          <w:szCs w:val="24"/>
          <w:lang w:val="en-US" w:eastAsia="en-US"/>
        </w:rPr>
        <w:t>Nature Reviews Immunology, 24</w:t>
      </w:r>
      <w:r w:rsidRPr="00D81875">
        <w:rPr>
          <w:sz w:val="24"/>
          <w:szCs w:val="24"/>
          <w:lang w:val="en-US" w:eastAsia="en-US"/>
        </w:rPr>
        <w:t xml:space="preserve">(2), 142–155. </w:t>
      </w:r>
      <w:hyperlink r:id="rId49" w:history="1">
        <w:r w:rsidRPr="00D81875">
          <w:rPr>
            <w:color w:val="0000FF"/>
            <w:sz w:val="24"/>
            <w:szCs w:val="24"/>
            <w:u w:val="single"/>
            <w:lang w:val="en-US" w:eastAsia="en-US"/>
          </w:rPr>
          <w:t>https://doi.org/10.1038/s41577-023-00932-3</w:t>
        </w:r>
      </w:hyperlink>
    </w:p>
    <w:p w14:paraId="4B56302A"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Piazzesi</w:t>
      </w:r>
      <w:proofErr w:type="spellEnd"/>
      <w:r w:rsidRPr="00D81875">
        <w:rPr>
          <w:sz w:val="24"/>
          <w:szCs w:val="24"/>
          <w:lang w:val="en-US" w:eastAsia="en-US"/>
        </w:rPr>
        <w:t xml:space="preserve">, A., &amp; </w:t>
      </w:r>
      <w:proofErr w:type="spellStart"/>
      <w:r w:rsidRPr="00D81875">
        <w:rPr>
          <w:sz w:val="24"/>
          <w:szCs w:val="24"/>
          <w:lang w:val="en-US" w:eastAsia="en-US"/>
        </w:rPr>
        <w:t>Putignani</w:t>
      </w:r>
      <w:proofErr w:type="spellEnd"/>
      <w:r w:rsidRPr="00D81875">
        <w:rPr>
          <w:sz w:val="24"/>
          <w:szCs w:val="24"/>
          <w:lang w:val="en-US" w:eastAsia="en-US"/>
        </w:rPr>
        <w:t xml:space="preserve">, L. (2023). Impact of helminth–microbiome interactions on childhood health and development—A clinical perspective. </w:t>
      </w:r>
      <w:r w:rsidRPr="00D81875">
        <w:rPr>
          <w:i/>
          <w:iCs/>
          <w:sz w:val="24"/>
          <w:szCs w:val="24"/>
          <w:lang w:val="en-US" w:eastAsia="en-US"/>
        </w:rPr>
        <w:t>Parasite Immunology, 45</w:t>
      </w:r>
      <w:r w:rsidRPr="00D81875">
        <w:rPr>
          <w:sz w:val="24"/>
          <w:szCs w:val="24"/>
          <w:lang w:val="en-US" w:eastAsia="en-US"/>
        </w:rPr>
        <w:t xml:space="preserve">(4), e12949. </w:t>
      </w:r>
      <w:hyperlink r:id="rId50" w:history="1">
        <w:r w:rsidRPr="00D81875">
          <w:rPr>
            <w:color w:val="0000FF"/>
            <w:sz w:val="24"/>
            <w:szCs w:val="24"/>
            <w:u w:val="single"/>
            <w:lang w:val="en-US" w:eastAsia="en-US"/>
          </w:rPr>
          <w:t>https://doi.org/10.1111/pim.12949</w:t>
        </w:r>
      </w:hyperlink>
    </w:p>
    <w:p w14:paraId="44828DFB"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Pickering, A. J., Null, C., Winch, P. J., </w:t>
      </w:r>
      <w:proofErr w:type="spellStart"/>
      <w:r w:rsidRPr="00D81875">
        <w:rPr>
          <w:sz w:val="24"/>
          <w:szCs w:val="24"/>
          <w:lang w:val="en-US" w:eastAsia="en-US"/>
        </w:rPr>
        <w:t>Mangwadu</w:t>
      </w:r>
      <w:proofErr w:type="spellEnd"/>
      <w:r w:rsidRPr="00D81875">
        <w:rPr>
          <w:sz w:val="24"/>
          <w:szCs w:val="24"/>
          <w:lang w:val="en-US" w:eastAsia="en-US"/>
        </w:rPr>
        <w:t xml:space="preserve">, G., Arnold, B. F., Prendergast, A. J., Njenga, S. M., Rahman, M., Ntozini, R., Benjamin-Chung, J., Stewart, C. P., Huda, T. M. N., Moulton, L. H., Colford, J. M., Jr., Luby, S. P., &amp; Humphrey, J. H. (2019). The WASH Benefits and SHINE trials: Interpretation of WASH intervention effects on linear growth and </w:t>
      </w:r>
      <w:proofErr w:type="spellStart"/>
      <w:r w:rsidRPr="00D81875">
        <w:rPr>
          <w:sz w:val="24"/>
          <w:szCs w:val="24"/>
          <w:lang w:val="en-US" w:eastAsia="en-US"/>
        </w:rPr>
        <w:t>diarrhoea</w:t>
      </w:r>
      <w:proofErr w:type="spellEnd"/>
      <w:r w:rsidRPr="00D81875">
        <w:rPr>
          <w:sz w:val="24"/>
          <w:szCs w:val="24"/>
          <w:lang w:val="en-US" w:eastAsia="en-US"/>
        </w:rPr>
        <w:t xml:space="preserve">. </w:t>
      </w:r>
      <w:r w:rsidRPr="00D81875">
        <w:rPr>
          <w:i/>
          <w:iCs/>
          <w:sz w:val="24"/>
          <w:szCs w:val="24"/>
          <w:lang w:val="en-US" w:eastAsia="en-US"/>
        </w:rPr>
        <w:t>The Lancet Global Health, 7</w:t>
      </w:r>
      <w:r w:rsidRPr="00D81875">
        <w:rPr>
          <w:sz w:val="24"/>
          <w:szCs w:val="24"/>
          <w:lang w:val="en-US" w:eastAsia="en-US"/>
        </w:rPr>
        <w:t xml:space="preserve">(8), e1139–e1146. </w:t>
      </w:r>
      <w:hyperlink r:id="rId51" w:history="1">
        <w:r w:rsidRPr="00D81875">
          <w:rPr>
            <w:color w:val="0000FF"/>
            <w:sz w:val="24"/>
            <w:szCs w:val="24"/>
            <w:u w:val="single"/>
            <w:lang w:val="en-US" w:eastAsia="en-US"/>
          </w:rPr>
          <w:t>https://doi.org/10.1016/S2214-109X(19)30268-2</w:t>
        </w:r>
      </w:hyperlink>
    </w:p>
    <w:p w14:paraId="5F8D9E0A"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Rogawski, E. T., Liu, J., Platts-Mills, J. A., Kabir, F., </w:t>
      </w:r>
      <w:proofErr w:type="spellStart"/>
      <w:r w:rsidRPr="00D81875">
        <w:rPr>
          <w:sz w:val="24"/>
          <w:szCs w:val="24"/>
          <w:lang w:val="en-US" w:eastAsia="en-US"/>
        </w:rPr>
        <w:t>Lertsethtakarn</w:t>
      </w:r>
      <w:proofErr w:type="spellEnd"/>
      <w:r w:rsidRPr="00D81875">
        <w:rPr>
          <w:sz w:val="24"/>
          <w:szCs w:val="24"/>
          <w:lang w:val="en-US" w:eastAsia="en-US"/>
        </w:rPr>
        <w:t xml:space="preserve">, P., Siguas, M., Khan, S. S., Praharaj, I., </w:t>
      </w:r>
      <w:proofErr w:type="spellStart"/>
      <w:r w:rsidRPr="00D81875">
        <w:rPr>
          <w:sz w:val="24"/>
          <w:szCs w:val="24"/>
          <w:lang w:val="en-US" w:eastAsia="en-US"/>
        </w:rPr>
        <w:t>Murei</w:t>
      </w:r>
      <w:proofErr w:type="spellEnd"/>
      <w:r w:rsidRPr="00D81875">
        <w:rPr>
          <w:sz w:val="24"/>
          <w:szCs w:val="24"/>
          <w:lang w:val="en-US" w:eastAsia="en-US"/>
        </w:rPr>
        <w:t xml:space="preserve">, A., </w:t>
      </w:r>
      <w:proofErr w:type="spellStart"/>
      <w:r w:rsidRPr="00D81875">
        <w:rPr>
          <w:sz w:val="24"/>
          <w:szCs w:val="24"/>
          <w:lang w:val="en-US" w:eastAsia="en-US"/>
        </w:rPr>
        <w:t>Nshama</w:t>
      </w:r>
      <w:proofErr w:type="spellEnd"/>
      <w:r w:rsidRPr="00D81875">
        <w:rPr>
          <w:sz w:val="24"/>
          <w:szCs w:val="24"/>
          <w:lang w:val="en-US" w:eastAsia="en-US"/>
        </w:rPr>
        <w:t xml:space="preserve">, R., </w:t>
      </w:r>
      <w:proofErr w:type="spellStart"/>
      <w:r w:rsidRPr="00D81875">
        <w:rPr>
          <w:sz w:val="24"/>
          <w:szCs w:val="24"/>
          <w:lang w:val="en-US" w:eastAsia="en-US"/>
        </w:rPr>
        <w:t>Mujaga</w:t>
      </w:r>
      <w:proofErr w:type="spellEnd"/>
      <w:r w:rsidRPr="00D81875">
        <w:rPr>
          <w:sz w:val="24"/>
          <w:szCs w:val="24"/>
          <w:lang w:val="en-US" w:eastAsia="en-US"/>
        </w:rPr>
        <w:t xml:space="preserve">, B., </w:t>
      </w:r>
      <w:proofErr w:type="spellStart"/>
      <w:r w:rsidRPr="00D81875">
        <w:rPr>
          <w:sz w:val="24"/>
          <w:szCs w:val="24"/>
          <w:lang w:val="en-US" w:eastAsia="en-US"/>
        </w:rPr>
        <w:t>Havt</w:t>
      </w:r>
      <w:proofErr w:type="spellEnd"/>
      <w:r w:rsidRPr="00D81875">
        <w:rPr>
          <w:sz w:val="24"/>
          <w:szCs w:val="24"/>
          <w:lang w:val="en-US" w:eastAsia="en-US"/>
        </w:rPr>
        <w:t xml:space="preserve">, A., Maciel, I. A., </w:t>
      </w:r>
      <w:proofErr w:type="spellStart"/>
      <w:r w:rsidRPr="00D81875">
        <w:rPr>
          <w:sz w:val="24"/>
          <w:szCs w:val="24"/>
          <w:lang w:val="en-US" w:eastAsia="en-US"/>
        </w:rPr>
        <w:t>Operario</w:t>
      </w:r>
      <w:proofErr w:type="spellEnd"/>
      <w:r w:rsidRPr="00D81875">
        <w:rPr>
          <w:sz w:val="24"/>
          <w:szCs w:val="24"/>
          <w:lang w:val="en-US" w:eastAsia="en-US"/>
        </w:rPr>
        <w:t xml:space="preserve">, D. J., Taniuchi, M., Gratz, J., Stroup, S. E., Roberts, J. H., Kalam, A., . . . Houpt, E. R. (2018). Use of quantitative molecular diagnostic methods to investigate the effect of </w:t>
      </w:r>
      <w:proofErr w:type="spellStart"/>
      <w:r w:rsidRPr="00D81875">
        <w:rPr>
          <w:sz w:val="24"/>
          <w:szCs w:val="24"/>
          <w:lang w:val="en-US" w:eastAsia="en-US"/>
        </w:rPr>
        <w:t>enteropathogen</w:t>
      </w:r>
      <w:proofErr w:type="spellEnd"/>
      <w:r w:rsidRPr="00D81875">
        <w:rPr>
          <w:sz w:val="24"/>
          <w:szCs w:val="24"/>
          <w:lang w:val="en-US" w:eastAsia="en-US"/>
        </w:rPr>
        <w:t xml:space="preserve"> infections on linear growth in children in low-resource settings: Longitudinal analysis of results from the MAL-ED cohort study. </w:t>
      </w:r>
      <w:r w:rsidRPr="00D81875">
        <w:rPr>
          <w:i/>
          <w:iCs/>
          <w:sz w:val="24"/>
          <w:szCs w:val="24"/>
          <w:lang w:val="en-US" w:eastAsia="en-US"/>
        </w:rPr>
        <w:t>The Lancet Global Health, 6</w:t>
      </w:r>
      <w:r w:rsidRPr="00D81875">
        <w:rPr>
          <w:sz w:val="24"/>
          <w:szCs w:val="24"/>
          <w:lang w:val="en-US" w:eastAsia="en-US"/>
        </w:rPr>
        <w:t xml:space="preserve">(12), e1319–e1328. </w:t>
      </w:r>
      <w:hyperlink r:id="rId52" w:history="1">
        <w:r w:rsidRPr="00D81875">
          <w:rPr>
            <w:color w:val="0000FF"/>
            <w:sz w:val="24"/>
            <w:szCs w:val="24"/>
            <w:u w:val="single"/>
            <w:lang w:val="en-US" w:eastAsia="en-US"/>
          </w:rPr>
          <w:t>https://doi.org/10.1016/S2214-109X(18)30351-6</w:t>
        </w:r>
      </w:hyperlink>
    </w:p>
    <w:p w14:paraId="56F4C6E3"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Salam, N., &amp; Azam, S. (2017). Prevalence and distribution of soil-transmitted helminth infections in India. </w:t>
      </w:r>
      <w:r w:rsidRPr="00D81875">
        <w:rPr>
          <w:i/>
          <w:iCs/>
          <w:sz w:val="24"/>
          <w:szCs w:val="24"/>
          <w:lang w:val="en-US" w:eastAsia="en-US"/>
        </w:rPr>
        <w:t>BMC Public Health, 17</w:t>
      </w:r>
      <w:r w:rsidRPr="00D81875">
        <w:rPr>
          <w:sz w:val="24"/>
          <w:szCs w:val="24"/>
          <w:lang w:val="en-US" w:eastAsia="en-US"/>
        </w:rPr>
        <w:t xml:space="preserve">, 201. </w:t>
      </w:r>
      <w:hyperlink r:id="rId53" w:history="1">
        <w:r w:rsidRPr="00D81875">
          <w:rPr>
            <w:color w:val="0000FF"/>
            <w:sz w:val="24"/>
            <w:szCs w:val="24"/>
            <w:u w:val="single"/>
            <w:lang w:val="en-US" w:eastAsia="en-US"/>
          </w:rPr>
          <w:t>https://doi.org/10.1186/s12889-017-4113-2</w:t>
        </w:r>
      </w:hyperlink>
    </w:p>
    <w:p w14:paraId="077EE9D4"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Schlosser-Brandenburg, J., Midha, A., Mugo, R. M., </w:t>
      </w:r>
      <w:proofErr w:type="spellStart"/>
      <w:r w:rsidRPr="00D81875">
        <w:rPr>
          <w:sz w:val="24"/>
          <w:szCs w:val="24"/>
          <w:lang w:val="en-US" w:eastAsia="en-US"/>
        </w:rPr>
        <w:t>Ndombi</w:t>
      </w:r>
      <w:proofErr w:type="spellEnd"/>
      <w:r w:rsidRPr="00D81875">
        <w:rPr>
          <w:sz w:val="24"/>
          <w:szCs w:val="24"/>
          <w:lang w:val="en-US" w:eastAsia="en-US"/>
        </w:rPr>
        <w:t xml:space="preserve">, E. M., Gachara, G., Njomo, D., Rausch, S., &amp; Hartmann, S. (2023). Infection with soil-transmitted helminths and their impact on coinfections. </w:t>
      </w:r>
      <w:r w:rsidRPr="00D81875">
        <w:rPr>
          <w:i/>
          <w:iCs/>
          <w:sz w:val="24"/>
          <w:szCs w:val="24"/>
          <w:lang w:val="en-US" w:eastAsia="en-US"/>
        </w:rPr>
        <w:t>Frontiers in Parasitology, 2</w:t>
      </w:r>
      <w:r w:rsidRPr="00D81875">
        <w:rPr>
          <w:sz w:val="24"/>
          <w:szCs w:val="24"/>
          <w:lang w:val="en-US" w:eastAsia="en-US"/>
        </w:rPr>
        <w:t xml:space="preserve">, 1197956. </w:t>
      </w:r>
      <w:hyperlink r:id="rId54" w:history="1">
        <w:r w:rsidRPr="00D81875">
          <w:rPr>
            <w:color w:val="0000FF"/>
            <w:sz w:val="24"/>
            <w:szCs w:val="24"/>
            <w:u w:val="single"/>
            <w:lang w:val="en-US" w:eastAsia="en-US"/>
          </w:rPr>
          <w:t>https://doi.org/10.3389/fpara.2023.1197956</w:t>
        </w:r>
      </w:hyperlink>
    </w:p>
    <w:p w14:paraId="2ADD2B0E"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Schölmerich, J., </w:t>
      </w:r>
      <w:proofErr w:type="spellStart"/>
      <w:r w:rsidRPr="00D81875">
        <w:rPr>
          <w:sz w:val="24"/>
          <w:szCs w:val="24"/>
          <w:lang w:val="en-US" w:eastAsia="en-US"/>
        </w:rPr>
        <w:t>Fellermann</w:t>
      </w:r>
      <w:proofErr w:type="spellEnd"/>
      <w:r w:rsidRPr="00D81875">
        <w:rPr>
          <w:sz w:val="24"/>
          <w:szCs w:val="24"/>
          <w:lang w:val="en-US" w:eastAsia="en-US"/>
        </w:rPr>
        <w:t xml:space="preserve">, K., Seibold, F. W., Rogler, G., Langhorst, J., Howaldt, S., Novacek, G., Petersen, A. M., Bachmann, O., Matthes, H., Hesselbarth, N., Teich, N., </w:t>
      </w:r>
      <w:proofErr w:type="spellStart"/>
      <w:r w:rsidRPr="00D81875">
        <w:rPr>
          <w:sz w:val="24"/>
          <w:szCs w:val="24"/>
          <w:lang w:val="en-US" w:eastAsia="en-US"/>
        </w:rPr>
        <w:t>Wehkamp</w:t>
      </w:r>
      <w:proofErr w:type="spellEnd"/>
      <w:r w:rsidRPr="00D81875">
        <w:rPr>
          <w:sz w:val="24"/>
          <w:szCs w:val="24"/>
          <w:lang w:val="en-US" w:eastAsia="en-US"/>
        </w:rPr>
        <w:t xml:space="preserve">, J., Klaus, J., Ott, C., Dilger, K., </w:t>
      </w:r>
      <w:proofErr w:type="spellStart"/>
      <w:r w:rsidRPr="00D81875">
        <w:rPr>
          <w:sz w:val="24"/>
          <w:szCs w:val="24"/>
          <w:lang w:val="en-US" w:eastAsia="en-US"/>
        </w:rPr>
        <w:t>Greinwald</w:t>
      </w:r>
      <w:proofErr w:type="spellEnd"/>
      <w:r w:rsidRPr="00D81875">
        <w:rPr>
          <w:sz w:val="24"/>
          <w:szCs w:val="24"/>
          <w:lang w:val="en-US" w:eastAsia="en-US"/>
        </w:rPr>
        <w:t xml:space="preserve">, R., &amp; Mueller, R. (2017). A </w:t>
      </w:r>
      <w:proofErr w:type="spellStart"/>
      <w:r w:rsidRPr="00D81875">
        <w:rPr>
          <w:sz w:val="24"/>
          <w:szCs w:val="24"/>
          <w:lang w:val="en-US" w:eastAsia="en-US"/>
        </w:rPr>
        <w:t>randomised</w:t>
      </w:r>
      <w:proofErr w:type="spellEnd"/>
      <w:r w:rsidRPr="00D81875">
        <w:rPr>
          <w:sz w:val="24"/>
          <w:szCs w:val="24"/>
          <w:lang w:val="en-US" w:eastAsia="en-US"/>
        </w:rPr>
        <w:t xml:space="preserve">, double-blind, placebo-controlled trial of </w:t>
      </w:r>
      <w:r w:rsidRPr="00D81875">
        <w:rPr>
          <w:i/>
          <w:iCs/>
          <w:sz w:val="24"/>
          <w:szCs w:val="24"/>
          <w:lang w:val="en-US" w:eastAsia="en-US"/>
        </w:rPr>
        <w:t>Trichuris suis</w:t>
      </w:r>
      <w:r w:rsidRPr="00D81875">
        <w:rPr>
          <w:sz w:val="24"/>
          <w:szCs w:val="24"/>
          <w:lang w:val="en-US" w:eastAsia="en-US"/>
        </w:rPr>
        <w:t xml:space="preserve"> ova in active Crohn's disease. </w:t>
      </w:r>
      <w:r w:rsidRPr="00D81875">
        <w:rPr>
          <w:i/>
          <w:iCs/>
          <w:sz w:val="24"/>
          <w:szCs w:val="24"/>
          <w:lang w:val="en-US" w:eastAsia="en-US"/>
        </w:rPr>
        <w:t>Journal of Crohn's and Colitis, 11</w:t>
      </w:r>
      <w:r w:rsidRPr="00D81875">
        <w:rPr>
          <w:sz w:val="24"/>
          <w:szCs w:val="24"/>
          <w:lang w:val="en-US" w:eastAsia="en-US"/>
        </w:rPr>
        <w:t xml:space="preserve">(4), 390–399. </w:t>
      </w:r>
      <w:hyperlink r:id="rId55" w:history="1">
        <w:r w:rsidRPr="00D81875">
          <w:rPr>
            <w:color w:val="0000FF"/>
            <w:sz w:val="24"/>
            <w:szCs w:val="24"/>
            <w:u w:val="single"/>
            <w:lang w:val="en-US" w:eastAsia="en-US"/>
          </w:rPr>
          <w:t>https://doi.org/10.1093/ecco-jcc/jjw184</w:t>
        </w:r>
      </w:hyperlink>
    </w:p>
    <w:p w14:paraId="01C9850B"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Sharma, A., </w:t>
      </w:r>
      <w:proofErr w:type="spellStart"/>
      <w:r w:rsidRPr="00D81875">
        <w:rPr>
          <w:sz w:val="24"/>
          <w:szCs w:val="24"/>
          <w:lang w:val="en-US" w:eastAsia="en-US"/>
        </w:rPr>
        <w:t>Purwar</w:t>
      </w:r>
      <w:proofErr w:type="spellEnd"/>
      <w:r w:rsidRPr="00D81875">
        <w:rPr>
          <w:sz w:val="24"/>
          <w:szCs w:val="24"/>
          <w:lang w:val="en-US" w:eastAsia="en-US"/>
        </w:rPr>
        <w:t xml:space="preserve">, S., Gupta, S., Gupta, A., &amp; Gautam, D. (2023). Strategies to decrease the prevalence of soil-transmitted helminths in Central India. </w:t>
      </w:r>
      <w:r w:rsidRPr="00D81875">
        <w:rPr>
          <w:i/>
          <w:iCs/>
          <w:sz w:val="24"/>
          <w:szCs w:val="24"/>
          <w:lang w:val="en-US" w:eastAsia="en-US"/>
        </w:rPr>
        <w:t>Journal of Laboratory Physicians, 15</w:t>
      </w:r>
      <w:r w:rsidRPr="00D81875">
        <w:rPr>
          <w:sz w:val="24"/>
          <w:szCs w:val="24"/>
          <w:lang w:val="en-US" w:eastAsia="en-US"/>
        </w:rPr>
        <w:t xml:space="preserve">(2), 202–206. </w:t>
      </w:r>
      <w:hyperlink r:id="rId56" w:history="1">
        <w:r w:rsidRPr="00D81875">
          <w:rPr>
            <w:color w:val="0000FF"/>
            <w:sz w:val="24"/>
            <w:szCs w:val="24"/>
            <w:u w:val="single"/>
            <w:lang w:val="en-US" w:eastAsia="en-US"/>
          </w:rPr>
          <w:t>https://doi.org/10.1055/s-0042-1757417</w:t>
        </w:r>
      </w:hyperlink>
    </w:p>
    <w:p w14:paraId="2B019904"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Shears, R. K., &amp; </w:t>
      </w:r>
      <w:proofErr w:type="spellStart"/>
      <w:r w:rsidRPr="00D81875">
        <w:rPr>
          <w:sz w:val="24"/>
          <w:szCs w:val="24"/>
          <w:lang w:val="en-US" w:eastAsia="en-US"/>
        </w:rPr>
        <w:t>Grencis</w:t>
      </w:r>
      <w:proofErr w:type="spellEnd"/>
      <w:r w:rsidRPr="00D81875">
        <w:rPr>
          <w:sz w:val="24"/>
          <w:szCs w:val="24"/>
          <w:lang w:val="en-US" w:eastAsia="en-US"/>
        </w:rPr>
        <w:t xml:space="preserve">, R. K. (2022). Whipworm secretions and their roles in host-parasite interactions. </w:t>
      </w:r>
      <w:r w:rsidRPr="00D81875">
        <w:rPr>
          <w:i/>
          <w:iCs/>
          <w:sz w:val="24"/>
          <w:szCs w:val="24"/>
          <w:lang w:val="en-US" w:eastAsia="en-US"/>
        </w:rPr>
        <w:t>Parasites &amp; Vectors, 15</w:t>
      </w:r>
      <w:r w:rsidRPr="00D81875">
        <w:rPr>
          <w:sz w:val="24"/>
          <w:szCs w:val="24"/>
          <w:lang w:val="en-US" w:eastAsia="en-US"/>
        </w:rPr>
        <w:t xml:space="preserve">, 348. </w:t>
      </w:r>
      <w:hyperlink r:id="rId57" w:history="1">
        <w:r w:rsidRPr="00D81875">
          <w:rPr>
            <w:color w:val="0000FF"/>
            <w:sz w:val="24"/>
            <w:szCs w:val="24"/>
            <w:u w:val="single"/>
            <w:lang w:val="en-US" w:eastAsia="en-US"/>
          </w:rPr>
          <w:t>https://doi.org/10.1186/s13071-022-05483-5</w:t>
        </w:r>
      </w:hyperlink>
    </w:p>
    <w:p w14:paraId="7757F3C3"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lastRenderedPageBreak/>
        <w:t xml:space="preserve">Singh, V., Turankar, R. P., Pathak, V. K., Singh, I., Sharma, R., Goel, A., &amp; Sengupta, U. (2025). Investigating the role of soil-transmitted helminth infections in the development of leprosy in endemic regions. </w:t>
      </w:r>
      <w:r w:rsidRPr="00D81875">
        <w:rPr>
          <w:i/>
          <w:iCs/>
          <w:sz w:val="24"/>
          <w:szCs w:val="24"/>
          <w:lang w:val="en-US" w:eastAsia="en-US"/>
        </w:rPr>
        <w:t>Frontiers in Immunology, 16</w:t>
      </w:r>
      <w:r w:rsidRPr="00D81875">
        <w:rPr>
          <w:sz w:val="24"/>
          <w:szCs w:val="24"/>
          <w:lang w:val="en-US" w:eastAsia="en-US"/>
        </w:rPr>
        <w:t xml:space="preserve">, 1499304. </w:t>
      </w:r>
      <w:hyperlink r:id="rId58" w:history="1">
        <w:r w:rsidRPr="00D81875">
          <w:rPr>
            <w:color w:val="0000FF"/>
            <w:sz w:val="24"/>
            <w:szCs w:val="24"/>
            <w:u w:val="single"/>
            <w:lang w:val="en-US" w:eastAsia="en-US"/>
          </w:rPr>
          <w:t>https://doi.org/10.3389/fimmu.2025.1499304</w:t>
        </w:r>
      </w:hyperlink>
    </w:p>
    <w:p w14:paraId="042F715C"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Smith, J. L., &amp; Brooker, S. (2010). Impact of hookworm infection and deworming on </w:t>
      </w:r>
      <w:proofErr w:type="spellStart"/>
      <w:r w:rsidRPr="00D81875">
        <w:rPr>
          <w:sz w:val="24"/>
          <w:szCs w:val="24"/>
          <w:lang w:val="en-US" w:eastAsia="en-US"/>
        </w:rPr>
        <w:t>anaemia</w:t>
      </w:r>
      <w:proofErr w:type="spellEnd"/>
      <w:r w:rsidRPr="00D81875">
        <w:rPr>
          <w:sz w:val="24"/>
          <w:szCs w:val="24"/>
          <w:lang w:val="en-US" w:eastAsia="en-US"/>
        </w:rPr>
        <w:t xml:space="preserve"> in non-pregnant populations: A systematic review. </w:t>
      </w:r>
      <w:r w:rsidRPr="00D81875">
        <w:rPr>
          <w:i/>
          <w:iCs/>
          <w:sz w:val="24"/>
          <w:szCs w:val="24"/>
          <w:lang w:val="en-US" w:eastAsia="en-US"/>
        </w:rPr>
        <w:t>Tropical Medicine &amp; International Health, 15</w:t>
      </w:r>
      <w:r w:rsidRPr="00D81875">
        <w:rPr>
          <w:sz w:val="24"/>
          <w:szCs w:val="24"/>
          <w:lang w:val="en-US" w:eastAsia="en-US"/>
        </w:rPr>
        <w:t xml:space="preserve">(7), 776–795. </w:t>
      </w:r>
      <w:hyperlink r:id="rId59" w:history="1">
        <w:r w:rsidRPr="00D81875">
          <w:rPr>
            <w:color w:val="0000FF"/>
            <w:sz w:val="24"/>
            <w:szCs w:val="24"/>
            <w:u w:val="single"/>
            <w:lang w:val="en-US" w:eastAsia="en-US"/>
          </w:rPr>
          <w:t>https://doi.org/10.1111/j.1365-3156.2010.02542.x</w:t>
        </w:r>
      </w:hyperlink>
    </w:p>
    <w:p w14:paraId="2B1C9118"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Strunz, E. C., </w:t>
      </w:r>
      <w:proofErr w:type="spellStart"/>
      <w:r w:rsidRPr="00D81875">
        <w:rPr>
          <w:sz w:val="24"/>
          <w:szCs w:val="24"/>
          <w:lang w:val="en-US" w:eastAsia="en-US"/>
        </w:rPr>
        <w:t>Addiss</w:t>
      </w:r>
      <w:proofErr w:type="spellEnd"/>
      <w:r w:rsidRPr="00D81875">
        <w:rPr>
          <w:sz w:val="24"/>
          <w:szCs w:val="24"/>
          <w:lang w:val="en-US" w:eastAsia="en-US"/>
        </w:rPr>
        <w:t xml:space="preserve">, D. G., Stocks, M. E., Ogden, S., Utzinger, J., &amp; Freeman, M. C. (2014). Water, sanitation, hygiene, and soil-transmitted helminth infection: A systematic review and meta-analysis. </w:t>
      </w:r>
      <w:r w:rsidRPr="00D81875">
        <w:rPr>
          <w:i/>
          <w:iCs/>
          <w:sz w:val="24"/>
          <w:szCs w:val="24"/>
          <w:lang w:val="en-US" w:eastAsia="en-US"/>
        </w:rPr>
        <w:t>PLOS Medicine, 11</w:t>
      </w:r>
      <w:r w:rsidRPr="00D81875">
        <w:rPr>
          <w:sz w:val="24"/>
          <w:szCs w:val="24"/>
          <w:lang w:val="en-US" w:eastAsia="en-US"/>
        </w:rPr>
        <w:t xml:space="preserve">(3), e1001620. </w:t>
      </w:r>
      <w:hyperlink r:id="rId60" w:history="1">
        <w:r w:rsidRPr="00D81875">
          <w:rPr>
            <w:color w:val="0000FF"/>
            <w:sz w:val="24"/>
            <w:szCs w:val="24"/>
            <w:u w:val="single"/>
            <w:lang w:val="en-US" w:eastAsia="en-US"/>
          </w:rPr>
          <w:t>https://doi.org/10.1371/journal.pmed.1001620</w:t>
        </w:r>
      </w:hyperlink>
    </w:p>
    <w:p w14:paraId="01F701D1"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Taylor, L., </w:t>
      </w:r>
      <w:proofErr w:type="spellStart"/>
      <w:r w:rsidRPr="00D81875">
        <w:rPr>
          <w:sz w:val="24"/>
          <w:szCs w:val="24"/>
          <w:lang w:val="en-US" w:eastAsia="en-US"/>
        </w:rPr>
        <w:t>Ahmada</w:t>
      </w:r>
      <w:proofErr w:type="spellEnd"/>
      <w:r w:rsidRPr="00D81875">
        <w:rPr>
          <w:sz w:val="24"/>
          <w:szCs w:val="24"/>
          <w:lang w:val="en-US" w:eastAsia="en-US"/>
        </w:rPr>
        <w:t xml:space="preserve">, A. A., Ali, M. S., Ali, S. M., Hattendorf, J., Mohammed, I. S., &amp; Keiser, J. (2024). Efficacy and safety of </w:t>
      </w:r>
      <w:proofErr w:type="spellStart"/>
      <w:r w:rsidRPr="00D81875">
        <w:rPr>
          <w:sz w:val="24"/>
          <w:szCs w:val="24"/>
          <w:lang w:val="en-US" w:eastAsia="en-US"/>
        </w:rPr>
        <w:t>emodepside</w:t>
      </w:r>
      <w:proofErr w:type="spellEnd"/>
      <w:r w:rsidRPr="00D81875">
        <w:rPr>
          <w:sz w:val="24"/>
          <w:szCs w:val="24"/>
          <w:lang w:val="en-US" w:eastAsia="en-US"/>
        </w:rPr>
        <w:t xml:space="preserve"> compared with albendazole in adolescents and adults with hookworm infection in Pemba Island, Tanzania: A double-blind, superiority, phase 2b, </w:t>
      </w:r>
      <w:proofErr w:type="spellStart"/>
      <w:r w:rsidRPr="00D81875">
        <w:rPr>
          <w:sz w:val="24"/>
          <w:szCs w:val="24"/>
          <w:lang w:val="en-US" w:eastAsia="en-US"/>
        </w:rPr>
        <w:t>randomised</w:t>
      </w:r>
      <w:proofErr w:type="spellEnd"/>
      <w:r w:rsidRPr="00D81875">
        <w:rPr>
          <w:sz w:val="24"/>
          <w:szCs w:val="24"/>
          <w:lang w:val="en-US" w:eastAsia="en-US"/>
        </w:rPr>
        <w:t xml:space="preserve"> controlled trial. </w:t>
      </w:r>
      <w:r w:rsidRPr="00D81875">
        <w:rPr>
          <w:i/>
          <w:iCs/>
          <w:sz w:val="24"/>
          <w:szCs w:val="24"/>
          <w:lang w:val="en-US" w:eastAsia="en-US"/>
        </w:rPr>
        <w:t>The Lancet, 404</w:t>
      </w:r>
      <w:r w:rsidRPr="00D81875">
        <w:rPr>
          <w:sz w:val="24"/>
          <w:szCs w:val="24"/>
          <w:lang w:val="en-US" w:eastAsia="en-US"/>
        </w:rPr>
        <w:t xml:space="preserve">(10453), 683–691. </w:t>
      </w:r>
      <w:hyperlink r:id="rId61" w:history="1">
        <w:r w:rsidRPr="00D81875">
          <w:rPr>
            <w:color w:val="0000FF"/>
            <w:sz w:val="24"/>
            <w:szCs w:val="24"/>
            <w:u w:val="single"/>
            <w:lang w:val="en-US" w:eastAsia="en-US"/>
          </w:rPr>
          <w:t>https://doi.org/10.1016/S0140-6736(24)01403-X</w:t>
        </w:r>
      </w:hyperlink>
    </w:p>
    <w:p w14:paraId="7C0D55F6"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Taylor-Robinson, D. C., Maayan, N., Donegan, S., Chaplin, M., &amp; Garner, P. (2019). Public health deworming </w:t>
      </w:r>
      <w:proofErr w:type="spellStart"/>
      <w:r w:rsidRPr="00D81875">
        <w:rPr>
          <w:sz w:val="24"/>
          <w:szCs w:val="24"/>
          <w:lang w:val="en-US" w:eastAsia="en-US"/>
        </w:rPr>
        <w:t>programmes</w:t>
      </w:r>
      <w:proofErr w:type="spellEnd"/>
      <w:r w:rsidRPr="00D81875">
        <w:rPr>
          <w:sz w:val="24"/>
          <w:szCs w:val="24"/>
          <w:lang w:val="en-US" w:eastAsia="en-US"/>
        </w:rPr>
        <w:t xml:space="preserve"> for soil-transmitted helminths in children living in endemic areas. </w:t>
      </w:r>
      <w:r w:rsidRPr="00D81875">
        <w:rPr>
          <w:i/>
          <w:iCs/>
          <w:sz w:val="24"/>
          <w:szCs w:val="24"/>
          <w:lang w:val="en-US" w:eastAsia="en-US"/>
        </w:rPr>
        <w:t>Cochrane Database of Systematic Reviews, 2019</w:t>
      </w:r>
      <w:r w:rsidRPr="00D81875">
        <w:rPr>
          <w:sz w:val="24"/>
          <w:szCs w:val="24"/>
          <w:lang w:val="en-US" w:eastAsia="en-US"/>
        </w:rPr>
        <w:t xml:space="preserve">(9), CD000371. </w:t>
      </w:r>
      <w:hyperlink r:id="rId62" w:history="1">
        <w:r w:rsidRPr="00D81875">
          <w:rPr>
            <w:color w:val="0000FF"/>
            <w:sz w:val="24"/>
            <w:szCs w:val="24"/>
            <w:u w:val="single"/>
            <w:lang w:val="en-US" w:eastAsia="en-US"/>
          </w:rPr>
          <w:t>https://doi.org/10.1002/14651858.CD000371.pub7</w:t>
        </w:r>
      </w:hyperlink>
    </w:p>
    <w:p w14:paraId="26A7B090"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nl-BE" w:eastAsia="en-US"/>
        </w:rPr>
        <w:t xml:space="preserve">Tenorio, J. C. B., Heikal, M. F., Kafle, A., Saichua, P., &amp; Suttiprapa, S. (2024). </w:t>
      </w:r>
      <w:r w:rsidRPr="00D81875">
        <w:rPr>
          <w:sz w:val="24"/>
          <w:szCs w:val="24"/>
          <w:lang w:val="en-US" w:eastAsia="en-US"/>
        </w:rPr>
        <w:t xml:space="preserve">Benzimidazole resistance-associated mutations in the β-tubulin gene of hookworms: A systematic review. </w:t>
      </w:r>
      <w:r w:rsidRPr="00D81875">
        <w:rPr>
          <w:i/>
          <w:iCs/>
          <w:sz w:val="24"/>
          <w:szCs w:val="24"/>
          <w:lang w:val="en-US" w:eastAsia="en-US"/>
        </w:rPr>
        <w:t>Parasitology Research, 123</w:t>
      </w:r>
      <w:r w:rsidRPr="00D81875">
        <w:rPr>
          <w:sz w:val="24"/>
          <w:szCs w:val="24"/>
          <w:lang w:val="en-US" w:eastAsia="en-US"/>
        </w:rPr>
        <w:t xml:space="preserve">(12), 405. </w:t>
      </w:r>
      <w:hyperlink r:id="rId63" w:history="1">
        <w:r w:rsidRPr="00D81875">
          <w:rPr>
            <w:color w:val="0000FF"/>
            <w:sz w:val="24"/>
            <w:szCs w:val="24"/>
            <w:u w:val="single"/>
            <w:lang w:val="en-US" w:eastAsia="en-US"/>
          </w:rPr>
          <w:t>https://doi.org/10.1007/s00436-024-08432-6</w:t>
        </w:r>
      </w:hyperlink>
    </w:p>
    <w:p w14:paraId="0A2D47FA" w14:textId="77777777" w:rsidR="00D81875" w:rsidRPr="00D81875" w:rsidRDefault="00D81875" w:rsidP="00D81875">
      <w:pPr>
        <w:spacing w:before="100" w:beforeAutospacing="1" w:after="100" w:afterAutospacing="1"/>
        <w:ind w:left="540" w:hanging="540"/>
        <w:jc w:val="both"/>
        <w:rPr>
          <w:sz w:val="24"/>
          <w:szCs w:val="24"/>
          <w:lang w:val="en-US" w:eastAsia="en-US"/>
        </w:rPr>
      </w:pPr>
      <w:proofErr w:type="spellStart"/>
      <w:r w:rsidRPr="00D81875">
        <w:rPr>
          <w:sz w:val="24"/>
          <w:szCs w:val="24"/>
          <w:lang w:val="en-US" w:eastAsia="en-US"/>
        </w:rPr>
        <w:t>Ulaganeethi</w:t>
      </w:r>
      <w:proofErr w:type="spellEnd"/>
      <w:r w:rsidRPr="00D81875">
        <w:rPr>
          <w:sz w:val="24"/>
          <w:szCs w:val="24"/>
          <w:lang w:val="en-US" w:eastAsia="en-US"/>
        </w:rPr>
        <w:t xml:space="preserve">, R., Rajkumari, N., Gururajan, A., Gunalan, A., </w:t>
      </w:r>
      <w:proofErr w:type="spellStart"/>
      <w:r w:rsidRPr="00D81875">
        <w:rPr>
          <w:sz w:val="24"/>
          <w:szCs w:val="24"/>
          <w:lang w:val="en-US" w:eastAsia="en-US"/>
        </w:rPr>
        <w:t>Langbang</w:t>
      </w:r>
      <w:proofErr w:type="spellEnd"/>
      <w:r w:rsidRPr="00D81875">
        <w:rPr>
          <w:sz w:val="24"/>
          <w:szCs w:val="24"/>
          <w:lang w:val="en-US" w:eastAsia="en-US"/>
        </w:rPr>
        <w:t xml:space="preserve">, D., &amp; Kumar, G. (2021). Intestinal parasitic infections and its trends: A 5-year findings from a tertiary care </w:t>
      </w:r>
      <w:proofErr w:type="spellStart"/>
      <w:r w:rsidRPr="00D81875">
        <w:rPr>
          <w:sz w:val="24"/>
          <w:szCs w:val="24"/>
          <w:lang w:val="en-US" w:eastAsia="en-US"/>
        </w:rPr>
        <w:t>centre</w:t>
      </w:r>
      <w:proofErr w:type="spellEnd"/>
      <w:r w:rsidRPr="00D81875">
        <w:rPr>
          <w:sz w:val="24"/>
          <w:szCs w:val="24"/>
          <w:lang w:val="en-US" w:eastAsia="en-US"/>
        </w:rPr>
        <w:t xml:space="preserve">, Puducherry, South India. </w:t>
      </w:r>
      <w:r w:rsidRPr="00D81875">
        <w:rPr>
          <w:i/>
          <w:iCs/>
          <w:sz w:val="24"/>
          <w:szCs w:val="24"/>
          <w:lang w:val="en-US" w:eastAsia="en-US"/>
        </w:rPr>
        <w:t>Journal of Parasitic Diseases, 45</w:t>
      </w:r>
      <w:r w:rsidRPr="00D81875">
        <w:rPr>
          <w:sz w:val="24"/>
          <w:szCs w:val="24"/>
          <w:lang w:val="en-US" w:eastAsia="en-US"/>
        </w:rPr>
        <w:t xml:space="preserve">(2), 400–405. </w:t>
      </w:r>
      <w:hyperlink r:id="rId64" w:history="1">
        <w:r w:rsidRPr="00D81875">
          <w:rPr>
            <w:color w:val="0000FF"/>
            <w:sz w:val="24"/>
            <w:szCs w:val="24"/>
            <w:u w:val="single"/>
            <w:lang w:val="en-US" w:eastAsia="en-US"/>
          </w:rPr>
          <w:t>https://doi.org/10.1007/s12639-020-01310-9</w:t>
        </w:r>
      </w:hyperlink>
    </w:p>
    <w:p w14:paraId="062EF620"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Vanalli, C., Mari, L., </w:t>
      </w:r>
      <w:proofErr w:type="spellStart"/>
      <w:r w:rsidRPr="00D81875">
        <w:rPr>
          <w:sz w:val="24"/>
          <w:szCs w:val="24"/>
          <w:lang w:val="en-US" w:eastAsia="en-US"/>
        </w:rPr>
        <w:t>Casagrandi</w:t>
      </w:r>
      <w:proofErr w:type="spellEnd"/>
      <w:r w:rsidRPr="00D81875">
        <w:rPr>
          <w:sz w:val="24"/>
          <w:szCs w:val="24"/>
          <w:lang w:val="en-US" w:eastAsia="en-US"/>
        </w:rPr>
        <w:t xml:space="preserve">, R., Gatto, M., &amp; </w:t>
      </w:r>
      <w:proofErr w:type="spellStart"/>
      <w:r w:rsidRPr="00D81875">
        <w:rPr>
          <w:sz w:val="24"/>
          <w:szCs w:val="24"/>
          <w:lang w:val="en-US" w:eastAsia="en-US"/>
        </w:rPr>
        <w:t>Cattadori</w:t>
      </w:r>
      <w:proofErr w:type="spellEnd"/>
      <w:r w:rsidRPr="00D81875">
        <w:rPr>
          <w:sz w:val="24"/>
          <w:szCs w:val="24"/>
          <w:lang w:val="en-US" w:eastAsia="en-US"/>
        </w:rPr>
        <w:t xml:space="preserve">, I. M. (2024). Helminth ecological requirements shape the impact of climate change on the hazard of infection. </w:t>
      </w:r>
      <w:r w:rsidRPr="00D81875">
        <w:rPr>
          <w:i/>
          <w:iCs/>
          <w:sz w:val="24"/>
          <w:szCs w:val="24"/>
          <w:lang w:val="en-US" w:eastAsia="en-US"/>
        </w:rPr>
        <w:t>Ecology Letters, 27</w:t>
      </w:r>
      <w:r w:rsidRPr="00D81875">
        <w:rPr>
          <w:sz w:val="24"/>
          <w:szCs w:val="24"/>
          <w:lang w:val="en-US" w:eastAsia="en-US"/>
        </w:rPr>
        <w:t xml:space="preserve">(2), e14386. </w:t>
      </w:r>
      <w:hyperlink r:id="rId65" w:history="1">
        <w:r w:rsidRPr="00D81875">
          <w:rPr>
            <w:color w:val="0000FF"/>
            <w:sz w:val="24"/>
            <w:szCs w:val="24"/>
            <w:u w:val="single"/>
            <w:lang w:val="en-US" w:eastAsia="en-US"/>
          </w:rPr>
          <w:t>https://doi.org/10.1111/ele.14386</w:t>
        </w:r>
      </w:hyperlink>
    </w:p>
    <w:p w14:paraId="52A4D4DC"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Walusimbi, B., Lawson, M. A. E., Nassuuna, J., </w:t>
      </w:r>
      <w:proofErr w:type="spellStart"/>
      <w:r w:rsidRPr="00D81875">
        <w:rPr>
          <w:sz w:val="24"/>
          <w:szCs w:val="24"/>
          <w:lang w:val="en-US" w:eastAsia="en-US"/>
        </w:rPr>
        <w:t>Kateete</w:t>
      </w:r>
      <w:proofErr w:type="spellEnd"/>
      <w:r w:rsidRPr="00D81875">
        <w:rPr>
          <w:sz w:val="24"/>
          <w:szCs w:val="24"/>
          <w:lang w:val="en-US" w:eastAsia="en-US"/>
        </w:rPr>
        <w:t xml:space="preserve">, D. P., Webb, E. L., </w:t>
      </w:r>
      <w:proofErr w:type="spellStart"/>
      <w:r w:rsidRPr="00D81875">
        <w:rPr>
          <w:sz w:val="24"/>
          <w:szCs w:val="24"/>
          <w:lang w:val="en-US" w:eastAsia="en-US"/>
        </w:rPr>
        <w:t>Grencis</w:t>
      </w:r>
      <w:proofErr w:type="spellEnd"/>
      <w:r w:rsidRPr="00D81875">
        <w:rPr>
          <w:sz w:val="24"/>
          <w:szCs w:val="24"/>
          <w:lang w:val="en-US" w:eastAsia="en-US"/>
        </w:rPr>
        <w:t xml:space="preserve">, R. K., &amp; Elliott, A. M. (2023). The effects of helminth infections on the human gut microbiome: A systematic review and meta-analysis. </w:t>
      </w:r>
      <w:r w:rsidRPr="00D81875">
        <w:rPr>
          <w:i/>
          <w:iCs/>
          <w:sz w:val="24"/>
          <w:szCs w:val="24"/>
          <w:lang w:val="en-US" w:eastAsia="en-US"/>
        </w:rPr>
        <w:t>Frontiers in Microbiomes, 2</w:t>
      </w:r>
      <w:r w:rsidRPr="00D81875">
        <w:rPr>
          <w:sz w:val="24"/>
          <w:szCs w:val="24"/>
          <w:lang w:val="en-US" w:eastAsia="en-US"/>
        </w:rPr>
        <w:t xml:space="preserve">, 1174034. </w:t>
      </w:r>
      <w:hyperlink r:id="rId66" w:history="1">
        <w:r w:rsidRPr="00D81875">
          <w:rPr>
            <w:color w:val="0000FF"/>
            <w:sz w:val="24"/>
            <w:szCs w:val="24"/>
            <w:u w:val="single"/>
            <w:lang w:val="en-US" w:eastAsia="en-US"/>
          </w:rPr>
          <w:t>https://doi.org/10.3389/frmbi.2023.1174034</w:t>
        </w:r>
      </w:hyperlink>
    </w:p>
    <w:p w14:paraId="1886CE59"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t xml:space="preserve">World Health Organization. (2021). </w:t>
      </w:r>
      <w:r w:rsidRPr="00D81875">
        <w:rPr>
          <w:i/>
          <w:iCs/>
          <w:sz w:val="24"/>
          <w:szCs w:val="24"/>
          <w:lang w:val="en-US" w:eastAsia="en-US"/>
        </w:rPr>
        <w:t>Ending the neglect to attain the Sustainable Development Goals: A road map for neglected tropical diseases 2021–2030</w:t>
      </w:r>
      <w:r w:rsidRPr="00D81875">
        <w:rPr>
          <w:sz w:val="24"/>
          <w:szCs w:val="24"/>
          <w:lang w:val="en-US" w:eastAsia="en-US"/>
        </w:rPr>
        <w:t xml:space="preserve">. </w:t>
      </w:r>
      <w:hyperlink r:id="rId67" w:history="1">
        <w:r w:rsidRPr="00D81875">
          <w:rPr>
            <w:color w:val="0000FF"/>
            <w:sz w:val="24"/>
            <w:szCs w:val="24"/>
            <w:u w:val="single"/>
            <w:lang w:val="en-US" w:eastAsia="en-US"/>
          </w:rPr>
          <w:t>https://www.who.int/publications/i/item/9789240010352</w:t>
        </w:r>
      </w:hyperlink>
    </w:p>
    <w:p w14:paraId="06A6D852" w14:textId="77777777" w:rsidR="00D81875" w:rsidRPr="00D81875" w:rsidRDefault="00D81875" w:rsidP="00D81875">
      <w:pPr>
        <w:spacing w:before="100" w:beforeAutospacing="1" w:after="100" w:afterAutospacing="1"/>
        <w:ind w:left="540" w:hanging="540"/>
        <w:jc w:val="both"/>
        <w:rPr>
          <w:sz w:val="24"/>
          <w:szCs w:val="24"/>
          <w:lang w:val="en-US" w:eastAsia="en-US"/>
        </w:rPr>
      </w:pPr>
      <w:r w:rsidRPr="00D81875">
        <w:rPr>
          <w:sz w:val="24"/>
          <w:szCs w:val="24"/>
          <w:lang w:val="en-US" w:eastAsia="en-US"/>
        </w:rPr>
        <w:lastRenderedPageBreak/>
        <w:t xml:space="preserve">World Health Organization. (2024). </w:t>
      </w:r>
      <w:r w:rsidRPr="00D81875">
        <w:rPr>
          <w:i/>
          <w:iCs/>
          <w:sz w:val="24"/>
          <w:szCs w:val="24"/>
          <w:lang w:val="en-US" w:eastAsia="en-US"/>
        </w:rPr>
        <w:t>WHO guideline on preventive chemotherapy for public health control of strongyloidiasis</w:t>
      </w:r>
      <w:r w:rsidRPr="00D81875">
        <w:rPr>
          <w:sz w:val="24"/>
          <w:szCs w:val="24"/>
          <w:lang w:val="en-US" w:eastAsia="en-US"/>
        </w:rPr>
        <w:t xml:space="preserve">. </w:t>
      </w:r>
      <w:hyperlink r:id="rId68" w:history="1">
        <w:r w:rsidRPr="00D81875">
          <w:rPr>
            <w:color w:val="0000FF"/>
            <w:sz w:val="24"/>
            <w:szCs w:val="24"/>
            <w:u w:val="single"/>
            <w:lang w:val="en-US" w:eastAsia="en-US"/>
          </w:rPr>
          <w:t>https://www.who.int/publications/i/item/9789240094024</w:t>
        </w:r>
      </w:hyperlink>
    </w:p>
    <w:p w14:paraId="61E6BDEF" w14:textId="04429CF1" w:rsidR="0092069B" w:rsidRDefault="0092069B" w:rsidP="00D81875">
      <w:pPr>
        <w:spacing w:after="120" w:line="300" w:lineRule="auto"/>
        <w:ind w:left="720" w:hanging="720"/>
      </w:pPr>
    </w:p>
    <w:sectPr w:rsidR="0092069B">
      <w:headerReference w:type="even" r:id="rId69"/>
      <w:headerReference w:type="default" r:id="rId70"/>
      <w:footerReference w:type="even" r:id="rId71"/>
      <w:footerReference w:type="default" r:id="rId72"/>
      <w:headerReference w:type="first" r:id="rId73"/>
      <w:footerReference w:type="first" r:id="rId7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A2CA8" w14:textId="77777777" w:rsidR="00BA616C" w:rsidRDefault="00BA616C" w:rsidP="005A4546">
      <w:r>
        <w:separator/>
      </w:r>
    </w:p>
  </w:endnote>
  <w:endnote w:type="continuationSeparator" w:id="0">
    <w:p w14:paraId="431CE833" w14:textId="77777777" w:rsidR="00BA616C" w:rsidRDefault="00BA616C" w:rsidP="005A4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B9CE" w14:textId="77777777" w:rsidR="005A4546" w:rsidRDefault="005A45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6F085" w14:textId="77777777" w:rsidR="005A4546" w:rsidRDefault="005A45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885CE" w14:textId="77777777" w:rsidR="005A4546" w:rsidRDefault="005A4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E6A2D" w14:textId="77777777" w:rsidR="00BA616C" w:rsidRDefault="00BA616C" w:rsidP="005A4546">
      <w:r>
        <w:separator/>
      </w:r>
    </w:p>
  </w:footnote>
  <w:footnote w:type="continuationSeparator" w:id="0">
    <w:p w14:paraId="528254EC" w14:textId="77777777" w:rsidR="00BA616C" w:rsidRDefault="00BA616C" w:rsidP="005A4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EAB1" w14:textId="77777777" w:rsidR="005A4546" w:rsidRDefault="00000000">
    <w:pPr>
      <w:pStyle w:val="Header"/>
    </w:pPr>
    <w:r>
      <w:rPr>
        <w:noProof/>
      </w:rPr>
      <w:pict w14:anchorId="47A494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39909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A9A4" w14:textId="77777777" w:rsidR="005A4546" w:rsidRDefault="00000000">
    <w:pPr>
      <w:pStyle w:val="Header"/>
    </w:pPr>
    <w:r>
      <w:rPr>
        <w:noProof/>
      </w:rPr>
      <w:pict w14:anchorId="03A68A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39909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074C" w14:textId="77777777" w:rsidR="005A4546" w:rsidRDefault="00000000">
    <w:pPr>
      <w:pStyle w:val="Header"/>
    </w:pPr>
    <w:r>
      <w:rPr>
        <w:noProof/>
      </w:rPr>
      <w:pict w14:anchorId="726167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39909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02B3A"/>
    <w:multiLevelType w:val="hybridMultilevel"/>
    <w:tmpl w:val="2B3E69F8"/>
    <w:lvl w:ilvl="0" w:tplc="DA7203AA">
      <w:start w:val="1"/>
      <w:numFmt w:val="bullet"/>
      <w:lvlText w:val="●"/>
      <w:lvlJc w:val="left"/>
      <w:pPr>
        <w:ind w:left="720" w:hanging="360"/>
      </w:pPr>
    </w:lvl>
    <w:lvl w:ilvl="1" w:tplc="DCA8BCFA">
      <w:start w:val="1"/>
      <w:numFmt w:val="bullet"/>
      <w:lvlText w:val="○"/>
      <w:lvlJc w:val="left"/>
      <w:pPr>
        <w:ind w:left="1440" w:hanging="360"/>
      </w:pPr>
    </w:lvl>
    <w:lvl w:ilvl="2" w:tplc="4E740DAE">
      <w:start w:val="1"/>
      <w:numFmt w:val="bullet"/>
      <w:lvlText w:val="■"/>
      <w:lvlJc w:val="left"/>
      <w:pPr>
        <w:ind w:left="2160" w:hanging="360"/>
      </w:pPr>
    </w:lvl>
    <w:lvl w:ilvl="3" w:tplc="2584ABB6">
      <w:start w:val="1"/>
      <w:numFmt w:val="bullet"/>
      <w:lvlText w:val="●"/>
      <w:lvlJc w:val="left"/>
      <w:pPr>
        <w:ind w:left="2880" w:hanging="360"/>
      </w:pPr>
    </w:lvl>
    <w:lvl w:ilvl="4" w:tplc="07A6D4E0">
      <w:start w:val="1"/>
      <w:numFmt w:val="bullet"/>
      <w:lvlText w:val="○"/>
      <w:lvlJc w:val="left"/>
      <w:pPr>
        <w:ind w:left="3600" w:hanging="360"/>
      </w:pPr>
    </w:lvl>
    <w:lvl w:ilvl="5" w:tplc="4772571A">
      <w:start w:val="1"/>
      <w:numFmt w:val="bullet"/>
      <w:lvlText w:val="■"/>
      <w:lvlJc w:val="left"/>
      <w:pPr>
        <w:ind w:left="4320" w:hanging="360"/>
      </w:pPr>
    </w:lvl>
    <w:lvl w:ilvl="6" w:tplc="08587BAC">
      <w:start w:val="1"/>
      <w:numFmt w:val="bullet"/>
      <w:lvlText w:val="●"/>
      <w:lvlJc w:val="left"/>
      <w:pPr>
        <w:ind w:left="5040" w:hanging="360"/>
      </w:pPr>
    </w:lvl>
    <w:lvl w:ilvl="7" w:tplc="050AA0E2">
      <w:start w:val="1"/>
      <w:numFmt w:val="bullet"/>
      <w:lvlText w:val="●"/>
      <w:lvlJc w:val="left"/>
      <w:pPr>
        <w:ind w:left="5760" w:hanging="360"/>
      </w:pPr>
    </w:lvl>
    <w:lvl w:ilvl="8" w:tplc="7792B718">
      <w:start w:val="1"/>
      <w:numFmt w:val="bullet"/>
      <w:lvlText w:val="●"/>
      <w:lvlJc w:val="left"/>
      <w:pPr>
        <w:ind w:left="6480" w:hanging="360"/>
      </w:pPr>
    </w:lvl>
  </w:abstractNum>
  <w:num w:numId="1" w16cid:durableId="11425798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69B"/>
    <w:rsid w:val="000553E3"/>
    <w:rsid w:val="00546C49"/>
    <w:rsid w:val="005A4546"/>
    <w:rsid w:val="00641849"/>
    <w:rsid w:val="0067505B"/>
    <w:rsid w:val="0092069B"/>
    <w:rsid w:val="009C23A5"/>
    <w:rsid w:val="00BA616C"/>
    <w:rsid w:val="00D81875"/>
    <w:rsid w:val="00F43F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AD788"/>
  <w15:docId w15:val="{DD6DA5EC-C938-4730-A04F-FADD4C02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A4546"/>
    <w:pPr>
      <w:tabs>
        <w:tab w:val="center" w:pos="4513"/>
        <w:tab w:val="right" w:pos="9026"/>
      </w:tabs>
    </w:pPr>
  </w:style>
  <w:style w:type="character" w:customStyle="1" w:styleId="HeaderChar">
    <w:name w:val="Header Char"/>
    <w:basedOn w:val="DefaultParagraphFont"/>
    <w:link w:val="Header"/>
    <w:uiPriority w:val="99"/>
    <w:rsid w:val="005A4546"/>
  </w:style>
  <w:style w:type="paragraph" w:styleId="Footer">
    <w:name w:val="footer"/>
    <w:basedOn w:val="Normal"/>
    <w:link w:val="FooterChar"/>
    <w:uiPriority w:val="99"/>
    <w:unhideWhenUsed/>
    <w:rsid w:val="005A4546"/>
    <w:pPr>
      <w:tabs>
        <w:tab w:val="center" w:pos="4513"/>
        <w:tab w:val="right" w:pos="9026"/>
      </w:tabs>
    </w:pPr>
  </w:style>
  <w:style w:type="character" w:customStyle="1" w:styleId="FooterChar">
    <w:name w:val="Footer Char"/>
    <w:basedOn w:val="DefaultParagraphFont"/>
    <w:link w:val="Footer"/>
    <w:uiPriority w:val="99"/>
    <w:rsid w:val="005A4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93/femsre/fuaf036" TargetMode="External"/><Relationship Id="rId21" Type="http://schemas.openxmlformats.org/officeDocument/2006/relationships/hyperlink" Target="https://doi.org/10.1186/s40249-024-01238-9" TargetMode="External"/><Relationship Id="rId42" Type="http://schemas.openxmlformats.org/officeDocument/2006/relationships/hyperlink" Target="https://doi.org/10.1051/parasite/2025001" TargetMode="External"/><Relationship Id="rId47" Type="http://schemas.openxmlformats.org/officeDocument/2006/relationships/hyperlink" Target="https://doi.org/10.1056/NEJMoa2212825" TargetMode="External"/><Relationship Id="rId63" Type="http://schemas.openxmlformats.org/officeDocument/2006/relationships/hyperlink" Target="https://doi.org/10.1007/s00436-024-08432-6" TargetMode="External"/><Relationship Id="rId68" Type="http://schemas.openxmlformats.org/officeDocument/2006/relationships/hyperlink" Target="https://www.who.int/publications/i/item/9789240094024" TargetMode="External"/><Relationship Id="rId2" Type="http://schemas.openxmlformats.org/officeDocument/2006/relationships/styles" Target="styles.xml"/><Relationship Id="rId16" Type="http://schemas.openxmlformats.org/officeDocument/2006/relationships/hyperlink" Target="https://doi.org/10.1093/jtm/taab120" TargetMode="External"/><Relationship Id="rId29" Type="http://schemas.openxmlformats.org/officeDocument/2006/relationships/hyperlink" Target="https://doi.org/10.1038/s41572-023-00490-x" TargetMode="External"/><Relationship Id="rId11" Type="http://schemas.openxmlformats.org/officeDocument/2006/relationships/hyperlink" Target="https://doi.org/10.1186/s13099-024-00661-5" TargetMode="External"/><Relationship Id="rId24" Type="http://schemas.openxmlformats.org/officeDocument/2006/relationships/hyperlink" Target="https://doi.org/10.1002/advs.202416325" TargetMode="External"/><Relationship Id="rId32" Type="http://schemas.openxmlformats.org/officeDocument/2006/relationships/hyperlink" Target="https://doi.org/10.1093/cid/ciu629" TargetMode="External"/><Relationship Id="rId37" Type="http://schemas.openxmlformats.org/officeDocument/2006/relationships/hyperlink" Target="https://doi.org/10.1016/S2214-109X(18)30283-3" TargetMode="External"/><Relationship Id="rId40" Type="http://schemas.openxmlformats.org/officeDocument/2006/relationships/hyperlink" Target="https://doi.org/10.3390/ijms232113358" TargetMode="External"/><Relationship Id="rId45" Type="http://schemas.openxmlformats.org/officeDocument/2006/relationships/hyperlink" Target="https://doi.org/10.1111/all.13944" TargetMode="External"/><Relationship Id="rId53" Type="http://schemas.openxmlformats.org/officeDocument/2006/relationships/hyperlink" Target="https://doi.org/10.1186/s12889-017-4113-2" TargetMode="External"/><Relationship Id="rId58" Type="http://schemas.openxmlformats.org/officeDocument/2006/relationships/hyperlink" Target="https://doi.org/10.3389/fimmu.2025.1499304" TargetMode="External"/><Relationship Id="rId66" Type="http://schemas.openxmlformats.org/officeDocument/2006/relationships/hyperlink" Target="https://doi.org/10.3389/frmbi.2023.1174034" TargetMode="External"/><Relationship Id="rId74"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yperlink" Target="https://doi.org/10.1016/S0140-6736(24)01403-X" TargetMode="External"/><Relationship Id="rId19" Type="http://schemas.openxmlformats.org/officeDocument/2006/relationships/hyperlink" Target="https://doi.org/10.1080/14787210.2023.2160704" TargetMode="External"/><Relationship Id="rId14" Type="http://schemas.openxmlformats.org/officeDocument/2006/relationships/hyperlink" Target="https://doi.org/10.1007/s44197-024-00231-7" TargetMode="External"/><Relationship Id="rId22" Type="http://schemas.openxmlformats.org/officeDocument/2006/relationships/hyperlink" Target="https://doi.org/10.3389/fimmu.2020.01286" TargetMode="External"/><Relationship Id="rId27" Type="http://schemas.openxmlformats.org/officeDocument/2006/relationships/hyperlink" Target="https://doi.org/10.1016/j.tim.2025.01.008" TargetMode="External"/><Relationship Id="rId30" Type="http://schemas.openxmlformats.org/officeDocument/2006/relationships/hyperlink" Target="https://doi.org/10.1080/21505594.2022.2158656" TargetMode="External"/><Relationship Id="rId35" Type="http://schemas.openxmlformats.org/officeDocument/2006/relationships/hyperlink" Target="https://doi.org/10.1053/j.gastro.2021.11.022" TargetMode="External"/><Relationship Id="rId43" Type="http://schemas.openxmlformats.org/officeDocument/2006/relationships/hyperlink" Target="https://doi.org/10.1371/journal.pntd.0012212" TargetMode="External"/><Relationship Id="rId48" Type="http://schemas.openxmlformats.org/officeDocument/2006/relationships/hyperlink" Target="https://doi.org/10.3390/vaccines13050436" TargetMode="External"/><Relationship Id="rId56" Type="http://schemas.openxmlformats.org/officeDocument/2006/relationships/hyperlink" Target="https://doi.org/10.1055/s-0042-1757417" TargetMode="External"/><Relationship Id="rId64" Type="http://schemas.openxmlformats.org/officeDocument/2006/relationships/hyperlink" Target="https://doi.org/10.1007/s12639-020-01310-9" TargetMode="External"/><Relationship Id="rId69" Type="http://schemas.openxmlformats.org/officeDocument/2006/relationships/header" Target="header1.xml"/><Relationship Id="rId8" Type="http://schemas.openxmlformats.org/officeDocument/2006/relationships/hyperlink" Target="https://doi.org/10.1371/journal.pntd.0009338" TargetMode="External"/><Relationship Id="rId51" Type="http://schemas.openxmlformats.org/officeDocument/2006/relationships/hyperlink" Target="https://doi.org/10.1016/S2214-109X(19)30268-2" TargetMode="External"/><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doi.org/10.1097/QCO.0000000000001041" TargetMode="External"/><Relationship Id="rId17" Type="http://schemas.openxmlformats.org/officeDocument/2006/relationships/hyperlink" Target="https://doi.org/10.3390/pathogens9060468" TargetMode="External"/><Relationship Id="rId25" Type="http://schemas.openxmlformats.org/officeDocument/2006/relationships/hyperlink" Target="https://doi.org/10.1186/s13071-020-04197-w" TargetMode="External"/><Relationship Id="rId33" Type="http://schemas.openxmlformats.org/officeDocument/2006/relationships/hyperlink" Target="https://doi.org/10.1371/journal.pntd.0006205" TargetMode="External"/><Relationship Id="rId38" Type="http://schemas.openxmlformats.org/officeDocument/2006/relationships/hyperlink" Target="https://doi.org/10.1016/S1473-3099(24)00669-8" TargetMode="External"/><Relationship Id="rId46" Type="http://schemas.openxmlformats.org/officeDocument/2006/relationships/hyperlink" Target="https://doi.org/10.1371/journal.pntd.0008505" TargetMode="External"/><Relationship Id="rId59" Type="http://schemas.openxmlformats.org/officeDocument/2006/relationships/hyperlink" Target="https://doi.org/10.1111/j.1365-3156.2010.02542.x" TargetMode="External"/><Relationship Id="rId67" Type="http://schemas.openxmlformats.org/officeDocument/2006/relationships/hyperlink" Target="https://www.who.int/publications/i/item/9789240010352" TargetMode="External"/><Relationship Id="rId20" Type="http://schemas.openxmlformats.org/officeDocument/2006/relationships/hyperlink" Target="https://doi.org/10.1371/journal.pntd.0009373" TargetMode="External"/><Relationship Id="rId41" Type="http://schemas.openxmlformats.org/officeDocument/2006/relationships/hyperlink" Target="https://doi.org/10.1016/j.ijpara.2021.11.001" TargetMode="External"/><Relationship Id="rId54" Type="http://schemas.openxmlformats.org/officeDocument/2006/relationships/hyperlink" Target="https://doi.org/10.3389/fpara.2023.1197956" TargetMode="External"/><Relationship Id="rId62" Type="http://schemas.openxmlformats.org/officeDocument/2006/relationships/hyperlink" Target="https://doi.org/10.1002/14651858.CD000371.pub7" TargetMode="External"/><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371/journal.pntd.0008087" TargetMode="External"/><Relationship Id="rId23" Type="http://schemas.openxmlformats.org/officeDocument/2006/relationships/hyperlink" Target="https://doi.org/10.1186/s12916-019-1410-x" TargetMode="External"/><Relationship Id="rId28" Type="http://schemas.openxmlformats.org/officeDocument/2006/relationships/hyperlink" Target="https://doi.org/10.1038/s41467-023-38363-2" TargetMode="External"/><Relationship Id="rId36" Type="http://schemas.openxmlformats.org/officeDocument/2006/relationships/hyperlink" Target="https://doi.org/10.1016/S1473-3099(21)00421-7" TargetMode="External"/><Relationship Id="rId49" Type="http://schemas.openxmlformats.org/officeDocument/2006/relationships/hyperlink" Target="https://doi.org/10.1038/s41577-023-00932-3" TargetMode="External"/><Relationship Id="rId57" Type="http://schemas.openxmlformats.org/officeDocument/2006/relationships/hyperlink" Target="https://doi.org/10.1186/s13071-022-05483-5" TargetMode="External"/><Relationship Id="rId10" Type="http://schemas.openxmlformats.org/officeDocument/2006/relationships/hyperlink" Target="https://doi.org/10.3390/vetsci12020085" TargetMode="External"/><Relationship Id="rId31" Type="http://schemas.openxmlformats.org/officeDocument/2006/relationships/hyperlink" Target="https://doi.org/10.1073/pnas.2023185118" TargetMode="External"/><Relationship Id="rId44" Type="http://schemas.openxmlformats.org/officeDocument/2006/relationships/hyperlink" Target="https://doi.org/10.1016/j.pt.2023.11.003" TargetMode="External"/><Relationship Id="rId52" Type="http://schemas.openxmlformats.org/officeDocument/2006/relationships/hyperlink" Target="https://doi.org/10.1016/S2214-109X(18)30351-6" TargetMode="External"/><Relationship Id="rId60" Type="http://schemas.openxmlformats.org/officeDocument/2006/relationships/hyperlink" Target="https://doi.org/10.1371/journal.pmed.1001620" TargetMode="External"/><Relationship Id="rId65" Type="http://schemas.openxmlformats.org/officeDocument/2006/relationships/hyperlink" Target="https://doi.org/10.1111/ele.14386" TargetMode="External"/><Relationship Id="rId73"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1016/S0140-6736(25)00766-4" TargetMode="External"/><Relationship Id="rId13" Type="http://schemas.openxmlformats.org/officeDocument/2006/relationships/hyperlink" Target="https://doi.org/10.1186/s41073-019-0064-8" TargetMode="External"/><Relationship Id="rId18" Type="http://schemas.openxmlformats.org/officeDocument/2006/relationships/hyperlink" Target="https://doi.org/10.1128/cmr.00033-23" TargetMode="External"/><Relationship Id="rId39" Type="http://schemas.openxmlformats.org/officeDocument/2006/relationships/hyperlink" Target="https://doi.org/10.1017/S0031182021000834" TargetMode="External"/><Relationship Id="rId34" Type="http://schemas.openxmlformats.org/officeDocument/2006/relationships/hyperlink" Target="https://doi.org/10.1128/msphere.00011-26" TargetMode="External"/><Relationship Id="rId50" Type="http://schemas.openxmlformats.org/officeDocument/2006/relationships/hyperlink" Target="https://doi.org/10.1111/pim.12949" TargetMode="External"/><Relationship Id="rId55" Type="http://schemas.openxmlformats.org/officeDocument/2006/relationships/hyperlink" Target="https://doi.org/10.1093/ecco-jcc/jjw184" TargetMode="External"/><Relationship Id="rId76" Type="http://schemas.openxmlformats.org/officeDocument/2006/relationships/theme" Target="theme/theme1.xml"/><Relationship Id="rId7" Type="http://schemas.openxmlformats.org/officeDocument/2006/relationships/hyperlink" Target="https://doi.org/10.1016/S1473-3099(20)30288-7" TargetMode="Externa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36</Pages>
  <Words>18825</Words>
  <Characters>107308</Characters>
  <Application>Microsoft Office Word</Application>
  <DocSecurity>0</DocSecurity>
  <Lines>894</Lines>
  <Paragraphs>251</Paragraphs>
  <ScaleCrop>false</ScaleCrop>
  <Company/>
  <LinksUpToDate>false</LinksUpToDate>
  <CharactersWithSpaces>125882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4</cp:revision>
  <dcterms:created xsi:type="dcterms:W3CDTF">2026-09-01T10:31:00Z</dcterms:created>
  <dcterms:modified xsi:type="dcterms:W3CDTF">2026-09-12T06:03:00Z</dcterms:modified>
</cp:coreProperties>
</file>