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CF814" w14:textId="77777777" w:rsidR="0057443C" w:rsidRPr="005056B4" w:rsidRDefault="0057443C">
      <w:pPr>
        <w:rPr>
          <w:rFonts w:ascii="Times New Roman" w:hAnsi="Times New Roman" w:cs="Times New Roman"/>
          <w:sz w:val="24"/>
          <w:szCs w:val="24"/>
        </w:rPr>
      </w:pPr>
      <w:r w:rsidRPr="005056B4">
        <w:rPr>
          <w:rFonts w:ascii="Times New Roman" w:hAnsi="Times New Roman" w:cs="Times New Roman"/>
          <w:b/>
          <w:bCs/>
          <w:sz w:val="24"/>
          <w:szCs w:val="24"/>
        </w:rPr>
        <w:t xml:space="preserve">PHYSICO-CHEMICAL PROPERTIES OF SOIL AND PETIOLE LENGTH OF FIVE ACCESSIONS OF </w:t>
      </w:r>
      <w:r>
        <w:rPr>
          <w:rFonts w:ascii="Times New Roman" w:hAnsi="Times New Roman" w:cs="Times New Roman"/>
          <w:b/>
          <w:bCs/>
          <w:i/>
          <w:iCs/>
          <w:sz w:val="24"/>
          <w:szCs w:val="24"/>
        </w:rPr>
        <w:t>Vigna subterranea</w:t>
      </w:r>
      <w:r w:rsidRPr="005056B4">
        <w:rPr>
          <w:rFonts w:ascii="Times New Roman" w:hAnsi="Times New Roman" w:cs="Times New Roman"/>
          <w:sz w:val="24"/>
          <w:szCs w:val="24"/>
        </w:rPr>
        <w:t xml:space="preserve"> (</w:t>
      </w:r>
      <w:r w:rsidR="005326D1" w:rsidRPr="005056B4">
        <w:rPr>
          <w:rFonts w:ascii="Times New Roman" w:hAnsi="Times New Roman" w:cs="Times New Roman"/>
          <w:sz w:val="24"/>
          <w:szCs w:val="24"/>
        </w:rPr>
        <w:t>L</w:t>
      </w:r>
      <w:r w:rsidRPr="005056B4">
        <w:rPr>
          <w:rFonts w:ascii="Times New Roman" w:hAnsi="Times New Roman" w:cs="Times New Roman"/>
          <w:sz w:val="24"/>
          <w:szCs w:val="24"/>
        </w:rPr>
        <w:t>).</w:t>
      </w:r>
      <w:r w:rsidRPr="005056B4">
        <w:rPr>
          <w:rFonts w:ascii="Times New Roman" w:hAnsi="Times New Roman" w:cs="Times New Roman"/>
          <w:b/>
          <w:bCs/>
          <w:sz w:val="24"/>
          <w:szCs w:val="24"/>
        </w:rPr>
        <w:t xml:space="preserve"> VERDC GROWN UNDER DIFFERENT ENVIRONMENTAL CONDITIONS</w:t>
      </w:r>
    </w:p>
    <w:p w14:paraId="4405EF75" w14:textId="77777777" w:rsidR="00C92B57" w:rsidRDefault="00C92B57" w:rsidP="00C92B57">
      <w:pPr>
        <w:spacing w:after="0" w:line="360" w:lineRule="auto"/>
        <w:rPr>
          <w:rFonts w:ascii="Times New Roman" w:hAnsi="Times New Roman" w:cs="Times New Roman"/>
          <w:b/>
          <w:sz w:val="24"/>
          <w:szCs w:val="24"/>
        </w:rPr>
      </w:pPr>
    </w:p>
    <w:p w14:paraId="32C02D54" w14:textId="77777777" w:rsidR="00C92B57" w:rsidRDefault="00C92B57" w:rsidP="00C92B57">
      <w:pPr>
        <w:spacing w:after="0" w:line="360" w:lineRule="auto"/>
        <w:rPr>
          <w:rFonts w:ascii="Times New Roman" w:hAnsi="Times New Roman" w:cs="Times New Roman"/>
          <w:b/>
          <w:sz w:val="24"/>
          <w:szCs w:val="24"/>
        </w:rPr>
      </w:pPr>
    </w:p>
    <w:p w14:paraId="1197B07B" w14:textId="77777777" w:rsidR="00AC79D3" w:rsidRDefault="00AC79D3" w:rsidP="00994ECE">
      <w:pPr>
        <w:spacing w:after="0" w:line="360" w:lineRule="auto"/>
        <w:rPr>
          <w:rFonts w:ascii="Times New Roman" w:hAnsi="Times New Roman" w:cs="Times New Roman"/>
          <w:bCs/>
          <w:sz w:val="24"/>
          <w:szCs w:val="24"/>
        </w:rPr>
      </w:pPr>
    </w:p>
    <w:p w14:paraId="035A24AC" w14:textId="77777777" w:rsidR="00AC79D3" w:rsidRDefault="00AC79D3" w:rsidP="00994ECE">
      <w:pPr>
        <w:spacing w:after="0" w:line="360" w:lineRule="auto"/>
        <w:rPr>
          <w:rFonts w:ascii="Times New Roman" w:hAnsi="Times New Roman" w:cs="Times New Roman"/>
          <w:bCs/>
          <w:sz w:val="24"/>
          <w:szCs w:val="24"/>
        </w:rPr>
      </w:pPr>
    </w:p>
    <w:p w14:paraId="343D80A0" w14:textId="77777777" w:rsidR="00994ECE" w:rsidRPr="00C92B57" w:rsidRDefault="00994ECE" w:rsidP="00994ECE">
      <w:pPr>
        <w:spacing w:after="0" w:line="360" w:lineRule="auto"/>
        <w:rPr>
          <w:rFonts w:ascii="Times New Roman" w:hAnsi="Times New Roman" w:cs="Times New Roman"/>
          <w:b/>
          <w:sz w:val="24"/>
          <w:szCs w:val="24"/>
        </w:rPr>
      </w:pPr>
      <w:r w:rsidRPr="00C92B57">
        <w:rPr>
          <w:rFonts w:ascii="Times New Roman" w:hAnsi="Times New Roman" w:cs="Times New Roman"/>
          <w:b/>
          <w:sz w:val="24"/>
          <w:szCs w:val="24"/>
        </w:rPr>
        <w:t>Abstract</w:t>
      </w:r>
    </w:p>
    <w:p w14:paraId="367C3F0F" w14:textId="77777777" w:rsidR="004B678A" w:rsidRDefault="00994ECE" w:rsidP="00303851">
      <w:pPr>
        <w:tabs>
          <w:tab w:val="left" w:pos="1330"/>
        </w:tabs>
        <w:spacing w:after="0" w:line="240" w:lineRule="auto"/>
        <w:jc w:val="both"/>
        <w:rPr>
          <w:rFonts w:ascii="Times New Roman" w:hAnsi="Times New Roman" w:cs="Times New Roman"/>
          <w:bCs/>
          <w:sz w:val="24"/>
          <w:szCs w:val="24"/>
        </w:rPr>
      </w:pPr>
      <w:r w:rsidRPr="00994ECE">
        <w:rPr>
          <w:rFonts w:ascii="Times New Roman" w:hAnsi="Times New Roman" w:cs="Times New Roman"/>
          <w:bCs/>
          <w:sz w:val="24"/>
          <w:szCs w:val="24"/>
        </w:rPr>
        <w:t>Bambara groundnut (</w:t>
      </w:r>
      <w:r w:rsidRPr="00994ECE">
        <w:rPr>
          <w:rFonts w:ascii="Times New Roman" w:hAnsi="Times New Roman" w:cs="Times New Roman"/>
          <w:bCs/>
          <w:i/>
          <w:iCs/>
          <w:sz w:val="24"/>
          <w:szCs w:val="24"/>
        </w:rPr>
        <w:t>Vigna subterranea</w:t>
      </w:r>
      <w:r w:rsidRPr="00994ECE">
        <w:rPr>
          <w:rFonts w:ascii="Times New Roman" w:hAnsi="Times New Roman" w:cs="Times New Roman"/>
          <w:bCs/>
          <w:sz w:val="24"/>
          <w:szCs w:val="24"/>
        </w:rPr>
        <w:t xml:space="preserve"> (L.) </w:t>
      </w:r>
      <w:proofErr w:type="spellStart"/>
      <w:r w:rsidRPr="00994ECE">
        <w:rPr>
          <w:rFonts w:ascii="Times New Roman" w:hAnsi="Times New Roman" w:cs="Times New Roman"/>
          <w:bCs/>
          <w:sz w:val="24"/>
          <w:szCs w:val="24"/>
        </w:rPr>
        <w:t>Verdc</w:t>
      </w:r>
      <w:proofErr w:type="spellEnd"/>
      <w:r w:rsidRPr="00994ECE">
        <w:rPr>
          <w:rFonts w:ascii="Times New Roman" w:hAnsi="Times New Roman" w:cs="Times New Roman"/>
          <w:bCs/>
          <w:sz w:val="24"/>
          <w:szCs w:val="24"/>
        </w:rPr>
        <w:t>.) is an</w:t>
      </w:r>
      <w:r>
        <w:rPr>
          <w:rFonts w:ascii="Times New Roman" w:hAnsi="Times New Roman" w:cs="Times New Roman"/>
          <w:bCs/>
          <w:sz w:val="24"/>
          <w:szCs w:val="24"/>
        </w:rPr>
        <w:t xml:space="preserve"> underexploited</w:t>
      </w:r>
      <w:r w:rsidRPr="00994ECE">
        <w:rPr>
          <w:rFonts w:ascii="Times New Roman" w:hAnsi="Times New Roman" w:cs="Times New Roman"/>
          <w:bCs/>
          <w:sz w:val="24"/>
          <w:szCs w:val="24"/>
        </w:rPr>
        <w:t xml:space="preserve">, drought-tolerant legume with considerable nutritional and agricultural importance, particularly in semi-arid regions. This study </w:t>
      </w:r>
      <w:r>
        <w:rPr>
          <w:rFonts w:ascii="Times New Roman" w:hAnsi="Times New Roman" w:cs="Times New Roman"/>
          <w:bCs/>
          <w:sz w:val="24"/>
          <w:szCs w:val="24"/>
        </w:rPr>
        <w:t>investigated</w:t>
      </w:r>
      <w:r w:rsidRPr="00994ECE">
        <w:rPr>
          <w:rFonts w:ascii="Times New Roman" w:hAnsi="Times New Roman" w:cs="Times New Roman"/>
          <w:bCs/>
          <w:sz w:val="24"/>
          <w:szCs w:val="24"/>
        </w:rPr>
        <w:t xml:space="preserve"> the effects of drought stress, arbuscular mycorrhizal fungi (AMF), </w:t>
      </w:r>
      <w:proofErr w:type="spellStart"/>
      <w:r w:rsidRPr="00994ECE">
        <w:rPr>
          <w:rFonts w:ascii="Times New Roman" w:hAnsi="Times New Roman" w:cs="Times New Roman"/>
          <w:bCs/>
          <w:i/>
          <w:iCs/>
          <w:sz w:val="24"/>
          <w:szCs w:val="24"/>
        </w:rPr>
        <w:t>Calopogonium</w:t>
      </w:r>
      <w:proofErr w:type="spellEnd"/>
      <w:r w:rsidRPr="00994ECE">
        <w:rPr>
          <w:rFonts w:ascii="Times New Roman" w:hAnsi="Times New Roman" w:cs="Times New Roman"/>
          <w:bCs/>
          <w:i/>
          <w:iCs/>
          <w:sz w:val="24"/>
          <w:szCs w:val="24"/>
        </w:rPr>
        <w:t xml:space="preserve">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and their combined application on germination and petiole length of five </w:t>
      </w:r>
      <w:r w:rsidRPr="00994ECE">
        <w:rPr>
          <w:rFonts w:ascii="Times New Roman" w:hAnsi="Times New Roman" w:cs="Times New Roman"/>
          <w:bCs/>
          <w:i/>
          <w:iCs/>
          <w:sz w:val="24"/>
          <w:szCs w:val="24"/>
        </w:rPr>
        <w:t>V. subterranea</w:t>
      </w:r>
      <w:r w:rsidRPr="00994ECE">
        <w:rPr>
          <w:rFonts w:ascii="Times New Roman" w:hAnsi="Times New Roman" w:cs="Times New Roman"/>
          <w:bCs/>
          <w:sz w:val="24"/>
          <w:szCs w:val="24"/>
        </w:rPr>
        <w:t xml:space="preserve"> accessions (TVSU1–TVSU5). The </w:t>
      </w:r>
      <w:r>
        <w:rPr>
          <w:rFonts w:ascii="Times New Roman" w:hAnsi="Times New Roman" w:cs="Times New Roman"/>
          <w:bCs/>
          <w:sz w:val="24"/>
          <w:szCs w:val="24"/>
        </w:rPr>
        <w:t>study</w:t>
      </w:r>
      <w:r w:rsidRPr="00994ECE">
        <w:rPr>
          <w:rFonts w:ascii="Times New Roman" w:hAnsi="Times New Roman" w:cs="Times New Roman"/>
          <w:bCs/>
          <w:sz w:val="24"/>
          <w:szCs w:val="24"/>
        </w:rPr>
        <w:t xml:space="preserve"> was </w:t>
      </w:r>
      <w:r>
        <w:rPr>
          <w:rFonts w:ascii="Times New Roman" w:hAnsi="Times New Roman" w:cs="Times New Roman"/>
          <w:bCs/>
          <w:sz w:val="24"/>
          <w:szCs w:val="24"/>
        </w:rPr>
        <w:t xml:space="preserve">carried out </w:t>
      </w:r>
      <w:r w:rsidRPr="00994ECE">
        <w:rPr>
          <w:rFonts w:ascii="Times New Roman" w:hAnsi="Times New Roman" w:cs="Times New Roman"/>
          <w:bCs/>
          <w:sz w:val="24"/>
          <w:szCs w:val="24"/>
        </w:rPr>
        <w:t xml:space="preserve">using a </w:t>
      </w:r>
      <w:r>
        <w:rPr>
          <w:rFonts w:ascii="Times New Roman" w:hAnsi="Times New Roman" w:cs="Times New Roman"/>
          <w:bCs/>
          <w:sz w:val="24"/>
          <w:szCs w:val="24"/>
          <w:highlight w:val="yellow"/>
        </w:rPr>
        <w:t>randomised</w:t>
      </w:r>
      <w:r>
        <w:rPr>
          <w:rFonts w:ascii="Times New Roman" w:hAnsi="Times New Roman" w:cs="Times New Roman"/>
          <w:bCs/>
          <w:sz w:val="24"/>
          <w:szCs w:val="24"/>
        </w:rPr>
        <w:t xml:space="preserve"> block design with three replicates. Plants were grown in sandy-loam soil </w:t>
      </w:r>
      <w:r>
        <w:rPr>
          <w:rFonts w:ascii="Times New Roman" w:hAnsi="Times New Roman" w:cs="Times New Roman"/>
          <w:bCs/>
          <w:sz w:val="24"/>
          <w:szCs w:val="24"/>
          <w:highlight w:val="yellow"/>
        </w:rPr>
        <w:t>characterised</w:t>
      </w:r>
      <w:r>
        <w:rPr>
          <w:rFonts w:ascii="Times New Roman" w:hAnsi="Times New Roman" w:cs="Times New Roman"/>
          <w:bCs/>
          <w:sz w:val="24"/>
          <w:szCs w:val="24"/>
        </w:rPr>
        <w:t xml:space="preserve"> by moderate acidity (pH 5.30), low water-holding capacity (11.44</w:t>
      </w:r>
      <w:r w:rsidR="00837C85">
        <w:rPr>
          <w:rFonts w:ascii="Times New Roman" w:hAnsi="Times New Roman" w:cs="Times New Roman"/>
          <w:bCs/>
          <w:sz w:val="24"/>
          <w:szCs w:val="24"/>
        </w:rPr>
        <w:t xml:space="preserve"> </w:t>
      </w:r>
      <w:r w:rsidRPr="00994ECE">
        <w:rPr>
          <w:rFonts w:ascii="Times New Roman" w:hAnsi="Times New Roman" w:cs="Times New Roman"/>
          <w:bCs/>
          <w:sz w:val="24"/>
          <w:szCs w:val="24"/>
        </w:rPr>
        <w:t xml:space="preserve">%), and relatively low fertility. Petiole length was measured weekly for 13 weeks, while germination was assessed under well-watered and drought conditions. Drought stress significantly affected germination and petiole development, with responses varying among accessions. </w:t>
      </w:r>
      <w:r w:rsidR="00837C85" w:rsidRPr="00837C85">
        <w:rPr>
          <w:rFonts w:ascii="Times New Roman" w:hAnsi="Times New Roman" w:cs="Times New Roman"/>
          <w:i/>
          <w:iCs/>
          <w:sz w:val="24"/>
          <w:szCs w:val="24"/>
        </w:rPr>
        <w:t xml:space="preserve">Arbuscular mycorrhizal </w:t>
      </w:r>
      <w:r w:rsidR="00837C85" w:rsidRPr="000F604D">
        <w:rPr>
          <w:rFonts w:ascii="Times New Roman" w:hAnsi="Times New Roman" w:cs="Times New Roman"/>
          <w:sz w:val="24"/>
          <w:szCs w:val="24"/>
        </w:rPr>
        <w:t>fungi</w:t>
      </w:r>
      <w:r w:rsidR="00837C85" w:rsidRPr="00994ECE">
        <w:rPr>
          <w:rFonts w:ascii="Times New Roman" w:hAnsi="Times New Roman" w:cs="Times New Roman"/>
          <w:bCs/>
          <w:sz w:val="24"/>
          <w:szCs w:val="24"/>
        </w:rPr>
        <w:t xml:space="preserve"> </w:t>
      </w:r>
      <w:r w:rsidR="00837C85">
        <w:rPr>
          <w:rFonts w:ascii="Times New Roman" w:hAnsi="Times New Roman" w:cs="Times New Roman"/>
          <w:bCs/>
          <w:sz w:val="24"/>
          <w:szCs w:val="24"/>
        </w:rPr>
        <w:t>(</w:t>
      </w:r>
      <w:r w:rsidRPr="00994ECE">
        <w:rPr>
          <w:rFonts w:ascii="Times New Roman" w:hAnsi="Times New Roman" w:cs="Times New Roman"/>
          <w:bCs/>
          <w:sz w:val="24"/>
          <w:szCs w:val="24"/>
        </w:rPr>
        <w:t>AMF</w:t>
      </w:r>
      <w:r w:rsidR="00837C85">
        <w:rPr>
          <w:rFonts w:ascii="Times New Roman" w:hAnsi="Times New Roman" w:cs="Times New Roman"/>
          <w:bCs/>
          <w:sz w:val="24"/>
          <w:szCs w:val="24"/>
        </w:rPr>
        <w:t>)</w:t>
      </w:r>
      <w:r w:rsidRPr="00994ECE">
        <w:rPr>
          <w:rFonts w:ascii="Times New Roman" w:hAnsi="Times New Roman" w:cs="Times New Roman"/>
          <w:bCs/>
          <w:sz w:val="24"/>
          <w:szCs w:val="24"/>
        </w:rPr>
        <w:t xml:space="preserve"> and </w:t>
      </w:r>
      <w:r w:rsidRPr="00994ECE">
        <w:rPr>
          <w:rFonts w:ascii="Times New Roman" w:hAnsi="Times New Roman" w:cs="Times New Roman"/>
          <w:bCs/>
          <w:i/>
          <w:iCs/>
          <w:sz w:val="24"/>
          <w:szCs w:val="24"/>
        </w:rPr>
        <w:t xml:space="preserve">C.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individually improved vegetative growth under drought, while their combined application produced the most pronounced beneficial effects. Under the combined treatment, TVSU4 and TVSU5 exhibited the greatest petiole elongation, reaching 21.86 cm at 13 weeks after planting, whereas TVSU2 showed limited responsiveness. </w:t>
      </w:r>
      <w:r w:rsidRPr="00994ECE">
        <w:rPr>
          <w:rFonts w:ascii="Times New Roman" w:hAnsi="Times New Roman" w:cs="Times New Roman"/>
          <w:bCs/>
          <w:i/>
          <w:iCs/>
          <w:sz w:val="24"/>
          <w:szCs w:val="24"/>
        </w:rPr>
        <w:t xml:space="preserve">C.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xml:space="preserve"> alone also promoted sustained petiole growth, with TVSU5 recording the highest value (23.43 cm). The combined treatment substantially improved drought-affected germination, approaching the well-watered control. These findings demonstrate significant accession-dependent variation in drought response and indicate that integrating </w:t>
      </w:r>
      <w:r w:rsidR="00837C85" w:rsidRPr="000F604D">
        <w:rPr>
          <w:rFonts w:ascii="Times New Roman" w:hAnsi="Times New Roman" w:cs="Times New Roman"/>
          <w:sz w:val="24"/>
          <w:szCs w:val="24"/>
        </w:rPr>
        <w:t>Arbuscular mycorrhizal fungi</w:t>
      </w:r>
      <w:r w:rsidR="00837C85" w:rsidRPr="00994ECE">
        <w:rPr>
          <w:rFonts w:ascii="Times New Roman" w:hAnsi="Times New Roman" w:cs="Times New Roman"/>
          <w:bCs/>
          <w:sz w:val="24"/>
          <w:szCs w:val="24"/>
        </w:rPr>
        <w:t xml:space="preserve"> </w:t>
      </w:r>
      <w:r w:rsidR="00837C85">
        <w:rPr>
          <w:rFonts w:ascii="Times New Roman" w:hAnsi="Times New Roman" w:cs="Times New Roman"/>
          <w:bCs/>
          <w:sz w:val="24"/>
          <w:szCs w:val="24"/>
        </w:rPr>
        <w:t>(</w:t>
      </w:r>
      <w:r w:rsidRPr="00994ECE">
        <w:rPr>
          <w:rFonts w:ascii="Times New Roman" w:hAnsi="Times New Roman" w:cs="Times New Roman"/>
          <w:bCs/>
          <w:sz w:val="24"/>
          <w:szCs w:val="24"/>
        </w:rPr>
        <w:t>AMF</w:t>
      </w:r>
      <w:r w:rsidR="00837C85">
        <w:rPr>
          <w:rFonts w:ascii="Times New Roman" w:hAnsi="Times New Roman" w:cs="Times New Roman"/>
          <w:bCs/>
          <w:sz w:val="24"/>
          <w:szCs w:val="24"/>
        </w:rPr>
        <w:t>)</w:t>
      </w:r>
      <w:r w:rsidRPr="00994ECE">
        <w:rPr>
          <w:rFonts w:ascii="Times New Roman" w:hAnsi="Times New Roman" w:cs="Times New Roman"/>
          <w:bCs/>
          <w:sz w:val="24"/>
          <w:szCs w:val="24"/>
        </w:rPr>
        <w:t xml:space="preserve"> and </w:t>
      </w:r>
      <w:r w:rsidRPr="00994ECE">
        <w:rPr>
          <w:rFonts w:ascii="Times New Roman" w:hAnsi="Times New Roman" w:cs="Times New Roman"/>
          <w:bCs/>
          <w:i/>
          <w:iCs/>
          <w:sz w:val="24"/>
          <w:szCs w:val="24"/>
        </w:rPr>
        <w:t xml:space="preserve">C.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can enhance establishment and vegetative growth of Bambara groundnut under water-limited conditions. The approach offers potential as a sustainable strategy for improving drought resilience in Bambara groundnut production.</w:t>
      </w:r>
    </w:p>
    <w:p w14:paraId="578C007C" w14:textId="77777777" w:rsidR="000D0A90" w:rsidRPr="000A2529" w:rsidRDefault="000D0A90" w:rsidP="000D0A90">
      <w:pPr>
        <w:spacing w:before="240" w:after="0" w:line="240" w:lineRule="auto"/>
        <w:jc w:val="both"/>
        <w:rPr>
          <w:rFonts w:ascii="Times New Roman" w:hAnsi="Times New Roman" w:cs="Times New Roman"/>
          <w:sz w:val="24"/>
          <w:szCs w:val="24"/>
        </w:rPr>
      </w:pPr>
      <w:r w:rsidRPr="000F604D">
        <w:rPr>
          <w:rFonts w:ascii="Times New Roman" w:hAnsi="Times New Roman" w:cs="Times New Roman"/>
          <w:b/>
          <w:bCs/>
          <w:sz w:val="24"/>
          <w:szCs w:val="24"/>
        </w:rPr>
        <w:t>Key words:</w:t>
      </w:r>
      <w:r>
        <w:rPr>
          <w:rFonts w:ascii="Times New Roman" w:hAnsi="Times New Roman" w:cs="Times New Roman"/>
          <w:sz w:val="24"/>
          <w:szCs w:val="24"/>
        </w:rPr>
        <w:t xml:space="preserve"> </w:t>
      </w:r>
      <w:r w:rsidRPr="000F604D">
        <w:rPr>
          <w:rFonts w:ascii="Times New Roman" w:hAnsi="Times New Roman" w:cs="Times New Roman"/>
          <w:sz w:val="24"/>
          <w:szCs w:val="24"/>
        </w:rPr>
        <w:t>Bambara groundnut</w:t>
      </w:r>
      <w:r>
        <w:rPr>
          <w:rFonts w:ascii="Times New Roman" w:hAnsi="Times New Roman" w:cs="Times New Roman"/>
          <w:sz w:val="24"/>
          <w:szCs w:val="24"/>
        </w:rPr>
        <w:t>,</w:t>
      </w:r>
      <w:r w:rsidRPr="000F604D">
        <w:rPr>
          <w:rFonts w:ascii="Times New Roman" w:hAnsi="Times New Roman" w:cs="Times New Roman"/>
          <w:sz w:val="24"/>
          <w:szCs w:val="24"/>
        </w:rPr>
        <w:t> </w:t>
      </w:r>
      <w:r w:rsidRPr="000F604D">
        <w:rPr>
          <w:rFonts w:ascii="Times New Roman" w:hAnsi="Times New Roman" w:cs="Times New Roman"/>
          <w:i/>
          <w:iCs/>
          <w:sz w:val="24"/>
          <w:szCs w:val="24"/>
        </w:rPr>
        <w:t>Vigna subterranea</w:t>
      </w:r>
      <w:r>
        <w:rPr>
          <w:rFonts w:ascii="Times New Roman" w:hAnsi="Times New Roman" w:cs="Times New Roman"/>
          <w:sz w:val="24"/>
          <w:szCs w:val="24"/>
        </w:rPr>
        <w:t>,</w:t>
      </w:r>
      <w:r w:rsidRPr="000F604D">
        <w:rPr>
          <w:rFonts w:ascii="Times New Roman" w:hAnsi="Times New Roman" w:cs="Times New Roman"/>
          <w:sz w:val="24"/>
          <w:szCs w:val="24"/>
        </w:rPr>
        <w:t xml:space="preserve"> Drought stress</w:t>
      </w:r>
      <w:r>
        <w:rPr>
          <w:rFonts w:ascii="Times New Roman" w:hAnsi="Times New Roman" w:cs="Times New Roman"/>
          <w:sz w:val="24"/>
          <w:szCs w:val="24"/>
        </w:rPr>
        <w:t>,</w:t>
      </w:r>
      <w:r w:rsidRPr="000F604D">
        <w:rPr>
          <w:rFonts w:ascii="Times New Roman" w:hAnsi="Times New Roman" w:cs="Times New Roman"/>
          <w:sz w:val="24"/>
          <w:szCs w:val="24"/>
        </w:rPr>
        <w:t xml:space="preserve"> </w:t>
      </w:r>
      <w:r w:rsidRPr="00837C85">
        <w:rPr>
          <w:rFonts w:ascii="Times New Roman" w:hAnsi="Times New Roman" w:cs="Times New Roman"/>
          <w:i/>
          <w:iCs/>
          <w:sz w:val="24"/>
          <w:szCs w:val="24"/>
        </w:rPr>
        <w:t>Arbuscular mycorrhizal fungi</w:t>
      </w:r>
      <w:r>
        <w:rPr>
          <w:rFonts w:ascii="Times New Roman" w:hAnsi="Times New Roman" w:cs="Times New Roman"/>
          <w:sz w:val="24"/>
          <w:szCs w:val="24"/>
        </w:rPr>
        <w:t>,</w:t>
      </w:r>
      <w:r w:rsidRPr="000F604D">
        <w:rPr>
          <w:rFonts w:ascii="Times New Roman" w:hAnsi="Times New Roman" w:cs="Times New Roman"/>
          <w:sz w:val="24"/>
          <w:szCs w:val="24"/>
        </w:rPr>
        <w:t> </w:t>
      </w:r>
      <w:proofErr w:type="spellStart"/>
      <w:r w:rsidRPr="000F604D">
        <w:rPr>
          <w:rFonts w:ascii="Times New Roman" w:hAnsi="Times New Roman" w:cs="Times New Roman"/>
          <w:i/>
          <w:iCs/>
          <w:sz w:val="24"/>
          <w:szCs w:val="24"/>
        </w:rPr>
        <w:t>Calopogonium</w:t>
      </w:r>
      <w:proofErr w:type="spellEnd"/>
      <w:r w:rsidRPr="000F604D">
        <w:rPr>
          <w:rFonts w:ascii="Times New Roman" w:hAnsi="Times New Roman" w:cs="Times New Roman"/>
          <w:i/>
          <w:iCs/>
          <w:sz w:val="24"/>
          <w:szCs w:val="24"/>
        </w:rPr>
        <w:t xml:space="preserve"> </w:t>
      </w:r>
      <w:proofErr w:type="spellStart"/>
      <w:r w:rsidRPr="000F604D">
        <w:rPr>
          <w:rFonts w:ascii="Times New Roman" w:hAnsi="Times New Roman" w:cs="Times New Roman"/>
          <w:i/>
          <w:iCs/>
          <w:sz w:val="24"/>
          <w:szCs w:val="24"/>
        </w:rPr>
        <w:t>mucunoides</w:t>
      </w:r>
      <w:proofErr w:type="spellEnd"/>
      <w:r>
        <w:rPr>
          <w:rFonts w:ascii="Times New Roman" w:hAnsi="Times New Roman" w:cs="Times New Roman"/>
          <w:sz w:val="24"/>
          <w:szCs w:val="24"/>
        </w:rPr>
        <w:t>,</w:t>
      </w:r>
      <w:r w:rsidRPr="000F604D">
        <w:rPr>
          <w:rFonts w:ascii="Times New Roman" w:hAnsi="Times New Roman" w:cs="Times New Roman"/>
          <w:sz w:val="24"/>
          <w:szCs w:val="24"/>
        </w:rPr>
        <w:t xml:space="preserve"> Petiole length</w:t>
      </w:r>
      <w:r>
        <w:rPr>
          <w:rFonts w:ascii="Times New Roman" w:hAnsi="Times New Roman" w:cs="Times New Roman"/>
          <w:sz w:val="24"/>
          <w:szCs w:val="24"/>
        </w:rPr>
        <w:t>,</w:t>
      </w:r>
      <w:r w:rsidRPr="000F604D">
        <w:rPr>
          <w:rFonts w:ascii="Times New Roman" w:hAnsi="Times New Roman" w:cs="Times New Roman"/>
          <w:sz w:val="24"/>
          <w:szCs w:val="24"/>
        </w:rPr>
        <w:t xml:space="preserve"> Drought tolerance.</w:t>
      </w:r>
    </w:p>
    <w:p w14:paraId="30FB6D50" w14:textId="77777777" w:rsidR="000D0A90" w:rsidRPr="00994ECE" w:rsidRDefault="000D0A90" w:rsidP="00C92B57">
      <w:pPr>
        <w:spacing w:after="0" w:line="240" w:lineRule="auto"/>
        <w:jc w:val="both"/>
        <w:rPr>
          <w:rFonts w:ascii="Times New Roman" w:hAnsi="Times New Roman" w:cs="Times New Roman"/>
          <w:bCs/>
          <w:sz w:val="24"/>
          <w:szCs w:val="24"/>
        </w:rPr>
      </w:pPr>
    </w:p>
    <w:p w14:paraId="389D6EDA" w14:textId="77777777" w:rsidR="004B678A" w:rsidRDefault="004B678A" w:rsidP="004C415A">
      <w:pPr>
        <w:spacing w:line="480" w:lineRule="auto"/>
        <w:jc w:val="both"/>
        <w:rPr>
          <w:rFonts w:ascii="Times New Roman" w:hAnsi="Times New Roman" w:cs="Times New Roman"/>
          <w:b/>
          <w:bCs/>
          <w:sz w:val="24"/>
          <w:szCs w:val="24"/>
        </w:rPr>
      </w:pPr>
    </w:p>
    <w:p w14:paraId="0AB28467" w14:textId="77777777" w:rsidR="00C92B57" w:rsidRDefault="00C92B57" w:rsidP="004C415A">
      <w:pPr>
        <w:spacing w:line="480" w:lineRule="auto"/>
        <w:jc w:val="both"/>
        <w:rPr>
          <w:rFonts w:ascii="Times New Roman" w:hAnsi="Times New Roman" w:cs="Times New Roman"/>
          <w:b/>
          <w:bCs/>
          <w:sz w:val="24"/>
          <w:szCs w:val="24"/>
        </w:rPr>
      </w:pPr>
    </w:p>
    <w:p w14:paraId="7D8E29C6" w14:textId="77777777" w:rsidR="00C92B57" w:rsidRDefault="00C92B57" w:rsidP="004C415A">
      <w:pPr>
        <w:spacing w:line="480" w:lineRule="auto"/>
        <w:jc w:val="both"/>
        <w:rPr>
          <w:rFonts w:ascii="Times New Roman" w:hAnsi="Times New Roman" w:cs="Times New Roman"/>
          <w:b/>
          <w:bCs/>
          <w:sz w:val="24"/>
          <w:szCs w:val="24"/>
        </w:rPr>
      </w:pPr>
    </w:p>
    <w:p w14:paraId="51E58046" w14:textId="77777777" w:rsidR="00C92B57" w:rsidRDefault="00C92B57" w:rsidP="004C415A">
      <w:pPr>
        <w:spacing w:line="480" w:lineRule="auto"/>
        <w:jc w:val="both"/>
        <w:rPr>
          <w:rFonts w:ascii="Times New Roman" w:hAnsi="Times New Roman" w:cs="Times New Roman"/>
          <w:b/>
          <w:bCs/>
          <w:sz w:val="24"/>
          <w:szCs w:val="24"/>
        </w:rPr>
      </w:pPr>
    </w:p>
    <w:p w14:paraId="6C76D445" w14:textId="77777777" w:rsidR="00C92B57" w:rsidRDefault="00C92B57" w:rsidP="004C415A">
      <w:pPr>
        <w:spacing w:line="480" w:lineRule="auto"/>
        <w:jc w:val="both"/>
        <w:rPr>
          <w:rFonts w:ascii="Times New Roman" w:hAnsi="Times New Roman" w:cs="Times New Roman"/>
          <w:b/>
          <w:bCs/>
          <w:sz w:val="24"/>
          <w:szCs w:val="24"/>
        </w:rPr>
      </w:pPr>
    </w:p>
    <w:p w14:paraId="25BA48EA" w14:textId="77777777" w:rsidR="00C92B57" w:rsidRDefault="00C92B57" w:rsidP="004C415A">
      <w:pPr>
        <w:spacing w:line="480" w:lineRule="auto"/>
        <w:jc w:val="both"/>
        <w:rPr>
          <w:rFonts w:ascii="Times New Roman" w:hAnsi="Times New Roman" w:cs="Times New Roman"/>
          <w:b/>
          <w:bCs/>
          <w:sz w:val="24"/>
          <w:szCs w:val="24"/>
        </w:rPr>
      </w:pPr>
    </w:p>
    <w:p w14:paraId="768BF792" w14:textId="77777777" w:rsidR="004C415A" w:rsidRPr="000A2529" w:rsidRDefault="004C415A" w:rsidP="004C415A">
      <w:pPr>
        <w:spacing w:line="480" w:lineRule="auto"/>
        <w:jc w:val="both"/>
        <w:rPr>
          <w:rFonts w:ascii="Times New Roman" w:hAnsi="Times New Roman" w:cs="Times New Roman"/>
          <w:b/>
          <w:bCs/>
          <w:sz w:val="24"/>
          <w:szCs w:val="24"/>
        </w:rPr>
      </w:pPr>
      <w:r w:rsidRPr="000A2529">
        <w:rPr>
          <w:rFonts w:ascii="Times New Roman" w:hAnsi="Times New Roman" w:cs="Times New Roman"/>
          <w:b/>
          <w:bCs/>
          <w:sz w:val="24"/>
          <w:szCs w:val="24"/>
        </w:rPr>
        <w:lastRenderedPageBreak/>
        <w:t>Introduction</w:t>
      </w:r>
    </w:p>
    <w:p w14:paraId="72A58F93"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Bambara groundnut (</w:t>
      </w:r>
      <w:r w:rsidRPr="007D7A5A">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is an important leguminous crop with significant nutritional and agricultural value. </w:t>
      </w:r>
      <w:r w:rsidRPr="007D7A5A">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(L.) </w:t>
      </w:r>
      <w:proofErr w:type="spellStart"/>
      <w:r w:rsidRPr="000A2529">
        <w:rPr>
          <w:rFonts w:ascii="Times New Roman" w:hAnsi="Times New Roman" w:cs="Times New Roman"/>
          <w:sz w:val="24"/>
          <w:szCs w:val="24"/>
        </w:rPr>
        <w:t>Verdc</w:t>
      </w:r>
      <w:proofErr w:type="spellEnd"/>
      <w:r w:rsidRPr="000A2529">
        <w:rPr>
          <w:rFonts w:ascii="Times New Roman" w:hAnsi="Times New Roman" w:cs="Times New Roman"/>
          <w:sz w:val="24"/>
          <w:szCs w:val="24"/>
        </w:rPr>
        <w:t xml:space="preserve"> is an indigenous African crop that has been cultivated for centuries from the Sahara to South Africa (</w:t>
      </w:r>
      <w:proofErr w:type="spellStart"/>
      <w:r w:rsidRPr="000A2529">
        <w:rPr>
          <w:rFonts w:ascii="Times New Roman" w:hAnsi="Times New Roman" w:cs="Times New Roman"/>
          <w:sz w:val="24"/>
          <w:szCs w:val="24"/>
        </w:rPr>
        <w:t>Nwanna</w:t>
      </w:r>
      <w:proofErr w:type="spellEnd"/>
      <w:r w:rsidRPr="000A2529">
        <w:rPr>
          <w:rFonts w:ascii="Times New Roman" w:hAnsi="Times New Roman" w:cs="Times New Roman"/>
          <w:sz w:val="24"/>
          <w:szCs w:val="24"/>
        </w:rPr>
        <w:t xml:space="preserv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2005</w:t>
      </w:r>
      <w:r w:rsidR="003A1DBE">
        <w:rPr>
          <w:rFonts w:ascii="Times New Roman" w:hAnsi="Times New Roman" w:cs="Times New Roman"/>
          <w:sz w:val="24"/>
          <w:szCs w:val="24"/>
        </w:rPr>
        <w:t>)</w:t>
      </w:r>
      <w:r w:rsidRPr="000A2529">
        <w:rPr>
          <w:rFonts w:ascii="Times New Roman" w:hAnsi="Times New Roman" w:cs="Times New Roman"/>
          <w:sz w:val="24"/>
          <w:szCs w:val="24"/>
        </w:rPr>
        <w:t xml:space="preserve">. Bambara groundnut is a member of the Fabaceae family and the </w:t>
      </w:r>
      <w:proofErr w:type="spellStart"/>
      <w:r w:rsidRPr="000A2529">
        <w:rPr>
          <w:rFonts w:ascii="Times New Roman" w:hAnsi="Times New Roman" w:cs="Times New Roman"/>
          <w:sz w:val="24"/>
          <w:szCs w:val="24"/>
        </w:rPr>
        <w:t>Papilionoideae</w:t>
      </w:r>
      <w:proofErr w:type="spellEnd"/>
      <w:r w:rsidRPr="000A2529">
        <w:rPr>
          <w:rFonts w:ascii="Times New Roman" w:hAnsi="Times New Roman" w:cs="Times New Roman"/>
          <w:sz w:val="24"/>
          <w:szCs w:val="24"/>
        </w:rPr>
        <w:t xml:space="preserve"> subfamily, and is regarded as the third most important grain legume in semi-arid Africa, following groundnut and cowpea (</w:t>
      </w:r>
      <w:proofErr w:type="spellStart"/>
      <w:r w:rsidRPr="000A2529">
        <w:rPr>
          <w:rFonts w:ascii="Times New Roman" w:hAnsi="Times New Roman" w:cs="Times New Roman"/>
          <w:sz w:val="24"/>
          <w:szCs w:val="24"/>
        </w:rPr>
        <w:t>Sellschope</w:t>
      </w:r>
      <w:proofErr w:type="spellEnd"/>
      <w:r w:rsidR="00C92B57">
        <w:rPr>
          <w:rFonts w:ascii="Times New Roman" w:hAnsi="Times New Roman" w:cs="Times New Roman"/>
          <w:sz w:val="24"/>
          <w:szCs w:val="24"/>
        </w:rPr>
        <w:t>,</w:t>
      </w:r>
      <w:r w:rsidRPr="000A2529">
        <w:rPr>
          <w:rFonts w:ascii="Times New Roman" w:hAnsi="Times New Roman" w:cs="Times New Roman"/>
          <w:sz w:val="24"/>
          <w:szCs w:val="24"/>
        </w:rPr>
        <w:t xml:space="preserve"> 1962). The crop is </w:t>
      </w:r>
      <w:r>
        <w:rPr>
          <w:rFonts w:ascii="Times New Roman" w:hAnsi="Times New Roman" w:cs="Times New Roman"/>
          <w:sz w:val="24"/>
          <w:szCs w:val="24"/>
          <w:highlight w:val="yellow"/>
        </w:rPr>
        <w:t>cultivated mainly</w:t>
      </w:r>
      <w:r>
        <w:rPr>
          <w:rFonts w:ascii="Times New Roman" w:hAnsi="Times New Roman" w:cs="Times New Roman"/>
          <w:sz w:val="24"/>
          <w:szCs w:val="24"/>
        </w:rPr>
        <w:t xml:space="preserve"> for its seeds which are produced in pods under the ground (Abejide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xml:space="preserve">., 2017). It is known to be </w:t>
      </w:r>
      <w:r>
        <w:rPr>
          <w:rFonts w:ascii="Times New Roman" w:hAnsi="Times New Roman" w:cs="Times New Roman"/>
          <w:sz w:val="24"/>
          <w:szCs w:val="24"/>
          <w:highlight w:val="yellow"/>
        </w:rPr>
        <w:t>drought- and pest-tolerant</w:t>
      </w:r>
      <w:r>
        <w:rPr>
          <w:rFonts w:ascii="Times New Roman" w:hAnsi="Times New Roman" w:cs="Times New Roman"/>
          <w:sz w:val="24"/>
          <w:szCs w:val="24"/>
        </w:rPr>
        <w:t xml:space="preserve"> (Berchie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xml:space="preserve">., 2012; </w:t>
      </w:r>
      <w:proofErr w:type="spellStart"/>
      <w:r w:rsidRPr="000A2529">
        <w:rPr>
          <w:rFonts w:ascii="Times New Roman" w:hAnsi="Times New Roman" w:cs="Times New Roman"/>
          <w:sz w:val="24"/>
          <w:szCs w:val="24"/>
          <w:highlight w:val="yellow"/>
        </w:rPr>
        <w:t>Tweneboah</w:t>
      </w:r>
      <w:proofErr w:type="spellEnd"/>
      <w:r w:rsidRPr="000A2529">
        <w:rPr>
          <w:rFonts w:ascii="Times New Roman" w:hAnsi="Times New Roman" w:cs="Times New Roman"/>
          <w:sz w:val="24"/>
          <w:szCs w:val="24"/>
          <w:highlight w:val="yellow"/>
        </w:rPr>
        <w:t>, 2000</w:t>
      </w:r>
      <w:r w:rsidRPr="000A2529">
        <w:rPr>
          <w:rFonts w:ascii="Times New Roman" w:hAnsi="Times New Roman" w:cs="Times New Roman"/>
          <w:sz w:val="24"/>
          <w:szCs w:val="24"/>
        </w:rPr>
        <w:t xml:space="preserve">) </w:t>
      </w:r>
      <w:r>
        <w:rPr>
          <w:rFonts w:ascii="Times New Roman" w:hAnsi="Times New Roman" w:cs="Times New Roman"/>
          <w:sz w:val="24"/>
          <w:szCs w:val="24"/>
          <w:highlight w:val="yellow"/>
        </w:rPr>
        <w:t>and produces</w:t>
      </w:r>
      <w:r>
        <w:rPr>
          <w:rFonts w:ascii="Times New Roman" w:hAnsi="Times New Roman" w:cs="Times New Roman"/>
          <w:sz w:val="24"/>
          <w:szCs w:val="24"/>
        </w:rPr>
        <w:t xml:space="preserve"> a reasonable yield when grown under poor soil conditions (Messiaen, 1992).</w:t>
      </w:r>
    </w:p>
    <w:p w14:paraId="5481FE33"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Bambara groundnut remains the third most important legume in </w:t>
      </w:r>
      <w:r>
        <w:rPr>
          <w:rFonts w:ascii="Times New Roman" w:hAnsi="Times New Roman" w:cs="Times New Roman"/>
          <w:sz w:val="24"/>
          <w:szCs w:val="24"/>
          <w:highlight w:val="yellow"/>
        </w:rPr>
        <w:t>semi-arid</w:t>
      </w:r>
      <w:r>
        <w:rPr>
          <w:rFonts w:ascii="Times New Roman" w:hAnsi="Times New Roman" w:cs="Times New Roman"/>
          <w:sz w:val="24"/>
          <w:szCs w:val="24"/>
        </w:rPr>
        <w:t xml:space="preserve"> Africa in terms of nutrition, consumption, and socioeconomic impact, behind peanut (</w:t>
      </w:r>
      <w:r>
        <w:rPr>
          <w:rFonts w:ascii="Times New Roman" w:hAnsi="Times New Roman" w:cs="Times New Roman"/>
          <w:i/>
          <w:sz w:val="24"/>
          <w:szCs w:val="24"/>
          <w:highlight w:val="yellow"/>
        </w:rPr>
        <w:t>Arachis hypogaea</w:t>
      </w:r>
      <w:r>
        <w:rPr>
          <w:rFonts w:ascii="Times New Roman" w:hAnsi="Times New Roman" w:cs="Times New Roman"/>
          <w:sz w:val="24"/>
          <w:szCs w:val="24"/>
        </w:rPr>
        <w:t xml:space="preserve">), </w:t>
      </w:r>
      <w:r w:rsidR="008C700C" w:rsidRPr="000A2529">
        <w:rPr>
          <w:rFonts w:ascii="Times New Roman" w:hAnsi="Times New Roman" w:cs="Times New Roman"/>
          <w:sz w:val="24"/>
          <w:szCs w:val="24"/>
          <w:highlight w:val="yellow"/>
        </w:rPr>
        <w:t>soybean (</w:t>
      </w:r>
      <w:r>
        <w:rPr>
          <w:rFonts w:ascii="Times New Roman" w:hAnsi="Times New Roman" w:cs="Times New Roman"/>
          <w:i/>
          <w:sz w:val="24"/>
          <w:szCs w:val="24"/>
        </w:rPr>
        <w:t>Glycine max</w:t>
      </w:r>
      <w:r>
        <w:rPr>
          <w:rFonts w:ascii="Times New Roman" w:hAnsi="Times New Roman" w:cs="Times New Roman"/>
          <w:sz w:val="24"/>
          <w:szCs w:val="24"/>
        </w:rPr>
        <w:t>), and cowpea (</w:t>
      </w:r>
      <w:r w:rsidRPr="007D7A5A">
        <w:rPr>
          <w:rFonts w:ascii="Times New Roman" w:hAnsi="Times New Roman" w:cs="Times New Roman"/>
          <w:i/>
          <w:iCs/>
          <w:sz w:val="24"/>
          <w:szCs w:val="24"/>
        </w:rPr>
        <w:t>Vigna unguiculata</w:t>
      </w:r>
      <w:r w:rsidRPr="000A2529">
        <w:rPr>
          <w:rFonts w:ascii="Times New Roman" w:hAnsi="Times New Roman" w:cs="Times New Roman"/>
          <w:sz w:val="24"/>
          <w:szCs w:val="24"/>
        </w:rPr>
        <w:t xml:space="preserve">) </w:t>
      </w:r>
      <w:r w:rsidR="008457BA">
        <w:rPr>
          <w:rFonts w:ascii="Times New Roman" w:hAnsi="Times New Roman" w:cs="Times New Roman"/>
          <w:sz w:val="24"/>
          <w:szCs w:val="24"/>
        </w:rPr>
        <w:t>(</w:t>
      </w:r>
      <w:r>
        <w:rPr>
          <w:rFonts w:ascii="Times New Roman" w:hAnsi="Times New Roman" w:cs="Times New Roman"/>
          <w:sz w:val="24"/>
          <w:szCs w:val="24"/>
          <w:highlight w:val="yellow"/>
        </w:rPr>
        <w:t xml:space="preserve">Dada </w:t>
      </w:r>
      <w:r>
        <w:rPr>
          <w:rFonts w:ascii="Times New Roman" w:hAnsi="Times New Roman" w:cs="Times New Roman"/>
          <w:i/>
          <w:iCs/>
          <w:sz w:val="24"/>
          <w:szCs w:val="24"/>
          <w:highlight w:val="yellow"/>
        </w:rPr>
        <w:t>et al.</w:t>
      </w:r>
      <w:r>
        <w:rPr>
          <w:rFonts w:ascii="Times New Roman" w:hAnsi="Times New Roman" w:cs="Times New Roman"/>
          <w:sz w:val="24"/>
          <w:szCs w:val="24"/>
          <w:highlight w:val="yellow"/>
        </w:rPr>
        <w:t>, 2024</w:t>
      </w:r>
      <w:r w:rsidR="003A1DBE">
        <w:rPr>
          <w:rFonts w:ascii="Times New Roman" w:hAnsi="Times New Roman" w:cs="Times New Roman"/>
          <w:sz w:val="24"/>
          <w:szCs w:val="24"/>
        </w:rPr>
        <w:t>)</w:t>
      </w:r>
      <w:r>
        <w:rPr>
          <w:highlight w:val="yellow"/>
        </w:rPr>
        <w:t>.</w:t>
      </w:r>
    </w:p>
    <w:p w14:paraId="1A01D7DA"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Bambara groundnut seeds are rich in protein and essential amino acids and are commonly used to complement cereal-based diets, which are often deficient in nitrogenous compounds. The crop is also a good source of </w:t>
      </w:r>
      <w:proofErr w:type="spellStart"/>
      <w:r w:rsidRPr="000A2529">
        <w:rPr>
          <w:rFonts w:ascii="Times New Roman" w:hAnsi="Times New Roman" w:cs="Times New Roman"/>
          <w:sz w:val="24"/>
          <w:szCs w:val="24"/>
        </w:rPr>
        <w:t>fibre</w:t>
      </w:r>
      <w:proofErr w:type="spellEnd"/>
      <w:r w:rsidRPr="000A2529">
        <w:rPr>
          <w:rFonts w:ascii="Times New Roman" w:hAnsi="Times New Roman" w:cs="Times New Roman"/>
          <w:sz w:val="24"/>
          <w:szCs w:val="24"/>
          <w:highlight w:val="yellow"/>
        </w:rPr>
        <w:t xml:space="preserve">, calcium, iron and potassium (Hillocks </w:t>
      </w:r>
      <w:r w:rsidRPr="000A2529">
        <w:rPr>
          <w:rFonts w:ascii="Times New Roman" w:hAnsi="Times New Roman" w:cs="Times New Roman"/>
          <w:i/>
          <w:iCs/>
          <w:sz w:val="24"/>
          <w:szCs w:val="24"/>
          <w:highlight w:val="yellow"/>
        </w:rPr>
        <w:t>et al.</w:t>
      </w:r>
      <w:r w:rsidRPr="000A2529">
        <w:rPr>
          <w:rFonts w:ascii="Times New Roman" w:hAnsi="Times New Roman" w:cs="Times New Roman"/>
          <w:sz w:val="24"/>
          <w:szCs w:val="24"/>
          <w:highlight w:val="yellow"/>
        </w:rPr>
        <w:t xml:space="preserve">, 2012). Its leaves, which are rich in phosphorus, are used as livestock feed, while the seeds can be fed to pigs and poultry and the leafy stems used as fodder (Majola </w:t>
      </w:r>
      <w:r w:rsidRPr="000A2529">
        <w:rPr>
          <w:rFonts w:ascii="Times New Roman" w:hAnsi="Times New Roman" w:cs="Times New Roman"/>
          <w:i/>
          <w:iCs/>
          <w:sz w:val="24"/>
          <w:szCs w:val="24"/>
          <w:highlight w:val="yellow"/>
        </w:rPr>
        <w:t>et al.</w:t>
      </w:r>
      <w:r w:rsidRPr="000A2529">
        <w:rPr>
          <w:rFonts w:ascii="Times New Roman" w:hAnsi="Times New Roman" w:cs="Times New Roman"/>
          <w:sz w:val="24"/>
          <w:szCs w:val="24"/>
          <w:highlight w:val="yellow"/>
        </w:rPr>
        <w:t xml:space="preserve">, 2021). Bambara groundnut is mainly cultivated for its underground seeds, which can be consumed as a dry vegetable or combined with maize and plantain (Brink </w:t>
      </w:r>
      <w:r w:rsidRPr="000A2529">
        <w:rPr>
          <w:rFonts w:ascii="Times New Roman" w:hAnsi="Times New Roman" w:cs="Times New Roman"/>
          <w:i/>
          <w:iCs/>
          <w:sz w:val="24"/>
          <w:szCs w:val="24"/>
          <w:highlight w:val="yellow"/>
        </w:rPr>
        <w:t>et al.</w:t>
      </w:r>
      <w:r w:rsidRPr="000A2529">
        <w:rPr>
          <w:rFonts w:ascii="Times New Roman" w:hAnsi="Times New Roman" w:cs="Times New Roman"/>
          <w:sz w:val="24"/>
          <w:szCs w:val="24"/>
          <w:highlight w:val="yellow"/>
        </w:rPr>
        <w:t>, 2006).</w:t>
      </w:r>
    </w:p>
    <w:p w14:paraId="53C27A32" w14:textId="77777777" w:rsidR="004C415A" w:rsidRPr="000A2529" w:rsidRDefault="004C415A" w:rsidP="004C769E">
      <w:pPr>
        <w:spacing w:line="480" w:lineRule="auto"/>
        <w:jc w:val="both"/>
        <w:rPr>
          <w:rFonts w:ascii="Times New Roman" w:hAnsi="Times New Roman" w:cs="Times New Roman"/>
          <w:sz w:val="24"/>
          <w:szCs w:val="24"/>
        </w:rPr>
      </w:pPr>
      <w:r w:rsidRPr="00C92B57">
        <w:rPr>
          <w:rFonts w:ascii="Times New Roman" w:hAnsi="Times New Roman" w:cs="Times New Roman"/>
          <w:i/>
          <w:iCs/>
          <w:sz w:val="24"/>
          <w:szCs w:val="24"/>
        </w:rPr>
        <w:t>Vigna subterranea</w:t>
      </w:r>
      <w:r>
        <w:rPr>
          <w:rFonts w:ascii="Times New Roman" w:hAnsi="Times New Roman" w:cs="Times New Roman"/>
          <w:sz w:val="24"/>
          <w:szCs w:val="24"/>
          <w:highlight w:val="yellow"/>
        </w:rPr>
        <w:t xml:space="preserve"> is a herbaceous</w:t>
      </w:r>
      <w:r>
        <w:rPr>
          <w:rFonts w:ascii="Times New Roman" w:hAnsi="Times New Roman" w:cs="Times New Roman"/>
          <w:sz w:val="24"/>
          <w:szCs w:val="24"/>
        </w:rPr>
        <w:t xml:space="preserve"> annual legume with creeping stems at ground level. It grows to approximately 0.25 – 0.37 m and has compound leaves made up of three leaflets with </w:t>
      </w:r>
      <w:r>
        <w:rPr>
          <w:rFonts w:ascii="Times New Roman" w:hAnsi="Times New Roman" w:cs="Times New Roman"/>
          <w:sz w:val="24"/>
          <w:szCs w:val="24"/>
          <w:highlight w:val="yellow"/>
        </w:rPr>
        <w:t>stipules about 3 mm long (Oyeyinka &amp; Ade-Omowaye, 2021)</w:t>
      </w:r>
      <w:r w:rsidRPr="000A2529">
        <w:rPr>
          <w:rFonts w:ascii="Times New Roman" w:hAnsi="Times New Roman" w:cs="Times New Roman"/>
          <w:sz w:val="24"/>
          <w:szCs w:val="24"/>
        </w:rPr>
        <w:t xml:space="preserve">. The plant produces flowers with a </w:t>
      </w:r>
      <w:r w:rsidRPr="000A2529">
        <w:rPr>
          <w:rFonts w:ascii="Times New Roman" w:hAnsi="Times New Roman" w:cs="Times New Roman"/>
          <w:sz w:val="24"/>
          <w:szCs w:val="24"/>
        </w:rPr>
        <w:lastRenderedPageBreak/>
        <w:t xml:space="preserve">tubular calyx and whitish-yellow corolla measuring about </w:t>
      </w:r>
      <w:r>
        <w:rPr>
          <w:rFonts w:ascii="Times New Roman" w:hAnsi="Times New Roman" w:cs="Times New Roman"/>
          <w:sz w:val="24"/>
          <w:szCs w:val="24"/>
          <w:highlight w:val="yellow"/>
        </w:rPr>
        <w:t>4–7 mm</w:t>
      </w:r>
      <w:r>
        <w:rPr>
          <w:rFonts w:ascii="Times New Roman" w:hAnsi="Times New Roman" w:cs="Times New Roman"/>
          <w:sz w:val="24"/>
          <w:szCs w:val="24"/>
        </w:rPr>
        <w:t>, while its fruit is an indehiscent pod of approximately 2.5 cm in diameter.</w:t>
      </w:r>
    </w:p>
    <w:p w14:paraId="66D6AC40"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Bambara groundnut is a drought-tolerant crop that places minimal demands on soil resources and is relatively resistant to diseases. It can grow successfully in nutrient-poor soils where many other crops would struggle to survive. The plant is </w:t>
      </w:r>
      <w:r>
        <w:rPr>
          <w:rFonts w:ascii="Times New Roman" w:hAnsi="Times New Roman" w:cs="Times New Roman"/>
          <w:sz w:val="24"/>
          <w:szCs w:val="24"/>
          <w:highlight w:val="yellow"/>
        </w:rPr>
        <w:t>characterised</w:t>
      </w:r>
      <w:r>
        <w:rPr>
          <w:rFonts w:ascii="Times New Roman" w:hAnsi="Times New Roman" w:cs="Times New Roman"/>
          <w:sz w:val="24"/>
          <w:szCs w:val="24"/>
        </w:rPr>
        <w:t xml:space="preserve"> as one of the most resilient pulses, capable of producing under conditions of high temperature and low rainfall that are unsuitable for the survival of many other pulse crops (Mayes </w:t>
      </w:r>
      <w:r>
        <w:rPr>
          <w:rFonts w:ascii="Times New Roman" w:hAnsi="Times New Roman" w:cs="Times New Roman"/>
          <w:i/>
          <w:iCs/>
          <w:sz w:val="24"/>
          <w:szCs w:val="24"/>
        </w:rPr>
        <w:t>et al.</w:t>
      </w:r>
      <w:r>
        <w:rPr>
          <w:rFonts w:ascii="Times New Roman" w:hAnsi="Times New Roman" w:cs="Times New Roman"/>
          <w:sz w:val="24"/>
          <w:szCs w:val="24"/>
        </w:rPr>
        <w:t>, 2019).</w:t>
      </w:r>
    </w:p>
    <w:p w14:paraId="549AF628"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highlight w:val="yellow"/>
        </w:rPr>
        <w:t xml:space="preserve">Soil texture influences water retention, aeration, nutrient availability and root development. Clay soils generally retain more water and nutrients, whereas sandy soils drain rapidly and may experience nutrient losses (Brady &amp; Weil, 2016). Soil pH affects nutrient availability, microbial activity and </w:t>
      </w:r>
      <w:r>
        <w:rPr>
          <w:rFonts w:ascii="Times New Roman" w:hAnsi="Times New Roman" w:cs="Times New Roman"/>
          <w:sz w:val="24"/>
          <w:szCs w:val="24"/>
          <w:highlight w:val="yellow"/>
        </w:rPr>
        <w:t>fertiliser</w:t>
      </w:r>
      <w:r>
        <w:rPr>
          <w:rFonts w:ascii="Times New Roman" w:hAnsi="Times New Roman" w:cs="Times New Roman"/>
          <w:sz w:val="24"/>
          <w:szCs w:val="24"/>
        </w:rPr>
        <w:t xml:space="preserve"> efficiency, with most crops performing well between pH 5.5 and 7.5. Acidic soils may reduce phosphorus availability and increase </w:t>
      </w:r>
      <w:proofErr w:type="spellStart"/>
      <w:r w:rsidRPr="000A2529">
        <w:rPr>
          <w:rFonts w:ascii="Times New Roman" w:hAnsi="Times New Roman" w:cs="Times New Roman"/>
          <w:sz w:val="24"/>
          <w:szCs w:val="24"/>
        </w:rPr>
        <w:t>aluminium</w:t>
      </w:r>
      <w:proofErr w:type="spellEnd"/>
      <w:r w:rsidRPr="000A2529">
        <w:rPr>
          <w:rFonts w:ascii="Times New Roman" w:hAnsi="Times New Roman" w:cs="Times New Roman"/>
          <w:sz w:val="24"/>
          <w:szCs w:val="24"/>
        </w:rPr>
        <w:t xml:space="preserve"> toxicity (</w:t>
      </w:r>
      <w:r w:rsidRPr="003A1DBE">
        <w:t xml:space="preserve">Food </w:t>
      </w:r>
      <w:r w:rsidRPr="00837C85">
        <w:rPr>
          <w:rFonts w:ascii="Times New Roman" w:hAnsi="Times New Roman" w:cs="Times New Roman"/>
        </w:rPr>
        <w:t>and Agriculture Organization</w:t>
      </w:r>
      <w:r w:rsidRPr="003A1DBE">
        <w:t>, 2006</w:t>
      </w:r>
      <w:r w:rsidRPr="000A2529">
        <w:rPr>
          <w:rFonts w:ascii="Times New Roman" w:hAnsi="Times New Roman" w:cs="Times New Roman"/>
          <w:sz w:val="24"/>
          <w:szCs w:val="24"/>
        </w:rPr>
        <w:t>).</w:t>
      </w:r>
    </w:p>
    <w:p w14:paraId="57E22D61"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Agricultural production is highly influenced by climatic conditions. Climate change, particularly fluctuations in temperature and irregular rainfall patterns, can limit plant growth and reduce crop yield (Yohannes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xml:space="preserve">, 2020; Billah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xml:space="preserve">, 2021; El Haddad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xml:space="preserve">, 2022). Water is essential for plant survival, photosynthesis and metabolic processes, and adequate water availability is necessary for maintaining normal plant growth and development (Tátrai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xml:space="preserve">, 2016). Drought is a physiological condition that occurs when soil water available to plants becomes insufficient, resulting in adverse effects on plant metabolism (Kumar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2018). Plants respond to drought through complex physiological and metabolic mechanisms that help them tolerate and adapt to water deficiency (</w:t>
      </w:r>
      <w:proofErr w:type="spellStart"/>
      <w:r w:rsidRPr="000A2529">
        <w:rPr>
          <w:rFonts w:ascii="Times New Roman" w:hAnsi="Times New Roman" w:cs="Times New Roman"/>
          <w:sz w:val="24"/>
          <w:szCs w:val="24"/>
        </w:rPr>
        <w:t>Pamungkas</w:t>
      </w:r>
      <w:proofErr w:type="spellEnd"/>
      <w:r w:rsidRPr="000A2529">
        <w:rPr>
          <w:rFonts w:ascii="Times New Roman" w:hAnsi="Times New Roman" w:cs="Times New Roman"/>
          <w:sz w:val="24"/>
          <w:szCs w:val="24"/>
        </w:rPr>
        <w:t xml:space="preserve">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xml:space="preserve">, 2022; Hossain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2020).</w:t>
      </w:r>
    </w:p>
    <w:p w14:paraId="1AF3BBB5"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Drought stress can adversely affect various physiological and growth processes in plants, resulting in significant changes in growth-related parameters. For example, reductions in leaf </w:t>
      </w:r>
      <w:r w:rsidRPr="000A2529">
        <w:rPr>
          <w:rFonts w:ascii="Times New Roman" w:hAnsi="Times New Roman" w:cs="Times New Roman"/>
          <w:sz w:val="24"/>
          <w:szCs w:val="24"/>
        </w:rPr>
        <w:lastRenderedPageBreak/>
        <w:t>area and dry matter production have been reported in groundnut (</w:t>
      </w:r>
      <w:r>
        <w:rPr>
          <w:rFonts w:ascii="Times New Roman" w:hAnsi="Times New Roman" w:cs="Times New Roman"/>
          <w:i/>
          <w:sz w:val="24"/>
          <w:szCs w:val="24"/>
        </w:rPr>
        <w:t>Arachis hypogaea</w:t>
      </w:r>
      <w:r>
        <w:rPr>
          <w:rFonts w:ascii="Times New Roman" w:hAnsi="Times New Roman" w:cs="Times New Roman"/>
          <w:sz w:val="24"/>
          <w:szCs w:val="24"/>
        </w:rPr>
        <w:t>) (</w:t>
      </w:r>
      <w:proofErr w:type="spellStart"/>
      <w:r w:rsidRPr="000A2529">
        <w:rPr>
          <w:rFonts w:ascii="Times New Roman" w:hAnsi="Times New Roman" w:cs="Times New Roman"/>
          <w:sz w:val="24"/>
          <w:szCs w:val="24"/>
        </w:rPr>
        <w:t>Collino</w:t>
      </w:r>
      <w:proofErr w:type="spellEnd"/>
      <w:r w:rsidRPr="000A2529">
        <w:rPr>
          <w:rFonts w:ascii="Times New Roman" w:hAnsi="Times New Roman" w:cs="Times New Roman"/>
          <w:sz w:val="24"/>
          <w:szCs w:val="24"/>
        </w:rPr>
        <w:t xml:space="preserve"> </w:t>
      </w:r>
      <w:r w:rsidRPr="008457BA">
        <w:rPr>
          <w:rFonts w:ascii="Times New Roman" w:hAnsi="Times New Roman" w:cs="Times New Roman"/>
          <w:i/>
          <w:iCs/>
          <w:sz w:val="24"/>
          <w:szCs w:val="24"/>
        </w:rPr>
        <w:t>et al</w:t>
      </w:r>
      <w:r>
        <w:rPr>
          <w:rFonts w:ascii="Times New Roman" w:hAnsi="Times New Roman" w:cs="Times New Roman"/>
          <w:sz w:val="24"/>
          <w:szCs w:val="24"/>
          <w:highlight w:val="yellow"/>
        </w:rPr>
        <w:t>., 2001)</w:t>
      </w:r>
      <w:r>
        <w:rPr>
          <w:rFonts w:ascii="Times New Roman" w:hAnsi="Times New Roman" w:cs="Times New Roman"/>
          <w:sz w:val="24"/>
          <w:szCs w:val="24"/>
        </w:rPr>
        <w:t>, cowpea (</w:t>
      </w:r>
      <w:r w:rsidRPr="00F14EE0">
        <w:rPr>
          <w:rFonts w:ascii="Times New Roman" w:hAnsi="Times New Roman" w:cs="Times New Roman"/>
          <w:i/>
          <w:iCs/>
          <w:sz w:val="24"/>
          <w:szCs w:val="24"/>
        </w:rPr>
        <w:t>Vigna unguiculata</w:t>
      </w:r>
      <w:r w:rsidRPr="000A2529">
        <w:rPr>
          <w:rFonts w:ascii="Times New Roman" w:hAnsi="Times New Roman" w:cs="Times New Roman"/>
          <w:sz w:val="24"/>
          <w:szCs w:val="24"/>
        </w:rPr>
        <w:t xml:space="preserve">) </w:t>
      </w:r>
      <w:r>
        <w:rPr>
          <w:rFonts w:ascii="Times New Roman" w:hAnsi="Times New Roman" w:cs="Times New Roman"/>
          <w:sz w:val="24"/>
          <w:szCs w:val="24"/>
          <w:highlight w:val="yellow"/>
        </w:rPr>
        <w:t>(Anyia &amp; Herzog, 2004)</w:t>
      </w:r>
      <w:r>
        <w:rPr>
          <w:rFonts w:ascii="Times New Roman" w:hAnsi="Times New Roman" w:cs="Times New Roman"/>
          <w:sz w:val="24"/>
          <w:szCs w:val="24"/>
        </w:rPr>
        <w:t>, and chickpea (</w:t>
      </w:r>
      <w:r>
        <w:rPr>
          <w:rFonts w:ascii="Times New Roman" w:hAnsi="Times New Roman" w:cs="Times New Roman"/>
          <w:i/>
          <w:sz w:val="24"/>
          <w:szCs w:val="24"/>
        </w:rPr>
        <w:t>Cicer arietinum</w:t>
      </w:r>
      <w:r>
        <w:rPr>
          <w:rFonts w:ascii="Times New Roman" w:hAnsi="Times New Roman" w:cs="Times New Roman"/>
          <w:sz w:val="24"/>
          <w:szCs w:val="24"/>
        </w:rPr>
        <w:t>) (Singh</w:t>
      </w:r>
      <w:r w:rsidR="003A1DBE">
        <w:rPr>
          <w:rFonts w:ascii="Times New Roman" w:hAnsi="Times New Roman" w:cs="Times New Roman"/>
          <w:sz w:val="24"/>
          <w:szCs w:val="24"/>
        </w:rPr>
        <w:t>,</w:t>
      </w:r>
      <w:r w:rsidRPr="000A2529">
        <w:rPr>
          <w:rFonts w:ascii="Times New Roman" w:hAnsi="Times New Roman" w:cs="Times New Roman"/>
          <w:sz w:val="24"/>
          <w:szCs w:val="24"/>
        </w:rPr>
        <w:t xml:space="preserve"> 1991). In addition, drought has been shown to negatively affect germination and early seedling </w:t>
      </w:r>
      <w:proofErr w:type="spellStart"/>
      <w:r w:rsidRPr="000A2529">
        <w:rPr>
          <w:rFonts w:ascii="Times New Roman" w:hAnsi="Times New Roman" w:cs="Times New Roman"/>
          <w:sz w:val="24"/>
          <w:szCs w:val="24"/>
        </w:rPr>
        <w:t>vigour</w:t>
      </w:r>
      <w:proofErr w:type="spellEnd"/>
      <w:r w:rsidRPr="000A2529">
        <w:rPr>
          <w:rFonts w:ascii="Times New Roman" w:hAnsi="Times New Roman" w:cs="Times New Roman"/>
          <w:sz w:val="24"/>
          <w:szCs w:val="24"/>
        </w:rPr>
        <w:t xml:space="preserve"> in pea (</w:t>
      </w:r>
      <w:r>
        <w:rPr>
          <w:rFonts w:ascii="Times New Roman" w:hAnsi="Times New Roman" w:cs="Times New Roman"/>
          <w:i/>
          <w:sz w:val="24"/>
          <w:szCs w:val="24"/>
        </w:rPr>
        <w:t>Pisum sativum</w:t>
      </w:r>
      <w:r>
        <w:rPr>
          <w:rFonts w:ascii="Times New Roman" w:hAnsi="Times New Roman" w:cs="Times New Roman"/>
          <w:sz w:val="24"/>
          <w:szCs w:val="24"/>
        </w:rPr>
        <w:t>) (</w:t>
      </w:r>
      <w:r w:rsidRPr="000A2529">
        <w:rPr>
          <w:rFonts w:ascii="Times New Roman" w:hAnsi="Times New Roman" w:cs="Times New Roman"/>
          <w:sz w:val="24"/>
          <w:szCs w:val="24"/>
        </w:rPr>
        <w:t xml:space="preserve">Okçu </w:t>
      </w:r>
      <w:r w:rsidRPr="000A2529">
        <w:rPr>
          <w:rFonts w:ascii="Times New Roman" w:hAnsi="Times New Roman" w:cs="Times New Roman"/>
          <w:i/>
          <w:iCs/>
          <w:sz w:val="24"/>
          <w:szCs w:val="24"/>
        </w:rPr>
        <w:t>et al.</w:t>
      </w:r>
      <w:r w:rsidRPr="000A2529">
        <w:rPr>
          <w:rFonts w:ascii="Times New Roman" w:hAnsi="Times New Roman" w:cs="Times New Roman"/>
          <w:sz w:val="24"/>
          <w:szCs w:val="24"/>
        </w:rPr>
        <w:t>, 2005</w:t>
      </w:r>
      <w:r>
        <w:rPr>
          <w:rFonts w:ascii="Times New Roman" w:hAnsi="Times New Roman" w:cs="Times New Roman"/>
          <w:sz w:val="24"/>
          <w:szCs w:val="24"/>
          <w:highlight w:val="yellow"/>
        </w:rPr>
        <w:t>)</w:t>
      </w:r>
      <w:r>
        <w:rPr>
          <w:rFonts w:ascii="Times New Roman" w:hAnsi="Times New Roman" w:cs="Times New Roman"/>
          <w:sz w:val="24"/>
          <w:szCs w:val="24"/>
        </w:rPr>
        <w:t xml:space="preserve">. Drought stress may occur at any stage of the crop life cycle and can exert considerable effects on plant development, although the reproductive and grain-filling stages are generally considered the most vulnerable (Blair </w:t>
      </w:r>
      <w:r w:rsidRPr="00FA225F">
        <w:rPr>
          <w:rFonts w:ascii="Times New Roman" w:hAnsi="Times New Roman" w:cs="Times New Roman"/>
          <w:i/>
          <w:iCs/>
          <w:sz w:val="24"/>
          <w:szCs w:val="24"/>
        </w:rPr>
        <w:t>et al</w:t>
      </w:r>
      <w:r>
        <w:rPr>
          <w:rFonts w:ascii="Times New Roman" w:hAnsi="Times New Roman" w:cs="Times New Roman"/>
          <w:sz w:val="24"/>
          <w:szCs w:val="24"/>
          <w:highlight w:val="yellow"/>
        </w:rPr>
        <w:t>., 2012)</w:t>
      </w:r>
      <w:r>
        <w:rPr>
          <w:rFonts w:ascii="Times New Roman" w:hAnsi="Times New Roman" w:cs="Times New Roman"/>
          <w:sz w:val="24"/>
          <w:szCs w:val="24"/>
        </w:rPr>
        <w:t>.</w:t>
      </w:r>
    </w:p>
    <w:p w14:paraId="1374BD96"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Drought stress arises when soil water availability becomes insufficient to meet plant water requirements, often exacerbated by increased water loss through transpiration and evaporation under high-temperature conditions. Although plants possess varying degrees of drought tolerance, their responses to water deficit differ among species and, importantly, among accessions within the same species (Jaleel </w:t>
      </w:r>
      <w:r w:rsidRPr="003F7E74">
        <w:rPr>
          <w:rFonts w:ascii="Times New Roman" w:hAnsi="Times New Roman" w:cs="Times New Roman"/>
          <w:i/>
          <w:iCs/>
          <w:sz w:val="24"/>
          <w:szCs w:val="24"/>
        </w:rPr>
        <w:t>et al</w:t>
      </w:r>
      <w:r w:rsidRPr="000A2529">
        <w:rPr>
          <w:rFonts w:ascii="Times New Roman" w:hAnsi="Times New Roman" w:cs="Times New Roman"/>
          <w:sz w:val="24"/>
          <w:szCs w:val="24"/>
        </w:rPr>
        <w:t xml:space="preserve">., 2007). Understanding these variations, particularly in main morphological and physiological traits, is essential for identifying </w:t>
      </w:r>
      <w:r>
        <w:rPr>
          <w:rFonts w:ascii="Times New Roman" w:hAnsi="Times New Roman" w:cs="Times New Roman"/>
          <w:i/>
          <w:sz w:val="24"/>
          <w:szCs w:val="24"/>
        </w:rPr>
        <w:t>Vigna subterranea</w:t>
      </w:r>
      <w:r>
        <w:rPr>
          <w:rFonts w:ascii="Times New Roman" w:hAnsi="Times New Roman" w:cs="Times New Roman"/>
          <w:sz w:val="24"/>
          <w:szCs w:val="24"/>
        </w:rPr>
        <w:t xml:space="preserve"> accessions with greater capacity to withstand water-limited conditions.</w:t>
      </w:r>
    </w:p>
    <w:p w14:paraId="7D58B22E" w14:textId="64BFD7F4" w:rsidR="00A81D66" w:rsidRPr="008773D2" w:rsidRDefault="004C415A">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The significant effects of drought stress on various plant species have prompted increased research into </w:t>
      </w:r>
      <w:r>
        <w:rPr>
          <w:rFonts w:ascii="Times New Roman" w:hAnsi="Times New Roman" w:cs="Times New Roman"/>
          <w:sz w:val="24"/>
          <w:szCs w:val="24"/>
          <w:highlight w:val="yellow"/>
        </w:rPr>
        <w:t>underutilised</w:t>
      </w:r>
      <w:r>
        <w:rPr>
          <w:rFonts w:ascii="Times New Roman" w:hAnsi="Times New Roman" w:cs="Times New Roman"/>
          <w:sz w:val="24"/>
          <w:szCs w:val="24"/>
        </w:rPr>
        <w:t xml:space="preserve"> crops, which have been reported to exhibit greater drought tolerance than major crop species. One such species is Bambara groundnut (</w:t>
      </w:r>
      <w:r w:rsidRPr="007504BC">
        <w:rPr>
          <w:rFonts w:ascii="Times New Roman" w:hAnsi="Times New Roman" w:cs="Times New Roman"/>
          <w:i/>
          <w:iCs/>
          <w:sz w:val="24"/>
          <w:szCs w:val="24"/>
        </w:rPr>
        <w:t>Vigna subterranea L</w:t>
      </w:r>
      <w:r w:rsidRPr="000A2529">
        <w:rPr>
          <w:rFonts w:ascii="Times New Roman" w:hAnsi="Times New Roman" w:cs="Times New Roman"/>
          <w:sz w:val="24"/>
          <w:szCs w:val="24"/>
        </w:rPr>
        <w:t xml:space="preserve">. </w:t>
      </w:r>
      <w:proofErr w:type="spellStart"/>
      <w:r w:rsidRPr="000A2529">
        <w:rPr>
          <w:rFonts w:ascii="Times New Roman" w:hAnsi="Times New Roman" w:cs="Times New Roman"/>
          <w:sz w:val="24"/>
          <w:szCs w:val="24"/>
        </w:rPr>
        <w:t>Verdc</w:t>
      </w:r>
      <w:proofErr w:type="spellEnd"/>
      <w:r w:rsidRPr="000A2529">
        <w:rPr>
          <w:rFonts w:ascii="Times New Roman" w:hAnsi="Times New Roman" w:cs="Times New Roman"/>
          <w:sz w:val="24"/>
          <w:szCs w:val="24"/>
        </w:rPr>
        <w:t>). Bambara groundnut exhibits several responses to drought stress, including a shortened vegetative period, earlier flowering, a reduced reproductive stage, and earlier final maturity under water-limited conditions (</w:t>
      </w:r>
      <w:proofErr w:type="spellStart"/>
      <w:r w:rsidRPr="000A2529">
        <w:rPr>
          <w:rFonts w:ascii="Times New Roman" w:hAnsi="Times New Roman" w:cs="Times New Roman"/>
          <w:sz w:val="24"/>
          <w:szCs w:val="24"/>
        </w:rPr>
        <w:t>Mabhaudhi</w:t>
      </w:r>
      <w:proofErr w:type="spellEnd"/>
      <w:r w:rsidRPr="000A2529">
        <w:rPr>
          <w:rFonts w:ascii="Times New Roman" w:hAnsi="Times New Roman" w:cs="Times New Roman"/>
          <w:sz w:val="24"/>
          <w:szCs w:val="24"/>
        </w:rPr>
        <w:t xml:space="preserve"> </w:t>
      </w:r>
      <w:r w:rsidRPr="003F7E74">
        <w:rPr>
          <w:rFonts w:ascii="Times New Roman" w:hAnsi="Times New Roman" w:cs="Times New Roman"/>
          <w:i/>
          <w:iCs/>
          <w:sz w:val="24"/>
          <w:szCs w:val="24"/>
        </w:rPr>
        <w:t>et al.</w:t>
      </w:r>
      <w:r>
        <w:rPr>
          <w:rFonts w:ascii="Times New Roman" w:hAnsi="Times New Roman" w:cs="Times New Roman"/>
          <w:sz w:val="24"/>
          <w:szCs w:val="24"/>
          <w:highlight w:val="yellow"/>
        </w:rPr>
        <w:t>, 2013)</w:t>
      </w:r>
      <w:r>
        <w:rPr>
          <w:rFonts w:ascii="Times New Roman" w:hAnsi="Times New Roman" w:cs="Times New Roman"/>
          <w:sz w:val="24"/>
          <w:szCs w:val="24"/>
        </w:rPr>
        <w:t>.</w:t>
      </w:r>
      <w:r w:rsidR="008773D2">
        <w:rPr>
          <w:rFonts w:ascii="Times New Roman" w:hAnsi="Times New Roman" w:cs="Times New Roman"/>
          <w:sz w:val="24"/>
          <w:szCs w:val="24"/>
        </w:rPr>
        <w:t xml:space="preserve"> </w:t>
      </w:r>
      <w:r w:rsidRPr="008773D2">
        <w:rPr>
          <w:rFonts w:ascii="Times New Roman" w:hAnsi="Times New Roman" w:cs="Times New Roman"/>
          <w:bCs/>
          <w:sz w:val="24"/>
          <w:szCs w:val="24"/>
          <w:highlight w:val="yellow"/>
        </w:rPr>
        <w:t xml:space="preserve">Recent studies have further shown that germination, early establishment, and drought-related responses in Bambara groundnut vary across genotypes and environmental conditions (Onimisi </w:t>
      </w:r>
      <w:r w:rsidRPr="008773D2">
        <w:rPr>
          <w:rFonts w:ascii="Times New Roman" w:hAnsi="Times New Roman" w:cs="Times New Roman"/>
          <w:bCs/>
          <w:i/>
          <w:iCs/>
          <w:sz w:val="24"/>
          <w:szCs w:val="24"/>
          <w:highlight w:val="yellow"/>
        </w:rPr>
        <w:t>et al.</w:t>
      </w:r>
      <w:r w:rsidRPr="008773D2">
        <w:rPr>
          <w:rFonts w:ascii="Times New Roman" w:hAnsi="Times New Roman" w:cs="Times New Roman"/>
          <w:bCs/>
          <w:sz w:val="24"/>
          <w:szCs w:val="24"/>
          <w:highlight w:val="yellow"/>
        </w:rPr>
        <w:t xml:space="preserve">, 2026; Odesola </w:t>
      </w:r>
      <w:r w:rsidRPr="008773D2">
        <w:rPr>
          <w:rFonts w:ascii="Times New Roman" w:hAnsi="Times New Roman" w:cs="Times New Roman"/>
          <w:bCs/>
          <w:i/>
          <w:iCs/>
          <w:sz w:val="24"/>
          <w:szCs w:val="24"/>
          <w:highlight w:val="yellow"/>
        </w:rPr>
        <w:t>et al.</w:t>
      </w:r>
      <w:r w:rsidRPr="008773D2">
        <w:rPr>
          <w:rFonts w:ascii="Times New Roman" w:hAnsi="Times New Roman" w:cs="Times New Roman"/>
          <w:bCs/>
          <w:sz w:val="24"/>
          <w:szCs w:val="24"/>
          <w:highlight w:val="yellow"/>
        </w:rPr>
        <w:t xml:space="preserve">, 2023; Gao </w:t>
      </w:r>
      <w:r w:rsidRPr="008773D2">
        <w:rPr>
          <w:rFonts w:ascii="Times New Roman" w:hAnsi="Times New Roman" w:cs="Times New Roman"/>
          <w:bCs/>
          <w:i/>
          <w:iCs/>
          <w:sz w:val="24"/>
          <w:szCs w:val="24"/>
          <w:highlight w:val="yellow"/>
        </w:rPr>
        <w:t>et al.</w:t>
      </w:r>
      <w:r w:rsidRPr="008773D2">
        <w:rPr>
          <w:rFonts w:ascii="Times New Roman" w:hAnsi="Times New Roman" w:cs="Times New Roman"/>
          <w:bCs/>
          <w:sz w:val="24"/>
          <w:szCs w:val="24"/>
          <w:highlight w:val="yellow"/>
        </w:rPr>
        <w:t>, 2023).</w:t>
      </w:r>
      <w:r w:rsidR="008773D2">
        <w:rPr>
          <w:rFonts w:ascii="Times New Roman" w:hAnsi="Times New Roman" w:cs="Times New Roman"/>
          <w:sz w:val="24"/>
          <w:szCs w:val="24"/>
        </w:rPr>
        <w:t xml:space="preserve"> </w:t>
      </w:r>
      <w:r w:rsidRPr="008773D2">
        <w:rPr>
          <w:rFonts w:ascii="Times New Roman" w:hAnsi="Times New Roman" w:cs="Times New Roman"/>
          <w:bCs/>
          <w:sz w:val="24"/>
          <w:szCs w:val="24"/>
          <w:highlight w:val="yellow"/>
        </w:rPr>
        <w:t xml:space="preserve">Biological inoculation has also been associated with improved drought-related physiological performance in Bambara groundnut, while arbuscular mycorrhizal </w:t>
      </w:r>
      <w:r w:rsidRPr="008773D2">
        <w:rPr>
          <w:rFonts w:ascii="Times New Roman" w:hAnsi="Times New Roman" w:cs="Times New Roman"/>
          <w:bCs/>
          <w:sz w:val="24"/>
          <w:szCs w:val="24"/>
          <w:highlight w:val="yellow"/>
        </w:rPr>
        <w:lastRenderedPageBreak/>
        <w:t xml:space="preserve">symbiosis can mitigate water-stress effects in other plant systems (Udeh </w:t>
      </w:r>
      <w:r w:rsidRPr="008773D2">
        <w:rPr>
          <w:rFonts w:ascii="Times New Roman" w:hAnsi="Times New Roman" w:cs="Times New Roman"/>
          <w:bCs/>
          <w:i/>
          <w:iCs/>
          <w:sz w:val="24"/>
          <w:szCs w:val="24"/>
          <w:highlight w:val="yellow"/>
        </w:rPr>
        <w:t>et al.</w:t>
      </w:r>
      <w:r w:rsidRPr="008773D2">
        <w:rPr>
          <w:rFonts w:ascii="Times New Roman" w:hAnsi="Times New Roman" w:cs="Times New Roman"/>
          <w:bCs/>
          <w:sz w:val="24"/>
          <w:szCs w:val="24"/>
          <w:highlight w:val="yellow"/>
        </w:rPr>
        <w:t xml:space="preserve">, 2023; Chiroli </w:t>
      </w:r>
      <w:r w:rsidRPr="008773D2">
        <w:rPr>
          <w:rFonts w:ascii="Times New Roman" w:hAnsi="Times New Roman" w:cs="Times New Roman"/>
          <w:bCs/>
          <w:i/>
          <w:iCs/>
          <w:sz w:val="24"/>
          <w:szCs w:val="24"/>
          <w:highlight w:val="yellow"/>
        </w:rPr>
        <w:t>et al.</w:t>
      </w:r>
      <w:r w:rsidRPr="008773D2">
        <w:rPr>
          <w:rFonts w:ascii="Times New Roman" w:hAnsi="Times New Roman" w:cs="Times New Roman"/>
          <w:bCs/>
          <w:sz w:val="24"/>
          <w:szCs w:val="24"/>
          <w:highlight w:val="yellow"/>
        </w:rPr>
        <w:t>, 2025).</w:t>
      </w:r>
    </w:p>
    <w:p w14:paraId="4EB8807D" w14:textId="77777777" w:rsidR="00A81D66" w:rsidRPr="008773D2" w:rsidRDefault="00000000">
      <w:pPr>
        <w:spacing w:line="480" w:lineRule="auto"/>
        <w:jc w:val="both"/>
        <w:rPr>
          <w:rFonts w:ascii="Times New Roman" w:hAnsi="Times New Roman" w:cs="Times New Roman"/>
          <w:bCs/>
          <w:sz w:val="24"/>
          <w:szCs w:val="24"/>
        </w:rPr>
      </w:pPr>
      <w:r w:rsidRPr="008773D2">
        <w:rPr>
          <w:rFonts w:ascii="Times New Roman" w:hAnsi="Times New Roman" w:cs="Times New Roman"/>
          <w:bCs/>
          <w:sz w:val="24"/>
          <w:szCs w:val="24"/>
          <w:highlight w:val="yellow"/>
        </w:rPr>
        <w:t xml:space="preserve">However, the literature reviewed here does not clearly establish how drought stress interacts with arbuscular mycorrhizal fungi and </w:t>
      </w:r>
      <w:r w:rsidRPr="008773D2">
        <w:rPr>
          <w:rFonts w:ascii="Times New Roman" w:hAnsi="Times New Roman" w:cs="Times New Roman"/>
          <w:bCs/>
          <w:i/>
          <w:sz w:val="24"/>
          <w:szCs w:val="24"/>
          <w:highlight w:val="yellow"/>
        </w:rPr>
        <w:t>Calopogonium mucunoides</w:t>
      </w:r>
      <w:r w:rsidRPr="008773D2">
        <w:rPr>
          <w:rFonts w:ascii="Times New Roman" w:hAnsi="Times New Roman" w:cs="Times New Roman"/>
          <w:bCs/>
          <w:sz w:val="24"/>
          <w:szCs w:val="24"/>
          <w:highlight w:val="yellow"/>
        </w:rPr>
        <w:t xml:space="preserve">, individually and in combination, to influence germination and petiole development across multiple </w:t>
      </w:r>
      <w:r w:rsidRPr="008773D2">
        <w:rPr>
          <w:rFonts w:ascii="Times New Roman" w:hAnsi="Times New Roman" w:cs="Times New Roman"/>
          <w:bCs/>
          <w:i/>
          <w:sz w:val="24"/>
          <w:szCs w:val="24"/>
          <w:highlight w:val="yellow"/>
        </w:rPr>
        <w:t>Vigna subterranea</w:t>
      </w:r>
      <w:r w:rsidRPr="008773D2">
        <w:rPr>
          <w:rFonts w:ascii="Times New Roman" w:hAnsi="Times New Roman" w:cs="Times New Roman"/>
          <w:bCs/>
          <w:sz w:val="24"/>
          <w:szCs w:val="24"/>
          <w:highlight w:val="yellow"/>
        </w:rPr>
        <w:t xml:space="preserve"> accessions under comparable conditions.</w:t>
      </w:r>
    </w:p>
    <w:p w14:paraId="172621B1" w14:textId="77777777" w:rsidR="00A81D66"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Therefore, this study was undertaken to evaluate the effects of drought stress on petiole length in five accessions of </w:t>
      </w:r>
      <w:r>
        <w:rPr>
          <w:rFonts w:ascii="Times New Roman" w:hAnsi="Times New Roman" w:cs="Times New Roman"/>
          <w:i/>
          <w:iCs/>
          <w:sz w:val="24"/>
          <w:szCs w:val="24"/>
        </w:rPr>
        <w:t>Vigna subterranea</w:t>
      </w:r>
      <w:r>
        <w:rPr>
          <w:rFonts w:ascii="Times New Roman" w:hAnsi="Times New Roman" w:cs="Times New Roman"/>
          <w:sz w:val="24"/>
          <w:szCs w:val="24"/>
        </w:rPr>
        <w:t xml:space="preserve"> (L.) Verdc., with the aim of assessing their responses and potential adaptation to water deficit.</w:t>
      </w:r>
    </w:p>
    <w:p w14:paraId="2CE73475" w14:textId="77777777" w:rsidR="000D0A90" w:rsidRDefault="000D0A90" w:rsidP="00D801B6">
      <w:pPr>
        <w:spacing w:line="480" w:lineRule="auto"/>
        <w:jc w:val="both"/>
        <w:rPr>
          <w:rFonts w:ascii="Times New Roman" w:hAnsi="Times New Roman" w:cs="Times New Roman"/>
          <w:b/>
          <w:bCs/>
          <w:sz w:val="24"/>
          <w:szCs w:val="24"/>
        </w:rPr>
      </w:pPr>
    </w:p>
    <w:p w14:paraId="3CD425F9" w14:textId="77777777" w:rsidR="007902D4" w:rsidRPr="005056B4" w:rsidRDefault="00E42A03" w:rsidP="00D801B6">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Materials and Methods</w:t>
      </w:r>
    </w:p>
    <w:p w14:paraId="31C1A783"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Sources and Sample Collection</w:t>
      </w:r>
    </w:p>
    <w:p w14:paraId="6D440F33" w14:textId="77777777" w:rsidR="00E42A03" w:rsidRPr="005056B4" w:rsidRDefault="00E42A03" w:rsidP="00AF1744">
      <w:pPr>
        <w:tabs>
          <w:tab w:val="left" w:pos="2268"/>
        </w:tabs>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Mature seeds of </w:t>
      </w:r>
      <w:r w:rsidRPr="005056B4">
        <w:rPr>
          <w:rFonts w:ascii="Times New Roman" w:hAnsi="Times New Roman" w:cs="Times New Roman"/>
          <w:i/>
          <w:iCs/>
          <w:sz w:val="24"/>
          <w:szCs w:val="24"/>
        </w:rPr>
        <w:t>Vigna subterranea</w:t>
      </w:r>
      <w:r w:rsidRPr="005056B4">
        <w:rPr>
          <w:rFonts w:ascii="Times New Roman" w:hAnsi="Times New Roman" w:cs="Times New Roman"/>
          <w:sz w:val="24"/>
          <w:szCs w:val="24"/>
        </w:rPr>
        <w:t> and </w:t>
      </w:r>
      <w:r w:rsidRPr="005056B4">
        <w:rPr>
          <w:rFonts w:ascii="Times New Roman" w:hAnsi="Times New Roman" w:cs="Times New Roman"/>
          <w:i/>
          <w:iCs/>
          <w:sz w:val="24"/>
          <w:szCs w:val="24"/>
        </w:rPr>
        <w:t>Arbuscular</w:t>
      </w:r>
      <w:r w:rsidR="006849E7" w:rsidRPr="005056B4">
        <w:rPr>
          <w:rFonts w:ascii="Times New Roman" w:hAnsi="Times New Roman" w:cs="Times New Roman"/>
          <w:i/>
          <w:iCs/>
          <w:sz w:val="24"/>
          <w:szCs w:val="24"/>
        </w:rPr>
        <w:t xml:space="preserve"> </w:t>
      </w:r>
      <w:r w:rsidRPr="005056B4">
        <w:rPr>
          <w:rFonts w:ascii="Times New Roman" w:hAnsi="Times New Roman" w:cs="Times New Roman"/>
          <w:i/>
          <w:iCs/>
          <w:sz w:val="24"/>
          <w:szCs w:val="24"/>
        </w:rPr>
        <w:t>Mycorrhizal Fungi</w:t>
      </w:r>
      <w:r w:rsidRPr="005056B4">
        <w:rPr>
          <w:rFonts w:ascii="Times New Roman" w:hAnsi="Times New Roman" w:cs="Times New Roman"/>
          <w:sz w:val="24"/>
          <w:szCs w:val="24"/>
        </w:rPr>
        <w:t> (</w:t>
      </w:r>
      <w:proofErr w:type="spellStart"/>
      <w:r w:rsidRPr="005056B4">
        <w:rPr>
          <w:rFonts w:ascii="Times New Roman" w:hAnsi="Times New Roman" w:cs="Times New Roman"/>
          <w:i/>
          <w:iCs/>
          <w:sz w:val="24"/>
          <w:szCs w:val="24"/>
        </w:rPr>
        <w:t>Rhizophagus</w:t>
      </w:r>
      <w:proofErr w:type="spellEnd"/>
      <w:r w:rsidRPr="005056B4">
        <w:rPr>
          <w:rFonts w:ascii="Times New Roman" w:hAnsi="Times New Roman" w:cs="Times New Roman"/>
          <w:i/>
          <w:iCs/>
          <w:sz w:val="24"/>
          <w:szCs w:val="24"/>
        </w:rPr>
        <w:t xml:space="preserve"> irregularis</w:t>
      </w:r>
      <w:r w:rsidRPr="005056B4">
        <w:rPr>
          <w:rFonts w:ascii="Times New Roman" w:hAnsi="Times New Roman" w:cs="Times New Roman"/>
          <w:sz w:val="24"/>
          <w:szCs w:val="24"/>
        </w:rPr>
        <w:t xml:space="preserve">) </w:t>
      </w:r>
      <w:r w:rsidR="00AF1744" w:rsidRPr="005056B4">
        <w:rPr>
          <w:rFonts w:ascii="Times New Roman" w:hAnsi="Times New Roman" w:cs="Times New Roman"/>
          <w:sz w:val="24"/>
          <w:szCs w:val="24"/>
        </w:rPr>
        <w:t xml:space="preserve">and </w:t>
      </w:r>
      <w:proofErr w:type="spellStart"/>
      <w:r w:rsidR="00AF1744" w:rsidRPr="005056B4">
        <w:rPr>
          <w:rFonts w:ascii="Times New Roman" w:eastAsiaTheme="minorEastAsia" w:hAnsi="Times New Roman" w:cs="Times New Roman"/>
          <w:i/>
          <w:sz w:val="24"/>
          <w:szCs w:val="24"/>
        </w:rPr>
        <w:t>Calopogonium</w:t>
      </w:r>
      <w:proofErr w:type="spellEnd"/>
      <w:r w:rsidR="00AF1744" w:rsidRPr="005056B4">
        <w:rPr>
          <w:rFonts w:ascii="Times New Roman" w:eastAsiaTheme="minorEastAsia" w:hAnsi="Times New Roman" w:cs="Times New Roman"/>
          <w:i/>
          <w:sz w:val="24"/>
          <w:szCs w:val="24"/>
        </w:rPr>
        <w:t xml:space="preserve"> </w:t>
      </w:r>
      <w:proofErr w:type="spellStart"/>
      <w:r w:rsidR="00AF1744" w:rsidRPr="005056B4">
        <w:rPr>
          <w:rFonts w:ascii="Times New Roman" w:eastAsiaTheme="minorEastAsia" w:hAnsi="Times New Roman" w:cs="Times New Roman"/>
          <w:i/>
          <w:sz w:val="24"/>
          <w:szCs w:val="24"/>
        </w:rPr>
        <w:t>mucunoides</w:t>
      </w:r>
      <w:proofErr w:type="spellEnd"/>
      <w:r w:rsidR="00AF1744"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inoculum were obtained from the International Institute of Tropical Agriculture (IITA), Ibadan, Oyo State. </w:t>
      </w:r>
      <w:r>
        <w:rPr>
          <w:rFonts w:ascii="Times New Roman" w:hAnsi="Times New Roman" w:cs="Times New Roman"/>
          <w:sz w:val="24"/>
          <w:szCs w:val="24"/>
          <w:highlight w:val="yellow"/>
        </w:rPr>
        <w:t>Sandy-loam</w:t>
      </w:r>
      <w:r w:rsidRPr="005056B4">
        <w:rPr>
          <w:rFonts w:ascii="Times New Roman" w:hAnsi="Times New Roman" w:cs="Times New Roman"/>
          <w:sz w:val="24"/>
          <w:szCs w:val="24"/>
        </w:rPr>
        <w:t xml:space="preserve"> soil was collected from </w:t>
      </w:r>
      <w:r w:rsidR="00AF1744" w:rsidRPr="005056B4">
        <w:rPr>
          <w:rFonts w:ascii="Times New Roman" w:hAnsi="Times New Roman" w:cs="Times New Roman"/>
          <w:sz w:val="24"/>
          <w:szCs w:val="24"/>
        </w:rPr>
        <w:t xml:space="preserve">Akwa Ibom State University </w:t>
      </w:r>
      <w:r w:rsidR="006849E7" w:rsidRPr="005056B4">
        <w:rPr>
          <w:rFonts w:ascii="Times New Roman" w:hAnsi="Times New Roman" w:cs="Times New Roman"/>
          <w:sz w:val="24"/>
          <w:szCs w:val="24"/>
        </w:rPr>
        <w:t>botanical garden</w:t>
      </w:r>
      <w:r w:rsidRPr="005056B4">
        <w:rPr>
          <w:rFonts w:ascii="Times New Roman" w:hAnsi="Times New Roman" w:cs="Times New Roman"/>
          <w:sz w:val="24"/>
          <w:szCs w:val="24"/>
          <w:highlight w:val="yellow"/>
        </w:rPr>
        <w:t xml:space="preserve">, sterilised for two hours </w:t>
      </w:r>
      <w:r w:rsidR="006849E7" w:rsidRPr="005056B4">
        <w:rPr>
          <w:rFonts w:ascii="Times New Roman" w:hAnsi="Times New Roman" w:cs="Times New Roman"/>
          <w:sz w:val="24"/>
          <w:szCs w:val="24"/>
        </w:rPr>
        <w:t xml:space="preserve">at 100 ºC </w:t>
      </w:r>
      <w:r w:rsidRPr="005056B4">
        <w:rPr>
          <w:rFonts w:ascii="Times New Roman" w:hAnsi="Times New Roman" w:cs="Times New Roman"/>
          <w:sz w:val="24"/>
          <w:szCs w:val="24"/>
        </w:rPr>
        <w:t xml:space="preserve">and passed through a 2 mm sieve to remove indigenous </w:t>
      </w:r>
      <w:r w:rsidR="006849E7" w:rsidRPr="005056B4">
        <w:rPr>
          <w:rFonts w:ascii="Times New Roman" w:hAnsi="Times New Roman" w:cs="Times New Roman"/>
          <w:i/>
          <w:iCs/>
          <w:sz w:val="24"/>
          <w:szCs w:val="24"/>
        </w:rPr>
        <w:t>A</w:t>
      </w:r>
      <w:r w:rsidR="008D3224" w:rsidRPr="005056B4">
        <w:rPr>
          <w:rFonts w:ascii="Times New Roman" w:hAnsi="Times New Roman" w:cs="Times New Roman"/>
          <w:i/>
          <w:iCs/>
          <w:sz w:val="24"/>
          <w:szCs w:val="24"/>
        </w:rPr>
        <w:t>rbuscular mycorrhizal</w:t>
      </w:r>
      <w:r w:rsidR="008D3224" w:rsidRPr="005056B4">
        <w:rPr>
          <w:rFonts w:ascii="Times New Roman" w:hAnsi="Times New Roman" w:cs="Times New Roman"/>
          <w:sz w:val="24"/>
          <w:szCs w:val="24"/>
        </w:rPr>
        <w:t xml:space="preserve"> fungi (AMF) propagules</w:t>
      </w:r>
      <w:r w:rsidRPr="005056B4">
        <w:rPr>
          <w:rFonts w:ascii="Times New Roman" w:hAnsi="Times New Roman" w:cs="Times New Roman"/>
          <w:sz w:val="24"/>
          <w:szCs w:val="24"/>
        </w:rPr>
        <w:t>, microorganisms, weed seeds and other unwanted materials.</w:t>
      </w:r>
    </w:p>
    <w:p w14:paraId="670803B9"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Soil Analysis</w:t>
      </w:r>
    </w:p>
    <w:p w14:paraId="3983B523" w14:textId="77777777"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Soil samples were collected from 0</w:t>
      </w:r>
      <w:r w:rsidR="006849E7"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6849E7"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depth using a soil auger. Random subsamples were combined to form a representative composite sample, which was air-dried, crushed and sieved through a 2 mm mesh before analysis. Soil texture was determined </w:t>
      </w:r>
      <w:r>
        <w:rPr>
          <w:rFonts w:ascii="Times New Roman" w:hAnsi="Times New Roman" w:cs="Times New Roman"/>
          <w:sz w:val="24"/>
          <w:szCs w:val="24"/>
          <w:highlight w:val="yellow"/>
        </w:rPr>
        <w:t xml:space="preserve">using the hydrometer </w:t>
      </w:r>
      <w:r>
        <w:rPr>
          <w:rFonts w:ascii="Times New Roman" w:hAnsi="Times New Roman" w:cs="Times New Roman"/>
          <w:sz w:val="24"/>
          <w:szCs w:val="24"/>
          <w:highlight w:val="yellow"/>
        </w:rPr>
        <w:lastRenderedPageBreak/>
        <w:t>method after dispersion with sodium hexametaphosphate, while the proportions of sand, silt and clay were used to establish the textural class (Brady &amp; Weil, 2016)</w:t>
      </w:r>
      <w:r w:rsidRPr="005056B4">
        <w:rPr>
          <w:rFonts w:ascii="Times New Roman" w:hAnsi="Times New Roman" w:cs="Times New Roman"/>
          <w:sz w:val="24"/>
          <w:szCs w:val="24"/>
        </w:rPr>
        <w:t>.</w:t>
      </w:r>
    </w:p>
    <w:p w14:paraId="0CC8CCE5" w14:textId="77777777" w:rsidR="00E42A03"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Soil pH was determined in a soil-water suspension </w:t>
      </w:r>
      <w:r>
        <w:rPr>
          <w:rFonts w:ascii="Times New Roman" w:hAnsi="Times New Roman" w:cs="Times New Roman"/>
          <w:sz w:val="24"/>
          <w:szCs w:val="24"/>
          <w:highlight w:val="yellow"/>
        </w:rPr>
        <w:t>using a standard procedure as</w:t>
      </w:r>
      <w:r w:rsidR="003215AA">
        <w:rPr>
          <w:rFonts w:ascii="Times New Roman" w:hAnsi="Times New Roman" w:cs="Times New Roman"/>
          <w:sz w:val="24"/>
          <w:szCs w:val="24"/>
        </w:rPr>
        <w:t xml:space="preserve"> </w:t>
      </w:r>
      <w:r w:rsidR="003215AA" w:rsidRPr="003215AA">
        <w:rPr>
          <w:rFonts w:ascii="Times New Roman" w:hAnsi="Times New Roman" w:cs="Times New Roman"/>
          <w:sz w:val="24"/>
          <w:szCs w:val="24"/>
        </w:rPr>
        <w:t xml:space="preserve">reported by Estefan </w:t>
      </w:r>
      <w:r w:rsidR="003215AA" w:rsidRPr="003F7E74">
        <w:rPr>
          <w:rFonts w:ascii="Times New Roman" w:hAnsi="Times New Roman" w:cs="Times New Roman"/>
          <w:i/>
          <w:iCs/>
          <w:sz w:val="24"/>
          <w:szCs w:val="24"/>
        </w:rPr>
        <w:t>et al.</w:t>
      </w:r>
      <w:r w:rsidR="003215AA" w:rsidRPr="003215AA">
        <w:rPr>
          <w:rFonts w:ascii="Times New Roman" w:hAnsi="Times New Roman" w:cs="Times New Roman"/>
          <w:sz w:val="24"/>
          <w:szCs w:val="24"/>
        </w:rPr>
        <w:t xml:space="preserve"> (2013)</w:t>
      </w:r>
      <w:r w:rsidR="003215AA">
        <w:rPr>
          <w:rFonts w:ascii="Times New Roman" w:hAnsi="Times New Roman" w:cs="Times New Roman"/>
          <w:sz w:val="24"/>
          <w:szCs w:val="24"/>
        </w:rPr>
        <w:t xml:space="preserve">. </w:t>
      </w:r>
      <w:r w:rsidRPr="005056B4">
        <w:rPr>
          <w:rFonts w:ascii="Times New Roman" w:hAnsi="Times New Roman" w:cs="Times New Roman"/>
          <w:sz w:val="24"/>
          <w:szCs w:val="24"/>
        </w:rPr>
        <w:t xml:space="preserve">Organic carbon was </w:t>
      </w:r>
      <w:proofErr w:type="spellStart"/>
      <w:r w:rsidRPr="005056B4">
        <w:rPr>
          <w:rFonts w:ascii="Times New Roman" w:hAnsi="Times New Roman" w:cs="Times New Roman"/>
          <w:sz w:val="24"/>
          <w:szCs w:val="24"/>
        </w:rPr>
        <w:t>analysed</w:t>
      </w:r>
      <w:proofErr w:type="spellEnd"/>
      <w:r w:rsidRPr="005056B4">
        <w:rPr>
          <w:rFonts w:ascii="Times New Roman" w:hAnsi="Times New Roman" w:cs="Times New Roman"/>
          <w:sz w:val="24"/>
          <w:szCs w:val="24"/>
        </w:rPr>
        <w:t xml:space="preserve"> using the Walkley-Black wet oxidation method, while total nitrogen</w:t>
      </w:r>
      <w:r w:rsidRPr="005056B4">
        <w:rPr>
          <w:rFonts w:ascii="Times New Roman" w:hAnsi="Times New Roman" w:cs="Times New Roman"/>
          <w:b/>
          <w:bCs/>
          <w:sz w:val="24"/>
          <w:szCs w:val="24"/>
        </w:rPr>
        <w:t xml:space="preserve"> </w:t>
      </w:r>
      <w:r w:rsidRPr="003F7E74">
        <w:rPr>
          <w:rFonts w:ascii="Times New Roman" w:hAnsi="Times New Roman" w:cs="Times New Roman"/>
          <w:sz w:val="24"/>
          <w:szCs w:val="24"/>
        </w:rPr>
        <w:t>was</w:t>
      </w:r>
      <w:r w:rsidRPr="005056B4">
        <w:rPr>
          <w:rFonts w:ascii="Times New Roman" w:hAnsi="Times New Roman" w:cs="Times New Roman"/>
          <w:b/>
          <w:bCs/>
          <w:sz w:val="24"/>
          <w:szCs w:val="24"/>
        </w:rPr>
        <w:t xml:space="preserve"> </w:t>
      </w:r>
      <w:r w:rsidRPr="005056B4">
        <w:rPr>
          <w:rFonts w:ascii="Times New Roman" w:hAnsi="Times New Roman" w:cs="Times New Roman"/>
          <w:sz w:val="24"/>
          <w:szCs w:val="24"/>
        </w:rPr>
        <w:t xml:space="preserve">determined using the Kjeldahl method. Available phosphorus was extracted using Bray-1 solution and measured </w:t>
      </w:r>
      <w:proofErr w:type="spellStart"/>
      <w:r>
        <w:rPr>
          <w:rFonts w:ascii="Times New Roman" w:hAnsi="Times New Roman" w:cs="Times New Roman"/>
          <w:sz w:val="24"/>
          <w:szCs w:val="24"/>
          <w:highlight w:val="yellow"/>
        </w:rPr>
        <w:t>colourimetrically</w:t>
      </w:r>
      <w:proofErr w:type="spellEnd"/>
      <w:r w:rsidRPr="005056B4">
        <w:rPr>
          <w:rFonts w:ascii="Times New Roman" w:hAnsi="Times New Roman" w:cs="Times New Roman"/>
          <w:sz w:val="24"/>
          <w:szCs w:val="24"/>
        </w:rPr>
        <w:t xml:space="preserve">. Exchangeable calcium (Ca), magnesium (Mg), potassium (K) and sodium (Na) were extracted using ammonium acetate; Ca and Mg were determined by EDTA titration, while K and Na were measured using a flame </w:t>
      </w:r>
      <w:r w:rsidR="009E1B56" w:rsidRPr="00D412E1">
        <w:rPr>
          <w:rFonts w:ascii="Times New Roman" w:hAnsi="Times New Roman" w:cs="Times New Roman"/>
          <w:sz w:val="24"/>
          <w:szCs w:val="24"/>
        </w:rPr>
        <w:t>photometer</w:t>
      </w:r>
      <w:r w:rsidR="009E1B56" w:rsidRPr="005056B4">
        <w:rPr>
          <w:rFonts w:ascii="Times New Roman" w:hAnsi="Times New Roman" w:cs="Times New Roman"/>
          <w:b/>
          <w:bCs/>
          <w:sz w:val="24"/>
          <w:szCs w:val="24"/>
        </w:rPr>
        <w:t>.</w:t>
      </w:r>
      <w:r w:rsidRPr="005056B4">
        <w:rPr>
          <w:rFonts w:ascii="Times New Roman" w:hAnsi="Times New Roman" w:cs="Times New Roman"/>
          <w:sz w:val="24"/>
          <w:szCs w:val="24"/>
        </w:rPr>
        <w:t xml:space="preserve"> Cation exchange capacity (CEC) was calculated from exchangeable bases and exchangeable acidity.</w:t>
      </w:r>
    </w:p>
    <w:p w14:paraId="0E69241E" w14:textId="77777777" w:rsidR="008C700C" w:rsidRPr="005056B4" w:rsidRDefault="008C700C" w:rsidP="00E42A03">
      <w:pPr>
        <w:spacing w:line="480" w:lineRule="auto"/>
        <w:jc w:val="both"/>
        <w:rPr>
          <w:rFonts w:ascii="Times New Roman" w:hAnsi="Times New Roman" w:cs="Times New Roman"/>
          <w:sz w:val="24"/>
          <w:szCs w:val="24"/>
        </w:rPr>
      </w:pPr>
    </w:p>
    <w:p w14:paraId="729B4BD7"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 xml:space="preserve">Determination of Soil </w:t>
      </w:r>
      <w:proofErr w:type="spellStart"/>
      <w:r w:rsidRPr="005056B4">
        <w:rPr>
          <w:rFonts w:ascii="Times New Roman" w:hAnsi="Times New Roman" w:cs="Times New Roman"/>
          <w:b/>
          <w:bCs/>
          <w:sz w:val="24"/>
          <w:szCs w:val="24"/>
        </w:rPr>
        <w:t>Physico</w:t>
      </w:r>
      <w:proofErr w:type="spellEnd"/>
      <w:r w:rsidRPr="005056B4">
        <w:rPr>
          <w:rFonts w:ascii="Times New Roman" w:hAnsi="Times New Roman" w:cs="Times New Roman"/>
          <w:b/>
          <w:bCs/>
          <w:sz w:val="24"/>
          <w:szCs w:val="24"/>
        </w:rPr>
        <w:t>-Chemical Properties</w:t>
      </w:r>
    </w:p>
    <w:p w14:paraId="4AB9791B" w14:textId="77777777"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A representative soil sample was obtained by </w:t>
      </w:r>
      <w:r>
        <w:rPr>
          <w:rFonts w:ascii="Times New Roman" w:hAnsi="Times New Roman" w:cs="Times New Roman"/>
          <w:sz w:val="24"/>
          <w:szCs w:val="24"/>
          <w:highlight w:val="yellow"/>
        </w:rPr>
        <w:t>combining</w:t>
      </w:r>
      <w:r>
        <w:rPr>
          <w:rFonts w:ascii="Times New Roman" w:hAnsi="Times New Roman" w:cs="Times New Roman"/>
          <w:sz w:val="24"/>
          <w:szCs w:val="24"/>
        </w:rPr>
        <w:t xml:space="preserve"> four randomly selected samples collected at 0</w:t>
      </w:r>
      <w:r w:rsidR="009E1B56"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9E1B56"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depth. The sample was air-dried, crushed and sieved through a 2 mm mesh before laboratory analysis. Particle size was determined using the </w:t>
      </w:r>
      <w:proofErr w:type="spellStart"/>
      <w:r w:rsidRPr="005056B4">
        <w:rPr>
          <w:rFonts w:ascii="Times New Roman" w:hAnsi="Times New Roman" w:cs="Times New Roman"/>
          <w:sz w:val="24"/>
          <w:szCs w:val="24"/>
        </w:rPr>
        <w:t>Bouyoucos</w:t>
      </w:r>
      <w:proofErr w:type="spellEnd"/>
      <w:r w:rsidRPr="005056B4">
        <w:rPr>
          <w:rFonts w:ascii="Times New Roman" w:hAnsi="Times New Roman" w:cs="Times New Roman"/>
          <w:sz w:val="24"/>
          <w:szCs w:val="24"/>
        </w:rPr>
        <w:t xml:space="preserve"> hydrometer method, with sodium hexametaphosphate (Calgon) as the dispersant (Jackson, 1969). Soil pH was measured using a glass-electrode pH meter, while organic carbon was determined using the Walkley-Black method and calculated using a van </w:t>
      </w:r>
      <w:proofErr w:type="spellStart"/>
      <w:r w:rsidRPr="005056B4">
        <w:rPr>
          <w:rFonts w:ascii="Times New Roman" w:hAnsi="Times New Roman" w:cs="Times New Roman"/>
          <w:sz w:val="24"/>
          <w:szCs w:val="24"/>
        </w:rPr>
        <w:t>Bemmelen</w:t>
      </w:r>
      <w:proofErr w:type="spellEnd"/>
      <w:r w:rsidRPr="005056B4">
        <w:rPr>
          <w:rFonts w:ascii="Times New Roman" w:hAnsi="Times New Roman" w:cs="Times New Roman"/>
          <w:sz w:val="24"/>
          <w:szCs w:val="24"/>
        </w:rPr>
        <w:t xml:space="preserve"> factor of 1.724. Electrical conductivity was measured using the conductivity bridge method (Hanna, 1964).</w:t>
      </w:r>
    </w:p>
    <w:p w14:paraId="4867E058" w14:textId="77777777" w:rsidR="00E42A03" w:rsidRPr="005056B4" w:rsidRDefault="008C3BE5" w:rsidP="00E42A03">
      <w:pPr>
        <w:spacing w:line="480" w:lineRule="auto"/>
        <w:jc w:val="both"/>
        <w:rPr>
          <w:rFonts w:ascii="Times New Roman" w:hAnsi="Times New Roman" w:cs="Times New Roman"/>
          <w:sz w:val="24"/>
          <w:szCs w:val="24"/>
        </w:rPr>
      </w:pPr>
      <w:r>
        <w:rPr>
          <w:rFonts w:ascii="Times New Roman" w:hAnsi="Times New Roman" w:cs="Times New Roman"/>
          <w:sz w:val="24"/>
          <w:szCs w:val="24"/>
          <w:highlight w:val="yellow"/>
        </w:rPr>
        <w:t>Soil</w:t>
      </w:r>
      <w:r w:rsidR="00E42A03" w:rsidRPr="005056B4">
        <w:rPr>
          <w:rFonts w:ascii="Times New Roman" w:hAnsi="Times New Roman" w:cs="Times New Roman"/>
          <w:sz w:val="24"/>
          <w:szCs w:val="24"/>
        </w:rPr>
        <w:t xml:space="preserve"> nitrogen was determined using </w:t>
      </w:r>
      <w:r>
        <w:rPr>
          <w:rFonts w:ascii="Times New Roman" w:hAnsi="Times New Roman" w:cs="Times New Roman"/>
          <w:sz w:val="24"/>
          <w:szCs w:val="24"/>
          <w:highlight w:val="yellow"/>
        </w:rPr>
        <w:t>the modified macro-Kjeldahl method</w:t>
      </w:r>
      <w:r>
        <w:rPr>
          <w:rFonts w:ascii="Times New Roman" w:hAnsi="Times New Roman" w:cs="Times New Roman"/>
          <w:sz w:val="24"/>
          <w:szCs w:val="24"/>
        </w:rPr>
        <w:t xml:space="preserve"> (</w:t>
      </w:r>
      <w:r>
        <w:rPr>
          <w:rFonts w:ascii="Times New Roman" w:hAnsi="Times New Roman" w:cs="Times New Roman"/>
          <w:sz w:val="24"/>
          <w:szCs w:val="24"/>
          <w:highlight w:val="yellow"/>
        </w:rPr>
        <w:t>Bremner</w:t>
      </w:r>
      <w:r w:rsidR="003A1DBE">
        <w:rPr>
          <w:rFonts w:ascii="Times New Roman" w:hAnsi="Times New Roman" w:cs="Times New Roman"/>
          <w:sz w:val="24"/>
          <w:szCs w:val="24"/>
        </w:rPr>
        <w:t xml:space="preserve">, </w:t>
      </w:r>
      <w:r w:rsidR="00E42A03" w:rsidRPr="005056B4">
        <w:rPr>
          <w:rFonts w:ascii="Times New Roman" w:hAnsi="Times New Roman" w:cs="Times New Roman"/>
          <w:sz w:val="24"/>
          <w:szCs w:val="24"/>
        </w:rPr>
        <w:t xml:space="preserve">1965). Available phosphorus was extracted using the Bray-1 method and determined </w:t>
      </w:r>
      <w:r w:rsidR="008C700C">
        <w:rPr>
          <w:rFonts w:ascii="Times New Roman" w:hAnsi="Times New Roman" w:cs="Times New Roman"/>
          <w:sz w:val="24"/>
          <w:szCs w:val="24"/>
        </w:rPr>
        <w:t>using a spectroscopic method.</w:t>
      </w:r>
      <w:r w:rsidR="00E42A03" w:rsidRPr="005056B4">
        <w:rPr>
          <w:rFonts w:ascii="Times New Roman" w:hAnsi="Times New Roman" w:cs="Times New Roman"/>
          <w:sz w:val="24"/>
          <w:szCs w:val="24"/>
        </w:rPr>
        <w:t xml:space="preserve"> Exchangeable bases were determined following neutral ammonium acetate extraction and atomic absorption spectroscopy (AAS). Exchangeable acidity was measured using KCl extraction and titration with sodium hydroxide, using phenolphthalein as </w:t>
      </w:r>
      <w:r w:rsidR="00E42A03" w:rsidRPr="005056B4">
        <w:rPr>
          <w:rFonts w:ascii="Times New Roman" w:hAnsi="Times New Roman" w:cs="Times New Roman"/>
          <w:sz w:val="24"/>
          <w:szCs w:val="24"/>
        </w:rPr>
        <w:lastRenderedPageBreak/>
        <w:t>an indicator (</w:t>
      </w:r>
      <w:r>
        <w:rPr>
          <w:rFonts w:ascii="Times New Roman" w:hAnsi="Times New Roman" w:cs="Times New Roman"/>
          <w:sz w:val="24"/>
          <w:szCs w:val="24"/>
          <w:highlight w:val="yellow"/>
        </w:rPr>
        <w:t>McLean</w:t>
      </w:r>
      <w:r>
        <w:rPr>
          <w:rFonts w:ascii="Times New Roman" w:hAnsi="Times New Roman" w:cs="Times New Roman"/>
          <w:sz w:val="24"/>
          <w:szCs w:val="24"/>
        </w:rPr>
        <w:t>, 1965). Effective cation exchange capacity (ECEC) and percentage base saturation were calculated from the exchangeable bases and acidity using the formula:</w:t>
      </w:r>
    </w:p>
    <w:p w14:paraId="54165A26" w14:textId="77777777"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Base Saturation = (Sum of Exchangeable Bases × 100) / ECEC (Soil Survey Staff, 2014).</w:t>
      </w:r>
    </w:p>
    <w:p w14:paraId="788D36E6"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Experimental Design</w:t>
      </w:r>
    </w:p>
    <w:p w14:paraId="5C800040" w14:textId="77777777" w:rsidR="00891AAF" w:rsidRPr="005056B4" w:rsidRDefault="00891AAF" w:rsidP="004C769E">
      <w:pPr>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highlight w:val="yellow"/>
        </w:rPr>
        <w:t xml:space="preserve">The experiment was set up in a Randomised Block Design (RBD) with five treatments per accession of </w:t>
      </w:r>
      <w:r w:rsidRPr="005056B4">
        <w:rPr>
          <w:rFonts w:ascii="Times New Roman" w:eastAsiaTheme="minorEastAsia" w:hAnsi="Times New Roman" w:cs="Times New Roman"/>
          <w:i/>
          <w:sz w:val="24"/>
          <w:szCs w:val="24"/>
        </w:rPr>
        <w:t xml:space="preserve">V. </w:t>
      </w:r>
      <w:r w:rsidR="00F8276F" w:rsidRPr="005056B4">
        <w:rPr>
          <w:rFonts w:ascii="Times New Roman" w:eastAsiaTheme="minorEastAsia" w:hAnsi="Times New Roman" w:cs="Times New Roman"/>
          <w:i/>
          <w:sz w:val="24"/>
          <w:szCs w:val="24"/>
          <w:highlight w:val="yellow"/>
        </w:rPr>
        <w:t>s</w:t>
      </w:r>
      <w:r w:rsidRPr="005056B4">
        <w:rPr>
          <w:rFonts w:ascii="Times New Roman" w:eastAsiaTheme="minorEastAsia" w:hAnsi="Times New Roman" w:cs="Times New Roman"/>
          <w:i/>
          <w:sz w:val="24"/>
          <w:szCs w:val="24"/>
        </w:rPr>
        <w:t>ubterranea</w:t>
      </w:r>
      <w:r w:rsidR="00F8276F" w:rsidRPr="005056B4">
        <w:rPr>
          <w:rFonts w:ascii="Times New Roman" w:eastAsiaTheme="minorEastAsia" w:hAnsi="Times New Roman" w:cs="Times New Roman"/>
          <w:i/>
          <w:sz w:val="24"/>
          <w:szCs w:val="24"/>
        </w:rPr>
        <w:t xml:space="preserve"> </w:t>
      </w:r>
      <w:r>
        <w:rPr>
          <w:rFonts w:ascii="Times New Roman" w:eastAsiaTheme="minorEastAsia" w:hAnsi="Times New Roman" w:cs="Times New Roman"/>
          <w:iCs/>
          <w:sz w:val="24"/>
          <w:szCs w:val="24"/>
          <w:highlight w:val="yellow"/>
        </w:rPr>
        <w:t>and each treatment was carried out in triplicate.</w:t>
      </w:r>
    </w:p>
    <w:p w14:paraId="35968A44" w14:textId="77777777" w:rsidR="00D05A2C" w:rsidRPr="00D05A2C" w:rsidRDefault="00D05A2C" w:rsidP="00E42A03">
      <w:pPr>
        <w:spacing w:line="480" w:lineRule="auto"/>
        <w:jc w:val="both"/>
        <w:rPr>
          <w:rFonts w:ascii="Times New Roman" w:hAnsi="Times New Roman" w:cs="Times New Roman"/>
          <w:b/>
          <w:bCs/>
          <w:sz w:val="8"/>
          <w:szCs w:val="8"/>
        </w:rPr>
      </w:pPr>
    </w:p>
    <w:p w14:paraId="6B432592"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Determination of Growth Parameters</w:t>
      </w:r>
    </w:p>
    <w:p w14:paraId="0A054E33" w14:textId="77777777" w:rsidR="00E42A03"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b/>
          <w:bCs/>
          <w:sz w:val="24"/>
          <w:szCs w:val="24"/>
        </w:rPr>
        <w:t>Petiole Length:</w:t>
      </w:r>
      <w:r w:rsidRPr="005056B4">
        <w:rPr>
          <w:rFonts w:ascii="Times New Roman" w:hAnsi="Times New Roman" w:cs="Times New Roman"/>
          <w:sz w:val="24"/>
          <w:szCs w:val="24"/>
        </w:rPr>
        <w:t> Petiole length of </w:t>
      </w:r>
      <w:r w:rsidRPr="005056B4">
        <w:rPr>
          <w:rFonts w:ascii="Times New Roman" w:hAnsi="Times New Roman" w:cs="Times New Roman"/>
          <w:i/>
          <w:iCs/>
          <w:sz w:val="24"/>
          <w:szCs w:val="24"/>
        </w:rPr>
        <w:t>V. subterranea</w:t>
      </w:r>
      <w:r w:rsidRPr="005056B4">
        <w:rPr>
          <w:rFonts w:ascii="Times New Roman" w:hAnsi="Times New Roman" w:cs="Times New Roman"/>
          <w:sz w:val="24"/>
          <w:szCs w:val="24"/>
        </w:rPr>
        <w:t xml:space="preserve"> was measured </w:t>
      </w:r>
      <w:r w:rsidR="00F8276F" w:rsidRPr="005056B4">
        <w:rPr>
          <w:rFonts w:ascii="Times New Roman" w:hAnsi="Times New Roman" w:cs="Times New Roman"/>
          <w:sz w:val="24"/>
          <w:szCs w:val="24"/>
        </w:rPr>
        <w:t xml:space="preserve">weekly </w:t>
      </w:r>
      <w:r w:rsidRPr="005056B4">
        <w:rPr>
          <w:rFonts w:ascii="Times New Roman" w:hAnsi="Times New Roman" w:cs="Times New Roman"/>
          <w:sz w:val="24"/>
          <w:szCs w:val="24"/>
        </w:rPr>
        <w:t xml:space="preserve">in </w:t>
      </w:r>
      <w:proofErr w:type="spellStart"/>
      <w:r w:rsidRPr="005056B4">
        <w:rPr>
          <w:rFonts w:ascii="Times New Roman" w:hAnsi="Times New Roman" w:cs="Times New Roman"/>
          <w:sz w:val="24"/>
          <w:szCs w:val="24"/>
        </w:rPr>
        <w:t>centimetres</w:t>
      </w:r>
      <w:proofErr w:type="spellEnd"/>
      <w:r w:rsidRPr="005056B4">
        <w:rPr>
          <w:rFonts w:ascii="Times New Roman" w:hAnsi="Times New Roman" w:cs="Times New Roman"/>
          <w:sz w:val="24"/>
          <w:szCs w:val="24"/>
        </w:rPr>
        <w:t xml:space="preserve"> using a </w:t>
      </w:r>
      <w:proofErr w:type="spellStart"/>
      <w:r w:rsidRPr="005056B4">
        <w:rPr>
          <w:rFonts w:ascii="Times New Roman" w:hAnsi="Times New Roman" w:cs="Times New Roman"/>
          <w:sz w:val="24"/>
          <w:szCs w:val="24"/>
        </w:rPr>
        <w:t>metre</w:t>
      </w:r>
      <w:proofErr w:type="spellEnd"/>
      <w:r w:rsidRPr="005056B4">
        <w:rPr>
          <w:rFonts w:ascii="Times New Roman" w:hAnsi="Times New Roman" w:cs="Times New Roman"/>
          <w:sz w:val="24"/>
          <w:szCs w:val="24"/>
        </w:rPr>
        <w:t xml:space="preserve"> rule.</w:t>
      </w:r>
    </w:p>
    <w:p w14:paraId="0895AD42" w14:textId="77777777" w:rsidR="00D05A2C" w:rsidRPr="005056B4" w:rsidRDefault="00D05A2C" w:rsidP="00E42A03">
      <w:pPr>
        <w:spacing w:line="480" w:lineRule="auto"/>
        <w:jc w:val="both"/>
        <w:rPr>
          <w:rFonts w:ascii="Times New Roman" w:hAnsi="Times New Roman" w:cs="Times New Roman"/>
          <w:sz w:val="24"/>
          <w:szCs w:val="24"/>
        </w:rPr>
      </w:pPr>
    </w:p>
    <w:p w14:paraId="71246F53"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Statistical Analysis</w:t>
      </w:r>
    </w:p>
    <w:p w14:paraId="1DCFC5C1" w14:textId="77777777"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The data obtained were </w:t>
      </w:r>
      <w:r>
        <w:rPr>
          <w:rFonts w:ascii="Times New Roman" w:hAnsi="Times New Roman" w:cs="Times New Roman"/>
          <w:sz w:val="24"/>
          <w:szCs w:val="24"/>
          <w:highlight w:val="yellow"/>
        </w:rPr>
        <w:t>summarised</w:t>
      </w:r>
      <w:r>
        <w:rPr>
          <w:rFonts w:ascii="Times New Roman" w:hAnsi="Times New Roman" w:cs="Times New Roman"/>
          <w:sz w:val="24"/>
          <w:szCs w:val="24"/>
        </w:rPr>
        <w:t xml:space="preserve"> and expressed as mean ± standard error of the mean (SEM) from three replicates. Statistical analysis was performed using two-way analysis of variance (ANOVA). Statistical significance was tested at a 95</w:t>
      </w:r>
      <w:r w:rsidR="00FA225F">
        <w:rPr>
          <w:rFonts w:ascii="Times New Roman" w:hAnsi="Times New Roman" w:cs="Times New Roman"/>
          <w:sz w:val="24"/>
          <w:szCs w:val="24"/>
        </w:rPr>
        <w:t xml:space="preserve"> </w:t>
      </w:r>
      <w:r w:rsidRPr="005056B4">
        <w:rPr>
          <w:rFonts w:ascii="Times New Roman" w:hAnsi="Times New Roman" w:cs="Times New Roman"/>
          <w:sz w:val="24"/>
          <w:szCs w:val="24"/>
        </w:rPr>
        <w:t xml:space="preserve">% confidence level (P = 0.05) following the procedures described by Ogwumike (2002), </w:t>
      </w:r>
      <w:proofErr w:type="spellStart"/>
      <w:r w:rsidRPr="005056B4">
        <w:rPr>
          <w:rFonts w:ascii="Times New Roman" w:hAnsi="Times New Roman" w:cs="Times New Roman"/>
          <w:sz w:val="24"/>
          <w:szCs w:val="24"/>
        </w:rPr>
        <w:t>Ubom</w:t>
      </w:r>
      <w:proofErr w:type="spellEnd"/>
      <w:r w:rsidRPr="005056B4">
        <w:rPr>
          <w:rFonts w:ascii="Times New Roman" w:hAnsi="Times New Roman" w:cs="Times New Roman"/>
          <w:sz w:val="24"/>
          <w:szCs w:val="24"/>
          <w:highlight w:val="yellow"/>
        </w:rPr>
        <w:t xml:space="preserve"> (2004), and Adepoju and Adebanjo (2011)</w:t>
      </w:r>
      <w:r w:rsidRPr="005056B4">
        <w:rPr>
          <w:rFonts w:ascii="Times New Roman" w:hAnsi="Times New Roman" w:cs="Times New Roman"/>
          <w:sz w:val="24"/>
          <w:szCs w:val="24"/>
        </w:rPr>
        <w:t>.</w:t>
      </w:r>
    </w:p>
    <w:p w14:paraId="46E247AB" w14:textId="77777777" w:rsidR="00E62E5B" w:rsidRPr="005056B4" w:rsidRDefault="00E62E5B" w:rsidP="00E62E5B">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Results</w:t>
      </w:r>
    </w:p>
    <w:p w14:paraId="71E43AB1" w14:textId="77777777" w:rsidR="00E62E5B" w:rsidRPr="005056B4" w:rsidRDefault="00F8276F" w:rsidP="004C769E">
      <w:pPr>
        <w:spacing w:after="0" w:line="480" w:lineRule="auto"/>
        <w:jc w:val="both"/>
        <w:rPr>
          <w:rFonts w:ascii="Times New Roman" w:hAnsi="Times New Roman" w:cs="Times New Roman"/>
          <w:b/>
          <w:sz w:val="24"/>
          <w:szCs w:val="24"/>
        </w:rPr>
      </w:pPr>
      <w:r w:rsidRPr="005056B4">
        <w:rPr>
          <w:rFonts w:ascii="Times New Roman" w:eastAsiaTheme="minorEastAsia" w:hAnsi="Times New Roman" w:cs="Times New Roman"/>
          <w:b/>
          <w:color w:val="000000" w:themeColor="text1"/>
          <w:sz w:val="24"/>
          <w:szCs w:val="24"/>
        </w:rPr>
        <w:t xml:space="preserve">Table 1: </w:t>
      </w:r>
      <w:r w:rsidR="00E62E5B" w:rsidRPr="005056B4">
        <w:rPr>
          <w:rFonts w:ascii="Times New Roman" w:eastAsiaTheme="minorEastAsia" w:hAnsi="Times New Roman" w:cs="Times New Roman"/>
          <w:b/>
          <w:color w:val="000000" w:themeColor="text1"/>
          <w:sz w:val="24"/>
          <w:szCs w:val="24"/>
        </w:rPr>
        <w:t xml:space="preserve">Physio-chemical properties of Soil obtained in </w:t>
      </w:r>
      <w:r w:rsidR="00E62E5B" w:rsidRPr="005056B4">
        <w:rPr>
          <w:rFonts w:ascii="Times New Roman" w:hAnsi="Times New Roman" w:cs="Times New Roman"/>
          <w:b/>
          <w:sz w:val="24"/>
          <w:szCs w:val="24"/>
        </w:rPr>
        <w:t>Botanical Garden</w:t>
      </w:r>
      <w:r w:rsidR="008C700C">
        <w:rPr>
          <w:rFonts w:ascii="Times New Roman" w:hAnsi="Times New Roman" w:cs="Times New Roman"/>
          <w:b/>
          <w:sz w:val="24"/>
          <w:szCs w:val="24"/>
        </w:rPr>
        <w:t>,</w:t>
      </w:r>
      <w:r w:rsidR="00E62E5B" w:rsidRPr="005056B4">
        <w:rPr>
          <w:rFonts w:ascii="Times New Roman" w:hAnsi="Times New Roman" w:cs="Times New Roman"/>
          <w:b/>
          <w:sz w:val="24"/>
          <w:szCs w:val="24"/>
        </w:rPr>
        <w:t xml:space="preserve"> Department of Plant Scienc</w:t>
      </w:r>
      <w:r w:rsidR="00077A05" w:rsidRPr="005056B4">
        <w:rPr>
          <w:rFonts w:ascii="Times New Roman" w:hAnsi="Times New Roman" w:cs="Times New Roman"/>
          <w:b/>
          <w:sz w:val="24"/>
          <w:szCs w:val="24"/>
        </w:rPr>
        <w:t xml:space="preserve">es, </w:t>
      </w:r>
      <w:r w:rsidR="00E62E5B" w:rsidRPr="005056B4">
        <w:rPr>
          <w:rFonts w:ascii="Times New Roman" w:hAnsi="Times New Roman" w:cs="Times New Roman"/>
          <w:b/>
          <w:sz w:val="24"/>
          <w:szCs w:val="24"/>
        </w:rPr>
        <w:t>Akwa Ibom State University</w:t>
      </w:r>
      <w:r w:rsidR="008C700C">
        <w:rPr>
          <w:rFonts w:ascii="Times New Roman" w:hAnsi="Times New Roman" w:cs="Times New Roman"/>
          <w:b/>
          <w:sz w:val="24"/>
          <w:szCs w:val="24"/>
        </w:rPr>
        <w:t>, Nigeria.</w:t>
      </w:r>
      <w:r w:rsidR="00E62E5B" w:rsidRPr="005056B4">
        <w:rPr>
          <w:rFonts w:ascii="Times New Roman" w:hAnsi="Times New Roman" w:cs="Times New Roman"/>
          <w:b/>
          <w:sz w:val="24"/>
          <w:szCs w:val="24"/>
        </w:rPr>
        <w:t xml:space="preserve"> </w:t>
      </w:r>
    </w:p>
    <w:tbl>
      <w:tblPr>
        <w:tblW w:w="0" w:type="auto"/>
        <w:tblInd w:w="828" w:type="dxa"/>
        <w:tblLook w:val="04A0" w:firstRow="1" w:lastRow="0" w:firstColumn="1" w:lastColumn="0" w:noHBand="0" w:noVBand="1"/>
      </w:tblPr>
      <w:tblGrid>
        <w:gridCol w:w="3047"/>
        <w:gridCol w:w="2171"/>
      </w:tblGrid>
      <w:tr w:rsidR="00077A05" w:rsidRPr="005056B4" w14:paraId="0070B880" w14:textId="77777777" w:rsidTr="005048DF">
        <w:tc>
          <w:tcPr>
            <w:tcW w:w="3047" w:type="dxa"/>
            <w:tcBorders>
              <w:top w:val="single" w:sz="4" w:space="0" w:color="auto"/>
            </w:tcBorders>
          </w:tcPr>
          <w:p w14:paraId="5BAC94C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Depth (cm)</w:t>
            </w:r>
          </w:p>
        </w:tc>
        <w:tc>
          <w:tcPr>
            <w:tcW w:w="2171" w:type="dxa"/>
            <w:tcBorders>
              <w:top w:val="single" w:sz="4" w:space="0" w:color="auto"/>
            </w:tcBorders>
          </w:tcPr>
          <w:p w14:paraId="06D3A51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0-20</w:t>
            </w:r>
          </w:p>
        </w:tc>
      </w:tr>
      <w:tr w:rsidR="00077A05" w:rsidRPr="005056B4" w14:paraId="4779B204" w14:textId="77777777" w:rsidTr="005048DF">
        <w:tc>
          <w:tcPr>
            <w:tcW w:w="3047" w:type="dxa"/>
          </w:tcPr>
          <w:p w14:paraId="7F62BDD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pH (H</w:t>
            </w:r>
            <w:r w:rsidRPr="005056B4">
              <w:rPr>
                <w:rFonts w:ascii="Times New Roman" w:eastAsiaTheme="minorEastAsia" w:hAnsi="Times New Roman" w:cs="Times New Roman"/>
                <w:sz w:val="24"/>
                <w:szCs w:val="24"/>
                <w:vertAlign w:val="subscript"/>
              </w:rPr>
              <w:t>2</w:t>
            </w:r>
            <w:r w:rsidRPr="005056B4">
              <w:rPr>
                <w:rFonts w:ascii="Times New Roman" w:eastAsiaTheme="minorEastAsia" w:hAnsi="Times New Roman" w:cs="Times New Roman"/>
                <w:sz w:val="24"/>
                <w:szCs w:val="24"/>
              </w:rPr>
              <w:t>0)</w:t>
            </w:r>
          </w:p>
        </w:tc>
        <w:tc>
          <w:tcPr>
            <w:tcW w:w="2171" w:type="dxa"/>
          </w:tcPr>
          <w:p w14:paraId="0A1AF6C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5.30</w:t>
            </w:r>
          </w:p>
        </w:tc>
      </w:tr>
      <w:tr w:rsidR="00077A05" w:rsidRPr="005056B4" w14:paraId="5EEF8FCF" w14:textId="77777777" w:rsidTr="005048DF">
        <w:tc>
          <w:tcPr>
            <w:tcW w:w="3047" w:type="dxa"/>
          </w:tcPr>
          <w:p w14:paraId="22AF241D" w14:textId="77777777" w:rsidR="00077A05" w:rsidRPr="005056B4" w:rsidRDefault="00077A05" w:rsidP="005048DF">
            <w:pPr>
              <w:spacing w:after="0" w:line="360" w:lineRule="auto"/>
              <w:jc w:val="both"/>
              <w:rPr>
                <w:rFonts w:ascii="Times New Roman" w:eastAsiaTheme="minorEastAsia" w:hAnsi="Times New Roman" w:cs="Times New Roman"/>
                <w:b/>
                <w:sz w:val="24"/>
                <w:szCs w:val="24"/>
              </w:rPr>
            </w:pPr>
            <w:r w:rsidRPr="005056B4">
              <w:rPr>
                <w:rFonts w:ascii="Times New Roman" w:eastAsiaTheme="minorEastAsia" w:hAnsi="Times New Roman" w:cs="Times New Roman"/>
                <w:b/>
                <w:sz w:val="24"/>
                <w:szCs w:val="24"/>
              </w:rPr>
              <w:t>Particles size</w:t>
            </w:r>
          </w:p>
        </w:tc>
        <w:tc>
          <w:tcPr>
            <w:tcW w:w="2171" w:type="dxa"/>
          </w:tcPr>
          <w:p w14:paraId="34092C2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4350EFED" w14:textId="77777777" w:rsidTr="005048DF">
        <w:tc>
          <w:tcPr>
            <w:tcW w:w="3047" w:type="dxa"/>
          </w:tcPr>
          <w:p w14:paraId="276CE88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Distribution (g/kg)</w:t>
            </w:r>
          </w:p>
        </w:tc>
        <w:tc>
          <w:tcPr>
            <w:tcW w:w="2171" w:type="dxa"/>
          </w:tcPr>
          <w:p w14:paraId="1820F48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6BFC2831" w14:textId="77777777" w:rsidTr="005048DF">
        <w:tc>
          <w:tcPr>
            <w:tcW w:w="3047" w:type="dxa"/>
          </w:tcPr>
          <w:p w14:paraId="131122A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lastRenderedPageBreak/>
              <w:t>Sand</w:t>
            </w:r>
          </w:p>
        </w:tc>
        <w:tc>
          <w:tcPr>
            <w:tcW w:w="2171" w:type="dxa"/>
          </w:tcPr>
          <w:p w14:paraId="136A319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831</w:t>
            </w:r>
          </w:p>
        </w:tc>
      </w:tr>
      <w:tr w:rsidR="00077A05" w:rsidRPr="005056B4" w14:paraId="530D77EF" w14:textId="77777777" w:rsidTr="005048DF">
        <w:tc>
          <w:tcPr>
            <w:tcW w:w="3047" w:type="dxa"/>
          </w:tcPr>
          <w:p w14:paraId="439ED98F"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Silt</w:t>
            </w:r>
          </w:p>
        </w:tc>
        <w:tc>
          <w:tcPr>
            <w:tcW w:w="2171" w:type="dxa"/>
          </w:tcPr>
          <w:p w14:paraId="400D233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50</w:t>
            </w:r>
          </w:p>
        </w:tc>
      </w:tr>
      <w:tr w:rsidR="00077A05" w:rsidRPr="005056B4" w14:paraId="59E66F58" w14:textId="77777777" w:rsidTr="005048DF">
        <w:tc>
          <w:tcPr>
            <w:tcW w:w="3047" w:type="dxa"/>
          </w:tcPr>
          <w:p w14:paraId="46BEDC13"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Clay</w:t>
            </w:r>
          </w:p>
        </w:tc>
        <w:tc>
          <w:tcPr>
            <w:tcW w:w="2171" w:type="dxa"/>
          </w:tcPr>
          <w:p w14:paraId="230D8CF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119</w:t>
            </w:r>
          </w:p>
        </w:tc>
      </w:tr>
      <w:tr w:rsidR="00077A05" w:rsidRPr="005056B4" w14:paraId="1D29F771" w14:textId="77777777" w:rsidTr="005048DF">
        <w:tc>
          <w:tcPr>
            <w:tcW w:w="3047" w:type="dxa"/>
          </w:tcPr>
          <w:p w14:paraId="784A6DF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Texture</w:t>
            </w:r>
          </w:p>
        </w:tc>
        <w:tc>
          <w:tcPr>
            <w:tcW w:w="2171" w:type="dxa"/>
          </w:tcPr>
          <w:p w14:paraId="5A69854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Ls</w:t>
            </w:r>
          </w:p>
        </w:tc>
      </w:tr>
      <w:tr w:rsidR="00077A05" w:rsidRPr="005056B4" w14:paraId="40D40E7F" w14:textId="77777777" w:rsidTr="005048DF">
        <w:tc>
          <w:tcPr>
            <w:tcW w:w="3047" w:type="dxa"/>
          </w:tcPr>
          <w:p w14:paraId="6E0661F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OC</w:t>
            </w:r>
          </w:p>
        </w:tc>
        <w:tc>
          <w:tcPr>
            <w:tcW w:w="2171" w:type="dxa"/>
          </w:tcPr>
          <w:p w14:paraId="05E86E1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1.78</w:t>
            </w:r>
          </w:p>
        </w:tc>
      </w:tr>
      <w:tr w:rsidR="00077A05" w:rsidRPr="005056B4" w14:paraId="718F6AAA" w14:textId="77777777" w:rsidTr="005048DF">
        <w:tc>
          <w:tcPr>
            <w:tcW w:w="3047" w:type="dxa"/>
          </w:tcPr>
          <w:p w14:paraId="223CE313"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OM</w:t>
            </w:r>
          </w:p>
        </w:tc>
        <w:tc>
          <w:tcPr>
            <w:tcW w:w="2171" w:type="dxa"/>
          </w:tcPr>
          <w:p w14:paraId="14E0079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3.07</w:t>
            </w:r>
          </w:p>
        </w:tc>
      </w:tr>
      <w:tr w:rsidR="00077A05" w:rsidRPr="005056B4" w14:paraId="7465146C" w14:textId="77777777" w:rsidTr="005048DF">
        <w:tc>
          <w:tcPr>
            <w:tcW w:w="3047" w:type="dxa"/>
          </w:tcPr>
          <w:p w14:paraId="25FBFAE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TN</w:t>
            </w:r>
          </w:p>
        </w:tc>
        <w:tc>
          <w:tcPr>
            <w:tcW w:w="2171" w:type="dxa"/>
          </w:tcPr>
          <w:p w14:paraId="4ED59FE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0.18</w:t>
            </w:r>
          </w:p>
        </w:tc>
      </w:tr>
      <w:tr w:rsidR="00077A05" w:rsidRPr="005056B4" w14:paraId="5CECEE4B" w14:textId="77777777" w:rsidTr="005048DF">
        <w:tc>
          <w:tcPr>
            <w:tcW w:w="3047" w:type="dxa"/>
          </w:tcPr>
          <w:p w14:paraId="64CD5E74" w14:textId="77777777" w:rsidR="00077A05" w:rsidRPr="005056B4" w:rsidRDefault="007E4DF9" w:rsidP="005048DF">
            <w:pPr>
              <w:spacing w:after="0" w:line="360" w:lineRule="auto"/>
              <w:jc w:val="both"/>
              <w:rPr>
                <w:rFonts w:ascii="Times New Roman" w:eastAsiaTheme="minorEastAsia" w:hAnsi="Times New Roman" w:cs="Times New Roman"/>
                <w:b/>
                <w:bCs/>
                <w:sz w:val="24"/>
                <w:szCs w:val="24"/>
              </w:rPr>
            </w:pPr>
            <w:r w:rsidRPr="005056B4">
              <w:rPr>
                <w:rFonts w:ascii="Times New Roman" w:eastAsiaTheme="minorEastAsia" w:hAnsi="Times New Roman" w:cs="Times New Roman"/>
                <w:b/>
                <w:bCs/>
                <w:sz w:val="24"/>
                <w:szCs w:val="24"/>
              </w:rPr>
              <w:t>C</w:t>
            </w:r>
            <w:r w:rsidR="00077A05" w:rsidRPr="005056B4">
              <w:rPr>
                <w:rFonts w:ascii="Times New Roman" w:eastAsiaTheme="minorEastAsia" w:hAnsi="Times New Roman" w:cs="Times New Roman"/>
                <w:b/>
                <w:bCs/>
                <w:sz w:val="24"/>
                <w:szCs w:val="24"/>
              </w:rPr>
              <w:t>ations</w:t>
            </w:r>
          </w:p>
        </w:tc>
        <w:tc>
          <w:tcPr>
            <w:tcW w:w="2171" w:type="dxa"/>
          </w:tcPr>
          <w:p w14:paraId="35AD85A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4D3DBD42" w14:textId="77777777" w:rsidTr="005048DF">
        <w:tc>
          <w:tcPr>
            <w:tcW w:w="3047" w:type="dxa"/>
          </w:tcPr>
          <w:p w14:paraId="087EADE8"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roofErr w:type="spellStart"/>
            <w:r w:rsidRPr="005056B4">
              <w:rPr>
                <w:rFonts w:ascii="Times New Roman" w:eastAsiaTheme="minorEastAsia" w:hAnsi="Times New Roman" w:cs="Times New Roman"/>
                <w:sz w:val="24"/>
                <w:szCs w:val="24"/>
              </w:rPr>
              <w:t>Cmol</w:t>
            </w:r>
            <w:proofErr w:type="spellEnd"/>
            <w:r w:rsidRPr="005056B4">
              <w:rPr>
                <w:rFonts w:ascii="Times New Roman" w:eastAsiaTheme="minorEastAsia" w:hAnsi="Times New Roman" w:cs="Times New Roman"/>
                <w:sz w:val="24"/>
                <w:szCs w:val="24"/>
              </w:rPr>
              <w:t>/kg</w:t>
            </w:r>
          </w:p>
        </w:tc>
        <w:tc>
          <w:tcPr>
            <w:tcW w:w="2171" w:type="dxa"/>
          </w:tcPr>
          <w:p w14:paraId="7EE25E0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72519D48" w14:textId="77777777" w:rsidTr="005048DF">
        <w:tc>
          <w:tcPr>
            <w:tcW w:w="3047" w:type="dxa"/>
          </w:tcPr>
          <w:p w14:paraId="549265E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Ca</w:t>
            </w:r>
          </w:p>
        </w:tc>
        <w:tc>
          <w:tcPr>
            <w:tcW w:w="2171" w:type="dxa"/>
          </w:tcPr>
          <w:p w14:paraId="0F5CB32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1.80</w:t>
            </w:r>
          </w:p>
        </w:tc>
      </w:tr>
      <w:tr w:rsidR="00077A05" w:rsidRPr="005056B4" w14:paraId="3AA97D9E" w14:textId="77777777" w:rsidTr="005048DF">
        <w:tc>
          <w:tcPr>
            <w:tcW w:w="3047" w:type="dxa"/>
          </w:tcPr>
          <w:p w14:paraId="400BC34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Mg</w:t>
            </w:r>
          </w:p>
        </w:tc>
        <w:tc>
          <w:tcPr>
            <w:tcW w:w="2171" w:type="dxa"/>
          </w:tcPr>
          <w:p w14:paraId="1E4E3DE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1.17</w:t>
            </w:r>
          </w:p>
        </w:tc>
      </w:tr>
      <w:tr w:rsidR="00077A05" w:rsidRPr="005056B4" w14:paraId="0E2C004C" w14:textId="77777777" w:rsidTr="005048DF">
        <w:tc>
          <w:tcPr>
            <w:tcW w:w="3047" w:type="dxa"/>
          </w:tcPr>
          <w:p w14:paraId="1344E0C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Na</w:t>
            </w:r>
          </w:p>
        </w:tc>
        <w:tc>
          <w:tcPr>
            <w:tcW w:w="2171" w:type="dxa"/>
          </w:tcPr>
          <w:p w14:paraId="5471007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0.27</w:t>
            </w:r>
          </w:p>
        </w:tc>
      </w:tr>
      <w:tr w:rsidR="00077A05" w:rsidRPr="005056B4" w14:paraId="58C752C0" w14:textId="77777777" w:rsidTr="005048DF">
        <w:tc>
          <w:tcPr>
            <w:tcW w:w="3047" w:type="dxa"/>
          </w:tcPr>
          <w:p w14:paraId="49140B0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K</w:t>
            </w:r>
          </w:p>
        </w:tc>
        <w:tc>
          <w:tcPr>
            <w:tcW w:w="2171" w:type="dxa"/>
          </w:tcPr>
          <w:p w14:paraId="20F7AD7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0.56</w:t>
            </w:r>
          </w:p>
        </w:tc>
      </w:tr>
      <w:tr w:rsidR="00077A05" w:rsidRPr="005056B4" w14:paraId="048D6897" w14:textId="77777777" w:rsidTr="005048DF">
        <w:tc>
          <w:tcPr>
            <w:tcW w:w="3047" w:type="dxa"/>
          </w:tcPr>
          <w:p w14:paraId="71BE6E6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xml:space="preserve">ECEC </w:t>
            </w:r>
            <w:proofErr w:type="spellStart"/>
            <w:r w:rsidRPr="005056B4">
              <w:rPr>
                <w:rFonts w:ascii="Times New Roman" w:eastAsiaTheme="minorEastAsia" w:hAnsi="Times New Roman" w:cs="Times New Roman"/>
                <w:sz w:val="24"/>
                <w:szCs w:val="24"/>
              </w:rPr>
              <w:t>cmul</w:t>
            </w:r>
            <w:proofErr w:type="spellEnd"/>
            <w:r w:rsidRPr="005056B4">
              <w:rPr>
                <w:rFonts w:ascii="Times New Roman" w:eastAsiaTheme="minorEastAsia" w:hAnsi="Times New Roman" w:cs="Times New Roman"/>
                <w:sz w:val="24"/>
                <w:szCs w:val="24"/>
              </w:rPr>
              <w:t>/kg</w:t>
            </w:r>
          </w:p>
        </w:tc>
        <w:tc>
          <w:tcPr>
            <w:tcW w:w="2171" w:type="dxa"/>
          </w:tcPr>
          <w:p w14:paraId="319D8F4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4.40</w:t>
            </w:r>
          </w:p>
        </w:tc>
      </w:tr>
      <w:tr w:rsidR="00077A05" w:rsidRPr="005056B4" w14:paraId="3BF9F437" w14:textId="77777777" w:rsidTr="005048DF">
        <w:tc>
          <w:tcPr>
            <w:tcW w:w="3047" w:type="dxa"/>
          </w:tcPr>
          <w:p w14:paraId="3FF2104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%BS</w:t>
            </w:r>
          </w:p>
        </w:tc>
        <w:tc>
          <w:tcPr>
            <w:tcW w:w="2171" w:type="dxa"/>
          </w:tcPr>
          <w:p w14:paraId="4466EF5F"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86.36</w:t>
            </w:r>
          </w:p>
        </w:tc>
      </w:tr>
      <w:tr w:rsidR="00077A05" w:rsidRPr="005056B4" w14:paraId="2BC487E9" w14:textId="77777777" w:rsidTr="005048DF">
        <w:tc>
          <w:tcPr>
            <w:tcW w:w="3047" w:type="dxa"/>
          </w:tcPr>
          <w:p w14:paraId="7F1AC09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P Mg/kg</w:t>
            </w:r>
          </w:p>
        </w:tc>
        <w:tc>
          <w:tcPr>
            <w:tcW w:w="2171" w:type="dxa"/>
          </w:tcPr>
          <w:p w14:paraId="405C30AF"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11.97</w:t>
            </w:r>
          </w:p>
        </w:tc>
      </w:tr>
      <w:tr w:rsidR="00077A05" w:rsidRPr="005056B4" w14:paraId="45EF68D6" w14:textId="77777777" w:rsidTr="005048DF">
        <w:tc>
          <w:tcPr>
            <w:tcW w:w="3047" w:type="dxa"/>
          </w:tcPr>
          <w:p w14:paraId="2D9EC36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Tea</w:t>
            </w:r>
          </w:p>
        </w:tc>
        <w:tc>
          <w:tcPr>
            <w:tcW w:w="2171" w:type="dxa"/>
          </w:tcPr>
          <w:p w14:paraId="3EBBCE8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0.60</w:t>
            </w:r>
          </w:p>
        </w:tc>
      </w:tr>
      <w:tr w:rsidR="00077A05" w:rsidRPr="005056B4" w14:paraId="33B906DE" w14:textId="77777777" w:rsidTr="005048DF">
        <w:tc>
          <w:tcPr>
            <w:tcW w:w="3047" w:type="dxa"/>
          </w:tcPr>
          <w:p w14:paraId="0C95B86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A1</w:t>
            </w:r>
            <w:r w:rsidRPr="005056B4">
              <w:rPr>
                <w:rFonts w:ascii="Times New Roman" w:eastAsiaTheme="minorEastAsia" w:hAnsi="Times New Roman" w:cs="Times New Roman"/>
                <w:sz w:val="24"/>
                <w:szCs w:val="24"/>
                <w:vertAlign w:val="superscript"/>
              </w:rPr>
              <w:t>2</w:t>
            </w:r>
          </w:p>
        </w:tc>
        <w:tc>
          <w:tcPr>
            <w:tcW w:w="2171" w:type="dxa"/>
          </w:tcPr>
          <w:p w14:paraId="66CF248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0.49</w:t>
            </w:r>
          </w:p>
        </w:tc>
      </w:tr>
      <w:tr w:rsidR="00077A05" w:rsidRPr="005056B4" w14:paraId="71AB5BF5" w14:textId="77777777" w:rsidTr="005048DF">
        <w:tc>
          <w:tcPr>
            <w:tcW w:w="3047" w:type="dxa"/>
          </w:tcPr>
          <w:p w14:paraId="5C49327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H</w:t>
            </w:r>
            <w:r w:rsidRPr="005056B4">
              <w:rPr>
                <w:rFonts w:ascii="Times New Roman" w:eastAsiaTheme="minorEastAsia" w:hAnsi="Times New Roman" w:cs="Times New Roman"/>
                <w:sz w:val="24"/>
                <w:szCs w:val="24"/>
                <w:vertAlign w:val="superscript"/>
              </w:rPr>
              <w:t>-</w:t>
            </w:r>
          </w:p>
        </w:tc>
        <w:tc>
          <w:tcPr>
            <w:tcW w:w="2171" w:type="dxa"/>
          </w:tcPr>
          <w:p w14:paraId="7F22B5F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0.11</w:t>
            </w:r>
          </w:p>
        </w:tc>
      </w:tr>
      <w:tr w:rsidR="00077A05" w:rsidRPr="005056B4" w14:paraId="154C93D9" w14:textId="77777777" w:rsidTr="005048DF">
        <w:tc>
          <w:tcPr>
            <w:tcW w:w="3047" w:type="dxa"/>
          </w:tcPr>
          <w:p w14:paraId="55F3ABD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EC d s/m</w:t>
            </w:r>
          </w:p>
        </w:tc>
        <w:tc>
          <w:tcPr>
            <w:tcW w:w="2171" w:type="dxa"/>
          </w:tcPr>
          <w:p w14:paraId="0013DE8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0.16</w:t>
            </w:r>
          </w:p>
        </w:tc>
      </w:tr>
      <w:tr w:rsidR="00077A05" w:rsidRPr="005056B4" w14:paraId="1EB018C9" w14:textId="77777777" w:rsidTr="005048DF">
        <w:tc>
          <w:tcPr>
            <w:tcW w:w="3047" w:type="dxa"/>
          </w:tcPr>
          <w:p w14:paraId="35D0A528"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Bio g/cm</w:t>
            </w:r>
          </w:p>
        </w:tc>
        <w:tc>
          <w:tcPr>
            <w:tcW w:w="2171" w:type="dxa"/>
          </w:tcPr>
          <w:p w14:paraId="205CAEF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1.8</w:t>
            </w:r>
          </w:p>
        </w:tc>
      </w:tr>
      <w:tr w:rsidR="00077A05" w:rsidRPr="005056B4" w14:paraId="218616CB" w14:textId="77777777" w:rsidTr="005048DF">
        <w:tc>
          <w:tcPr>
            <w:tcW w:w="3047" w:type="dxa"/>
            <w:tcBorders>
              <w:bottom w:val="single" w:sz="4" w:space="0" w:color="auto"/>
            </w:tcBorders>
          </w:tcPr>
          <w:p w14:paraId="64B3AA9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roofErr w:type="spellStart"/>
            <w:r w:rsidRPr="005056B4">
              <w:rPr>
                <w:rFonts w:ascii="Times New Roman" w:eastAsiaTheme="minorEastAsia" w:hAnsi="Times New Roman" w:cs="Times New Roman"/>
                <w:sz w:val="24"/>
                <w:szCs w:val="24"/>
              </w:rPr>
              <w:t>wHc</w:t>
            </w:r>
            <w:proofErr w:type="spellEnd"/>
            <w:r w:rsidRPr="005056B4">
              <w:rPr>
                <w:rFonts w:ascii="Times New Roman" w:eastAsiaTheme="minorEastAsia" w:hAnsi="Times New Roman" w:cs="Times New Roman"/>
                <w:sz w:val="24"/>
                <w:szCs w:val="24"/>
              </w:rPr>
              <w:t xml:space="preserve"> %</w:t>
            </w:r>
          </w:p>
        </w:tc>
        <w:tc>
          <w:tcPr>
            <w:tcW w:w="2171" w:type="dxa"/>
            <w:tcBorders>
              <w:bottom w:val="single" w:sz="4" w:space="0" w:color="auto"/>
            </w:tcBorders>
          </w:tcPr>
          <w:p w14:paraId="5BA3447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11.44</w:t>
            </w:r>
          </w:p>
        </w:tc>
      </w:tr>
    </w:tbl>
    <w:p w14:paraId="30253EDE" w14:textId="77777777" w:rsidR="00F8276F" w:rsidRPr="005056B4" w:rsidRDefault="00F8276F" w:rsidP="00D801B6">
      <w:pPr>
        <w:spacing w:line="480" w:lineRule="auto"/>
        <w:jc w:val="both"/>
        <w:rPr>
          <w:rFonts w:ascii="Times New Roman" w:hAnsi="Times New Roman" w:cs="Times New Roman"/>
          <w:sz w:val="24"/>
          <w:szCs w:val="24"/>
        </w:rPr>
      </w:pPr>
    </w:p>
    <w:p w14:paraId="1FE98B50" w14:textId="77777777" w:rsidR="00077A05" w:rsidRDefault="00077A05" w:rsidP="004C769E">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The physicochemical characteristics of the experimental soil are presented in Table 1. The soil, sampled from the 0</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surface layer, was moderately acidic (pH 5.30) and classified as </w:t>
      </w:r>
      <w:r w:rsidR="00E96A6A">
        <w:rPr>
          <w:rFonts w:ascii="Times New Roman" w:hAnsi="Times New Roman" w:cs="Times New Roman"/>
          <w:sz w:val="24"/>
          <w:szCs w:val="24"/>
        </w:rPr>
        <w:t>sand</w:t>
      </w:r>
      <w:r w:rsidRPr="005056B4">
        <w:rPr>
          <w:rFonts w:ascii="Times New Roman" w:hAnsi="Times New Roman" w:cs="Times New Roman"/>
          <w:sz w:val="24"/>
          <w:szCs w:val="24"/>
        </w:rPr>
        <w:t>y, with a predominance of sand (831 g kg⁻¹) and relatively low clay (119 g kg⁻¹). Soil fertility was generally low, as indicated by low organic carbon (1.78</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organic matter (3.07</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and total nitrogen (0.18</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 while available phosphorus was moderate (11.97 mg kg⁻¹). Exchangeable Ca, Mg, K, and Na were low, resulting in a low effective cation exchange capacity (4.40 </w:t>
      </w:r>
      <w:proofErr w:type="spellStart"/>
      <w:r w:rsidRPr="005056B4">
        <w:rPr>
          <w:rFonts w:ascii="Times New Roman" w:hAnsi="Times New Roman" w:cs="Times New Roman"/>
          <w:sz w:val="24"/>
          <w:szCs w:val="24"/>
        </w:rPr>
        <w:t>cmol</w:t>
      </w:r>
      <w:proofErr w:type="spellEnd"/>
      <w:r w:rsidRPr="005056B4">
        <w:rPr>
          <w:rFonts w:ascii="Times New Roman" w:hAnsi="Times New Roman" w:cs="Times New Roman"/>
          <w:sz w:val="24"/>
          <w:szCs w:val="24"/>
        </w:rPr>
        <w:t xml:space="preserve"> kg⁻¹), despite relatively high base saturation (86.36</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 Exchangeable acidity was low, with an exchangeable Al concentration of 0.49 </w:t>
      </w:r>
      <w:proofErr w:type="spellStart"/>
      <w:r w:rsidRPr="005056B4">
        <w:rPr>
          <w:rFonts w:ascii="Times New Roman" w:hAnsi="Times New Roman" w:cs="Times New Roman"/>
          <w:sz w:val="24"/>
          <w:szCs w:val="24"/>
        </w:rPr>
        <w:t>cmol</w:t>
      </w:r>
      <w:proofErr w:type="spellEnd"/>
      <w:r w:rsidRPr="005056B4">
        <w:rPr>
          <w:rFonts w:ascii="Times New Roman" w:hAnsi="Times New Roman" w:cs="Times New Roman"/>
          <w:sz w:val="24"/>
          <w:szCs w:val="24"/>
        </w:rPr>
        <w:t xml:space="preserve"> kg⁻¹. The low electrical </w:t>
      </w:r>
      <w:r w:rsidRPr="005056B4">
        <w:rPr>
          <w:rFonts w:ascii="Times New Roman" w:hAnsi="Times New Roman" w:cs="Times New Roman"/>
          <w:sz w:val="24"/>
          <w:szCs w:val="24"/>
        </w:rPr>
        <w:lastRenderedPageBreak/>
        <w:t xml:space="preserve">conductivity (0.16 </w:t>
      </w:r>
      <w:proofErr w:type="spellStart"/>
      <w:r w:rsidRPr="005056B4">
        <w:rPr>
          <w:rFonts w:ascii="Times New Roman" w:hAnsi="Times New Roman" w:cs="Times New Roman"/>
          <w:sz w:val="24"/>
          <w:szCs w:val="24"/>
        </w:rPr>
        <w:t>dS</w:t>
      </w:r>
      <w:proofErr w:type="spellEnd"/>
      <w:r w:rsidRPr="005056B4">
        <w:rPr>
          <w:rFonts w:ascii="Times New Roman" w:hAnsi="Times New Roman" w:cs="Times New Roman"/>
          <w:sz w:val="24"/>
          <w:szCs w:val="24"/>
        </w:rPr>
        <w:t xml:space="preserve"> m⁻¹) indicated a non-saline soil. In addition, the relatively high bulk density (1.80 g cm⁻³) and low water-holding capacity (11.44</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 suggested limited moisture retention. Generally, the soil was </w:t>
      </w:r>
      <w:r>
        <w:rPr>
          <w:rFonts w:ascii="Times New Roman" w:hAnsi="Times New Roman" w:cs="Times New Roman"/>
          <w:sz w:val="24"/>
          <w:szCs w:val="24"/>
          <w:highlight w:val="yellow"/>
        </w:rPr>
        <w:t>characterised</w:t>
      </w:r>
      <w:r>
        <w:rPr>
          <w:rFonts w:ascii="Times New Roman" w:hAnsi="Times New Roman" w:cs="Times New Roman"/>
          <w:sz w:val="24"/>
          <w:szCs w:val="24"/>
        </w:rPr>
        <w:t xml:space="preserve"> by moderate acidity, low fertility and nutrient-retention capacity, moderate phosphorus availability, and limited water-holding capacity, conditions that may influence crop growth and responses to drought stress.</w:t>
      </w:r>
    </w:p>
    <w:p w14:paraId="5D924C89" w14:textId="77777777" w:rsidR="00004AB3" w:rsidRPr="005056B4" w:rsidRDefault="00004AB3" w:rsidP="00D76FC9">
      <w:pPr>
        <w:spacing w:after="0" w:line="360" w:lineRule="auto"/>
        <w:jc w:val="both"/>
        <w:rPr>
          <w:rFonts w:ascii="Times New Roman" w:hAnsi="Times New Roman" w:cs="Times New Roman"/>
          <w:vanish/>
          <w:sz w:val="24"/>
          <w:szCs w:val="24"/>
        </w:rPr>
      </w:pPr>
      <w:r w:rsidRPr="005056B4">
        <w:rPr>
          <w:rFonts w:ascii="Times New Roman" w:hAnsi="Times New Roman" w:cs="Times New Roman"/>
          <w:b/>
          <w:sz w:val="24"/>
          <w:szCs w:val="24"/>
        </w:rPr>
        <w:t>Table 2:</w:t>
      </w:r>
      <w:r w:rsidR="00F8276F" w:rsidRPr="005056B4">
        <w:rPr>
          <w:rFonts w:ascii="Times New Roman" w:hAnsi="Times New Roman" w:cs="Times New Roman"/>
          <w:b/>
          <w:sz w:val="24"/>
          <w:szCs w:val="24"/>
        </w:rPr>
        <w:t xml:space="preserve"> Control experiment showing </w:t>
      </w:r>
      <w:r w:rsidRPr="005056B4">
        <w:rPr>
          <w:rFonts w:ascii="Times New Roman" w:hAnsi="Times New Roman" w:cs="Times New Roman"/>
          <w:b/>
          <w:sz w:val="24"/>
          <w:szCs w:val="24"/>
        </w:rPr>
        <w:t>Petiole Length</w:t>
      </w:r>
      <w:r w:rsidR="00D76FC9" w:rsidRPr="005056B4">
        <w:rPr>
          <w:rFonts w:ascii="Times New Roman" w:hAnsi="Times New Roman" w:cs="Times New Roman"/>
          <w:b/>
          <w:sz w:val="24"/>
          <w:szCs w:val="24"/>
        </w:rPr>
        <w:t xml:space="preserve"> of well-watered </w:t>
      </w:r>
      <w:r w:rsidRPr="005056B4">
        <w:rPr>
          <w:rFonts w:ascii="Times New Roman" w:hAnsi="Times New Roman" w:cs="Times New Roman"/>
          <w:b/>
          <w:i/>
          <w:sz w:val="24"/>
          <w:szCs w:val="24"/>
        </w:rPr>
        <w:t xml:space="preserve">V. </w:t>
      </w:r>
      <w:proofErr w:type="spellStart"/>
      <w:r w:rsidRPr="005056B4">
        <w:rPr>
          <w:rFonts w:ascii="Times New Roman" w:hAnsi="Times New Roman" w:cs="Times New Roman"/>
          <w:b/>
          <w:i/>
          <w:sz w:val="24"/>
          <w:szCs w:val="24"/>
        </w:rPr>
        <w:t>subteranea</w:t>
      </w:r>
      <w:proofErr w:type="spellEnd"/>
      <w:r w:rsidRPr="005056B4">
        <w:rPr>
          <w:rFonts w:ascii="Times New Roman" w:hAnsi="Times New Roman" w:cs="Times New Roman"/>
          <w:b/>
          <w:i/>
          <w:sz w:val="24"/>
          <w:szCs w:val="24"/>
        </w:rPr>
        <w:t xml:space="preserve"> </w:t>
      </w:r>
    </w:p>
    <w:tbl>
      <w:tblPr>
        <w:tblpPr w:leftFromText="180" w:rightFromText="180" w:vertAnchor="text" w:horzAnchor="margin" w:tblpY="38"/>
        <w:tblW w:w="8658" w:type="dxa"/>
        <w:tblBorders>
          <w:top w:val="single" w:sz="4" w:space="0" w:color="auto"/>
          <w:bottom w:val="single" w:sz="4" w:space="0" w:color="auto"/>
        </w:tblBorders>
        <w:tblLook w:val="04A0" w:firstRow="1" w:lastRow="0" w:firstColumn="1" w:lastColumn="0" w:noHBand="0" w:noVBand="1"/>
      </w:tblPr>
      <w:tblGrid>
        <w:gridCol w:w="776"/>
        <w:gridCol w:w="1506"/>
        <w:gridCol w:w="1516"/>
        <w:gridCol w:w="1620"/>
        <w:gridCol w:w="1620"/>
        <w:gridCol w:w="1620"/>
      </w:tblGrid>
      <w:tr w:rsidR="00004AB3" w:rsidRPr="005056B4" w14:paraId="7EBE51C1" w14:textId="77777777" w:rsidTr="005048DF">
        <w:trPr>
          <w:trHeight w:val="250"/>
        </w:trPr>
        <w:tc>
          <w:tcPr>
            <w:tcW w:w="776" w:type="dxa"/>
            <w:tcBorders>
              <w:top w:val="single" w:sz="4" w:space="0" w:color="auto"/>
              <w:bottom w:val="single" w:sz="4" w:space="0" w:color="auto"/>
            </w:tcBorders>
            <w:noWrap/>
          </w:tcPr>
          <w:p w14:paraId="508F00C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06" w:type="dxa"/>
            <w:tcBorders>
              <w:top w:val="single" w:sz="4" w:space="0" w:color="auto"/>
              <w:bottom w:val="single" w:sz="4" w:space="0" w:color="auto"/>
            </w:tcBorders>
            <w:noWrap/>
          </w:tcPr>
          <w:p w14:paraId="191CD5EA"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16" w:type="dxa"/>
            <w:tcBorders>
              <w:top w:val="single" w:sz="4" w:space="0" w:color="auto"/>
              <w:bottom w:val="single" w:sz="4" w:space="0" w:color="auto"/>
            </w:tcBorders>
            <w:noWrap/>
          </w:tcPr>
          <w:p w14:paraId="024737C5"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620" w:type="dxa"/>
            <w:tcBorders>
              <w:top w:val="single" w:sz="4" w:space="0" w:color="auto"/>
              <w:bottom w:val="single" w:sz="4" w:space="0" w:color="auto"/>
            </w:tcBorders>
            <w:noWrap/>
          </w:tcPr>
          <w:p w14:paraId="0133382B"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620" w:type="dxa"/>
            <w:tcBorders>
              <w:top w:val="single" w:sz="4" w:space="0" w:color="auto"/>
              <w:bottom w:val="single" w:sz="4" w:space="0" w:color="auto"/>
            </w:tcBorders>
            <w:noWrap/>
          </w:tcPr>
          <w:p w14:paraId="24FE748F"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620" w:type="dxa"/>
            <w:tcBorders>
              <w:top w:val="single" w:sz="4" w:space="0" w:color="auto"/>
              <w:bottom w:val="single" w:sz="4" w:space="0" w:color="auto"/>
            </w:tcBorders>
            <w:noWrap/>
          </w:tcPr>
          <w:p w14:paraId="50CA5F7E"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500D3937" w14:textId="77777777" w:rsidTr="005048DF">
        <w:trPr>
          <w:trHeight w:val="250"/>
        </w:trPr>
        <w:tc>
          <w:tcPr>
            <w:tcW w:w="776" w:type="dxa"/>
            <w:tcBorders>
              <w:top w:val="single" w:sz="4" w:space="0" w:color="auto"/>
            </w:tcBorders>
            <w:noWrap/>
            <w:hideMark/>
          </w:tcPr>
          <w:p w14:paraId="66534DB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06" w:type="dxa"/>
            <w:tcBorders>
              <w:top w:val="single" w:sz="4" w:space="0" w:color="auto"/>
            </w:tcBorders>
            <w:noWrap/>
          </w:tcPr>
          <w:p w14:paraId="24D8BE2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9.06</w:t>
            </w:r>
            <w:r w:rsidR="00D837E1">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D837E1">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w:t>
            </w:r>
          </w:p>
        </w:tc>
        <w:tc>
          <w:tcPr>
            <w:tcW w:w="1516" w:type="dxa"/>
            <w:tcBorders>
              <w:top w:val="single" w:sz="4" w:space="0" w:color="auto"/>
            </w:tcBorders>
            <w:noWrap/>
          </w:tcPr>
          <w:p w14:paraId="2A035D6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8.90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0.60</w:t>
            </w:r>
          </w:p>
        </w:tc>
        <w:tc>
          <w:tcPr>
            <w:tcW w:w="1620" w:type="dxa"/>
            <w:tcBorders>
              <w:top w:val="single" w:sz="4" w:space="0" w:color="auto"/>
            </w:tcBorders>
            <w:noWrap/>
          </w:tcPr>
          <w:p w14:paraId="5E23B2C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w:t>
            </w:r>
          </w:p>
        </w:tc>
        <w:tc>
          <w:tcPr>
            <w:tcW w:w="1620" w:type="dxa"/>
            <w:tcBorders>
              <w:top w:val="single" w:sz="4" w:space="0" w:color="auto"/>
            </w:tcBorders>
            <w:noWrap/>
          </w:tcPr>
          <w:p w14:paraId="1A8D6AA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1.84</w:t>
            </w:r>
          </w:p>
        </w:tc>
        <w:tc>
          <w:tcPr>
            <w:tcW w:w="1620" w:type="dxa"/>
            <w:tcBorders>
              <w:top w:val="single" w:sz="4" w:space="0" w:color="auto"/>
            </w:tcBorders>
            <w:noWrap/>
          </w:tcPr>
          <w:p w14:paraId="3E409E7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0.52</w:t>
            </w:r>
          </w:p>
        </w:tc>
      </w:tr>
      <w:tr w:rsidR="00004AB3" w:rsidRPr="005056B4" w14:paraId="482D2910" w14:textId="77777777" w:rsidTr="005048DF">
        <w:trPr>
          <w:trHeight w:val="266"/>
        </w:trPr>
        <w:tc>
          <w:tcPr>
            <w:tcW w:w="0" w:type="auto"/>
            <w:noWrap/>
            <w:hideMark/>
          </w:tcPr>
          <w:p w14:paraId="2658CCF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06" w:type="dxa"/>
            <w:noWrap/>
          </w:tcPr>
          <w:p w14:paraId="37BC25B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9.03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w:t>
            </w:r>
          </w:p>
        </w:tc>
        <w:tc>
          <w:tcPr>
            <w:tcW w:w="1516" w:type="dxa"/>
            <w:noWrap/>
          </w:tcPr>
          <w:p w14:paraId="47FF3B8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9.50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0.68</w:t>
            </w:r>
          </w:p>
        </w:tc>
        <w:tc>
          <w:tcPr>
            <w:tcW w:w="1620" w:type="dxa"/>
            <w:noWrap/>
          </w:tcPr>
          <w:p w14:paraId="259BEC1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9.73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w:t>
            </w:r>
          </w:p>
        </w:tc>
        <w:tc>
          <w:tcPr>
            <w:tcW w:w="1620" w:type="dxa"/>
            <w:noWrap/>
          </w:tcPr>
          <w:p w14:paraId="69BDB2E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2.13a</w:t>
            </w:r>
          </w:p>
        </w:tc>
        <w:tc>
          <w:tcPr>
            <w:tcW w:w="1620" w:type="dxa"/>
            <w:noWrap/>
          </w:tcPr>
          <w:p w14:paraId="2D84513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10.93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r>
      <w:tr w:rsidR="00004AB3" w:rsidRPr="005056B4" w14:paraId="43CC8813" w14:textId="77777777" w:rsidTr="005048DF">
        <w:trPr>
          <w:trHeight w:val="250"/>
        </w:trPr>
        <w:tc>
          <w:tcPr>
            <w:tcW w:w="0" w:type="auto"/>
            <w:noWrap/>
            <w:hideMark/>
          </w:tcPr>
          <w:p w14:paraId="078D227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06" w:type="dxa"/>
            <w:noWrap/>
          </w:tcPr>
          <w:p w14:paraId="4C70901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516" w:type="dxa"/>
            <w:noWrap/>
          </w:tcPr>
          <w:p w14:paraId="1554A02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11.13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6A9154F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11.33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0.41a</w:t>
            </w:r>
          </w:p>
        </w:tc>
        <w:tc>
          <w:tcPr>
            <w:tcW w:w="1620" w:type="dxa"/>
            <w:noWrap/>
          </w:tcPr>
          <w:p w14:paraId="6476065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1.44a</w:t>
            </w:r>
          </w:p>
        </w:tc>
        <w:tc>
          <w:tcPr>
            <w:tcW w:w="1620" w:type="dxa"/>
            <w:noWrap/>
          </w:tcPr>
          <w:p w14:paraId="1EDDF35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11.60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0.36a</w:t>
            </w:r>
          </w:p>
        </w:tc>
      </w:tr>
      <w:tr w:rsidR="00004AB3" w:rsidRPr="005056B4" w14:paraId="56796298" w14:textId="77777777" w:rsidTr="005048DF">
        <w:trPr>
          <w:trHeight w:val="250"/>
        </w:trPr>
        <w:tc>
          <w:tcPr>
            <w:tcW w:w="0" w:type="auto"/>
            <w:noWrap/>
            <w:hideMark/>
          </w:tcPr>
          <w:p w14:paraId="188D215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06" w:type="dxa"/>
            <w:noWrap/>
          </w:tcPr>
          <w:p w14:paraId="7944B15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0.61a</w:t>
            </w:r>
          </w:p>
        </w:tc>
        <w:tc>
          <w:tcPr>
            <w:tcW w:w="1516" w:type="dxa"/>
            <w:noWrap/>
          </w:tcPr>
          <w:p w14:paraId="5B53386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22A8C33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0.37a</w:t>
            </w:r>
          </w:p>
        </w:tc>
        <w:tc>
          <w:tcPr>
            <w:tcW w:w="1620" w:type="dxa"/>
            <w:noWrap/>
          </w:tcPr>
          <w:p w14:paraId="3F567E2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15.80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1.66a</w:t>
            </w:r>
          </w:p>
        </w:tc>
        <w:tc>
          <w:tcPr>
            <w:tcW w:w="1620" w:type="dxa"/>
            <w:noWrap/>
          </w:tcPr>
          <w:p w14:paraId="7432A88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11.85</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0.34a</w:t>
            </w:r>
          </w:p>
        </w:tc>
      </w:tr>
      <w:tr w:rsidR="00004AB3" w:rsidRPr="005056B4" w14:paraId="2F0B1AFC" w14:textId="77777777" w:rsidTr="005048DF">
        <w:trPr>
          <w:trHeight w:val="250"/>
        </w:trPr>
        <w:tc>
          <w:tcPr>
            <w:tcW w:w="0" w:type="auto"/>
            <w:noWrap/>
            <w:hideMark/>
          </w:tcPr>
          <w:p w14:paraId="09C849B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06" w:type="dxa"/>
            <w:noWrap/>
          </w:tcPr>
          <w:p w14:paraId="63C1E6C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0.43a</w:t>
            </w:r>
          </w:p>
        </w:tc>
        <w:tc>
          <w:tcPr>
            <w:tcW w:w="1516" w:type="dxa"/>
            <w:noWrap/>
          </w:tcPr>
          <w:p w14:paraId="20BF113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11.96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5D0482A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620" w:type="dxa"/>
            <w:noWrap/>
          </w:tcPr>
          <w:p w14:paraId="1114734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16.10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1.62a</w:t>
            </w:r>
          </w:p>
        </w:tc>
        <w:tc>
          <w:tcPr>
            <w:tcW w:w="1620" w:type="dxa"/>
            <w:noWrap/>
          </w:tcPr>
          <w:p w14:paraId="5896DF8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11.96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0.32a</w:t>
            </w:r>
          </w:p>
        </w:tc>
      </w:tr>
      <w:tr w:rsidR="00004AB3" w:rsidRPr="005056B4" w14:paraId="4E271AED" w14:textId="77777777" w:rsidTr="005048DF">
        <w:trPr>
          <w:trHeight w:val="266"/>
        </w:trPr>
        <w:tc>
          <w:tcPr>
            <w:tcW w:w="0" w:type="auto"/>
            <w:noWrap/>
            <w:hideMark/>
          </w:tcPr>
          <w:p w14:paraId="58170B9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06" w:type="dxa"/>
            <w:noWrap/>
          </w:tcPr>
          <w:p w14:paraId="0723813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0.61a</w:t>
            </w:r>
          </w:p>
        </w:tc>
        <w:tc>
          <w:tcPr>
            <w:tcW w:w="1516" w:type="dxa"/>
            <w:noWrap/>
          </w:tcPr>
          <w:p w14:paraId="7821A02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3D0AE63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0.86a</w:t>
            </w:r>
          </w:p>
        </w:tc>
        <w:tc>
          <w:tcPr>
            <w:tcW w:w="1620" w:type="dxa"/>
            <w:noWrap/>
          </w:tcPr>
          <w:p w14:paraId="662DCBC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1.31a</w:t>
            </w:r>
          </w:p>
        </w:tc>
        <w:tc>
          <w:tcPr>
            <w:tcW w:w="1620" w:type="dxa"/>
            <w:noWrap/>
          </w:tcPr>
          <w:p w14:paraId="05EF734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12.55</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0.44a</w:t>
            </w:r>
          </w:p>
        </w:tc>
      </w:tr>
      <w:tr w:rsidR="00004AB3" w:rsidRPr="005056B4" w14:paraId="68676C96" w14:textId="77777777" w:rsidTr="005048DF">
        <w:trPr>
          <w:trHeight w:val="250"/>
        </w:trPr>
        <w:tc>
          <w:tcPr>
            <w:tcW w:w="0" w:type="auto"/>
            <w:noWrap/>
            <w:hideMark/>
          </w:tcPr>
          <w:p w14:paraId="4D40DAA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06" w:type="dxa"/>
            <w:noWrap/>
          </w:tcPr>
          <w:p w14:paraId="4C11095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516" w:type="dxa"/>
            <w:noWrap/>
          </w:tcPr>
          <w:p w14:paraId="44A126A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12.70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1.30a</w:t>
            </w:r>
          </w:p>
        </w:tc>
        <w:tc>
          <w:tcPr>
            <w:tcW w:w="1620" w:type="dxa"/>
            <w:noWrap/>
          </w:tcPr>
          <w:p w14:paraId="7555984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0.88a</w:t>
            </w:r>
          </w:p>
        </w:tc>
        <w:tc>
          <w:tcPr>
            <w:tcW w:w="1620" w:type="dxa"/>
            <w:noWrap/>
          </w:tcPr>
          <w:p w14:paraId="6FBFEF6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1.63a</w:t>
            </w:r>
          </w:p>
        </w:tc>
        <w:tc>
          <w:tcPr>
            <w:tcW w:w="1620" w:type="dxa"/>
            <w:noWrap/>
          </w:tcPr>
          <w:p w14:paraId="315015F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0.41a</w:t>
            </w:r>
          </w:p>
        </w:tc>
      </w:tr>
      <w:tr w:rsidR="00004AB3" w:rsidRPr="005056B4" w14:paraId="26CA7FD7" w14:textId="77777777" w:rsidTr="005048DF">
        <w:trPr>
          <w:trHeight w:val="250"/>
        </w:trPr>
        <w:tc>
          <w:tcPr>
            <w:tcW w:w="0" w:type="auto"/>
            <w:noWrap/>
            <w:hideMark/>
          </w:tcPr>
          <w:p w14:paraId="62BD97B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06" w:type="dxa"/>
            <w:noWrap/>
          </w:tcPr>
          <w:p w14:paraId="1E7371C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516" w:type="dxa"/>
            <w:noWrap/>
          </w:tcPr>
          <w:p w14:paraId="4DDF93C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15357956" w14:textId="77777777" w:rsidR="00004AB3" w:rsidRPr="005056B4" w:rsidRDefault="005075BE"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13.40</w:t>
            </w:r>
            <w:r>
              <w:rPr>
                <w:rFonts w:ascii="Times New Roman" w:eastAsia="Times New Roman" w:hAnsi="Times New Roman" w:cs="Times New Roman"/>
                <w:sz w:val="24"/>
                <w:szCs w:val="24"/>
                <w:lang w:eastAsia="en-GB"/>
              </w:rPr>
              <w:t xml:space="preserve"> ±</w:t>
            </w:r>
            <w:r w:rsidR="00004AB3" w:rsidRPr="005056B4">
              <w:rPr>
                <w:rFonts w:ascii="Times New Roman" w:eastAsia="Times New Roman" w:hAnsi="Times New Roman" w:cs="Times New Roman"/>
                <w:sz w:val="24"/>
                <w:szCs w:val="24"/>
                <w:lang w:eastAsia="en-GB"/>
              </w:rPr>
              <w:t>1.11a</w:t>
            </w:r>
          </w:p>
        </w:tc>
        <w:tc>
          <w:tcPr>
            <w:tcW w:w="1620" w:type="dxa"/>
            <w:noWrap/>
          </w:tcPr>
          <w:p w14:paraId="3F7CA0A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1.67a</w:t>
            </w:r>
          </w:p>
        </w:tc>
        <w:tc>
          <w:tcPr>
            <w:tcW w:w="1620" w:type="dxa"/>
            <w:noWrap/>
          </w:tcPr>
          <w:p w14:paraId="2B2ADF6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0.44a</w:t>
            </w:r>
          </w:p>
        </w:tc>
      </w:tr>
      <w:tr w:rsidR="00004AB3" w:rsidRPr="005056B4" w14:paraId="7857A628" w14:textId="77777777" w:rsidTr="005048DF">
        <w:trPr>
          <w:trHeight w:val="266"/>
        </w:trPr>
        <w:tc>
          <w:tcPr>
            <w:tcW w:w="0" w:type="auto"/>
            <w:noWrap/>
            <w:hideMark/>
          </w:tcPr>
          <w:p w14:paraId="41971EC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06" w:type="dxa"/>
            <w:noWrap/>
          </w:tcPr>
          <w:p w14:paraId="5D841FD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0.48a</w:t>
            </w:r>
          </w:p>
        </w:tc>
        <w:tc>
          <w:tcPr>
            <w:tcW w:w="1516" w:type="dxa"/>
            <w:noWrap/>
          </w:tcPr>
          <w:p w14:paraId="30C7593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1.63a</w:t>
            </w:r>
          </w:p>
        </w:tc>
        <w:tc>
          <w:tcPr>
            <w:tcW w:w="1620" w:type="dxa"/>
            <w:noWrap/>
          </w:tcPr>
          <w:p w14:paraId="6AB7984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0.89a</w:t>
            </w:r>
          </w:p>
        </w:tc>
        <w:tc>
          <w:tcPr>
            <w:tcW w:w="1620" w:type="dxa"/>
            <w:noWrap/>
          </w:tcPr>
          <w:p w14:paraId="205AE10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597854B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1225F085" w14:textId="77777777" w:rsidTr="005048DF">
        <w:trPr>
          <w:trHeight w:val="250"/>
        </w:trPr>
        <w:tc>
          <w:tcPr>
            <w:tcW w:w="0" w:type="auto"/>
            <w:noWrap/>
            <w:hideMark/>
          </w:tcPr>
          <w:p w14:paraId="558E420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06" w:type="dxa"/>
            <w:noWrap/>
          </w:tcPr>
          <w:p w14:paraId="4D878C7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0.45a</w:t>
            </w:r>
          </w:p>
        </w:tc>
        <w:tc>
          <w:tcPr>
            <w:tcW w:w="1516" w:type="dxa"/>
            <w:noWrap/>
          </w:tcPr>
          <w:p w14:paraId="6424721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653ACE4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0.89a</w:t>
            </w:r>
          </w:p>
        </w:tc>
        <w:tc>
          <w:tcPr>
            <w:tcW w:w="1620" w:type="dxa"/>
            <w:noWrap/>
          </w:tcPr>
          <w:p w14:paraId="1C084A6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1.66a</w:t>
            </w:r>
          </w:p>
        </w:tc>
        <w:tc>
          <w:tcPr>
            <w:tcW w:w="1620" w:type="dxa"/>
            <w:noWrap/>
          </w:tcPr>
          <w:p w14:paraId="051BAF6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78B21C4C" w14:textId="77777777" w:rsidTr="005048DF">
        <w:trPr>
          <w:trHeight w:val="250"/>
        </w:trPr>
        <w:tc>
          <w:tcPr>
            <w:tcW w:w="0" w:type="auto"/>
            <w:noWrap/>
            <w:hideMark/>
          </w:tcPr>
          <w:p w14:paraId="5488E4D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06" w:type="dxa"/>
            <w:noWrap/>
          </w:tcPr>
          <w:p w14:paraId="22BF499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516" w:type="dxa"/>
            <w:noWrap/>
          </w:tcPr>
          <w:p w14:paraId="1F76347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14C8801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1.16a</w:t>
            </w:r>
          </w:p>
        </w:tc>
        <w:tc>
          <w:tcPr>
            <w:tcW w:w="1620" w:type="dxa"/>
            <w:noWrap/>
          </w:tcPr>
          <w:p w14:paraId="6AE5F22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1.29a</w:t>
            </w:r>
          </w:p>
        </w:tc>
        <w:tc>
          <w:tcPr>
            <w:tcW w:w="1620" w:type="dxa"/>
            <w:noWrap/>
          </w:tcPr>
          <w:p w14:paraId="1287A42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1.38a</w:t>
            </w:r>
          </w:p>
        </w:tc>
      </w:tr>
      <w:tr w:rsidR="00004AB3" w:rsidRPr="005056B4" w14:paraId="6C01EF75" w14:textId="77777777" w:rsidTr="005048DF">
        <w:trPr>
          <w:trHeight w:val="266"/>
        </w:trPr>
        <w:tc>
          <w:tcPr>
            <w:tcW w:w="0" w:type="auto"/>
            <w:noWrap/>
            <w:hideMark/>
          </w:tcPr>
          <w:p w14:paraId="63F49A8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06" w:type="dxa"/>
            <w:noWrap/>
          </w:tcPr>
          <w:p w14:paraId="39D8FDE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14.20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0.30a</w:t>
            </w:r>
          </w:p>
        </w:tc>
        <w:tc>
          <w:tcPr>
            <w:tcW w:w="1516" w:type="dxa"/>
            <w:noWrap/>
          </w:tcPr>
          <w:p w14:paraId="5490ED4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56EC2B7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14.63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0.92a</w:t>
            </w:r>
          </w:p>
        </w:tc>
        <w:tc>
          <w:tcPr>
            <w:tcW w:w="1620" w:type="dxa"/>
            <w:noWrap/>
          </w:tcPr>
          <w:p w14:paraId="3D4B55A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19.20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0E22E6E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462E9A63" w14:textId="77777777" w:rsidTr="005075BE">
        <w:trPr>
          <w:trHeight w:val="262"/>
        </w:trPr>
        <w:tc>
          <w:tcPr>
            <w:tcW w:w="0" w:type="auto"/>
            <w:noWrap/>
            <w:hideMark/>
          </w:tcPr>
          <w:p w14:paraId="214C41C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06" w:type="dxa"/>
            <w:noWrap/>
          </w:tcPr>
          <w:p w14:paraId="05846D4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0.12a</w:t>
            </w:r>
          </w:p>
        </w:tc>
        <w:tc>
          <w:tcPr>
            <w:tcW w:w="1516" w:type="dxa"/>
            <w:noWrap/>
          </w:tcPr>
          <w:p w14:paraId="445FF0B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1.20a</w:t>
            </w:r>
          </w:p>
        </w:tc>
        <w:tc>
          <w:tcPr>
            <w:tcW w:w="1620" w:type="dxa"/>
            <w:noWrap/>
          </w:tcPr>
          <w:p w14:paraId="2FA171D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620" w:type="dxa"/>
            <w:noWrap/>
          </w:tcPr>
          <w:p w14:paraId="5F9A3AF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19.70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1.35a</w:t>
            </w:r>
          </w:p>
        </w:tc>
        <w:tc>
          <w:tcPr>
            <w:tcW w:w="1620" w:type="dxa"/>
            <w:noWrap/>
          </w:tcPr>
          <w:p w14:paraId="3AD6315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0.00b</w:t>
            </w:r>
          </w:p>
        </w:tc>
      </w:tr>
    </w:tbl>
    <w:p w14:paraId="04E59705" w14:textId="77777777" w:rsidR="00D76FC9" w:rsidRPr="005325C6" w:rsidRDefault="00004AB3" w:rsidP="00D76FC9">
      <w:pPr>
        <w:spacing w:after="0" w:line="360" w:lineRule="auto"/>
        <w:jc w:val="both"/>
        <w:rPr>
          <w:rFonts w:ascii="Times New Roman" w:hAnsi="Times New Roman" w:cs="Times New Roman"/>
          <w:iCs/>
          <w:vanish/>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w:t>
      </w:r>
      <w:r w:rsidR="004C3B4E" w:rsidRPr="005056B4">
        <w:rPr>
          <w:rFonts w:ascii="Times New Roman" w:hAnsi="Times New Roman" w:cs="Times New Roman"/>
          <w:sz w:val="24"/>
          <w:szCs w:val="24"/>
        </w:rPr>
        <w:t xml:space="preserve"> </w:t>
      </w:r>
      <w:r w:rsidRPr="005056B4">
        <w:rPr>
          <w:rFonts w:ascii="Times New Roman" w:hAnsi="Times New Roman" w:cs="Times New Roman"/>
          <w:sz w:val="24"/>
          <w:szCs w:val="24"/>
        </w:rPr>
        <w:t>&lt;</w:t>
      </w:r>
      <w:r w:rsidR="004C3B4E" w:rsidRPr="005056B4">
        <w:rPr>
          <w:rFonts w:ascii="Times New Roman" w:hAnsi="Times New Roman" w:cs="Times New Roman"/>
          <w:sz w:val="24"/>
          <w:szCs w:val="24"/>
        </w:rPr>
        <w:t xml:space="preserve"> </w:t>
      </w:r>
      <w:r w:rsidRPr="005056B4">
        <w:rPr>
          <w:rFonts w:ascii="Times New Roman" w:hAnsi="Times New Roman" w:cs="Times New Roman"/>
          <w:sz w:val="24"/>
          <w:szCs w:val="24"/>
        </w:rPr>
        <w:t>0.0001.</w:t>
      </w:r>
      <w:r w:rsidR="005325C6">
        <w:rPr>
          <w:rFonts w:ascii="Times New Roman" w:hAnsi="Times New Roman" w:cs="Times New Roman"/>
          <w:sz w:val="24"/>
          <w:szCs w:val="24"/>
        </w:rPr>
        <w:t xml:space="preserve"> </w:t>
      </w:r>
      <w:r w:rsidR="00D76FC9" w:rsidRPr="005056B4">
        <w:rPr>
          <w:rFonts w:ascii="Times New Roman" w:hAnsi="Times New Roman" w:cs="Times New Roman"/>
          <w:sz w:val="24"/>
          <w:szCs w:val="24"/>
        </w:rPr>
        <w:t>C1 = Control experiment</w:t>
      </w:r>
      <w:r w:rsidR="005325C6">
        <w:rPr>
          <w:rFonts w:ascii="Times New Roman" w:hAnsi="Times New Roman" w:cs="Times New Roman"/>
          <w:sz w:val="24"/>
          <w:szCs w:val="24"/>
        </w:rPr>
        <w:t xml:space="preserve">; </w:t>
      </w:r>
      <w:r w:rsidR="00D76FC9" w:rsidRPr="005056B4">
        <w:rPr>
          <w:rFonts w:ascii="Times New Roman" w:hAnsi="Times New Roman" w:cs="Times New Roman"/>
          <w:sz w:val="24"/>
          <w:szCs w:val="24"/>
        </w:rPr>
        <w:t xml:space="preserve">TVSU 1 – 5 are the accession numbers of the different species of </w:t>
      </w:r>
      <w:r w:rsidR="00D76FC9" w:rsidRPr="005325C6">
        <w:rPr>
          <w:rFonts w:ascii="Times New Roman" w:hAnsi="Times New Roman" w:cs="Times New Roman"/>
          <w:bCs/>
          <w:i/>
          <w:sz w:val="24"/>
          <w:szCs w:val="24"/>
        </w:rPr>
        <w:t xml:space="preserve">V. </w:t>
      </w:r>
      <w:r w:rsidR="005325C6" w:rsidRPr="005325C6">
        <w:rPr>
          <w:rFonts w:ascii="Times New Roman" w:hAnsi="Times New Roman" w:cs="Times New Roman"/>
          <w:bCs/>
          <w:i/>
          <w:sz w:val="24"/>
          <w:szCs w:val="24"/>
        </w:rPr>
        <w:t>S</w:t>
      </w:r>
      <w:r w:rsidR="00D76FC9" w:rsidRPr="005325C6">
        <w:rPr>
          <w:rFonts w:ascii="Times New Roman" w:hAnsi="Times New Roman" w:cs="Times New Roman"/>
          <w:bCs/>
          <w:i/>
          <w:sz w:val="24"/>
          <w:szCs w:val="24"/>
        </w:rPr>
        <w:t>ubteranea</w:t>
      </w:r>
      <w:r w:rsidR="005325C6" w:rsidRPr="005325C6">
        <w:rPr>
          <w:rFonts w:ascii="Times New Roman" w:hAnsi="Times New Roman" w:cs="Times New Roman"/>
          <w:bCs/>
          <w:iCs/>
          <w:sz w:val="24"/>
          <w:szCs w:val="24"/>
        </w:rPr>
        <w:t>;</w:t>
      </w:r>
      <w:r w:rsidR="005325C6">
        <w:rPr>
          <w:rFonts w:ascii="Times New Roman" w:hAnsi="Times New Roman" w:cs="Times New Roman"/>
          <w:b/>
          <w:iCs/>
          <w:sz w:val="24"/>
          <w:szCs w:val="24"/>
        </w:rPr>
        <w:t xml:space="preserve"> </w:t>
      </w:r>
      <w:r w:rsidR="005325C6">
        <w:rPr>
          <w:rFonts w:ascii="Times New Roman" w:hAnsi="Times New Roman" w:cs="Times New Roman"/>
          <w:sz w:val="24"/>
          <w:szCs w:val="24"/>
        </w:rPr>
        <w:t>a</w:t>
      </w:r>
      <w:r w:rsidR="005325C6" w:rsidRPr="005056B4">
        <w:rPr>
          <w:rFonts w:ascii="Times New Roman" w:hAnsi="Times New Roman" w:cs="Times New Roman"/>
          <w:sz w:val="24"/>
          <w:szCs w:val="24"/>
        </w:rPr>
        <w:t xml:space="preserve"> = significant (P &lt; 0.001)</w:t>
      </w:r>
      <w:r w:rsidR="00570229">
        <w:rPr>
          <w:rFonts w:ascii="Times New Roman" w:hAnsi="Times New Roman" w:cs="Times New Roman"/>
          <w:sz w:val="24"/>
          <w:szCs w:val="24"/>
        </w:rPr>
        <w:t xml:space="preserve">; </w:t>
      </w:r>
    </w:p>
    <w:p w14:paraId="76DF4021" w14:textId="77777777" w:rsidR="00D76FC9" w:rsidRPr="005056B4" w:rsidRDefault="00D76FC9" w:rsidP="00004AB3">
      <w:pPr>
        <w:spacing w:after="0" w:line="360" w:lineRule="auto"/>
        <w:jc w:val="both"/>
        <w:rPr>
          <w:rFonts w:ascii="Times New Roman" w:hAnsi="Times New Roman" w:cs="Times New Roman"/>
          <w:sz w:val="24"/>
          <w:szCs w:val="24"/>
        </w:rPr>
      </w:pPr>
    </w:p>
    <w:p w14:paraId="6DAC1D5C" w14:textId="77777777" w:rsidR="00D76FC9" w:rsidRPr="005056B4" w:rsidRDefault="004C3B4E" w:rsidP="00004AB3">
      <w:pPr>
        <w:spacing w:after="0" w:line="360" w:lineRule="auto"/>
        <w:jc w:val="both"/>
        <w:rPr>
          <w:rFonts w:ascii="Times New Roman" w:hAnsi="Times New Roman" w:cs="Times New Roman"/>
          <w:sz w:val="24"/>
          <w:szCs w:val="24"/>
        </w:rPr>
      </w:pPr>
      <w:r w:rsidRPr="005056B4">
        <w:rPr>
          <w:rFonts w:ascii="Times New Roman" w:hAnsi="Times New Roman" w:cs="Times New Roman"/>
          <w:sz w:val="24"/>
          <w:szCs w:val="24"/>
        </w:rPr>
        <w:t>WAP =</w:t>
      </w:r>
      <w:r w:rsidR="00D76FC9" w:rsidRPr="005056B4">
        <w:rPr>
          <w:rFonts w:ascii="Times New Roman" w:hAnsi="Times New Roman" w:cs="Times New Roman"/>
          <w:sz w:val="24"/>
          <w:szCs w:val="24"/>
        </w:rPr>
        <w:t xml:space="preserve"> </w:t>
      </w:r>
      <w:r w:rsidR="00BE3888" w:rsidRPr="005056B4">
        <w:rPr>
          <w:rFonts w:ascii="Times New Roman" w:hAnsi="Times New Roman" w:cs="Times New Roman"/>
          <w:sz w:val="24"/>
          <w:szCs w:val="24"/>
        </w:rPr>
        <w:t>week after planting</w:t>
      </w:r>
    </w:p>
    <w:p w14:paraId="7EEF377F" w14:textId="77777777" w:rsidR="00004AB3" w:rsidRPr="003B3F87" w:rsidRDefault="00004AB3" w:rsidP="00004AB3">
      <w:pPr>
        <w:pStyle w:val="ListParagraph"/>
        <w:spacing w:after="0" w:line="360" w:lineRule="auto"/>
        <w:ind w:left="900"/>
        <w:jc w:val="both"/>
        <w:rPr>
          <w:rFonts w:ascii="Times New Roman" w:hAnsi="Times New Roman" w:cs="Times New Roman"/>
          <w:b/>
          <w:sz w:val="10"/>
          <w:szCs w:val="10"/>
        </w:rPr>
      </w:pPr>
    </w:p>
    <w:p w14:paraId="3A3104B0" w14:textId="77777777" w:rsidR="00004AB3" w:rsidRPr="005056B4" w:rsidRDefault="00004AB3" w:rsidP="00004AB3">
      <w:pPr>
        <w:spacing w:after="0" w:line="480" w:lineRule="auto"/>
        <w:jc w:val="both"/>
        <w:rPr>
          <w:rFonts w:ascii="Times New Roman" w:eastAsia="Times New Roman" w:hAnsi="Times New Roman" w:cs="Times New Roman"/>
          <w:sz w:val="24"/>
          <w:szCs w:val="24"/>
        </w:rPr>
      </w:pPr>
      <w:r w:rsidRPr="005056B4">
        <w:rPr>
          <w:rFonts w:ascii="Times New Roman" w:eastAsia="Times New Roman" w:hAnsi="Times New Roman" w:cs="Times New Roman"/>
          <w:sz w:val="24"/>
          <w:szCs w:val="24"/>
        </w:rPr>
        <w:t>In the well-watered control condition (C1)</w:t>
      </w:r>
      <w:r w:rsidRPr="005056B4">
        <w:rPr>
          <w:rFonts w:ascii="Times New Roman" w:eastAsia="Times New Roman" w:hAnsi="Times New Roman" w:cs="Times New Roman"/>
          <w:b/>
          <w:bCs/>
          <w:sz w:val="24"/>
          <w:szCs w:val="24"/>
        </w:rPr>
        <w:t xml:space="preserve">, </w:t>
      </w:r>
      <w:r w:rsidRPr="005056B4">
        <w:rPr>
          <w:rFonts w:ascii="Times New Roman" w:eastAsia="Times New Roman" w:hAnsi="Times New Roman" w:cs="Times New Roman"/>
          <w:sz w:val="24"/>
          <w:szCs w:val="24"/>
        </w:rPr>
        <w:t>petiole length differed significantly among </w:t>
      </w:r>
      <w:r w:rsidRPr="005056B4">
        <w:rPr>
          <w:rFonts w:ascii="Times New Roman" w:eastAsia="Times New Roman" w:hAnsi="Times New Roman" w:cs="Times New Roman"/>
          <w:i/>
          <w:iCs/>
          <w:sz w:val="24"/>
          <w:szCs w:val="24"/>
        </w:rPr>
        <w:t>Vigna subterranea</w:t>
      </w:r>
      <w:r w:rsidRPr="005056B4">
        <w:rPr>
          <w:rFonts w:ascii="Times New Roman" w:eastAsia="Times New Roman" w:hAnsi="Times New Roman" w:cs="Times New Roman"/>
          <w:sz w:val="24"/>
          <w:szCs w:val="24"/>
        </w:rPr>
        <w:t xml:space="preserve"> accessions (P &lt; 0.0001) across the 13-week period (Table 2). Petiole length generally increased with plant age, with TVSU4 consistently recording the greatest values, from 14.53 ± 1.84 cm at 1 WAP to 19.70 ± 1.35 cm at 13 WAP. At 13 WAP, TVSU3, TVSU1, and TVSU2 recorded 15.53 ± 0.63, 14.76 ± 0.12, and 14.10 ± 1.20 cm, respectively, whereas </w:t>
      </w:r>
      <w:r w:rsidRPr="005056B4">
        <w:rPr>
          <w:rFonts w:ascii="Times New Roman" w:eastAsia="Times New Roman" w:hAnsi="Times New Roman" w:cs="Times New Roman"/>
          <w:sz w:val="24"/>
          <w:szCs w:val="24"/>
        </w:rPr>
        <w:lastRenderedPageBreak/>
        <w:t xml:space="preserve">TVSU5 declined to 0.00 cm. Differences were most pronounced during the early stages of growth, while most accessions showed statistically similar responses </w:t>
      </w:r>
      <w:r>
        <w:rPr>
          <w:rFonts w:ascii="Times New Roman" w:eastAsia="Times New Roman" w:hAnsi="Times New Roman" w:cs="Times New Roman"/>
          <w:sz w:val="24"/>
          <w:szCs w:val="24"/>
          <w:highlight w:val="yellow"/>
        </w:rPr>
        <w:t>from 3 WAP onwards</w:t>
      </w:r>
      <w:r>
        <w:rPr>
          <w:rFonts w:ascii="Times New Roman" w:eastAsia="Times New Roman" w:hAnsi="Times New Roman" w:cs="Times New Roman"/>
          <w:sz w:val="24"/>
          <w:szCs w:val="24"/>
        </w:rPr>
        <w:t>.</w:t>
      </w:r>
    </w:p>
    <w:p w14:paraId="058DB007" w14:textId="77777777" w:rsidR="00004AB3" w:rsidRPr="005056B4" w:rsidRDefault="00004AB3" w:rsidP="00004AB3">
      <w:pPr>
        <w:spacing w:after="0" w:line="360" w:lineRule="auto"/>
        <w:rPr>
          <w:rFonts w:ascii="Times New Roman" w:hAnsi="Times New Roman" w:cs="Times New Roman"/>
          <w:b/>
          <w:sz w:val="24"/>
          <w:szCs w:val="24"/>
        </w:rPr>
      </w:pPr>
    </w:p>
    <w:p w14:paraId="27A6B916" w14:textId="77777777" w:rsidR="003F7E74" w:rsidRDefault="003F7E74" w:rsidP="00004AB3">
      <w:pPr>
        <w:spacing w:after="0" w:line="360" w:lineRule="auto"/>
        <w:rPr>
          <w:rFonts w:ascii="Times New Roman" w:hAnsi="Times New Roman" w:cs="Times New Roman"/>
          <w:b/>
          <w:sz w:val="24"/>
          <w:szCs w:val="24"/>
        </w:rPr>
      </w:pPr>
    </w:p>
    <w:p w14:paraId="421751D7" w14:textId="77777777" w:rsidR="00004AB3" w:rsidRPr="005056B4" w:rsidRDefault="00004AB3" w:rsidP="00004AB3">
      <w:pPr>
        <w:spacing w:after="0" w:line="360" w:lineRule="auto"/>
        <w:rPr>
          <w:rFonts w:ascii="Times New Roman" w:hAnsi="Times New Roman" w:cs="Times New Roman"/>
          <w:b/>
          <w:i/>
          <w:sz w:val="24"/>
          <w:szCs w:val="24"/>
        </w:rPr>
      </w:pPr>
      <w:r w:rsidRPr="005056B4">
        <w:rPr>
          <w:rFonts w:ascii="Times New Roman" w:hAnsi="Times New Roman" w:cs="Times New Roman"/>
          <w:b/>
          <w:sz w:val="24"/>
          <w:szCs w:val="24"/>
        </w:rPr>
        <w:t xml:space="preserve">Table 3: </w:t>
      </w:r>
      <w:r w:rsidR="007E4DF9" w:rsidRPr="005056B4">
        <w:rPr>
          <w:rFonts w:ascii="Times New Roman" w:hAnsi="Times New Roman" w:cs="Times New Roman"/>
          <w:b/>
          <w:sz w:val="24"/>
          <w:szCs w:val="24"/>
        </w:rPr>
        <w:t xml:space="preserve">Control </w:t>
      </w:r>
      <w:r w:rsidR="00DD0149" w:rsidRPr="005056B4">
        <w:rPr>
          <w:rFonts w:ascii="Times New Roman" w:hAnsi="Times New Roman" w:cs="Times New Roman"/>
          <w:b/>
          <w:sz w:val="24"/>
          <w:szCs w:val="24"/>
        </w:rPr>
        <w:t>experiment showing</w:t>
      </w:r>
      <w:r w:rsidR="007E4DF9" w:rsidRPr="005056B4">
        <w:rPr>
          <w:rFonts w:ascii="Times New Roman" w:hAnsi="Times New Roman" w:cs="Times New Roman"/>
          <w:b/>
          <w:sz w:val="24"/>
          <w:szCs w:val="24"/>
        </w:rPr>
        <w:t xml:space="preserve"> </w:t>
      </w:r>
      <w:r w:rsidRPr="005056B4">
        <w:rPr>
          <w:rFonts w:ascii="Times New Roman" w:hAnsi="Times New Roman" w:cs="Times New Roman"/>
          <w:b/>
          <w:sz w:val="24"/>
          <w:szCs w:val="24"/>
        </w:rPr>
        <w:t xml:space="preserve">Petiole Length of </w:t>
      </w:r>
      <w:r w:rsidRPr="005056B4">
        <w:rPr>
          <w:rFonts w:ascii="Times New Roman" w:hAnsi="Times New Roman" w:cs="Times New Roman"/>
          <w:b/>
          <w:i/>
          <w:sz w:val="24"/>
          <w:szCs w:val="24"/>
        </w:rPr>
        <w:t xml:space="preserve">V. </w:t>
      </w:r>
      <w:r w:rsidR="00DD0149" w:rsidRPr="005056B4">
        <w:rPr>
          <w:rFonts w:ascii="Times New Roman" w:hAnsi="Times New Roman" w:cs="Times New Roman"/>
          <w:b/>
          <w:i/>
          <w:sz w:val="24"/>
          <w:szCs w:val="24"/>
        </w:rPr>
        <w:t xml:space="preserve">Subteranea </w:t>
      </w:r>
      <w:r w:rsidRPr="005056B4">
        <w:rPr>
          <w:rFonts w:ascii="Times New Roman" w:hAnsi="Times New Roman" w:cs="Times New Roman"/>
          <w:b/>
          <w:sz w:val="24"/>
          <w:szCs w:val="24"/>
        </w:rPr>
        <w:t>under Drought</w:t>
      </w:r>
      <w:r w:rsidR="00C72CE2">
        <w:rPr>
          <w:rFonts w:ascii="Times New Roman" w:hAnsi="Times New Roman" w:cs="Times New Roman"/>
          <w:b/>
          <w:sz w:val="24"/>
          <w:szCs w:val="24"/>
        </w:rPr>
        <w:t xml:space="preserve"> Stress</w:t>
      </w:r>
      <w:r w:rsidR="008C700C">
        <w:rPr>
          <w:rFonts w:ascii="Times New Roman" w:hAnsi="Times New Roman" w:cs="Times New Roman"/>
          <w:b/>
          <w:sz w:val="24"/>
          <w:szCs w:val="24"/>
        </w:rPr>
        <w:t xml:space="preserve"> </w:t>
      </w:r>
      <w:r w:rsidR="00DD0149" w:rsidRPr="005056B4">
        <w:rPr>
          <w:rFonts w:ascii="Times New Roman" w:hAnsi="Times New Roman" w:cs="Times New Roman"/>
          <w:b/>
          <w:i/>
          <w:sz w:val="24"/>
          <w:szCs w:val="24"/>
        </w:rPr>
        <w:t>without treatment</w:t>
      </w:r>
    </w:p>
    <w:tbl>
      <w:tblPr>
        <w:tblpPr w:leftFromText="180" w:rightFromText="180" w:vertAnchor="text" w:horzAnchor="margin" w:tblpY="361"/>
        <w:tblW w:w="9018" w:type="dxa"/>
        <w:tblBorders>
          <w:top w:val="single" w:sz="4" w:space="0" w:color="auto"/>
          <w:bottom w:val="single" w:sz="4" w:space="0" w:color="auto"/>
        </w:tblBorders>
        <w:tblLook w:val="04A0" w:firstRow="1" w:lastRow="0" w:firstColumn="1" w:lastColumn="0" w:noHBand="0" w:noVBand="1"/>
      </w:tblPr>
      <w:tblGrid>
        <w:gridCol w:w="776"/>
        <w:gridCol w:w="1492"/>
        <w:gridCol w:w="1530"/>
        <w:gridCol w:w="1620"/>
        <w:gridCol w:w="1710"/>
        <w:gridCol w:w="1890"/>
      </w:tblGrid>
      <w:tr w:rsidR="00004AB3" w:rsidRPr="005056B4" w14:paraId="53094D1B" w14:textId="77777777" w:rsidTr="005048DF">
        <w:trPr>
          <w:trHeight w:val="250"/>
        </w:trPr>
        <w:tc>
          <w:tcPr>
            <w:tcW w:w="776" w:type="dxa"/>
            <w:tcBorders>
              <w:top w:val="single" w:sz="4" w:space="0" w:color="auto"/>
              <w:bottom w:val="single" w:sz="4" w:space="0" w:color="auto"/>
            </w:tcBorders>
            <w:noWrap/>
          </w:tcPr>
          <w:p w14:paraId="13AB7E93"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492" w:type="dxa"/>
            <w:tcBorders>
              <w:top w:val="single" w:sz="4" w:space="0" w:color="auto"/>
              <w:bottom w:val="single" w:sz="4" w:space="0" w:color="auto"/>
            </w:tcBorders>
            <w:noWrap/>
          </w:tcPr>
          <w:p w14:paraId="35237C3C"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30" w:type="dxa"/>
            <w:tcBorders>
              <w:top w:val="single" w:sz="4" w:space="0" w:color="auto"/>
              <w:bottom w:val="single" w:sz="4" w:space="0" w:color="auto"/>
            </w:tcBorders>
            <w:noWrap/>
          </w:tcPr>
          <w:p w14:paraId="2D61D16E"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620" w:type="dxa"/>
            <w:tcBorders>
              <w:top w:val="single" w:sz="4" w:space="0" w:color="auto"/>
              <w:bottom w:val="single" w:sz="4" w:space="0" w:color="auto"/>
            </w:tcBorders>
            <w:noWrap/>
          </w:tcPr>
          <w:p w14:paraId="1CAC355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710" w:type="dxa"/>
            <w:tcBorders>
              <w:top w:val="single" w:sz="4" w:space="0" w:color="auto"/>
              <w:bottom w:val="single" w:sz="4" w:space="0" w:color="auto"/>
            </w:tcBorders>
            <w:noWrap/>
          </w:tcPr>
          <w:p w14:paraId="15861B6D"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890" w:type="dxa"/>
            <w:tcBorders>
              <w:top w:val="single" w:sz="4" w:space="0" w:color="auto"/>
              <w:bottom w:val="single" w:sz="4" w:space="0" w:color="auto"/>
            </w:tcBorders>
            <w:noWrap/>
          </w:tcPr>
          <w:p w14:paraId="54D6E483"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38E36CE8" w14:textId="77777777" w:rsidTr="005048DF">
        <w:trPr>
          <w:trHeight w:val="250"/>
        </w:trPr>
        <w:tc>
          <w:tcPr>
            <w:tcW w:w="776" w:type="dxa"/>
            <w:tcBorders>
              <w:top w:val="single" w:sz="4" w:space="0" w:color="auto"/>
            </w:tcBorders>
            <w:noWrap/>
            <w:hideMark/>
          </w:tcPr>
          <w:p w14:paraId="26DFE4A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492" w:type="dxa"/>
            <w:tcBorders>
              <w:top w:val="single" w:sz="4" w:space="0" w:color="auto"/>
            </w:tcBorders>
            <w:noWrap/>
          </w:tcPr>
          <w:p w14:paraId="76534DA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8.86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3B3F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tcBorders>
              <w:top w:val="single" w:sz="4" w:space="0" w:color="auto"/>
            </w:tcBorders>
            <w:noWrap/>
          </w:tcPr>
          <w:p w14:paraId="74D6027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1.03b</w:t>
            </w:r>
          </w:p>
        </w:tc>
        <w:tc>
          <w:tcPr>
            <w:tcW w:w="1620" w:type="dxa"/>
            <w:tcBorders>
              <w:top w:val="single" w:sz="4" w:space="0" w:color="auto"/>
            </w:tcBorders>
            <w:noWrap/>
          </w:tcPr>
          <w:p w14:paraId="5129552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6.90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0.55b</w:t>
            </w:r>
          </w:p>
        </w:tc>
        <w:tc>
          <w:tcPr>
            <w:tcW w:w="1710" w:type="dxa"/>
            <w:tcBorders>
              <w:top w:val="single" w:sz="4" w:space="0" w:color="auto"/>
            </w:tcBorders>
            <w:noWrap/>
          </w:tcPr>
          <w:p w14:paraId="39B40BB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9.33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0.29b</w:t>
            </w:r>
          </w:p>
        </w:tc>
        <w:tc>
          <w:tcPr>
            <w:tcW w:w="1890" w:type="dxa"/>
            <w:tcBorders>
              <w:top w:val="single" w:sz="4" w:space="0" w:color="auto"/>
            </w:tcBorders>
            <w:noWrap/>
          </w:tcPr>
          <w:p w14:paraId="4B312EF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0.14b</w:t>
            </w:r>
          </w:p>
        </w:tc>
      </w:tr>
      <w:tr w:rsidR="00004AB3" w:rsidRPr="005056B4" w14:paraId="1E8CCA10" w14:textId="77777777" w:rsidTr="005048DF">
        <w:trPr>
          <w:trHeight w:val="266"/>
        </w:trPr>
        <w:tc>
          <w:tcPr>
            <w:tcW w:w="0" w:type="auto"/>
            <w:noWrap/>
            <w:hideMark/>
          </w:tcPr>
          <w:p w14:paraId="07D5DC7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492" w:type="dxa"/>
            <w:noWrap/>
          </w:tcPr>
          <w:p w14:paraId="3276C4E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3B3F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0.41b</w:t>
            </w:r>
          </w:p>
        </w:tc>
        <w:tc>
          <w:tcPr>
            <w:tcW w:w="1530" w:type="dxa"/>
            <w:noWrap/>
          </w:tcPr>
          <w:p w14:paraId="116D84D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9.76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1.04b</w:t>
            </w:r>
          </w:p>
        </w:tc>
        <w:tc>
          <w:tcPr>
            <w:tcW w:w="1620" w:type="dxa"/>
            <w:noWrap/>
          </w:tcPr>
          <w:p w14:paraId="318D6C7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7.56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710" w:type="dxa"/>
            <w:noWrap/>
          </w:tcPr>
          <w:p w14:paraId="1987EF7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10.06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0.41b</w:t>
            </w:r>
          </w:p>
        </w:tc>
        <w:tc>
          <w:tcPr>
            <w:tcW w:w="1890" w:type="dxa"/>
            <w:noWrap/>
          </w:tcPr>
          <w:p w14:paraId="0EF9C1C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0.59b</w:t>
            </w:r>
          </w:p>
        </w:tc>
      </w:tr>
      <w:tr w:rsidR="00004AB3" w:rsidRPr="005056B4" w14:paraId="6A734462" w14:textId="77777777" w:rsidTr="005048DF">
        <w:trPr>
          <w:trHeight w:val="250"/>
        </w:trPr>
        <w:tc>
          <w:tcPr>
            <w:tcW w:w="0" w:type="auto"/>
            <w:noWrap/>
            <w:hideMark/>
          </w:tcPr>
          <w:p w14:paraId="1A30939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492" w:type="dxa"/>
            <w:noWrap/>
          </w:tcPr>
          <w:p w14:paraId="5499EDA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10.10</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0.61a</w:t>
            </w:r>
          </w:p>
        </w:tc>
        <w:tc>
          <w:tcPr>
            <w:tcW w:w="1530" w:type="dxa"/>
            <w:noWrap/>
          </w:tcPr>
          <w:p w14:paraId="303F008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1.45a</w:t>
            </w:r>
          </w:p>
        </w:tc>
        <w:tc>
          <w:tcPr>
            <w:tcW w:w="1620" w:type="dxa"/>
            <w:noWrap/>
          </w:tcPr>
          <w:p w14:paraId="7C04F5B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8.23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0.17b</w:t>
            </w:r>
          </w:p>
        </w:tc>
        <w:tc>
          <w:tcPr>
            <w:tcW w:w="1710" w:type="dxa"/>
            <w:noWrap/>
          </w:tcPr>
          <w:p w14:paraId="65544FA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c>
          <w:tcPr>
            <w:tcW w:w="1890" w:type="dxa"/>
            <w:noWrap/>
          </w:tcPr>
          <w:p w14:paraId="6E811E4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0.47b</w:t>
            </w:r>
          </w:p>
        </w:tc>
      </w:tr>
      <w:tr w:rsidR="00004AB3" w:rsidRPr="005056B4" w14:paraId="29137B46" w14:textId="77777777" w:rsidTr="005048DF">
        <w:trPr>
          <w:trHeight w:val="250"/>
        </w:trPr>
        <w:tc>
          <w:tcPr>
            <w:tcW w:w="0" w:type="auto"/>
            <w:noWrap/>
            <w:hideMark/>
          </w:tcPr>
          <w:p w14:paraId="6313659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492" w:type="dxa"/>
            <w:noWrap/>
          </w:tcPr>
          <w:p w14:paraId="7A2DA46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12.16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0.68a</w:t>
            </w:r>
          </w:p>
        </w:tc>
        <w:tc>
          <w:tcPr>
            <w:tcW w:w="1530" w:type="dxa"/>
            <w:noWrap/>
          </w:tcPr>
          <w:p w14:paraId="4408ECF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1.53a</w:t>
            </w:r>
          </w:p>
        </w:tc>
        <w:tc>
          <w:tcPr>
            <w:tcW w:w="1620" w:type="dxa"/>
            <w:noWrap/>
          </w:tcPr>
          <w:p w14:paraId="2578A39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710" w:type="dxa"/>
            <w:noWrap/>
          </w:tcPr>
          <w:p w14:paraId="2027BC9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c>
          <w:tcPr>
            <w:tcW w:w="1890" w:type="dxa"/>
            <w:noWrap/>
          </w:tcPr>
          <w:p w14:paraId="2F7B525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r>
      <w:tr w:rsidR="00004AB3" w:rsidRPr="005056B4" w14:paraId="44BFF54E" w14:textId="77777777" w:rsidTr="005048DF">
        <w:trPr>
          <w:trHeight w:val="250"/>
        </w:trPr>
        <w:tc>
          <w:tcPr>
            <w:tcW w:w="0" w:type="auto"/>
            <w:noWrap/>
            <w:hideMark/>
          </w:tcPr>
          <w:p w14:paraId="6B6CFCD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492" w:type="dxa"/>
            <w:noWrap/>
          </w:tcPr>
          <w:p w14:paraId="4F2C270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530" w:type="dxa"/>
            <w:noWrap/>
          </w:tcPr>
          <w:p w14:paraId="6BE24BD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0.79a</w:t>
            </w:r>
          </w:p>
        </w:tc>
        <w:tc>
          <w:tcPr>
            <w:tcW w:w="1620" w:type="dxa"/>
            <w:noWrap/>
          </w:tcPr>
          <w:p w14:paraId="6383C96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0.55a</w:t>
            </w:r>
          </w:p>
        </w:tc>
        <w:tc>
          <w:tcPr>
            <w:tcW w:w="1710" w:type="dxa"/>
            <w:noWrap/>
          </w:tcPr>
          <w:p w14:paraId="51D22FA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0.30a</w:t>
            </w:r>
          </w:p>
        </w:tc>
        <w:tc>
          <w:tcPr>
            <w:tcW w:w="1890" w:type="dxa"/>
            <w:noWrap/>
          </w:tcPr>
          <w:p w14:paraId="077C406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0.61b</w:t>
            </w:r>
          </w:p>
        </w:tc>
      </w:tr>
      <w:tr w:rsidR="00004AB3" w:rsidRPr="005056B4" w14:paraId="1A4DD8F0" w14:textId="77777777" w:rsidTr="005048DF">
        <w:trPr>
          <w:trHeight w:val="266"/>
        </w:trPr>
        <w:tc>
          <w:tcPr>
            <w:tcW w:w="0" w:type="auto"/>
            <w:noWrap/>
            <w:hideMark/>
          </w:tcPr>
          <w:p w14:paraId="1332802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492" w:type="dxa"/>
            <w:noWrap/>
          </w:tcPr>
          <w:p w14:paraId="136B820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0.73a</w:t>
            </w:r>
          </w:p>
        </w:tc>
        <w:tc>
          <w:tcPr>
            <w:tcW w:w="1530" w:type="dxa"/>
            <w:noWrap/>
          </w:tcPr>
          <w:p w14:paraId="1E683E4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1.24a</w:t>
            </w:r>
          </w:p>
        </w:tc>
        <w:tc>
          <w:tcPr>
            <w:tcW w:w="1620" w:type="dxa"/>
            <w:noWrap/>
          </w:tcPr>
          <w:p w14:paraId="202A0DA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0.96a</w:t>
            </w:r>
          </w:p>
        </w:tc>
        <w:tc>
          <w:tcPr>
            <w:tcW w:w="1710" w:type="dxa"/>
            <w:noWrap/>
          </w:tcPr>
          <w:p w14:paraId="085B5E3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34396E6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18.76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0.52a</w:t>
            </w:r>
          </w:p>
        </w:tc>
      </w:tr>
      <w:tr w:rsidR="00004AB3" w:rsidRPr="005056B4" w14:paraId="6DAE8C4F" w14:textId="77777777" w:rsidTr="005048DF">
        <w:trPr>
          <w:trHeight w:val="250"/>
        </w:trPr>
        <w:tc>
          <w:tcPr>
            <w:tcW w:w="0" w:type="auto"/>
            <w:noWrap/>
            <w:hideMark/>
          </w:tcPr>
          <w:p w14:paraId="37882F6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492" w:type="dxa"/>
            <w:noWrap/>
          </w:tcPr>
          <w:p w14:paraId="7E8F4F7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0.76a</w:t>
            </w:r>
          </w:p>
        </w:tc>
        <w:tc>
          <w:tcPr>
            <w:tcW w:w="1530" w:type="dxa"/>
            <w:noWrap/>
          </w:tcPr>
          <w:p w14:paraId="5AE797C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1.77a</w:t>
            </w:r>
          </w:p>
        </w:tc>
        <w:tc>
          <w:tcPr>
            <w:tcW w:w="1620" w:type="dxa"/>
            <w:noWrap/>
          </w:tcPr>
          <w:p w14:paraId="01B5FB7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12.36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1.03a</w:t>
            </w:r>
          </w:p>
        </w:tc>
        <w:tc>
          <w:tcPr>
            <w:tcW w:w="1710" w:type="dxa"/>
            <w:noWrap/>
          </w:tcPr>
          <w:p w14:paraId="3D7CE61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0.13a</w:t>
            </w:r>
          </w:p>
        </w:tc>
        <w:tc>
          <w:tcPr>
            <w:tcW w:w="1890" w:type="dxa"/>
            <w:noWrap/>
          </w:tcPr>
          <w:p w14:paraId="7B93BC5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18.93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0.58a</w:t>
            </w:r>
          </w:p>
        </w:tc>
      </w:tr>
      <w:tr w:rsidR="00004AB3" w:rsidRPr="005056B4" w14:paraId="365D4CCA" w14:textId="77777777" w:rsidTr="005048DF">
        <w:trPr>
          <w:trHeight w:val="250"/>
        </w:trPr>
        <w:tc>
          <w:tcPr>
            <w:tcW w:w="0" w:type="auto"/>
            <w:noWrap/>
            <w:hideMark/>
          </w:tcPr>
          <w:p w14:paraId="5C49A00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492" w:type="dxa"/>
            <w:noWrap/>
          </w:tcPr>
          <w:p w14:paraId="0F8CBA4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16.53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c>
          <w:tcPr>
            <w:tcW w:w="1530" w:type="dxa"/>
            <w:noWrap/>
          </w:tcPr>
          <w:p w14:paraId="24D232A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16.93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1.67a</w:t>
            </w:r>
          </w:p>
        </w:tc>
        <w:tc>
          <w:tcPr>
            <w:tcW w:w="1620" w:type="dxa"/>
            <w:noWrap/>
          </w:tcPr>
          <w:p w14:paraId="2EEEA8E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1.00a</w:t>
            </w:r>
          </w:p>
        </w:tc>
        <w:tc>
          <w:tcPr>
            <w:tcW w:w="1710" w:type="dxa"/>
            <w:noWrap/>
          </w:tcPr>
          <w:p w14:paraId="14D29D8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17.20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6EF133C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0.51a</w:t>
            </w:r>
          </w:p>
        </w:tc>
      </w:tr>
      <w:tr w:rsidR="00004AB3" w:rsidRPr="005056B4" w14:paraId="679D7F99" w14:textId="77777777" w:rsidTr="005048DF">
        <w:trPr>
          <w:trHeight w:val="266"/>
        </w:trPr>
        <w:tc>
          <w:tcPr>
            <w:tcW w:w="0" w:type="auto"/>
            <w:noWrap/>
            <w:hideMark/>
          </w:tcPr>
          <w:p w14:paraId="3457AB0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492" w:type="dxa"/>
            <w:noWrap/>
          </w:tcPr>
          <w:p w14:paraId="2249675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0.92a</w:t>
            </w:r>
          </w:p>
        </w:tc>
        <w:tc>
          <w:tcPr>
            <w:tcW w:w="1530" w:type="dxa"/>
            <w:noWrap/>
          </w:tcPr>
          <w:p w14:paraId="750D493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1.25a </w:t>
            </w:r>
          </w:p>
        </w:tc>
        <w:tc>
          <w:tcPr>
            <w:tcW w:w="1620" w:type="dxa"/>
            <w:noWrap/>
          </w:tcPr>
          <w:p w14:paraId="19BFBFE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0.94a</w:t>
            </w:r>
          </w:p>
        </w:tc>
        <w:tc>
          <w:tcPr>
            <w:tcW w:w="1710" w:type="dxa"/>
            <w:noWrap/>
          </w:tcPr>
          <w:p w14:paraId="6C325F8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0.23a</w:t>
            </w:r>
          </w:p>
        </w:tc>
        <w:tc>
          <w:tcPr>
            <w:tcW w:w="1890" w:type="dxa"/>
            <w:noWrap/>
          </w:tcPr>
          <w:p w14:paraId="6387B0F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19.56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0.48a</w:t>
            </w:r>
          </w:p>
        </w:tc>
      </w:tr>
      <w:tr w:rsidR="00004AB3" w:rsidRPr="005056B4" w14:paraId="11BFC96C" w14:textId="77777777" w:rsidTr="005048DF">
        <w:trPr>
          <w:trHeight w:val="250"/>
        </w:trPr>
        <w:tc>
          <w:tcPr>
            <w:tcW w:w="0" w:type="auto"/>
            <w:noWrap/>
            <w:hideMark/>
          </w:tcPr>
          <w:p w14:paraId="2034F86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492" w:type="dxa"/>
            <w:noWrap/>
          </w:tcPr>
          <w:p w14:paraId="2B2B8AB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0.82a</w:t>
            </w:r>
          </w:p>
        </w:tc>
        <w:tc>
          <w:tcPr>
            <w:tcW w:w="1530" w:type="dxa"/>
            <w:noWrap/>
          </w:tcPr>
          <w:p w14:paraId="4075B13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1.25a</w:t>
            </w:r>
          </w:p>
        </w:tc>
        <w:tc>
          <w:tcPr>
            <w:tcW w:w="1620" w:type="dxa"/>
            <w:noWrap/>
          </w:tcPr>
          <w:p w14:paraId="7E1CC5A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13.03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0.08a</w:t>
            </w:r>
          </w:p>
        </w:tc>
        <w:tc>
          <w:tcPr>
            <w:tcW w:w="1710" w:type="dxa"/>
            <w:noWrap/>
          </w:tcPr>
          <w:p w14:paraId="30D676E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0.17a</w:t>
            </w:r>
          </w:p>
        </w:tc>
        <w:tc>
          <w:tcPr>
            <w:tcW w:w="1890" w:type="dxa"/>
            <w:noWrap/>
          </w:tcPr>
          <w:p w14:paraId="2E9B2AA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19.60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0.64a</w:t>
            </w:r>
          </w:p>
        </w:tc>
      </w:tr>
      <w:tr w:rsidR="00004AB3" w:rsidRPr="005056B4" w14:paraId="0E42C6B7" w14:textId="77777777" w:rsidTr="005048DF">
        <w:trPr>
          <w:trHeight w:val="250"/>
        </w:trPr>
        <w:tc>
          <w:tcPr>
            <w:tcW w:w="0" w:type="auto"/>
            <w:noWrap/>
            <w:hideMark/>
          </w:tcPr>
          <w:p w14:paraId="059EE0A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492" w:type="dxa"/>
            <w:noWrap/>
          </w:tcPr>
          <w:p w14:paraId="3B1DCEF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0.47a</w:t>
            </w:r>
          </w:p>
        </w:tc>
        <w:tc>
          <w:tcPr>
            <w:tcW w:w="1530" w:type="dxa"/>
            <w:noWrap/>
          </w:tcPr>
          <w:p w14:paraId="0198F70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1.82a</w:t>
            </w:r>
          </w:p>
        </w:tc>
        <w:tc>
          <w:tcPr>
            <w:tcW w:w="1620" w:type="dxa"/>
            <w:noWrap/>
          </w:tcPr>
          <w:p w14:paraId="644A7F1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13.00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1.01a</w:t>
            </w:r>
          </w:p>
        </w:tc>
        <w:tc>
          <w:tcPr>
            <w:tcW w:w="1710" w:type="dxa"/>
            <w:noWrap/>
          </w:tcPr>
          <w:p w14:paraId="18FA9F9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17.90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61C99AC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19.90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0.45a</w:t>
            </w:r>
          </w:p>
        </w:tc>
      </w:tr>
      <w:tr w:rsidR="00004AB3" w:rsidRPr="005056B4" w14:paraId="6D3DA245" w14:textId="77777777" w:rsidTr="005048DF">
        <w:trPr>
          <w:trHeight w:val="266"/>
        </w:trPr>
        <w:tc>
          <w:tcPr>
            <w:tcW w:w="0" w:type="auto"/>
            <w:noWrap/>
            <w:hideMark/>
          </w:tcPr>
          <w:p w14:paraId="32CE23D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492" w:type="dxa"/>
            <w:noWrap/>
          </w:tcPr>
          <w:p w14:paraId="29419BE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0.85a</w:t>
            </w:r>
          </w:p>
        </w:tc>
        <w:tc>
          <w:tcPr>
            <w:tcW w:w="1530" w:type="dxa"/>
            <w:noWrap/>
          </w:tcPr>
          <w:p w14:paraId="55072B4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1.70a</w:t>
            </w:r>
          </w:p>
        </w:tc>
        <w:tc>
          <w:tcPr>
            <w:tcW w:w="1620" w:type="dxa"/>
            <w:noWrap/>
          </w:tcPr>
          <w:p w14:paraId="0F15649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710" w:type="dxa"/>
            <w:noWrap/>
          </w:tcPr>
          <w:p w14:paraId="42C0EE7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0.23a</w:t>
            </w:r>
          </w:p>
        </w:tc>
        <w:tc>
          <w:tcPr>
            <w:tcW w:w="1890" w:type="dxa"/>
            <w:noWrap/>
          </w:tcPr>
          <w:p w14:paraId="7E891D8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0.37a</w:t>
            </w:r>
          </w:p>
        </w:tc>
      </w:tr>
      <w:tr w:rsidR="00004AB3" w:rsidRPr="005056B4" w14:paraId="784975BE" w14:textId="77777777" w:rsidTr="007575CF">
        <w:trPr>
          <w:trHeight w:val="263"/>
        </w:trPr>
        <w:tc>
          <w:tcPr>
            <w:tcW w:w="0" w:type="auto"/>
            <w:noWrap/>
            <w:hideMark/>
          </w:tcPr>
          <w:p w14:paraId="70872B1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492" w:type="dxa"/>
            <w:noWrap/>
          </w:tcPr>
          <w:p w14:paraId="0C8E406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0.87a</w:t>
            </w:r>
          </w:p>
        </w:tc>
        <w:tc>
          <w:tcPr>
            <w:tcW w:w="1530" w:type="dxa"/>
            <w:noWrap/>
          </w:tcPr>
          <w:p w14:paraId="484A21F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1.38a</w:t>
            </w:r>
          </w:p>
        </w:tc>
        <w:tc>
          <w:tcPr>
            <w:tcW w:w="1620" w:type="dxa"/>
            <w:noWrap/>
          </w:tcPr>
          <w:p w14:paraId="5F05B31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710" w:type="dxa"/>
            <w:noWrap/>
          </w:tcPr>
          <w:p w14:paraId="78B408D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890" w:type="dxa"/>
            <w:noWrap/>
          </w:tcPr>
          <w:p w14:paraId="2DC4F72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0.00c</w:t>
            </w:r>
          </w:p>
        </w:tc>
      </w:tr>
    </w:tbl>
    <w:p w14:paraId="3536E22D" w14:textId="77777777" w:rsidR="007575CF" w:rsidRPr="007575CF" w:rsidRDefault="007575CF" w:rsidP="007575CF">
      <w:pPr>
        <w:spacing w:after="0" w:line="240" w:lineRule="auto"/>
        <w:jc w:val="both"/>
        <w:rPr>
          <w:rFonts w:ascii="Times New Roman" w:hAnsi="Times New Roman" w:cs="Times New Roman"/>
          <w:sz w:val="16"/>
          <w:szCs w:val="16"/>
        </w:rPr>
      </w:pPr>
    </w:p>
    <w:p w14:paraId="158F9E69" w14:textId="77777777" w:rsidR="007575CF" w:rsidRDefault="007575CF" w:rsidP="007575CF">
      <w:pPr>
        <w:spacing w:after="0" w:line="240" w:lineRule="auto"/>
        <w:jc w:val="both"/>
        <w:rPr>
          <w:rFonts w:ascii="Times New Roman" w:hAnsi="Times New Roman" w:cs="Times New Roman"/>
          <w:sz w:val="24"/>
          <w:szCs w:val="24"/>
        </w:rPr>
      </w:pPr>
      <w:r w:rsidRPr="005056B4">
        <w:rPr>
          <w:rFonts w:ascii="Times New Roman" w:hAnsi="Times New Roman" w:cs="Times New Roman"/>
          <w:sz w:val="24"/>
          <w:szCs w:val="24"/>
        </w:rPr>
        <w:t>*Mean of three replicates ± SEM. Means within of each column followed by different letters</w:t>
      </w:r>
    </w:p>
    <w:p w14:paraId="41BCCF40" w14:textId="77777777" w:rsidR="007575CF" w:rsidRPr="005056B4" w:rsidRDefault="007575CF" w:rsidP="007575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056B4">
        <w:rPr>
          <w:rFonts w:ascii="Times New Roman" w:hAnsi="Times New Roman" w:cs="Times New Roman"/>
          <w:sz w:val="24"/>
          <w:szCs w:val="24"/>
        </w:rPr>
        <w:t>are significantly different at p &lt; 0.0001.</w:t>
      </w:r>
    </w:p>
    <w:p w14:paraId="0367B16E" w14:textId="77777777" w:rsidR="004C3B4E" w:rsidRPr="005056B4" w:rsidRDefault="004C3B4E" w:rsidP="004C3B4E">
      <w:pPr>
        <w:spacing w:after="0" w:line="360" w:lineRule="auto"/>
        <w:ind w:left="142"/>
        <w:jc w:val="both"/>
        <w:rPr>
          <w:rFonts w:ascii="Times New Roman" w:hAnsi="Times New Roman" w:cs="Times New Roman"/>
          <w:sz w:val="24"/>
          <w:szCs w:val="24"/>
        </w:rPr>
      </w:pPr>
    </w:p>
    <w:p w14:paraId="3C0E8102" w14:textId="77777777" w:rsidR="00004AB3" w:rsidRPr="005056B4" w:rsidRDefault="00004AB3" w:rsidP="004C769E">
      <w:pPr>
        <w:spacing w:after="0" w:line="480" w:lineRule="auto"/>
        <w:jc w:val="both"/>
        <w:rPr>
          <w:rFonts w:ascii="Times New Roman" w:hAnsi="Times New Roman" w:cs="Times New Roman"/>
          <w:sz w:val="24"/>
          <w:szCs w:val="24"/>
        </w:rPr>
      </w:pPr>
      <w:r w:rsidRPr="005056B4">
        <w:rPr>
          <w:rFonts w:ascii="Times New Roman" w:hAnsi="Times New Roman" w:cs="Times New Roman"/>
          <w:sz w:val="24"/>
          <w:szCs w:val="24"/>
        </w:rPr>
        <w:t>In response to drought stress (C2</w:t>
      </w:r>
      <w:r w:rsidRPr="005056B4">
        <w:rPr>
          <w:rFonts w:ascii="Times New Roman" w:hAnsi="Times New Roman" w:cs="Times New Roman"/>
          <w:b/>
          <w:bCs/>
          <w:sz w:val="24"/>
          <w:szCs w:val="24"/>
        </w:rPr>
        <w:t>),</w:t>
      </w:r>
      <w:r w:rsidRPr="005056B4">
        <w:rPr>
          <w:rFonts w:ascii="Times New Roman" w:hAnsi="Times New Roman" w:cs="Times New Roman"/>
          <w:sz w:val="24"/>
          <w:szCs w:val="24"/>
        </w:rPr>
        <w:t xml:space="preserve"> petiole length differed significantly among </w:t>
      </w:r>
      <w:r w:rsidRPr="005056B4">
        <w:rPr>
          <w:rFonts w:ascii="Times New Roman" w:hAnsi="Times New Roman" w:cs="Times New Roman"/>
          <w:i/>
          <w:iCs/>
          <w:sz w:val="24"/>
          <w:szCs w:val="24"/>
        </w:rPr>
        <w:t>Vigna subterranea</w:t>
      </w:r>
      <w:r w:rsidRPr="005056B4">
        <w:rPr>
          <w:rFonts w:ascii="Times New Roman" w:hAnsi="Times New Roman" w:cs="Times New Roman"/>
          <w:sz w:val="24"/>
          <w:szCs w:val="24"/>
        </w:rPr>
        <w:t xml:space="preserve"> accessions across the 13-week period (P &lt; 0.0001; Table </w:t>
      </w:r>
      <w:r w:rsidR="004C3B4E" w:rsidRPr="005056B4">
        <w:rPr>
          <w:rFonts w:ascii="Times New Roman" w:hAnsi="Times New Roman" w:cs="Times New Roman"/>
          <w:sz w:val="24"/>
          <w:szCs w:val="24"/>
          <w:highlight w:val="yellow"/>
        </w:rPr>
        <w:t>3</w:t>
      </w:r>
      <w:r w:rsidRPr="005056B4">
        <w:rPr>
          <w:rFonts w:ascii="Times New Roman" w:hAnsi="Times New Roman" w:cs="Times New Roman"/>
          <w:sz w:val="24"/>
          <w:szCs w:val="24"/>
        </w:rPr>
        <w:t xml:space="preserve">). Petiole length generally increased with plant age, although accession responses varied. At 13 WAP, TVSU4 and TVSU2 recorded the longest petioles (18.83 ± 0.29 and 18.43 ± 1.38 cm, respectively), followed by TVSU1 (17.73 ± 0.87 cm) and TVSU3 (14.66 ± 0.24 cm), whereas TVSU5 recorded 0.00 ± 0.00 cm. TVSU4 maintained relatively longer petioles throughout the assessment, while TVSU3 exhibited the lowest elongation. Significant differences were most </w:t>
      </w:r>
      <w:r w:rsidRPr="005056B4">
        <w:rPr>
          <w:rFonts w:ascii="Times New Roman" w:hAnsi="Times New Roman" w:cs="Times New Roman"/>
          <w:sz w:val="24"/>
          <w:szCs w:val="24"/>
        </w:rPr>
        <w:lastRenderedPageBreak/>
        <w:t xml:space="preserve">evident </w:t>
      </w:r>
      <w:r>
        <w:rPr>
          <w:rFonts w:ascii="Times New Roman" w:hAnsi="Times New Roman" w:cs="Times New Roman"/>
          <w:sz w:val="24"/>
          <w:szCs w:val="24"/>
          <w:highlight w:val="yellow"/>
        </w:rPr>
        <w:t>from 1–4 WAP, with greater similarity among accessions from 5 WAP throughout the remaining assessment period.</w:t>
      </w:r>
    </w:p>
    <w:p w14:paraId="1377FE79" w14:textId="77777777" w:rsidR="00004AB3" w:rsidRPr="005056B4" w:rsidRDefault="00004AB3" w:rsidP="00004AB3">
      <w:pPr>
        <w:spacing w:after="0" w:line="360" w:lineRule="auto"/>
        <w:ind w:left="720"/>
        <w:jc w:val="both"/>
        <w:rPr>
          <w:rFonts w:ascii="Times New Roman" w:hAnsi="Times New Roman" w:cs="Times New Roman"/>
          <w:sz w:val="24"/>
          <w:szCs w:val="24"/>
        </w:rPr>
      </w:pPr>
    </w:p>
    <w:p w14:paraId="7D6A2C23" w14:textId="77777777" w:rsidR="00004AB3" w:rsidRPr="005056B4" w:rsidRDefault="00004AB3" w:rsidP="007702EE">
      <w:pPr>
        <w:spacing w:after="0" w:line="360" w:lineRule="auto"/>
        <w:jc w:val="both"/>
        <w:rPr>
          <w:rFonts w:ascii="Times New Roman" w:hAnsi="Times New Roman" w:cs="Times New Roman"/>
          <w:b/>
          <w:i/>
          <w:sz w:val="24"/>
          <w:szCs w:val="24"/>
        </w:rPr>
      </w:pPr>
      <w:r w:rsidRPr="005056B4">
        <w:rPr>
          <w:rFonts w:ascii="Times New Roman" w:hAnsi="Times New Roman" w:cs="Times New Roman"/>
          <w:b/>
          <w:sz w:val="24"/>
          <w:szCs w:val="24"/>
        </w:rPr>
        <w:t xml:space="preserve">Table </w:t>
      </w:r>
      <w:r w:rsidR="00DE170E" w:rsidRPr="005056B4">
        <w:rPr>
          <w:rFonts w:ascii="Times New Roman" w:hAnsi="Times New Roman" w:cs="Times New Roman"/>
          <w:b/>
          <w:sz w:val="24"/>
          <w:szCs w:val="24"/>
        </w:rPr>
        <w:t>4:</w:t>
      </w:r>
      <w:r w:rsidRPr="005056B4">
        <w:rPr>
          <w:rFonts w:ascii="Times New Roman" w:hAnsi="Times New Roman" w:cs="Times New Roman"/>
          <w:b/>
          <w:sz w:val="24"/>
          <w:szCs w:val="24"/>
        </w:rPr>
        <w:t xml:space="preserve"> Petiole Length of </w:t>
      </w:r>
      <w:r w:rsidRPr="005056B4">
        <w:rPr>
          <w:rFonts w:ascii="Times New Roman" w:hAnsi="Times New Roman" w:cs="Times New Roman"/>
          <w:b/>
          <w:i/>
          <w:sz w:val="24"/>
          <w:szCs w:val="24"/>
        </w:rPr>
        <w:t xml:space="preserve">V. Subteranea </w:t>
      </w:r>
      <w:r w:rsidRPr="005056B4">
        <w:rPr>
          <w:rFonts w:ascii="Times New Roman" w:hAnsi="Times New Roman" w:cs="Times New Roman"/>
          <w:b/>
          <w:sz w:val="24"/>
          <w:szCs w:val="24"/>
        </w:rPr>
        <w:t xml:space="preserve">under Drought </w:t>
      </w:r>
      <w:r w:rsidR="00DE170E" w:rsidRPr="005056B4">
        <w:rPr>
          <w:rFonts w:ascii="Times New Roman" w:hAnsi="Times New Roman" w:cs="Times New Roman"/>
          <w:b/>
          <w:sz w:val="24"/>
          <w:szCs w:val="24"/>
        </w:rPr>
        <w:t xml:space="preserve">with </w:t>
      </w:r>
      <w:r w:rsidR="00DE170E" w:rsidRPr="00C72CE2">
        <w:rPr>
          <w:rFonts w:ascii="Times New Roman" w:eastAsiaTheme="minorEastAsia" w:hAnsi="Times New Roman" w:cs="Times New Roman"/>
          <w:b/>
          <w:bCs/>
          <w:i/>
          <w:sz w:val="24"/>
          <w:szCs w:val="24"/>
        </w:rPr>
        <w:t>Arbuscular</w:t>
      </w:r>
      <w:r w:rsidR="00DE170E" w:rsidRPr="00C72CE2">
        <w:rPr>
          <w:rFonts w:ascii="Times New Roman" w:eastAsiaTheme="minorEastAsia" w:hAnsi="Times New Roman" w:cs="Times New Roman"/>
          <w:b/>
          <w:bCs/>
          <w:sz w:val="24"/>
          <w:szCs w:val="24"/>
        </w:rPr>
        <w:t xml:space="preserve"> </w:t>
      </w:r>
      <w:r w:rsidR="00DE170E" w:rsidRPr="00C72CE2">
        <w:rPr>
          <w:rFonts w:ascii="Times New Roman" w:eastAsiaTheme="minorEastAsia" w:hAnsi="Times New Roman" w:cs="Times New Roman"/>
          <w:b/>
          <w:bCs/>
          <w:i/>
          <w:sz w:val="24"/>
          <w:szCs w:val="24"/>
        </w:rPr>
        <w:t>mycorrhiza</w:t>
      </w:r>
      <w:r w:rsidR="00DE170E" w:rsidRPr="00C72CE2">
        <w:rPr>
          <w:rFonts w:ascii="Times New Roman" w:eastAsiaTheme="minorEastAsia" w:hAnsi="Times New Roman" w:cs="Times New Roman"/>
          <w:b/>
          <w:bCs/>
          <w:sz w:val="24"/>
          <w:szCs w:val="24"/>
        </w:rPr>
        <w:t xml:space="preserve"> fungi (AMF) treatment.</w:t>
      </w:r>
    </w:p>
    <w:tbl>
      <w:tblPr>
        <w:tblpPr w:leftFromText="180" w:rightFromText="180" w:vertAnchor="text" w:horzAnchor="margin" w:tblpXSpec="center" w:tblpY="438"/>
        <w:tblW w:w="9054" w:type="dxa"/>
        <w:tblBorders>
          <w:top w:val="single" w:sz="4" w:space="0" w:color="auto"/>
          <w:bottom w:val="single" w:sz="4" w:space="0" w:color="auto"/>
        </w:tblBorders>
        <w:tblLook w:val="04A0" w:firstRow="1" w:lastRow="0" w:firstColumn="1" w:lastColumn="0" w:noHBand="0" w:noVBand="1"/>
      </w:tblPr>
      <w:tblGrid>
        <w:gridCol w:w="776"/>
        <w:gridCol w:w="1596"/>
        <w:gridCol w:w="1460"/>
        <w:gridCol w:w="1460"/>
        <w:gridCol w:w="1460"/>
        <w:gridCol w:w="2302"/>
      </w:tblGrid>
      <w:tr w:rsidR="00004AB3" w:rsidRPr="005056B4" w14:paraId="124D4A83" w14:textId="77777777" w:rsidTr="005048DF">
        <w:trPr>
          <w:trHeight w:val="250"/>
        </w:trPr>
        <w:tc>
          <w:tcPr>
            <w:tcW w:w="776" w:type="dxa"/>
            <w:tcBorders>
              <w:top w:val="single" w:sz="4" w:space="0" w:color="auto"/>
              <w:bottom w:val="single" w:sz="4" w:space="0" w:color="auto"/>
            </w:tcBorders>
            <w:noWrap/>
          </w:tcPr>
          <w:p w14:paraId="6D2C4627"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96" w:type="dxa"/>
            <w:tcBorders>
              <w:top w:val="single" w:sz="4" w:space="0" w:color="auto"/>
              <w:bottom w:val="single" w:sz="4" w:space="0" w:color="auto"/>
            </w:tcBorders>
            <w:noWrap/>
          </w:tcPr>
          <w:p w14:paraId="568C47B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460" w:type="dxa"/>
            <w:tcBorders>
              <w:top w:val="single" w:sz="4" w:space="0" w:color="auto"/>
              <w:bottom w:val="single" w:sz="4" w:space="0" w:color="auto"/>
            </w:tcBorders>
            <w:noWrap/>
          </w:tcPr>
          <w:p w14:paraId="5EA839EE"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460" w:type="dxa"/>
            <w:tcBorders>
              <w:top w:val="single" w:sz="4" w:space="0" w:color="auto"/>
              <w:bottom w:val="single" w:sz="4" w:space="0" w:color="auto"/>
            </w:tcBorders>
            <w:noWrap/>
          </w:tcPr>
          <w:p w14:paraId="76C3425D"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460" w:type="dxa"/>
            <w:tcBorders>
              <w:top w:val="single" w:sz="4" w:space="0" w:color="auto"/>
              <w:bottom w:val="single" w:sz="4" w:space="0" w:color="auto"/>
            </w:tcBorders>
            <w:noWrap/>
          </w:tcPr>
          <w:p w14:paraId="3BD5E0FF"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2302" w:type="dxa"/>
            <w:tcBorders>
              <w:top w:val="single" w:sz="4" w:space="0" w:color="auto"/>
              <w:bottom w:val="single" w:sz="4" w:space="0" w:color="auto"/>
            </w:tcBorders>
            <w:noWrap/>
          </w:tcPr>
          <w:p w14:paraId="1725702E"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1273D9F6" w14:textId="77777777" w:rsidTr="005048DF">
        <w:trPr>
          <w:trHeight w:val="250"/>
        </w:trPr>
        <w:tc>
          <w:tcPr>
            <w:tcW w:w="776" w:type="dxa"/>
            <w:tcBorders>
              <w:top w:val="single" w:sz="4" w:space="0" w:color="auto"/>
            </w:tcBorders>
            <w:noWrap/>
            <w:hideMark/>
          </w:tcPr>
          <w:p w14:paraId="3A30471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96" w:type="dxa"/>
            <w:tcBorders>
              <w:top w:val="single" w:sz="4" w:space="0" w:color="auto"/>
            </w:tcBorders>
            <w:noWrap/>
          </w:tcPr>
          <w:p w14:paraId="69247D2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6.26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0.43b</w:t>
            </w:r>
          </w:p>
        </w:tc>
        <w:tc>
          <w:tcPr>
            <w:tcW w:w="1460" w:type="dxa"/>
            <w:tcBorders>
              <w:top w:val="single" w:sz="4" w:space="0" w:color="auto"/>
            </w:tcBorders>
            <w:noWrap/>
          </w:tcPr>
          <w:p w14:paraId="37E2DAD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460" w:type="dxa"/>
            <w:tcBorders>
              <w:top w:val="single" w:sz="4" w:space="0" w:color="auto"/>
            </w:tcBorders>
            <w:noWrap/>
          </w:tcPr>
          <w:p w14:paraId="14F1A25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0.34b</w:t>
            </w:r>
          </w:p>
        </w:tc>
        <w:tc>
          <w:tcPr>
            <w:tcW w:w="1460" w:type="dxa"/>
            <w:tcBorders>
              <w:top w:val="single" w:sz="4" w:space="0" w:color="auto"/>
            </w:tcBorders>
            <w:noWrap/>
          </w:tcPr>
          <w:p w14:paraId="14ED238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0.21b</w:t>
            </w:r>
          </w:p>
        </w:tc>
        <w:tc>
          <w:tcPr>
            <w:tcW w:w="2302" w:type="dxa"/>
            <w:tcBorders>
              <w:top w:val="single" w:sz="4" w:space="0" w:color="auto"/>
            </w:tcBorders>
            <w:noWrap/>
          </w:tcPr>
          <w:p w14:paraId="687959B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0.56b</w:t>
            </w:r>
          </w:p>
        </w:tc>
      </w:tr>
      <w:tr w:rsidR="00004AB3" w:rsidRPr="005056B4" w14:paraId="6D26DBDE" w14:textId="77777777" w:rsidTr="005048DF">
        <w:trPr>
          <w:trHeight w:val="266"/>
        </w:trPr>
        <w:tc>
          <w:tcPr>
            <w:tcW w:w="0" w:type="auto"/>
            <w:noWrap/>
            <w:hideMark/>
          </w:tcPr>
          <w:p w14:paraId="017D7E5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96" w:type="dxa"/>
            <w:noWrap/>
          </w:tcPr>
          <w:p w14:paraId="4664D6D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0.35b</w:t>
            </w:r>
          </w:p>
        </w:tc>
        <w:tc>
          <w:tcPr>
            <w:tcW w:w="1460" w:type="dxa"/>
            <w:noWrap/>
          </w:tcPr>
          <w:p w14:paraId="25933DB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6.13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0.44b</w:t>
            </w:r>
          </w:p>
        </w:tc>
        <w:tc>
          <w:tcPr>
            <w:tcW w:w="1460" w:type="dxa"/>
            <w:noWrap/>
          </w:tcPr>
          <w:p w14:paraId="1CB3769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6.83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0.57b</w:t>
            </w:r>
          </w:p>
        </w:tc>
        <w:tc>
          <w:tcPr>
            <w:tcW w:w="1460" w:type="dxa"/>
            <w:noWrap/>
          </w:tcPr>
          <w:p w14:paraId="2BD941E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0.31b</w:t>
            </w:r>
          </w:p>
        </w:tc>
        <w:tc>
          <w:tcPr>
            <w:tcW w:w="0" w:type="auto"/>
            <w:noWrap/>
          </w:tcPr>
          <w:p w14:paraId="48C29DA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0.54b</w:t>
            </w:r>
          </w:p>
        </w:tc>
      </w:tr>
      <w:tr w:rsidR="00004AB3" w:rsidRPr="005056B4" w14:paraId="060B8312" w14:textId="77777777" w:rsidTr="005048DF">
        <w:trPr>
          <w:trHeight w:val="250"/>
        </w:trPr>
        <w:tc>
          <w:tcPr>
            <w:tcW w:w="0" w:type="auto"/>
            <w:noWrap/>
            <w:hideMark/>
          </w:tcPr>
          <w:p w14:paraId="06CDC97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96" w:type="dxa"/>
            <w:noWrap/>
          </w:tcPr>
          <w:p w14:paraId="1FB595D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7.86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0.40b</w:t>
            </w:r>
          </w:p>
        </w:tc>
        <w:tc>
          <w:tcPr>
            <w:tcW w:w="1460" w:type="dxa"/>
            <w:noWrap/>
          </w:tcPr>
          <w:p w14:paraId="1442563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0.42b</w:t>
            </w:r>
          </w:p>
        </w:tc>
        <w:tc>
          <w:tcPr>
            <w:tcW w:w="1460" w:type="dxa"/>
            <w:noWrap/>
          </w:tcPr>
          <w:p w14:paraId="4FF322A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7.56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0.63b</w:t>
            </w:r>
          </w:p>
        </w:tc>
        <w:tc>
          <w:tcPr>
            <w:tcW w:w="1460" w:type="dxa"/>
            <w:noWrap/>
          </w:tcPr>
          <w:p w14:paraId="3D86096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0.13b</w:t>
            </w:r>
          </w:p>
        </w:tc>
        <w:tc>
          <w:tcPr>
            <w:tcW w:w="0" w:type="auto"/>
            <w:noWrap/>
          </w:tcPr>
          <w:p w14:paraId="5A22D9D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0.28b</w:t>
            </w:r>
          </w:p>
        </w:tc>
      </w:tr>
      <w:tr w:rsidR="00004AB3" w:rsidRPr="005056B4" w14:paraId="5C139102" w14:textId="77777777" w:rsidTr="005048DF">
        <w:trPr>
          <w:trHeight w:val="250"/>
        </w:trPr>
        <w:tc>
          <w:tcPr>
            <w:tcW w:w="0" w:type="auto"/>
            <w:noWrap/>
            <w:hideMark/>
          </w:tcPr>
          <w:p w14:paraId="02AFEFF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96" w:type="dxa"/>
            <w:noWrap/>
          </w:tcPr>
          <w:p w14:paraId="32962AA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0.51b</w:t>
            </w:r>
          </w:p>
        </w:tc>
        <w:tc>
          <w:tcPr>
            <w:tcW w:w="1460" w:type="dxa"/>
            <w:noWrap/>
          </w:tcPr>
          <w:p w14:paraId="45EE300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c>
          <w:tcPr>
            <w:tcW w:w="1460" w:type="dxa"/>
            <w:noWrap/>
          </w:tcPr>
          <w:p w14:paraId="5DB5E06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8.23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0.52b</w:t>
            </w:r>
          </w:p>
        </w:tc>
        <w:tc>
          <w:tcPr>
            <w:tcW w:w="1460" w:type="dxa"/>
            <w:noWrap/>
          </w:tcPr>
          <w:p w14:paraId="256E910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13.76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0.37b</w:t>
            </w:r>
          </w:p>
        </w:tc>
        <w:tc>
          <w:tcPr>
            <w:tcW w:w="0" w:type="auto"/>
            <w:noWrap/>
          </w:tcPr>
          <w:p w14:paraId="1DBFA46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0.73b</w:t>
            </w:r>
          </w:p>
        </w:tc>
      </w:tr>
      <w:tr w:rsidR="00004AB3" w:rsidRPr="005056B4" w14:paraId="54AC0C37" w14:textId="77777777" w:rsidTr="005048DF">
        <w:trPr>
          <w:trHeight w:val="250"/>
        </w:trPr>
        <w:tc>
          <w:tcPr>
            <w:tcW w:w="0" w:type="auto"/>
            <w:noWrap/>
            <w:hideMark/>
          </w:tcPr>
          <w:p w14:paraId="75AEE86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96" w:type="dxa"/>
            <w:noWrap/>
          </w:tcPr>
          <w:p w14:paraId="52164F6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0.68a</w:t>
            </w:r>
          </w:p>
        </w:tc>
        <w:tc>
          <w:tcPr>
            <w:tcW w:w="1460" w:type="dxa"/>
            <w:noWrap/>
          </w:tcPr>
          <w:p w14:paraId="3CF0B45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0.15a</w:t>
            </w:r>
          </w:p>
        </w:tc>
        <w:tc>
          <w:tcPr>
            <w:tcW w:w="1460" w:type="dxa"/>
            <w:noWrap/>
          </w:tcPr>
          <w:p w14:paraId="7942BDC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0.57b</w:t>
            </w:r>
          </w:p>
        </w:tc>
        <w:tc>
          <w:tcPr>
            <w:tcW w:w="1460" w:type="dxa"/>
            <w:noWrap/>
          </w:tcPr>
          <w:p w14:paraId="10783FA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15.20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0.83b</w:t>
            </w:r>
          </w:p>
        </w:tc>
        <w:tc>
          <w:tcPr>
            <w:tcW w:w="0" w:type="auto"/>
            <w:noWrap/>
          </w:tcPr>
          <w:p w14:paraId="702EF64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0.72a</w:t>
            </w:r>
          </w:p>
        </w:tc>
      </w:tr>
      <w:tr w:rsidR="00004AB3" w:rsidRPr="005056B4" w14:paraId="2CA4041D" w14:textId="77777777" w:rsidTr="005048DF">
        <w:trPr>
          <w:trHeight w:val="266"/>
        </w:trPr>
        <w:tc>
          <w:tcPr>
            <w:tcW w:w="0" w:type="auto"/>
            <w:noWrap/>
            <w:hideMark/>
          </w:tcPr>
          <w:p w14:paraId="675D79D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96" w:type="dxa"/>
            <w:noWrap/>
          </w:tcPr>
          <w:p w14:paraId="0817069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0.97a</w:t>
            </w:r>
          </w:p>
        </w:tc>
        <w:tc>
          <w:tcPr>
            <w:tcW w:w="1460" w:type="dxa"/>
            <w:noWrap/>
          </w:tcPr>
          <w:p w14:paraId="76659E0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0.52a</w:t>
            </w:r>
          </w:p>
        </w:tc>
        <w:tc>
          <w:tcPr>
            <w:tcW w:w="1460" w:type="dxa"/>
            <w:noWrap/>
          </w:tcPr>
          <w:p w14:paraId="336B9EE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0.21a</w:t>
            </w:r>
          </w:p>
        </w:tc>
        <w:tc>
          <w:tcPr>
            <w:tcW w:w="1460" w:type="dxa"/>
            <w:noWrap/>
          </w:tcPr>
          <w:p w14:paraId="42BCA8A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16.26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c>
          <w:tcPr>
            <w:tcW w:w="0" w:type="auto"/>
            <w:noWrap/>
          </w:tcPr>
          <w:p w14:paraId="5A9F4EE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17.53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19B02DB5" w14:textId="77777777" w:rsidTr="005048DF">
        <w:trPr>
          <w:trHeight w:val="250"/>
        </w:trPr>
        <w:tc>
          <w:tcPr>
            <w:tcW w:w="0" w:type="auto"/>
            <w:noWrap/>
            <w:hideMark/>
          </w:tcPr>
          <w:p w14:paraId="2B3E857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96" w:type="dxa"/>
            <w:noWrap/>
          </w:tcPr>
          <w:p w14:paraId="18939B5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0.92a</w:t>
            </w:r>
          </w:p>
        </w:tc>
        <w:tc>
          <w:tcPr>
            <w:tcW w:w="1460" w:type="dxa"/>
            <w:noWrap/>
          </w:tcPr>
          <w:p w14:paraId="71BA783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460" w:type="dxa"/>
            <w:noWrap/>
          </w:tcPr>
          <w:p w14:paraId="19A3F27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0.31a</w:t>
            </w:r>
          </w:p>
        </w:tc>
        <w:tc>
          <w:tcPr>
            <w:tcW w:w="1460" w:type="dxa"/>
            <w:noWrap/>
          </w:tcPr>
          <w:p w14:paraId="4199702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16.83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0.57a</w:t>
            </w:r>
          </w:p>
        </w:tc>
        <w:tc>
          <w:tcPr>
            <w:tcW w:w="0" w:type="auto"/>
            <w:noWrap/>
          </w:tcPr>
          <w:p w14:paraId="36709FD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r>
      <w:tr w:rsidR="00004AB3" w:rsidRPr="005056B4" w14:paraId="517CA6F7" w14:textId="77777777" w:rsidTr="005048DF">
        <w:trPr>
          <w:trHeight w:val="250"/>
        </w:trPr>
        <w:tc>
          <w:tcPr>
            <w:tcW w:w="0" w:type="auto"/>
            <w:noWrap/>
            <w:hideMark/>
          </w:tcPr>
          <w:p w14:paraId="16D63A3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96" w:type="dxa"/>
            <w:noWrap/>
          </w:tcPr>
          <w:p w14:paraId="33852CE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460" w:type="dxa"/>
            <w:noWrap/>
          </w:tcPr>
          <w:p w14:paraId="17192FC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0.40a</w:t>
            </w:r>
          </w:p>
        </w:tc>
        <w:tc>
          <w:tcPr>
            <w:tcW w:w="1460" w:type="dxa"/>
            <w:noWrap/>
          </w:tcPr>
          <w:p w14:paraId="3C49C6A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755779D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17.93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0.61a</w:t>
            </w:r>
          </w:p>
        </w:tc>
        <w:tc>
          <w:tcPr>
            <w:tcW w:w="0" w:type="auto"/>
            <w:noWrap/>
          </w:tcPr>
          <w:p w14:paraId="37EB1B2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5ADBBA56" w14:textId="77777777" w:rsidTr="005048DF">
        <w:trPr>
          <w:trHeight w:val="266"/>
        </w:trPr>
        <w:tc>
          <w:tcPr>
            <w:tcW w:w="0" w:type="auto"/>
            <w:noWrap/>
            <w:hideMark/>
          </w:tcPr>
          <w:p w14:paraId="361E33B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96" w:type="dxa"/>
            <w:noWrap/>
          </w:tcPr>
          <w:p w14:paraId="3FB3A39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6998A29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0.71a</w:t>
            </w:r>
          </w:p>
        </w:tc>
        <w:tc>
          <w:tcPr>
            <w:tcW w:w="1460" w:type="dxa"/>
            <w:noWrap/>
          </w:tcPr>
          <w:p w14:paraId="1FA24B8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3039521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18.30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0.50a</w:t>
            </w:r>
          </w:p>
        </w:tc>
        <w:tc>
          <w:tcPr>
            <w:tcW w:w="0" w:type="auto"/>
            <w:noWrap/>
          </w:tcPr>
          <w:p w14:paraId="220FFFF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19.63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45D49318" w14:textId="77777777" w:rsidTr="005048DF">
        <w:trPr>
          <w:trHeight w:val="250"/>
        </w:trPr>
        <w:tc>
          <w:tcPr>
            <w:tcW w:w="0" w:type="auto"/>
            <w:noWrap/>
            <w:hideMark/>
          </w:tcPr>
          <w:p w14:paraId="3A886F0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96" w:type="dxa"/>
            <w:noWrap/>
          </w:tcPr>
          <w:p w14:paraId="1F17333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14.90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58145AC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0.66a</w:t>
            </w:r>
          </w:p>
        </w:tc>
        <w:tc>
          <w:tcPr>
            <w:tcW w:w="1460" w:type="dxa"/>
            <w:noWrap/>
          </w:tcPr>
          <w:p w14:paraId="1FEBA56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2E34B50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0.93a</w:t>
            </w:r>
          </w:p>
        </w:tc>
        <w:tc>
          <w:tcPr>
            <w:tcW w:w="0" w:type="auto"/>
            <w:noWrap/>
          </w:tcPr>
          <w:p w14:paraId="3711ED9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19.90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r>
      <w:tr w:rsidR="00004AB3" w:rsidRPr="005056B4" w14:paraId="307C9171" w14:textId="77777777" w:rsidTr="005048DF">
        <w:trPr>
          <w:trHeight w:val="250"/>
        </w:trPr>
        <w:tc>
          <w:tcPr>
            <w:tcW w:w="0" w:type="auto"/>
            <w:noWrap/>
            <w:hideMark/>
          </w:tcPr>
          <w:p w14:paraId="071BE66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96" w:type="dxa"/>
            <w:noWrap/>
          </w:tcPr>
          <w:p w14:paraId="54619E8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400AAC7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0.48a</w:t>
            </w:r>
          </w:p>
        </w:tc>
        <w:tc>
          <w:tcPr>
            <w:tcW w:w="1460" w:type="dxa"/>
            <w:noWrap/>
          </w:tcPr>
          <w:p w14:paraId="7486C61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7169518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0.83a</w:t>
            </w:r>
          </w:p>
        </w:tc>
        <w:tc>
          <w:tcPr>
            <w:tcW w:w="0" w:type="auto"/>
            <w:noWrap/>
          </w:tcPr>
          <w:p w14:paraId="706A138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1.20a</w:t>
            </w:r>
          </w:p>
        </w:tc>
      </w:tr>
      <w:tr w:rsidR="00004AB3" w:rsidRPr="005056B4" w14:paraId="7323979C" w14:textId="77777777" w:rsidTr="005048DF">
        <w:trPr>
          <w:trHeight w:val="266"/>
        </w:trPr>
        <w:tc>
          <w:tcPr>
            <w:tcW w:w="0" w:type="auto"/>
            <w:noWrap/>
            <w:hideMark/>
          </w:tcPr>
          <w:p w14:paraId="35E45CB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96" w:type="dxa"/>
            <w:noWrap/>
          </w:tcPr>
          <w:p w14:paraId="14C5A8F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15.30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7DEF75A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0.48a</w:t>
            </w:r>
          </w:p>
        </w:tc>
        <w:tc>
          <w:tcPr>
            <w:tcW w:w="1460" w:type="dxa"/>
            <w:noWrap/>
          </w:tcPr>
          <w:p w14:paraId="668064E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13.86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c>
          <w:tcPr>
            <w:tcW w:w="1460" w:type="dxa"/>
            <w:noWrap/>
          </w:tcPr>
          <w:p w14:paraId="66AC9DD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0.90a</w:t>
            </w:r>
          </w:p>
        </w:tc>
        <w:tc>
          <w:tcPr>
            <w:tcW w:w="0" w:type="auto"/>
            <w:noWrap/>
          </w:tcPr>
          <w:p w14:paraId="0730B88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594DA774" w14:textId="77777777" w:rsidTr="005048DF">
        <w:trPr>
          <w:trHeight w:val="250"/>
        </w:trPr>
        <w:tc>
          <w:tcPr>
            <w:tcW w:w="0" w:type="auto"/>
            <w:noWrap/>
            <w:hideMark/>
          </w:tcPr>
          <w:p w14:paraId="377C3EF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96" w:type="dxa"/>
            <w:noWrap/>
          </w:tcPr>
          <w:p w14:paraId="3487ACB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15.76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0.27a</w:t>
            </w:r>
          </w:p>
        </w:tc>
        <w:tc>
          <w:tcPr>
            <w:tcW w:w="1460" w:type="dxa"/>
            <w:noWrap/>
          </w:tcPr>
          <w:p w14:paraId="53FAE54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18.06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460" w:type="dxa"/>
            <w:noWrap/>
          </w:tcPr>
          <w:p w14:paraId="5B3A3F4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c>
          <w:tcPr>
            <w:tcW w:w="1460" w:type="dxa"/>
            <w:noWrap/>
          </w:tcPr>
          <w:p w14:paraId="649ACEB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0.00c</w:t>
            </w:r>
          </w:p>
        </w:tc>
        <w:tc>
          <w:tcPr>
            <w:tcW w:w="0" w:type="auto"/>
            <w:noWrap/>
          </w:tcPr>
          <w:p w14:paraId="21F89A8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0.00c</w:t>
            </w:r>
          </w:p>
        </w:tc>
      </w:tr>
    </w:tbl>
    <w:p w14:paraId="131DE8A2" w14:textId="77777777" w:rsidR="00004AB3" w:rsidRPr="00231105" w:rsidRDefault="00004AB3" w:rsidP="00004AB3">
      <w:pPr>
        <w:spacing w:after="0" w:line="360" w:lineRule="auto"/>
        <w:ind w:left="720"/>
        <w:jc w:val="both"/>
        <w:rPr>
          <w:rFonts w:ascii="Times New Roman" w:hAnsi="Times New Roman" w:cs="Times New Roman"/>
          <w:sz w:val="10"/>
          <w:szCs w:val="10"/>
        </w:rPr>
      </w:pPr>
    </w:p>
    <w:p w14:paraId="7D723A02" w14:textId="77777777" w:rsidR="00004AB3" w:rsidRPr="005056B4" w:rsidRDefault="00004AB3" w:rsidP="00004AB3">
      <w:pPr>
        <w:spacing w:after="0"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w:t>
      </w:r>
      <w:r w:rsidR="00DE170E" w:rsidRPr="005056B4">
        <w:rPr>
          <w:rFonts w:ascii="Times New Roman" w:hAnsi="Times New Roman" w:cs="Times New Roman"/>
          <w:sz w:val="24"/>
          <w:szCs w:val="24"/>
        </w:rPr>
        <w:t xml:space="preserve"> </w:t>
      </w:r>
      <w:r w:rsidRPr="005056B4">
        <w:rPr>
          <w:rFonts w:ascii="Times New Roman" w:hAnsi="Times New Roman" w:cs="Times New Roman"/>
          <w:sz w:val="24"/>
          <w:szCs w:val="24"/>
        </w:rPr>
        <w:t>&lt;</w:t>
      </w:r>
      <w:r w:rsidR="00DE170E" w:rsidRPr="005056B4">
        <w:rPr>
          <w:rFonts w:ascii="Times New Roman" w:hAnsi="Times New Roman" w:cs="Times New Roman"/>
          <w:sz w:val="24"/>
          <w:szCs w:val="24"/>
        </w:rPr>
        <w:t xml:space="preserve"> </w:t>
      </w:r>
      <w:r w:rsidRPr="005056B4">
        <w:rPr>
          <w:rFonts w:ascii="Times New Roman" w:hAnsi="Times New Roman" w:cs="Times New Roman"/>
          <w:sz w:val="24"/>
          <w:szCs w:val="24"/>
        </w:rPr>
        <w:t>0.0001.</w:t>
      </w:r>
    </w:p>
    <w:p w14:paraId="2228508B" w14:textId="77777777" w:rsidR="00004AB3" w:rsidRPr="005056B4" w:rsidRDefault="00004AB3" w:rsidP="00004AB3">
      <w:pPr>
        <w:spacing w:after="0" w:line="360" w:lineRule="auto"/>
        <w:ind w:left="720"/>
        <w:jc w:val="both"/>
        <w:rPr>
          <w:rFonts w:ascii="Times New Roman" w:eastAsia="Times New Roman" w:hAnsi="Times New Roman" w:cs="Times New Roman"/>
          <w:sz w:val="24"/>
          <w:szCs w:val="24"/>
        </w:rPr>
      </w:pPr>
    </w:p>
    <w:p w14:paraId="7FA6BB09" w14:textId="77777777" w:rsidR="00004AB3" w:rsidRPr="005056B4" w:rsidRDefault="00004AB3" w:rsidP="004C769E">
      <w:pPr>
        <w:spacing w:after="0" w:line="480" w:lineRule="auto"/>
        <w:jc w:val="both"/>
        <w:rPr>
          <w:rFonts w:ascii="Times New Roman" w:eastAsia="Times New Roman" w:hAnsi="Times New Roman" w:cs="Times New Roman"/>
          <w:sz w:val="24"/>
          <w:szCs w:val="24"/>
        </w:rPr>
      </w:pPr>
      <w:r w:rsidRPr="005056B4">
        <w:rPr>
          <w:rFonts w:ascii="Times New Roman" w:eastAsia="Times New Roman" w:hAnsi="Times New Roman" w:cs="Times New Roman"/>
          <w:sz w:val="24"/>
          <w:szCs w:val="24"/>
        </w:rPr>
        <w:t>For AMF-inoculated plants subjected to drought stress, petiole length increased significantly with plant age across the five </w:t>
      </w:r>
      <w:r w:rsidRPr="005056B4">
        <w:rPr>
          <w:rFonts w:ascii="Times New Roman" w:eastAsia="Times New Roman" w:hAnsi="Times New Roman" w:cs="Times New Roman"/>
          <w:i/>
          <w:iCs/>
          <w:sz w:val="24"/>
          <w:szCs w:val="24"/>
        </w:rPr>
        <w:t>Vigna subterranea</w:t>
      </w:r>
      <w:r w:rsidRPr="005056B4">
        <w:rPr>
          <w:rFonts w:ascii="Times New Roman" w:eastAsia="Times New Roman" w:hAnsi="Times New Roman" w:cs="Times New Roman"/>
          <w:sz w:val="24"/>
          <w:szCs w:val="24"/>
        </w:rPr>
        <w:t xml:space="preserve"> accessions (P &lt; 0.0001; Table 4). Initial petiole length ranged from 5.20 ± 0.23 cm (TVSU2) to 12.20 ± 0.56 cm (TVSU5). At 8 WAP, TVSU5 and TVSU4 recorded the longest petioles (19.36 ± 0.75 and 17.93 ± 0.61 cm, respectively), whereas TVSU3 recorded the shortest (12.96 ± 0.23 cm). By 13 WAP, TVSU2 had the longest petioles (18.06 ± 0.43 cm), followed by TVSU1 (15.76 ± 0.27 cm) and TVSU3 (14.76 ± 0.37 cm), while TVSU4 and TVSU5 recorded 0.00 ± 0.00 cm. Significant differences were most </w:t>
      </w:r>
      <w:r w:rsidRPr="005056B4">
        <w:rPr>
          <w:rFonts w:ascii="Times New Roman" w:eastAsia="Times New Roman" w:hAnsi="Times New Roman" w:cs="Times New Roman"/>
          <w:sz w:val="24"/>
          <w:szCs w:val="24"/>
        </w:rPr>
        <w:lastRenderedPageBreak/>
        <w:t>pronounced during the early growth stages, whereas most accessions exhibited similar statistical groupings from 6 WAP onward.</w:t>
      </w:r>
    </w:p>
    <w:p w14:paraId="3A62409B" w14:textId="77777777" w:rsidR="00004AB3" w:rsidRPr="005056B4" w:rsidRDefault="00004AB3" w:rsidP="00004AB3">
      <w:pPr>
        <w:spacing w:after="0" w:line="360" w:lineRule="auto"/>
        <w:ind w:left="720"/>
        <w:jc w:val="both"/>
        <w:rPr>
          <w:rFonts w:ascii="Times New Roman" w:eastAsia="Times New Roman" w:hAnsi="Times New Roman" w:cs="Times New Roman"/>
          <w:sz w:val="24"/>
          <w:szCs w:val="24"/>
        </w:rPr>
      </w:pPr>
    </w:p>
    <w:p w14:paraId="6655495B" w14:textId="77777777" w:rsidR="005056B4" w:rsidRDefault="005056B4" w:rsidP="00DE170E">
      <w:pPr>
        <w:spacing w:after="0" w:line="360" w:lineRule="auto"/>
        <w:jc w:val="both"/>
        <w:rPr>
          <w:rFonts w:ascii="Times New Roman" w:hAnsi="Times New Roman" w:cs="Times New Roman"/>
          <w:b/>
          <w:sz w:val="24"/>
          <w:szCs w:val="24"/>
        </w:rPr>
      </w:pPr>
    </w:p>
    <w:p w14:paraId="70EC1A19" w14:textId="77777777" w:rsidR="00004AB3" w:rsidRPr="005056B4" w:rsidRDefault="00004AB3" w:rsidP="00DE170E">
      <w:pPr>
        <w:spacing w:after="0" w:line="360" w:lineRule="auto"/>
        <w:jc w:val="both"/>
        <w:rPr>
          <w:rFonts w:ascii="Times New Roman" w:hAnsi="Times New Roman" w:cs="Times New Roman"/>
          <w:b/>
          <w:i/>
          <w:sz w:val="24"/>
          <w:szCs w:val="24"/>
        </w:rPr>
      </w:pPr>
      <w:r w:rsidRPr="005056B4">
        <w:rPr>
          <w:rFonts w:ascii="Times New Roman" w:hAnsi="Times New Roman" w:cs="Times New Roman"/>
          <w:b/>
          <w:sz w:val="24"/>
          <w:szCs w:val="24"/>
        </w:rPr>
        <w:t>Table 5</w:t>
      </w:r>
      <w:r w:rsidR="00DE170E" w:rsidRPr="005056B4">
        <w:rPr>
          <w:rFonts w:ascii="Times New Roman" w:hAnsi="Times New Roman" w:cs="Times New Roman"/>
          <w:b/>
          <w:sz w:val="24"/>
          <w:szCs w:val="24"/>
        </w:rPr>
        <w:t xml:space="preserve"> Petiole Length of </w:t>
      </w:r>
      <w:r w:rsidR="00DE170E" w:rsidRPr="005056B4">
        <w:rPr>
          <w:rFonts w:ascii="Times New Roman" w:hAnsi="Times New Roman" w:cs="Times New Roman"/>
          <w:b/>
          <w:i/>
          <w:sz w:val="24"/>
          <w:szCs w:val="24"/>
        </w:rPr>
        <w:t xml:space="preserve">V. Subteranea </w:t>
      </w:r>
      <w:r w:rsidR="00DE170E" w:rsidRPr="005056B4">
        <w:rPr>
          <w:rFonts w:ascii="Times New Roman" w:hAnsi="Times New Roman" w:cs="Times New Roman"/>
          <w:b/>
          <w:sz w:val="24"/>
          <w:szCs w:val="24"/>
        </w:rPr>
        <w:t xml:space="preserve">under Drought with </w:t>
      </w:r>
      <w:proofErr w:type="spellStart"/>
      <w:r w:rsidR="0060138C" w:rsidRPr="00C72CE2">
        <w:rPr>
          <w:rFonts w:ascii="Times New Roman" w:eastAsiaTheme="minorEastAsia" w:hAnsi="Times New Roman" w:cs="Times New Roman"/>
          <w:b/>
          <w:bCs/>
          <w:i/>
          <w:sz w:val="24"/>
          <w:szCs w:val="24"/>
        </w:rPr>
        <w:t>Calopogonium</w:t>
      </w:r>
      <w:proofErr w:type="spellEnd"/>
      <w:r w:rsidR="0060138C" w:rsidRPr="00C72CE2">
        <w:rPr>
          <w:rFonts w:ascii="Times New Roman" w:eastAsiaTheme="minorEastAsia" w:hAnsi="Times New Roman" w:cs="Times New Roman"/>
          <w:b/>
          <w:bCs/>
          <w:i/>
          <w:sz w:val="24"/>
          <w:szCs w:val="24"/>
        </w:rPr>
        <w:t xml:space="preserve"> </w:t>
      </w:r>
      <w:proofErr w:type="spellStart"/>
      <w:r w:rsidR="0060138C" w:rsidRPr="00C72CE2">
        <w:rPr>
          <w:rFonts w:ascii="Times New Roman" w:eastAsiaTheme="minorEastAsia" w:hAnsi="Times New Roman" w:cs="Times New Roman"/>
          <w:b/>
          <w:bCs/>
          <w:i/>
          <w:sz w:val="24"/>
          <w:szCs w:val="24"/>
        </w:rPr>
        <w:t>mucunoides</w:t>
      </w:r>
      <w:proofErr w:type="spellEnd"/>
      <w:r w:rsidR="0060138C" w:rsidRPr="00C72CE2">
        <w:rPr>
          <w:rFonts w:ascii="Times New Roman" w:eastAsiaTheme="minorEastAsia" w:hAnsi="Times New Roman" w:cs="Times New Roman"/>
          <w:b/>
          <w:bCs/>
          <w:iCs/>
          <w:sz w:val="24"/>
          <w:szCs w:val="24"/>
        </w:rPr>
        <w:t xml:space="preserve"> </w:t>
      </w:r>
      <w:r w:rsidR="00DE170E" w:rsidRPr="00C72CE2">
        <w:rPr>
          <w:rFonts w:ascii="Times New Roman" w:eastAsiaTheme="minorEastAsia" w:hAnsi="Times New Roman" w:cs="Times New Roman"/>
          <w:b/>
          <w:bCs/>
          <w:iCs/>
          <w:sz w:val="24"/>
          <w:szCs w:val="24"/>
        </w:rPr>
        <w:t>treatment</w:t>
      </w:r>
    </w:p>
    <w:tbl>
      <w:tblPr>
        <w:tblpPr w:leftFromText="180" w:rightFromText="180" w:vertAnchor="text" w:horzAnchor="margin" w:tblpXSpec="center" w:tblpY="200"/>
        <w:tblW w:w="8336" w:type="dxa"/>
        <w:tblBorders>
          <w:top w:val="single" w:sz="4" w:space="0" w:color="auto"/>
          <w:bottom w:val="single" w:sz="4" w:space="0" w:color="auto"/>
        </w:tblBorders>
        <w:tblLook w:val="04A0" w:firstRow="1" w:lastRow="0" w:firstColumn="1" w:lastColumn="0" w:noHBand="0" w:noVBand="1"/>
      </w:tblPr>
      <w:tblGrid>
        <w:gridCol w:w="750"/>
        <w:gridCol w:w="1492"/>
        <w:gridCol w:w="1428"/>
        <w:gridCol w:w="1708"/>
        <w:gridCol w:w="1440"/>
        <w:gridCol w:w="1620"/>
      </w:tblGrid>
      <w:tr w:rsidR="00004AB3" w:rsidRPr="005056B4" w14:paraId="26562A3C" w14:textId="77777777" w:rsidTr="005048DF">
        <w:trPr>
          <w:trHeight w:val="250"/>
        </w:trPr>
        <w:tc>
          <w:tcPr>
            <w:tcW w:w="648" w:type="dxa"/>
            <w:tcBorders>
              <w:top w:val="single" w:sz="4" w:space="0" w:color="auto"/>
              <w:bottom w:val="single" w:sz="4" w:space="0" w:color="auto"/>
            </w:tcBorders>
            <w:noWrap/>
          </w:tcPr>
          <w:p w14:paraId="2CB21C75"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492" w:type="dxa"/>
            <w:tcBorders>
              <w:top w:val="single" w:sz="4" w:space="0" w:color="auto"/>
              <w:bottom w:val="single" w:sz="4" w:space="0" w:color="auto"/>
            </w:tcBorders>
            <w:noWrap/>
          </w:tcPr>
          <w:p w14:paraId="47FA733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428" w:type="dxa"/>
            <w:tcBorders>
              <w:top w:val="single" w:sz="4" w:space="0" w:color="auto"/>
              <w:bottom w:val="single" w:sz="4" w:space="0" w:color="auto"/>
            </w:tcBorders>
            <w:noWrap/>
          </w:tcPr>
          <w:p w14:paraId="6E230674"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708" w:type="dxa"/>
            <w:tcBorders>
              <w:top w:val="single" w:sz="4" w:space="0" w:color="auto"/>
              <w:bottom w:val="single" w:sz="4" w:space="0" w:color="auto"/>
            </w:tcBorders>
            <w:noWrap/>
          </w:tcPr>
          <w:p w14:paraId="50BB8B8C"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440" w:type="dxa"/>
            <w:tcBorders>
              <w:top w:val="single" w:sz="4" w:space="0" w:color="auto"/>
              <w:bottom w:val="single" w:sz="4" w:space="0" w:color="auto"/>
            </w:tcBorders>
            <w:noWrap/>
          </w:tcPr>
          <w:p w14:paraId="45E559FE"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620" w:type="dxa"/>
            <w:tcBorders>
              <w:top w:val="single" w:sz="4" w:space="0" w:color="auto"/>
              <w:bottom w:val="single" w:sz="4" w:space="0" w:color="auto"/>
            </w:tcBorders>
            <w:noWrap/>
          </w:tcPr>
          <w:p w14:paraId="0ABA40D7"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76DA9303" w14:textId="77777777" w:rsidTr="005048DF">
        <w:trPr>
          <w:trHeight w:val="250"/>
        </w:trPr>
        <w:tc>
          <w:tcPr>
            <w:tcW w:w="648" w:type="dxa"/>
            <w:tcBorders>
              <w:top w:val="single" w:sz="4" w:space="0" w:color="auto"/>
            </w:tcBorders>
            <w:noWrap/>
            <w:hideMark/>
          </w:tcPr>
          <w:p w14:paraId="529F072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492" w:type="dxa"/>
            <w:tcBorders>
              <w:top w:val="single" w:sz="4" w:space="0" w:color="auto"/>
            </w:tcBorders>
            <w:noWrap/>
          </w:tcPr>
          <w:p w14:paraId="39E153D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5.53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0.14b</w:t>
            </w:r>
          </w:p>
        </w:tc>
        <w:tc>
          <w:tcPr>
            <w:tcW w:w="1428" w:type="dxa"/>
            <w:tcBorders>
              <w:top w:val="single" w:sz="4" w:space="0" w:color="auto"/>
            </w:tcBorders>
            <w:noWrap/>
          </w:tcPr>
          <w:p w14:paraId="1459D9D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9.50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0.45b</w:t>
            </w:r>
          </w:p>
        </w:tc>
        <w:tc>
          <w:tcPr>
            <w:tcW w:w="1708" w:type="dxa"/>
            <w:tcBorders>
              <w:top w:val="single" w:sz="4" w:space="0" w:color="auto"/>
            </w:tcBorders>
            <w:noWrap/>
          </w:tcPr>
          <w:p w14:paraId="5607B1B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sz w:val="24"/>
                <w:szCs w:val="24"/>
                <w:lang w:eastAsia="en-GB"/>
              </w:rPr>
              <w:t>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0.32b</w:t>
            </w:r>
          </w:p>
        </w:tc>
        <w:tc>
          <w:tcPr>
            <w:tcW w:w="1440" w:type="dxa"/>
            <w:tcBorders>
              <w:top w:val="single" w:sz="4" w:space="0" w:color="auto"/>
            </w:tcBorders>
            <w:noWrap/>
          </w:tcPr>
          <w:p w14:paraId="003905A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9.33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0.23c</w:t>
            </w:r>
          </w:p>
        </w:tc>
        <w:tc>
          <w:tcPr>
            <w:tcW w:w="1620" w:type="dxa"/>
            <w:tcBorders>
              <w:top w:val="single" w:sz="4" w:space="0" w:color="auto"/>
            </w:tcBorders>
            <w:noWrap/>
          </w:tcPr>
          <w:p w14:paraId="2699D70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11.33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0.79b</w:t>
            </w:r>
          </w:p>
        </w:tc>
      </w:tr>
      <w:tr w:rsidR="00004AB3" w:rsidRPr="005056B4" w14:paraId="4518ED5A" w14:textId="77777777" w:rsidTr="005048DF">
        <w:trPr>
          <w:trHeight w:val="266"/>
        </w:trPr>
        <w:tc>
          <w:tcPr>
            <w:tcW w:w="648" w:type="dxa"/>
            <w:noWrap/>
            <w:hideMark/>
          </w:tcPr>
          <w:p w14:paraId="3A46CB2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492" w:type="dxa"/>
            <w:noWrap/>
          </w:tcPr>
          <w:p w14:paraId="48EC9B1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6.80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0.05b</w:t>
            </w:r>
          </w:p>
        </w:tc>
        <w:tc>
          <w:tcPr>
            <w:tcW w:w="1428" w:type="dxa"/>
            <w:noWrap/>
          </w:tcPr>
          <w:p w14:paraId="3807A2B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10.56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0.31b</w:t>
            </w:r>
          </w:p>
        </w:tc>
        <w:tc>
          <w:tcPr>
            <w:tcW w:w="1708" w:type="dxa"/>
            <w:noWrap/>
          </w:tcPr>
          <w:p w14:paraId="17FA380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5.83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0.54b</w:t>
            </w:r>
          </w:p>
        </w:tc>
        <w:tc>
          <w:tcPr>
            <w:tcW w:w="1440" w:type="dxa"/>
            <w:noWrap/>
          </w:tcPr>
          <w:p w14:paraId="7543129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0.36b</w:t>
            </w:r>
          </w:p>
        </w:tc>
        <w:tc>
          <w:tcPr>
            <w:tcW w:w="1620" w:type="dxa"/>
            <w:noWrap/>
          </w:tcPr>
          <w:p w14:paraId="292D2CB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0.65b</w:t>
            </w:r>
          </w:p>
        </w:tc>
      </w:tr>
      <w:tr w:rsidR="00004AB3" w:rsidRPr="005056B4" w14:paraId="1C09ED56" w14:textId="77777777" w:rsidTr="005048DF">
        <w:trPr>
          <w:trHeight w:val="250"/>
        </w:trPr>
        <w:tc>
          <w:tcPr>
            <w:tcW w:w="648" w:type="dxa"/>
            <w:noWrap/>
            <w:hideMark/>
          </w:tcPr>
          <w:p w14:paraId="6856681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492" w:type="dxa"/>
            <w:noWrap/>
          </w:tcPr>
          <w:p w14:paraId="55E5193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0.55b</w:t>
            </w:r>
          </w:p>
        </w:tc>
        <w:tc>
          <w:tcPr>
            <w:tcW w:w="1428" w:type="dxa"/>
            <w:noWrap/>
          </w:tcPr>
          <w:p w14:paraId="5106514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12.76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0.08b</w:t>
            </w:r>
          </w:p>
        </w:tc>
        <w:tc>
          <w:tcPr>
            <w:tcW w:w="1708" w:type="dxa"/>
            <w:noWrap/>
          </w:tcPr>
          <w:p w14:paraId="7A686D3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7.20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0.40b</w:t>
            </w:r>
          </w:p>
        </w:tc>
        <w:tc>
          <w:tcPr>
            <w:tcW w:w="1440" w:type="dxa"/>
            <w:noWrap/>
          </w:tcPr>
          <w:p w14:paraId="1332330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13.96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0.68b</w:t>
            </w:r>
          </w:p>
        </w:tc>
        <w:tc>
          <w:tcPr>
            <w:tcW w:w="1620" w:type="dxa"/>
            <w:noWrap/>
          </w:tcPr>
          <w:p w14:paraId="07DBF31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0.55b</w:t>
            </w:r>
          </w:p>
        </w:tc>
      </w:tr>
      <w:tr w:rsidR="00004AB3" w:rsidRPr="005056B4" w14:paraId="741B9933" w14:textId="77777777" w:rsidTr="005048DF">
        <w:trPr>
          <w:trHeight w:val="250"/>
        </w:trPr>
        <w:tc>
          <w:tcPr>
            <w:tcW w:w="648" w:type="dxa"/>
            <w:noWrap/>
            <w:hideMark/>
          </w:tcPr>
          <w:p w14:paraId="43E2BB4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492" w:type="dxa"/>
            <w:noWrap/>
          </w:tcPr>
          <w:p w14:paraId="6C36A39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8.53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0.17b</w:t>
            </w:r>
          </w:p>
        </w:tc>
        <w:tc>
          <w:tcPr>
            <w:tcW w:w="1428" w:type="dxa"/>
            <w:noWrap/>
          </w:tcPr>
          <w:p w14:paraId="072F0F8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0.37b</w:t>
            </w:r>
          </w:p>
        </w:tc>
        <w:tc>
          <w:tcPr>
            <w:tcW w:w="1708" w:type="dxa"/>
            <w:noWrap/>
          </w:tcPr>
          <w:p w14:paraId="3372A97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0.85b</w:t>
            </w:r>
          </w:p>
        </w:tc>
        <w:tc>
          <w:tcPr>
            <w:tcW w:w="1440" w:type="dxa"/>
            <w:noWrap/>
          </w:tcPr>
          <w:p w14:paraId="50DD3A9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0.49b</w:t>
            </w:r>
          </w:p>
        </w:tc>
        <w:tc>
          <w:tcPr>
            <w:tcW w:w="1620" w:type="dxa"/>
            <w:noWrap/>
          </w:tcPr>
          <w:p w14:paraId="521E6BD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0.60a</w:t>
            </w:r>
          </w:p>
        </w:tc>
      </w:tr>
      <w:tr w:rsidR="00004AB3" w:rsidRPr="005056B4" w14:paraId="2A47E549" w14:textId="77777777" w:rsidTr="005048DF">
        <w:trPr>
          <w:trHeight w:val="250"/>
        </w:trPr>
        <w:tc>
          <w:tcPr>
            <w:tcW w:w="648" w:type="dxa"/>
            <w:noWrap/>
            <w:hideMark/>
          </w:tcPr>
          <w:p w14:paraId="61D13D0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492" w:type="dxa"/>
            <w:noWrap/>
          </w:tcPr>
          <w:p w14:paraId="331F06F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0.32b</w:t>
            </w:r>
          </w:p>
        </w:tc>
        <w:tc>
          <w:tcPr>
            <w:tcW w:w="1428" w:type="dxa"/>
            <w:noWrap/>
          </w:tcPr>
          <w:p w14:paraId="485C02C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708" w:type="dxa"/>
            <w:noWrap/>
          </w:tcPr>
          <w:p w14:paraId="0CE2A71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c>
          <w:tcPr>
            <w:tcW w:w="1440" w:type="dxa"/>
            <w:noWrap/>
          </w:tcPr>
          <w:p w14:paraId="6E3001C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0.49a</w:t>
            </w:r>
          </w:p>
        </w:tc>
        <w:tc>
          <w:tcPr>
            <w:tcW w:w="1620" w:type="dxa"/>
            <w:noWrap/>
          </w:tcPr>
          <w:p w14:paraId="42C2126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0.81a</w:t>
            </w:r>
          </w:p>
        </w:tc>
      </w:tr>
      <w:tr w:rsidR="00004AB3" w:rsidRPr="005056B4" w14:paraId="43A74BC9" w14:textId="77777777" w:rsidTr="005048DF">
        <w:trPr>
          <w:trHeight w:val="266"/>
        </w:trPr>
        <w:tc>
          <w:tcPr>
            <w:tcW w:w="648" w:type="dxa"/>
            <w:noWrap/>
            <w:hideMark/>
          </w:tcPr>
          <w:p w14:paraId="2333F76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492" w:type="dxa"/>
            <w:noWrap/>
          </w:tcPr>
          <w:p w14:paraId="1BA670F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428" w:type="dxa"/>
            <w:noWrap/>
          </w:tcPr>
          <w:p w14:paraId="5B47E7E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708" w:type="dxa"/>
            <w:noWrap/>
          </w:tcPr>
          <w:p w14:paraId="709869A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1.56a</w:t>
            </w:r>
          </w:p>
        </w:tc>
        <w:tc>
          <w:tcPr>
            <w:tcW w:w="1440" w:type="dxa"/>
            <w:noWrap/>
          </w:tcPr>
          <w:p w14:paraId="2219F24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0.70a</w:t>
            </w:r>
          </w:p>
        </w:tc>
        <w:tc>
          <w:tcPr>
            <w:tcW w:w="1620" w:type="dxa"/>
            <w:noWrap/>
          </w:tcPr>
          <w:p w14:paraId="586F5F4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r>
      <w:tr w:rsidR="00004AB3" w:rsidRPr="005056B4" w14:paraId="4C8C0AC5" w14:textId="77777777" w:rsidTr="005048DF">
        <w:trPr>
          <w:trHeight w:val="250"/>
        </w:trPr>
        <w:tc>
          <w:tcPr>
            <w:tcW w:w="648" w:type="dxa"/>
            <w:noWrap/>
            <w:hideMark/>
          </w:tcPr>
          <w:p w14:paraId="041336D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492" w:type="dxa"/>
            <w:noWrap/>
          </w:tcPr>
          <w:p w14:paraId="702A866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428" w:type="dxa"/>
            <w:noWrap/>
          </w:tcPr>
          <w:p w14:paraId="2A730A2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16.56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0.28a</w:t>
            </w:r>
          </w:p>
        </w:tc>
        <w:tc>
          <w:tcPr>
            <w:tcW w:w="1708" w:type="dxa"/>
            <w:noWrap/>
          </w:tcPr>
          <w:p w14:paraId="1A58D02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14.30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5C35860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0.67a</w:t>
            </w:r>
          </w:p>
        </w:tc>
        <w:tc>
          <w:tcPr>
            <w:tcW w:w="1620" w:type="dxa"/>
            <w:noWrap/>
          </w:tcPr>
          <w:p w14:paraId="0C62FCE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21.36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r>
      <w:tr w:rsidR="00004AB3" w:rsidRPr="005056B4" w14:paraId="4430BAD9" w14:textId="77777777" w:rsidTr="005048DF">
        <w:trPr>
          <w:trHeight w:val="250"/>
        </w:trPr>
        <w:tc>
          <w:tcPr>
            <w:tcW w:w="648" w:type="dxa"/>
            <w:noWrap/>
            <w:hideMark/>
          </w:tcPr>
          <w:p w14:paraId="338608E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492" w:type="dxa"/>
            <w:noWrap/>
          </w:tcPr>
          <w:p w14:paraId="3810378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13.96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0.12a</w:t>
            </w:r>
          </w:p>
        </w:tc>
        <w:tc>
          <w:tcPr>
            <w:tcW w:w="1428" w:type="dxa"/>
            <w:noWrap/>
          </w:tcPr>
          <w:p w14:paraId="612ECC9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c>
          <w:tcPr>
            <w:tcW w:w="1708" w:type="dxa"/>
            <w:noWrap/>
          </w:tcPr>
          <w:p w14:paraId="5B6BD6E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0.08a</w:t>
            </w:r>
          </w:p>
        </w:tc>
        <w:tc>
          <w:tcPr>
            <w:tcW w:w="1440" w:type="dxa"/>
            <w:noWrap/>
          </w:tcPr>
          <w:p w14:paraId="53206D8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19.86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0.58a</w:t>
            </w:r>
          </w:p>
        </w:tc>
        <w:tc>
          <w:tcPr>
            <w:tcW w:w="1620" w:type="dxa"/>
            <w:noWrap/>
          </w:tcPr>
          <w:p w14:paraId="1E15C4E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21.53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0.29a </w:t>
            </w:r>
          </w:p>
        </w:tc>
      </w:tr>
      <w:tr w:rsidR="00004AB3" w:rsidRPr="005056B4" w14:paraId="74FCA683" w14:textId="77777777" w:rsidTr="005048DF">
        <w:trPr>
          <w:trHeight w:val="266"/>
        </w:trPr>
        <w:tc>
          <w:tcPr>
            <w:tcW w:w="648" w:type="dxa"/>
            <w:noWrap/>
            <w:hideMark/>
          </w:tcPr>
          <w:p w14:paraId="1C7CEF4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492" w:type="dxa"/>
            <w:noWrap/>
          </w:tcPr>
          <w:p w14:paraId="7FF32A9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428" w:type="dxa"/>
            <w:noWrap/>
          </w:tcPr>
          <w:p w14:paraId="2EB6A40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18.60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2FBE5B4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34BFC2D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0.55a</w:t>
            </w:r>
          </w:p>
        </w:tc>
        <w:tc>
          <w:tcPr>
            <w:tcW w:w="1620" w:type="dxa"/>
            <w:noWrap/>
          </w:tcPr>
          <w:p w14:paraId="3BA2F0C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r>
      <w:tr w:rsidR="00004AB3" w:rsidRPr="005056B4" w14:paraId="6B517667" w14:textId="77777777" w:rsidTr="005048DF">
        <w:trPr>
          <w:trHeight w:val="250"/>
        </w:trPr>
        <w:tc>
          <w:tcPr>
            <w:tcW w:w="648" w:type="dxa"/>
            <w:noWrap/>
            <w:hideMark/>
          </w:tcPr>
          <w:p w14:paraId="1B8CD8B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492" w:type="dxa"/>
            <w:noWrap/>
          </w:tcPr>
          <w:p w14:paraId="0562B85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0.25a </w:t>
            </w:r>
          </w:p>
        </w:tc>
        <w:tc>
          <w:tcPr>
            <w:tcW w:w="1428" w:type="dxa"/>
            <w:noWrap/>
          </w:tcPr>
          <w:p w14:paraId="37462BC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18.60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1A0B6E0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4387F2F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0.55a</w:t>
            </w:r>
          </w:p>
        </w:tc>
        <w:tc>
          <w:tcPr>
            <w:tcW w:w="1620" w:type="dxa"/>
            <w:noWrap/>
          </w:tcPr>
          <w:p w14:paraId="5181601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r>
      <w:tr w:rsidR="00004AB3" w:rsidRPr="005056B4" w14:paraId="73675687" w14:textId="77777777" w:rsidTr="005048DF">
        <w:trPr>
          <w:trHeight w:val="250"/>
        </w:trPr>
        <w:tc>
          <w:tcPr>
            <w:tcW w:w="648" w:type="dxa"/>
            <w:noWrap/>
            <w:hideMark/>
          </w:tcPr>
          <w:p w14:paraId="2F3831E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492" w:type="dxa"/>
            <w:noWrap/>
          </w:tcPr>
          <w:p w14:paraId="19DF0E5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0.03a</w:t>
            </w:r>
          </w:p>
        </w:tc>
        <w:tc>
          <w:tcPr>
            <w:tcW w:w="1428" w:type="dxa"/>
            <w:noWrap/>
          </w:tcPr>
          <w:p w14:paraId="1D36B60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56F2769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17.86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2EBBB02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20.83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0.62a </w:t>
            </w:r>
          </w:p>
        </w:tc>
        <w:tc>
          <w:tcPr>
            <w:tcW w:w="1620" w:type="dxa"/>
            <w:noWrap/>
          </w:tcPr>
          <w:p w14:paraId="7162B93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22.26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14ECDDB5" w14:textId="77777777" w:rsidTr="005048DF">
        <w:trPr>
          <w:trHeight w:val="266"/>
        </w:trPr>
        <w:tc>
          <w:tcPr>
            <w:tcW w:w="648" w:type="dxa"/>
            <w:noWrap/>
            <w:hideMark/>
          </w:tcPr>
          <w:p w14:paraId="5E6F6F0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492" w:type="dxa"/>
            <w:noWrap/>
          </w:tcPr>
          <w:p w14:paraId="7404493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0.05a</w:t>
            </w:r>
          </w:p>
        </w:tc>
        <w:tc>
          <w:tcPr>
            <w:tcW w:w="1428" w:type="dxa"/>
            <w:noWrap/>
          </w:tcPr>
          <w:p w14:paraId="6379E11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0.56a</w:t>
            </w:r>
          </w:p>
        </w:tc>
        <w:tc>
          <w:tcPr>
            <w:tcW w:w="1708" w:type="dxa"/>
            <w:noWrap/>
          </w:tcPr>
          <w:p w14:paraId="55BCA04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405E49E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620" w:type="dxa"/>
            <w:noWrap/>
          </w:tcPr>
          <w:p w14:paraId="7C45983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49C7C5BF" w14:textId="77777777" w:rsidTr="005048DF">
        <w:trPr>
          <w:trHeight w:val="250"/>
        </w:trPr>
        <w:tc>
          <w:tcPr>
            <w:tcW w:w="648" w:type="dxa"/>
            <w:noWrap/>
            <w:hideMark/>
          </w:tcPr>
          <w:p w14:paraId="5E0221E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492" w:type="dxa"/>
            <w:noWrap/>
          </w:tcPr>
          <w:p w14:paraId="12DC4B4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0.15a</w:t>
            </w:r>
          </w:p>
        </w:tc>
        <w:tc>
          <w:tcPr>
            <w:tcW w:w="1428" w:type="dxa"/>
            <w:noWrap/>
          </w:tcPr>
          <w:p w14:paraId="2840B5E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c>
          <w:tcPr>
            <w:tcW w:w="1708" w:type="dxa"/>
            <w:noWrap/>
          </w:tcPr>
          <w:p w14:paraId="558EB02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5E0907E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620" w:type="dxa"/>
            <w:noWrap/>
          </w:tcPr>
          <w:p w14:paraId="1B81488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23.43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0.47a</w:t>
            </w:r>
          </w:p>
        </w:tc>
      </w:tr>
    </w:tbl>
    <w:p w14:paraId="0FFA0968" w14:textId="77777777" w:rsidR="00004AB3" w:rsidRPr="005056B4" w:rsidRDefault="00004AB3" w:rsidP="00004AB3">
      <w:pPr>
        <w:tabs>
          <w:tab w:val="left" w:pos="1676"/>
        </w:tabs>
        <w:spacing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p&lt;0.0001.</w:t>
      </w:r>
    </w:p>
    <w:p w14:paraId="0647862B" w14:textId="77777777" w:rsidR="00004AB3" w:rsidRPr="005056B4" w:rsidRDefault="00004AB3" w:rsidP="004C769E">
      <w:pPr>
        <w:pStyle w:val="NormalWeb"/>
        <w:spacing w:line="480" w:lineRule="auto"/>
        <w:jc w:val="both"/>
        <w:rPr>
          <w:lang w:val="en-US"/>
        </w:rPr>
      </w:pPr>
      <w:r>
        <w:rPr>
          <w:highlight w:val="yellow"/>
        </w:rPr>
        <w:t xml:space="preserve">Under </w:t>
      </w:r>
      <w:proofErr w:type="spellStart"/>
      <w:r w:rsidRPr="005056B4">
        <w:rPr>
          <w:i/>
          <w:iCs/>
        </w:rPr>
        <w:t>Calopogonium</w:t>
      </w:r>
      <w:proofErr w:type="spellEnd"/>
      <w:r w:rsidRPr="005056B4">
        <w:rPr>
          <w:i/>
          <w:iCs/>
        </w:rPr>
        <w:t xml:space="preserve"> </w:t>
      </w:r>
      <w:proofErr w:type="spellStart"/>
      <w:r w:rsidRPr="005056B4">
        <w:rPr>
          <w:i/>
          <w:iCs/>
        </w:rPr>
        <w:t>mucunoides</w:t>
      </w:r>
      <w:proofErr w:type="spellEnd"/>
      <w:r>
        <w:rPr>
          <w:highlight w:val="yellow"/>
        </w:rPr>
        <w:t xml:space="preserve"> treatment (T2) during drought stress, </w:t>
      </w:r>
      <w:r w:rsidRPr="005056B4">
        <w:rPr>
          <w:lang w:val="en-US"/>
        </w:rPr>
        <w:t>petiole length increased progressively across all </w:t>
      </w:r>
      <w:r w:rsidRPr="005056B4">
        <w:rPr>
          <w:i/>
          <w:iCs/>
          <w:lang w:val="en-US"/>
        </w:rPr>
        <w:t>Vigna subterranea</w:t>
      </w:r>
      <w:r w:rsidRPr="005056B4">
        <w:rPr>
          <w:lang w:val="en-US"/>
        </w:rPr>
        <w:t xml:space="preserve"> accessions, with significant differences among accessions over the 13-week period (P &lt; 0.0001; Table 5). At 1 WAP, petiole length ranged from 4.06 ± 0.32 cm (TVSU3) to 11.33 ± 0.79 cm (TVSU5). By 6 WAP, TVSU5 recorded the longest petioles (21.16 ± 0.26 cm), followed by TVSU4 (17.70 ± 0.70 cm) and TVSU2 (15.96 ± 0.20 cm). At 13 WAP, TVSU5 maintained the highest value (23.43 ± 0.47 cm), followed by TVSU4 (21.46 ± 0.43 cm), TVSU2 (20.03 ± 0.41 cm), TVSU3 (18.83 ± 0.26 cm), and TVSU1 (17.00 ± 0.15 cm). No accession showed complete petiole loss, indicating </w:t>
      </w:r>
      <w:r w:rsidRPr="005056B4">
        <w:rPr>
          <w:lang w:val="en-US"/>
        </w:rPr>
        <w:lastRenderedPageBreak/>
        <w:t>sustained vegetative growth under T2. Differences were more evident during the early growth stages, while most accessions exhibited similar statistical groupings at the later stages.</w:t>
      </w:r>
    </w:p>
    <w:tbl>
      <w:tblPr>
        <w:tblpPr w:leftFromText="180" w:rightFromText="180" w:vertAnchor="text" w:horzAnchor="margin" w:tblpY="528"/>
        <w:tblW w:w="8748" w:type="dxa"/>
        <w:tblBorders>
          <w:top w:val="single" w:sz="4" w:space="0" w:color="auto"/>
          <w:bottom w:val="single" w:sz="4" w:space="0" w:color="auto"/>
        </w:tblBorders>
        <w:tblLook w:val="04A0" w:firstRow="1" w:lastRow="0" w:firstColumn="1" w:lastColumn="0" w:noHBand="0" w:noVBand="1"/>
      </w:tblPr>
      <w:tblGrid>
        <w:gridCol w:w="776"/>
        <w:gridCol w:w="1582"/>
        <w:gridCol w:w="1530"/>
        <w:gridCol w:w="1530"/>
        <w:gridCol w:w="1620"/>
        <w:gridCol w:w="1710"/>
      </w:tblGrid>
      <w:tr w:rsidR="00BC5163" w:rsidRPr="005056B4" w14:paraId="77008259" w14:textId="77777777" w:rsidTr="00BC5163">
        <w:trPr>
          <w:trHeight w:val="250"/>
        </w:trPr>
        <w:tc>
          <w:tcPr>
            <w:tcW w:w="776" w:type="dxa"/>
            <w:tcBorders>
              <w:top w:val="single" w:sz="4" w:space="0" w:color="auto"/>
              <w:bottom w:val="single" w:sz="4" w:space="0" w:color="auto"/>
            </w:tcBorders>
            <w:noWrap/>
          </w:tcPr>
          <w:p w14:paraId="00F2D99F"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82" w:type="dxa"/>
            <w:tcBorders>
              <w:top w:val="single" w:sz="4" w:space="0" w:color="auto"/>
              <w:bottom w:val="single" w:sz="4" w:space="0" w:color="auto"/>
            </w:tcBorders>
            <w:noWrap/>
          </w:tcPr>
          <w:p w14:paraId="7F934C80"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30" w:type="dxa"/>
            <w:tcBorders>
              <w:top w:val="single" w:sz="4" w:space="0" w:color="auto"/>
              <w:bottom w:val="single" w:sz="4" w:space="0" w:color="auto"/>
            </w:tcBorders>
            <w:noWrap/>
          </w:tcPr>
          <w:p w14:paraId="50EABCFE"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530" w:type="dxa"/>
            <w:tcBorders>
              <w:top w:val="single" w:sz="4" w:space="0" w:color="auto"/>
              <w:bottom w:val="single" w:sz="4" w:space="0" w:color="auto"/>
            </w:tcBorders>
            <w:noWrap/>
          </w:tcPr>
          <w:p w14:paraId="58613044"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620" w:type="dxa"/>
            <w:tcBorders>
              <w:top w:val="single" w:sz="4" w:space="0" w:color="auto"/>
              <w:bottom w:val="single" w:sz="4" w:space="0" w:color="auto"/>
            </w:tcBorders>
            <w:noWrap/>
          </w:tcPr>
          <w:p w14:paraId="2385924C"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710" w:type="dxa"/>
            <w:tcBorders>
              <w:top w:val="single" w:sz="4" w:space="0" w:color="auto"/>
              <w:bottom w:val="single" w:sz="4" w:space="0" w:color="auto"/>
            </w:tcBorders>
            <w:noWrap/>
          </w:tcPr>
          <w:p w14:paraId="564A2F2C"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BC5163" w:rsidRPr="005056B4" w14:paraId="194BA075" w14:textId="77777777" w:rsidTr="00BC5163">
        <w:trPr>
          <w:trHeight w:val="250"/>
        </w:trPr>
        <w:tc>
          <w:tcPr>
            <w:tcW w:w="776" w:type="dxa"/>
            <w:tcBorders>
              <w:top w:val="single" w:sz="4" w:space="0" w:color="auto"/>
            </w:tcBorders>
            <w:noWrap/>
            <w:hideMark/>
          </w:tcPr>
          <w:p w14:paraId="6995889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82" w:type="dxa"/>
            <w:tcBorders>
              <w:top w:val="single" w:sz="4" w:space="0" w:color="auto"/>
            </w:tcBorders>
            <w:noWrap/>
            <w:hideMark/>
          </w:tcPr>
          <w:p w14:paraId="28A5F73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2.93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0.14b</w:t>
            </w:r>
          </w:p>
        </w:tc>
        <w:tc>
          <w:tcPr>
            <w:tcW w:w="1530" w:type="dxa"/>
            <w:tcBorders>
              <w:top w:val="single" w:sz="4" w:space="0" w:color="auto"/>
            </w:tcBorders>
            <w:noWrap/>
            <w:hideMark/>
          </w:tcPr>
          <w:p w14:paraId="020A34E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tcBorders>
              <w:top w:val="single" w:sz="4" w:space="0" w:color="auto"/>
            </w:tcBorders>
            <w:noWrap/>
            <w:hideMark/>
          </w:tcPr>
          <w:p w14:paraId="5C9C4AA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0.20b</w:t>
            </w:r>
          </w:p>
        </w:tc>
        <w:tc>
          <w:tcPr>
            <w:tcW w:w="1620" w:type="dxa"/>
            <w:tcBorders>
              <w:top w:val="single" w:sz="4" w:space="0" w:color="auto"/>
            </w:tcBorders>
            <w:noWrap/>
            <w:hideMark/>
          </w:tcPr>
          <w:p w14:paraId="72E990A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0.06b</w:t>
            </w:r>
          </w:p>
        </w:tc>
        <w:tc>
          <w:tcPr>
            <w:tcW w:w="1710" w:type="dxa"/>
            <w:tcBorders>
              <w:top w:val="single" w:sz="4" w:space="0" w:color="auto"/>
            </w:tcBorders>
            <w:noWrap/>
            <w:hideMark/>
          </w:tcPr>
          <w:p w14:paraId="055E9A2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r>
      <w:tr w:rsidR="00BC5163" w:rsidRPr="005056B4" w14:paraId="3ABA61F1" w14:textId="77777777" w:rsidTr="00BC5163">
        <w:trPr>
          <w:trHeight w:val="266"/>
        </w:trPr>
        <w:tc>
          <w:tcPr>
            <w:tcW w:w="0" w:type="auto"/>
            <w:noWrap/>
            <w:hideMark/>
          </w:tcPr>
          <w:p w14:paraId="0557726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82" w:type="dxa"/>
            <w:noWrap/>
            <w:hideMark/>
          </w:tcPr>
          <w:p w14:paraId="06CBF73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530" w:type="dxa"/>
            <w:noWrap/>
            <w:hideMark/>
          </w:tcPr>
          <w:p w14:paraId="59D6C14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 xml:space="preserve">0.00a </w:t>
            </w:r>
          </w:p>
        </w:tc>
        <w:tc>
          <w:tcPr>
            <w:tcW w:w="1530" w:type="dxa"/>
            <w:noWrap/>
            <w:hideMark/>
          </w:tcPr>
          <w:p w14:paraId="1EC0CC2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0.26b</w:t>
            </w:r>
          </w:p>
        </w:tc>
        <w:tc>
          <w:tcPr>
            <w:tcW w:w="1620" w:type="dxa"/>
            <w:noWrap/>
            <w:hideMark/>
          </w:tcPr>
          <w:p w14:paraId="6563EEF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0.10b</w:t>
            </w:r>
          </w:p>
        </w:tc>
        <w:tc>
          <w:tcPr>
            <w:tcW w:w="1710" w:type="dxa"/>
            <w:noWrap/>
            <w:hideMark/>
          </w:tcPr>
          <w:p w14:paraId="45D2956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r>
      <w:tr w:rsidR="00BC5163" w:rsidRPr="005056B4" w14:paraId="5939485B" w14:textId="77777777" w:rsidTr="00BC5163">
        <w:trPr>
          <w:trHeight w:val="250"/>
        </w:trPr>
        <w:tc>
          <w:tcPr>
            <w:tcW w:w="0" w:type="auto"/>
            <w:noWrap/>
            <w:hideMark/>
          </w:tcPr>
          <w:p w14:paraId="1B4C260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82" w:type="dxa"/>
            <w:noWrap/>
            <w:hideMark/>
          </w:tcPr>
          <w:p w14:paraId="535ACAD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0.37b</w:t>
            </w:r>
          </w:p>
        </w:tc>
        <w:tc>
          <w:tcPr>
            <w:tcW w:w="1530" w:type="dxa"/>
            <w:noWrap/>
            <w:hideMark/>
          </w:tcPr>
          <w:p w14:paraId="5D24186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CC83A9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0.26b</w:t>
            </w:r>
          </w:p>
        </w:tc>
        <w:tc>
          <w:tcPr>
            <w:tcW w:w="1620" w:type="dxa"/>
            <w:noWrap/>
            <w:hideMark/>
          </w:tcPr>
          <w:p w14:paraId="387DC97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0.10b</w:t>
            </w:r>
          </w:p>
        </w:tc>
        <w:tc>
          <w:tcPr>
            <w:tcW w:w="1710" w:type="dxa"/>
            <w:noWrap/>
            <w:hideMark/>
          </w:tcPr>
          <w:p w14:paraId="4CA7B78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r>
      <w:tr w:rsidR="00BC5163" w:rsidRPr="005056B4" w14:paraId="2A54621B" w14:textId="77777777" w:rsidTr="00BC5163">
        <w:trPr>
          <w:trHeight w:val="212"/>
        </w:trPr>
        <w:tc>
          <w:tcPr>
            <w:tcW w:w="0" w:type="auto"/>
            <w:noWrap/>
            <w:hideMark/>
          </w:tcPr>
          <w:p w14:paraId="0599A46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82" w:type="dxa"/>
            <w:noWrap/>
            <w:hideMark/>
          </w:tcPr>
          <w:p w14:paraId="7243BE2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5.76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noWrap/>
            <w:hideMark/>
          </w:tcPr>
          <w:p w14:paraId="2BE1EE3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157CF2D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0.43b</w:t>
            </w:r>
          </w:p>
        </w:tc>
        <w:tc>
          <w:tcPr>
            <w:tcW w:w="1620" w:type="dxa"/>
            <w:noWrap/>
            <w:hideMark/>
          </w:tcPr>
          <w:p w14:paraId="757C54A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710" w:type="dxa"/>
            <w:noWrap/>
            <w:hideMark/>
          </w:tcPr>
          <w:p w14:paraId="3DC7855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15.53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0.20b</w:t>
            </w:r>
          </w:p>
        </w:tc>
      </w:tr>
      <w:tr w:rsidR="00BC5163" w:rsidRPr="005056B4" w14:paraId="63FC536B" w14:textId="77777777" w:rsidTr="00BC5163">
        <w:trPr>
          <w:trHeight w:val="250"/>
        </w:trPr>
        <w:tc>
          <w:tcPr>
            <w:tcW w:w="0" w:type="auto"/>
            <w:noWrap/>
            <w:hideMark/>
          </w:tcPr>
          <w:p w14:paraId="0244826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82" w:type="dxa"/>
            <w:noWrap/>
            <w:hideMark/>
          </w:tcPr>
          <w:p w14:paraId="194C303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7.26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noWrap/>
            <w:hideMark/>
          </w:tcPr>
          <w:p w14:paraId="1AE1A22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5D17185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0.35b</w:t>
            </w:r>
          </w:p>
        </w:tc>
        <w:tc>
          <w:tcPr>
            <w:tcW w:w="1620" w:type="dxa"/>
            <w:noWrap/>
            <w:hideMark/>
          </w:tcPr>
          <w:p w14:paraId="5A0DE82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0.38b</w:t>
            </w:r>
          </w:p>
        </w:tc>
        <w:tc>
          <w:tcPr>
            <w:tcW w:w="1710" w:type="dxa"/>
            <w:noWrap/>
            <w:hideMark/>
          </w:tcPr>
          <w:p w14:paraId="6290B1A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0.29b</w:t>
            </w:r>
          </w:p>
        </w:tc>
      </w:tr>
      <w:tr w:rsidR="00BC5163" w:rsidRPr="005056B4" w14:paraId="4488BC54" w14:textId="77777777" w:rsidTr="00BC5163">
        <w:trPr>
          <w:trHeight w:val="266"/>
        </w:trPr>
        <w:tc>
          <w:tcPr>
            <w:tcW w:w="0" w:type="auto"/>
            <w:noWrap/>
            <w:hideMark/>
          </w:tcPr>
          <w:p w14:paraId="6219247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82" w:type="dxa"/>
            <w:noWrap/>
            <w:hideMark/>
          </w:tcPr>
          <w:p w14:paraId="79988E9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8.50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0.65b</w:t>
            </w:r>
          </w:p>
        </w:tc>
        <w:tc>
          <w:tcPr>
            <w:tcW w:w="1530" w:type="dxa"/>
            <w:noWrap/>
            <w:hideMark/>
          </w:tcPr>
          <w:p w14:paraId="6CA435B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72AE74B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9.46</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c>
          <w:tcPr>
            <w:tcW w:w="1620" w:type="dxa"/>
            <w:noWrap/>
            <w:hideMark/>
          </w:tcPr>
          <w:p w14:paraId="29BF8CD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0.62a</w:t>
            </w:r>
          </w:p>
        </w:tc>
        <w:tc>
          <w:tcPr>
            <w:tcW w:w="1710" w:type="dxa"/>
            <w:noWrap/>
            <w:hideMark/>
          </w:tcPr>
          <w:p w14:paraId="348A9BD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r>
      <w:tr w:rsidR="00BC5163" w:rsidRPr="005056B4" w14:paraId="48259AFB" w14:textId="77777777" w:rsidTr="00BC5163">
        <w:trPr>
          <w:trHeight w:val="250"/>
        </w:trPr>
        <w:tc>
          <w:tcPr>
            <w:tcW w:w="0" w:type="auto"/>
            <w:noWrap/>
            <w:hideMark/>
          </w:tcPr>
          <w:p w14:paraId="4CADB1B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82" w:type="dxa"/>
            <w:noWrap/>
            <w:hideMark/>
          </w:tcPr>
          <w:p w14:paraId="3E87931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0.72a</w:t>
            </w:r>
          </w:p>
        </w:tc>
        <w:tc>
          <w:tcPr>
            <w:tcW w:w="1530" w:type="dxa"/>
            <w:noWrap/>
            <w:hideMark/>
          </w:tcPr>
          <w:p w14:paraId="7222E2D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3F65849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10.06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620" w:type="dxa"/>
            <w:noWrap/>
            <w:hideMark/>
          </w:tcPr>
          <w:p w14:paraId="349C3BB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0.64a</w:t>
            </w:r>
          </w:p>
        </w:tc>
        <w:tc>
          <w:tcPr>
            <w:tcW w:w="1710" w:type="dxa"/>
            <w:noWrap/>
            <w:hideMark/>
          </w:tcPr>
          <w:p w14:paraId="68ACCC4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17.83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r>
      <w:tr w:rsidR="00BC5163" w:rsidRPr="005056B4" w14:paraId="6988EE4F" w14:textId="77777777" w:rsidTr="00BC5163">
        <w:trPr>
          <w:trHeight w:val="250"/>
        </w:trPr>
        <w:tc>
          <w:tcPr>
            <w:tcW w:w="0" w:type="auto"/>
            <w:noWrap/>
            <w:hideMark/>
          </w:tcPr>
          <w:p w14:paraId="65B76B3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82" w:type="dxa"/>
            <w:noWrap/>
            <w:hideMark/>
          </w:tcPr>
          <w:p w14:paraId="4898391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12.36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0.71a</w:t>
            </w:r>
          </w:p>
        </w:tc>
        <w:tc>
          <w:tcPr>
            <w:tcW w:w="1530" w:type="dxa"/>
            <w:noWrap/>
            <w:hideMark/>
          </w:tcPr>
          <w:p w14:paraId="12D36F6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54660E9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0.31a</w:t>
            </w:r>
          </w:p>
        </w:tc>
        <w:tc>
          <w:tcPr>
            <w:tcW w:w="1620" w:type="dxa"/>
            <w:noWrap/>
            <w:hideMark/>
          </w:tcPr>
          <w:p w14:paraId="6A4ADC4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0.69a</w:t>
            </w:r>
          </w:p>
        </w:tc>
        <w:tc>
          <w:tcPr>
            <w:tcW w:w="1710" w:type="dxa"/>
            <w:noWrap/>
            <w:hideMark/>
          </w:tcPr>
          <w:p w14:paraId="54F22BD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0.82a</w:t>
            </w:r>
          </w:p>
        </w:tc>
      </w:tr>
      <w:tr w:rsidR="00BC5163" w:rsidRPr="005056B4" w14:paraId="6B746B0F" w14:textId="77777777" w:rsidTr="00BC5163">
        <w:trPr>
          <w:trHeight w:val="266"/>
        </w:trPr>
        <w:tc>
          <w:tcPr>
            <w:tcW w:w="0" w:type="auto"/>
            <w:noWrap/>
            <w:hideMark/>
          </w:tcPr>
          <w:p w14:paraId="452B3BA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82" w:type="dxa"/>
            <w:noWrap/>
            <w:hideMark/>
          </w:tcPr>
          <w:p w14:paraId="269CE95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1.01a</w:t>
            </w:r>
          </w:p>
        </w:tc>
        <w:tc>
          <w:tcPr>
            <w:tcW w:w="1530" w:type="dxa"/>
            <w:noWrap/>
            <w:hideMark/>
          </w:tcPr>
          <w:p w14:paraId="6CB0566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3EF257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10.76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0.28a</w:t>
            </w:r>
          </w:p>
        </w:tc>
        <w:tc>
          <w:tcPr>
            <w:tcW w:w="1620" w:type="dxa"/>
            <w:noWrap/>
            <w:hideMark/>
          </w:tcPr>
          <w:p w14:paraId="487D899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0.57a</w:t>
            </w:r>
          </w:p>
        </w:tc>
        <w:tc>
          <w:tcPr>
            <w:tcW w:w="1710" w:type="dxa"/>
            <w:noWrap/>
            <w:hideMark/>
          </w:tcPr>
          <w:p w14:paraId="13136E2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19.16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r>
      <w:tr w:rsidR="00BC5163" w:rsidRPr="005056B4" w14:paraId="6A99F5FE" w14:textId="77777777" w:rsidTr="00BC5163">
        <w:trPr>
          <w:trHeight w:val="250"/>
        </w:trPr>
        <w:tc>
          <w:tcPr>
            <w:tcW w:w="0" w:type="auto"/>
            <w:noWrap/>
            <w:hideMark/>
          </w:tcPr>
          <w:p w14:paraId="6C3C097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82" w:type="dxa"/>
            <w:noWrap/>
            <w:hideMark/>
          </w:tcPr>
          <w:p w14:paraId="564342F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0.98a</w:t>
            </w:r>
          </w:p>
        </w:tc>
        <w:tc>
          <w:tcPr>
            <w:tcW w:w="1530" w:type="dxa"/>
            <w:noWrap/>
            <w:hideMark/>
          </w:tcPr>
          <w:p w14:paraId="6D6BDA0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5D97835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620" w:type="dxa"/>
            <w:noWrap/>
            <w:hideMark/>
          </w:tcPr>
          <w:p w14:paraId="1896DAA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0.66a</w:t>
            </w:r>
          </w:p>
        </w:tc>
        <w:tc>
          <w:tcPr>
            <w:tcW w:w="1710" w:type="dxa"/>
            <w:noWrap/>
            <w:hideMark/>
          </w:tcPr>
          <w:p w14:paraId="6E4F130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19.73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1.33a</w:t>
            </w:r>
          </w:p>
        </w:tc>
      </w:tr>
      <w:tr w:rsidR="00BC5163" w:rsidRPr="005056B4" w14:paraId="583420EC" w14:textId="77777777" w:rsidTr="00BC5163">
        <w:trPr>
          <w:trHeight w:val="250"/>
        </w:trPr>
        <w:tc>
          <w:tcPr>
            <w:tcW w:w="0" w:type="auto"/>
            <w:noWrap/>
            <w:hideMark/>
          </w:tcPr>
          <w:p w14:paraId="2F7EF44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82" w:type="dxa"/>
            <w:noWrap/>
            <w:hideMark/>
          </w:tcPr>
          <w:p w14:paraId="346D396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0.96a</w:t>
            </w:r>
          </w:p>
        </w:tc>
        <w:tc>
          <w:tcPr>
            <w:tcW w:w="1530" w:type="dxa"/>
            <w:noWrap/>
            <w:hideMark/>
          </w:tcPr>
          <w:p w14:paraId="5D41064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229BB3E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620" w:type="dxa"/>
            <w:noWrap/>
            <w:hideMark/>
          </w:tcPr>
          <w:p w14:paraId="4A518F6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710" w:type="dxa"/>
            <w:noWrap/>
            <w:hideMark/>
          </w:tcPr>
          <w:p w14:paraId="35F6CD7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1.44a</w:t>
            </w:r>
          </w:p>
        </w:tc>
      </w:tr>
      <w:tr w:rsidR="00BC5163" w:rsidRPr="005056B4" w14:paraId="299DBAF2" w14:textId="77777777" w:rsidTr="00BC5163">
        <w:trPr>
          <w:trHeight w:val="266"/>
        </w:trPr>
        <w:tc>
          <w:tcPr>
            <w:tcW w:w="0" w:type="auto"/>
            <w:noWrap/>
            <w:hideMark/>
          </w:tcPr>
          <w:p w14:paraId="62DFD26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82" w:type="dxa"/>
            <w:noWrap/>
            <w:hideMark/>
          </w:tcPr>
          <w:p w14:paraId="3F979CF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1.00a</w:t>
            </w:r>
          </w:p>
        </w:tc>
        <w:tc>
          <w:tcPr>
            <w:tcW w:w="1530" w:type="dxa"/>
            <w:noWrap/>
            <w:hideMark/>
          </w:tcPr>
          <w:p w14:paraId="366ECBD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538EAB7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0.28a</w:t>
            </w:r>
          </w:p>
        </w:tc>
        <w:tc>
          <w:tcPr>
            <w:tcW w:w="1620" w:type="dxa"/>
            <w:noWrap/>
            <w:hideMark/>
          </w:tcPr>
          <w:p w14:paraId="2355664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710" w:type="dxa"/>
            <w:noWrap/>
            <w:hideMark/>
          </w:tcPr>
          <w:p w14:paraId="1E40738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21.20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1.70a</w:t>
            </w:r>
          </w:p>
        </w:tc>
      </w:tr>
      <w:tr w:rsidR="00BC5163" w:rsidRPr="005056B4" w14:paraId="2FF2DD06" w14:textId="77777777" w:rsidTr="00BC5163">
        <w:trPr>
          <w:trHeight w:val="325"/>
        </w:trPr>
        <w:tc>
          <w:tcPr>
            <w:tcW w:w="0" w:type="auto"/>
            <w:noWrap/>
            <w:hideMark/>
          </w:tcPr>
          <w:p w14:paraId="23199DC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82" w:type="dxa"/>
            <w:noWrap/>
            <w:hideMark/>
          </w:tcPr>
          <w:p w14:paraId="28C66FD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1.03a</w:t>
            </w:r>
          </w:p>
        </w:tc>
        <w:tc>
          <w:tcPr>
            <w:tcW w:w="1530" w:type="dxa"/>
            <w:noWrap/>
            <w:hideMark/>
          </w:tcPr>
          <w:p w14:paraId="5FBCC2A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678441B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620" w:type="dxa"/>
            <w:noWrap/>
            <w:hideMark/>
          </w:tcPr>
          <w:p w14:paraId="57D989B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21.86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0.55a</w:t>
            </w:r>
          </w:p>
        </w:tc>
        <w:tc>
          <w:tcPr>
            <w:tcW w:w="1710" w:type="dxa"/>
            <w:noWrap/>
            <w:hideMark/>
          </w:tcPr>
          <w:p w14:paraId="4F84AD2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21.86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1.56a</w:t>
            </w:r>
          </w:p>
        </w:tc>
      </w:tr>
    </w:tbl>
    <w:p w14:paraId="131609B2" w14:textId="77777777" w:rsidR="00C72CE2" w:rsidRPr="005056B4" w:rsidRDefault="00C72CE2" w:rsidP="00004AB3">
      <w:pPr>
        <w:pStyle w:val="NormalWeb"/>
        <w:spacing w:line="360" w:lineRule="auto"/>
        <w:jc w:val="both"/>
        <w:rPr>
          <w:lang w:val="en-US"/>
        </w:rPr>
      </w:pPr>
    </w:p>
    <w:p w14:paraId="4F7EB553" w14:textId="77777777" w:rsidR="00004AB3" w:rsidRDefault="00004AB3" w:rsidP="003F7E74">
      <w:pPr>
        <w:pStyle w:val="NormalWeb"/>
        <w:spacing w:line="360" w:lineRule="auto"/>
        <w:jc w:val="both"/>
        <w:rPr>
          <w:b/>
          <w:bCs/>
        </w:rPr>
      </w:pPr>
      <w:r w:rsidRPr="005056B4">
        <w:rPr>
          <w:b/>
        </w:rPr>
        <w:t xml:space="preserve">Table 6: </w:t>
      </w:r>
      <w:r w:rsidR="00161AC1" w:rsidRPr="005056B4">
        <w:rPr>
          <w:b/>
        </w:rPr>
        <w:t xml:space="preserve">Petiole Length of </w:t>
      </w:r>
      <w:r w:rsidR="00161AC1" w:rsidRPr="005056B4">
        <w:rPr>
          <w:b/>
          <w:i/>
        </w:rPr>
        <w:t xml:space="preserve">V. Subteranea </w:t>
      </w:r>
      <w:r w:rsidR="00161AC1" w:rsidRPr="005056B4">
        <w:rPr>
          <w:b/>
        </w:rPr>
        <w:t>under Drought with</w:t>
      </w:r>
      <w:r w:rsidR="00161AC1" w:rsidRPr="00C72CE2">
        <w:rPr>
          <w:b/>
          <w:bCs/>
        </w:rPr>
        <w:t xml:space="preserve"> </w:t>
      </w:r>
      <w:r w:rsidR="000C79E4">
        <w:rPr>
          <w:b/>
          <w:bCs/>
        </w:rPr>
        <w:t xml:space="preserve">combined </w:t>
      </w:r>
      <w:r w:rsidR="00161AC1" w:rsidRPr="00C72CE2">
        <w:rPr>
          <w:rFonts w:eastAsiaTheme="minorEastAsia"/>
          <w:b/>
          <w:bCs/>
          <w:i/>
          <w:iCs/>
        </w:rPr>
        <w:t>Arbuscular Mycorrhiza</w:t>
      </w:r>
      <w:r w:rsidR="00161AC1" w:rsidRPr="00C72CE2">
        <w:rPr>
          <w:rFonts w:eastAsiaTheme="minorEastAsia"/>
          <w:b/>
          <w:bCs/>
        </w:rPr>
        <w:t xml:space="preserve"> fungi </w:t>
      </w:r>
      <w:r w:rsidR="000C79E4">
        <w:rPr>
          <w:rFonts w:eastAsiaTheme="minorEastAsia"/>
          <w:b/>
          <w:bCs/>
        </w:rPr>
        <w:t xml:space="preserve">and </w:t>
      </w:r>
      <w:proofErr w:type="spellStart"/>
      <w:r w:rsidR="00161AC1" w:rsidRPr="00C72CE2">
        <w:rPr>
          <w:rFonts w:eastAsiaTheme="minorEastAsia"/>
          <w:b/>
          <w:bCs/>
          <w:i/>
        </w:rPr>
        <w:t>Calopogonium</w:t>
      </w:r>
      <w:proofErr w:type="spellEnd"/>
      <w:r w:rsidR="00161AC1" w:rsidRPr="00C72CE2">
        <w:rPr>
          <w:rFonts w:eastAsiaTheme="minorEastAsia"/>
          <w:b/>
          <w:bCs/>
          <w:i/>
        </w:rPr>
        <w:t xml:space="preserve"> </w:t>
      </w:r>
      <w:proofErr w:type="spellStart"/>
      <w:r w:rsidR="00161AC1" w:rsidRPr="00C72CE2">
        <w:rPr>
          <w:rFonts w:eastAsiaTheme="minorEastAsia"/>
          <w:b/>
          <w:bCs/>
          <w:i/>
        </w:rPr>
        <w:t>mucunoides</w:t>
      </w:r>
      <w:proofErr w:type="spellEnd"/>
      <w:r w:rsidR="00161AC1" w:rsidRPr="00C72CE2">
        <w:rPr>
          <w:rFonts w:eastAsiaTheme="minorEastAsia"/>
          <w:b/>
          <w:bCs/>
          <w:iCs/>
        </w:rPr>
        <w:t xml:space="preserve"> treatment</w:t>
      </w:r>
      <w:r w:rsidR="00161AC1" w:rsidRPr="00C72CE2">
        <w:rPr>
          <w:b/>
          <w:bCs/>
        </w:rPr>
        <w:t xml:space="preserve"> </w:t>
      </w:r>
    </w:p>
    <w:p w14:paraId="4AFF0BD1" w14:textId="77777777" w:rsidR="003F7E74" w:rsidRPr="005056B4" w:rsidRDefault="003F7E74" w:rsidP="003F7E74">
      <w:pPr>
        <w:pStyle w:val="NormalWeb"/>
        <w:spacing w:line="360" w:lineRule="auto"/>
        <w:jc w:val="both"/>
        <w:rPr>
          <w:vanish/>
        </w:rPr>
      </w:pPr>
    </w:p>
    <w:p w14:paraId="35752286" w14:textId="77777777" w:rsidR="00004AB3" w:rsidRPr="005056B4" w:rsidRDefault="00004AB3" w:rsidP="00004AB3">
      <w:pPr>
        <w:spacing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p&lt;0.0001.</w:t>
      </w:r>
    </w:p>
    <w:p w14:paraId="69BA4119" w14:textId="77777777" w:rsidR="00004AB3" w:rsidRPr="005056B4" w:rsidRDefault="00004AB3" w:rsidP="004C769E">
      <w:pPr>
        <w:pStyle w:val="pdq2pgselectionanchorcontainer"/>
        <w:spacing w:line="480" w:lineRule="auto"/>
        <w:jc w:val="both"/>
      </w:pPr>
      <w:r w:rsidRPr="005056B4">
        <w:t>Under combined </w:t>
      </w:r>
      <w:proofErr w:type="spellStart"/>
      <w:r w:rsidRPr="005056B4">
        <w:rPr>
          <w:i/>
          <w:iCs/>
        </w:rPr>
        <w:t>Calopogonium</w:t>
      </w:r>
      <w:proofErr w:type="spellEnd"/>
      <w:r w:rsidRPr="005056B4">
        <w:rPr>
          <w:i/>
          <w:iCs/>
        </w:rPr>
        <w:t xml:space="preserve"> </w:t>
      </w:r>
      <w:proofErr w:type="spellStart"/>
      <w:r w:rsidRPr="005056B4">
        <w:rPr>
          <w:i/>
          <w:iCs/>
        </w:rPr>
        <w:t>mucunoides</w:t>
      </w:r>
      <w:proofErr w:type="spellEnd"/>
      <w:r w:rsidRPr="005056B4">
        <w:t> and AMF application (T3), petiole length differed significantly among </w:t>
      </w:r>
      <w:r w:rsidRPr="005056B4">
        <w:rPr>
          <w:i/>
          <w:iCs/>
        </w:rPr>
        <w:t>Vigna subterranea</w:t>
      </w:r>
      <w:r w:rsidRPr="005056B4">
        <w:t xml:space="preserve"> accessions (P &lt; 0.0001; </w:t>
      </w:r>
      <w:r>
        <w:rPr>
          <w:highlight w:val="yellow"/>
        </w:rPr>
        <w:t>Table 6</w:t>
      </w:r>
      <w:r>
        <w:t xml:space="preserve">). Petiole length increased progressively in TVSU1, TVSU3, TVSU4, and TVSU5, while TVSU2 remained at 0.00 ± 0.00 cm throughout. At 6 WAP, TVSU4 and TVSU5 recorded the longest petioles (18.00 ± 0.62 and 17.56 ± 0.38 cm, respectively). By 13 WAP, TVSU4 and TVSU5 attained the highest values (21.86 ± 0.55 and 21.86 ± 1.56 cm, respectively), followed by TVSU1 (16.73 ± 1.03 cm) and TVSU3 (12.63 ± 0.20 cm). The results indicate pronounced </w:t>
      </w:r>
      <w:r>
        <w:lastRenderedPageBreak/>
        <w:t>accession-specific responses to the combined treatment, with TVSU4 and TVSU5 exhibiting the greatest petiole development.</w:t>
      </w:r>
    </w:p>
    <w:p w14:paraId="296054CB" w14:textId="77777777" w:rsidR="007702EE" w:rsidRPr="005056B4" w:rsidRDefault="004E2CCA" w:rsidP="00D801B6">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object w:dxaOrig="8210" w:dyaOrig="4771" w14:anchorId="77951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9pt;height:187.2pt" o:ole="">
            <v:imagedata r:id="rId8" o:title=""/>
          </v:shape>
          <o:OLEObject Type="Embed" ProgID="Prism6.Document" ShapeID="_x0000_i1025" DrawAspect="Content" ObjectID="_1852187250" r:id="rId9"/>
        </w:object>
      </w:r>
    </w:p>
    <w:p w14:paraId="6FA1BB1F" w14:textId="77777777" w:rsidR="0069024F" w:rsidRPr="005F7E3B" w:rsidRDefault="007702EE" w:rsidP="0069024F">
      <w:pPr>
        <w:jc w:val="both"/>
        <w:rPr>
          <w:rFonts w:ascii="Times New Roman" w:hAnsi="Times New Roman" w:cs="Times New Roman"/>
          <w:sz w:val="24"/>
          <w:szCs w:val="24"/>
        </w:rPr>
      </w:pPr>
      <w:r w:rsidRPr="005056B4">
        <w:rPr>
          <w:rFonts w:ascii="Times New Roman" w:hAnsi="Times New Roman" w:cs="Times New Roman"/>
          <w:sz w:val="24"/>
          <w:szCs w:val="24"/>
        </w:rPr>
        <w:t xml:space="preserve">Figure </w:t>
      </w:r>
      <w:r w:rsidR="000D376B" w:rsidRPr="005056B4">
        <w:rPr>
          <w:rFonts w:ascii="Times New Roman" w:hAnsi="Times New Roman" w:cs="Times New Roman"/>
          <w:sz w:val="24"/>
          <w:szCs w:val="24"/>
        </w:rPr>
        <w:t>1.</w:t>
      </w:r>
      <w:r w:rsidR="000D376B">
        <w:rPr>
          <w:rFonts w:ascii="Times New Roman" w:hAnsi="Times New Roman" w:cs="Times New Roman"/>
          <w:sz w:val="24"/>
          <w:szCs w:val="24"/>
        </w:rPr>
        <w:t>0:</w:t>
      </w:r>
      <w:r w:rsidR="00090D57" w:rsidRPr="005056B4">
        <w:rPr>
          <w:rFonts w:ascii="Times New Roman" w:hAnsi="Times New Roman" w:cs="Times New Roman"/>
          <w:sz w:val="24"/>
          <w:szCs w:val="24"/>
        </w:rPr>
        <w:t xml:space="preserve"> Graphical presentation pf percentage germination of V.</w:t>
      </w:r>
      <w:r w:rsidR="00090D57" w:rsidRPr="005056B4">
        <w:rPr>
          <w:rFonts w:ascii="Times New Roman" w:eastAsiaTheme="minorEastAsia" w:hAnsi="Times New Roman" w:cs="Times New Roman"/>
          <w:i/>
          <w:sz w:val="24"/>
          <w:szCs w:val="24"/>
        </w:rPr>
        <w:t xml:space="preserve"> Subterranea </w:t>
      </w:r>
      <w:r w:rsidR="000D376B" w:rsidRPr="005F7E3B">
        <w:rPr>
          <w:rFonts w:ascii="Times New Roman" w:hAnsi="Times New Roman" w:cs="Times New Roman"/>
          <w:sz w:val="24"/>
          <w:szCs w:val="24"/>
        </w:rPr>
        <w:t>accessions (</w:t>
      </w:r>
      <w:proofErr w:type="spellStart"/>
      <w:r w:rsidR="000D376B" w:rsidRPr="005F7E3B">
        <w:rPr>
          <w:rFonts w:ascii="Times New Roman" w:hAnsi="Times New Roman" w:cs="Times New Roman"/>
          <w:sz w:val="24"/>
          <w:szCs w:val="24"/>
        </w:rPr>
        <w:t>TvSu</w:t>
      </w:r>
      <w:proofErr w:type="spellEnd"/>
      <w:r w:rsidR="000D376B" w:rsidRPr="005F7E3B">
        <w:rPr>
          <w:rFonts w:ascii="Times New Roman" w:hAnsi="Times New Roman" w:cs="Times New Roman"/>
          <w:sz w:val="24"/>
          <w:szCs w:val="24"/>
        </w:rPr>
        <w:t xml:space="preserve"> 1–5) </w:t>
      </w:r>
      <w:r w:rsidR="00090D57" w:rsidRPr="005056B4">
        <w:rPr>
          <w:rFonts w:ascii="Times New Roman" w:hAnsi="Times New Roman" w:cs="Times New Roman"/>
          <w:sz w:val="24"/>
          <w:szCs w:val="24"/>
        </w:rPr>
        <w:t>under</w:t>
      </w:r>
      <w:r w:rsidRPr="005056B4">
        <w:rPr>
          <w:rFonts w:ascii="Times New Roman" w:hAnsi="Times New Roman" w:cs="Times New Roman"/>
          <w:sz w:val="24"/>
          <w:szCs w:val="24"/>
        </w:rPr>
        <w:t xml:space="preserve"> </w:t>
      </w:r>
      <w:r w:rsidR="000D376B">
        <w:rPr>
          <w:rFonts w:ascii="Times New Roman" w:hAnsi="Times New Roman" w:cs="Times New Roman"/>
          <w:sz w:val="24"/>
          <w:szCs w:val="24"/>
        </w:rPr>
        <w:t xml:space="preserve">well-watered conditions (C1), </w:t>
      </w:r>
      <w:r w:rsidR="000D376B" w:rsidRPr="005F7E3B">
        <w:rPr>
          <w:rFonts w:ascii="Times New Roman" w:hAnsi="Times New Roman" w:cs="Times New Roman"/>
          <w:sz w:val="24"/>
          <w:szCs w:val="24"/>
        </w:rPr>
        <w:t>drought stress (C2), drought + AMF (T1), drought + </w:t>
      </w:r>
      <w:r w:rsidR="000D376B" w:rsidRPr="005F7E3B">
        <w:rPr>
          <w:rFonts w:ascii="Times New Roman" w:hAnsi="Times New Roman" w:cs="Times New Roman"/>
          <w:i/>
          <w:iCs/>
          <w:sz w:val="24"/>
          <w:szCs w:val="24"/>
        </w:rPr>
        <w:t xml:space="preserve">C. </w:t>
      </w:r>
      <w:proofErr w:type="spellStart"/>
      <w:r w:rsidR="000D376B" w:rsidRPr="005F7E3B">
        <w:rPr>
          <w:rFonts w:ascii="Times New Roman" w:hAnsi="Times New Roman" w:cs="Times New Roman"/>
          <w:i/>
          <w:iCs/>
          <w:sz w:val="24"/>
          <w:szCs w:val="24"/>
        </w:rPr>
        <w:t>mucunoides</w:t>
      </w:r>
      <w:proofErr w:type="spellEnd"/>
      <w:r w:rsidR="000D376B" w:rsidRPr="005F7E3B">
        <w:rPr>
          <w:rFonts w:ascii="Times New Roman" w:hAnsi="Times New Roman" w:cs="Times New Roman"/>
          <w:sz w:val="24"/>
          <w:szCs w:val="24"/>
        </w:rPr>
        <w:t> (T2), and drought + </w:t>
      </w:r>
      <w:r w:rsidR="000D376B" w:rsidRPr="005F7E3B">
        <w:rPr>
          <w:rFonts w:ascii="Times New Roman" w:hAnsi="Times New Roman" w:cs="Times New Roman"/>
          <w:i/>
          <w:iCs/>
          <w:sz w:val="24"/>
          <w:szCs w:val="24"/>
        </w:rPr>
        <w:t xml:space="preserve">C. </w:t>
      </w:r>
      <w:proofErr w:type="spellStart"/>
      <w:r w:rsidR="000D376B" w:rsidRPr="005F7E3B">
        <w:rPr>
          <w:rFonts w:ascii="Times New Roman" w:hAnsi="Times New Roman" w:cs="Times New Roman"/>
          <w:i/>
          <w:iCs/>
          <w:sz w:val="24"/>
          <w:szCs w:val="24"/>
        </w:rPr>
        <w:t>mucunoides</w:t>
      </w:r>
      <w:proofErr w:type="spellEnd"/>
      <w:r w:rsidR="000D376B" w:rsidRPr="005F7E3B">
        <w:rPr>
          <w:rFonts w:ascii="Times New Roman" w:hAnsi="Times New Roman" w:cs="Times New Roman"/>
          <w:sz w:val="24"/>
          <w:szCs w:val="24"/>
        </w:rPr>
        <w:t xml:space="preserve"> + AMF (T3). </w:t>
      </w:r>
      <w:r w:rsidR="0069024F" w:rsidRPr="005F7E3B">
        <w:rPr>
          <w:rFonts w:ascii="Times New Roman" w:hAnsi="Times New Roman" w:cs="Times New Roman"/>
          <w:sz w:val="24"/>
          <w:szCs w:val="24"/>
        </w:rPr>
        <w:t>Values with different significance annotations differ significantly, while ns denotes a non-significant difference</w:t>
      </w:r>
      <w:r w:rsidR="0069024F">
        <w:rPr>
          <w:rFonts w:ascii="Times New Roman" w:hAnsi="Times New Roman" w:cs="Times New Roman"/>
          <w:sz w:val="24"/>
          <w:szCs w:val="24"/>
        </w:rPr>
        <w:t xml:space="preserve">. </w:t>
      </w:r>
      <w:r w:rsidR="0069024F" w:rsidRPr="005F7E3B">
        <w:rPr>
          <w:rFonts w:ascii="Times New Roman" w:hAnsi="Times New Roman" w:cs="Times New Roman"/>
          <w:sz w:val="24"/>
          <w:szCs w:val="24"/>
        </w:rPr>
        <w:t xml:space="preserve"> </w:t>
      </w:r>
      <w:r w:rsidR="0069024F">
        <w:rPr>
          <w:rFonts w:ascii="Times New Roman" w:hAnsi="Times New Roman" w:cs="Times New Roman"/>
          <w:sz w:val="24"/>
          <w:szCs w:val="24"/>
        </w:rPr>
        <w:t>O</w:t>
      </w:r>
      <w:r w:rsidR="0069024F" w:rsidRPr="005F7E3B">
        <w:rPr>
          <w:rFonts w:ascii="Times New Roman" w:hAnsi="Times New Roman" w:cs="Times New Roman"/>
          <w:sz w:val="24"/>
          <w:szCs w:val="24"/>
        </w:rPr>
        <w:t>verall treatment effect, </w:t>
      </w:r>
      <w:r w:rsidR="0069024F" w:rsidRPr="005F7E3B">
        <w:rPr>
          <w:rFonts w:ascii="Times New Roman" w:hAnsi="Times New Roman" w:cs="Times New Roman"/>
          <w:i/>
          <w:iCs/>
          <w:sz w:val="24"/>
          <w:szCs w:val="24"/>
        </w:rPr>
        <w:t>P</w:t>
      </w:r>
      <w:r w:rsidR="0069024F" w:rsidRPr="005F7E3B">
        <w:rPr>
          <w:rFonts w:ascii="Times New Roman" w:hAnsi="Times New Roman" w:cs="Times New Roman"/>
          <w:sz w:val="24"/>
          <w:szCs w:val="24"/>
        </w:rPr>
        <w:t> = 0.0008.</w:t>
      </w:r>
    </w:p>
    <w:p w14:paraId="2A948A20" w14:textId="77777777" w:rsidR="0069024F" w:rsidRDefault="0069024F" w:rsidP="0069024F">
      <w:pPr>
        <w:jc w:val="both"/>
        <w:rPr>
          <w:rFonts w:ascii="Times New Roman" w:hAnsi="Times New Roman" w:cs="Times New Roman"/>
          <w:sz w:val="24"/>
          <w:szCs w:val="24"/>
        </w:rPr>
      </w:pPr>
    </w:p>
    <w:p w14:paraId="1F83BCD4" w14:textId="77777777" w:rsidR="0069024F" w:rsidRPr="005F7E3B" w:rsidRDefault="0069024F" w:rsidP="0069024F">
      <w:pPr>
        <w:spacing w:line="480" w:lineRule="auto"/>
        <w:jc w:val="both"/>
        <w:rPr>
          <w:rFonts w:ascii="Times New Roman" w:hAnsi="Times New Roman" w:cs="Times New Roman"/>
          <w:sz w:val="24"/>
          <w:szCs w:val="24"/>
        </w:rPr>
      </w:pPr>
      <w:r w:rsidRPr="005F7E3B">
        <w:rPr>
          <w:rFonts w:ascii="Times New Roman" w:hAnsi="Times New Roman" w:cs="Times New Roman"/>
          <w:sz w:val="24"/>
          <w:szCs w:val="24"/>
        </w:rPr>
        <w:t>Figure 1.0 shows the percentage germination of </w:t>
      </w:r>
      <w:r w:rsidRPr="005F7E3B">
        <w:rPr>
          <w:rFonts w:ascii="Times New Roman" w:hAnsi="Times New Roman" w:cs="Times New Roman"/>
          <w:i/>
          <w:iCs/>
          <w:sz w:val="24"/>
          <w:szCs w:val="24"/>
        </w:rPr>
        <w:t>Vigna subterranea</w:t>
      </w:r>
      <w:r w:rsidRPr="005F7E3B">
        <w:rPr>
          <w:rFonts w:ascii="Times New Roman" w:hAnsi="Times New Roman" w:cs="Times New Roman"/>
          <w:sz w:val="24"/>
          <w:szCs w:val="24"/>
        </w:rPr>
        <w:t> under well-watered conditions, drought stress, and drought stress ameliorated with </w:t>
      </w:r>
      <w:r w:rsidRPr="001C1C7B">
        <w:rPr>
          <w:rFonts w:ascii="Times New Roman" w:hAnsi="Times New Roman" w:cs="Times New Roman"/>
          <w:i/>
          <w:iCs/>
          <w:sz w:val="24"/>
          <w:szCs w:val="24"/>
        </w:rPr>
        <w:t>arbuscular mycorrhizal </w:t>
      </w:r>
      <w:r w:rsidRPr="005F7E3B">
        <w:rPr>
          <w:rFonts w:ascii="Times New Roman" w:hAnsi="Times New Roman" w:cs="Times New Roman"/>
          <w:sz w:val="24"/>
          <w:szCs w:val="24"/>
        </w:rPr>
        <w:t>fungi (AMF) and </w:t>
      </w:r>
      <w:r w:rsidRPr="005F7E3B">
        <w:rPr>
          <w:rFonts w:ascii="Times New Roman" w:hAnsi="Times New Roman" w:cs="Times New Roman"/>
          <w:i/>
          <w:iCs/>
          <w:sz w:val="24"/>
          <w:szCs w:val="24"/>
        </w:rPr>
        <w:t xml:space="preserve">C. </w:t>
      </w:r>
      <w:proofErr w:type="spellStart"/>
      <w:r w:rsidRPr="005F7E3B">
        <w:rPr>
          <w:rFonts w:ascii="Times New Roman" w:hAnsi="Times New Roman" w:cs="Times New Roman"/>
          <w:i/>
          <w:iCs/>
          <w:sz w:val="24"/>
          <w:szCs w:val="24"/>
        </w:rPr>
        <w:t>mucunoides</w:t>
      </w:r>
      <w:proofErr w:type="spellEnd"/>
      <w:r w:rsidRPr="005F7E3B">
        <w:rPr>
          <w:rFonts w:ascii="Times New Roman" w:hAnsi="Times New Roman" w:cs="Times New Roman"/>
          <w:sz w:val="24"/>
          <w:szCs w:val="24"/>
        </w:rPr>
        <w:t>. The overall treatment effect was statistically significant (</w:t>
      </w:r>
      <w:r>
        <w:rPr>
          <w:rFonts w:ascii="Times New Roman" w:hAnsi="Times New Roman" w:cs="Times New Roman"/>
          <w:sz w:val="24"/>
          <w:szCs w:val="24"/>
        </w:rPr>
        <w:t>P</w:t>
      </w:r>
      <w:r w:rsidRPr="005F7E3B">
        <w:rPr>
          <w:rFonts w:ascii="Times New Roman" w:hAnsi="Times New Roman" w:cs="Times New Roman"/>
          <w:b/>
          <w:bCs/>
          <w:sz w:val="24"/>
          <w:szCs w:val="24"/>
        </w:rPr>
        <w:t xml:space="preserve"> = </w:t>
      </w:r>
      <w:r w:rsidRPr="001C1C7B">
        <w:rPr>
          <w:rFonts w:ascii="Times New Roman" w:hAnsi="Times New Roman" w:cs="Times New Roman"/>
          <w:sz w:val="24"/>
          <w:szCs w:val="24"/>
        </w:rPr>
        <w:t>0.0008</w:t>
      </w:r>
      <w:r w:rsidRPr="005F7E3B">
        <w:rPr>
          <w:rFonts w:ascii="Times New Roman" w:hAnsi="Times New Roman" w:cs="Times New Roman"/>
          <w:sz w:val="24"/>
          <w:szCs w:val="24"/>
        </w:rPr>
        <w:t>), indicating that water availability and the different amelioration treatments influenced seed germination. However, the magnitude and direction of the response varied among the </w:t>
      </w:r>
      <w:r w:rsidRPr="005F7E3B">
        <w:rPr>
          <w:rFonts w:ascii="Times New Roman" w:hAnsi="Times New Roman" w:cs="Times New Roman"/>
          <w:i/>
          <w:iCs/>
          <w:sz w:val="24"/>
          <w:szCs w:val="24"/>
        </w:rPr>
        <w:t>V. subterranea</w:t>
      </w:r>
      <w:r w:rsidRPr="005F7E3B">
        <w:rPr>
          <w:rFonts w:ascii="Times New Roman" w:hAnsi="Times New Roman" w:cs="Times New Roman"/>
          <w:sz w:val="24"/>
          <w:szCs w:val="24"/>
        </w:rPr>
        <w:t> accessions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1–5).</w:t>
      </w:r>
    </w:p>
    <w:p w14:paraId="1BEFC445" w14:textId="77777777" w:rsidR="0069024F" w:rsidRPr="005F7E3B" w:rsidRDefault="0069024F" w:rsidP="0069024F">
      <w:pPr>
        <w:spacing w:line="480" w:lineRule="auto"/>
        <w:jc w:val="both"/>
        <w:rPr>
          <w:rFonts w:ascii="Times New Roman" w:hAnsi="Times New Roman" w:cs="Times New Roman"/>
          <w:sz w:val="24"/>
          <w:szCs w:val="24"/>
        </w:rPr>
      </w:pPr>
      <w:r w:rsidRPr="005F7E3B">
        <w:rPr>
          <w:rFonts w:ascii="Times New Roman" w:hAnsi="Times New Roman" w:cs="Times New Roman"/>
          <w:sz w:val="24"/>
          <w:szCs w:val="24"/>
        </w:rPr>
        <w:t>Under the </w:t>
      </w:r>
      <w:r w:rsidRPr="00B47FA4">
        <w:rPr>
          <w:rFonts w:ascii="Times New Roman" w:hAnsi="Times New Roman" w:cs="Times New Roman"/>
          <w:sz w:val="24"/>
          <w:szCs w:val="24"/>
        </w:rPr>
        <w:t>well-watered control (C1),</w:t>
      </w:r>
      <w:r w:rsidRPr="005F7E3B">
        <w:rPr>
          <w:rFonts w:ascii="Times New Roman" w:hAnsi="Times New Roman" w:cs="Times New Roman"/>
          <w:sz w:val="24"/>
          <w:szCs w:val="24"/>
        </w:rPr>
        <w:t xml:space="preserve"> germination was relatively uniform among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2–5, at approximately 80%, whereas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 displayed a lower value of about 40%. </w:t>
      </w:r>
      <w:r>
        <w:rPr>
          <w:rFonts w:ascii="Times New Roman" w:hAnsi="Times New Roman" w:cs="Times New Roman"/>
          <w:sz w:val="24"/>
          <w:szCs w:val="24"/>
          <w:highlight w:val="yellow"/>
        </w:rPr>
        <w:t>This indicates some inherent differences</w:t>
      </w:r>
      <w:r>
        <w:rPr>
          <w:rFonts w:ascii="Times New Roman" w:hAnsi="Times New Roman" w:cs="Times New Roman"/>
          <w:sz w:val="24"/>
          <w:szCs w:val="24"/>
        </w:rPr>
        <w:t xml:space="preserve"> in germination capacity among the accessions even under non-stress conditions.</w:t>
      </w:r>
    </w:p>
    <w:p w14:paraId="584947D5"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On e</w:t>
      </w:r>
      <w:r w:rsidRPr="005F7E3B">
        <w:rPr>
          <w:rFonts w:ascii="Times New Roman" w:hAnsi="Times New Roman" w:cs="Times New Roman"/>
          <w:sz w:val="24"/>
          <w:szCs w:val="24"/>
        </w:rPr>
        <w:t>xposure to </w:t>
      </w:r>
      <w:r w:rsidRPr="00B47FA4">
        <w:rPr>
          <w:rFonts w:ascii="Times New Roman" w:hAnsi="Times New Roman" w:cs="Times New Roman"/>
          <w:sz w:val="24"/>
          <w:szCs w:val="24"/>
        </w:rPr>
        <w:t>drought stress (C2)</w:t>
      </w:r>
      <w:r>
        <w:rPr>
          <w:rFonts w:ascii="Times New Roman" w:hAnsi="Times New Roman" w:cs="Times New Roman"/>
          <w:sz w:val="24"/>
          <w:szCs w:val="24"/>
        </w:rPr>
        <w:t xml:space="preserve">, the </w:t>
      </w:r>
      <w:r w:rsidRPr="005F7E3B">
        <w:rPr>
          <w:rFonts w:ascii="Times New Roman" w:hAnsi="Times New Roman" w:cs="Times New Roman"/>
          <w:sz w:val="24"/>
          <w:szCs w:val="24"/>
        </w:rPr>
        <w:t>different</w:t>
      </w:r>
      <w:r>
        <w:rPr>
          <w:rFonts w:ascii="Times New Roman" w:hAnsi="Times New Roman" w:cs="Times New Roman"/>
          <w:sz w:val="24"/>
          <w:szCs w:val="24"/>
        </w:rPr>
        <w:t xml:space="preserve"> </w:t>
      </w:r>
      <w:r w:rsidRPr="005F7E3B">
        <w:rPr>
          <w:rFonts w:ascii="Times New Roman" w:hAnsi="Times New Roman" w:cs="Times New Roman"/>
          <w:sz w:val="24"/>
          <w:szCs w:val="24"/>
        </w:rPr>
        <w:t>accessions respon</w:t>
      </w:r>
      <w:r>
        <w:rPr>
          <w:rFonts w:ascii="Times New Roman" w:hAnsi="Times New Roman" w:cs="Times New Roman"/>
          <w:sz w:val="24"/>
          <w:szCs w:val="24"/>
        </w:rPr>
        <w:t>ded differently</w:t>
      </w:r>
      <w:r w:rsidRPr="005F7E3B">
        <w:rPr>
          <w:rFonts w:ascii="Times New Roman" w:hAnsi="Times New Roman" w:cs="Times New Roman"/>
          <w:sz w:val="24"/>
          <w:szCs w:val="24"/>
        </w:rPr>
        <w:t xml:space="preserv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2 showed a reduction in germination relative to the well-watered control (approximately 60%), while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3 and particularly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4 showed relatively high germination, with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4 exceeding 100% on the plotted scale.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 remained around 40%, while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5 was approximately 80%. </w:t>
      </w:r>
      <w:r>
        <w:rPr>
          <w:rFonts w:ascii="Times New Roman" w:hAnsi="Times New Roman" w:cs="Times New Roman"/>
          <w:sz w:val="24"/>
          <w:szCs w:val="24"/>
          <w:highlight w:val="yellow"/>
        </w:rPr>
        <w:t xml:space="preserve">The ability of some accessions to </w:t>
      </w:r>
      <w:r w:rsidRPr="005F7E3B">
        <w:rPr>
          <w:rFonts w:ascii="Times New Roman" w:hAnsi="Times New Roman" w:cs="Times New Roman"/>
          <w:sz w:val="24"/>
          <w:szCs w:val="24"/>
        </w:rPr>
        <w:t>maint</w:t>
      </w:r>
      <w:r>
        <w:rPr>
          <w:rFonts w:ascii="Times New Roman" w:hAnsi="Times New Roman" w:cs="Times New Roman"/>
          <w:sz w:val="24"/>
          <w:szCs w:val="24"/>
        </w:rPr>
        <w:t xml:space="preserve">ain </w:t>
      </w:r>
      <w:r>
        <w:rPr>
          <w:rFonts w:ascii="Times New Roman" w:hAnsi="Times New Roman" w:cs="Times New Roman"/>
          <w:sz w:val="24"/>
          <w:szCs w:val="24"/>
          <w:highlight w:val="yellow"/>
        </w:rPr>
        <w:t>relatively high germination under drought suggests</w:t>
      </w:r>
      <w:r>
        <w:rPr>
          <w:rFonts w:ascii="Times New Roman" w:hAnsi="Times New Roman" w:cs="Times New Roman"/>
          <w:sz w:val="24"/>
          <w:szCs w:val="24"/>
        </w:rPr>
        <w:t> differences in their ability to tolerate or withstand water limitation during germination.</w:t>
      </w:r>
    </w:p>
    <w:p w14:paraId="0E559C23"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was observed that inoculation with </w:t>
      </w:r>
      <w:r w:rsidRPr="00B47FA4">
        <w:rPr>
          <w:rFonts w:ascii="Times New Roman" w:hAnsi="Times New Roman" w:cs="Times New Roman"/>
          <w:sz w:val="24"/>
          <w:szCs w:val="24"/>
        </w:rPr>
        <w:t>AMF under drought (T1)</w:t>
      </w:r>
      <w:r w:rsidRPr="005F7E3B">
        <w:rPr>
          <w:rFonts w:ascii="Times New Roman" w:hAnsi="Times New Roman" w:cs="Times New Roman"/>
          <w:sz w:val="24"/>
          <w:szCs w:val="24"/>
        </w:rPr>
        <w:t> </w:t>
      </w:r>
      <w:r>
        <w:rPr>
          <w:rFonts w:ascii="Times New Roman" w:hAnsi="Times New Roman" w:cs="Times New Roman"/>
          <w:sz w:val="24"/>
          <w:szCs w:val="24"/>
        </w:rPr>
        <w:t xml:space="preserve">greatly </w:t>
      </w:r>
      <w:r w:rsidRPr="005F7E3B">
        <w:rPr>
          <w:rFonts w:ascii="Times New Roman" w:hAnsi="Times New Roman" w:cs="Times New Roman"/>
          <w:sz w:val="24"/>
          <w:szCs w:val="24"/>
        </w:rPr>
        <w:t xml:space="preserve">improved germination relative to the drought treatment for some accessions.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2 increased to approximately 80%, while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3,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4 and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5 attained approximately 90–100%. This </w:t>
      </w:r>
      <w:r>
        <w:rPr>
          <w:rFonts w:ascii="Times New Roman" w:hAnsi="Times New Roman" w:cs="Times New Roman"/>
          <w:sz w:val="24"/>
          <w:szCs w:val="24"/>
          <w:highlight w:val="yellow"/>
        </w:rPr>
        <w:t xml:space="preserve">indicates </w:t>
      </w:r>
      <w:r w:rsidRPr="005F7E3B">
        <w:rPr>
          <w:rFonts w:ascii="Times New Roman" w:hAnsi="Times New Roman" w:cs="Times New Roman"/>
          <w:sz w:val="24"/>
          <w:szCs w:val="24"/>
        </w:rPr>
        <w:t xml:space="preserve">that </w:t>
      </w:r>
      <w:r>
        <w:rPr>
          <w:rFonts w:ascii="Times New Roman" w:hAnsi="Times New Roman" w:cs="Times New Roman"/>
          <w:sz w:val="24"/>
          <w:szCs w:val="24"/>
        </w:rPr>
        <w:t xml:space="preserve">treatment with </w:t>
      </w:r>
      <w:r w:rsidRPr="005F7E3B">
        <w:rPr>
          <w:rFonts w:ascii="Times New Roman" w:hAnsi="Times New Roman" w:cs="Times New Roman"/>
          <w:sz w:val="24"/>
          <w:szCs w:val="24"/>
        </w:rPr>
        <w:t xml:space="preserve">AMF may have alleviated some of the inhibitory effects of drought on germination. The </w:t>
      </w:r>
      <w:r>
        <w:rPr>
          <w:rFonts w:ascii="Times New Roman" w:hAnsi="Times New Roman" w:cs="Times New Roman"/>
          <w:sz w:val="24"/>
          <w:szCs w:val="24"/>
        </w:rPr>
        <w:t xml:space="preserve">observed </w:t>
      </w:r>
      <w:r w:rsidRPr="005F7E3B">
        <w:rPr>
          <w:rFonts w:ascii="Times New Roman" w:hAnsi="Times New Roman" w:cs="Times New Roman"/>
          <w:sz w:val="24"/>
          <w:szCs w:val="24"/>
        </w:rPr>
        <w:t xml:space="preserve">response was, however, accession-dependent, as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1 </w:t>
      </w:r>
      <w:r>
        <w:rPr>
          <w:rFonts w:ascii="Times New Roman" w:hAnsi="Times New Roman" w:cs="Times New Roman"/>
          <w:sz w:val="24"/>
          <w:szCs w:val="24"/>
        </w:rPr>
        <w:t xml:space="preserve">was </w:t>
      </w:r>
      <w:r w:rsidRPr="005F7E3B">
        <w:rPr>
          <w:rFonts w:ascii="Times New Roman" w:hAnsi="Times New Roman" w:cs="Times New Roman"/>
          <w:sz w:val="24"/>
          <w:szCs w:val="24"/>
        </w:rPr>
        <w:t>comparatively low.</w:t>
      </w:r>
    </w:p>
    <w:p w14:paraId="05539175"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Treatment with </w:t>
      </w:r>
      <w:r w:rsidRPr="00B47FA4">
        <w:rPr>
          <w:rFonts w:ascii="Times New Roman" w:hAnsi="Times New Roman" w:cs="Times New Roman"/>
          <w:i/>
          <w:iCs/>
          <w:sz w:val="24"/>
          <w:szCs w:val="24"/>
        </w:rPr>
        <w:t xml:space="preserve">C. </w:t>
      </w:r>
      <w:proofErr w:type="spellStart"/>
      <w:r w:rsidRPr="00B47FA4">
        <w:rPr>
          <w:rFonts w:ascii="Times New Roman" w:hAnsi="Times New Roman" w:cs="Times New Roman"/>
          <w:i/>
          <w:iCs/>
          <w:sz w:val="24"/>
          <w:szCs w:val="24"/>
        </w:rPr>
        <w:t>mucunoides</w:t>
      </w:r>
      <w:proofErr w:type="spellEnd"/>
      <w:r>
        <w:rPr>
          <w:rFonts w:ascii="Times New Roman" w:hAnsi="Times New Roman" w:cs="Times New Roman"/>
          <w:sz w:val="24"/>
          <w:szCs w:val="24"/>
          <w:highlight w:val="yellow"/>
        </w:rPr>
        <w:t> (T2) </w:t>
      </w:r>
      <w:r>
        <w:rPr>
          <w:rFonts w:ascii="Times New Roman" w:hAnsi="Times New Roman" w:cs="Times New Roman"/>
          <w:sz w:val="24"/>
          <w:szCs w:val="24"/>
        </w:rPr>
        <w:t xml:space="preserve">under </w:t>
      </w:r>
      <w:r>
        <w:rPr>
          <w:rFonts w:ascii="Times New Roman" w:hAnsi="Times New Roman" w:cs="Times New Roman"/>
          <w:sz w:val="24"/>
          <w:szCs w:val="24"/>
          <w:highlight w:val="yellow"/>
        </w:rPr>
        <w:t>drought produced</w:t>
      </w:r>
      <w:r>
        <w:rPr>
          <w:rFonts w:ascii="Times New Roman" w:hAnsi="Times New Roman" w:cs="Times New Roman"/>
          <w:sz w:val="24"/>
          <w:szCs w:val="24"/>
        </w:rPr>
        <w:t xml:space="preserve"> a different response. </w:t>
      </w:r>
      <w:proofErr w:type="spellStart"/>
      <w:r w:rsidRPr="00B47FA4">
        <w:rPr>
          <w:rFonts w:ascii="Times New Roman" w:hAnsi="Times New Roman" w:cs="Times New Roman"/>
          <w:sz w:val="24"/>
          <w:szCs w:val="24"/>
        </w:rPr>
        <w:t>TvSu</w:t>
      </w:r>
      <w:proofErr w:type="spellEnd"/>
      <w:r w:rsidRPr="00B47FA4">
        <w:rPr>
          <w:rFonts w:ascii="Times New Roman" w:hAnsi="Times New Roman" w:cs="Times New Roman"/>
          <w:sz w:val="24"/>
          <w:szCs w:val="24"/>
        </w:rPr>
        <w:t xml:space="preserve"> </w:t>
      </w:r>
      <w:r>
        <w:rPr>
          <w:rFonts w:ascii="Times New Roman" w:hAnsi="Times New Roman" w:cs="Times New Roman"/>
          <w:sz w:val="24"/>
          <w:szCs w:val="24"/>
        </w:rPr>
        <w:t>3</w:t>
      </w:r>
      <w:r w:rsidRPr="00B47FA4">
        <w:rPr>
          <w:rFonts w:ascii="Times New Roman" w:hAnsi="Times New Roman" w:cs="Times New Roman"/>
          <w:sz w:val="24"/>
          <w:szCs w:val="24"/>
        </w:rPr>
        <w:t xml:space="preserve">–4 maintained germination </w:t>
      </w:r>
      <w:r w:rsidRPr="005F7E3B">
        <w:rPr>
          <w:rFonts w:ascii="Times New Roman" w:hAnsi="Times New Roman" w:cs="Times New Roman"/>
          <w:sz w:val="24"/>
          <w:szCs w:val="24"/>
        </w:rPr>
        <w:t xml:space="preserve">around 100%, whereas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5 showed a lower value (about 60%).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w:t>
      </w:r>
      <w:r>
        <w:rPr>
          <w:rFonts w:ascii="Times New Roman" w:hAnsi="Times New Roman" w:cs="Times New Roman"/>
          <w:sz w:val="24"/>
          <w:szCs w:val="24"/>
          <w:highlight w:val="yellow"/>
        </w:rPr>
        <w:t xml:space="preserve"> and 2</w:t>
      </w:r>
      <w:r w:rsidRPr="005F7E3B">
        <w:rPr>
          <w:rFonts w:ascii="Times New Roman" w:hAnsi="Times New Roman" w:cs="Times New Roman"/>
          <w:sz w:val="24"/>
          <w:szCs w:val="24"/>
        </w:rPr>
        <w:t xml:space="preserve"> w</w:t>
      </w:r>
      <w:r>
        <w:rPr>
          <w:rFonts w:ascii="Times New Roman" w:hAnsi="Times New Roman" w:cs="Times New Roman"/>
          <w:sz w:val="24"/>
          <w:szCs w:val="24"/>
        </w:rPr>
        <w:t>ere</w:t>
      </w:r>
      <w:r w:rsidRPr="005F7E3B">
        <w:rPr>
          <w:rFonts w:ascii="Times New Roman" w:hAnsi="Times New Roman" w:cs="Times New Roman"/>
          <w:sz w:val="24"/>
          <w:szCs w:val="24"/>
        </w:rPr>
        <w:t> also relatively low. Thus, </w:t>
      </w:r>
      <w:r w:rsidRPr="005F7E3B">
        <w:rPr>
          <w:rFonts w:ascii="Times New Roman" w:hAnsi="Times New Roman" w:cs="Times New Roman"/>
          <w:i/>
          <w:iCs/>
          <w:sz w:val="24"/>
          <w:szCs w:val="24"/>
        </w:rPr>
        <w:t xml:space="preserve">C. </w:t>
      </w:r>
      <w:proofErr w:type="spellStart"/>
      <w:r w:rsidRPr="005F7E3B">
        <w:rPr>
          <w:rFonts w:ascii="Times New Roman" w:hAnsi="Times New Roman" w:cs="Times New Roman"/>
          <w:i/>
          <w:iCs/>
          <w:sz w:val="24"/>
          <w:szCs w:val="24"/>
        </w:rPr>
        <w:t>mucunoides</w:t>
      </w:r>
      <w:proofErr w:type="spellEnd"/>
      <w:r w:rsidRPr="005F7E3B">
        <w:rPr>
          <w:rFonts w:ascii="Times New Roman" w:hAnsi="Times New Roman" w:cs="Times New Roman"/>
          <w:sz w:val="24"/>
          <w:szCs w:val="24"/>
        </w:rPr>
        <w:t> appeared to provide significant amelioration of drought-associated reductions in germination in some accessions</w:t>
      </w:r>
      <w:r>
        <w:rPr>
          <w:rFonts w:ascii="Times New Roman" w:hAnsi="Times New Roman" w:cs="Times New Roman"/>
          <w:sz w:val="24"/>
          <w:szCs w:val="24"/>
        </w:rPr>
        <w:t xml:space="preserve">. However, </w:t>
      </w:r>
      <w:r w:rsidRPr="005F7E3B">
        <w:rPr>
          <w:rFonts w:ascii="Times New Roman" w:hAnsi="Times New Roman" w:cs="Times New Roman"/>
          <w:sz w:val="24"/>
          <w:szCs w:val="24"/>
        </w:rPr>
        <w:t>the response was not uniform across all genotypes.</w:t>
      </w:r>
    </w:p>
    <w:p w14:paraId="71FFE575" w14:textId="77777777" w:rsidR="0069024F"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combined treatment with </w:t>
      </w:r>
      <w:r w:rsidRPr="00F664B4">
        <w:rPr>
          <w:rFonts w:ascii="Times New Roman" w:hAnsi="Times New Roman" w:cs="Times New Roman"/>
          <w:i/>
          <w:iCs/>
          <w:sz w:val="24"/>
          <w:szCs w:val="24"/>
        </w:rPr>
        <w:t xml:space="preserve">C. </w:t>
      </w:r>
      <w:proofErr w:type="spellStart"/>
      <w:r w:rsidRPr="00F664B4">
        <w:rPr>
          <w:rFonts w:ascii="Times New Roman" w:hAnsi="Times New Roman" w:cs="Times New Roman"/>
          <w:i/>
          <w:iCs/>
          <w:sz w:val="24"/>
          <w:szCs w:val="24"/>
        </w:rPr>
        <w:t>mucunoides</w:t>
      </w:r>
      <w:proofErr w:type="spellEnd"/>
      <w:r w:rsidRPr="00F664B4">
        <w:rPr>
          <w:rFonts w:ascii="Times New Roman" w:hAnsi="Times New Roman" w:cs="Times New Roman"/>
          <w:sz w:val="24"/>
          <w:szCs w:val="24"/>
        </w:rPr>
        <w:t xml:space="preserve"> and AMF (T3) </w:t>
      </w:r>
      <w:r w:rsidRPr="00F664B4">
        <w:rPr>
          <w:rFonts w:ascii="Times New Roman" w:hAnsi="Times New Roman" w:cs="Times New Roman"/>
          <w:sz w:val="24"/>
          <w:szCs w:val="24"/>
          <w:highlight w:val="yellow"/>
        </w:rPr>
        <w:t>enhanced germination</w:t>
      </w:r>
      <w:r w:rsidRPr="00F664B4">
        <w:rPr>
          <w:rFonts w:ascii="Times New Roman" w:hAnsi="Times New Roman" w:cs="Times New Roman"/>
          <w:sz w:val="24"/>
          <w:szCs w:val="24"/>
        </w:rPr>
        <w:t xml:space="preserve"> in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4 and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5</w:t>
      </w:r>
      <w:r>
        <w:rPr>
          <w:rFonts w:ascii="Times New Roman" w:hAnsi="Times New Roman" w:cs="Times New Roman"/>
          <w:sz w:val="24"/>
          <w:szCs w:val="24"/>
          <w:highlight w:val="yellow"/>
        </w:rPr>
        <w:t xml:space="preserve">, whereas lower responses in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1 and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3</w:t>
      </w:r>
      <w:r>
        <w:rPr>
          <w:rFonts w:ascii="Times New Roman" w:hAnsi="Times New Roman" w:cs="Times New Roman"/>
          <w:sz w:val="24"/>
          <w:szCs w:val="24"/>
          <w:highlight w:val="yellow"/>
        </w:rPr>
        <w:t xml:space="preserve"> were recorded</w:t>
      </w:r>
      <w:r w:rsidRPr="00F664B4">
        <w:rPr>
          <w:rFonts w:ascii="Times New Roman" w:hAnsi="Times New Roman" w:cs="Times New Roman"/>
          <w:sz w:val="24"/>
          <w:szCs w:val="24"/>
        </w:rPr>
        <w:t>, indicating a genotype-dependent</w:t>
      </w:r>
      <w:r w:rsidRPr="00F664B4">
        <w:rPr>
          <w:rFonts w:ascii="Times New Roman" w:hAnsi="Times New Roman" w:cs="Times New Roman"/>
          <w:b/>
          <w:bCs/>
          <w:sz w:val="24"/>
          <w:szCs w:val="24"/>
        </w:rPr>
        <w:t xml:space="preserve"> </w:t>
      </w:r>
      <w:r w:rsidRPr="00F664B4">
        <w:rPr>
          <w:rFonts w:ascii="Times New Roman" w:hAnsi="Times New Roman" w:cs="Times New Roman"/>
          <w:sz w:val="24"/>
          <w:szCs w:val="24"/>
        </w:rPr>
        <w:t xml:space="preserve">effect rather than a consistent additive or synergistic response. </w:t>
      </w:r>
    </w:p>
    <w:p w14:paraId="01129CF0" w14:textId="77777777" w:rsidR="00775EA5" w:rsidRPr="005056B4" w:rsidRDefault="00775EA5" w:rsidP="004C769E">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Discussion</w:t>
      </w:r>
    </w:p>
    <w:p w14:paraId="421B5829" w14:textId="77777777" w:rsidR="008E1FFD" w:rsidRPr="00511D06" w:rsidRDefault="008E1FFD" w:rsidP="004C769E">
      <w:pPr>
        <w:spacing w:line="480" w:lineRule="auto"/>
        <w:jc w:val="both"/>
        <w:rPr>
          <w:rFonts w:ascii="Times New Roman" w:hAnsi="Times New Roman" w:cs="Times New Roman"/>
          <w:sz w:val="24"/>
          <w:szCs w:val="24"/>
        </w:rPr>
      </w:pPr>
      <w:r w:rsidRPr="00511D06">
        <w:rPr>
          <w:rFonts w:ascii="Times New Roman" w:hAnsi="Times New Roman" w:cs="Times New Roman"/>
          <w:sz w:val="24"/>
          <w:szCs w:val="24"/>
        </w:rPr>
        <w:t xml:space="preserve">In this study, we investigated the </w:t>
      </w:r>
      <w:proofErr w:type="spellStart"/>
      <w:r w:rsidRPr="00511D06">
        <w:rPr>
          <w:rFonts w:ascii="Times New Roman" w:hAnsi="Times New Roman" w:cs="Times New Roman"/>
          <w:sz w:val="24"/>
          <w:szCs w:val="24"/>
        </w:rPr>
        <w:t>physico</w:t>
      </w:r>
      <w:proofErr w:type="spellEnd"/>
      <w:r w:rsidRPr="00511D06">
        <w:rPr>
          <w:rFonts w:ascii="Times New Roman" w:hAnsi="Times New Roman" w:cs="Times New Roman"/>
          <w:sz w:val="24"/>
          <w:szCs w:val="24"/>
          <w:highlight w:val="yellow"/>
        </w:rPr>
        <w:t xml:space="preserve">-chemical properties of the soil, which serve as fertility parameters and biological indicators of soil health, and evaluated the effects of drought, </w:t>
      </w:r>
      <w:r w:rsidRPr="00511D06">
        <w:rPr>
          <w:rFonts w:ascii="Times New Roman" w:hAnsi="Times New Roman" w:cs="Times New Roman"/>
          <w:sz w:val="24"/>
          <w:szCs w:val="24"/>
          <w:highlight w:val="yellow"/>
        </w:rPr>
        <w:lastRenderedPageBreak/>
        <w:t xml:space="preserve">microorganisms, and their combination on petiole length and percentage germination of different accessions of </w:t>
      </w:r>
      <w:r w:rsidRPr="00B65DE3">
        <w:rPr>
          <w:rFonts w:ascii="Times New Roman" w:hAnsi="Times New Roman" w:cs="Times New Roman"/>
          <w:i/>
          <w:iCs/>
          <w:sz w:val="24"/>
          <w:szCs w:val="24"/>
        </w:rPr>
        <w:t>Vigna subterranea</w:t>
      </w:r>
      <w:r w:rsidRPr="00511D06">
        <w:rPr>
          <w:rFonts w:ascii="Times New Roman" w:hAnsi="Times New Roman" w:cs="Times New Roman"/>
          <w:sz w:val="24"/>
          <w:szCs w:val="24"/>
        </w:rPr>
        <w:t xml:space="preserve">. The experimental soil was moderately acidic (pH 5.30), predominantly sandy (831 </w:t>
      </w:r>
      <w:r>
        <w:rPr>
          <w:rFonts w:ascii="Times New Roman" w:hAnsi="Times New Roman" w:cs="Times New Roman"/>
          <w:sz w:val="24"/>
          <w:szCs w:val="24"/>
          <w:highlight w:val="yellow"/>
        </w:rPr>
        <w:t>g kg⁻¹</w:t>
      </w:r>
      <w:r>
        <w:rPr>
          <w:rFonts w:ascii="Times New Roman" w:hAnsi="Times New Roman" w:cs="Times New Roman"/>
          <w:sz w:val="24"/>
          <w:szCs w:val="24"/>
        </w:rPr>
        <w:t xml:space="preserve">), and </w:t>
      </w:r>
      <w:r>
        <w:rPr>
          <w:rFonts w:ascii="Times New Roman" w:hAnsi="Times New Roman" w:cs="Times New Roman"/>
          <w:sz w:val="24"/>
          <w:szCs w:val="24"/>
          <w:highlight w:val="yellow"/>
        </w:rPr>
        <w:t>characterised</w:t>
      </w:r>
      <w:r>
        <w:rPr>
          <w:rFonts w:ascii="Times New Roman" w:hAnsi="Times New Roman" w:cs="Times New Roman"/>
          <w:sz w:val="24"/>
          <w:szCs w:val="24"/>
        </w:rPr>
        <w:t> by low water-holding capacity (11.44</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organic carbon (1.78</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organic matter (3.07</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total nitrogen (0.18</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xml:space="preserve">%), and effective cation exchange capacity (4.40 </w:t>
      </w:r>
      <w:r>
        <w:rPr>
          <w:rFonts w:ascii="Times New Roman" w:hAnsi="Times New Roman" w:cs="Times New Roman"/>
          <w:sz w:val="24"/>
          <w:szCs w:val="24"/>
          <w:highlight w:val="yellow"/>
        </w:rPr>
        <w:t>cmol kg⁻¹</w:t>
      </w:r>
      <w:r>
        <w:rPr>
          <w:rFonts w:ascii="Times New Roman" w:hAnsi="Times New Roman" w:cs="Times New Roman"/>
          <w:sz w:val="24"/>
          <w:szCs w:val="24"/>
        </w:rPr>
        <w:t>). These properties are typical of highly weathered tropical soils and suggest limited water and nutrient retention, conditions that may intensify drought stress and influence germination and vegetative growth of </w:t>
      </w:r>
      <w:r>
        <w:rPr>
          <w:rFonts w:ascii="Times New Roman" w:hAnsi="Times New Roman" w:cs="Times New Roman"/>
          <w:i/>
          <w:sz w:val="24"/>
          <w:szCs w:val="24"/>
        </w:rPr>
        <w:t>Vigna subterranea</w:t>
      </w:r>
      <w:r>
        <w:rPr>
          <w:rFonts w:ascii="Times New Roman" w:hAnsi="Times New Roman" w:cs="Times New Roman"/>
          <w:sz w:val="24"/>
          <w:szCs w:val="24"/>
        </w:rPr>
        <w:t>. Soil acidity can affect nutrient availability, microbial activity, and AMF development and colonization (Landon, 1991; Okeke </w:t>
      </w:r>
      <w:r w:rsidRPr="00126DD1">
        <w:rPr>
          <w:rFonts w:ascii="Times New Roman" w:hAnsi="Times New Roman" w:cs="Times New Roman"/>
          <w:i/>
          <w:iCs/>
          <w:sz w:val="24"/>
          <w:szCs w:val="24"/>
        </w:rPr>
        <w:t>et al</w:t>
      </w:r>
      <w:r w:rsidRPr="00511D06">
        <w:rPr>
          <w:rFonts w:ascii="Times New Roman" w:hAnsi="Times New Roman" w:cs="Times New Roman"/>
          <w:sz w:val="24"/>
          <w:szCs w:val="24"/>
          <w:highlight w:val="yellow"/>
        </w:rPr>
        <w:t>., 2020; Penn &amp; Camberato, 2019</w:t>
      </w:r>
      <w:r w:rsidRPr="00511D06">
        <w:rPr>
          <w:rFonts w:ascii="Times New Roman" w:hAnsi="Times New Roman" w:cs="Times New Roman"/>
          <w:sz w:val="24"/>
          <w:szCs w:val="24"/>
        </w:rPr>
        <w:t xml:space="preserve">; Zaman </w:t>
      </w:r>
      <w:r w:rsidRPr="00126DD1">
        <w:rPr>
          <w:rFonts w:ascii="Times New Roman" w:hAnsi="Times New Roman" w:cs="Times New Roman"/>
          <w:i/>
          <w:iCs/>
          <w:sz w:val="24"/>
          <w:szCs w:val="24"/>
        </w:rPr>
        <w:t>et al</w:t>
      </w:r>
      <w:r w:rsidRPr="00511D06">
        <w:rPr>
          <w:rFonts w:ascii="Times New Roman" w:hAnsi="Times New Roman" w:cs="Times New Roman"/>
          <w:sz w:val="24"/>
          <w:szCs w:val="24"/>
        </w:rPr>
        <w:t>., 2024). The sandy texture and low water-holding capacity likely accelerated moisture loss, potentially restricting seed imbibition, nutrient uptake, cell expansion, and petiole development under drought. Although organic matter, organic carbon, and nitrogen were within acceptable fertility levels (Musinguzi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2016), their relatively low levels may have limited nutrient buffering under water deficit. Conversely, the high base saturation (86.36</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xml:space="preserve">%), low exchangeable acidity, and low electrical conductivity (0.16 </w:t>
      </w:r>
      <w:proofErr w:type="spellStart"/>
      <w:r w:rsidRPr="00511D06">
        <w:rPr>
          <w:rFonts w:ascii="Times New Roman" w:hAnsi="Times New Roman" w:cs="Times New Roman"/>
          <w:sz w:val="24"/>
          <w:szCs w:val="24"/>
        </w:rPr>
        <w:t>dS</w:t>
      </w:r>
      <w:proofErr w:type="spellEnd"/>
      <w:r w:rsidRPr="00511D06">
        <w:rPr>
          <w:rFonts w:ascii="Times New Roman" w:hAnsi="Times New Roman" w:cs="Times New Roman"/>
          <w:sz w:val="24"/>
          <w:szCs w:val="24"/>
        </w:rPr>
        <w:t xml:space="preserve"> m⁻¹) indicate minimal risks of </w:t>
      </w:r>
      <w:proofErr w:type="spellStart"/>
      <w:r w:rsidRPr="00511D06">
        <w:rPr>
          <w:rFonts w:ascii="Times New Roman" w:hAnsi="Times New Roman" w:cs="Times New Roman"/>
          <w:sz w:val="24"/>
          <w:szCs w:val="24"/>
        </w:rPr>
        <w:t>aluminium</w:t>
      </w:r>
      <w:proofErr w:type="spellEnd"/>
      <w:r w:rsidRPr="00511D06">
        <w:rPr>
          <w:rFonts w:ascii="Times New Roman" w:hAnsi="Times New Roman" w:cs="Times New Roman"/>
          <w:sz w:val="24"/>
          <w:szCs w:val="24"/>
        </w:rPr>
        <w:t xml:space="preserve"> toxicity and salinity, suggesting that drought was the principal edaphic constraint (Begum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xml:space="preserve">., 2019). Under these conditions, AMF could play an important role in enhancing water relations, nutrient acquisition, photosynthetic performance, and drought tolerance (Chandrasekaran, 2024; </w:t>
      </w:r>
      <w:proofErr w:type="spellStart"/>
      <w:r w:rsidRPr="00511D06">
        <w:rPr>
          <w:rFonts w:ascii="Times New Roman" w:hAnsi="Times New Roman" w:cs="Times New Roman"/>
          <w:sz w:val="24"/>
          <w:szCs w:val="24"/>
        </w:rPr>
        <w:t>Vadez</w:t>
      </w:r>
      <w:proofErr w:type="spellEnd"/>
      <w:r w:rsidRPr="00511D06">
        <w:rPr>
          <w:rFonts w:ascii="Times New Roman" w:hAnsi="Times New Roman" w:cs="Times New Roman"/>
          <w:sz w:val="24"/>
          <w:szCs w:val="24"/>
        </w:rPr>
        <w:t xml:space="preserve">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xml:space="preserve">, 2024). </w:t>
      </w:r>
      <w:r>
        <w:rPr>
          <w:rFonts w:ascii="Times New Roman" w:hAnsi="Times New Roman" w:cs="Times New Roman"/>
          <w:sz w:val="24"/>
          <w:szCs w:val="24"/>
          <w:highlight w:val="yellow"/>
        </w:rPr>
        <w:t>Overall</w:t>
      </w:r>
      <w:r w:rsidRPr="00511D06">
        <w:rPr>
          <w:rFonts w:ascii="Times New Roman" w:hAnsi="Times New Roman" w:cs="Times New Roman"/>
          <w:sz w:val="24"/>
          <w:szCs w:val="24"/>
        </w:rPr>
        <w:t>, the soil characteristics provided an appropriate environment for evaluating differences among </w:t>
      </w:r>
      <w:r w:rsidRPr="003F7E74">
        <w:rPr>
          <w:rFonts w:ascii="Times New Roman" w:hAnsi="Times New Roman" w:cs="Times New Roman"/>
          <w:i/>
          <w:iCs/>
          <w:sz w:val="24"/>
          <w:szCs w:val="24"/>
        </w:rPr>
        <w:t>Vigna subterranea</w:t>
      </w:r>
      <w:r w:rsidRPr="00511D06">
        <w:rPr>
          <w:rFonts w:ascii="Times New Roman" w:hAnsi="Times New Roman" w:cs="Times New Roman"/>
          <w:sz w:val="24"/>
          <w:szCs w:val="24"/>
        </w:rPr>
        <w:t> accessions and the potential contribution of microorganisms to maintaining germination and vegetative growth under drought.</w:t>
      </w:r>
    </w:p>
    <w:p w14:paraId="2E1206D9"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 xml:space="preserve">Drought is a major environmental constraint that adversely affects plant growth and development by disrupting morphological, physiological, biochemical, and molecular processes throughout the plant life cycle (Rampino </w:t>
      </w:r>
      <w:r w:rsidRPr="003F7E74">
        <w:rPr>
          <w:rFonts w:ascii="Times New Roman" w:hAnsi="Times New Roman" w:cs="Times New Roman"/>
          <w:i/>
          <w:iCs/>
          <w:sz w:val="24"/>
          <w:szCs w:val="24"/>
        </w:rPr>
        <w:t>et al</w:t>
      </w:r>
      <w:r w:rsidRPr="00A072E7">
        <w:rPr>
          <w:rFonts w:ascii="Times New Roman" w:hAnsi="Times New Roman" w:cs="Times New Roman"/>
          <w:sz w:val="24"/>
          <w:szCs w:val="24"/>
        </w:rPr>
        <w:t xml:space="preserve">., 2006; </w:t>
      </w:r>
      <w:r w:rsidRPr="00A072E7">
        <w:rPr>
          <w:rFonts w:ascii="Times New Roman" w:hAnsi="Times New Roman" w:cs="Times New Roman"/>
          <w:sz w:val="24"/>
          <w:szCs w:val="24"/>
          <w:highlight w:val="yellow"/>
        </w:rPr>
        <w:t xml:space="preserve">Bogale &amp; Tesfaye, </w:t>
      </w:r>
      <w:r w:rsidRPr="00A072E7">
        <w:rPr>
          <w:rFonts w:ascii="Times New Roman" w:hAnsi="Times New Roman" w:cs="Times New Roman"/>
          <w:sz w:val="24"/>
          <w:szCs w:val="24"/>
          <w:highlight w:val="yellow"/>
        </w:rPr>
        <w:lastRenderedPageBreak/>
        <w:t>2011</w:t>
      </w:r>
      <w:r w:rsidRPr="00A072E7">
        <w:rPr>
          <w:rFonts w:ascii="Times New Roman" w:hAnsi="Times New Roman" w:cs="Times New Roman"/>
          <w:sz w:val="24"/>
          <w:szCs w:val="24"/>
        </w:rPr>
        <w:t xml:space="preserve">). During germination, water deficit can limit seed imbibition and subsequent metabolic activation, </w:t>
      </w:r>
      <w:r>
        <w:rPr>
          <w:rFonts w:ascii="Times New Roman" w:hAnsi="Times New Roman" w:cs="Times New Roman"/>
          <w:sz w:val="24"/>
          <w:szCs w:val="24"/>
          <w:highlight w:val="yellow"/>
        </w:rPr>
        <w:t>thereby reducing germination and delaying seedling establishment. The significant treatment effect observed in this study (</w:t>
      </w:r>
      <w:r w:rsidRPr="00A072E7">
        <w:rPr>
          <w:rFonts w:ascii="Times New Roman" w:hAnsi="Times New Roman" w:cs="Times New Roman"/>
          <w:i/>
          <w:iCs/>
          <w:sz w:val="24"/>
          <w:szCs w:val="24"/>
        </w:rPr>
        <w:t>P</w:t>
      </w:r>
      <w:r w:rsidRPr="00A072E7">
        <w:rPr>
          <w:rFonts w:ascii="Times New Roman" w:hAnsi="Times New Roman" w:cs="Times New Roman"/>
          <w:sz w:val="24"/>
          <w:szCs w:val="24"/>
        </w:rPr>
        <w:t> = 0.0008) confirms that water availability and the applied biological amelioration treatments influenced the germination response of </w:t>
      </w:r>
      <w:r w:rsidRPr="00A072E7">
        <w:rPr>
          <w:rFonts w:ascii="Times New Roman" w:hAnsi="Times New Roman" w:cs="Times New Roman"/>
          <w:i/>
          <w:iCs/>
          <w:sz w:val="24"/>
          <w:szCs w:val="24"/>
        </w:rPr>
        <w:t>Vigna subterranea</w:t>
      </w:r>
      <w:r w:rsidRPr="00A072E7">
        <w:rPr>
          <w:rFonts w:ascii="Times New Roman" w:hAnsi="Times New Roman" w:cs="Times New Roman"/>
          <w:sz w:val="24"/>
          <w:szCs w:val="24"/>
        </w:rPr>
        <w:t>.</w:t>
      </w:r>
    </w:p>
    <w:p w14:paraId="049D6BA2"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The variation observed among the </w:t>
      </w:r>
      <w:proofErr w:type="spellStart"/>
      <w:r w:rsidRPr="00A072E7">
        <w:rPr>
          <w:rFonts w:ascii="Times New Roman" w:hAnsi="Times New Roman" w:cs="Times New Roman"/>
          <w:sz w:val="24"/>
          <w:szCs w:val="24"/>
        </w:rPr>
        <w:t>TvSu</w:t>
      </w:r>
      <w:proofErr w:type="spellEnd"/>
      <w:r w:rsidRPr="00A072E7">
        <w:rPr>
          <w:rFonts w:ascii="Times New Roman" w:hAnsi="Times New Roman" w:cs="Times New Roman"/>
          <w:sz w:val="24"/>
          <w:szCs w:val="24"/>
        </w:rPr>
        <w:t xml:space="preserve"> accessions indicates substantial genotypic differences in germination response to drought stress. Some accessions maintained relatively high germination under water deficit, suggesting inherent differences in drought tolerance and seed physiological characteristics. Such variation is important for identifying genotypes with greater capacity to establish under moisture-limited conditions.</w:t>
      </w:r>
    </w:p>
    <w:p w14:paraId="2636CD31"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AMF inoculation (T1) generally improved germination under drought, potentially through enhanced acquisition of water and nutrients, particularly phosphorus, via the extraradical hyphal network. Similarly, the application of </w:t>
      </w:r>
      <w:proofErr w:type="spellStart"/>
      <w:r w:rsidRPr="00A072E7">
        <w:rPr>
          <w:rFonts w:ascii="Times New Roman" w:hAnsi="Times New Roman" w:cs="Times New Roman"/>
          <w:i/>
          <w:iCs/>
          <w:sz w:val="24"/>
          <w:szCs w:val="24"/>
        </w:rPr>
        <w:t>Calopogonium</w:t>
      </w:r>
      <w:proofErr w:type="spellEnd"/>
      <w:r w:rsidRPr="00A072E7">
        <w:rPr>
          <w:rFonts w:ascii="Times New Roman" w:hAnsi="Times New Roman" w:cs="Times New Roman"/>
          <w:i/>
          <w:iCs/>
          <w:sz w:val="24"/>
          <w:szCs w:val="24"/>
        </w:rPr>
        <w:t xml:space="preserve">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(T2) improved germination in several accessions, possibly by enhancing soil moisture retention, nutrient availability, and soil physical conditions (</w:t>
      </w:r>
      <w:proofErr w:type="spellStart"/>
      <w:r w:rsidRPr="00A072E7">
        <w:rPr>
          <w:rFonts w:ascii="Times New Roman" w:hAnsi="Times New Roman" w:cs="Times New Roman"/>
          <w:sz w:val="24"/>
          <w:szCs w:val="24"/>
          <w:highlight w:val="yellow"/>
        </w:rPr>
        <w:t>Yakasai</w:t>
      </w:r>
      <w:proofErr w:type="spellEnd"/>
      <w:r w:rsidRPr="00A072E7">
        <w:rPr>
          <w:rFonts w:ascii="Times New Roman" w:hAnsi="Times New Roman" w:cs="Times New Roman"/>
          <w:sz w:val="24"/>
          <w:szCs w:val="24"/>
          <w:highlight w:val="yellow"/>
        </w:rPr>
        <w:t> &amp; Rabiu, 2025</w:t>
      </w:r>
      <w:r w:rsidRPr="00A072E7">
        <w:rPr>
          <w:rFonts w:ascii="Times New Roman" w:hAnsi="Times New Roman" w:cs="Times New Roman"/>
          <w:sz w:val="24"/>
          <w:szCs w:val="24"/>
        </w:rPr>
        <w:t xml:space="preserve">; </w:t>
      </w:r>
      <w:proofErr w:type="spellStart"/>
      <w:r w:rsidRPr="00A072E7">
        <w:rPr>
          <w:rFonts w:ascii="Times New Roman" w:hAnsi="Times New Roman" w:cs="Times New Roman"/>
          <w:sz w:val="24"/>
          <w:szCs w:val="24"/>
          <w:highlight w:val="yellow"/>
        </w:rPr>
        <w:t>Gbarabe</w:t>
      </w:r>
      <w:proofErr w:type="spellEnd"/>
      <w:r w:rsidRPr="00A072E7">
        <w:rPr>
          <w:rFonts w:ascii="Times New Roman" w:hAnsi="Times New Roman" w:cs="Times New Roman"/>
          <w:sz w:val="24"/>
          <w:szCs w:val="24"/>
          <w:highlight w:val="yellow"/>
        </w:rPr>
        <w:t xml:space="preserve"> &amp; Daye, 2024</w:t>
      </w:r>
      <w:r w:rsidRPr="00A072E7">
        <w:rPr>
          <w:rFonts w:ascii="Times New Roman" w:hAnsi="Times New Roman" w:cs="Times New Roman"/>
          <w:sz w:val="24"/>
          <w:szCs w:val="24"/>
        </w:rPr>
        <w:t>). These findings suggest that both AMF and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can contribute to reducing the adverse effects of drought during the early stages of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establishment.</w:t>
      </w:r>
    </w:p>
    <w:p w14:paraId="1F6A9224"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However, the combined treatment (T3) did not consistently produce the highest germination across all accessions. Although improved germination was observed in some genotypes, others showed comparatively lower responses. This pattern suggests that the interaction between AMF,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xml:space="preserve">, and the host genotype may be complex and does not necessarily result in a uniform additive or synergistic effect. Differences in AMF compatibility, genotype-specific drought tolerance, and responses to improved soil conditions may contribute to the observed variation (Sharma </w:t>
      </w:r>
      <w:r w:rsidRPr="003F7E74">
        <w:rPr>
          <w:rFonts w:ascii="Times New Roman" w:hAnsi="Times New Roman" w:cs="Times New Roman"/>
          <w:i/>
          <w:iCs/>
          <w:sz w:val="24"/>
          <w:szCs w:val="24"/>
        </w:rPr>
        <w:t>et al</w:t>
      </w:r>
      <w:r w:rsidRPr="00A072E7">
        <w:rPr>
          <w:rFonts w:ascii="Times New Roman" w:hAnsi="Times New Roman" w:cs="Times New Roman"/>
          <w:sz w:val="24"/>
          <w:szCs w:val="24"/>
        </w:rPr>
        <w:t xml:space="preserve">., 2021; Solís-Ramos </w:t>
      </w:r>
      <w:r w:rsidRPr="00126DD1">
        <w:rPr>
          <w:rFonts w:ascii="Times New Roman" w:hAnsi="Times New Roman" w:cs="Times New Roman"/>
          <w:i/>
          <w:iCs/>
          <w:sz w:val="24"/>
          <w:szCs w:val="24"/>
        </w:rPr>
        <w:t>et al</w:t>
      </w:r>
      <w:r w:rsidRPr="00A072E7">
        <w:rPr>
          <w:rFonts w:ascii="Times New Roman" w:hAnsi="Times New Roman" w:cs="Times New Roman"/>
          <w:sz w:val="24"/>
          <w:szCs w:val="24"/>
        </w:rPr>
        <w:t>., 2023).</w:t>
      </w:r>
    </w:p>
    <w:p w14:paraId="5675318A" w14:textId="77777777" w:rsidR="00A072E7" w:rsidRPr="00A072E7" w:rsidRDefault="00A072E7" w:rsidP="00A072E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summary, </w:t>
      </w:r>
      <w:r w:rsidRPr="00A072E7">
        <w:rPr>
          <w:rFonts w:ascii="Times New Roman" w:hAnsi="Times New Roman" w:cs="Times New Roman"/>
          <w:sz w:val="24"/>
          <w:szCs w:val="24"/>
        </w:rPr>
        <w:t xml:space="preserve">the findings </w:t>
      </w:r>
      <w:r>
        <w:rPr>
          <w:rFonts w:ascii="Times New Roman" w:hAnsi="Times New Roman" w:cs="Times New Roman"/>
          <w:sz w:val="24"/>
          <w:szCs w:val="24"/>
        </w:rPr>
        <w:t>show</w:t>
      </w:r>
      <w:r w:rsidRPr="00A072E7">
        <w:rPr>
          <w:rFonts w:ascii="Times New Roman" w:hAnsi="Times New Roman" w:cs="Times New Roman"/>
          <w:sz w:val="24"/>
          <w:szCs w:val="24"/>
        </w:rPr>
        <w:t xml:space="preserve"> that drought stress significantly affects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germination, while AMF and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xml:space="preserve"> can alleviate drought-associated effects in certain accessions. The differential responses among </w:t>
      </w:r>
      <w:proofErr w:type="spellStart"/>
      <w:r w:rsidRPr="00A072E7">
        <w:rPr>
          <w:rFonts w:ascii="Times New Roman" w:hAnsi="Times New Roman" w:cs="Times New Roman"/>
          <w:sz w:val="24"/>
          <w:szCs w:val="24"/>
        </w:rPr>
        <w:t>TvSu</w:t>
      </w:r>
      <w:proofErr w:type="spellEnd"/>
      <w:r w:rsidRPr="00A072E7">
        <w:rPr>
          <w:rFonts w:ascii="Times New Roman" w:hAnsi="Times New Roman" w:cs="Times New Roman"/>
          <w:sz w:val="24"/>
          <w:szCs w:val="24"/>
        </w:rPr>
        <w:t xml:space="preserve"> 1–5 further indicate that the effectiveness of these biological amelioration strategies is genotype-dependent. Therefore, integrating AMF and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may offer a promising approach for improving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establishment under drought conditions, particularly when matched with responsive genotypes.</w:t>
      </w:r>
    </w:p>
    <w:p w14:paraId="68FA5964" w14:textId="77777777" w:rsidR="00775EA5" w:rsidRPr="005056B4" w:rsidRDefault="00775EA5" w:rsidP="004C769E">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Petiole Length Response to Water Availability and Biological Treatments</w:t>
      </w:r>
    </w:p>
    <w:p w14:paraId="67443E7F" w14:textId="77777777" w:rsidR="00775EA5" w:rsidRDefault="00775EA5" w:rsidP="004C769E">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Petiole length, an important component of canopy architecture and light interception, increased progressively under well-watered conditions, reflecting adequate turgor for cell expansion and sustained vegetative growth (Wang </w:t>
      </w:r>
      <w:r w:rsidRPr="003F7E74">
        <w:rPr>
          <w:rFonts w:ascii="Times New Roman" w:hAnsi="Times New Roman" w:cs="Times New Roman"/>
          <w:i/>
          <w:iCs/>
          <w:sz w:val="24"/>
          <w:szCs w:val="24"/>
        </w:rPr>
        <w:t>et al</w:t>
      </w:r>
      <w:r w:rsidRPr="005056B4">
        <w:rPr>
          <w:rFonts w:ascii="Times New Roman" w:hAnsi="Times New Roman" w:cs="Times New Roman"/>
          <w:sz w:val="24"/>
          <w:szCs w:val="24"/>
        </w:rPr>
        <w:t xml:space="preserve">., 2024). </w:t>
      </w:r>
      <w:r w:rsidR="004B444C" w:rsidRPr="00942CB8">
        <w:rPr>
          <w:rFonts w:ascii="Times New Roman" w:hAnsi="Times New Roman" w:cs="Times New Roman"/>
          <w:sz w:val="24"/>
          <w:szCs w:val="24"/>
        </w:rPr>
        <w:t xml:space="preserve">The control experiment revealed </w:t>
      </w:r>
      <w:r>
        <w:rPr>
          <w:rFonts w:ascii="Times New Roman" w:hAnsi="Times New Roman" w:cs="Times New Roman"/>
          <w:sz w:val="24"/>
          <w:szCs w:val="24"/>
          <w:highlight w:val="yellow"/>
        </w:rPr>
        <w:t>a significant weekly increase in petiole length</w:t>
      </w:r>
      <w:r>
        <w:rPr>
          <w:rFonts w:ascii="Times New Roman" w:hAnsi="Times New Roman" w:cs="Times New Roman"/>
          <w:sz w:val="24"/>
          <w:szCs w:val="24"/>
        </w:rPr>
        <w:t xml:space="preserve"> across the different accessions, with the exception of week 2. Notably, accession </w:t>
      </w:r>
      <w:r w:rsidR="004B444C" w:rsidRPr="00010745">
        <w:rPr>
          <w:rFonts w:ascii="Times New Roman" w:hAnsi="Times New Roman" w:cs="Times New Roman"/>
          <w:sz w:val="24"/>
          <w:szCs w:val="24"/>
        </w:rPr>
        <w:t>TVSU4</w:t>
      </w:r>
      <w:r w:rsidR="004B444C" w:rsidRPr="00942CB8">
        <w:rPr>
          <w:rFonts w:ascii="Times New Roman" w:hAnsi="Times New Roman" w:cs="Times New Roman"/>
          <w:sz w:val="24"/>
          <w:szCs w:val="24"/>
        </w:rPr>
        <w:t xml:space="preserve"> exhibited a statistically significant difference in petiole </w:t>
      </w:r>
      <w:r>
        <w:rPr>
          <w:rFonts w:ascii="Times New Roman" w:hAnsi="Times New Roman" w:cs="Times New Roman"/>
          <w:sz w:val="24"/>
          <w:szCs w:val="24"/>
          <w:highlight w:val="yellow"/>
        </w:rPr>
        <w:t>elongation</w:t>
      </w:r>
      <w:r w:rsidR="004B444C">
        <w:rPr>
          <w:rFonts w:ascii="Times New Roman" w:hAnsi="Times New Roman" w:cs="Times New Roman"/>
          <w:sz w:val="24"/>
          <w:szCs w:val="24"/>
        </w:rPr>
        <w:t xml:space="preserve"> </w:t>
      </w:r>
      <w:r w:rsidR="004B444C" w:rsidRPr="00942CB8">
        <w:rPr>
          <w:rFonts w:ascii="Times New Roman" w:hAnsi="Times New Roman" w:cs="Times New Roman"/>
          <w:sz w:val="24"/>
          <w:szCs w:val="24"/>
        </w:rPr>
        <w:t xml:space="preserve">when compared to all other accessions throughout the </w:t>
      </w:r>
      <w:r>
        <w:rPr>
          <w:rFonts w:ascii="Times New Roman" w:hAnsi="Times New Roman" w:cs="Times New Roman"/>
          <w:sz w:val="24"/>
          <w:szCs w:val="24"/>
          <w:highlight w:val="yellow"/>
        </w:rPr>
        <w:t>evaluation period,</w:t>
      </w:r>
      <w:r w:rsidR="004B444C">
        <w:rPr>
          <w:rFonts w:ascii="Times New Roman" w:hAnsi="Times New Roman" w:cs="Times New Roman"/>
          <w:sz w:val="24"/>
          <w:szCs w:val="24"/>
        </w:rPr>
        <w:t xml:space="preserve"> thereby </w:t>
      </w:r>
      <w:r w:rsidR="004B444C" w:rsidRPr="005056B4">
        <w:rPr>
          <w:rFonts w:ascii="Times New Roman" w:hAnsi="Times New Roman" w:cs="Times New Roman"/>
          <w:sz w:val="24"/>
          <w:szCs w:val="24"/>
        </w:rPr>
        <w:t>indicating genetic variation in hormonal regulation, assimilate partitioning, and growth plasticity (</w:t>
      </w:r>
      <w:proofErr w:type="spellStart"/>
      <w:r w:rsidR="004B444C" w:rsidRPr="005056B4">
        <w:rPr>
          <w:rFonts w:ascii="Times New Roman" w:hAnsi="Times New Roman" w:cs="Times New Roman"/>
          <w:sz w:val="24"/>
          <w:szCs w:val="24"/>
        </w:rPr>
        <w:t>Mabhaudhi</w:t>
      </w:r>
      <w:proofErr w:type="spellEnd"/>
      <w:r w:rsidR="004B444C" w:rsidRPr="005056B4">
        <w:rPr>
          <w:rFonts w:ascii="Times New Roman" w:hAnsi="Times New Roman" w:cs="Times New Roman"/>
          <w:sz w:val="24"/>
          <w:szCs w:val="24"/>
        </w:rPr>
        <w:t xml:space="preserve"> </w:t>
      </w:r>
      <w:r w:rsidR="004B444C" w:rsidRPr="005056B4">
        <w:rPr>
          <w:rFonts w:ascii="Times New Roman" w:hAnsi="Times New Roman" w:cs="Times New Roman"/>
          <w:i/>
          <w:iCs/>
          <w:sz w:val="24"/>
          <w:szCs w:val="24"/>
        </w:rPr>
        <w:t>et al.</w:t>
      </w:r>
      <w:r w:rsidR="004B444C" w:rsidRPr="005056B4">
        <w:rPr>
          <w:rFonts w:ascii="Times New Roman" w:hAnsi="Times New Roman" w:cs="Times New Roman"/>
          <w:sz w:val="24"/>
          <w:szCs w:val="24"/>
        </w:rPr>
        <w:t>, 2018).</w:t>
      </w:r>
      <w:r w:rsidR="005E5EA0">
        <w:rPr>
          <w:rFonts w:ascii="Times New Roman" w:hAnsi="Times New Roman" w:cs="Times New Roman"/>
          <w:sz w:val="24"/>
          <w:szCs w:val="24"/>
        </w:rPr>
        <w:t xml:space="preserve"> </w:t>
      </w:r>
      <w:r w:rsidRPr="005056B4">
        <w:rPr>
          <w:rFonts w:ascii="Times New Roman" w:hAnsi="Times New Roman" w:cs="Times New Roman"/>
          <w:sz w:val="24"/>
          <w:szCs w:val="24"/>
        </w:rPr>
        <w:t xml:space="preserve">Adequate hydration also supports hydraulic conductivity, stomatal function, and carbon assimilation, promoting vegetative growth (Affortit </w:t>
      </w:r>
      <w:r w:rsidRPr="005056B4">
        <w:rPr>
          <w:rFonts w:ascii="Times New Roman" w:hAnsi="Times New Roman" w:cs="Times New Roman"/>
          <w:i/>
          <w:iCs/>
          <w:sz w:val="24"/>
          <w:szCs w:val="24"/>
        </w:rPr>
        <w:t>et al.</w:t>
      </w:r>
      <w:r w:rsidRPr="005056B4">
        <w:rPr>
          <w:rFonts w:ascii="Times New Roman" w:hAnsi="Times New Roman" w:cs="Times New Roman"/>
          <w:sz w:val="24"/>
          <w:szCs w:val="24"/>
        </w:rPr>
        <w:t xml:space="preserve">, 2024; Gupta </w:t>
      </w:r>
      <w:r w:rsidRPr="005056B4">
        <w:rPr>
          <w:rFonts w:ascii="Times New Roman" w:hAnsi="Times New Roman" w:cs="Times New Roman"/>
          <w:i/>
          <w:iCs/>
          <w:sz w:val="24"/>
          <w:szCs w:val="24"/>
        </w:rPr>
        <w:t>et al.</w:t>
      </w:r>
      <w:r w:rsidRPr="005056B4">
        <w:rPr>
          <w:rFonts w:ascii="Times New Roman" w:hAnsi="Times New Roman" w:cs="Times New Roman"/>
          <w:sz w:val="24"/>
          <w:szCs w:val="24"/>
        </w:rPr>
        <w:t xml:space="preserve">, 2020). The absence of measurable petiole length in TVSU5 at 13 WAP was likely associated with physiological maturity and leaf senescence rather than growth inhibition (Lim </w:t>
      </w:r>
      <w:r w:rsidRPr="005056B4">
        <w:rPr>
          <w:rFonts w:ascii="Times New Roman" w:hAnsi="Times New Roman" w:cs="Times New Roman"/>
          <w:i/>
          <w:iCs/>
          <w:sz w:val="24"/>
          <w:szCs w:val="24"/>
        </w:rPr>
        <w:t>et al.</w:t>
      </w:r>
      <w:r w:rsidRPr="005056B4">
        <w:rPr>
          <w:rFonts w:ascii="Times New Roman" w:hAnsi="Times New Roman" w:cs="Times New Roman"/>
          <w:sz w:val="24"/>
          <w:szCs w:val="24"/>
        </w:rPr>
        <w:t>, 2007).</w:t>
      </w:r>
    </w:p>
    <w:p w14:paraId="401E80ED" w14:textId="77777777" w:rsidR="00775EA5" w:rsidRDefault="008B6EE5" w:rsidP="004C769E">
      <w:pPr>
        <w:spacing w:line="48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In the drought stress control, weekly increases in petiole length were significant from week 3 to week 13 when compared with weeks 1 and 2. However, accessions 3 and 4 showed significant differences from week 5 to week 13, while accession 5 showed significant differences from weeks 4 to 12. The observed </w:t>
      </w:r>
      <w:r w:rsidRPr="005056B4">
        <w:rPr>
          <w:rFonts w:ascii="Times New Roman" w:hAnsi="Times New Roman" w:cs="Times New Roman"/>
          <w:sz w:val="24"/>
          <w:szCs w:val="24"/>
        </w:rPr>
        <w:t>petiole elongation in all accessions</w:t>
      </w:r>
      <w:r>
        <w:rPr>
          <w:rFonts w:ascii="Times New Roman" w:hAnsi="Times New Roman" w:cs="Times New Roman"/>
          <w:sz w:val="24"/>
          <w:szCs w:val="24"/>
          <w:highlight w:val="yellow"/>
        </w:rPr>
        <w:t xml:space="preserve"> indicated</w:t>
      </w:r>
      <w:r w:rsidRPr="005056B4">
        <w:rPr>
          <w:rFonts w:ascii="Times New Roman" w:hAnsi="Times New Roman" w:cs="Times New Roman"/>
          <w:sz w:val="24"/>
          <w:szCs w:val="24"/>
        </w:rPr>
        <w:t xml:space="preserve"> some capacity to maintain growth under moderate water deficit through osmotic adjustment, </w:t>
      </w:r>
      <w:r w:rsidRPr="005056B4">
        <w:rPr>
          <w:rFonts w:ascii="Times New Roman" w:hAnsi="Times New Roman" w:cs="Times New Roman"/>
          <w:sz w:val="24"/>
          <w:szCs w:val="24"/>
        </w:rPr>
        <w:lastRenderedPageBreak/>
        <w:t xml:space="preserve">turgor maintenance, and assimilate partitioning (Wang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xml:space="preserve">., 2024; Gupta </w:t>
      </w:r>
      <w:r w:rsidRPr="005056B4">
        <w:rPr>
          <w:rFonts w:ascii="Times New Roman" w:hAnsi="Times New Roman" w:cs="Times New Roman"/>
          <w:i/>
          <w:iCs/>
          <w:sz w:val="24"/>
          <w:szCs w:val="24"/>
        </w:rPr>
        <w:t>et al.</w:t>
      </w:r>
      <w:r w:rsidRPr="005056B4">
        <w:rPr>
          <w:rFonts w:ascii="Times New Roman" w:hAnsi="Times New Roman" w:cs="Times New Roman"/>
          <w:sz w:val="24"/>
          <w:szCs w:val="24"/>
        </w:rPr>
        <w:t>, 2020).</w:t>
      </w:r>
      <w:r w:rsidR="00CC0614">
        <w:rPr>
          <w:rFonts w:ascii="Times New Roman" w:hAnsi="Times New Roman" w:cs="Times New Roman"/>
          <w:sz w:val="24"/>
          <w:szCs w:val="24"/>
        </w:rPr>
        <w:t xml:space="preserve"> </w:t>
      </w:r>
      <w:r w:rsidR="00CC0614" w:rsidRPr="005056B4">
        <w:rPr>
          <w:rFonts w:ascii="Times New Roman" w:hAnsi="Times New Roman" w:cs="Times New Roman"/>
          <w:sz w:val="24"/>
          <w:szCs w:val="24"/>
        </w:rPr>
        <w:t xml:space="preserve">TVSU2 and TVSU4 showed greater resilience, whereas TVSU3 and TVSU5 exhibited poorer performance </w:t>
      </w:r>
      <w:r>
        <w:rPr>
          <w:rFonts w:ascii="Times New Roman" w:hAnsi="Times New Roman" w:cs="Times New Roman"/>
          <w:sz w:val="24"/>
          <w:szCs w:val="24"/>
          <w:highlight w:val="yellow"/>
        </w:rPr>
        <w:t>with no increase in petiole length at week 13</w:t>
      </w:r>
      <w:r>
        <w:rPr>
          <w:rFonts w:ascii="Times New Roman" w:hAnsi="Times New Roman" w:cs="Times New Roman"/>
          <w:sz w:val="24"/>
          <w:szCs w:val="24"/>
        </w:rPr>
        <w:t xml:space="preserve">, implying the onset of senescence. </w:t>
      </w:r>
      <w:r w:rsidR="00775EA5" w:rsidRPr="005056B4">
        <w:rPr>
          <w:rFonts w:ascii="Times New Roman" w:hAnsi="Times New Roman" w:cs="Times New Roman"/>
          <w:sz w:val="24"/>
          <w:szCs w:val="24"/>
        </w:rPr>
        <w:t>Such genotypic variation in drought adaptation is consistent with differences in physiological plasticity and stress-responsive mechanisms reported in Bambara groundnut (</w:t>
      </w:r>
      <w:proofErr w:type="spellStart"/>
      <w:r w:rsidR="00775EA5" w:rsidRPr="005056B4">
        <w:rPr>
          <w:rFonts w:ascii="Times New Roman" w:hAnsi="Times New Roman" w:cs="Times New Roman"/>
          <w:sz w:val="24"/>
          <w:szCs w:val="24"/>
        </w:rPr>
        <w:t>Mabhaudhi</w:t>
      </w:r>
      <w:proofErr w:type="spellEnd"/>
      <w:r w:rsidR="00775EA5" w:rsidRPr="005056B4">
        <w:rPr>
          <w:rFonts w:ascii="Times New Roman" w:hAnsi="Times New Roman" w:cs="Times New Roman"/>
          <w:sz w:val="24"/>
          <w:szCs w:val="24"/>
        </w:rPr>
        <w:t xml:space="preserve"> </w:t>
      </w:r>
      <w:r w:rsidR="00775EA5" w:rsidRPr="005056B4">
        <w:rPr>
          <w:rFonts w:ascii="Times New Roman" w:hAnsi="Times New Roman" w:cs="Times New Roman"/>
          <w:i/>
          <w:iCs/>
          <w:sz w:val="24"/>
          <w:szCs w:val="24"/>
        </w:rPr>
        <w:t>et al.</w:t>
      </w:r>
      <w:r w:rsidR="00775EA5" w:rsidRPr="005056B4">
        <w:rPr>
          <w:rFonts w:ascii="Times New Roman" w:hAnsi="Times New Roman" w:cs="Times New Roman"/>
          <w:sz w:val="24"/>
          <w:szCs w:val="24"/>
        </w:rPr>
        <w:t xml:space="preserve">, 2018; </w:t>
      </w:r>
      <w:proofErr w:type="spellStart"/>
      <w:r w:rsidR="00775EA5" w:rsidRPr="005056B4">
        <w:rPr>
          <w:rFonts w:ascii="Times New Roman" w:hAnsi="Times New Roman" w:cs="Times New Roman"/>
          <w:sz w:val="24"/>
          <w:szCs w:val="24"/>
        </w:rPr>
        <w:t>Volaire</w:t>
      </w:r>
      <w:proofErr w:type="spellEnd"/>
      <w:r w:rsidR="00775EA5" w:rsidRPr="005056B4">
        <w:rPr>
          <w:rFonts w:ascii="Times New Roman" w:hAnsi="Times New Roman" w:cs="Times New Roman"/>
          <w:sz w:val="24"/>
          <w:szCs w:val="24"/>
        </w:rPr>
        <w:t xml:space="preserve">, 2018). Drought-induced reductions in cell expansion and premature senescence are associated with declining water potential and turgor, accompanied by nutrient </w:t>
      </w:r>
      <w:proofErr w:type="spellStart"/>
      <w:r w:rsidR="00775EA5" w:rsidRPr="005056B4">
        <w:rPr>
          <w:rFonts w:ascii="Times New Roman" w:hAnsi="Times New Roman" w:cs="Times New Roman"/>
          <w:sz w:val="24"/>
          <w:szCs w:val="24"/>
        </w:rPr>
        <w:t>remobilisation</w:t>
      </w:r>
      <w:proofErr w:type="spellEnd"/>
      <w:r w:rsidR="00775EA5" w:rsidRPr="005056B4">
        <w:rPr>
          <w:rFonts w:ascii="Times New Roman" w:hAnsi="Times New Roman" w:cs="Times New Roman"/>
          <w:sz w:val="24"/>
          <w:szCs w:val="24"/>
        </w:rPr>
        <w:t xml:space="preserve"> and reduced </w:t>
      </w:r>
      <w:proofErr w:type="spellStart"/>
      <w:r w:rsidR="00775EA5" w:rsidRPr="005056B4">
        <w:rPr>
          <w:rFonts w:ascii="Times New Roman" w:hAnsi="Times New Roman" w:cs="Times New Roman"/>
          <w:sz w:val="24"/>
          <w:szCs w:val="24"/>
        </w:rPr>
        <w:t>transpirational</w:t>
      </w:r>
      <w:proofErr w:type="spellEnd"/>
      <w:r w:rsidR="00775EA5" w:rsidRPr="005056B4">
        <w:rPr>
          <w:rFonts w:ascii="Times New Roman" w:hAnsi="Times New Roman" w:cs="Times New Roman"/>
          <w:sz w:val="24"/>
          <w:szCs w:val="24"/>
        </w:rPr>
        <w:t xml:space="preserve"> demand (Affortit </w:t>
      </w:r>
      <w:r w:rsidR="00775EA5" w:rsidRPr="005056B4">
        <w:rPr>
          <w:rFonts w:ascii="Times New Roman" w:hAnsi="Times New Roman" w:cs="Times New Roman"/>
          <w:i/>
          <w:iCs/>
          <w:sz w:val="24"/>
          <w:szCs w:val="24"/>
        </w:rPr>
        <w:t>et al.</w:t>
      </w:r>
      <w:r w:rsidR="00775EA5" w:rsidRPr="005056B4">
        <w:rPr>
          <w:rFonts w:ascii="Times New Roman" w:hAnsi="Times New Roman" w:cs="Times New Roman"/>
          <w:sz w:val="24"/>
          <w:szCs w:val="24"/>
        </w:rPr>
        <w:t xml:space="preserve">, 2024; Lim </w:t>
      </w:r>
      <w:r w:rsidR="00775EA5" w:rsidRPr="005056B4">
        <w:rPr>
          <w:rFonts w:ascii="Times New Roman" w:hAnsi="Times New Roman" w:cs="Times New Roman"/>
          <w:i/>
          <w:iCs/>
          <w:sz w:val="24"/>
          <w:szCs w:val="24"/>
        </w:rPr>
        <w:t>et al.</w:t>
      </w:r>
      <w:r w:rsidR="00775EA5" w:rsidRPr="005056B4">
        <w:rPr>
          <w:rFonts w:ascii="Times New Roman" w:hAnsi="Times New Roman" w:cs="Times New Roman"/>
          <w:sz w:val="24"/>
          <w:szCs w:val="24"/>
        </w:rPr>
        <w:t>, 2007).</w:t>
      </w:r>
    </w:p>
    <w:p w14:paraId="6D44E86D" w14:textId="77777777" w:rsidR="00960759" w:rsidRPr="00960759" w:rsidRDefault="00960759" w:rsidP="004C769E">
      <w:pPr>
        <w:spacing w:line="480" w:lineRule="auto"/>
        <w:jc w:val="both"/>
        <w:rPr>
          <w:rFonts w:ascii="Times New Roman" w:hAnsi="Times New Roman" w:cs="Times New Roman"/>
          <w:sz w:val="24"/>
          <w:szCs w:val="24"/>
        </w:rPr>
      </w:pPr>
      <w:r w:rsidRPr="00960759">
        <w:rPr>
          <w:rFonts w:ascii="Times New Roman" w:hAnsi="Times New Roman" w:cs="Times New Roman"/>
          <w:sz w:val="24"/>
          <w:szCs w:val="24"/>
        </w:rPr>
        <w:t xml:space="preserve">Under drought stress, AMF-treated accessions 1–5 showed a non-significant increase in petiole length during the first four weeks, followed by significant elongation from weeks 5–12 (Table 4), indicating progressive improvement in growth under water deficit. This response may be attributed to the role of AMF in nutrient cycling and root symbiosis, </w:t>
      </w:r>
      <w:r>
        <w:rPr>
          <w:rFonts w:ascii="Times New Roman" w:hAnsi="Times New Roman" w:cs="Times New Roman"/>
          <w:sz w:val="24"/>
          <w:szCs w:val="24"/>
          <w:highlight w:val="yellow"/>
        </w:rPr>
        <w:t xml:space="preserve">which enhance root </w:t>
      </w:r>
      <w:r w:rsidRPr="00960759">
        <w:rPr>
          <w:rFonts w:ascii="Times New Roman" w:hAnsi="Times New Roman" w:cs="Times New Roman"/>
          <w:sz w:val="24"/>
          <w:szCs w:val="24"/>
        </w:rPr>
        <w:t xml:space="preserve">development and plant growth (Cavagnaro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2006; Nunes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2010; Baum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2015; Begum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2019). Through extraradical hyphae, AMF expand the soil volume explored by roots and improve the acquisition of water, phosphorus, and other essential nutrients (Wu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2010), thereby supporting cellular expansion and physiological activity under drought (Begum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2019; Chandrasekaran, 2022). AMF-mediated improvements in mineral nutrition can further sustain plant growth when water and nutrient availability are restricted </w:t>
      </w:r>
      <w:r>
        <w:rPr>
          <w:rFonts w:ascii="Times New Roman" w:hAnsi="Times New Roman" w:cs="Times New Roman"/>
          <w:sz w:val="24"/>
          <w:szCs w:val="24"/>
          <w:highlight w:val="yellow"/>
        </w:rPr>
        <w:t xml:space="preserve">(Begum </w:t>
      </w:r>
      <w:r w:rsidRPr="00FA3E40">
        <w:rPr>
          <w:rFonts w:ascii="Times New Roman" w:hAnsi="Times New Roman" w:cs="Times New Roman"/>
          <w:i/>
          <w:iCs/>
          <w:sz w:val="24"/>
          <w:szCs w:val="24"/>
        </w:rPr>
        <w:t>et al</w:t>
      </w:r>
      <w:r>
        <w:rPr>
          <w:rFonts w:ascii="Times New Roman" w:hAnsi="Times New Roman" w:cs="Times New Roman"/>
          <w:sz w:val="24"/>
          <w:szCs w:val="24"/>
          <w:highlight w:val="yellow"/>
        </w:rPr>
        <w:t>., 2019)</w:t>
      </w:r>
      <w:r>
        <w:rPr>
          <w:rFonts w:ascii="Times New Roman" w:hAnsi="Times New Roman" w:cs="Times New Roman"/>
          <w:sz w:val="24"/>
          <w:szCs w:val="24"/>
        </w:rPr>
        <w:t>.</w:t>
      </w:r>
    </w:p>
    <w:p w14:paraId="07957FC2" w14:textId="77777777" w:rsidR="00960759" w:rsidRPr="00960759" w:rsidRDefault="00960759" w:rsidP="004C769E">
      <w:pPr>
        <w:spacing w:line="480" w:lineRule="auto"/>
        <w:jc w:val="both"/>
        <w:rPr>
          <w:rFonts w:ascii="Times New Roman" w:hAnsi="Times New Roman" w:cs="Times New Roman"/>
          <w:sz w:val="24"/>
          <w:szCs w:val="24"/>
        </w:rPr>
      </w:pPr>
      <w:r w:rsidRPr="00960759">
        <w:rPr>
          <w:rFonts w:ascii="Times New Roman" w:hAnsi="Times New Roman" w:cs="Times New Roman"/>
          <w:sz w:val="24"/>
          <w:szCs w:val="24"/>
        </w:rPr>
        <w:t xml:space="preserve">The sustained petiole elongation of AMF-treated plants may also reflect improved osmotic adjustment, maintenance of leaf water potential, enhanced antioxidant protection, and regulation of stress-responsive genes (Zaman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2024; Wang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2024). Notably, TVSU2 maintained petiole growth at the final sampling, suggesting greater responsiveness to AMF under drought. However, accessions 4 and 5 showed no further increase by week 13, which may indicate the onset of physiological maturity and senescence rather than continued drought-</w:t>
      </w:r>
      <w:r w:rsidRPr="00960759">
        <w:rPr>
          <w:rFonts w:ascii="Times New Roman" w:hAnsi="Times New Roman" w:cs="Times New Roman"/>
          <w:sz w:val="24"/>
          <w:szCs w:val="24"/>
        </w:rPr>
        <w:lastRenderedPageBreak/>
        <w:t xml:space="preserve">induced growth inhibition (Lim </w:t>
      </w:r>
      <w:r w:rsidRPr="00960759">
        <w:rPr>
          <w:rFonts w:ascii="Times New Roman" w:hAnsi="Times New Roman" w:cs="Times New Roman"/>
          <w:i/>
          <w:iCs/>
          <w:sz w:val="24"/>
          <w:szCs w:val="24"/>
        </w:rPr>
        <w:t>et al.</w:t>
      </w:r>
      <w:r w:rsidRPr="00960759">
        <w:rPr>
          <w:rFonts w:ascii="Times New Roman" w:hAnsi="Times New Roman" w:cs="Times New Roman"/>
          <w:sz w:val="24"/>
          <w:szCs w:val="24"/>
        </w:rPr>
        <w:t xml:space="preserve">, 2007). </w:t>
      </w:r>
      <w:r w:rsidR="00B65DE3">
        <w:rPr>
          <w:rFonts w:ascii="Times New Roman" w:hAnsi="Times New Roman" w:cs="Times New Roman"/>
          <w:sz w:val="24"/>
          <w:szCs w:val="24"/>
        </w:rPr>
        <w:t xml:space="preserve">In </w:t>
      </w:r>
      <w:r w:rsidR="00FA3E40">
        <w:rPr>
          <w:rFonts w:ascii="Times New Roman" w:hAnsi="Times New Roman" w:cs="Times New Roman"/>
          <w:sz w:val="24"/>
          <w:szCs w:val="24"/>
        </w:rPr>
        <w:t>summary</w:t>
      </w:r>
      <w:r w:rsidRPr="00960759">
        <w:rPr>
          <w:rFonts w:ascii="Times New Roman" w:hAnsi="Times New Roman" w:cs="Times New Roman"/>
          <w:sz w:val="24"/>
          <w:szCs w:val="24"/>
        </w:rPr>
        <w:t>, the results demonstrate that AMF can support sustained vegetative growth under drought, although the magnitude and duration of the response vary among </w:t>
      </w:r>
      <w:r w:rsidRPr="00960759">
        <w:rPr>
          <w:rFonts w:ascii="Times New Roman" w:hAnsi="Times New Roman" w:cs="Times New Roman"/>
          <w:i/>
          <w:iCs/>
          <w:sz w:val="24"/>
          <w:szCs w:val="24"/>
        </w:rPr>
        <w:t>Vigna subterranea</w:t>
      </w:r>
      <w:r w:rsidRPr="00960759">
        <w:rPr>
          <w:rFonts w:ascii="Times New Roman" w:hAnsi="Times New Roman" w:cs="Times New Roman"/>
          <w:sz w:val="24"/>
          <w:szCs w:val="24"/>
        </w:rPr>
        <w:t> accessions.</w:t>
      </w:r>
    </w:p>
    <w:p w14:paraId="0D52E728" w14:textId="77777777" w:rsidR="00AD67D7" w:rsidRPr="00A97AB1" w:rsidRDefault="00AD67D7" w:rsidP="004C769E">
      <w:pPr>
        <w:spacing w:line="480" w:lineRule="auto"/>
        <w:jc w:val="both"/>
        <w:rPr>
          <w:rFonts w:ascii="Times New Roman" w:eastAsiaTheme="minorEastAsia" w:hAnsi="Times New Roman" w:cs="Times New Roman"/>
          <w:bCs/>
          <w:iCs/>
          <w:sz w:val="24"/>
          <w:szCs w:val="24"/>
        </w:rPr>
      </w:pPr>
      <w:r w:rsidRPr="00A97AB1">
        <w:rPr>
          <w:rFonts w:ascii="Times New Roman" w:hAnsi="Times New Roman" w:cs="Times New Roman"/>
          <w:bCs/>
          <w:sz w:val="24"/>
          <w:szCs w:val="24"/>
        </w:rPr>
        <w:t xml:space="preserve">Table 5 shows the effect on petiole length of </w:t>
      </w:r>
      <w:r>
        <w:rPr>
          <w:rFonts w:ascii="Times New Roman" w:hAnsi="Times New Roman" w:cs="Times New Roman"/>
          <w:bCs/>
          <w:i/>
          <w:sz w:val="24"/>
          <w:szCs w:val="24"/>
          <w:highlight w:val="yellow"/>
        </w:rPr>
        <w:t xml:space="preserve">V. subterranea </w:t>
      </w:r>
      <w:r w:rsidRPr="00A97AB1">
        <w:rPr>
          <w:rFonts w:ascii="Times New Roman" w:hAnsi="Times New Roman" w:cs="Times New Roman"/>
          <w:bCs/>
          <w:sz w:val="24"/>
          <w:szCs w:val="24"/>
        </w:rPr>
        <w:t xml:space="preserve">under drought with </w:t>
      </w:r>
      <w:proofErr w:type="spellStart"/>
      <w:r w:rsidRPr="00A97AB1">
        <w:rPr>
          <w:rFonts w:ascii="Times New Roman" w:eastAsiaTheme="minorEastAsia" w:hAnsi="Times New Roman" w:cs="Times New Roman"/>
          <w:bCs/>
          <w:i/>
          <w:sz w:val="24"/>
          <w:szCs w:val="24"/>
        </w:rPr>
        <w:t>Calopogonium</w:t>
      </w:r>
      <w:proofErr w:type="spellEnd"/>
      <w:r w:rsidRPr="00A97AB1">
        <w:rPr>
          <w:rFonts w:ascii="Times New Roman" w:eastAsiaTheme="minorEastAsia" w:hAnsi="Times New Roman" w:cs="Times New Roman"/>
          <w:bCs/>
          <w:i/>
          <w:sz w:val="24"/>
          <w:szCs w:val="24"/>
        </w:rPr>
        <w:t xml:space="preserve"> </w:t>
      </w:r>
      <w:proofErr w:type="spellStart"/>
      <w:r w:rsidRPr="00A97AB1">
        <w:rPr>
          <w:rFonts w:ascii="Times New Roman" w:eastAsiaTheme="minorEastAsia" w:hAnsi="Times New Roman" w:cs="Times New Roman"/>
          <w:bCs/>
          <w:i/>
          <w:sz w:val="24"/>
          <w:szCs w:val="24"/>
        </w:rPr>
        <w:t>mucunoides</w:t>
      </w:r>
      <w:proofErr w:type="spellEnd"/>
      <w:r w:rsidRPr="00A97AB1">
        <w:rPr>
          <w:rFonts w:ascii="Times New Roman" w:eastAsiaTheme="minorEastAsia" w:hAnsi="Times New Roman" w:cs="Times New Roman"/>
          <w:bCs/>
          <w:iCs/>
          <w:sz w:val="24"/>
          <w:szCs w:val="24"/>
        </w:rPr>
        <w:t xml:space="preserve"> treatment. The continuous increase in petiole length under </w:t>
      </w:r>
      <w:proofErr w:type="spellStart"/>
      <w:r w:rsidRPr="00A97AB1">
        <w:rPr>
          <w:rFonts w:ascii="Times New Roman" w:eastAsiaTheme="minorEastAsia" w:hAnsi="Times New Roman" w:cs="Times New Roman"/>
          <w:bCs/>
          <w:i/>
          <w:iCs/>
          <w:sz w:val="24"/>
          <w:szCs w:val="24"/>
        </w:rPr>
        <w:t>Calopogonium</w:t>
      </w:r>
      <w:proofErr w:type="spellEnd"/>
      <w:r w:rsidRPr="00A97AB1">
        <w:rPr>
          <w:rFonts w:ascii="Times New Roman" w:eastAsiaTheme="minorEastAsia" w:hAnsi="Times New Roman" w:cs="Times New Roman"/>
          <w:bCs/>
          <w:i/>
          <w:iCs/>
          <w:sz w:val="24"/>
          <w:szCs w:val="24"/>
        </w:rPr>
        <w:t xml:space="preserve"> </w:t>
      </w:r>
      <w:proofErr w:type="spellStart"/>
      <w:r w:rsidRPr="00A97AB1">
        <w:rPr>
          <w:rFonts w:ascii="Times New Roman" w:eastAsiaTheme="minorEastAsia" w:hAnsi="Times New Roman" w:cs="Times New Roman"/>
          <w:bCs/>
          <w:i/>
          <w:iCs/>
          <w:sz w:val="24"/>
          <w:szCs w:val="24"/>
        </w:rPr>
        <w:t>mucunoides</w:t>
      </w:r>
      <w:proofErr w:type="spellEnd"/>
      <w:r w:rsidRPr="00A97AB1">
        <w:rPr>
          <w:rFonts w:ascii="Times New Roman" w:eastAsiaTheme="minorEastAsia" w:hAnsi="Times New Roman" w:cs="Times New Roman"/>
          <w:bCs/>
          <w:iCs/>
          <w:sz w:val="24"/>
          <w:szCs w:val="24"/>
          <w:highlight w:val="yellow"/>
        </w:rPr>
        <w:t> treatment indicates that the cover crop alleviated</w:t>
      </w:r>
      <w:r w:rsidRPr="00A97AB1">
        <w:rPr>
          <w:rFonts w:ascii="Times New Roman" w:eastAsiaTheme="minorEastAsia" w:hAnsi="Times New Roman" w:cs="Times New Roman"/>
          <w:bCs/>
          <w:iCs/>
          <w:sz w:val="24"/>
          <w:szCs w:val="24"/>
        </w:rPr>
        <w:t xml:space="preserve"> drought-induced growth suppression by conserving soil moisture, reducing evaporation, moderating soil temperature, and improving organic matter dynamics (Blanco-Canqui </w:t>
      </w:r>
      <w:r w:rsidRPr="00A97AB1">
        <w:rPr>
          <w:rFonts w:ascii="Times New Roman" w:eastAsiaTheme="minorEastAsia" w:hAnsi="Times New Roman" w:cs="Times New Roman"/>
          <w:bCs/>
          <w:i/>
          <w:iCs/>
          <w:sz w:val="24"/>
          <w:szCs w:val="24"/>
        </w:rPr>
        <w:t>et al.</w:t>
      </w:r>
      <w:r w:rsidRPr="00A97AB1">
        <w:rPr>
          <w:rFonts w:ascii="Times New Roman" w:eastAsiaTheme="minorEastAsia" w:hAnsi="Times New Roman" w:cs="Times New Roman"/>
          <w:bCs/>
          <w:iCs/>
          <w:sz w:val="24"/>
          <w:szCs w:val="24"/>
        </w:rPr>
        <w:t xml:space="preserve">, 2015; Lal, 2020). TVSU5 showed the strongest response, followed by TVSU4 and TVSU2, suggesting greater ability to </w:t>
      </w:r>
      <w:r>
        <w:rPr>
          <w:rFonts w:ascii="Times New Roman" w:eastAsiaTheme="minorEastAsia" w:hAnsi="Times New Roman" w:cs="Times New Roman"/>
          <w:bCs/>
          <w:iCs/>
          <w:sz w:val="24"/>
          <w:szCs w:val="24"/>
          <w:highlight w:val="yellow"/>
        </w:rPr>
        <w:t>utilise</w:t>
      </w:r>
      <w:r>
        <w:rPr>
          <w:rFonts w:ascii="Times New Roman" w:eastAsiaTheme="minorEastAsia" w:hAnsi="Times New Roman" w:cs="Times New Roman"/>
          <w:bCs/>
          <w:iCs/>
          <w:sz w:val="24"/>
          <w:szCs w:val="24"/>
        </w:rPr>
        <w:t xml:space="preserve"> improved moisture and nutrient availability. The increased petiole length may have further enhanced leaf orientation, light interception, and carbon assimilation, supporting continued growth under drought (</w:t>
      </w:r>
      <w:proofErr w:type="spellStart"/>
      <w:r w:rsidRPr="00A97AB1">
        <w:rPr>
          <w:rFonts w:ascii="Times New Roman" w:eastAsiaTheme="minorEastAsia" w:hAnsi="Times New Roman" w:cs="Times New Roman"/>
          <w:bCs/>
          <w:iCs/>
          <w:sz w:val="24"/>
          <w:szCs w:val="24"/>
        </w:rPr>
        <w:t>Mabhaudhi</w:t>
      </w:r>
      <w:proofErr w:type="spellEnd"/>
      <w:r w:rsidRPr="00A97AB1">
        <w:rPr>
          <w:rFonts w:ascii="Times New Roman" w:eastAsiaTheme="minorEastAsia" w:hAnsi="Times New Roman" w:cs="Times New Roman"/>
          <w:bCs/>
          <w:iCs/>
          <w:sz w:val="24"/>
          <w:szCs w:val="24"/>
        </w:rPr>
        <w:t xml:space="preserve"> </w:t>
      </w:r>
      <w:r w:rsidRPr="00A97AB1">
        <w:rPr>
          <w:rFonts w:ascii="Times New Roman" w:eastAsiaTheme="minorEastAsia" w:hAnsi="Times New Roman" w:cs="Times New Roman"/>
          <w:bCs/>
          <w:i/>
          <w:iCs/>
          <w:sz w:val="24"/>
          <w:szCs w:val="24"/>
        </w:rPr>
        <w:t>et al.</w:t>
      </w:r>
      <w:r w:rsidRPr="00A97AB1">
        <w:rPr>
          <w:rFonts w:ascii="Times New Roman" w:eastAsiaTheme="minorEastAsia" w:hAnsi="Times New Roman" w:cs="Times New Roman"/>
          <w:bCs/>
          <w:iCs/>
          <w:sz w:val="24"/>
          <w:szCs w:val="24"/>
        </w:rPr>
        <w:t>, 2018).</w:t>
      </w:r>
    </w:p>
    <w:p w14:paraId="407AAD6B" w14:textId="77777777" w:rsidR="00AD67D7" w:rsidRPr="00B40F8B" w:rsidRDefault="00AD67D7" w:rsidP="004C769E">
      <w:pPr>
        <w:spacing w:after="0" w:line="480" w:lineRule="auto"/>
        <w:jc w:val="both"/>
        <w:rPr>
          <w:rFonts w:ascii="Times New Roman" w:eastAsiaTheme="minorEastAsia" w:hAnsi="Times New Roman" w:cs="Times New Roman"/>
          <w:bCs/>
          <w:iCs/>
          <w:sz w:val="24"/>
          <w:szCs w:val="24"/>
        </w:rPr>
      </w:pPr>
      <w:r w:rsidRPr="00A97AB1">
        <w:rPr>
          <w:rFonts w:ascii="Times New Roman" w:eastAsiaTheme="minorEastAsia" w:hAnsi="Times New Roman" w:cs="Times New Roman"/>
          <w:bCs/>
          <w:iCs/>
          <w:sz w:val="24"/>
          <w:szCs w:val="24"/>
          <w:highlight w:val="yellow"/>
        </w:rPr>
        <w:t xml:space="preserve">All accessions under T2 showed greater petiole elongation at maturity than the drought control (C2), indicating that the benefits of </w:t>
      </w:r>
      <w:r w:rsidRPr="00A97AB1">
        <w:rPr>
          <w:rFonts w:ascii="Times New Roman" w:eastAsiaTheme="minorEastAsia" w:hAnsi="Times New Roman" w:cs="Times New Roman"/>
          <w:bCs/>
          <w:i/>
          <w:iCs/>
          <w:sz w:val="24"/>
          <w:szCs w:val="24"/>
        </w:rPr>
        <w:t xml:space="preserve">C. </w:t>
      </w:r>
      <w:proofErr w:type="spellStart"/>
      <w:r w:rsidRPr="00A97AB1">
        <w:rPr>
          <w:rFonts w:ascii="Times New Roman" w:eastAsiaTheme="minorEastAsia" w:hAnsi="Times New Roman" w:cs="Times New Roman"/>
          <w:bCs/>
          <w:i/>
          <w:iCs/>
          <w:sz w:val="24"/>
          <w:szCs w:val="24"/>
        </w:rPr>
        <w:t>mucunoides</w:t>
      </w:r>
      <w:proofErr w:type="spellEnd"/>
      <w:r w:rsidRPr="00A97AB1">
        <w:rPr>
          <w:rFonts w:ascii="Times New Roman" w:eastAsiaTheme="minorEastAsia" w:hAnsi="Times New Roman" w:cs="Times New Roman"/>
          <w:bCs/>
          <w:iCs/>
          <w:sz w:val="24"/>
          <w:szCs w:val="24"/>
          <w:highlight w:val="yellow"/>
        </w:rPr>
        <w:t xml:space="preserve"> extended beyond moisture conservation. Residue decomposition may have improved soil organic matter, microbial activity, nutrient cycling, soil structure, and root-mediated water and nutrient uptake (Lal, 2020; Blanco-Canqui </w:t>
      </w:r>
      <w:r w:rsidRPr="00A97AB1">
        <w:rPr>
          <w:rFonts w:ascii="Times New Roman" w:eastAsiaTheme="minorEastAsia" w:hAnsi="Times New Roman" w:cs="Times New Roman"/>
          <w:bCs/>
          <w:i/>
          <w:iCs/>
          <w:sz w:val="24"/>
          <w:szCs w:val="24"/>
          <w:highlight w:val="yellow"/>
        </w:rPr>
        <w:t>et al.</w:t>
      </w:r>
      <w:r w:rsidRPr="00A97AB1">
        <w:rPr>
          <w:rFonts w:ascii="Times New Roman" w:eastAsiaTheme="minorEastAsia" w:hAnsi="Times New Roman" w:cs="Times New Roman"/>
          <w:bCs/>
          <w:iCs/>
          <w:sz w:val="24"/>
          <w:szCs w:val="24"/>
          <w:highlight w:val="yellow"/>
        </w:rPr>
        <w:t>, 2015</w:t>
      </w:r>
      <w:r w:rsidRPr="00A97AB1">
        <w:rPr>
          <w:rFonts w:ascii="Times New Roman" w:eastAsiaTheme="minorEastAsia" w:hAnsi="Times New Roman" w:cs="Times New Roman"/>
          <w:bCs/>
          <w:iCs/>
          <w:sz w:val="24"/>
          <w:szCs w:val="24"/>
        </w:rPr>
        <w:t xml:space="preserve">). The absence of premature senescence further suggests sustained physiological activity through improved hydration, delayed chlorophyll degradation, reduced oxidative damage, and maintenance of photosynthesis and assimilate translocation (Wang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xml:space="preserve">., 2024; Gupta </w:t>
      </w:r>
      <w:r w:rsidRPr="00A97AB1">
        <w:rPr>
          <w:rFonts w:ascii="Times New Roman" w:eastAsiaTheme="minorEastAsia" w:hAnsi="Times New Roman" w:cs="Times New Roman"/>
          <w:bCs/>
          <w:i/>
          <w:iCs/>
          <w:sz w:val="24"/>
          <w:szCs w:val="24"/>
        </w:rPr>
        <w:t>et al.</w:t>
      </w:r>
      <w:r w:rsidRPr="00A97AB1">
        <w:rPr>
          <w:rFonts w:ascii="Times New Roman" w:eastAsiaTheme="minorEastAsia" w:hAnsi="Times New Roman" w:cs="Times New Roman"/>
          <w:bCs/>
          <w:iCs/>
          <w:sz w:val="24"/>
          <w:szCs w:val="24"/>
        </w:rPr>
        <w:t>, 2020</w:t>
      </w:r>
      <w:r w:rsidRPr="00A97AB1">
        <w:rPr>
          <w:rFonts w:ascii="Times New Roman" w:eastAsiaTheme="minorEastAsia" w:hAnsi="Times New Roman" w:cs="Times New Roman"/>
          <w:bCs/>
          <w:iCs/>
          <w:sz w:val="24"/>
          <w:szCs w:val="24"/>
          <w:highlight w:val="yellow"/>
        </w:rPr>
        <w:t>). Overall, </w:t>
      </w:r>
      <w:r w:rsidRPr="00A97AB1">
        <w:rPr>
          <w:rFonts w:ascii="Times New Roman" w:eastAsiaTheme="minorEastAsia" w:hAnsi="Times New Roman" w:cs="Times New Roman"/>
          <w:bCs/>
          <w:i/>
          <w:iCs/>
          <w:sz w:val="24"/>
          <w:szCs w:val="24"/>
        </w:rPr>
        <w:t xml:space="preserve">C. </w:t>
      </w:r>
      <w:proofErr w:type="spellStart"/>
      <w:r w:rsidRPr="00A97AB1">
        <w:rPr>
          <w:rFonts w:ascii="Times New Roman" w:eastAsiaTheme="minorEastAsia" w:hAnsi="Times New Roman" w:cs="Times New Roman"/>
          <w:bCs/>
          <w:i/>
          <w:iCs/>
          <w:sz w:val="24"/>
          <w:szCs w:val="24"/>
        </w:rPr>
        <w:t>mucunoides</w:t>
      </w:r>
      <w:proofErr w:type="spellEnd"/>
      <w:r w:rsidRPr="00A97AB1">
        <w:rPr>
          <w:rFonts w:ascii="Times New Roman" w:eastAsiaTheme="minorEastAsia" w:hAnsi="Times New Roman" w:cs="Times New Roman"/>
          <w:bCs/>
          <w:iCs/>
          <w:sz w:val="24"/>
          <w:szCs w:val="24"/>
        </w:rPr>
        <w:t> reduced drought-induced inhibition of petiole growth, with TVSU5 showing the greatest adaptability, supporting the potential of combining cover cropping with drought-adapted Bambara</w:t>
      </w:r>
      <w:r w:rsidRPr="00B40F8B">
        <w:rPr>
          <w:rFonts w:ascii="Times New Roman" w:eastAsiaTheme="minorEastAsia" w:hAnsi="Times New Roman" w:cs="Times New Roman"/>
          <w:bCs/>
          <w:iCs/>
          <w:sz w:val="24"/>
          <w:szCs w:val="24"/>
        </w:rPr>
        <w:t xml:space="preserve"> groundnut accessions for improved performance under water-limited conditions.</w:t>
      </w:r>
    </w:p>
    <w:p w14:paraId="3D5BAB14" w14:textId="77777777" w:rsidR="00D837E1" w:rsidRDefault="00D837E1" w:rsidP="004C769E">
      <w:pPr>
        <w:spacing w:after="0" w:line="480" w:lineRule="auto"/>
        <w:jc w:val="both"/>
        <w:rPr>
          <w:rFonts w:ascii="Times New Roman" w:eastAsiaTheme="minorEastAsia" w:hAnsi="Times New Roman" w:cs="Times New Roman"/>
          <w:iCs/>
          <w:kern w:val="0"/>
          <w:sz w:val="24"/>
          <w:szCs w:val="24"/>
          <w14:ligatures w14:val="none"/>
        </w:rPr>
      </w:pPr>
    </w:p>
    <w:p w14:paraId="00BEE381" w14:textId="77777777" w:rsidR="00E1757D" w:rsidRPr="004D4157" w:rsidRDefault="00E1757D" w:rsidP="004C769E">
      <w:pPr>
        <w:spacing w:after="0" w:line="480" w:lineRule="auto"/>
        <w:jc w:val="both"/>
        <w:rPr>
          <w:rFonts w:ascii="Times New Roman" w:eastAsiaTheme="minorEastAsia" w:hAnsi="Times New Roman" w:cs="Times New Roman"/>
          <w:b/>
          <w:bCs/>
          <w:iCs/>
          <w:kern w:val="0"/>
          <w:sz w:val="24"/>
          <w:szCs w:val="24"/>
          <w14:ligatures w14:val="none"/>
        </w:rPr>
      </w:pPr>
      <w:r>
        <w:rPr>
          <w:rFonts w:ascii="Times New Roman" w:eastAsiaTheme="minorEastAsia" w:hAnsi="Times New Roman" w:cs="Times New Roman"/>
          <w:iCs/>
          <w:kern w:val="0"/>
          <w:sz w:val="24"/>
          <w:szCs w:val="24"/>
          <w:highlight w:val="yellow"/>
          <w14:ligatures w14:val="none"/>
        </w:rPr>
        <w:lastRenderedPageBreak/>
        <w:t>Table 6</w:t>
      </w:r>
      <w:r>
        <w:rPr>
          <w:rFonts w:ascii="Times New Roman" w:eastAsiaTheme="minorEastAsia" w:hAnsi="Times New Roman" w:cs="Times New Roman"/>
          <w:iCs/>
          <w:kern w:val="0"/>
          <w:sz w:val="24"/>
          <w:szCs w:val="24"/>
          <w14:ligatures w14:val="none"/>
        </w:rPr>
        <w:t xml:space="preserve"> presents the effect of combined arbuscular mycorrhizal fungi (AMF) and </w:t>
      </w:r>
      <w:proofErr w:type="spellStart"/>
      <w:r w:rsidRPr="00E1757D">
        <w:rPr>
          <w:rFonts w:ascii="Times New Roman" w:eastAsiaTheme="minorEastAsia" w:hAnsi="Times New Roman" w:cs="Times New Roman"/>
          <w:i/>
          <w:iCs/>
          <w:kern w:val="0"/>
          <w:sz w:val="24"/>
          <w:szCs w:val="24"/>
          <w14:ligatures w14:val="none"/>
        </w:rPr>
        <w:t>Calopogonium</w:t>
      </w:r>
      <w:proofErr w:type="spellEnd"/>
      <w:r w:rsidRPr="00E1757D">
        <w:rPr>
          <w:rFonts w:ascii="Times New Roman" w:eastAsiaTheme="minorEastAsia" w:hAnsi="Times New Roman" w:cs="Times New Roman"/>
          <w:i/>
          <w:iCs/>
          <w:kern w:val="0"/>
          <w:sz w:val="24"/>
          <w:szCs w:val="24"/>
          <w14:ligatures w14:val="none"/>
        </w:rPr>
        <w:t xml:space="preserve"> </w:t>
      </w:r>
      <w:proofErr w:type="spellStart"/>
      <w:r w:rsidRPr="00E1757D">
        <w:rPr>
          <w:rFonts w:ascii="Times New Roman" w:eastAsiaTheme="minorEastAsia" w:hAnsi="Times New Roman" w:cs="Times New Roman"/>
          <w:i/>
          <w:iCs/>
          <w:kern w:val="0"/>
          <w:sz w:val="24"/>
          <w:szCs w:val="24"/>
          <w14:ligatures w14:val="none"/>
        </w:rPr>
        <w:t>mucunoides</w:t>
      </w:r>
      <w:proofErr w:type="spellEnd"/>
      <w:r w:rsidRPr="00E1757D">
        <w:rPr>
          <w:rFonts w:ascii="Times New Roman" w:eastAsiaTheme="minorEastAsia" w:hAnsi="Times New Roman" w:cs="Times New Roman"/>
          <w:iCs/>
          <w:kern w:val="0"/>
          <w:sz w:val="24"/>
          <w:szCs w:val="24"/>
          <w14:ligatures w14:val="none"/>
        </w:rPr>
        <w:t> treatment on petiole length of </w:t>
      </w:r>
      <w:r w:rsidRPr="00E1757D">
        <w:rPr>
          <w:rFonts w:ascii="Times New Roman" w:eastAsiaTheme="minorEastAsia" w:hAnsi="Times New Roman" w:cs="Times New Roman"/>
          <w:i/>
          <w:iCs/>
          <w:kern w:val="0"/>
          <w:sz w:val="24"/>
          <w:szCs w:val="24"/>
          <w14:ligatures w14:val="none"/>
        </w:rPr>
        <w:t>Vigna subterranea</w:t>
      </w:r>
      <w:r w:rsidRPr="00E1757D">
        <w:rPr>
          <w:rFonts w:ascii="Times New Roman" w:eastAsiaTheme="minorEastAsia" w:hAnsi="Times New Roman" w:cs="Times New Roman"/>
          <w:iCs/>
          <w:kern w:val="0"/>
          <w:sz w:val="24"/>
          <w:szCs w:val="24"/>
          <w14:ligatures w14:val="none"/>
        </w:rPr>
        <w:t> under drought stress. Significant petiole elongation was observed across the accessions from week 5, indicating that the combined treatment progressively alleviated drought-induced growth inhibition. The particularly strong responses of TVSU4 and TVSU5 suggest complementary effects of </w:t>
      </w:r>
      <w:r w:rsidRPr="00E1757D">
        <w:rPr>
          <w:rFonts w:ascii="Times New Roman" w:eastAsiaTheme="minorEastAsia" w:hAnsi="Times New Roman" w:cs="Times New Roman"/>
          <w:i/>
          <w:iCs/>
          <w:kern w:val="0"/>
          <w:sz w:val="24"/>
          <w:szCs w:val="24"/>
          <w14:ligatures w14:val="none"/>
        </w:rPr>
        <w:t xml:space="preserve">C. </w:t>
      </w:r>
      <w:proofErr w:type="spellStart"/>
      <w:r w:rsidRPr="00E1757D">
        <w:rPr>
          <w:rFonts w:ascii="Times New Roman" w:eastAsiaTheme="minorEastAsia" w:hAnsi="Times New Roman" w:cs="Times New Roman"/>
          <w:i/>
          <w:iCs/>
          <w:kern w:val="0"/>
          <w:sz w:val="24"/>
          <w:szCs w:val="24"/>
          <w14:ligatures w14:val="none"/>
        </w:rPr>
        <w:t>mucunoides</w:t>
      </w:r>
      <w:proofErr w:type="spellEnd"/>
      <w:r w:rsidRPr="00E1757D">
        <w:rPr>
          <w:rFonts w:ascii="Times New Roman" w:eastAsiaTheme="minorEastAsia" w:hAnsi="Times New Roman" w:cs="Times New Roman"/>
          <w:iCs/>
          <w:kern w:val="0"/>
          <w:sz w:val="24"/>
          <w:szCs w:val="24"/>
          <w14:ligatures w14:val="none"/>
        </w:rPr>
        <w:t xml:space="preserve"> and AMF in improving soil moisture conservation, nutrient acquisition, root hydraulic function, and photosynthetic performance (Zaman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2024; Chandrasekaran, 2022). </w:t>
      </w:r>
    </w:p>
    <w:p w14:paraId="362A790C" w14:textId="77777777" w:rsidR="00E1757D" w:rsidRPr="00E1757D" w:rsidRDefault="00E1757D" w:rsidP="004C769E">
      <w:pPr>
        <w:spacing w:after="0" w:line="480" w:lineRule="auto"/>
        <w:jc w:val="both"/>
        <w:rPr>
          <w:rFonts w:ascii="Times New Roman" w:eastAsiaTheme="minorEastAsia" w:hAnsi="Times New Roman" w:cs="Times New Roman"/>
          <w:iCs/>
          <w:kern w:val="0"/>
          <w:sz w:val="24"/>
          <w:szCs w:val="24"/>
          <w14:ligatures w14:val="none"/>
        </w:rPr>
      </w:pPr>
      <w:r w:rsidRPr="00E1757D">
        <w:rPr>
          <w:rFonts w:ascii="Times New Roman" w:eastAsiaTheme="minorEastAsia" w:hAnsi="Times New Roman" w:cs="Times New Roman"/>
          <w:iCs/>
          <w:kern w:val="0"/>
          <w:sz w:val="24"/>
          <w:szCs w:val="24"/>
          <w14:ligatures w14:val="none"/>
        </w:rPr>
        <w:t xml:space="preserve">In contrast, TVSU2 showed no petiole development throughout the experimental period, indicating limited responsiveness to the combined treatment. This may be related to poor establishment, ineffective AMF colonization, host–fungus incompatibility, or inherent physiological limitations. Such accession-level variation is consistent with evidence that AMF establishment and effectiveness are strongly influenced by host genotype (Smith &amp; Read, 2008; Cheng </w:t>
      </w:r>
      <w:r w:rsidRPr="00E1757D">
        <w:rPr>
          <w:rFonts w:ascii="Times New Roman" w:eastAsiaTheme="minorEastAsia" w:hAnsi="Times New Roman" w:cs="Times New Roman"/>
          <w:i/>
          <w:iCs/>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2021). Compared with the drought control (C2), T3 markedly improved petiole growth in responsive accessions, particularly TVSU4 and TVSU5, potentially through improved osmotic adjustment, maintenance of leaf water status, antioxidant protection, and physiological resilience (Gupta </w:t>
      </w:r>
      <w:r w:rsidRPr="00E1757D">
        <w:rPr>
          <w:rFonts w:ascii="Times New Roman" w:eastAsiaTheme="minorEastAsia" w:hAnsi="Times New Roman" w:cs="Times New Roman"/>
          <w:i/>
          <w:iCs/>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2020; Wang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2024). </w:t>
      </w:r>
      <w:r>
        <w:rPr>
          <w:rFonts w:ascii="Times New Roman" w:eastAsiaTheme="minorEastAsia" w:hAnsi="Times New Roman" w:cs="Times New Roman"/>
          <w:iCs/>
          <w:kern w:val="0"/>
          <w:sz w:val="24"/>
          <w:szCs w:val="24"/>
          <w:highlight w:val="yellow"/>
          <w14:ligatures w14:val="none"/>
        </w:rPr>
        <w:t>Overall</w:t>
      </w:r>
      <w:r w:rsidRPr="00E1757D">
        <w:rPr>
          <w:rFonts w:ascii="Times New Roman" w:eastAsiaTheme="minorEastAsia" w:hAnsi="Times New Roman" w:cs="Times New Roman"/>
          <w:iCs/>
          <w:kern w:val="0"/>
          <w:sz w:val="24"/>
          <w:szCs w:val="24"/>
          <w14:ligatures w14:val="none"/>
        </w:rPr>
        <w:t>, the findings demonstrate that integrating </w:t>
      </w:r>
      <w:r w:rsidRPr="00E1757D">
        <w:rPr>
          <w:rFonts w:ascii="Times New Roman" w:eastAsiaTheme="minorEastAsia" w:hAnsi="Times New Roman" w:cs="Times New Roman"/>
          <w:i/>
          <w:iCs/>
          <w:kern w:val="0"/>
          <w:sz w:val="24"/>
          <w:szCs w:val="24"/>
          <w14:ligatures w14:val="none"/>
        </w:rPr>
        <w:t xml:space="preserve">C. </w:t>
      </w:r>
      <w:proofErr w:type="spellStart"/>
      <w:r w:rsidRPr="00E1757D">
        <w:rPr>
          <w:rFonts w:ascii="Times New Roman" w:eastAsiaTheme="minorEastAsia" w:hAnsi="Times New Roman" w:cs="Times New Roman"/>
          <w:i/>
          <w:iCs/>
          <w:kern w:val="0"/>
          <w:sz w:val="24"/>
          <w:szCs w:val="24"/>
          <w14:ligatures w14:val="none"/>
        </w:rPr>
        <w:t>mucunoides</w:t>
      </w:r>
      <w:proofErr w:type="spellEnd"/>
      <w:r w:rsidRPr="00E1757D">
        <w:rPr>
          <w:rFonts w:ascii="Times New Roman" w:eastAsiaTheme="minorEastAsia" w:hAnsi="Times New Roman" w:cs="Times New Roman"/>
          <w:iCs/>
          <w:kern w:val="0"/>
          <w:sz w:val="24"/>
          <w:szCs w:val="24"/>
          <w14:ligatures w14:val="none"/>
        </w:rPr>
        <w:t> with AMF can enhance vegetative growth and drought resilience in </w:t>
      </w:r>
      <w:r w:rsidRPr="00E1757D">
        <w:rPr>
          <w:rFonts w:ascii="Times New Roman" w:eastAsiaTheme="minorEastAsia" w:hAnsi="Times New Roman" w:cs="Times New Roman"/>
          <w:i/>
          <w:iCs/>
          <w:kern w:val="0"/>
          <w:sz w:val="24"/>
          <w:szCs w:val="24"/>
          <w14:ligatures w14:val="none"/>
        </w:rPr>
        <w:t>V. subterranea</w:t>
      </w:r>
      <w:r w:rsidRPr="00E1757D">
        <w:rPr>
          <w:rFonts w:ascii="Times New Roman" w:eastAsiaTheme="minorEastAsia" w:hAnsi="Times New Roman" w:cs="Times New Roman"/>
          <w:iCs/>
          <w:kern w:val="0"/>
          <w:sz w:val="24"/>
          <w:szCs w:val="24"/>
          <w14:ligatures w14:val="none"/>
        </w:rPr>
        <w:t>, although the magnitude of the response is strongly accession-dependent.</w:t>
      </w:r>
    </w:p>
    <w:p w14:paraId="16728925" w14:textId="77777777" w:rsidR="007D5F0A" w:rsidRDefault="007D5F0A" w:rsidP="004C769E">
      <w:pPr>
        <w:spacing w:after="0" w:line="480" w:lineRule="auto"/>
        <w:jc w:val="both"/>
        <w:rPr>
          <w:rFonts w:ascii="Times New Roman" w:eastAsiaTheme="minorEastAsia" w:hAnsi="Times New Roman" w:cs="Times New Roman"/>
          <w:iCs/>
          <w:sz w:val="24"/>
          <w:szCs w:val="24"/>
        </w:rPr>
      </w:pPr>
    </w:p>
    <w:p w14:paraId="43040FD5" w14:textId="77777777" w:rsidR="007D5F0A" w:rsidRPr="00D837E1" w:rsidRDefault="00E1757D" w:rsidP="004C769E">
      <w:pPr>
        <w:spacing w:after="0" w:line="480" w:lineRule="auto"/>
        <w:jc w:val="both"/>
        <w:rPr>
          <w:rFonts w:ascii="Times New Roman" w:eastAsiaTheme="minorEastAsia" w:hAnsi="Times New Roman" w:cs="Times New Roman"/>
          <w:b/>
          <w:bCs/>
          <w:iCs/>
          <w:sz w:val="24"/>
          <w:szCs w:val="24"/>
        </w:rPr>
      </w:pPr>
      <w:r w:rsidRPr="00D837E1">
        <w:rPr>
          <w:rFonts w:ascii="Times New Roman" w:eastAsiaTheme="minorEastAsia" w:hAnsi="Times New Roman" w:cs="Times New Roman"/>
          <w:b/>
          <w:bCs/>
          <w:iCs/>
          <w:sz w:val="24"/>
          <w:szCs w:val="24"/>
        </w:rPr>
        <w:t>Conclusion</w:t>
      </w:r>
    </w:p>
    <w:p w14:paraId="0DE02B7C" w14:textId="77777777" w:rsidR="008457BA" w:rsidRDefault="00E1757D" w:rsidP="004C769E">
      <w:pPr>
        <w:spacing w:after="0" w:line="480" w:lineRule="auto"/>
        <w:jc w:val="both"/>
        <w:rPr>
          <w:rFonts w:ascii="Times New Roman" w:eastAsiaTheme="minorEastAsia" w:hAnsi="Times New Roman" w:cs="Times New Roman"/>
          <w:iCs/>
          <w:sz w:val="24"/>
          <w:szCs w:val="24"/>
        </w:rPr>
      </w:pPr>
      <w:r w:rsidRPr="00E1757D">
        <w:rPr>
          <w:rFonts w:ascii="Times New Roman" w:eastAsiaTheme="minorEastAsia" w:hAnsi="Times New Roman" w:cs="Times New Roman"/>
          <w:iCs/>
          <w:sz w:val="24"/>
          <w:szCs w:val="24"/>
        </w:rPr>
        <w:t>The findings demonstrate that drought stress substantially influences germination and vegetative growth of </w:t>
      </w:r>
      <w:r w:rsidRPr="00E1757D">
        <w:rPr>
          <w:rFonts w:ascii="Times New Roman" w:eastAsiaTheme="minorEastAsia" w:hAnsi="Times New Roman" w:cs="Times New Roman"/>
          <w:i/>
          <w:iCs/>
          <w:sz w:val="24"/>
          <w:szCs w:val="24"/>
        </w:rPr>
        <w:t>Vigna subterranea</w:t>
      </w:r>
      <w:r>
        <w:rPr>
          <w:rFonts w:ascii="Times New Roman" w:eastAsiaTheme="minorEastAsia" w:hAnsi="Times New Roman" w:cs="Times New Roman"/>
          <w:iCs/>
          <w:sz w:val="24"/>
          <w:szCs w:val="24"/>
          <w:highlight w:val="yellow"/>
        </w:rPr>
        <w:t>, with the magnitude of the response varying among accessions.</w:t>
      </w:r>
      <w:r w:rsidR="008457BA">
        <w:rPr>
          <w:rFonts w:ascii="Times New Roman" w:eastAsiaTheme="minorEastAsia" w:hAnsi="Times New Roman" w:cs="Times New Roman"/>
          <w:iCs/>
          <w:sz w:val="24"/>
          <w:szCs w:val="24"/>
        </w:rPr>
        <w:t xml:space="preserve"> </w:t>
      </w:r>
      <w:r w:rsidRPr="00E1757D">
        <w:rPr>
          <w:rFonts w:ascii="Times New Roman" w:eastAsiaTheme="minorEastAsia" w:hAnsi="Times New Roman" w:cs="Times New Roman"/>
          <w:iCs/>
          <w:sz w:val="24"/>
          <w:szCs w:val="24"/>
        </w:rPr>
        <w:t xml:space="preserve">The sandy, acidic soil with low water-holding capacity </w:t>
      </w:r>
      <w:r w:rsidRPr="00E1757D">
        <w:rPr>
          <w:rFonts w:ascii="Times New Roman" w:eastAsiaTheme="minorEastAsia" w:hAnsi="Times New Roman" w:cs="Times New Roman"/>
          <w:iCs/>
          <w:sz w:val="24"/>
          <w:szCs w:val="24"/>
        </w:rPr>
        <w:lastRenderedPageBreak/>
        <w:t>provided conditions conducive to drought stress</w:t>
      </w:r>
      <w:r>
        <w:rPr>
          <w:rFonts w:ascii="Times New Roman" w:eastAsiaTheme="minorEastAsia" w:hAnsi="Times New Roman" w:cs="Times New Roman"/>
          <w:iCs/>
          <w:sz w:val="24"/>
          <w:szCs w:val="24"/>
          <w:highlight w:val="yellow"/>
        </w:rPr>
        <w:t>, with w</w:t>
      </w:r>
      <w:r w:rsidRPr="00E1757D">
        <w:rPr>
          <w:rFonts w:ascii="Times New Roman" w:eastAsiaTheme="minorEastAsia" w:hAnsi="Times New Roman" w:cs="Times New Roman"/>
          <w:iCs/>
          <w:sz w:val="24"/>
          <w:szCs w:val="24"/>
        </w:rPr>
        <w:t xml:space="preserve">ater deficit </w:t>
      </w:r>
      <w:r>
        <w:rPr>
          <w:rFonts w:ascii="Times New Roman" w:eastAsiaTheme="minorEastAsia" w:hAnsi="Times New Roman" w:cs="Times New Roman"/>
          <w:iCs/>
          <w:sz w:val="24"/>
          <w:szCs w:val="24"/>
          <w:highlight w:val="yellow"/>
        </w:rPr>
        <w:t xml:space="preserve">implicated as the principal stress factor. </w:t>
      </w:r>
    </w:p>
    <w:p w14:paraId="6BF0E400" w14:textId="77777777" w:rsidR="00E1757D" w:rsidRPr="00E1757D" w:rsidRDefault="00E1757D" w:rsidP="004C769E">
      <w:pPr>
        <w:spacing w:after="0" w:line="480" w:lineRule="auto"/>
        <w:jc w:val="both"/>
        <w:rPr>
          <w:rFonts w:ascii="Times New Roman" w:eastAsiaTheme="minorEastAsia" w:hAnsi="Times New Roman" w:cs="Times New Roman"/>
          <w:iCs/>
          <w:sz w:val="24"/>
          <w:szCs w:val="24"/>
        </w:rPr>
      </w:pPr>
      <w:r w:rsidRPr="00E1757D">
        <w:rPr>
          <w:rFonts w:ascii="Times New Roman" w:eastAsiaTheme="minorEastAsia" w:hAnsi="Times New Roman" w:cs="Times New Roman"/>
          <w:iCs/>
          <w:sz w:val="24"/>
          <w:szCs w:val="24"/>
        </w:rPr>
        <w:t>Biological treatments, particularly AMF and </w:t>
      </w:r>
      <w:proofErr w:type="spellStart"/>
      <w:r w:rsidRPr="00E1757D">
        <w:rPr>
          <w:rFonts w:ascii="Times New Roman" w:eastAsiaTheme="minorEastAsia" w:hAnsi="Times New Roman" w:cs="Times New Roman"/>
          <w:i/>
          <w:iCs/>
          <w:sz w:val="24"/>
          <w:szCs w:val="24"/>
        </w:rPr>
        <w:t>Calopogonium</w:t>
      </w:r>
      <w:proofErr w:type="spellEnd"/>
      <w:r w:rsidRPr="00E1757D">
        <w:rPr>
          <w:rFonts w:ascii="Times New Roman" w:eastAsiaTheme="minorEastAsia" w:hAnsi="Times New Roman" w:cs="Times New Roman"/>
          <w:i/>
          <w:iCs/>
          <w:sz w:val="24"/>
          <w:szCs w:val="24"/>
        </w:rPr>
        <w:t xml:space="preserve">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improved plant performance by enhancing water and nutrient acquisition, soil moisture conservation, and physiological resilience. The combined AMF + </w:t>
      </w:r>
      <w:r w:rsidRPr="00E1757D">
        <w:rPr>
          <w:rFonts w:ascii="Times New Roman" w:eastAsiaTheme="minorEastAsia" w:hAnsi="Times New Roman" w:cs="Times New Roman"/>
          <w:i/>
          <w:iCs/>
          <w:sz w:val="24"/>
          <w:szCs w:val="24"/>
        </w:rPr>
        <w:t xml:space="preserve">C.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treatment produced the most pronounced improvement in petiole elongation and germination in responsive accessions, indicating complementary effects of improved soil conditions and mycorrhizal symbiosis.</w:t>
      </w:r>
    </w:p>
    <w:p w14:paraId="1367B76F" w14:textId="2ECC8EEC" w:rsidR="00E1757D" w:rsidRDefault="00E1757D" w:rsidP="004C769E">
      <w:pPr>
        <w:spacing w:after="0" w:line="480" w:lineRule="auto"/>
        <w:jc w:val="both"/>
        <w:rPr>
          <w:rFonts w:ascii="Times New Roman" w:eastAsiaTheme="minorEastAsia" w:hAnsi="Times New Roman" w:cs="Times New Roman"/>
          <w:iCs/>
          <w:sz w:val="24"/>
          <w:szCs w:val="24"/>
        </w:rPr>
      </w:pPr>
      <w:r w:rsidRPr="00E1757D">
        <w:rPr>
          <w:rFonts w:ascii="Times New Roman" w:eastAsiaTheme="minorEastAsia" w:hAnsi="Times New Roman" w:cs="Times New Roman"/>
          <w:iCs/>
          <w:sz w:val="24"/>
          <w:szCs w:val="24"/>
        </w:rPr>
        <w:t>Considerable accession-dependent variation was observed, highlighting the genetic basis of drought adaptation and responsiveness to biological treatments. TVSU4 and TVSU5 showed particularly strong responses to the combined treatment, whereas TVSU2 exhibited limited responsiveness, demonstrating that the benefits of AMF and </w:t>
      </w:r>
      <w:r w:rsidRPr="00E1757D">
        <w:rPr>
          <w:rFonts w:ascii="Times New Roman" w:eastAsiaTheme="minorEastAsia" w:hAnsi="Times New Roman" w:cs="Times New Roman"/>
          <w:i/>
          <w:iCs/>
          <w:sz w:val="24"/>
          <w:szCs w:val="24"/>
        </w:rPr>
        <w:t xml:space="preserve">C.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xml:space="preserve"> are not universal. </w:t>
      </w:r>
      <w:r>
        <w:rPr>
          <w:rFonts w:ascii="Times New Roman" w:eastAsiaTheme="minorEastAsia" w:hAnsi="Times New Roman" w:cs="Times New Roman"/>
          <w:iCs/>
          <w:sz w:val="24"/>
          <w:szCs w:val="24"/>
          <w:highlight w:val="yellow"/>
        </w:rPr>
        <w:t>Overall</w:t>
      </w:r>
      <w:r w:rsidRPr="00E1757D">
        <w:rPr>
          <w:rFonts w:ascii="Times New Roman" w:eastAsiaTheme="minorEastAsia" w:hAnsi="Times New Roman" w:cs="Times New Roman"/>
          <w:iCs/>
          <w:sz w:val="24"/>
          <w:szCs w:val="24"/>
        </w:rPr>
        <w:t>, integrating AMF with </w:t>
      </w:r>
      <w:r w:rsidRPr="00E1757D">
        <w:rPr>
          <w:rFonts w:ascii="Times New Roman" w:eastAsiaTheme="minorEastAsia" w:hAnsi="Times New Roman" w:cs="Times New Roman"/>
          <w:i/>
          <w:iCs/>
          <w:sz w:val="24"/>
          <w:szCs w:val="24"/>
        </w:rPr>
        <w:t xml:space="preserve">C.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represents a promising climate-smart and sustainable approach for improving drought resilience, establishment, and vegetative growth of Bambara groundnut, particularly when combined with accessions possessing strong physiological responsiveness to these beneficial rhizosphere interactions. Further studies should confirm these responses under field conditions and investigate the underlying mechanisms of accession-specific AMF and cover-crop responsiveness.</w:t>
      </w:r>
      <w:r w:rsidR="008773D2">
        <w:rPr>
          <w:rFonts w:ascii="Times New Roman" w:eastAsiaTheme="minorEastAsia" w:hAnsi="Times New Roman" w:cs="Times New Roman"/>
          <w:iCs/>
          <w:sz w:val="24"/>
          <w:szCs w:val="24"/>
        </w:rPr>
        <w:t xml:space="preserve"> </w:t>
      </w:r>
    </w:p>
    <w:p w14:paraId="576247AC" w14:textId="77777777" w:rsidR="008773D2" w:rsidRDefault="008773D2" w:rsidP="004C769E">
      <w:pPr>
        <w:spacing w:after="0" w:line="480" w:lineRule="auto"/>
        <w:jc w:val="both"/>
        <w:rPr>
          <w:rFonts w:ascii="Times New Roman" w:eastAsiaTheme="minorEastAsia" w:hAnsi="Times New Roman" w:cs="Times New Roman"/>
          <w:iCs/>
          <w:sz w:val="24"/>
          <w:szCs w:val="24"/>
        </w:rPr>
      </w:pPr>
    </w:p>
    <w:p w14:paraId="1F63A19F" w14:textId="7843FAB9" w:rsidR="008773D2" w:rsidRPr="008773D2" w:rsidRDefault="008773D2" w:rsidP="008773D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773D2">
        <w:rPr>
          <w:rFonts w:ascii="Times New Roman" w:eastAsia="Times New Roman" w:hAnsi="Times New Roman" w:cs="Times New Roman"/>
          <w:b/>
          <w:bCs/>
          <w:kern w:val="0"/>
          <w:sz w:val="36"/>
          <w:szCs w:val="36"/>
          <w14:ligatures w14:val="none"/>
        </w:rPr>
        <w:t>Limitations</w:t>
      </w:r>
    </w:p>
    <w:p w14:paraId="4C3C1A0B" w14:textId="77777777" w:rsidR="008773D2" w:rsidRPr="008773D2" w:rsidRDefault="008773D2" w:rsidP="008773D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8773D2">
        <w:rPr>
          <w:rFonts w:ascii="Times New Roman" w:eastAsia="Times New Roman" w:hAnsi="Times New Roman" w:cs="Times New Roman"/>
          <w:kern w:val="0"/>
          <w:sz w:val="24"/>
          <w:szCs w:val="24"/>
          <w14:ligatures w14:val="none"/>
        </w:rPr>
        <w:t xml:space="preserve">The study was conducted with five </w:t>
      </w:r>
      <w:r w:rsidRPr="008773D2">
        <w:rPr>
          <w:rFonts w:ascii="Times New Roman" w:eastAsia="Times New Roman" w:hAnsi="Times New Roman" w:cs="Times New Roman"/>
          <w:i/>
          <w:iCs/>
          <w:kern w:val="0"/>
          <w:sz w:val="24"/>
          <w:szCs w:val="24"/>
          <w14:ligatures w14:val="none"/>
        </w:rPr>
        <w:t>Vigna subterranea</w:t>
      </w:r>
      <w:r w:rsidRPr="008773D2">
        <w:rPr>
          <w:rFonts w:ascii="Times New Roman" w:eastAsia="Times New Roman" w:hAnsi="Times New Roman" w:cs="Times New Roman"/>
          <w:kern w:val="0"/>
          <w:sz w:val="24"/>
          <w:szCs w:val="24"/>
          <w14:ligatures w14:val="none"/>
        </w:rPr>
        <w:t xml:space="preserve"> accessions under controlled experimental conditions and used three replicates. Germination and petiole length were the principal plant-response variables, while direct measurements of soil moisture dynamics, AMF </w:t>
      </w:r>
      <w:proofErr w:type="spellStart"/>
      <w:r w:rsidRPr="008773D2">
        <w:rPr>
          <w:rFonts w:ascii="Times New Roman" w:eastAsia="Times New Roman" w:hAnsi="Times New Roman" w:cs="Times New Roman"/>
          <w:kern w:val="0"/>
          <w:sz w:val="24"/>
          <w:szCs w:val="24"/>
          <w14:ligatures w14:val="none"/>
        </w:rPr>
        <w:t>colonisation</w:t>
      </w:r>
      <w:proofErr w:type="spellEnd"/>
      <w:r w:rsidRPr="008773D2">
        <w:rPr>
          <w:rFonts w:ascii="Times New Roman" w:eastAsia="Times New Roman" w:hAnsi="Times New Roman" w:cs="Times New Roman"/>
          <w:kern w:val="0"/>
          <w:sz w:val="24"/>
          <w:szCs w:val="24"/>
          <w14:ligatures w14:val="none"/>
        </w:rPr>
        <w:t>, plant water status, photosynthesis, and other physiological mechanisms were not included. The 13-week assessment therefore describes treatment-associated growth responses but does not establish the underlying mechanisms. Field and multi-location evaluations are needed to determine whether the observed accession- and treatment-dependent responses remain consistent under naturally variable soil and climatic conditions.</w:t>
      </w:r>
    </w:p>
    <w:p w14:paraId="570EA57B" w14:textId="77777777" w:rsidR="008773D2" w:rsidRDefault="008773D2" w:rsidP="004C769E">
      <w:pPr>
        <w:spacing w:after="0" w:line="480" w:lineRule="auto"/>
        <w:jc w:val="both"/>
        <w:rPr>
          <w:rFonts w:ascii="Times New Roman" w:eastAsiaTheme="minorEastAsia" w:hAnsi="Times New Roman" w:cs="Times New Roman"/>
          <w:iCs/>
          <w:sz w:val="24"/>
          <w:szCs w:val="24"/>
          <w:lang w:val="en-IN"/>
        </w:rPr>
      </w:pPr>
    </w:p>
    <w:p w14:paraId="0CF4D24D" w14:textId="77777777" w:rsidR="00E30B75" w:rsidRDefault="00E30B75" w:rsidP="00E30B7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734978F" w14:textId="77777777" w:rsidR="00E30B75" w:rsidRDefault="00E30B75" w:rsidP="00E30B75">
      <w:pPr>
        <w:spacing w:after="0" w:line="240" w:lineRule="auto"/>
        <w:rPr>
          <w:rFonts w:ascii="Times New Roman" w:hAnsi="Times New Roman" w:cs="Times New Roman"/>
          <w:b/>
        </w:rPr>
      </w:pPr>
    </w:p>
    <w:p w14:paraId="27A71CA5" w14:textId="77777777" w:rsidR="00E30B75" w:rsidRDefault="00E30B75" w:rsidP="00E30B75">
      <w:pPr>
        <w:spacing w:after="0" w:line="240" w:lineRule="auto"/>
        <w:rPr>
          <w:rFonts w:ascii="Times New Roman" w:hAnsi="Times New Roman" w:cs="Times New Roman"/>
          <w:b/>
        </w:rPr>
      </w:pPr>
    </w:p>
    <w:p w14:paraId="5102BBA9" w14:textId="77777777" w:rsidR="00E30B75" w:rsidRDefault="00E30B75" w:rsidP="00E30B75">
      <w:pPr>
        <w:spacing w:after="0" w:line="240" w:lineRule="auto"/>
        <w:rPr>
          <w:rFonts w:ascii="Times New Roman" w:hAnsi="Times New Roman" w:cs="Times New Roman"/>
          <w:b/>
        </w:rPr>
      </w:pPr>
    </w:p>
    <w:p w14:paraId="70E61470" w14:textId="77777777" w:rsidR="00E30B75" w:rsidRPr="002D08AC" w:rsidRDefault="00E30B75" w:rsidP="00E30B7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5AB08EB" w14:textId="77777777" w:rsidR="00E30B75" w:rsidRPr="00E30B75" w:rsidRDefault="00E30B75" w:rsidP="004C769E">
      <w:pPr>
        <w:spacing w:after="0" w:line="480" w:lineRule="auto"/>
        <w:jc w:val="both"/>
        <w:rPr>
          <w:rFonts w:ascii="Times New Roman" w:eastAsiaTheme="minorEastAsia" w:hAnsi="Times New Roman" w:cs="Times New Roman"/>
          <w:iCs/>
          <w:sz w:val="24"/>
          <w:szCs w:val="24"/>
          <w:lang w:val="en-IN"/>
        </w:rPr>
      </w:pPr>
    </w:p>
    <w:p w14:paraId="4D81FF81" w14:textId="77777777" w:rsidR="00E1757D" w:rsidRDefault="00E1757D" w:rsidP="00AD67D7">
      <w:pPr>
        <w:spacing w:after="0" w:line="360" w:lineRule="auto"/>
        <w:jc w:val="both"/>
        <w:rPr>
          <w:rFonts w:ascii="Times New Roman" w:eastAsiaTheme="minorEastAsia" w:hAnsi="Times New Roman" w:cs="Times New Roman"/>
          <w:iCs/>
          <w:sz w:val="24"/>
          <w:szCs w:val="24"/>
        </w:rPr>
      </w:pPr>
    </w:p>
    <w:p w14:paraId="0F33D36E" w14:textId="77777777" w:rsidR="004D43A4" w:rsidRDefault="004D43A4" w:rsidP="004D43A4">
      <w:pPr>
        <w:spacing w:line="240" w:lineRule="auto"/>
        <w:jc w:val="center"/>
        <w:rPr>
          <w:b/>
          <w:bCs/>
          <w:sz w:val="24"/>
          <w:szCs w:val="24"/>
        </w:rPr>
      </w:pPr>
    </w:p>
    <w:p w14:paraId="5242D516" w14:textId="77777777" w:rsidR="004D43A4" w:rsidRDefault="004D43A4" w:rsidP="004D43A4">
      <w:pPr>
        <w:spacing w:line="240" w:lineRule="auto"/>
        <w:jc w:val="center"/>
        <w:rPr>
          <w:b/>
          <w:bCs/>
          <w:sz w:val="24"/>
          <w:szCs w:val="24"/>
        </w:rPr>
      </w:pPr>
    </w:p>
    <w:p w14:paraId="68F59AAF" w14:textId="77777777" w:rsidR="004D43A4" w:rsidRDefault="004D43A4" w:rsidP="004D43A4">
      <w:pPr>
        <w:spacing w:line="240" w:lineRule="auto"/>
        <w:jc w:val="center"/>
        <w:rPr>
          <w:b/>
          <w:bCs/>
          <w:sz w:val="24"/>
          <w:szCs w:val="24"/>
        </w:rPr>
      </w:pPr>
    </w:p>
    <w:p w14:paraId="313C28C8" w14:textId="77777777" w:rsidR="00C01EBD" w:rsidRPr="00A26A75" w:rsidRDefault="00C01EBD" w:rsidP="004D43A4">
      <w:pPr>
        <w:spacing w:line="240" w:lineRule="auto"/>
        <w:jc w:val="center"/>
        <w:rPr>
          <w:b/>
          <w:bCs/>
          <w:sz w:val="24"/>
          <w:szCs w:val="24"/>
        </w:rPr>
      </w:pPr>
      <w:r w:rsidRPr="00A26A75">
        <w:rPr>
          <w:b/>
          <w:bCs/>
          <w:sz w:val="24"/>
          <w:szCs w:val="24"/>
        </w:rPr>
        <w:t>References</w:t>
      </w:r>
    </w:p>
    <w:p w14:paraId="6BF54823" w14:textId="5E1595B0"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Abejide, D. R., Falusi, O. A., Adebola, M. O., Gana, A. S., Muhammad, L. M., &amp; Gado, A. A. (2017). Evaluation of drought tolerance indices in some Nigerian Bambara groundnut (</w:t>
      </w:r>
      <w:r>
        <w:rPr>
          <w:rFonts w:ascii="Times New Roman" w:eastAsia="Times New Roman" w:hAnsi="Times New Roman"/>
          <w:i/>
          <w:sz w:val="24"/>
        </w:rPr>
        <w:t>Vigna subterranea</w:t>
      </w:r>
      <w:r>
        <w:rPr>
          <w:rFonts w:ascii="Times New Roman" w:eastAsia="Times New Roman" w:hAnsi="Times New Roman"/>
          <w:sz w:val="24"/>
        </w:rPr>
        <w:t xml:space="preserve"> L. Verdc.) landraces. </w:t>
      </w:r>
      <w:r>
        <w:rPr>
          <w:rFonts w:ascii="Times New Roman" w:eastAsia="Times New Roman" w:hAnsi="Times New Roman"/>
          <w:i/>
          <w:sz w:val="24"/>
        </w:rPr>
        <w:t>International Journal of Applied Biological Research, 8</w:t>
      </w:r>
      <w:r>
        <w:rPr>
          <w:rFonts w:ascii="Times New Roman" w:eastAsia="Times New Roman" w:hAnsi="Times New Roman"/>
          <w:sz w:val="24"/>
        </w:rPr>
        <w:t xml:space="preserve">(2), 142–148. </w:t>
      </w:r>
    </w:p>
    <w:p w14:paraId="3BDD4B7E"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33A60674" w14:textId="77777777" w:rsidR="00C01EBD" w:rsidRDefault="00C01EBD" w:rsidP="00C01EBD">
      <w:pPr>
        <w:pStyle w:val="ListParagraph"/>
        <w:tabs>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Adepoju, G. K. A., &amp; Adebanjo, A. A. (2011). Effect of consumption of </w:t>
      </w:r>
      <w:r>
        <w:rPr>
          <w:rFonts w:ascii="Times New Roman" w:eastAsia="Times New Roman" w:hAnsi="Times New Roman"/>
          <w:i/>
          <w:sz w:val="24"/>
        </w:rPr>
        <w:t>Cucurbita pepo</w:t>
      </w:r>
      <w:r>
        <w:rPr>
          <w:rFonts w:ascii="Times New Roman" w:eastAsia="Times New Roman" w:hAnsi="Times New Roman"/>
          <w:sz w:val="24"/>
        </w:rPr>
        <w:t xml:space="preserve"> seeds on haematological and biochemical parameters. </w:t>
      </w:r>
      <w:r>
        <w:rPr>
          <w:rFonts w:ascii="Times New Roman" w:eastAsia="Times New Roman" w:hAnsi="Times New Roman"/>
          <w:i/>
          <w:sz w:val="24"/>
        </w:rPr>
        <w:t>African Journal of Pharmacy and Pharmacology, 5</w:t>
      </w:r>
      <w:r>
        <w:rPr>
          <w:rFonts w:ascii="Times New Roman" w:eastAsia="Times New Roman" w:hAnsi="Times New Roman"/>
          <w:sz w:val="24"/>
        </w:rPr>
        <w:t xml:space="preserve">(1), 18–22. </w:t>
      </w:r>
      <w:hyperlink r:id="rId10">
        <w:r>
          <w:rPr>
            <w:rFonts w:ascii="Times New Roman" w:eastAsia="Times New Roman" w:hAnsi="Times New Roman"/>
            <w:color w:val="0563C1"/>
            <w:sz w:val="24"/>
            <w:szCs w:val="24"/>
            <w:u w:val="single"/>
          </w:rPr>
          <w:t>https://doi.org/10.5897/AJPP10.186</w:t>
        </w:r>
      </w:hyperlink>
    </w:p>
    <w:p w14:paraId="03525647" w14:textId="77777777" w:rsidR="00C01EBD" w:rsidRPr="00A26A75"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08C495DF"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Anyia, A. O., &amp; Herzog, H. (2004). Genotypic variability in drought performance and recovery in cowpea under controlled environment. </w:t>
      </w:r>
      <w:r>
        <w:rPr>
          <w:rFonts w:ascii="Times New Roman" w:eastAsia="Times New Roman" w:hAnsi="Times New Roman"/>
          <w:i/>
          <w:sz w:val="24"/>
        </w:rPr>
        <w:t>Journal of Agronomy and Crop Science, 190</w:t>
      </w:r>
      <w:r>
        <w:rPr>
          <w:rFonts w:ascii="Times New Roman" w:eastAsia="Times New Roman" w:hAnsi="Times New Roman"/>
          <w:sz w:val="24"/>
        </w:rPr>
        <w:t xml:space="preserve">(2), 151–159. </w:t>
      </w:r>
      <w:hyperlink r:id="rId11">
        <w:r>
          <w:rPr>
            <w:rFonts w:ascii="Times New Roman" w:eastAsia="Times New Roman" w:hAnsi="Times New Roman"/>
            <w:color w:val="0563C1"/>
            <w:sz w:val="24"/>
            <w:szCs w:val="24"/>
            <w:u w:val="single"/>
          </w:rPr>
          <w:t>https://doi.org/10.1111/j.1439-037X.2004.00096.x</w:t>
        </w:r>
      </w:hyperlink>
    </w:p>
    <w:p w14:paraId="78B648B4" w14:textId="77777777" w:rsidR="00C01EBD" w:rsidRPr="00655BED" w:rsidRDefault="00C01EBD" w:rsidP="00C01EBD">
      <w:pPr>
        <w:pStyle w:val="ListParagraph"/>
        <w:rPr>
          <w:rFonts w:ascii="Times New Roman" w:hAnsi="Times New Roman" w:cs="Times New Roman"/>
          <w:sz w:val="2"/>
          <w:szCs w:val="2"/>
        </w:rPr>
      </w:pPr>
    </w:p>
    <w:p w14:paraId="0410172C" w14:textId="77777777" w:rsidR="00C01EBD" w:rsidRPr="00A26A75" w:rsidRDefault="00C01EBD" w:rsidP="00C01EBD">
      <w:pPr>
        <w:pStyle w:val="ListParagraph"/>
        <w:rPr>
          <w:rFonts w:ascii="Times New Roman" w:hAnsi="Times New Roman" w:cs="Times New Roman"/>
          <w:sz w:val="8"/>
          <w:szCs w:val="8"/>
        </w:rPr>
      </w:pPr>
    </w:p>
    <w:p w14:paraId="7855AC00" w14:textId="77777777" w:rsidR="00C01EBD" w:rsidRDefault="00C01EBD" w:rsidP="00C01EBD">
      <w:pPr>
        <w:pStyle w:val="ListParagraph"/>
        <w:spacing w:line="240" w:lineRule="auto"/>
        <w:ind w:hanging="720"/>
        <w:rPr>
          <w:rFonts w:ascii="Times New Roman" w:hAnsi="Times New Roman" w:cs="Times New Roman"/>
          <w:sz w:val="24"/>
          <w:szCs w:val="24"/>
        </w:rPr>
      </w:pPr>
      <w:r>
        <w:rPr>
          <w:rFonts w:ascii="Times New Roman" w:eastAsia="Times New Roman" w:hAnsi="Times New Roman"/>
          <w:sz w:val="24"/>
        </w:rPr>
        <w:t xml:space="preserve">Baum, C., El-Tohamy, W. A., &amp; Gruda, N. S. (2015). Increasing the productivity and product quality of vegetable crops using arbuscular mycorrhizal fungi: A review. </w:t>
      </w:r>
      <w:r>
        <w:rPr>
          <w:rFonts w:ascii="Times New Roman" w:eastAsia="Times New Roman" w:hAnsi="Times New Roman"/>
          <w:i/>
          <w:sz w:val="24"/>
        </w:rPr>
        <w:t>Scientia Horticulturae, 187</w:t>
      </w:r>
      <w:r>
        <w:rPr>
          <w:rFonts w:ascii="Times New Roman" w:eastAsia="Times New Roman" w:hAnsi="Times New Roman"/>
          <w:sz w:val="24"/>
        </w:rPr>
        <w:t xml:space="preserve">, 131–141. </w:t>
      </w:r>
      <w:hyperlink r:id="rId12">
        <w:r>
          <w:rPr>
            <w:rFonts w:ascii="Times New Roman" w:eastAsia="Times New Roman" w:hAnsi="Times New Roman"/>
            <w:color w:val="0563C1"/>
            <w:sz w:val="24"/>
            <w:szCs w:val="24"/>
            <w:u w:val="single"/>
          </w:rPr>
          <w:t>https://doi.org/10.1016/j.scienta.2015.03.002</w:t>
        </w:r>
      </w:hyperlink>
    </w:p>
    <w:p w14:paraId="09B484F9" w14:textId="77777777" w:rsidR="00C01EBD" w:rsidRPr="00A26A75" w:rsidRDefault="00C01EBD" w:rsidP="00C01EBD">
      <w:pPr>
        <w:pStyle w:val="ListParagraph"/>
        <w:spacing w:line="240" w:lineRule="auto"/>
        <w:rPr>
          <w:rFonts w:ascii="Times New Roman" w:hAnsi="Times New Roman" w:cs="Times New Roman"/>
          <w:sz w:val="16"/>
          <w:szCs w:val="16"/>
        </w:rPr>
      </w:pPr>
    </w:p>
    <w:p w14:paraId="6D5DF96E"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Berchie, J. N., Opoku, M., Adu-Dapaah, H., Agyemang, A., Sarkodie-Addo, J., Asare, E., Addo, J., &amp; Akuffo, H. (2012). Evaluation of five Bambara groundnut (</w:t>
      </w:r>
      <w:r>
        <w:rPr>
          <w:rFonts w:ascii="Times New Roman" w:eastAsia="Times New Roman" w:hAnsi="Times New Roman"/>
          <w:i/>
          <w:sz w:val="24"/>
        </w:rPr>
        <w:t>Vigna subterranea</w:t>
      </w:r>
      <w:r>
        <w:rPr>
          <w:rFonts w:ascii="Times New Roman" w:eastAsia="Times New Roman" w:hAnsi="Times New Roman"/>
          <w:sz w:val="24"/>
        </w:rPr>
        <w:t xml:space="preserve"> [L.] Verdc.) landraces to heat and drought stress at Tono-Navrongo, Upper East Region of Ghana. </w:t>
      </w:r>
      <w:r>
        <w:rPr>
          <w:rFonts w:ascii="Times New Roman" w:eastAsia="Times New Roman" w:hAnsi="Times New Roman"/>
          <w:i/>
          <w:sz w:val="24"/>
        </w:rPr>
        <w:t>African Journal of Agricultural Research, 7</w:t>
      </w:r>
      <w:r>
        <w:rPr>
          <w:rFonts w:ascii="Times New Roman" w:eastAsia="Times New Roman" w:hAnsi="Times New Roman"/>
          <w:sz w:val="24"/>
        </w:rPr>
        <w:t xml:space="preserve">(2), 250–256. </w:t>
      </w:r>
      <w:hyperlink r:id="rId13">
        <w:r>
          <w:rPr>
            <w:rFonts w:ascii="Times New Roman" w:eastAsia="Times New Roman" w:hAnsi="Times New Roman"/>
            <w:color w:val="0563C1"/>
            <w:sz w:val="24"/>
            <w:szCs w:val="24"/>
            <w:u w:val="single"/>
          </w:rPr>
          <w:t>https://doi.org/10.5897/AJAR11.817</w:t>
        </w:r>
      </w:hyperlink>
    </w:p>
    <w:p w14:paraId="4936DAE9" w14:textId="77777777" w:rsidR="00A81D66" w:rsidRDefault="00000000">
      <w:pPr>
        <w:pStyle w:val="ListParagraph"/>
        <w:ind w:hanging="720"/>
      </w:pPr>
      <w:r>
        <w:rPr>
          <w:rFonts w:ascii="Times New Roman" w:eastAsia="Times New Roman" w:hAnsi="Times New Roman"/>
          <w:sz w:val="24"/>
        </w:rPr>
        <w:t xml:space="preserve">Begum, N., Qin, C., Ahanger, M. A., Raza, S., Khan, M. I., Ashraf, M., Ahmed, N., &amp; Zhang, L. (2019). Role of arbuscular mycorrhizal fungi in plant growth regulation: Implications in abiotic stress tolerance. </w:t>
      </w:r>
      <w:r>
        <w:rPr>
          <w:rFonts w:ascii="Times New Roman" w:eastAsia="Times New Roman" w:hAnsi="Times New Roman"/>
          <w:i/>
          <w:sz w:val="24"/>
        </w:rPr>
        <w:t>Frontiers in Plant Science, 10</w:t>
      </w:r>
      <w:r>
        <w:rPr>
          <w:rFonts w:ascii="Times New Roman" w:eastAsia="Times New Roman" w:hAnsi="Times New Roman"/>
          <w:sz w:val="24"/>
        </w:rPr>
        <w:t xml:space="preserve">, 1068. </w:t>
      </w:r>
      <w:hyperlink r:id="rId14">
        <w:r w:rsidR="00A81D66">
          <w:rPr>
            <w:rFonts w:ascii="Times New Roman" w:eastAsia="Times New Roman" w:hAnsi="Times New Roman"/>
            <w:color w:val="0563C1"/>
            <w:sz w:val="24"/>
            <w:szCs w:val="24"/>
            <w:u w:val="single"/>
          </w:rPr>
          <w:t>https://doi.org/10.3389/fpls.2019.01068</w:t>
        </w:r>
      </w:hyperlink>
    </w:p>
    <w:p w14:paraId="5878F07D" w14:textId="77777777" w:rsidR="00C01EBD" w:rsidRPr="00655BED" w:rsidRDefault="00C01EBD" w:rsidP="00C01EBD">
      <w:pPr>
        <w:pStyle w:val="ListParagraph"/>
        <w:spacing w:line="240" w:lineRule="auto"/>
        <w:jc w:val="both"/>
        <w:rPr>
          <w:rFonts w:ascii="Times New Roman" w:hAnsi="Times New Roman" w:cs="Times New Roman"/>
          <w:sz w:val="10"/>
          <w:szCs w:val="10"/>
        </w:rPr>
      </w:pPr>
    </w:p>
    <w:p w14:paraId="32AECF11" w14:textId="77777777" w:rsidR="00C01EBD"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Billah, M., Aktar, S., Brestic, M., Zivcak, M., Khaldun, A. B. M., Uddin, M. S., Bagum, S. A., Yang, X., Skalicky, M., Mehari, T. C., Maitra, S., &amp; Hossain, A. (2021). Progressive genomic approaches to explore drought- and salt-induced oxidative stress responses in plants under changing climate. </w:t>
      </w:r>
      <w:r>
        <w:rPr>
          <w:rFonts w:ascii="Times New Roman" w:eastAsia="Times New Roman" w:hAnsi="Times New Roman"/>
          <w:i/>
          <w:sz w:val="24"/>
        </w:rPr>
        <w:t>Plants, 10</w:t>
      </w:r>
      <w:r>
        <w:rPr>
          <w:rFonts w:ascii="Times New Roman" w:eastAsia="Times New Roman" w:hAnsi="Times New Roman"/>
          <w:sz w:val="24"/>
        </w:rPr>
        <w:t xml:space="preserve">(9), 1910. </w:t>
      </w:r>
      <w:hyperlink r:id="rId15">
        <w:r>
          <w:rPr>
            <w:rFonts w:ascii="Times New Roman" w:eastAsia="Times New Roman" w:hAnsi="Times New Roman"/>
            <w:color w:val="0563C1"/>
            <w:sz w:val="24"/>
            <w:szCs w:val="24"/>
            <w:u w:val="single"/>
          </w:rPr>
          <w:t>https://doi.org/10.3390/plants10091910</w:t>
        </w:r>
      </w:hyperlink>
    </w:p>
    <w:p w14:paraId="774A88FA" w14:textId="77777777" w:rsidR="00C01EBD" w:rsidRPr="00A26A75"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8"/>
          <w:szCs w:val="18"/>
        </w:rPr>
      </w:pPr>
    </w:p>
    <w:p w14:paraId="0175DBCE"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lastRenderedPageBreak/>
        <w:t>Blair, M. W., Galeano, C. H., Tovar, E., Muñoz Torres, M. C., Velasco Castrillón, A., Beebe, S. E., &amp; Rao, I. M. (2012). Development of a Mesoamerican intra-genepool genetic map for quantitative trait loci detection in a drought tolerant × susceptible common bean (</w:t>
      </w:r>
      <w:r>
        <w:rPr>
          <w:rFonts w:ascii="Times New Roman" w:eastAsia="Times New Roman" w:hAnsi="Times New Roman"/>
          <w:i/>
          <w:sz w:val="24"/>
        </w:rPr>
        <w:t>Phaseolus vulgaris</w:t>
      </w:r>
      <w:r>
        <w:rPr>
          <w:rFonts w:ascii="Times New Roman" w:eastAsia="Times New Roman" w:hAnsi="Times New Roman"/>
          <w:sz w:val="24"/>
        </w:rPr>
        <w:t xml:space="preserve"> L.) cross. </w:t>
      </w:r>
      <w:r>
        <w:rPr>
          <w:rFonts w:ascii="Times New Roman" w:eastAsia="Times New Roman" w:hAnsi="Times New Roman"/>
          <w:i/>
          <w:sz w:val="24"/>
        </w:rPr>
        <w:t>Molecular Breeding, 29</w:t>
      </w:r>
      <w:r>
        <w:rPr>
          <w:rFonts w:ascii="Times New Roman" w:eastAsia="Times New Roman" w:hAnsi="Times New Roman"/>
          <w:sz w:val="24"/>
        </w:rPr>
        <w:t xml:space="preserve">(1), 71–88. </w:t>
      </w:r>
      <w:hyperlink r:id="rId16">
        <w:r>
          <w:rPr>
            <w:rFonts w:ascii="Times New Roman" w:eastAsia="Times New Roman" w:hAnsi="Times New Roman"/>
            <w:color w:val="0563C1"/>
            <w:sz w:val="24"/>
            <w:szCs w:val="24"/>
            <w:u w:val="single"/>
          </w:rPr>
          <w:t>https://doi.org/10.1007/s11032-010-9527-9</w:t>
        </w:r>
      </w:hyperlink>
    </w:p>
    <w:p w14:paraId="217E206A" w14:textId="77777777" w:rsidR="00C01EBD" w:rsidRPr="00A26A75" w:rsidRDefault="00C01EBD" w:rsidP="00C01EBD">
      <w:pPr>
        <w:pStyle w:val="ListParagraph"/>
        <w:rPr>
          <w:rFonts w:ascii="Times New Roman" w:hAnsi="Times New Roman" w:cs="Times New Roman"/>
          <w:sz w:val="12"/>
          <w:szCs w:val="12"/>
        </w:rPr>
      </w:pPr>
    </w:p>
    <w:p w14:paraId="7EAE4D49"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Blanco-Canqui, H., Shaver, T. M., Lindquist, J. L., Shapiro, C. A., Elmore, R. W., Francis, C. A., &amp; Hergert, G. W. (2015). Cover crops and ecosystem services: Insights from studies in temperate soils. </w:t>
      </w:r>
      <w:r>
        <w:rPr>
          <w:rFonts w:ascii="Times New Roman" w:eastAsia="Times New Roman" w:hAnsi="Times New Roman"/>
          <w:i/>
          <w:sz w:val="24"/>
        </w:rPr>
        <w:t>Agronomy Journal, 107</w:t>
      </w:r>
      <w:r>
        <w:rPr>
          <w:rFonts w:ascii="Times New Roman" w:eastAsia="Times New Roman" w:hAnsi="Times New Roman"/>
          <w:sz w:val="24"/>
        </w:rPr>
        <w:t xml:space="preserve">(6), 2449–2474. </w:t>
      </w:r>
      <w:hyperlink r:id="rId17">
        <w:r>
          <w:rPr>
            <w:rFonts w:ascii="Times New Roman" w:eastAsia="Times New Roman" w:hAnsi="Times New Roman"/>
            <w:color w:val="0563C1"/>
            <w:sz w:val="24"/>
            <w:szCs w:val="24"/>
            <w:u w:val="single"/>
          </w:rPr>
          <w:t>https://doi.org/10.2134/agronj15.0086</w:t>
        </w:r>
      </w:hyperlink>
    </w:p>
    <w:p w14:paraId="7FD7D97F" w14:textId="77777777" w:rsidR="00C01EBD" w:rsidRPr="00A26A75" w:rsidRDefault="00C01EBD" w:rsidP="00C01EBD">
      <w:pPr>
        <w:pStyle w:val="ListParagraph"/>
        <w:rPr>
          <w:rFonts w:ascii="Times New Roman" w:hAnsi="Times New Roman" w:cs="Times New Roman"/>
          <w:sz w:val="14"/>
          <w:szCs w:val="14"/>
        </w:rPr>
      </w:pPr>
    </w:p>
    <w:p w14:paraId="16BFDBFE" w14:textId="62CFEF20"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Brady, N. C., &amp; Weil, R. R. (2016). </w:t>
      </w:r>
      <w:r>
        <w:rPr>
          <w:rFonts w:ascii="Times New Roman" w:eastAsia="Times New Roman" w:hAnsi="Times New Roman"/>
          <w:i/>
          <w:sz w:val="24"/>
        </w:rPr>
        <w:t>The nature and properties of soils</w:t>
      </w:r>
      <w:r>
        <w:rPr>
          <w:rFonts w:ascii="Times New Roman" w:eastAsia="Times New Roman" w:hAnsi="Times New Roman"/>
          <w:sz w:val="24"/>
        </w:rPr>
        <w:t xml:space="preserve"> (15th ed.). Pearson. </w:t>
      </w:r>
    </w:p>
    <w:p w14:paraId="596766AE" w14:textId="77777777" w:rsidR="00C01EBD" w:rsidRPr="00655BED" w:rsidRDefault="00C01EBD" w:rsidP="00C01EBD">
      <w:pPr>
        <w:pStyle w:val="ListParagraph"/>
        <w:rPr>
          <w:rFonts w:ascii="Times New Roman" w:hAnsi="Times New Roman" w:cs="Times New Roman"/>
          <w:sz w:val="8"/>
          <w:szCs w:val="8"/>
        </w:rPr>
      </w:pPr>
    </w:p>
    <w:p w14:paraId="6EDAFF05"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Bremner, J. M. (1965). Total nitrogen. In C. A. Black (Ed.), </w:t>
      </w:r>
      <w:r>
        <w:rPr>
          <w:rFonts w:ascii="Times New Roman" w:eastAsia="Times New Roman" w:hAnsi="Times New Roman"/>
          <w:i/>
          <w:sz w:val="24"/>
        </w:rPr>
        <w:t>Methods of soil analysis: Part 2. Chemical and microbiological properties</w:t>
      </w:r>
      <w:r>
        <w:rPr>
          <w:rFonts w:ascii="Times New Roman" w:eastAsia="Times New Roman" w:hAnsi="Times New Roman"/>
          <w:sz w:val="24"/>
        </w:rPr>
        <w:t xml:space="preserve"> (pp. 1149–1178). American Society of Agronomy. </w:t>
      </w:r>
      <w:hyperlink r:id="rId18">
        <w:r>
          <w:rPr>
            <w:rFonts w:ascii="Times New Roman" w:eastAsia="Times New Roman" w:hAnsi="Times New Roman"/>
            <w:color w:val="0563C1"/>
            <w:sz w:val="24"/>
            <w:szCs w:val="24"/>
            <w:u w:val="single"/>
          </w:rPr>
          <w:t>https://doi.org/10.2134/agronmonogr9.2.c32</w:t>
        </w:r>
      </w:hyperlink>
    </w:p>
    <w:p w14:paraId="62764C8A" w14:textId="77777777" w:rsidR="00C01EBD" w:rsidRPr="00655BED" w:rsidRDefault="00C01EBD" w:rsidP="00C01EBD">
      <w:pPr>
        <w:pStyle w:val="ListParagraph"/>
        <w:rPr>
          <w:rFonts w:ascii="Times New Roman" w:hAnsi="Times New Roman" w:cs="Times New Roman"/>
          <w:sz w:val="6"/>
          <w:szCs w:val="6"/>
        </w:rPr>
      </w:pPr>
    </w:p>
    <w:p w14:paraId="6F632F5C"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Brink, M., Ramolemana, G. M., &amp; Sibuga, K. P. (2006). </w:t>
      </w:r>
      <w:r>
        <w:rPr>
          <w:rFonts w:ascii="Times New Roman" w:eastAsia="Times New Roman" w:hAnsi="Times New Roman"/>
          <w:i/>
          <w:sz w:val="24"/>
        </w:rPr>
        <w:t>Vigna subterranea</w:t>
      </w:r>
      <w:r>
        <w:rPr>
          <w:rFonts w:ascii="Times New Roman" w:eastAsia="Times New Roman" w:hAnsi="Times New Roman"/>
          <w:sz w:val="24"/>
        </w:rPr>
        <w:t xml:space="preserve"> (L.) Verdc. In M. Brink &amp; G. Belay (Eds.), </w:t>
      </w:r>
      <w:r>
        <w:rPr>
          <w:rFonts w:ascii="Times New Roman" w:eastAsia="Times New Roman" w:hAnsi="Times New Roman"/>
          <w:i/>
          <w:sz w:val="24"/>
        </w:rPr>
        <w:t>Plant Resources of Tropical Africa 1: Cereals and pulses</w:t>
      </w:r>
      <w:r>
        <w:rPr>
          <w:rFonts w:ascii="Times New Roman" w:eastAsia="Times New Roman" w:hAnsi="Times New Roman"/>
          <w:sz w:val="24"/>
        </w:rPr>
        <w:t xml:space="preserve"> (pp. 213–218). PROTA Foundation. </w:t>
      </w:r>
      <w:hyperlink r:id="rId19">
        <w:r>
          <w:rPr>
            <w:rFonts w:ascii="Times New Roman" w:eastAsia="Times New Roman" w:hAnsi="Times New Roman"/>
            <w:color w:val="0563C1"/>
            <w:sz w:val="24"/>
            <w:szCs w:val="24"/>
            <w:u w:val="single"/>
          </w:rPr>
          <w:t>https://prota.prota4u.org/protav8.asp?g=pe&amp;p=Vigna+subterranea</w:t>
        </w:r>
      </w:hyperlink>
    </w:p>
    <w:p w14:paraId="4B1CC579" w14:textId="77777777" w:rsidR="00C01EBD" w:rsidRPr="00A26A75"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6"/>
          <w:szCs w:val="16"/>
        </w:rPr>
      </w:pPr>
    </w:p>
    <w:p w14:paraId="29D07FE9" w14:textId="77777777" w:rsidR="00C01EBD" w:rsidRPr="0007649A" w:rsidRDefault="00C01EBD" w:rsidP="00C01EBD">
      <w:pPr>
        <w:pStyle w:val="ListParagraph"/>
        <w:tabs>
          <w:tab w:val="left" w:pos="0"/>
        </w:tabs>
        <w:ind w:hanging="720"/>
        <w:rPr>
          <w:rFonts w:ascii="Times New Roman" w:hAnsi="Times New Roman" w:cs="Times New Roman"/>
          <w:sz w:val="24"/>
          <w:szCs w:val="24"/>
        </w:rPr>
      </w:pPr>
      <w:r>
        <w:rPr>
          <w:rFonts w:ascii="Times New Roman" w:eastAsia="Times New Roman" w:hAnsi="Times New Roman"/>
          <w:sz w:val="24"/>
        </w:rPr>
        <w:t xml:space="preserve">Affortit, P., Ahmed, M. A., Grondin, A., Delzon, S., Carminati, A., &amp; Laplaze, L. (2024). Keep in touch: The soil-root hydraulic continuum and its role in drought resistance in crops. </w:t>
      </w:r>
      <w:r>
        <w:rPr>
          <w:rFonts w:ascii="Times New Roman" w:eastAsia="Times New Roman" w:hAnsi="Times New Roman"/>
          <w:i/>
          <w:sz w:val="24"/>
        </w:rPr>
        <w:t>Journal of Experimental Botany, 75</w:t>
      </w:r>
      <w:r>
        <w:rPr>
          <w:rFonts w:ascii="Times New Roman" w:eastAsia="Times New Roman" w:hAnsi="Times New Roman"/>
          <w:sz w:val="24"/>
        </w:rPr>
        <w:t xml:space="preserve">(2), 584–593. </w:t>
      </w:r>
      <w:hyperlink r:id="rId20">
        <w:r>
          <w:rPr>
            <w:rFonts w:ascii="Times New Roman" w:eastAsia="Times New Roman" w:hAnsi="Times New Roman"/>
            <w:color w:val="0563C1"/>
            <w:sz w:val="24"/>
            <w:szCs w:val="24"/>
            <w:u w:val="single"/>
          </w:rPr>
          <w:t>https://doi.org/10.1093/jxb/erad312</w:t>
        </w:r>
      </w:hyperlink>
    </w:p>
    <w:p w14:paraId="3EC7D607" w14:textId="77777777" w:rsidR="00C01EBD" w:rsidRPr="00A26A75" w:rsidRDefault="00C01EBD" w:rsidP="00C01EBD">
      <w:pPr>
        <w:spacing w:line="240" w:lineRule="auto"/>
        <w:jc w:val="both"/>
        <w:rPr>
          <w:rFonts w:ascii="Times New Roman" w:hAnsi="Times New Roman" w:cs="Times New Roman"/>
          <w:sz w:val="2"/>
          <w:szCs w:val="2"/>
        </w:rPr>
      </w:pPr>
    </w:p>
    <w:p w14:paraId="136A8FDB" w14:textId="77777777" w:rsidR="00C01EBD" w:rsidRDefault="00C01EBD" w:rsidP="00C01EBD">
      <w:pPr>
        <w:pStyle w:val="ListParagraph"/>
        <w:tabs>
          <w:tab w:val="num" w:pos="720"/>
        </w:tabs>
        <w:ind w:hanging="720"/>
        <w:rPr>
          <w:rFonts w:ascii="Times New Roman" w:hAnsi="Times New Roman" w:cs="Times New Roman"/>
          <w:sz w:val="24"/>
          <w:szCs w:val="24"/>
        </w:rPr>
      </w:pPr>
      <w:r>
        <w:rPr>
          <w:rFonts w:ascii="Times New Roman" w:eastAsia="Times New Roman" w:hAnsi="Times New Roman"/>
          <w:sz w:val="24"/>
        </w:rPr>
        <w:t xml:space="preserve">Cavagnaro, T. R., Jackson, L. E., Six, J., Ferris, H., Goyal, S., Asami, D., &amp; Scow, K. M. (2006). Arbuscular mycorrhizas, microbial communities, nutrient availability, and soil aggregates in organic tomato production. </w:t>
      </w:r>
      <w:r>
        <w:rPr>
          <w:rFonts w:ascii="Times New Roman" w:eastAsia="Times New Roman" w:hAnsi="Times New Roman"/>
          <w:i/>
          <w:sz w:val="24"/>
        </w:rPr>
        <w:t>Plant and Soil, 282</w:t>
      </w:r>
      <w:r>
        <w:rPr>
          <w:rFonts w:ascii="Times New Roman" w:eastAsia="Times New Roman" w:hAnsi="Times New Roman"/>
          <w:sz w:val="24"/>
        </w:rPr>
        <w:t xml:space="preserve">(1–2), 209–225. </w:t>
      </w:r>
      <w:hyperlink r:id="rId21">
        <w:r>
          <w:rPr>
            <w:rFonts w:ascii="Times New Roman" w:eastAsia="Times New Roman" w:hAnsi="Times New Roman"/>
            <w:color w:val="0563C1"/>
            <w:sz w:val="24"/>
            <w:szCs w:val="24"/>
            <w:u w:val="single"/>
          </w:rPr>
          <w:t>https://doi.org/10.1007/s11104-005-5847-7</w:t>
        </w:r>
      </w:hyperlink>
    </w:p>
    <w:p w14:paraId="7A1D78B5" w14:textId="77777777" w:rsidR="00C01EBD" w:rsidRPr="00A26A75" w:rsidRDefault="00C01EBD" w:rsidP="00C01EBD">
      <w:pPr>
        <w:pStyle w:val="ListParagraph"/>
        <w:tabs>
          <w:tab w:val="num" w:pos="720"/>
        </w:tabs>
        <w:rPr>
          <w:rFonts w:ascii="Times New Roman" w:hAnsi="Times New Roman" w:cs="Times New Roman"/>
          <w:sz w:val="12"/>
          <w:szCs w:val="12"/>
        </w:rPr>
      </w:pPr>
    </w:p>
    <w:p w14:paraId="57ACA1C7" w14:textId="77777777" w:rsidR="00C01EBD" w:rsidRDefault="00C01EBD" w:rsidP="00C01EBD">
      <w:pPr>
        <w:pStyle w:val="ListParagraph"/>
        <w:tabs>
          <w:tab w:val="num" w:pos="720"/>
        </w:tabs>
        <w:ind w:hanging="720"/>
        <w:rPr>
          <w:rFonts w:ascii="Times New Roman" w:hAnsi="Times New Roman" w:cs="Times New Roman"/>
          <w:sz w:val="24"/>
          <w:szCs w:val="24"/>
        </w:rPr>
      </w:pPr>
      <w:r>
        <w:rPr>
          <w:rFonts w:ascii="Times New Roman" w:eastAsia="Times New Roman" w:hAnsi="Times New Roman"/>
          <w:sz w:val="24"/>
        </w:rPr>
        <w:t xml:space="preserve">Chandrasekaran, M. (2022). Arbuscular mycorrhizal fungi mediated enhanced biomass, root morphological traits and nutrient uptake under drought stress: A meta-analysis. </w:t>
      </w:r>
      <w:r>
        <w:rPr>
          <w:rFonts w:ascii="Times New Roman" w:eastAsia="Times New Roman" w:hAnsi="Times New Roman"/>
          <w:i/>
          <w:sz w:val="24"/>
        </w:rPr>
        <w:t>Journal of Fungi, 8</w:t>
      </w:r>
      <w:r>
        <w:rPr>
          <w:rFonts w:ascii="Times New Roman" w:eastAsia="Times New Roman" w:hAnsi="Times New Roman"/>
          <w:sz w:val="24"/>
        </w:rPr>
        <w:t xml:space="preserve">(7), 660. </w:t>
      </w:r>
      <w:hyperlink r:id="rId22">
        <w:r>
          <w:rPr>
            <w:rFonts w:ascii="Times New Roman" w:eastAsia="Times New Roman" w:hAnsi="Times New Roman"/>
            <w:color w:val="0563C1"/>
            <w:sz w:val="24"/>
            <w:szCs w:val="24"/>
            <w:u w:val="single"/>
          </w:rPr>
          <w:t>https://doi.org/10.3390/jof8070660</w:t>
        </w:r>
      </w:hyperlink>
    </w:p>
    <w:p w14:paraId="14C72A09" w14:textId="77777777" w:rsidR="00C01EBD" w:rsidRPr="00A26A75" w:rsidRDefault="00C01EBD" w:rsidP="00C01EBD">
      <w:pPr>
        <w:pStyle w:val="ListParagraph"/>
        <w:rPr>
          <w:rFonts w:ascii="Times New Roman" w:hAnsi="Times New Roman" w:cs="Times New Roman"/>
          <w:sz w:val="12"/>
          <w:szCs w:val="12"/>
        </w:rPr>
      </w:pPr>
    </w:p>
    <w:p w14:paraId="37A44D79" w14:textId="77777777" w:rsidR="00C01EBD" w:rsidRDefault="00C01EBD" w:rsidP="00C01EBD">
      <w:pPr>
        <w:pStyle w:val="ListParagraph"/>
        <w:tabs>
          <w:tab w:val="num" w:pos="720"/>
        </w:tabs>
        <w:ind w:hanging="720"/>
        <w:rPr>
          <w:rFonts w:ascii="Times New Roman" w:hAnsi="Times New Roman" w:cs="Times New Roman"/>
          <w:sz w:val="24"/>
          <w:szCs w:val="24"/>
        </w:rPr>
      </w:pPr>
      <w:r>
        <w:rPr>
          <w:rFonts w:ascii="Times New Roman" w:eastAsia="Times New Roman" w:hAnsi="Times New Roman"/>
          <w:sz w:val="24"/>
        </w:rPr>
        <w:t xml:space="preserve">Chandrasekaran, M. (2024). The role of arbuscular mycorrhizal fungi in refining plant photosynthesis and water status under drought stress: A meta-analysis. </w:t>
      </w:r>
      <w:r>
        <w:rPr>
          <w:rFonts w:ascii="Times New Roman" w:eastAsia="Times New Roman" w:hAnsi="Times New Roman"/>
          <w:i/>
          <w:sz w:val="24"/>
        </w:rPr>
        <w:t>Plant, Soil and Environment, 70</w:t>
      </w:r>
      <w:r>
        <w:rPr>
          <w:rFonts w:ascii="Times New Roman" w:eastAsia="Times New Roman" w:hAnsi="Times New Roman"/>
          <w:sz w:val="24"/>
        </w:rPr>
        <w:t xml:space="preserve">(8), 502–508. </w:t>
      </w:r>
      <w:hyperlink r:id="rId23">
        <w:r>
          <w:rPr>
            <w:rFonts w:ascii="Times New Roman" w:eastAsia="Times New Roman" w:hAnsi="Times New Roman"/>
            <w:color w:val="0563C1"/>
            <w:sz w:val="24"/>
            <w:szCs w:val="24"/>
            <w:u w:val="single"/>
          </w:rPr>
          <w:t>https://doi.org/10.17221/27/2024-PSE</w:t>
        </w:r>
      </w:hyperlink>
    </w:p>
    <w:p w14:paraId="353CE942" w14:textId="77777777" w:rsidR="00C01EBD" w:rsidRPr="00A26A75" w:rsidRDefault="00C01EBD" w:rsidP="00C01EBD">
      <w:pPr>
        <w:pStyle w:val="ListParagraph"/>
        <w:tabs>
          <w:tab w:val="num" w:pos="720"/>
        </w:tabs>
        <w:rPr>
          <w:rFonts w:ascii="Times New Roman" w:hAnsi="Times New Roman" w:cs="Times New Roman"/>
          <w:sz w:val="12"/>
          <w:szCs w:val="12"/>
        </w:rPr>
      </w:pPr>
    </w:p>
    <w:p w14:paraId="7CCD5BB2" w14:textId="77777777" w:rsidR="00A81D66" w:rsidRPr="00A31419" w:rsidRDefault="00000000">
      <w:pPr>
        <w:pStyle w:val="ListParagraph"/>
        <w:ind w:hanging="720"/>
        <w:rPr>
          <w:rFonts w:ascii="Times New Roman" w:hAnsi="Times New Roman" w:cs="Times New Roman"/>
          <w:bCs/>
          <w:sz w:val="24"/>
          <w:szCs w:val="24"/>
        </w:rPr>
      </w:pPr>
      <w:r w:rsidRPr="00A31419">
        <w:rPr>
          <w:rFonts w:ascii="Times New Roman" w:eastAsia="Times New Roman" w:hAnsi="Times New Roman"/>
          <w:bCs/>
          <w:sz w:val="24"/>
        </w:rPr>
        <w:t>Chiroli, C. V., Achiary, M., Pacheco Insausti, M. C., Gutiérrez, M. H., Molina, M. G., Ruiz, O. M., &amp; Pedranzani, H. E. (2025). Cultivation of buffelgrass (</w:t>
      </w:r>
      <w:r w:rsidRPr="00A31419">
        <w:rPr>
          <w:rFonts w:ascii="Times New Roman" w:eastAsia="Times New Roman" w:hAnsi="Times New Roman"/>
          <w:bCs/>
          <w:i/>
          <w:sz w:val="24"/>
        </w:rPr>
        <w:t>Cenchrus ciliaris</w:t>
      </w:r>
      <w:r w:rsidRPr="00A31419">
        <w:rPr>
          <w:rFonts w:ascii="Times New Roman" w:eastAsia="Times New Roman" w:hAnsi="Times New Roman"/>
          <w:bCs/>
          <w:sz w:val="24"/>
        </w:rPr>
        <w:t xml:space="preserve"> L.) in symbiosis with arbuscular mycorrhizae produced mitigation of drought stress. </w:t>
      </w:r>
      <w:r w:rsidRPr="00A31419">
        <w:rPr>
          <w:rFonts w:ascii="Times New Roman" w:eastAsia="Times New Roman" w:hAnsi="Times New Roman"/>
          <w:bCs/>
          <w:i/>
          <w:sz w:val="24"/>
        </w:rPr>
        <w:t>Plant Cell Biotechnology and Molecular Biology, 26</w:t>
      </w:r>
      <w:r w:rsidRPr="00A31419">
        <w:rPr>
          <w:rFonts w:ascii="Times New Roman" w:eastAsia="Times New Roman" w:hAnsi="Times New Roman"/>
          <w:bCs/>
          <w:sz w:val="24"/>
        </w:rPr>
        <w:t xml:space="preserve">(7–8), 299–309. </w:t>
      </w:r>
      <w:hyperlink r:id="rId24">
        <w:r w:rsidR="00A81D66" w:rsidRPr="00A31419">
          <w:rPr>
            <w:rFonts w:ascii="Times New Roman" w:eastAsia="Times New Roman" w:hAnsi="Times New Roman"/>
            <w:bCs/>
            <w:color w:val="0563C1"/>
            <w:sz w:val="24"/>
            <w:szCs w:val="24"/>
            <w:u w:val="single"/>
          </w:rPr>
          <w:t>https://doi.org/10.56557/pcbmb/2025/v26i7-89488</w:t>
        </w:r>
      </w:hyperlink>
    </w:p>
    <w:p w14:paraId="6D43A9E2" w14:textId="77777777" w:rsidR="00A81D66" w:rsidRDefault="00A81D66">
      <w:pPr>
        <w:pStyle w:val="ListParagraph"/>
      </w:pPr>
    </w:p>
    <w:p w14:paraId="57D9246F"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Collino, D. J., Dardanelli, J. L., Sereno, R., &amp; Racca, R. W. (2001). Physiological responses of Argentine peanut varieties to water stress: Light interception, radiation use efficiency and partitioning of assimilates. </w:t>
      </w:r>
      <w:r>
        <w:rPr>
          <w:rFonts w:ascii="Times New Roman" w:eastAsia="Times New Roman" w:hAnsi="Times New Roman"/>
          <w:i/>
          <w:sz w:val="24"/>
        </w:rPr>
        <w:t>Field Crops Research, 70</w:t>
      </w:r>
      <w:r>
        <w:rPr>
          <w:rFonts w:ascii="Times New Roman" w:eastAsia="Times New Roman" w:hAnsi="Times New Roman"/>
          <w:sz w:val="24"/>
        </w:rPr>
        <w:t xml:space="preserve">(3), 177–184. </w:t>
      </w:r>
      <w:hyperlink r:id="rId25">
        <w:r>
          <w:rPr>
            <w:rFonts w:ascii="Times New Roman" w:eastAsia="Times New Roman" w:hAnsi="Times New Roman"/>
            <w:color w:val="0563C1"/>
            <w:sz w:val="24"/>
            <w:szCs w:val="24"/>
            <w:u w:val="single"/>
          </w:rPr>
          <w:t>https://doi.org/10.1016/S0378-4290(01)00137-X</w:t>
        </w:r>
      </w:hyperlink>
    </w:p>
    <w:p w14:paraId="40578E5E" w14:textId="77777777" w:rsidR="00A81D66" w:rsidRDefault="00000000">
      <w:pPr>
        <w:pStyle w:val="ListParagraph"/>
        <w:ind w:hanging="720"/>
      </w:pPr>
      <w:r>
        <w:rPr>
          <w:rFonts w:ascii="Times New Roman" w:eastAsia="Times New Roman" w:hAnsi="Times New Roman"/>
          <w:sz w:val="24"/>
        </w:rPr>
        <w:lastRenderedPageBreak/>
        <w:t>Dada, O. A., Adeyemo, T. O., Imade, F. N., &amp; Mavengahama, S. (2024). Evaluation of Bambara groundnut (</w:t>
      </w:r>
      <w:r>
        <w:rPr>
          <w:rFonts w:ascii="Times New Roman" w:eastAsia="Times New Roman" w:hAnsi="Times New Roman"/>
          <w:i/>
          <w:sz w:val="24"/>
        </w:rPr>
        <w:t>Vigna subterranea</w:t>
      </w:r>
      <w:r>
        <w:rPr>
          <w:rFonts w:ascii="Times New Roman" w:eastAsia="Times New Roman" w:hAnsi="Times New Roman"/>
          <w:sz w:val="24"/>
        </w:rPr>
        <w:t xml:space="preserve"> [L.] Verdc.) accessions for growth, phytochemical, and proximate-related traits for improvement program. </w:t>
      </w:r>
      <w:r>
        <w:rPr>
          <w:rFonts w:ascii="Times New Roman" w:eastAsia="Times New Roman" w:hAnsi="Times New Roman"/>
          <w:i/>
          <w:sz w:val="24"/>
        </w:rPr>
        <w:t>Advances in Agriculture, 2024</w:t>
      </w:r>
      <w:r>
        <w:rPr>
          <w:rFonts w:ascii="Times New Roman" w:eastAsia="Times New Roman" w:hAnsi="Times New Roman"/>
          <w:sz w:val="24"/>
        </w:rPr>
        <w:t xml:space="preserve">, 6753378. </w:t>
      </w:r>
      <w:hyperlink r:id="rId26">
        <w:r w:rsidR="00A81D66">
          <w:rPr>
            <w:rFonts w:ascii="Times New Roman" w:eastAsia="Times New Roman" w:hAnsi="Times New Roman"/>
            <w:color w:val="0563C1"/>
            <w:sz w:val="24"/>
            <w:szCs w:val="24"/>
            <w:u w:val="single"/>
          </w:rPr>
          <w:t>https://doi.org/10.1155/2024/6753378</w:t>
        </w:r>
      </w:hyperlink>
    </w:p>
    <w:p w14:paraId="79FD7008" w14:textId="77777777" w:rsidR="00C01EBD" w:rsidRPr="0007649A" w:rsidRDefault="00C01EBD" w:rsidP="00C01EBD">
      <w:pPr>
        <w:pStyle w:val="ListParagraph"/>
        <w:rPr>
          <w:rFonts w:ascii="Times New Roman" w:hAnsi="Times New Roman" w:cs="Times New Roman"/>
          <w:sz w:val="12"/>
          <w:szCs w:val="12"/>
        </w:rPr>
      </w:pPr>
    </w:p>
    <w:p w14:paraId="0ABFD27A"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El Haddad, N., Choukri, H., Ghanem, M. E., Smouni, A., Mentag, R., Rajendran, K., Hejjaoui, K., Maalouf, F., &amp; Kumar, S. (2022). High-temperature and drought stress effects on growth, yield and nutritional quality with transpiration response to vapour pressure deficit in lentil. </w:t>
      </w:r>
      <w:r>
        <w:rPr>
          <w:rFonts w:ascii="Times New Roman" w:eastAsia="Times New Roman" w:hAnsi="Times New Roman"/>
          <w:i/>
          <w:sz w:val="24"/>
        </w:rPr>
        <w:t>Plants, 11</w:t>
      </w:r>
      <w:r>
        <w:rPr>
          <w:rFonts w:ascii="Times New Roman" w:eastAsia="Times New Roman" w:hAnsi="Times New Roman"/>
          <w:sz w:val="24"/>
        </w:rPr>
        <w:t xml:space="preserve">(1), 95. </w:t>
      </w:r>
      <w:hyperlink r:id="rId27">
        <w:r>
          <w:rPr>
            <w:rFonts w:ascii="Times New Roman" w:eastAsia="Times New Roman" w:hAnsi="Times New Roman"/>
            <w:color w:val="0563C1"/>
            <w:sz w:val="24"/>
            <w:szCs w:val="24"/>
            <w:u w:val="single"/>
          </w:rPr>
          <w:t>https://doi.org/10.3390/plants11010095</w:t>
        </w:r>
      </w:hyperlink>
    </w:p>
    <w:p w14:paraId="7BFA57A0" w14:textId="77777777" w:rsidR="00C01EBD" w:rsidRPr="00E77C11"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4E009600"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Estefan, G., Sommer, R., &amp; Ryan, J. (2013). </w:t>
      </w:r>
      <w:r>
        <w:rPr>
          <w:rFonts w:ascii="Times New Roman" w:eastAsia="Times New Roman" w:hAnsi="Times New Roman"/>
          <w:i/>
          <w:sz w:val="24"/>
        </w:rPr>
        <w:t>Methods of soil, plant, and water analysis: A manual for the West Asia and North Africa region</w:t>
      </w:r>
      <w:r>
        <w:rPr>
          <w:rFonts w:ascii="Times New Roman" w:eastAsia="Times New Roman" w:hAnsi="Times New Roman"/>
          <w:sz w:val="24"/>
        </w:rPr>
        <w:t xml:space="preserve"> (3rd ed.). International Center for Agricultural Research in the Dry Areas. </w:t>
      </w:r>
      <w:hyperlink r:id="rId28">
        <w:r>
          <w:rPr>
            <w:rFonts w:ascii="Times New Roman" w:eastAsia="Times New Roman" w:hAnsi="Times New Roman"/>
            <w:color w:val="0563C1"/>
            <w:sz w:val="24"/>
            <w:szCs w:val="24"/>
            <w:u w:val="single"/>
          </w:rPr>
          <w:t>https://repo.mel.cgiar.org/items/14bb2a3f-dc9e-455b-99e3-97f27ceb9e42</w:t>
        </w:r>
      </w:hyperlink>
    </w:p>
    <w:p w14:paraId="07876807" w14:textId="77777777" w:rsidR="00C01EBD" w:rsidRPr="0007649A" w:rsidRDefault="00C01EBD" w:rsidP="00C01EBD">
      <w:pPr>
        <w:pStyle w:val="ListParagraph"/>
        <w:spacing w:line="240" w:lineRule="auto"/>
        <w:jc w:val="both"/>
        <w:rPr>
          <w:rFonts w:ascii="Times New Roman" w:hAnsi="Times New Roman" w:cs="Times New Roman"/>
          <w:sz w:val="16"/>
          <w:szCs w:val="16"/>
        </w:rPr>
      </w:pPr>
    </w:p>
    <w:p w14:paraId="70AE88D7"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Food and Agriculture Organization of the United Nations. (2006). </w:t>
      </w:r>
      <w:r>
        <w:rPr>
          <w:rFonts w:ascii="Times New Roman" w:eastAsia="Times New Roman" w:hAnsi="Times New Roman"/>
          <w:i/>
          <w:sz w:val="24"/>
        </w:rPr>
        <w:t>Guidelines for soil description</w:t>
      </w:r>
      <w:r>
        <w:rPr>
          <w:rFonts w:ascii="Times New Roman" w:eastAsia="Times New Roman" w:hAnsi="Times New Roman"/>
          <w:sz w:val="24"/>
        </w:rPr>
        <w:t xml:space="preserve"> (4th ed.). FAO. </w:t>
      </w:r>
      <w:hyperlink r:id="rId29">
        <w:r>
          <w:rPr>
            <w:rFonts w:ascii="Times New Roman" w:eastAsia="Times New Roman" w:hAnsi="Times New Roman"/>
            <w:color w:val="0563C1"/>
            <w:sz w:val="24"/>
            <w:szCs w:val="24"/>
            <w:u w:val="single"/>
          </w:rPr>
          <w:t>https://www.fao.org/4/a0541e/a0541e00.htm</w:t>
        </w:r>
      </w:hyperlink>
    </w:p>
    <w:p w14:paraId="72C49810" w14:textId="77777777" w:rsidR="00A072E7" w:rsidRPr="00A072E7" w:rsidRDefault="00A072E7" w:rsidP="00A072E7">
      <w:pPr>
        <w:pStyle w:val="ListParagraph"/>
        <w:rPr>
          <w:rFonts w:ascii="Times New Roman" w:hAnsi="Times New Roman" w:cs="Times New Roman"/>
          <w:sz w:val="12"/>
          <w:szCs w:val="12"/>
        </w:rPr>
      </w:pPr>
    </w:p>
    <w:p w14:paraId="7B0A96AB" w14:textId="77777777" w:rsidR="00A81D66" w:rsidRPr="00A31419" w:rsidRDefault="00000000">
      <w:pPr>
        <w:pStyle w:val="ListParagraph"/>
        <w:ind w:hanging="720"/>
        <w:rPr>
          <w:rFonts w:ascii="Times New Roman" w:hAnsi="Times New Roman" w:cs="Times New Roman"/>
          <w:bCs/>
          <w:sz w:val="24"/>
          <w:szCs w:val="24"/>
        </w:rPr>
      </w:pPr>
      <w:r w:rsidRPr="00A31419">
        <w:rPr>
          <w:rFonts w:ascii="Times New Roman" w:eastAsia="Times New Roman" w:hAnsi="Times New Roman"/>
          <w:bCs/>
          <w:sz w:val="24"/>
        </w:rPr>
        <w:t>Gao, X., Chai, H. H., Ho, W. K., Mayes, S., &amp; Massawe, F. (2023). Deciphering the molecular basis for photosynthetic parameters in Bambara groundnut (</w:t>
      </w:r>
      <w:r w:rsidRPr="00A31419">
        <w:rPr>
          <w:rFonts w:ascii="Times New Roman" w:eastAsia="Times New Roman" w:hAnsi="Times New Roman"/>
          <w:bCs/>
          <w:i/>
          <w:sz w:val="24"/>
        </w:rPr>
        <w:t>Vigna subterranea</w:t>
      </w:r>
      <w:r w:rsidRPr="00A31419">
        <w:rPr>
          <w:rFonts w:ascii="Times New Roman" w:eastAsia="Times New Roman" w:hAnsi="Times New Roman"/>
          <w:bCs/>
          <w:sz w:val="24"/>
        </w:rPr>
        <w:t xml:space="preserve"> L. Verdc.) under drought stress. </w:t>
      </w:r>
      <w:r w:rsidRPr="00A31419">
        <w:rPr>
          <w:rFonts w:ascii="Times New Roman" w:eastAsia="Times New Roman" w:hAnsi="Times New Roman"/>
          <w:bCs/>
          <w:i/>
          <w:sz w:val="24"/>
        </w:rPr>
        <w:t>BMC Plant Biology, 23</w:t>
      </w:r>
      <w:r w:rsidRPr="00A31419">
        <w:rPr>
          <w:rFonts w:ascii="Times New Roman" w:eastAsia="Times New Roman" w:hAnsi="Times New Roman"/>
          <w:bCs/>
          <w:sz w:val="24"/>
        </w:rPr>
        <w:t xml:space="preserve">, 287. </w:t>
      </w:r>
      <w:hyperlink r:id="rId30">
        <w:r w:rsidR="00A81D66" w:rsidRPr="00A31419">
          <w:rPr>
            <w:rFonts w:ascii="Times New Roman" w:eastAsia="Times New Roman" w:hAnsi="Times New Roman"/>
            <w:bCs/>
            <w:color w:val="0563C1"/>
            <w:sz w:val="24"/>
            <w:szCs w:val="24"/>
            <w:u w:val="single"/>
          </w:rPr>
          <w:t>https://doi.org/10.1186/s12870-023-04293-w</w:t>
        </w:r>
      </w:hyperlink>
    </w:p>
    <w:p w14:paraId="60431DDF" w14:textId="77777777" w:rsidR="00A81D66" w:rsidRDefault="00A81D66">
      <w:pPr>
        <w:pStyle w:val="ListParagraph"/>
      </w:pPr>
    </w:p>
    <w:p w14:paraId="09DDE8AE" w14:textId="77777777" w:rsidR="00A072E7" w:rsidRPr="00A072E7" w:rsidRDefault="00A072E7" w:rsidP="00A072E7">
      <w:pPr>
        <w:pStyle w:val="ListParagraph"/>
        <w:ind w:hanging="720"/>
        <w:rPr>
          <w:rFonts w:ascii="Times New Roman" w:hAnsi="Times New Roman" w:cs="Times New Roman"/>
          <w:sz w:val="24"/>
          <w:szCs w:val="24"/>
        </w:rPr>
      </w:pPr>
      <w:r>
        <w:rPr>
          <w:rFonts w:ascii="Times New Roman" w:eastAsia="Times New Roman" w:hAnsi="Times New Roman"/>
          <w:sz w:val="24"/>
        </w:rPr>
        <w:t>Gbarabe, R., &amp; Daye, B. (2024). Effect of different mulch materials on the growth and yield of maize (</w:t>
      </w:r>
      <w:r>
        <w:rPr>
          <w:rFonts w:ascii="Times New Roman" w:eastAsia="Times New Roman" w:hAnsi="Times New Roman"/>
          <w:i/>
          <w:sz w:val="24"/>
        </w:rPr>
        <w:t>Zea mays</w:t>
      </w:r>
      <w:r>
        <w:rPr>
          <w:rFonts w:ascii="Times New Roman" w:eastAsia="Times New Roman" w:hAnsi="Times New Roman"/>
          <w:sz w:val="24"/>
        </w:rPr>
        <w:t xml:space="preserve">) on coastal plain sand in Southern Nigeria. </w:t>
      </w:r>
      <w:r>
        <w:rPr>
          <w:rFonts w:ascii="Times New Roman" w:eastAsia="Times New Roman" w:hAnsi="Times New Roman"/>
          <w:i/>
          <w:sz w:val="24"/>
        </w:rPr>
        <w:t>African Journal of Agriculture and Food Science, 7</w:t>
      </w:r>
      <w:r>
        <w:rPr>
          <w:rFonts w:ascii="Times New Roman" w:eastAsia="Times New Roman" w:hAnsi="Times New Roman"/>
          <w:sz w:val="24"/>
        </w:rPr>
        <w:t xml:space="preserve">(1), 54–65. </w:t>
      </w:r>
      <w:hyperlink r:id="rId31">
        <w:r>
          <w:rPr>
            <w:rFonts w:ascii="Times New Roman" w:eastAsia="Times New Roman" w:hAnsi="Times New Roman"/>
            <w:color w:val="0563C1"/>
            <w:sz w:val="24"/>
            <w:szCs w:val="24"/>
            <w:u w:val="single"/>
          </w:rPr>
          <w:t>https://doi.org/10.52589/AJAFS-A7GABMWK</w:t>
        </w:r>
      </w:hyperlink>
    </w:p>
    <w:p w14:paraId="21340792" w14:textId="77777777" w:rsidR="00A072E7" w:rsidRPr="00A072E7" w:rsidRDefault="00A072E7" w:rsidP="00A072E7">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641333E5" w14:textId="77777777" w:rsidR="00C01EBD" w:rsidRPr="00A072E7"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4"/>
          <w:szCs w:val="4"/>
        </w:rPr>
      </w:pPr>
    </w:p>
    <w:p w14:paraId="4FBAB973"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Bogale, A., &amp; Tesfaye, K. (2011). Response of Ethiopian durum wheat genotypes to water deficit induced at various growth stages. </w:t>
      </w:r>
      <w:r>
        <w:rPr>
          <w:rFonts w:ascii="Times New Roman" w:eastAsia="Times New Roman" w:hAnsi="Times New Roman"/>
          <w:i/>
          <w:sz w:val="24"/>
        </w:rPr>
        <w:t>African Journal of Plant Science, 5</w:t>
      </w:r>
      <w:r>
        <w:rPr>
          <w:rFonts w:ascii="Times New Roman" w:eastAsia="Times New Roman" w:hAnsi="Times New Roman"/>
          <w:sz w:val="24"/>
        </w:rPr>
        <w:t xml:space="preserve">(15), 855–861. </w:t>
      </w:r>
      <w:hyperlink r:id="rId32">
        <w:r>
          <w:rPr>
            <w:rFonts w:ascii="Times New Roman" w:eastAsia="Times New Roman" w:hAnsi="Times New Roman"/>
            <w:color w:val="0563C1"/>
            <w:sz w:val="24"/>
            <w:szCs w:val="24"/>
            <w:u w:val="single"/>
          </w:rPr>
          <w:t>https://doi.org/10.5897/AJPS10.198</w:t>
        </w:r>
      </w:hyperlink>
    </w:p>
    <w:p w14:paraId="496941C6" w14:textId="77777777" w:rsidR="00C01EBD" w:rsidRPr="0007649A" w:rsidRDefault="00C01EBD" w:rsidP="00C01EBD">
      <w:pPr>
        <w:pStyle w:val="ListParagraph"/>
        <w:spacing w:line="240" w:lineRule="auto"/>
        <w:jc w:val="both"/>
        <w:rPr>
          <w:rFonts w:ascii="Times New Roman" w:hAnsi="Times New Roman" w:cs="Times New Roman"/>
          <w:sz w:val="16"/>
          <w:szCs w:val="16"/>
        </w:rPr>
      </w:pPr>
    </w:p>
    <w:p w14:paraId="660D3054"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Gupta, A., Rico-Medina, A., &amp; Caño-Delgado, A. I. (2020). The physiology of plant responses to drought. </w:t>
      </w:r>
      <w:r>
        <w:rPr>
          <w:rFonts w:ascii="Times New Roman" w:eastAsia="Times New Roman" w:hAnsi="Times New Roman"/>
          <w:i/>
          <w:sz w:val="24"/>
        </w:rPr>
        <w:t>Science, 368</w:t>
      </w:r>
      <w:r>
        <w:rPr>
          <w:rFonts w:ascii="Times New Roman" w:eastAsia="Times New Roman" w:hAnsi="Times New Roman"/>
          <w:sz w:val="24"/>
        </w:rPr>
        <w:t xml:space="preserve">(6488), 266–269. </w:t>
      </w:r>
      <w:hyperlink r:id="rId33">
        <w:r>
          <w:rPr>
            <w:rFonts w:ascii="Times New Roman" w:eastAsia="Times New Roman" w:hAnsi="Times New Roman"/>
            <w:color w:val="0563C1"/>
            <w:sz w:val="24"/>
            <w:szCs w:val="24"/>
            <w:u w:val="single"/>
          </w:rPr>
          <w:t>https://doi.org/10.1126/science.aaz7614</w:t>
        </w:r>
      </w:hyperlink>
    </w:p>
    <w:p w14:paraId="2303F9D5" w14:textId="77777777" w:rsidR="00C01EBD" w:rsidRPr="0007649A" w:rsidRDefault="00C01EBD" w:rsidP="00C01EBD">
      <w:pPr>
        <w:pStyle w:val="ListParagraph"/>
        <w:spacing w:line="240" w:lineRule="auto"/>
        <w:jc w:val="both"/>
        <w:rPr>
          <w:rFonts w:ascii="Times New Roman" w:hAnsi="Times New Roman" w:cs="Times New Roman"/>
          <w:sz w:val="12"/>
          <w:szCs w:val="12"/>
        </w:rPr>
      </w:pPr>
    </w:p>
    <w:p w14:paraId="6A9428C2" w14:textId="01FD05B0"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Hanna, W. J. (1964). Methods for chemical analysis of soils. In F. E. Bear (Ed.), </w:t>
      </w:r>
      <w:r>
        <w:rPr>
          <w:rFonts w:ascii="Times New Roman" w:eastAsia="Times New Roman" w:hAnsi="Times New Roman"/>
          <w:i/>
          <w:sz w:val="24"/>
        </w:rPr>
        <w:t>Chemistry of the soil</w:t>
      </w:r>
      <w:r>
        <w:rPr>
          <w:rFonts w:ascii="Times New Roman" w:eastAsia="Times New Roman" w:hAnsi="Times New Roman"/>
          <w:sz w:val="24"/>
        </w:rPr>
        <w:t xml:space="preserve"> (2nd ed., pp. 474–502). Reinhold Publishing Corporation. </w:t>
      </w:r>
    </w:p>
    <w:p w14:paraId="50EC8626" w14:textId="77777777" w:rsidR="00C01EBD" w:rsidRPr="0007649A" w:rsidRDefault="00C01EBD" w:rsidP="00C01EBD">
      <w:pPr>
        <w:pStyle w:val="ListParagraph"/>
        <w:spacing w:line="240" w:lineRule="auto"/>
        <w:jc w:val="both"/>
        <w:rPr>
          <w:rFonts w:ascii="Times New Roman" w:hAnsi="Times New Roman" w:cs="Times New Roman"/>
          <w:sz w:val="12"/>
          <w:szCs w:val="12"/>
        </w:rPr>
      </w:pPr>
    </w:p>
    <w:p w14:paraId="1CE33A52"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Hillocks, R. J., Bennett, C., &amp; Mponda, O. M. (2012). Bambara nut: A review of utilisation, market potential and crop improvement. </w:t>
      </w:r>
      <w:r>
        <w:rPr>
          <w:rFonts w:ascii="Times New Roman" w:eastAsia="Times New Roman" w:hAnsi="Times New Roman"/>
          <w:i/>
          <w:sz w:val="24"/>
        </w:rPr>
        <w:t>African Crop Science Journal, 20</w:t>
      </w:r>
      <w:r>
        <w:rPr>
          <w:rFonts w:ascii="Times New Roman" w:eastAsia="Times New Roman" w:hAnsi="Times New Roman"/>
          <w:sz w:val="24"/>
        </w:rPr>
        <w:t xml:space="preserve">(1), 1–16. </w:t>
      </w:r>
      <w:hyperlink r:id="rId34">
        <w:r>
          <w:rPr>
            <w:rFonts w:ascii="Times New Roman" w:eastAsia="Times New Roman" w:hAnsi="Times New Roman"/>
            <w:color w:val="0563C1"/>
            <w:sz w:val="24"/>
            <w:szCs w:val="24"/>
            <w:u w:val="single"/>
          </w:rPr>
          <w:t>https://gala.gre.ac.uk/id/eprint/23577/</w:t>
        </w:r>
      </w:hyperlink>
    </w:p>
    <w:p w14:paraId="54411F73" w14:textId="77777777" w:rsidR="00C01EBD" w:rsidRPr="00E77C11"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61605970"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Hossain, A., Farooq, M., El Sabagh, A., Hasanuzzaman, M., Erman, M., &amp; Islam, T. (2020). Morphological, physiobiochemical and molecular adaptability of legumes of Fabaceae to drought stress, with special reference to </w:t>
      </w:r>
      <w:r>
        <w:rPr>
          <w:rFonts w:ascii="Times New Roman" w:eastAsia="Times New Roman" w:hAnsi="Times New Roman"/>
          <w:i/>
          <w:sz w:val="24"/>
        </w:rPr>
        <w:t>Medicago sativa</w:t>
      </w:r>
      <w:r>
        <w:rPr>
          <w:rFonts w:ascii="Times New Roman" w:eastAsia="Times New Roman" w:hAnsi="Times New Roman"/>
          <w:sz w:val="24"/>
        </w:rPr>
        <w:t xml:space="preserve"> L. In M. Hasanuzzaman, S. Araújo, &amp; S. S. Gill (Eds.), </w:t>
      </w:r>
      <w:r>
        <w:rPr>
          <w:rFonts w:ascii="Times New Roman" w:eastAsia="Times New Roman" w:hAnsi="Times New Roman"/>
          <w:i/>
          <w:sz w:val="24"/>
        </w:rPr>
        <w:t>The plant family Fabaceae: Biology and physiological responses to environmental stresses</w:t>
      </w:r>
      <w:r>
        <w:rPr>
          <w:rFonts w:ascii="Times New Roman" w:eastAsia="Times New Roman" w:hAnsi="Times New Roman"/>
          <w:sz w:val="24"/>
        </w:rPr>
        <w:t xml:space="preserve"> (pp. 289–317). Springer. </w:t>
      </w:r>
      <w:hyperlink r:id="rId35">
        <w:r>
          <w:rPr>
            <w:rFonts w:ascii="Times New Roman" w:eastAsia="Times New Roman" w:hAnsi="Times New Roman"/>
            <w:color w:val="0563C1"/>
            <w:sz w:val="24"/>
            <w:szCs w:val="24"/>
            <w:u w:val="single"/>
          </w:rPr>
          <w:t>https://doi.org/10.1007/978-981-15-4752-2_11</w:t>
        </w:r>
      </w:hyperlink>
    </w:p>
    <w:p w14:paraId="485415A6"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5CCF53B9"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Jaleel, C. A., Manivannan, P., Sankar, B., Kishorekumar, A., Gopi, R., Somasundaram, R., &amp; Panneerselvam, R. (2007). Water deficit stress mitigation by calcium chloride in </w:t>
      </w:r>
      <w:r>
        <w:rPr>
          <w:rFonts w:ascii="Times New Roman" w:eastAsia="Times New Roman" w:hAnsi="Times New Roman"/>
          <w:i/>
          <w:sz w:val="24"/>
        </w:rPr>
        <w:t>Catharanthus roseus</w:t>
      </w:r>
      <w:r>
        <w:rPr>
          <w:rFonts w:ascii="Times New Roman" w:eastAsia="Times New Roman" w:hAnsi="Times New Roman"/>
          <w:sz w:val="24"/>
        </w:rPr>
        <w:t xml:space="preserve">: Effects on oxidative stress, proline metabolism and indole alkaloid accumulation. </w:t>
      </w:r>
      <w:r>
        <w:rPr>
          <w:rFonts w:ascii="Times New Roman" w:eastAsia="Times New Roman" w:hAnsi="Times New Roman"/>
          <w:i/>
          <w:sz w:val="24"/>
        </w:rPr>
        <w:t>Colloids and Surfaces B: Biointerfaces, 60</w:t>
      </w:r>
      <w:r>
        <w:rPr>
          <w:rFonts w:ascii="Times New Roman" w:eastAsia="Times New Roman" w:hAnsi="Times New Roman"/>
          <w:sz w:val="24"/>
        </w:rPr>
        <w:t xml:space="preserve">(1), 110–116. </w:t>
      </w:r>
      <w:hyperlink r:id="rId36">
        <w:r>
          <w:rPr>
            <w:rFonts w:ascii="Times New Roman" w:eastAsia="Times New Roman" w:hAnsi="Times New Roman"/>
            <w:color w:val="0563C1"/>
            <w:sz w:val="24"/>
            <w:szCs w:val="24"/>
            <w:u w:val="single"/>
          </w:rPr>
          <w:t>https://doi.org/10.1016/j.colsurfb.2007.06.006</w:t>
        </w:r>
      </w:hyperlink>
    </w:p>
    <w:p w14:paraId="18CBD8EB"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4"/>
          <w:szCs w:val="14"/>
        </w:rPr>
      </w:pPr>
    </w:p>
    <w:p w14:paraId="5F4D7ABF" w14:textId="07D498F8"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lastRenderedPageBreak/>
        <w:t xml:space="preserve">Jackson, M. L. (1969). </w:t>
      </w:r>
      <w:r>
        <w:rPr>
          <w:rFonts w:ascii="Times New Roman" w:eastAsia="Times New Roman" w:hAnsi="Times New Roman"/>
          <w:i/>
          <w:sz w:val="24"/>
        </w:rPr>
        <w:t>Soil chemical analysis—Advanced course</w:t>
      </w:r>
      <w:r>
        <w:rPr>
          <w:rFonts w:ascii="Times New Roman" w:eastAsia="Times New Roman" w:hAnsi="Times New Roman"/>
          <w:sz w:val="24"/>
        </w:rPr>
        <w:t xml:space="preserve"> (2nd ed.). M. L. Jackson. </w:t>
      </w:r>
    </w:p>
    <w:p w14:paraId="3A6AE740"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32365160"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Volaire, F. (2018). A unified framework of plant adaptive strategies to drought: Crossing scales and disciplines. </w:t>
      </w:r>
      <w:r>
        <w:rPr>
          <w:rFonts w:ascii="Times New Roman" w:eastAsia="Times New Roman" w:hAnsi="Times New Roman"/>
          <w:i/>
          <w:sz w:val="24"/>
        </w:rPr>
        <w:t>Global Change Biology, 24</w:t>
      </w:r>
      <w:r>
        <w:rPr>
          <w:rFonts w:ascii="Times New Roman" w:eastAsia="Times New Roman" w:hAnsi="Times New Roman"/>
          <w:sz w:val="24"/>
        </w:rPr>
        <w:t xml:space="preserve">(7), 2929–2938. </w:t>
      </w:r>
      <w:hyperlink r:id="rId37">
        <w:r>
          <w:rPr>
            <w:rFonts w:ascii="Times New Roman" w:eastAsia="Times New Roman" w:hAnsi="Times New Roman"/>
            <w:color w:val="0563C1"/>
            <w:sz w:val="24"/>
            <w:szCs w:val="24"/>
            <w:u w:val="single"/>
          </w:rPr>
          <w:t>https://doi.org/10.1111/gcb.14062</w:t>
        </w:r>
      </w:hyperlink>
    </w:p>
    <w:p w14:paraId="68DCA285" w14:textId="77777777" w:rsidR="00C01EBD" w:rsidRPr="00E77C11" w:rsidRDefault="00C01EBD" w:rsidP="00C01EBD">
      <w:pPr>
        <w:pStyle w:val="ListParagraph"/>
        <w:rPr>
          <w:rFonts w:ascii="Times New Roman" w:hAnsi="Times New Roman" w:cs="Times New Roman"/>
          <w:sz w:val="2"/>
          <w:szCs w:val="2"/>
        </w:rPr>
      </w:pPr>
    </w:p>
    <w:p w14:paraId="7353AF91"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8"/>
          <w:szCs w:val="8"/>
        </w:rPr>
      </w:pPr>
    </w:p>
    <w:p w14:paraId="6C83330D" w14:textId="77777777" w:rsidR="00C01EBD"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Kumar, S., Sachdeva, S., Bhat, K. V., &amp; Vats, S. (2018). Plant responses to drought stress: Physiological, biochemical and molecular basis. In S. Vats (Ed.), </w:t>
      </w:r>
      <w:r>
        <w:rPr>
          <w:rFonts w:ascii="Times New Roman" w:eastAsia="Times New Roman" w:hAnsi="Times New Roman"/>
          <w:i/>
          <w:sz w:val="24"/>
        </w:rPr>
        <w:t>Biotic and abiotic stress tolerance in plants</w:t>
      </w:r>
      <w:r>
        <w:rPr>
          <w:rFonts w:ascii="Times New Roman" w:eastAsia="Times New Roman" w:hAnsi="Times New Roman"/>
          <w:sz w:val="24"/>
        </w:rPr>
        <w:t xml:space="preserve"> (pp. 1–25). Springer. </w:t>
      </w:r>
      <w:hyperlink r:id="rId38">
        <w:r>
          <w:rPr>
            <w:rFonts w:ascii="Times New Roman" w:eastAsia="Times New Roman" w:hAnsi="Times New Roman"/>
            <w:color w:val="0563C1"/>
            <w:sz w:val="24"/>
            <w:szCs w:val="24"/>
            <w:u w:val="single"/>
          </w:rPr>
          <w:t>https://doi.org/10.1007/978-981-10-9029-5_1</w:t>
        </w:r>
      </w:hyperlink>
    </w:p>
    <w:p w14:paraId="004A70CA" w14:textId="77777777" w:rsidR="00C01EBD" w:rsidRPr="0007649A"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42D59A9F"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Lal, R. (2020). Regenerative agriculture for food and climate. </w:t>
      </w:r>
      <w:r>
        <w:rPr>
          <w:rFonts w:ascii="Times New Roman" w:eastAsia="Times New Roman" w:hAnsi="Times New Roman"/>
          <w:i/>
          <w:sz w:val="24"/>
        </w:rPr>
        <w:t>Journal of Soil and Water Conservation, 75</w:t>
      </w:r>
      <w:r>
        <w:rPr>
          <w:rFonts w:ascii="Times New Roman" w:eastAsia="Times New Roman" w:hAnsi="Times New Roman"/>
          <w:sz w:val="24"/>
        </w:rPr>
        <w:t xml:space="preserve">(5), 123A–124A. </w:t>
      </w:r>
      <w:hyperlink r:id="rId39">
        <w:r>
          <w:rPr>
            <w:rFonts w:ascii="Times New Roman" w:eastAsia="Times New Roman" w:hAnsi="Times New Roman"/>
            <w:color w:val="0563C1"/>
            <w:sz w:val="24"/>
            <w:szCs w:val="24"/>
            <w:u w:val="single"/>
          </w:rPr>
          <w:t>https://doi.org/10.2489/jswc.2020.0620A</w:t>
        </w:r>
      </w:hyperlink>
    </w:p>
    <w:p w14:paraId="1799AA2B" w14:textId="77777777" w:rsidR="00C01EBD" w:rsidRPr="0007649A" w:rsidRDefault="00C01EBD" w:rsidP="00C01EBD">
      <w:pPr>
        <w:pStyle w:val="ListParagraph"/>
        <w:rPr>
          <w:rFonts w:ascii="Times New Roman" w:hAnsi="Times New Roman" w:cs="Times New Roman"/>
          <w:sz w:val="8"/>
          <w:szCs w:val="8"/>
        </w:rPr>
      </w:pPr>
    </w:p>
    <w:p w14:paraId="7D2204C4" w14:textId="7A14B79A"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Landon, J. R. (1991). </w:t>
      </w:r>
      <w:r>
        <w:rPr>
          <w:rFonts w:ascii="Times New Roman" w:eastAsia="Times New Roman" w:hAnsi="Times New Roman"/>
          <w:i/>
          <w:sz w:val="24"/>
        </w:rPr>
        <w:t>Booker tropical soil manual: A handbook for soil survey and agricultural land evaluation in the tropics and subtropics</w:t>
      </w:r>
      <w:r>
        <w:rPr>
          <w:rFonts w:ascii="Times New Roman" w:eastAsia="Times New Roman" w:hAnsi="Times New Roman"/>
          <w:sz w:val="24"/>
        </w:rPr>
        <w:t xml:space="preserve">. Longman Scientific &amp; Technical. </w:t>
      </w:r>
    </w:p>
    <w:p w14:paraId="1D1DC88B" w14:textId="77777777" w:rsidR="00C01EBD" w:rsidRPr="0007649A" w:rsidRDefault="00C01EBD" w:rsidP="00C01EBD">
      <w:pPr>
        <w:pStyle w:val="ListParagraph"/>
        <w:spacing w:line="240" w:lineRule="auto"/>
        <w:jc w:val="both"/>
        <w:rPr>
          <w:rFonts w:ascii="Times New Roman" w:hAnsi="Times New Roman" w:cs="Times New Roman"/>
          <w:sz w:val="10"/>
          <w:szCs w:val="10"/>
        </w:rPr>
      </w:pPr>
    </w:p>
    <w:p w14:paraId="1AA3415C" w14:textId="77777777" w:rsidR="00C01EBD" w:rsidRPr="00A31419" w:rsidRDefault="00C01EBD" w:rsidP="00C01EBD">
      <w:pPr>
        <w:pStyle w:val="ListParagraph"/>
        <w:spacing w:line="240" w:lineRule="auto"/>
        <w:ind w:hanging="720"/>
        <w:jc w:val="both"/>
        <w:rPr>
          <w:rFonts w:ascii="Times New Roman" w:hAnsi="Times New Roman" w:cs="Times New Roman"/>
          <w:sz w:val="24"/>
          <w:szCs w:val="24"/>
          <w:lang w:val="nl-BE"/>
        </w:rPr>
      </w:pPr>
      <w:r>
        <w:rPr>
          <w:rFonts w:ascii="Times New Roman" w:eastAsia="Times New Roman" w:hAnsi="Times New Roman"/>
          <w:sz w:val="24"/>
        </w:rPr>
        <w:t xml:space="preserve">Lim, P. O., Kim, H. J., &amp; Nam, H. G. (2007). Leaf senescence. </w:t>
      </w:r>
      <w:r>
        <w:rPr>
          <w:rFonts w:ascii="Times New Roman" w:eastAsia="Times New Roman" w:hAnsi="Times New Roman"/>
          <w:i/>
          <w:sz w:val="24"/>
        </w:rPr>
        <w:t>Annual Review of Plant Biology, 58</w:t>
      </w:r>
      <w:r>
        <w:rPr>
          <w:rFonts w:ascii="Times New Roman" w:eastAsia="Times New Roman" w:hAnsi="Times New Roman"/>
          <w:sz w:val="24"/>
        </w:rPr>
        <w:t xml:space="preserve">, 115–136. </w:t>
      </w:r>
      <w:hyperlink r:id="rId40">
        <w:r w:rsidRPr="00A31419">
          <w:rPr>
            <w:rFonts w:ascii="Times New Roman" w:eastAsia="Times New Roman" w:hAnsi="Times New Roman"/>
            <w:color w:val="0563C1"/>
            <w:sz w:val="24"/>
            <w:szCs w:val="24"/>
            <w:u w:val="single"/>
            <w:lang w:val="nl-BE"/>
          </w:rPr>
          <w:t>https://doi.org/10.1146/annurev.arplant.57.032905.105316</w:t>
        </w:r>
      </w:hyperlink>
    </w:p>
    <w:p w14:paraId="040F1721" w14:textId="77777777" w:rsidR="00C01EBD" w:rsidRPr="00A31419" w:rsidRDefault="00C01EBD" w:rsidP="00C01EBD">
      <w:pPr>
        <w:pStyle w:val="ListParagraph"/>
        <w:spacing w:line="240" w:lineRule="auto"/>
        <w:jc w:val="both"/>
        <w:rPr>
          <w:rFonts w:ascii="Times New Roman" w:hAnsi="Times New Roman" w:cs="Times New Roman"/>
          <w:sz w:val="14"/>
          <w:szCs w:val="14"/>
          <w:lang w:val="nl-BE"/>
        </w:rPr>
      </w:pPr>
    </w:p>
    <w:p w14:paraId="51F70303" w14:textId="77777777" w:rsidR="00C01EBD" w:rsidRDefault="00C01EBD" w:rsidP="00C01EBD">
      <w:pPr>
        <w:pStyle w:val="ListParagraph"/>
        <w:spacing w:line="240" w:lineRule="auto"/>
        <w:ind w:hanging="720"/>
        <w:jc w:val="both"/>
        <w:rPr>
          <w:rFonts w:ascii="Times New Roman" w:hAnsi="Times New Roman" w:cs="Times New Roman"/>
          <w:sz w:val="24"/>
          <w:szCs w:val="24"/>
        </w:rPr>
      </w:pPr>
      <w:r w:rsidRPr="00A31419">
        <w:rPr>
          <w:rFonts w:ascii="Times New Roman" w:eastAsia="Times New Roman" w:hAnsi="Times New Roman"/>
          <w:sz w:val="24"/>
          <w:lang w:val="nl-BE"/>
        </w:rPr>
        <w:t xml:space="preserve">Mabhaudhi, T., Modi, A. T., &amp; Beletse, Y. G. (2013). </w:t>
      </w:r>
      <w:r>
        <w:rPr>
          <w:rFonts w:ascii="Times New Roman" w:eastAsia="Times New Roman" w:hAnsi="Times New Roman"/>
          <w:sz w:val="24"/>
        </w:rPr>
        <w:t>Growth, phenological and yield responses of a Bambara groundnut (</w:t>
      </w:r>
      <w:r>
        <w:rPr>
          <w:rFonts w:ascii="Times New Roman" w:eastAsia="Times New Roman" w:hAnsi="Times New Roman"/>
          <w:i/>
          <w:sz w:val="24"/>
        </w:rPr>
        <w:t>Vigna subterranea</w:t>
      </w:r>
      <w:r>
        <w:rPr>
          <w:rFonts w:ascii="Times New Roman" w:eastAsia="Times New Roman" w:hAnsi="Times New Roman"/>
          <w:sz w:val="24"/>
        </w:rPr>
        <w:t xml:space="preserve"> L. Verdc.) landrace to imposed water stress: II. Rain shelter conditions. </w:t>
      </w:r>
      <w:r>
        <w:rPr>
          <w:rFonts w:ascii="Times New Roman" w:eastAsia="Times New Roman" w:hAnsi="Times New Roman"/>
          <w:i/>
          <w:sz w:val="24"/>
        </w:rPr>
        <w:t>Water SA, 39</w:t>
      </w:r>
      <w:r>
        <w:rPr>
          <w:rFonts w:ascii="Times New Roman" w:eastAsia="Times New Roman" w:hAnsi="Times New Roman"/>
          <w:sz w:val="24"/>
        </w:rPr>
        <w:t xml:space="preserve">(2), 191–198. </w:t>
      </w:r>
      <w:hyperlink r:id="rId41">
        <w:r>
          <w:rPr>
            <w:rFonts w:ascii="Times New Roman" w:eastAsia="Times New Roman" w:hAnsi="Times New Roman"/>
            <w:color w:val="0563C1"/>
            <w:sz w:val="24"/>
            <w:szCs w:val="24"/>
            <w:u w:val="single"/>
          </w:rPr>
          <w:t>https://doi.org/10.4314/wsa.v39i2.2</w:t>
        </w:r>
      </w:hyperlink>
    </w:p>
    <w:p w14:paraId="0C3B6282" w14:textId="77777777" w:rsidR="00C01EBD" w:rsidRPr="00E77C11" w:rsidRDefault="00C01EBD" w:rsidP="00C01EBD">
      <w:pPr>
        <w:pStyle w:val="ListParagraph"/>
        <w:rPr>
          <w:rFonts w:ascii="Times New Roman" w:hAnsi="Times New Roman" w:cs="Times New Roman"/>
          <w:sz w:val="8"/>
          <w:szCs w:val="8"/>
        </w:rPr>
      </w:pPr>
    </w:p>
    <w:p w14:paraId="5D3ED597" w14:textId="77777777" w:rsidR="00C01EBD" w:rsidRDefault="00C01EBD" w:rsidP="00C01EBD">
      <w:pPr>
        <w:pStyle w:val="ListParagraph"/>
        <w:tabs>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Mabhaudhi, T., Chibarabada, T. P., Chimonyo, V. G. P., &amp; Modi, A. T. (2018). Modelling climate change impact: A case of Bambara groundnut (</w:t>
      </w:r>
      <w:r>
        <w:rPr>
          <w:rFonts w:ascii="Times New Roman" w:eastAsia="Times New Roman" w:hAnsi="Times New Roman"/>
          <w:i/>
          <w:sz w:val="24"/>
        </w:rPr>
        <w:t>Vigna subterranea</w:t>
      </w:r>
      <w:r>
        <w:rPr>
          <w:rFonts w:ascii="Times New Roman" w:eastAsia="Times New Roman" w:hAnsi="Times New Roman"/>
          <w:sz w:val="24"/>
        </w:rPr>
        <w:t xml:space="preserve">). </w:t>
      </w:r>
      <w:r>
        <w:rPr>
          <w:rFonts w:ascii="Times New Roman" w:eastAsia="Times New Roman" w:hAnsi="Times New Roman"/>
          <w:i/>
          <w:sz w:val="24"/>
        </w:rPr>
        <w:t>Physics and Chemistry of the Earth, Parts A/B/C, 105</w:t>
      </w:r>
      <w:r>
        <w:rPr>
          <w:rFonts w:ascii="Times New Roman" w:eastAsia="Times New Roman" w:hAnsi="Times New Roman"/>
          <w:sz w:val="24"/>
        </w:rPr>
        <w:t xml:space="preserve">, 25–31. </w:t>
      </w:r>
      <w:hyperlink r:id="rId42">
        <w:r>
          <w:rPr>
            <w:rFonts w:ascii="Times New Roman" w:eastAsia="Times New Roman" w:hAnsi="Times New Roman"/>
            <w:color w:val="0563C1"/>
            <w:sz w:val="24"/>
            <w:szCs w:val="24"/>
            <w:u w:val="single"/>
          </w:rPr>
          <w:t>https://doi.org/10.1016/j.pce.2018.01.003</w:t>
        </w:r>
      </w:hyperlink>
    </w:p>
    <w:p w14:paraId="4E94DCD1"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4"/>
          <w:szCs w:val="14"/>
        </w:rPr>
      </w:pPr>
    </w:p>
    <w:p w14:paraId="3FE82B65" w14:textId="77777777" w:rsidR="00C01EBD" w:rsidRDefault="00C01EBD" w:rsidP="00C01EBD">
      <w:pPr>
        <w:pStyle w:val="ListParagraph"/>
        <w:tabs>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Majola, N. G., Gerrano, A. S., &amp; Shimelis, H. (2021). Bambara groundnut (</w:t>
      </w:r>
      <w:r>
        <w:rPr>
          <w:rFonts w:ascii="Times New Roman" w:eastAsia="Times New Roman" w:hAnsi="Times New Roman"/>
          <w:i/>
          <w:sz w:val="24"/>
        </w:rPr>
        <w:t>Vigna subterranea</w:t>
      </w:r>
      <w:r>
        <w:rPr>
          <w:rFonts w:ascii="Times New Roman" w:eastAsia="Times New Roman" w:hAnsi="Times New Roman"/>
          <w:sz w:val="24"/>
        </w:rPr>
        <w:t xml:space="preserve"> [L.] Verdc.) production, utilisation and genetic improvement in Sub-Saharan Africa. </w:t>
      </w:r>
      <w:r>
        <w:rPr>
          <w:rFonts w:ascii="Times New Roman" w:eastAsia="Times New Roman" w:hAnsi="Times New Roman"/>
          <w:i/>
          <w:sz w:val="24"/>
        </w:rPr>
        <w:t>Agronomy, 11</w:t>
      </w:r>
      <w:r>
        <w:rPr>
          <w:rFonts w:ascii="Times New Roman" w:eastAsia="Times New Roman" w:hAnsi="Times New Roman"/>
          <w:sz w:val="24"/>
        </w:rPr>
        <w:t xml:space="preserve">(7), 1345. </w:t>
      </w:r>
      <w:hyperlink r:id="rId43">
        <w:r>
          <w:rPr>
            <w:rFonts w:ascii="Times New Roman" w:eastAsia="Times New Roman" w:hAnsi="Times New Roman"/>
            <w:color w:val="0563C1"/>
            <w:sz w:val="24"/>
            <w:szCs w:val="24"/>
            <w:u w:val="single"/>
          </w:rPr>
          <w:t>https://doi.org/10.3390/agronomy11071345</w:t>
        </w:r>
      </w:hyperlink>
    </w:p>
    <w:p w14:paraId="48D5A9FE"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0"/>
          <w:szCs w:val="20"/>
        </w:rPr>
      </w:pPr>
    </w:p>
    <w:p w14:paraId="47E7491E"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Cheng, S., Zou, Y.-N., Kuča, K., Hashem, A., Abd_Allah, E. F., &amp; Wu, Q.-S. (2021). Elucidating the mechanisms underlying enhanced drought tolerance in plants mediated by arbuscular mycorrhizal fungi. </w:t>
      </w:r>
      <w:r>
        <w:rPr>
          <w:rFonts w:ascii="Times New Roman" w:eastAsia="Times New Roman" w:hAnsi="Times New Roman"/>
          <w:i/>
          <w:sz w:val="24"/>
        </w:rPr>
        <w:t>Frontiers in Microbiology, 12</w:t>
      </w:r>
      <w:r>
        <w:rPr>
          <w:rFonts w:ascii="Times New Roman" w:eastAsia="Times New Roman" w:hAnsi="Times New Roman"/>
          <w:sz w:val="24"/>
        </w:rPr>
        <w:t xml:space="preserve">, 809473. </w:t>
      </w:r>
      <w:hyperlink r:id="rId44">
        <w:r>
          <w:rPr>
            <w:rFonts w:ascii="Times New Roman" w:eastAsia="Times New Roman" w:hAnsi="Times New Roman"/>
            <w:color w:val="0563C1"/>
            <w:sz w:val="24"/>
            <w:szCs w:val="24"/>
            <w:u w:val="single"/>
          </w:rPr>
          <w:t>https://doi.org/10.3389/fmicb.2021.809473</w:t>
        </w:r>
      </w:hyperlink>
    </w:p>
    <w:p w14:paraId="0EECE78E" w14:textId="77777777" w:rsidR="00C01EBD" w:rsidRPr="0007649A" w:rsidRDefault="00C01EBD" w:rsidP="00C01EBD">
      <w:pPr>
        <w:pStyle w:val="NoSpacing"/>
        <w:ind w:left="720" w:hanging="720"/>
        <w:jc w:val="both"/>
        <w:rPr>
          <w:rFonts w:ascii="Times New Roman" w:hAnsi="Times New Roman" w:cs="Times New Roman"/>
          <w:sz w:val="24"/>
          <w:szCs w:val="24"/>
        </w:rPr>
      </w:pPr>
      <w:r>
        <w:rPr>
          <w:rFonts w:ascii="Times New Roman" w:eastAsia="Times New Roman" w:hAnsi="Times New Roman"/>
          <w:sz w:val="24"/>
        </w:rPr>
        <w:t xml:space="preserve">Mayes, S., Ho, W. K., Chai, H. H., Gao, X., Kundy, A. C., Mateva, K. I., Zahrulakmal, M., Mohd Hahiree, M. K. I., Kendabie, P., Licea, L. C. S., Massawe, F., Mabhaudhi, T., Modi, A. T., Berchie, J. N., Amoah, S., Faloye, B., Abberton, M., Olaniyi, O., &amp; Azam-Ali, S. N. (2019). Bambara groundnut: An exemplar underutilised legume for resilience under climate change. </w:t>
      </w:r>
      <w:r>
        <w:rPr>
          <w:rFonts w:ascii="Times New Roman" w:eastAsia="Times New Roman" w:hAnsi="Times New Roman"/>
          <w:i/>
          <w:sz w:val="24"/>
        </w:rPr>
        <w:t>Planta, 250</w:t>
      </w:r>
      <w:r>
        <w:rPr>
          <w:rFonts w:ascii="Times New Roman" w:eastAsia="Times New Roman" w:hAnsi="Times New Roman"/>
          <w:sz w:val="24"/>
        </w:rPr>
        <w:t xml:space="preserve">(3), 803–820. </w:t>
      </w:r>
      <w:hyperlink r:id="rId45">
        <w:r>
          <w:rPr>
            <w:rFonts w:ascii="Times New Roman" w:eastAsia="Times New Roman" w:hAnsi="Times New Roman"/>
            <w:color w:val="0563C1"/>
            <w:sz w:val="24"/>
            <w:szCs w:val="24"/>
            <w:u w:val="single"/>
          </w:rPr>
          <w:t>https://doi.org/10.1007/s00425-019-03191-6</w:t>
        </w:r>
      </w:hyperlink>
    </w:p>
    <w:p w14:paraId="317BFC64" w14:textId="77777777" w:rsidR="00C01EBD" w:rsidRPr="00E77C11" w:rsidRDefault="00C01EBD" w:rsidP="00C01EBD">
      <w:pPr>
        <w:pStyle w:val="NoSpacing"/>
        <w:jc w:val="both"/>
        <w:rPr>
          <w:rFonts w:ascii="Times New Roman" w:hAnsi="Times New Roman" w:cs="Times New Roman"/>
          <w:sz w:val="14"/>
          <w:szCs w:val="14"/>
        </w:rPr>
      </w:pPr>
    </w:p>
    <w:p w14:paraId="7C8E5EF1" w14:textId="77777777" w:rsidR="00C01EBD" w:rsidRPr="0007649A" w:rsidRDefault="00C01EBD" w:rsidP="00C01EBD">
      <w:pPr>
        <w:pStyle w:val="NoSpacing"/>
        <w:ind w:left="720" w:hanging="720"/>
        <w:jc w:val="both"/>
        <w:rPr>
          <w:rFonts w:ascii="Times New Roman" w:hAnsi="Times New Roman" w:cs="Times New Roman"/>
          <w:sz w:val="24"/>
          <w:szCs w:val="24"/>
        </w:rPr>
      </w:pPr>
      <w:r>
        <w:rPr>
          <w:rFonts w:ascii="Times New Roman" w:eastAsia="Times New Roman" w:hAnsi="Times New Roman"/>
          <w:sz w:val="24"/>
        </w:rPr>
        <w:t xml:space="preserve">McLean, E. O. (1965). Aluminum. In C. A. Black (Ed.), </w:t>
      </w:r>
      <w:r>
        <w:rPr>
          <w:rFonts w:ascii="Times New Roman" w:eastAsia="Times New Roman" w:hAnsi="Times New Roman"/>
          <w:i/>
          <w:sz w:val="24"/>
        </w:rPr>
        <w:t>Methods of soil analysis: Part 2. Chemical methods</w:t>
      </w:r>
      <w:r>
        <w:rPr>
          <w:rFonts w:ascii="Times New Roman" w:eastAsia="Times New Roman" w:hAnsi="Times New Roman"/>
          <w:sz w:val="24"/>
        </w:rPr>
        <w:t xml:space="preserve"> (pp. 978–998). American Society of Agronomy. </w:t>
      </w:r>
      <w:hyperlink r:id="rId46">
        <w:r>
          <w:rPr>
            <w:rFonts w:ascii="Times New Roman" w:eastAsia="Times New Roman" w:hAnsi="Times New Roman"/>
            <w:color w:val="0563C1"/>
            <w:sz w:val="24"/>
            <w:szCs w:val="24"/>
            <w:u w:val="single"/>
          </w:rPr>
          <w:t>https://doi.org/10.2134/agronmonogr9.2.c16</w:t>
        </w:r>
      </w:hyperlink>
    </w:p>
    <w:p w14:paraId="7CDD42DA" w14:textId="77777777" w:rsidR="00C01EBD" w:rsidRPr="00E77C11" w:rsidRDefault="00C01EBD" w:rsidP="00C01EBD">
      <w:pPr>
        <w:pStyle w:val="NoSpacing"/>
        <w:jc w:val="both"/>
        <w:rPr>
          <w:rFonts w:ascii="Times New Roman" w:hAnsi="Times New Roman" w:cs="Times New Roman"/>
          <w:sz w:val="12"/>
          <w:szCs w:val="12"/>
        </w:rPr>
      </w:pPr>
    </w:p>
    <w:p w14:paraId="4F5A9669" w14:textId="298F509F"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Messiaen, C. M. (1992). </w:t>
      </w:r>
      <w:r>
        <w:rPr>
          <w:rFonts w:ascii="Times New Roman" w:eastAsia="Times New Roman" w:hAnsi="Times New Roman"/>
          <w:i/>
          <w:sz w:val="24"/>
        </w:rPr>
        <w:t>The tropical vegetable garden: Principles for improvement and increased production, with applications to the main vegetable types</w:t>
      </w:r>
      <w:r>
        <w:rPr>
          <w:rFonts w:ascii="Times New Roman" w:eastAsia="Times New Roman" w:hAnsi="Times New Roman"/>
          <w:sz w:val="24"/>
        </w:rPr>
        <w:t xml:space="preserve">. Macmillan Press. </w:t>
      </w:r>
    </w:p>
    <w:p w14:paraId="614925AA" w14:textId="77777777" w:rsidR="00C01EBD" w:rsidRPr="00A26A75" w:rsidRDefault="00C01EBD" w:rsidP="00C01EBD">
      <w:pPr>
        <w:pStyle w:val="ListParagraph"/>
        <w:rPr>
          <w:rFonts w:ascii="Times New Roman" w:hAnsi="Times New Roman" w:cs="Times New Roman"/>
          <w:sz w:val="12"/>
          <w:szCs w:val="12"/>
        </w:rPr>
      </w:pPr>
    </w:p>
    <w:p w14:paraId="4E36DDB3" w14:textId="77777777" w:rsidR="00C01EBD" w:rsidRDefault="00C01EBD" w:rsidP="00C01EBD">
      <w:pPr>
        <w:pStyle w:val="ListParagraph"/>
        <w:spacing w:line="240" w:lineRule="auto"/>
        <w:ind w:hanging="720"/>
        <w:rPr>
          <w:rFonts w:ascii="Times New Roman" w:hAnsi="Times New Roman" w:cs="Times New Roman"/>
          <w:sz w:val="24"/>
          <w:szCs w:val="24"/>
        </w:rPr>
      </w:pPr>
      <w:r>
        <w:rPr>
          <w:rFonts w:ascii="Times New Roman" w:eastAsia="Times New Roman" w:hAnsi="Times New Roman"/>
          <w:sz w:val="24"/>
        </w:rPr>
        <w:t xml:space="preserve">Musinguzi, P., Ebanyat, P., Tenywa, J. S., Basamba, T. A., Tenywa, M. M., &amp; Mubiru, D. N. (2016). Critical soil organic carbon range for optimal crop response to mineral fertiliser nitrogen on a Ferralsol. </w:t>
      </w:r>
      <w:r>
        <w:rPr>
          <w:rFonts w:ascii="Times New Roman" w:eastAsia="Times New Roman" w:hAnsi="Times New Roman"/>
          <w:i/>
          <w:sz w:val="24"/>
        </w:rPr>
        <w:t>Experimental Agriculture, 52</w:t>
      </w:r>
      <w:r>
        <w:rPr>
          <w:rFonts w:ascii="Times New Roman" w:eastAsia="Times New Roman" w:hAnsi="Times New Roman"/>
          <w:sz w:val="24"/>
        </w:rPr>
        <w:t xml:space="preserve">(4), 635–653. </w:t>
      </w:r>
      <w:hyperlink r:id="rId47">
        <w:r>
          <w:rPr>
            <w:rFonts w:ascii="Times New Roman" w:eastAsia="Times New Roman" w:hAnsi="Times New Roman"/>
            <w:color w:val="0563C1"/>
            <w:sz w:val="24"/>
            <w:szCs w:val="24"/>
            <w:u w:val="single"/>
          </w:rPr>
          <w:t>https://doi.org/10.1017/S0014479715000307</w:t>
        </w:r>
      </w:hyperlink>
    </w:p>
    <w:p w14:paraId="29E3E7EE" w14:textId="77777777" w:rsidR="00C01EBD" w:rsidRPr="00A26A75" w:rsidRDefault="00C01EBD" w:rsidP="00C01EBD">
      <w:pPr>
        <w:pStyle w:val="ListParagraph"/>
        <w:rPr>
          <w:rFonts w:ascii="Times New Roman" w:hAnsi="Times New Roman" w:cs="Times New Roman"/>
          <w:sz w:val="14"/>
          <w:szCs w:val="14"/>
        </w:rPr>
      </w:pPr>
    </w:p>
    <w:p w14:paraId="27456F60"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Nunes, J. L. D., de Souza, P. V. D., Marodin, G. A. B., &amp; Fachinello, J. C. (2010). Effect of arbuscular mycorrhizal fungi and indole butyric acid interaction on vegetative growth of ‘Aldrighi’ peach rootstock seedlings. </w:t>
      </w:r>
      <w:r>
        <w:rPr>
          <w:rFonts w:ascii="Times New Roman" w:eastAsia="Times New Roman" w:hAnsi="Times New Roman"/>
          <w:i/>
          <w:sz w:val="24"/>
        </w:rPr>
        <w:t>Ciência e Agrotecnologia, 34</w:t>
      </w:r>
      <w:r>
        <w:rPr>
          <w:rFonts w:ascii="Times New Roman" w:eastAsia="Times New Roman" w:hAnsi="Times New Roman"/>
          <w:sz w:val="24"/>
        </w:rPr>
        <w:t xml:space="preserve">(1), 80–86. </w:t>
      </w:r>
      <w:hyperlink r:id="rId48">
        <w:r>
          <w:rPr>
            <w:rFonts w:ascii="Times New Roman" w:eastAsia="Times New Roman" w:hAnsi="Times New Roman"/>
            <w:color w:val="0563C1"/>
            <w:sz w:val="24"/>
            <w:szCs w:val="24"/>
            <w:u w:val="single"/>
          </w:rPr>
          <w:t>https://doi.org/10.1590/S1413-70542010000100010</w:t>
        </w:r>
      </w:hyperlink>
    </w:p>
    <w:p w14:paraId="2DCE8E84" w14:textId="77777777" w:rsidR="00C01EBD" w:rsidRPr="00C01EBD" w:rsidRDefault="00C01EBD" w:rsidP="00C01EBD">
      <w:pPr>
        <w:pStyle w:val="ListParagraph"/>
        <w:rPr>
          <w:rFonts w:ascii="Times New Roman" w:hAnsi="Times New Roman" w:cs="Times New Roman"/>
          <w:sz w:val="14"/>
          <w:szCs w:val="14"/>
        </w:rPr>
      </w:pPr>
    </w:p>
    <w:p w14:paraId="683E3338"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Nwanna, L. C., Enujiugha, V. N., Oseni, A. O., &amp; Nwanna, E. E. (2005). Possible effects of fungal fermentation on Bambara groundnuts (</w:t>
      </w:r>
      <w:r>
        <w:rPr>
          <w:rFonts w:ascii="Times New Roman" w:eastAsia="Times New Roman" w:hAnsi="Times New Roman"/>
          <w:i/>
          <w:sz w:val="24"/>
        </w:rPr>
        <w:t>Vigna subterranea</w:t>
      </w:r>
      <w:r>
        <w:rPr>
          <w:rFonts w:ascii="Times New Roman" w:eastAsia="Times New Roman" w:hAnsi="Times New Roman"/>
          <w:sz w:val="24"/>
        </w:rPr>
        <w:t xml:space="preserve"> [L.] Verdc.) as a feedstuff resource. </w:t>
      </w:r>
      <w:r>
        <w:rPr>
          <w:rFonts w:ascii="Times New Roman" w:eastAsia="Times New Roman" w:hAnsi="Times New Roman"/>
          <w:i/>
          <w:sz w:val="24"/>
        </w:rPr>
        <w:t>Journal of Food Technology, 3</w:t>
      </w:r>
      <w:r>
        <w:rPr>
          <w:rFonts w:ascii="Times New Roman" w:eastAsia="Times New Roman" w:hAnsi="Times New Roman"/>
          <w:sz w:val="24"/>
        </w:rPr>
        <w:t xml:space="preserve">(4), 572–575. </w:t>
      </w:r>
      <w:hyperlink r:id="rId49">
        <w:r>
          <w:rPr>
            <w:rFonts w:ascii="Times New Roman" w:eastAsia="Times New Roman" w:hAnsi="Times New Roman"/>
            <w:color w:val="0563C1"/>
            <w:sz w:val="24"/>
            <w:szCs w:val="24"/>
            <w:u w:val="single"/>
          </w:rPr>
          <w:t>https://doi.org/10.3923/jftech.2005.572.575</w:t>
        </w:r>
      </w:hyperlink>
    </w:p>
    <w:p w14:paraId="353FE04F"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6E8CFEED" w14:textId="77777777" w:rsidR="00C01EBD" w:rsidRPr="00E77C11" w:rsidRDefault="00C01EBD" w:rsidP="00C01EBD">
      <w:pPr>
        <w:pStyle w:val="ListParagraph"/>
        <w:spacing w:line="240" w:lineRule="auto"/>
        <w:ind w:hanging="720"/>
        <w:jc w:val="both"/>
        <w:rPr>
          <w:rFonts w:ascii="Times New Roman" w:hAnsi="Times New Roman" w:cs="Times New Roman"/>
        </w:rPr>
      </w:pPr>
      <w:r w:rsidRPr="00A31419">
        <w:rPr>
          <w:rFonts w:ascii="Times New Roman" w:eastAsia="Times New Roman" w:hAnsi="Times New Roman"/>
          <w:sz w:val="24"/>
          <w:lang w:val="nl-BE"/>
        </w:rPr>
        <w:t xml:space="preserve">Okeke, O., Ezeh, E., Okeke, H. C., Aniobi, C. C., &amp; Akagha, C. I. (2020). </w:t>
      </w:r>
      <w:r>
        <w:rPr>
          <w:rFonts w:ascii="Times New Roman" w:eastAsia="Times New Roman" w:hAnsi="Times New Roman"/>
          <w:sz w:val="24"/>
        </w:rPr>
        <w:t xml:space="preserve">Comparison of soil samples from selected anthropogenic sites within Enugu metropolis for physicochemical parameters and heavy metal levels determination. </w:t>
      </w:r>
      <w:r>
        <w:rPr>
          <w:rFonts w:ascii="Times New Roman" w:eastAsia="Times New Roman" w:hAnsi="Times New Roman"/>
          <w:i/>
          <w:sz w:val="24"/>
        </w:rPr>
        <w:t>Journal of Environmental Protection, 11</w:t>
      </w:r>
      <w:r>
        <w:rPr>
          <w:rFonts w:ascii="Times New Roman" w:eastAsia="Times New Roman" w:hAnsi="Times New Roman"/>
          <w:sz w:val="24"/>
        </w:rPr>
        <w:t xml:space="preserve">, 848–861. </w:t>
      </w:r>
      <w:hyperlink r:id="rId50">
        <w:r>
          <w:rPr>
            <w:rFonts w:ascii="Times New Roman" w:eastAsia="Times New Roman" w:hAnsi="Times New Roman"/>
            <w:color w:val="0563C1"/>
            <w:sz w:val="24"/>
            <w:szCs w:val="24"/>
            <w:u w:val="single"/>
          </w:rPr>
          <w:t>https://doi.org/10.4236/jep.2020.1110053</w:t>
        </w:r>
      </w:hyperlink>
    </w:p>
    <w:p w14:paraId="321CCE33" w14:textId="77777777" w:rsidR="00C01EBD" w:rsidRPr="00E77C11" w:rsidRDefault="00C01EBD" w:rsidP="00C01EBD">
      <w:pPr>
        <w:pStyle w:val="ListParagraph"/>
        <w:spacing w:line="240" w:lineRule="auto"/>
        <w:jc w:val="both"/>
        <w:rPr>
          <w:rFonts w:ascii="Times New Roman" w:hAnsi="Times New Roman" w:cs="Times New Roman"/>
          <w:sz w:val="10"/>
          <w:szCs w:val="10"/>
        </w:rPr>
      </w:pPr>
    </w:p>
    <w:p w14:paraId="161F36FF" w14:textId="77777777" w:rsidR="00A81D66" w:rsidRPr="00A31419" w:rsidRDefault="00000000">
      <w:pPr>
        <w:pStyle w:val="ListParagraph"/>
        <w:ind w:hanging="720"/>
        <w:rPr>
          <w:rFonts w:ascii="Times New Roman" w:hAnsi="Times New Roman" w:cs="Times New Roman"/>
          <w:bCs/>
          <w:sz w:val="24"/>
          <w:szCs w:val="24"/>
        </w:rPr>
      </w:pPr>
      <w:r w:rsidRPr="00A31419">
        <w:rPr>
          <w:rFonts w:ascii="Times New Roman" w:eastAsia="Times New Roman" w:hAnsi="Times New Roman"/>
          <w:bCs/>
          <w:sz w:val="24"/>
        </w:rPr>
        <w:t xml:space="preserve">Odesola, K. A., Olawuyi, O. J., Paliwal, R., Oyatomi, O. A., &amp; Abberton, M. T. (2023). Genome-wide association analysis of phenotypic traits in Bambara groundnut under drought-stressed and non-stressed conditions based on DArTseq SNP. </w:t>
      </w:r>
      <w:r w:rsidRPr="00A31419">
        <w:rPr>
          <w:rFonts w:ascii="Times New Roman" w:eastAsia="Times New Roman" w:hAnsi="Times New Roman"/>
          <w:bCs/>
          <w:i/>
          <w:sz w:val="24"/>
        </w:rPr>
        <w:t>Frontiers in Plant Science, 14</w:t>
      </w:r>
      <w:r w:rsidRPr="00A31419">
        <w:rPr>
          <w:rFonts w:ascii="Times New Roman" w:eastAsia="Times New Roman" w:hAnsi="Times New Roman"/>
          <w:bCs/>
          <w:sz w:val="24"/>
        </w:rPr>
        <w:t xml:space="preserve">, 1104417. </w:t>
      </w:r>
      <w:hyperlink r:id="rId51">
        <w:r w:rsidR="00A81D66" w:rsidRPr="00A31419">
          <w:rPr>
            <w:rFonts w:ascii="Times New Roman" w:eastAsia="Times New Roman" w:hAnsi="Times New Roman"/>
            <w:bCs/>
            <w:color w:val="0563C1"/>
            <w:sz w:val="24"/>
            <w:szCs w:val="24"/>
            <w:u w:val="single"/>
          </w:rPr>
          <w:t>https://doi.org/10.3389/fpls.2023.1104417</w:t>
        </w:r>
      </w:hyperlink>
    </w:p>
    <w:p w14:paraId="468D9E84" w14:textId="77777777" w:rsidR="00A81D66" w:rsidRDefault="00A81D66">
      <w:pPr>
        <w:pStyle w:val="ListParagraph"/>
      </w:pPr>
    </w:p>
    <w:p w14:paraId="42070B8A"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Okçu, G., Kaya, M. D., &amp; Atak, M. (2005). Effects of salt and drought stresses on germination and seedling growth of pea (</w:t>
      </w:r>
      <w:r>
        <w:rPr>
          <w:rFonts w:ascii="Times New Roman" w:eastAsia="Times New Roman" w:hAnsi="Times New Roman"/>
          <w:i/>
          <w:sz w:val="24"/>
        </w:rPr>
        <w:t>Pisum sativum</w:t>
      </w:r>
      <w:r>
        <w:rPr>
          <w:rFonts w:ascii="Times New Roman" w:eastAsia="Times New Roman" w:hAnsi="Times New Roman"/>
          <w:sz w:val="24"/>
        </w:rPr>
        <w:t xml:space="preserve"> L.). </w:t>
      </w:r>
      <w:r>
        <w:rPr>
          <w:rFonts w:ascii="Times New Roman" w:eastAsia="Times New Roman" w:hAnsi="Times New Roman"/>
          <w:i/>
          <w:sz w:val="24"/>
        </w:rPr>
        <w:t>Turkish Journal of Agriculture and Forestry, 29</w:t>
      </w:r>
      <w:r>
        <w:rPr>
          <w:rFonts w:ascii="Times New Roman" w:eastAsia="Times New Roman" w:hAnsi="Times New Roman"/>
          <w:sz w:val="24"/>
        </w:rPr>
        <w:t xml:space="preserve">(4), 237–242. </w:t>
      </w:r>
      <w:hyperlink r:id="rId52">
        <w:r>
          <w:rPr>
            <w:rFonts w:ascii="Times New Roman" w:eastAsia="Times New Roman" w:hAnsi="Times New Roman"/>
            <w:color w:val="0563C1"/>
            <w:sz w:val="24"/>
            <w:szCs w:val="24"/>
            <w:u w:val="single"/>
          </w:rPr>
          <w:t>https://journals.tubitak.gov.tr/agriculture/vol29/iss4/2/</w:t>
        </w:r>
      </w:hyperlink>
    </w:p>
    <w:p w14:paraId="235281F4" w14:textId="77777777" w:rsidR="00C01EBD" w:rsidRPr="00E77C11" w:rsidRDefault="00C01EBD" w:rsidP="00C01EBD">
      <w:pPr>
        <w:pStyle w:val="ListParagraph"/>
        <w:rPr>
          <w:rFonts w:ascii="Times New Roman" w:hAnsi="Times New Roman" w:cs="Times New Roman"/>
          <w:sz w:val="8"/>
          <w:szCs w:val="8"/>
        </w:rPr>
      </w:pPr>
    </w:p>
    <w:p w14:paraId="2F5038CC"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Ogwumike, O. O. (2002). Haemopoietic effect of aqueous extract of leaf sheath of </w:t>
      </w:r>
      <w:r>
        <w:rPr>
          <w:rFonts w:ascii="Times New Roman" w:eastAsia="Times New Roman" w:hAnsi="Times New Roman"/>
          <w:i/>
          <w:sz w:val="24"/>
        </w:rPr>
        <w:t>Sorghum bicolor</w:t>
      </w:r>
      <w:r>
        <w:rPr>
          <w:rFonts w:ascii="Times New Roman" w:eastAsia="Times New Roman" w:hAnsi="Times New Roman"/>
          <w:sz w:val="24"/>
        </w:rPr>
        <w:t xml:space="preserve"> in albino rats. </w:t>
      </w:r>
      <w:r>
        <w:rPr>
          <w:rFonts w:ascii="Times New Roman" w:eastAsia="Times New Roman" w:hAnsi="Times New Roman"/>
          <w:i/>
          <w:sz w:val="24"/>
        </w:rPr>
        <w:t>African Journal of Biomedical Research, 5</w:t>
      </w:r>
      <w:r>
        <w:rPr>
          <w:rFonts w:ascii="Times New Roman" w:eastAsia="Times New Roman" w:hAnsi="Times New Roman"/>
          <w:sz w:val="24"/>
        </w:rPr>
        <w:t xml:space="preserve">, 69–71. </w:t>
      </w:r>
      <w:hyperlink r:id="rId53">
        <w:r>
          <w:rPr>
            <w:rFonts w:ascii="Times New Roman" w:eastAsia="Times New Roman" w:hAnsi="Times New Roman"/>
            <w:color w:val="0563C1"/>
            <w:sz w:val="24"/>
            <w:szCs w:val="24"/>
            <w:u w:val="single"/>
          </w:rPr>
          <w:t>https://africanjournalofbiomedicalresearch.com/index.php/AJBR/article/view/1047</w:t>
        </w:r>
      </w:hyperlink>
    </w:p>
    <w:p w14:paraId="339FA4B4" w14:textId="77777777" w:rsidR="00C01EBD" w:rsidRPr="00A26A75" w:rsidRDefault="00C01EBD" w:rsidP="00C01EBD">
      <w:pPr>
        <w:pStyle w:val="ListParagraph"/>
        <w:rPr>
          <w:rFonts w:ascii="Times New Roman" w:hAnsi="Times New Roman" w:cs="Times New Roman"/>
          <w:sz w:val="14"/>
          <w:szCs w:val="14"/>
        </w:rPr>
      </w:pPr>
    </w:p>
    <w:p w14:paraId="0E7E68E2" w14:textId="77777777" w:rsidR="00A81D66" w:rsidRPr="00A31419" w:rsidRDefault="00000000">
      <w:pPr>
        <w:pStyle w:val="ListParagraph"/>
        <w:tabs>
          <w:tab w:val="left" w:pos="72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bCs/>
          <w:sz w:val="24"/>
          <w:szCs w:val="24"/>
        </w:rPr>
      </w:pPr>
      <w:r w:rsidRPr="00A31419">
        <w:rPr>
          <w:rFonts w:ascii="Times New Roman" w:eastAsia="Times New Roman" w:hAnsi="Times New Roman"/>
          <w:bCs/>
          <w:sz w:val="24"/>
        </w:rPr>
        <w:t>Onimisi, A. O., Ojua, E. O., Kwaya, V. B., &amp; Nadab, N. (2026). Genotype × environment interaction for germination and seedling emergence of Bambara groundnut (</w:t>
      </w:r>
      <w:r w:rsidRPr="00A31419">
        <w:rPr>
          <w:rFonts w:ascii="Times New Roman" w:eastAsia="Times New Roman" w:hAnsi="Times New Roman"/>
          <w:bCs/>
          <w:i/>
          <w:sz w:val="24"/>
        </w:rPr>
        <w:t>Vigna subterranea</w:t>
      </w:r>
      <w:r w:rsidRPr="00A31419">
        <w:rPr>
          <w:rFonts w:ascii="Times New Roman" w:eastAsia="Times New Roman" w:hAnsi="Times New Roman"/>
          <w:bCs/>
          <w:sz w:val="24"/>
        </w:rPr>
        <w:t xml:space="preserve"> L.) under contrasting agro-ecological conditions in Nigeria. </w:t>
      </w:r>
      <w:r w:rsidRPr="00A31419">
        <w:rPr>
          <w:rFonts w:ascii="Times New Roman" w:eastAsia="Times New Roman" w:hAnsi="Times New Roman"/>
          <w:bCs/>
          <w:i/>
          <w:sz w:val="24"/>
        </w:rPr>
        <w:t>Asian Plant Research Journal, 14</w:t>
      </w:r>
      <w:r w:rsidRPr="00A31419">
        <w:rPr>
          <w:rFonts w:ascii="Times New Roman" w:eastAsia="Times New Roman" w:hAnsi="Times New Roman"/>
          <w:bCs/>
          <w:sz w:val="24"/>
        </w:rPr>
        <w:t xml:space="preserve">(5), 88–98. </w:t>
      </w:r>
      <w:hyperlink r:id="rId54">
        <w:r w:rsidR="00A81D66" w:rsidRPr="00A31419">
          <w:rPr>
            <w:rFonts w:ascii="Times New Roman" w:eastAsia="Times New Roman" w:hAnsi="Times New Roman"/>
            <w:bCs/>
            <w:color w:val="0563C1"/>
            <w:sz w:val="24"/>
            <w:szCs w:val="24"/>
            <w:u w:val="single"/>
          </w:rPr>
          <w:t>https://doi.org/10.9734/aprj/2026/v14i5397</w:t>
        </w:r>
      </w:hyperlink>
    </w:p>
    <w:p w14:paraId="228A5143" w14:textId="77777777" w:rsidR="00A81D66" w:rsidRDefault="00A81D66">
      <w:pPr>
        <w:pStyle w:val="ListParagraph"/>
      </w:pPr>
    </w:p>
    <w:p w14:paraId="2F5C42CB" w14:textId="77777777" w:rsidR="00C01EBD"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Oyeyinka, S. A., &amp; Ade-Omowaye, B. I. O. (Eds.). (2021). </w:t>
      </w:r>
      <w:r>
        <w:rPr>
          <w:rFonts w:ascii="Times New Roman" w:eastAsia="Times New Roman" w:hAnsi="Times New Roman"/>
          <w:i/>
          <w:sz w:val="24"/>
        </w:rPr>
        <w:t>Food and potential industrial applications of Bambara groundnut</w:t>
      </w:r>
      <w:r>
        <w:rPr>
          <w:rFonts w:ascii="Times New Roman" w:eastAsia="Times New Roman" w:hAnsi="Times New Roman"/>
          <w:sz w:val="24"/>
        </w:rPr>
        <w:t xml:space="preserve">. Springer. </w:t>
      </w:r>
      <w:hyperlink r:id="rId55">
        <w:r>
          <w:rPr>
            <w:rFonts w:ascii="Times New Roman" w:eastAsia="Times New Roman" w:hAnsi="Times New Roman"/>
            <w:color w:val="0563C1"/>
            <w:sz w:val="24"/>
            <w:szCs w:val="24"/>
            <w:u w:val="single"/>
          </w:rPr>
          <w:t>https://doi.org/10.1007/978-3-030-73920-1</w:t>
        </w:r>
      </w:hyperlink>
    </w:p>
    <w:p w14:paraId="017B3C38" w14:textId="77777777" w:rsidR="00C01EBD" w:rsidRPr="00A26A75" w:rsidRDefault="00C01EBD" w:rsidP="00C01EBD">
      <w:pPr>
        <w:pStyle w:val="ListParagraph"/>
        <w:rPr>
          <w:rFonts w:ascii="Times New Roman" w:hAnsi="Times New Roman" w:cs="Times New Roman"/>
          <w:sz w:val="12"/>
          <w:szCs w:val="12"/>
        </w:rPr>
      </w:pPr>
    </w:p>
    <w:p w14:paraId="6FC1D4FB"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Pamungkas, S. S. T., Suwarto, Suprayogi, &amp; Farid, N. (2022). Drought stress: Responses and mechanism in plants. </w:t>
      </w:r>
      <w:r>
        <w:rPr>
          <w:rFonts w:ascii="Times New Roman" w:eastAsia="Times New Roman" w:hAnsi="Times New Roman"/>
          <w:i/>
          <w:sz w:val="24"/>
        </w:rPr>
        <w:t>Reviews in Agricultural Science, 10</w:t>
      </w:r>
      <w:r>
        <w:rPr>
          <w:rFonts w:ascii="Times New Roman" w:eastAsia="Times New Roman" w:hAnsi="Times New Roman"/>
          <w:sz w:val="24"/>
        </w:rPr>
        <w:t xml:space="preserve">, 168–185. </w:t>
      </w:r>
      <w:hyperlink r:id="rId56">
        <w:r>
          <w:rPr>
            <w:rFonts w:ascii="Times New Roman" w:eastAsia="Times New Roman" w:hAnsi="Times New Roman"/>
            <w:color w:val="0563C1"/>
            <w:sz w:val="24"/>
            <w:szCs w:val="24"/>
            <w:u w:val="single"/>
          </w:rPr>
          <w:t>https://doi.org/10.7831/ras.10.0_168</w:t>
        </w:r>
      </w:hyperlink>
    </w:p>
    <w:p w14:paraId="7A149A91" w14:textId="77777777" w:rsidR="00C01EBD" w:rsidRPr="00A26A75" w:rsidRDefault="00C01EBD" w:rsidP="00C01EBD">
      <w:pPr>
        <w:pStyle w:val="ListParagraph"/>
        <w:rPr>
          <w:rFonts w:ascii="Times New Roman" w:hAnsi="Times New Roman" w:cs="Times New Roman"/>
          <w:sz w:val="12"/>
          <w:szCs w:val="12"/>
        </w:rPr>
      </w:pPr>
    </w:p>
    <w:p w14:paraId="037A9BF3"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Penn, C. J., &amp; Camberato, J. J. (2019). A critical review on soil chemical processes that control how soil pH affects phosphorus availability to plants. </w:t>
      </w:r>
      <w:r>
        <w:rPr>
          <w:rFonts w:ascii="Times New Roman" w:eastAsia="Times New Roman" w:hAnsi="Times New Roman"/>
          <w:i/>
          <w:sz w:val="24"/>
        </w:rPr>
        <w:t>Agriculture, 9</w:t>
      </w:r>
      <w:r>
        <w:rPr>
          <w:rFonts w:ascii="Times New Roman" w:eastAsia="Times New Roman" w:hAnsi="Times New Roman"/>
          <w:sz w:val="24"/>
        </w:rPr>
        <w:t xml:space="preserve">(6), 120. </w:t>
      </w:r>
      <w:hyperlink r:id="rId57">
        <w:r>
          <w:rPr>
            <w:rFonts w:ascii="Times New Roman" w:eastAsia="Times New Roman" w:hAnsi="Times New Roman"/>
            <w:color w:val="0563C1"/>
            <w:sz w:val="24"/>
            <w:szCs w:val="24"/>
            <w:u w:val="single"/>
          </w:rPr>
          <w:t>https://doi.org/10.3390/agriculture9060120</w:t>
        </w:r>
      </w:hyperlink>
    </w:p>
    <w:p w14:paraId="11BD62B7" w14:textId="77777777" w:rsidR="00C01EBD" w:rsidRPr="00A26A75" w:rsidRDefault="00C01EBD" w:rsidP="00C01EBD">
      <w:pPr>
        <w:pStyle w:val="ListParagraph"/>
        <w:rPr>
          <w:rFonts w:ascii="Times New Roman" w:hAnsi="Times New Roman" w:cs="Times New Roman"/>
          <w:sz w:val="16"/>
          <w:szCs w:val="16"/>
        </w:rPr>
      </w:pPr>
    </w:p>
    <w:p w14:paraId="2980CB1E"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Rampino, P., Pataleo, S., Gerardi, C., Mita, G., &amp; Perrotta, C. (2006). Drought stress response in wheat: Physiological and molecular analysis of resistant and sensitive genotypes. </w:t>
      </w:r>
      <w:r>
        <w:rPr>
          <w:rFonts w:ascii="Times New Roman" w:eastAsia="Times New Roman" w:hAnsi="Times New Roman"/>
          <w:i/>
          <w:sz w:val="24"/>
        </w:rPr>
        <w:t>Plant, Cell &amp; Environment, 29</w:t>
      </w:r>
      <w:r>
        <w:rPr>
          <w:rFonts w:ascii="Times New Roman" w:eastAsia="Times New Roman" w:hAnsi="Times New Roman"/>
          <w:sz w:val="24"/>
        </w:rPr>
        <w:t xml:space="preserve">(12), 2143–2152. </w:t>
      </w:r>
      <w:hyperlink r:id="rId58">
        <w:r>
          <w:rPr>
            <w:rFonts w:ascii="Times New Roman" w:eastAsia="Times New Roman" w:hAnsi="Times New Roman"/>
            <w:color w:val="0563C1"/>
            <w:sz w:val="24"/>
            <w:szCs w:val="24"/>
            <w:u w:val="single"/>
          </w:rPr>
          <w:t>https://doi.org/10.1111/j.1365-3040.2006.01588.x</w:t>
        </w:r>
      </w:hyperlink>
    </w:p>
    <w:p w14:paraId="4CFD000F" w14:textId="77777777" w:rsidR="00C01EBD" w:rsidRPr="00A26A75" w:rsidRDefault="00C01EBD" w:rsidP="00C01EBD">
      <w:pPr>
        <w:pStyle w:val="ListParagraph"/>
        <w:rPr>
          <w:rFonts w:ascii="Times New Roman" w:hAnsi="Times New Roman" w:cs="Times New Roman"/>
          <w:sz w:val="14"/>
          <w:szCs w:val="14"/>
        </w:rPr>
      </w:pPr>
    </w:p>
    <w:p w14:paraId="20F82834"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Sellschope, J. P. F. (1962). Cowpeas, </w:t>
      </w:r>
      <w:r>
        <w:rPr>
          <w:rFonts w:ascii="Times New Roman" w:eastAsia="Times New Roman" w:hAnsi="Times New Roman"/>
          <w:i/>
          <w:sz w:val="24"/>
        </w:rPr>
        <w:t>Vigna unguiculata</w:t>
      </w:r>
      <w:r>
        <w:rPr>
          <w:rFonts w:ascii="Times New Roman" w:eastAsia="Times New Roman" w:hAnsi="Times New Roman"/>
          <w:sz w:val="24"/>
        </w:rPr>
        <w:t xml:space="preserve"> (L.) Walp. </w:t>
      </w:r>
      <w:r>
        <w:rPr>
          <w:rFonts w:ascii="Times New Roman" w:eastAsia="Times New Roman" w:hAnsi="Times New Roman"/>
          <w:i/>
          <w:sz w:val="24"/>
        </w:rPr>
        <w:t>Field Crop Abstracts, 15</w:t>
      </w:r>
      <w:r>
        <w:rPr>
          <w:rFonts w:ascii="Times New Roman" w:eastAsia="Times New Roman" w:hAnsi="Times New Roman"/>
          <w:sz w:val="24"/>
        </w:rPr>
        <w:t xml:space="preserve">, 259–266. </w:t>
      </w:r>
      <w:hyperlink r:id="rId59">
        <w:r>
          <w:rPr>
            <w:rFonts w:ascii="Times New Roman" w:eastAsia="Times New Roman" w:hAnsi="Times New Roman"/>
            <w:color w:val="0563C1"/>
            <w:sz w:val="24"/>
            <w:szCs w:val="24"/>
            <w:u w:val="single"/>
          </w:rPr>
          <w:t>https://www.fao.org/4/Y0494E/Y0494e09.htm</w:t>
        </w:r>
      </w:hyperlink>
    </w:p>
    <w:p w14:paraId="6B2B03D1" w14:textId="77777777" w:rsidR="00C01EBD" w:rsidRPr="00A26A75" w:rsidRDefault="00C01EBD" w:rsidP="00C01EBD">
      <w:pPr>
        <w:pStyle w:val="ListParagraph"/>
        <w:rPr>
          <w:rFonts w:ascii="Times New Roman" w:hAnsi="Times New Roman" w:cs="Times New Roman"/>
          <w:sz w:val="14"/>
          <w:szCs w:val="14"/>
        </w:rPr>
      </w:pPr>
    </w:p>
    <w:p w14:paraId="6C3E5A37"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lastRenderedPageBreak/>
        <w:t xml:space="preserve">Sharma, K., Gupta, S., Thokchom, S. D., Jangir, P., &amp; Kapoor, R. (2021). Arbuscular mycorrhiza-mediated regulation of polyamines and aquaporins during abiotic stress: Deep insights on the recondite players. </w:t>
      </w:r>
      <w:r>
        <w:rPr>
          <w:rFonts w:ascii="Times New Roman" w:eastAsia="Times New Roman" w:hAnsi="Times New Roman"/>
          <w:i/>
          <w:sz w:val="24"/>
        </w:rPr>
        <w:t>Frontiers in Plant Science, 12</w:t>
      </w:r>
      <w:r>
        <w:rPr>
          <w:rFonts w:ascii="Times New Roman" w:eastAsia="Times New Roman" w:hAnsi="Times New Roman"/>
          <w:sz w:val="24"/>
        </w:rPr>
        <w:t xml:space="preserve">, 642101. </w:t>
      </w:r>
      <w:hyperlink r:id="rId60">
        <w:r>
          <w:rPr>
            <w:rFonts w:ascii="Times New Roman" w:eastAsia="Times New Roman" w:hAnsi="Times New Roman"/>
            <w:color w:val="0563C1"/>
            <w:sz w:val="24"/>
            <w:szCs w:val="24"/>
            <w:u w:val="single"/>
          </w:rPr>
          <w:t>https://doi.org/10.3389/fpls.2021.642101</w:t>
        </w:r>
      </w:hyperlink>
    </w:p>
    <w:p w14:paraId="2F17E266" w14:textId="77777777" w:rsidR="00C01EBD" w:rsidRPr="00E77C11" w:rsidRDefault="00C01EBD" w:rsidP="00C01EBD">
      <w:pPr>
        <w:pStyle w:val="ListParagraph"/>
        <w:spacing w:line="240" w:lineRule="auto"/>
        <w:jc w:val="both"/>
        <w:rPr>
          <w:rFonts w:ascii="Times New Roman" w:hAnsi="Times New Roman" w:cs="Times New Roman"/>
          <w:sz w:val="8"/>
          <w:szCs w:val="8"/>
        </w:rPr>
      </w:pPr>
    </w:p>
    <w:p w14:paraId="4255249E"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Singh, P. (1991). Influence of water deficits on phenology, growth and dry matter allocation in chickpea (</w:t>
      </w:r>
      <w:r>
        <w:rPr>
          <w:rFonts w:ascii="Times New Roman" w:eastAsia="Times New Roman" w:hAnsi="Times New Roman"/>
          <w:i/>
          <w:sz w:val="24"/>
        </w:rPr>
        <w:t>Cicer arietinum</w:t>
      </w:r>
      <w:r>
        <w:rPr>
          <w:rFonts w:ascii="Times New Roman" w:eastAsia="Times New Roman" w:hAnsi="Times New Roman"/>
          <w:sz w:val="24"/>
        </w:rPr>
        <w:t xml:space="preserve">). </w:t>
      </w:r>
      <w:r>
        <w:rPr>
          <w:rFonts w:ascii="Times New Roman" w:eastAsia="Times New Roman" w:hAnsi="Times New Roman"/>
          <w:i/>
          <w:sz w:val="24"/>
        </w:rPr>
        <w:t>Field Crops Research, 28</w:t>
      </w:r>
      <w:r>
        <w:rPr>
          <w:rFonts w:ascii="Times New Roman" w:eastAsia="Times New Roman" w:hAnsi="Times New Roman"/>
          <w:sz w:val="24"/>
        </w:rPr>
        <w:t xml:space="preserve">(1–2), 1–15. </w:t>
      </w:r>
      <w:hyperlink r:id="rId61">
        <w:r>
          <w:rPr>
            <w:rFonts w:ascii="Times New Roman" w:eastAsia="Times New Roman" w:hAnsi="Times New Roman"/>
            <w:color w:val="0563C1"/>
            <w:sz w:val="24"/>
            <w:szCs w:val="24"/>
            <w:u w:val="single"/>
          </w:rPr>
          <w:t>https://doi.org/10.1016/0378-4290(91)90070-C</w:t>
        </w:r>
      </w:hyperlink>
    </w:p>
    <w:p w14:paraId="576A98C4" w14:textId="77777777" w:rsidR="00C01EBD" w:rsidRPr="00A26A75" w:rsidRDefault="00C01EBD" w:rsidP="00C01EBD">
      <w:pPr>
        <w:pStyle w:val="ListParagraph"/>
        <w:rPr>
          <w:rFonts w:ascii="Times New Roman" w:hAnsi="Times New Roman" w:cs="Times New Roman"/>
          <w:sz w:val="14"/>
          <w:szCs w:val="14"/>
        </w:rPr>
      </w:pPr>
    </w:p>
    <w:p w14:paraId="2F73691A"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Smith, S. E., &amp; Read, D. J. (2008). </w:t>
      </w:r>
      <w:r>
        <w:rPr>
          <w:rFonts w:ascii="Times New Roman" w:eastAsia="Times New Roman" w:hAnsi="Times New Roman"/>
          <w:i/>
          <w:sz w:val="24"/>
        </w:rPr>
        <w:t>Mycorrhizal symbiosis</w:t>
      </w:r>
      <w:r>
        <w:rPr>
          <w:rFonts w:ascii="Times New Roman" w:eastAsia="Times New Roman" w:hAnsi="Times New Roman"/>
          <w:sz w:val="24"/>
        </w:rPr>
        <w:t xml:space="preserve"> (3rd ed.). Academic Press. </w:t>
      </w:r>
      <w:hyperlink r:id="rId62">
        <w:r>
          <w:rPr>
            <w:rFonts w:ascii="Times New Roman" w:eastAsia="Times New Roman" w:hAnsi="Times New Roman"/>
            <w:color w:val="0563C1"/>
            <w:sz w:val="24"/>
            <w:szCs w:val="24"/>
            <w:u w:val="single"/>
          </w:rPr>
          <w:t>https://doi.org/10.1016/B978-0-12-370526-6.X5001-6</w:t>
        </w:r>
      </w:hyperlink>
    </w:p>
    <w:p w14:paraId="7993D260" w14:textId="77777777" w:rsidR="00C01EBD" w:rsidRPr="00A26A75" w:rsidRDefault="00C01EBD" w:rsidP="00C01EBD">
      <w:pPr>
        <w:pStyle w:val="ListParagraph"/>
        <w:rPr>
          <w:rFonts w:ascii="Times New Roman" w:hAnsi="Times New Roman" w:cs="Times New Roman"/>
          <w:sz w:val="14"/>
          <w:szCs w:val="14"/>
        </w:rPr>
      </w:pPr>
    </w:p>
    <w:p w14:paraId="36FA951A" w14:textId="77777777" w:rsidR="00C01EBD" w:rsidRDefault="00C01EBD" w:rsidP="00C01EBD">
      <w:pPr>
        <w:pStyle w:val="ListParagraph"/>
        <w:ind w:hanging="720"/>
        <w:rPr>
          <w:rFonts w:ascii="Times New Roman" w:hAnsi="Times New Roman" w:cs="Times New Roman"/>
          <w:sz w:val="24"/>
          <w:szCs w:val="24"/>
        </w:rPr>
      </w:pPr>
      <w:r>
        <w:rPr>
          <w:rFonts w:ascii="Times New Roman" w:eastAsia="Times New Roman" w:hAnsi="Times New Roman"/>
          <w:sz w:val="24"/>
        </w:rPr>
        <w:t xml:space="preserve">Solís-Ramos, L. Y., Andrade-Torres, A., Polo-Marcial, M. H., Romero-Ceciliano, M., Coto López, C., Ávila-Arias, C., &amp; Rojas-Jiménez, K. (2023). Arbuscular mycorrhizal fungi colonization of </w:t>
      </w:r>
      <w:r>
        <w:rPr>
          <w:rFonts w:ascii="Times New Roman" w:eastAsia="Times New Roman" w:hAnsi="Times New Roman"/>
          <w:i/>
          <w:sz w:val="24"/>
        </w:rPr>
        <w:t>Jatropha curcas</w:t>
      </w:r>
      <w:r>
        <w:rPr>
          <w:rFonts w:ascii="Times New Roman" w:eastAsia="Times New Roman" w:hAnsi="Times New Roman"/>
          <w:sz w:val="24"/>
        </w:rPr>
        <w:t xml:space="preserve"> roots and its impact on growth and survival under greenhouse-induced hydric stress. </w:t>
      </w:r>
      <w:r>
        <w:rPr>
          <w:rFonts w:ascii="Times New Roman" w:eastAsia="Times New Roman" w:hAnsi="Times New Roman"/>
          <w:i/>
          <w:sz w:val="24"/>
        </w:rPr>
        <w:t>Agriculture, 13</w:t>
      </w:r>
      <w:r>
        <w:rPr>
          <w:rFonts w:ascii="Times New Roman" w:eastAsia="Times New Roman" w:hAnsi="Times New Roman"/>
          <w:sz w:val="24"/>
        </w:rPr>
        <w:t xml:space="preserve">(12), 2197. </w:t>
      </w:r>
      <w:hyperlink r:id="rId63">
        <w:r>
          <w:rPr>
            <w:rFonts w:ascii="Times New Roman" w:eastAsia="Times New Roman" w:hAnsi="Times New Roman"/>
            <w:color w:val="0563C1"/>
            <w:sz w:val="24"/>
            <w:szCs w:val="24"/>
            <w:u w:val="single"/>
          </w:rPr>
          <w:t>https://doi.org/10.3390/agriculture13122197</w:t>
        </w:r>
      </w:hyperlink>
    </w:p>
    <w:p w14:paraId="4636D366" w14:textId="77777777" w:rsidR="00C01EBD" w:rsidRPr="00A26A75" w:rsidRDefault="00C01EBD" w:rsidP="00C01EBD">
      <w:pPr>
        <w:pStyle w:val="ListParagraph"/>
        <w:rPr>
          <w:rFonts w:ascii="Times New Roman" w:hAnsi="Times New Roman" w:cs="Times New Roman"/>
          <w:sz w:val="14"/>
          <w:szCs w:val="14"/>
        </w:rPr>
      </w:pPr>
    </w:p>
    <w:p w14:paraId="4058B870" w14:textId="77777777" w:rsidR="00C01EBD"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Tátrai, Z. A., Sanoubar, R., Pluhár, Z., Mancarella, S., Orsini, F., &amp; Gianquinto, G. (2016). Morphological and physiological plant responses to drought stress in </w:t>
      </w:r>
      <w:r>
        <w:rPr>
          <w:rFonts w:ascii="Times New Roman" w:eastAsia="Times New Roman" w:hAnsi="Times New Roman"/>
          <w:i/>
          <w:sz w:val="24"/>
        </w:rPr>
        <w:t>Thymus citriodorus</w:t>
      </w:r>
      <w:r>
        <w:rPr>
          <w:rFonts w:ascii="Times New Roman" w:eastAsia="Times New Roman" w:hAnsi="Times New Roman"/>
          <w:sz w:val="24"/>
        </w:rPr>
        <w:t xml:space="preserve">. </w:t>
      </w:r>
      <w:r>
        <w:rPr>
          <w:rFonts w:ascii="Times New Roman" w:eastAsia="Times New Roman" w:hAnsi="Times New Roman"/>
          <w:i/>
          <w:sz w:val="24"/>
        </w:rPr>
        <w:t>International Journal of Agronomy, 2016</w:t>
      </w:r>
      <w:r>
        <w:rPr>
          <w:rFonts w:ascii="Times New Roman" w:eastAsia="Times New Roman" w:hAnsi="Times New Roman"/>
          <w:sz w:val="24"/>
        </w:rPr>
        <w:t xml:space="preserve">, 4165750. </w:t>
      </w:r>
      <w:hyperlink r:id="rId64">
        <w:r>
          <w:rPr>
            <w:rFonts w:ascii="Times New Roman" w:eastAsia="Times New Roman" w:hAnsi="Times New Roman"/>
            <w:color w:val="0563C1"/>
            <w:sz w:val="24"/>
            <w:szCs w:val="24"/>
            <w:u w:val="single"/>
          </w:rPr>
          <w:t>https://doi.org/10.1155/2016/4165750</w:t>
        </w:r>
      </w:hyperlink>
    </w:p>
    <w:p w14:paraId="26A865FF" w14:textId="77777777" w:rsidR="00C01EBD" w:rsidRPr="00A26A75" w:rsidRDefault="00C01EBD" w:rsidP="00C01EBD">
      <w:pPr>
        <w:pStyle w:val="ListParagraph"/>
        <w:rPr>
          <w:rFonts w:ascii="Times New Roman" w:hAnsi="Times New Roman" w:cs="Times New Roman"/>
          <w:sz w:val="14"/>
          <w:szCs w:val="14"/>
        </w:rPr>
      </w:pPr>
    </w:p>
    <w:p w14:paraId="255DC227" w14:textId="769ABE9C"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Tweneboah, C. K. (2000). </w:t>
      </w:r>
      <w:r>
        <w:rPr>
          <w:rFonts w:ascii="Times New Roman" w:eastAsia="Times New Roman" w:hAnsi="Times New Roman"/>
          <w:i/>
          <w:sz w:val="24"/>
        </w:rPr>
        <w:t>Modern agriculture in the tropics: Food crops</w:t>
      </w:r>
      <w:r>
        <w:rPr>
          <w:rFonts w:ascii="Times New Roman" w:eastAsia="Times New Roman" w:hAnsi="Times New Roman"/>
          <w:sz w:val="24"/>
        </w:rPr>
        <w:t xml:space="preserve">. Co-Wood Publishers. </w:t>
      </w:r>
    </w:p>
    <w:p w14:paraId="18EE15D5" w14:textId="77777777" w:rsidR="00C01EBD" w:rsidRPr="00A26A75" w:rsidRDefault="00C01EBD" w:rsidP="00C01EBD">
      <w:pPr>
        <w:pStyle w:val="ListParagraph"/>
        <w:rPr>
          <w:rFonts w:ascii="Times New Roman" w:hAnsi="Times New Roman" w:cs="Times New Roman"/>
          <w:sz w:val="12"/>
          <w:szCs w:val="12"/>
        </w:rPr>
      </w:pPr>
    </w:p>
    <w:p w14:paraId="00C840AF" w14:textId="0E83EFFF" w:rsidR="00C01EBD"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Ubom, R. M. (2004). </w:t>
      </w:r>
      <w:r>
        <w:rPr>
          <w:rFonts w:ascii="Times New Roman" w:eastAsia="Times New Roman" w:hAnsi="Times New Roman"/>
          <w:i/>
          <w:sz w:val="24"/>
        </w:rPr>
        <w:t>Biometry</w:t>
      </w:r>
      <w:r>
        <w:rPr>
          <w:rFonts w:ascii="Times New Roman" w:eastAsia="Times New Roman" w:hAnsi="Times New Roman"/>
          <w:sz w:val="24"/>
        </w:rPr>
        <w:t xml:space="preserve">. Abaam Publishers. </w:t>
      </w:r>
    </w:p>
    <w:p w14:paraId="1D6624CF" w14:textId="77777777" w:rsidR="00C01EBD" w:rsidRPr="00E77C11" w:rsidRDefault="00C01EBD" w:rsidP="00C01EBD">
      <w:pPr>
        <w:pStyle w:val="ListParagraph"/>
        <w:rPr>
          <w:rFonts w:ascii="Times New Roman" w:hAnsi="Times New Roman" w:cs="Times New Roman"/>
          <w:sz w:val="4"/>
          <w:szCs w:val="4"/>
        </w:rPr>
      </w:pPr>
    </w:p>
    <w:p w14:paraId="729EEB9E" w14:textId="77777777" w:rsidR="00C01EBD" w:rsidRPr="00A26A75"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55C2109C" w14:textId="77777777" w:rsidR="00A81D66" w:rsidRPr="00A31419" w:rsidRDefault="00000000">
      <w:pPr>
        <w:pStyle w:val="ListParagraph"/>
        <w:spacing w:line="240" w:lineRule="auto"/>
        <w:ind w:hanging="720"/>
        <w:jc w:val="both"/>
        <w:rPr>
          <w:rFonts w:ascii="Times New Roman" w:hAnsi="Times New Roman" w:cs="Times New Roman"/>
          <w:bCs/>
          <w:sz w:val="24"/>
          <w:szCs w:val="24"/>
        </w:rPr>
      </w:pPr>
      <w:r w:rsidRPr="00A31419">
        <w:rPr>
          <w:rFonts w:ascii="Times New Roman" w:eastAsia="Times New Roman" w:hAnsi="Times New Roman"/>
          <w:bCs/>
          <w:sz w:val="24"/>
          <w:lang w:val="nl-BE"/>
        </w:rPr>
        <w:t xml:space="preserve">Udeh, E. L., Ngmenzuma, T. Y., Maseko, S. T., Nyila, M. A., Kanu, S. A., &amp; Mohale, K. C. (2023). </w:t>
      </w:r>
      <w:r w:rsidRPr="00A31419">
        <w:rPr>
          <w:rFonts w:ascii="Times New Roman" w:eastAsia="Times New Roman" w:hAnsi="Times New Roman"/>
          <w:bCs/>
          <w:sz w:val="24"/>
        </w:rPr>
        <w:t xml:space="preserve">Gas exchange and carbon assimilation of Bambara groundnut landraces co-inoculated with </w:t>
      </w:r>
      <w:r w:rsidRPr="00A31419">
        <w:rPr>
          <w:rFonts w:ascii="Times New Roman" w:eastAsia="Times New Roman" w:hAnsi="Times New Roman"/>
          <w:bCs/>
          <w:i/>
          <w:sz w:val="24"/>
        </w:rPr>
        <w:t>Bradyrhizobium japonicum</w:t>
      </w:r>
      <w:r w:rsidRPr="00A31419">
        <w:rPr>
          <w:rFonts w:ascii="Times New Roman" w:eastAsia="Times New Roman" w:hAnsi="Times New Roman"/>
          <w:bCs/>
          <w:sz w:val="24"/>
        </w:rPr>
        <w:t xml:space="preserve"> and </w:t>
      </w:r>
      <w:r w:rsidRPr="00A31419">
        <w:rPr>
          <w:rFonts w:ascii="Times New Roman" w:eastAsia="Times New Roman" w:hAnsi="Times New Roman"/>
          <w:bCs/>
          <w:i/>
          <w:sz w:val="24"/>
        </w:rPr>
        <w:t>Bacillus subtilis</w:t>
      </w:r>
      <w:r w:rsidRPr="00A31419">
        <w:rPr>
          <w:rFonts w:ascii="Times New Roman" w:eastAsia="Times New Roman" w:hAnsi="Times New Roman"/>
          <w:bCs/>
          <w:sz w:val="24"/>
        </w:rPr>
        <w:t xml:space="preserve"> under simulated drought stress. </w:t>
      </w:r>
      <w:r w:rsidRPr="00A31419">
        <w:rPr>
          <w:rFonts w:ascii="Times New Roman" w:eastAsia="Times New Roman" w:hAnsi="Times New Roman"/>
          <w:bCs/>
          <w:i/>
          <w:sz w:val="24"/>
        </w:rPr>
        <w:t>Scientific African, 21</w:t>
      </w:r>
      <w:r w:rsidRPr="00A31419">
        <w:rPr>
          <w:rFonts w:ascii="Times New Roman" w:eastAsia="Times New Roman" w:hAnsi="Times New Roman"/>
          <w:bCs/>
          <w:sz w:val="24"/>
        </w:rPr>
        <w:t xml:space="preserve">, e01823. </w:t>
      </w:r>
      <w:hyperlink r:id="rId65">
        <w:r w:rsidR="00A81D66" w:rsidRPr="00A31419">
          <w:rPr>
            <w:rFonts w:ascii="Times New Roman" w:eastAsia="Times New Roman" w:hAnsi="Times New Roman"/>
            <w:bCs/>
            <w:color w:val="0563C1"/>
            <w:sz w:val="24"/>
            <w:szCs w:val="24"/>
            <w:u w:val="single"/>
          </w:rPr>
          <w:t>https://doi.org/10.1016/j.sciaf.2023.e01823</w:t>
        </w:r>
      </w:hyperlink>
    </w:p>
    <w:p w14:paraId="11040AD0" w14:textId="77777777" w:rsidR="00A81D66" w:rsidRDefault="00A81D66">
      <w:pPr>
        <w:pStyle w:val="ListParagraph"/>
      </w:pPr>
    </w:p>
    <w:p w14:paraId="631F94BE"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Soil Survey Staff. (2014). </w:t>
      </w:r>
      <w:r>
        <w:rPr>
          <w:rFonts w:ascii="Times New Roman" w:eastAsia="Times New Roman" w:hAnsi="Times New Roman"/>
          <w:i/>
          <w:sz w:val="24"/>
        </w:rPr>
        <w:t>Kellogg Soil Survey Laboratory methods manual</w:t>
      </w:r>
      <w:r>
        <w:rPr>
          <w:rFonts w:ascii="Times New Roman" w:eastAsia="Times New Roman" w:hAnsi="Times New Roman"/>
          <w:sz w:val="24"/>
        </w:rPr>
        <w:t xml:space="preserve"> (Soil Survey Investigations Report No. 42, Version 5.0). U.S. Department of Agriculture, Natural Resources Conservation Service. </w:t>
      </w:r>
      <w:hyperlink r:id="rId66">
        <w:r>
          <w:rPr>
            <w:rFonts w:ascii="Times New Roman" w:eastAsia="Times New Roman" w:hAnsi="Times New Roman"/>
            <w:color w:val="0563C1"/>
            <w:sz w:val="24"/>
            <w:szCs w:val="24"/>
            <w:u w:val="single"/>
          </w:rPr>
          <w:t>https://www.nrcs.usda.gov/resources/guides-and-instructions/kellogg-soil-survey-laboratory-guidance</w:t>
        </w:r>
      </w:hyperlink>
    </w:p>
    <w:p w14:paraId="4D9A2C4B"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2EA208F9" w14:textId="77777777" w:rsidR="00C01EBD" w:rsidRDefault="00C01EBD" w:rsidP="00C01EBD">
      <w:pPr>
        <w:pStyle w:val="ListParagraph"/>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Vadez, V., Grondin, A., Chenu, K., Henry, A., Laplaze, L., Millet, E. J., &amp; Carminati, A. (2024). Crop traits and production under drought. </w:t>
      </w:r>
      <w:r>
        <w:rPr>
          <w:rFonts w:ascii="Times New Roman" w:eastAsia="Times New Roman" w:hAnsi="Times New Roman"/>
          <w:i/>
          <w:sz w:val="24"/>
        </w:rPr>
        <w:t>Nature Reviews Earth &amp; Environment, 5</w:t>
      </w:r>
      <w:r>
        <w:rPr>
          <w:rFonts w:ascii="Times New Roman" w:eastAsia="Times New Roman" w:hAnsi="Times New Roman"/>
          <w:sz w:val="24"/>
        </w:rPr>
        <w:t xml:space="preserve">, 211–225. </w:t>
      </w:r>
      <w:hyperlink r:id="rId67">
        <w:r>
          <w:rPr>
            <w:rFonts w:ascii="Times New Roman" w:eastAsia="Times New Roman" w:hAnsi="Times New Roman"/>
            <w:color w:val="0563C1"/>
            <w:sz w:val="24"/>
            <w:szCs w:val="24"/>
            <w:u w:val="single"/>
          </w:rPr>
          <w:t>https://doi.org/10.1038/s43017-023-00514-w</w:t>
        </w:r>
      </w:hyperlink>
    </w:p>
    <w:p w14:paraId="193EF620" w14:textId="77777777" w:rsidR="00C01EBD" w:rsidRPr="00A26A75" w:rsidRDefault="00C01EBD" w:rsidP="00C01EBD">
      <w:pPr>
        <w:pStyle w:val="ListParagraph"/>
        <w:rPr>
          <w:rFonts w:ascii="Times New Roman" w:hAnsi="Times New Roman" w:cs="Times New Roman"/>
          <w:sz w:val="14"/>
          <w:szCs w:val="14"/>
        </w:rPr>
      </w:pPr>
    </w:p>
    <w:p w14:paraId="1F74EFE9" w14:textId="77777777" w:rsidR="00C01EBD" w:rsidRPr="00A26A75" w:rsidRDefault="00C01EBD" w:rsidP="00C01EBD">
      <w:pPr>
        <w:pStyle w:val="ListParagraph"/>
        <w:spacing w:line="240" w:lineRule="auto"/>
        <w:ind w:hanging="720"/>
        <w:jc w:val="both"/>
        <w:rPr>
          <w:rFonts w:ascii="Times New Roman" w:hAnsi="Times New Roman" w:cs="Times New Roman"/>
          <w:i/>
          <w:iCs/>
          <w:sz w:val="24"/>
          <w:szCs w:val="24"/>
        </w:rPr>
      </w:pPr>
      <w:r>
        <w:rPr>
          <w:rFonts w:ascii="Times New Roman" w:eastAsia="Times New Roman" w:hAnsi="Times New Roman"/>
          <w:sz w:val="24"/>
        </w:rPr>
        <w:t xml:space="preserve">Wang, X., Li, X., Zhao, W., Hou, X., &amp; Dong, S. (2024). Current views of drought research: Experimental methods, adaptation mechanisms and regulatory strategies. </w:t>
      </w:r>
      <w:r>
        <w:rPr>
          <w:rFonts w:ascii="Times New Roman" w:eastAsia="Times New Roman" w:hAnsi="Times New Roman"/>
          <w:i/>
          <w:sz w:val="24"/>
        </w:rPr>
        <w:t>Frontiers in Plant Science, 15</w:t>
      </w:r>
      <w:r>
        <w:rPr>
          <w:rFonts w:ascii="Times New Roman" w:eastAsia="Times New Roman" w:hAnsi="Times New Roman"/>
          <w:sz w:val="24"/>
        </w:rPr>
        <w:t xml:space="preserve">, 1371895. </w:t>
      </w:r>
      <w:hyperlink r:id="rId68">
        <w:r>
          <w:rPr>
            <w:rFonts w:ascii="Times New Roman" w:eastAsia="Times New Roman" w:hAnsi="Times New Roman"/>
            <w:color w:val="0563C1"/>
            <w:sz w:val="24"/>
            <w:szCs w:val="24"/>
            <w:u w:val="single"/>
          </w:rPr>
          <w:t>https://doi.org/10.3389/fpls.2024.1371895</w:t>
        </w:r>
      </w:hyperlink>
    </w:p>
    <w:p w14:paraId="64247FA8" w14:textId="77777777" w:rsidR="00C01EBD" w:rsidRPr="00E77C11" w:rsidRDefault="00C01EBD" w:rsidP="00C01EBD">
      <w:pPr>
        <w:pStyle w:val="ListParagraph"/>
        <w:rPr>
          <w:rFonts w:ascii="Times New Roman" w:hAnsi="Times New Roman" w:cs="Times New Roman"/>
          <w:i/>
          <w:iCs/>
          <w:sz w:val="12"/>
          <w:szCs w:val="12"/>
        </w:rPr>
      </w:pPr>
    </w:p>
    <w:p w14:paraId="67422AD8" w14:textId="77777777" w:rsidR="00C01EBD" w:rsidRDefault="00C01EBD" w:rsidP="00C01EBD">
      <w:pPr>
        <w:pStyle w:val="ListParagraph"/>
        <w:tabs>
          <w:tab w:val="num" w:pos="720"/>
        </w:tabs>
        <w:ind w:hanging="720"/>
        <w:rPr>
          <w:rFonts w:ascii="Times New Roman" w:hAnsi="Times New Roman" w:cs="Times New Roman"/>
          <w:sz w:val="24"/>
          <w:szCs w:val="24"/>
        </w:rPr>
      </w:pPr>
      <w:r>
        <w:rPr>
          <w:rFonts w:ascii="Times New Roman" w:eastAsia="Times New Roman" w:hAnsi="Times New Roman"/>
          <w:sz w:val="24"/>
        </w:rPr>
        <w:t xml:space="preserve">Wu, Q. S., Zou, Y. N., Liu, W., Ye, X. F., Zai, H. F., &amp; Zhao, L. J. (2010). Alleviation of salt stress in citrus seedlings inoculated with mycorrhiza: Changes in leaf antioxidant defense systems. </w:t>
      </w:r>
      <w:r>
        <w:rPr>
          <w:rFonts w:ascii="Times New Roman" w:eastAsia="Times New Roman" w:hAnsi="Times New Roman"/>
          <w:i/>
          <w:sz w:val="24"/>
        </w:rPr>
        <w:t>Plant, Soil and Environment, 56</w:t>
      </w:r>
      <w:r>
        <w:rPr>
          <w:rFonts w:ascii="Times New Roman" w:eastAsia="Times New Roman" w:hAnsi="Times New Roman"/>
          <w:sz w:val="24"/>
        </w:rPr>
        <w:t xml:space="preserve">(10), 470–475. </w:t>
      </w:r>
      <w:hyperlink r:id="rId69">
        <w:r>
          <w:rPr>
            <w:rFonts w:ascii="Times New Roman" w:eastAsia="Times New Roman" w:hAnsi="Times New Roman"/>
            <w:color w:val="0563C1"/>
            <w:sz w:val="24"/>
            <w:szCs w:val="24"/>
            <w:u w:val="single"/>
          </w:rPr>
          <w:t>https://doi.org/10.17221/54/2010-PSE</w:t>
        </w:r>
      </w:hyperlink>
    </w:p>
    <w:p w14:paraId="70728000" w14:textId="77777777" w:rsidR="00A072E7" w:rsidRPr="00E77C11" w:rsidRDefault="00A072E7" w:rsidP="00A072E7">
      <w:pPr>
        <w:pStyle w:val="ListParagraph"/>
        <w:rPr>
          <w:rFonts w:ascii="Times New Roman" w:hAnsi="Times New Roman" w:cs="Times New Roman"/>
          <w:sz w:val="8"/>
          <w:szCs w:val="8"/>
        </w:rPr>
      </w:pPr>
    </w:p>
    <w:p w14:paraId="73A5708A" w14:textId="77777777" w:rsidR="00A072E7" w:rsidRPr="00A072E7" w:rsidRDefault="00A072E7" w:rsidP="00A072E7">
      <w:pPr>
        <w:pStyle w:val="ListParagraph"/>
        <w:ind w:hanging="720"/>
        <w:jc w:val="both"/>
        <w:rPr>
          <w:rFonts w:ascii="Times New Roman" w:hAnsi="Times New Roman" w:cs="Times New Roman"/>
          <w:sz w:val="24"/>
          <w:szCs w:val="24"/>
        </w:rPr>
      </w:pPr>
      <w:r>
        <w:rPr>
          <w:rFonts w:ascii="Times New Roman" w:eastAsia="Times New Roman" w:hAnsi="Times New Roman"/>
          <w:sz w:val="24"/>
        </w:rPr>
        <w:t xml:space="preserve">Yakasai, U. A., &amp; Rabiu, S. (2025). The impact of arbuscular mycorrhizal fungal inoculants on growth, nutrients, and yield of vegetable plants: A review. </w:t>
      </w:r>
      <w:r>
        <w:rPr>
          <w:rFonts w:ascii="Times New Roman" w:eastAsia="Times New Roman" w:hAnsi="Times New Roman"/>
          <w:i/>
          <w:sz w:val="24"/>
        </w:rPr>
        <w:t>FUDMA Journal of Sciences, 9</w:t>
      </w:r>
      <w:r>
        <w:rPr>
          <w:rFonts w:ascii="Times New Roman" w:eastAsia="Times New Roman" w:hAnsi="Times New Roman"/>
          <w:sz w:val="24"/>
        </w:rPr>
        <w:t xml:space="preserve">(3), 215–223. </w:t>
      </w:r>
      <w:hyperlink r:id="rId70">
        <w:r>
          <w:rPr>
            <w:rFonts w:ascii="Times New Roman" w:eastAsia="Times New Roman" w:hAnsi="Times New Roman"/>
            <w:color w:val="0563C1"/>
            <w:sz w:val="24"/>
            <w:szCs w:val="24"/>
            <w:u w:val="single"/>
          </w:rPr>
          <w:t>https://doi.org/10.33003/fjs-2025-0903-3353</w:t>
        </w:r>
      </w:hyperlink>
    </w:p>
    <w:p w14:paraId="2CDB57BE" w14:textId="77777777" w:rsidR="00C01EBD" w:rsidRPr="00A26A75" w:rsidRDefault="00C01EBD" w:rsidP="00C01EBD">
      <w:pPr>
        <w:pStyle w:val="ListParagraph"/>
        <w:rPr>
          <w:rFonts w:ascii="Times New Roman" w:hAnsi="Times New Roman" w:cs="Times New Roman"/>
          <w:sz w:val="10"/>
          <w:szCs w:val="10"/>
        </w:rPr>
      </w:pPr>
    </w:p>
    <w:p w14:paraId="75C1E65E" w14:textId="77777777" w:rsidR="00C01EBD" w:rsidRDefault="00C01EBD" w:rsidP="00C01EBD">
      <w:pPr>
        <w:pStyle w:val="ListParagraph"/>
        <w:tabs>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lastRenderedPageBreak/>
        <w:t xml:space="preserve">Yohannes, G., Kidane, L., Abraha, B., &amp; Beyene, T. (2020). Effects of salt stresses on seed germination and early seedling growth of </w:t>
      </w:r>
      <w:r>
        <w:rPr>
          <w:rFonts w:ascii="Times New Roman" w:eastAsia="Times New Roman" w:hAnsi="Times New Roman"/>
          <w:i/>
          <w:sz w:val="24"/>
        </w:rPr>
        <w:t>Camelina sativa</w:t>
      </w:r>
      <w:r>
        <w:rPr>
          <w:rFonts w:ascii="Times New Roman" w:eastAsia="Times New Roman" w:hAnsi="Times New Roman"/>
          <w:sz w:val="24"/>
        </w:rPr>
        <w:t xml:space="preserve"> L. </w:t>
      </w:r>
      <w:r>
        <w:rPr>
          <w:rFonts w:ascii="Times New Roman" w:eastAsia="Times New Roman" w:hAnsi="Times New Roman"/>
          <w:i/>
          <w:sz w:val="24"/>
        </w:rPr>
        <w:t>Momona Ethiopian Journal of Science, 12</w:t>
      </w:r>
      <w:r>
        <w:rPr>
          <w:rFonts w:ascii="Times New Roman" w:eastAsia="Times New Roman" w:hAnsi="Times New Roman"/>
          <w:sz w:val="24"/>
        </w:rPr>
        <w:t xml:space="preserve">(1), 1–19. </w:t>
      </w:r>
      <w:hyperlink r:id="rId71">
        <w:r>
          <w:rPr>
            <w:rFonts w:ascii="Times New Roman" w:eastAsia="Times New Roman" w:hAnsi="Times New Roman"/>
            <w:color w:val="0563C1"/>
            <w:sz w:val="24"/>
            <w:szCs w:val="24"/>
            <w:u w:val="single"/>
          </w:rPr>
          <w:t>https://doi.org/10.4314/mejs.v12i1.1</w:t>
        </w:r>
      </w:hyperlink>
    </w:p>
    <w:p w14:paraId="2AAF95E4" w14:textId="77777777" w:rsidR="00C01EBD" w:rsidRPr="00A26A75" w:rsidRDefault="00C01EBD" w:rsidP="00C01EBD">
      <w:pPr>
        <w:pStyle w:val="ListParagraph"/>
        <w:rPr>
          <w:rFonts w:ascii="Times New Roman" w:hAnsi="Times New Roman" w:cs="Times New Roman"/>
          <w:sz w:val="14"/>
          <w:szCs w:val="14"/>
        </w:rPr>
      </w:pPr>
    </w:p>
    <w:p w14:paraId="2D161B7A"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ind w:hanging="720"/>
        <w:jc w:val="both"/>
        <w:rPr>
          <w:rFonts w:ascii="Times New Roman" w:hAnsi="Times New Roman" w:cs="Times New Roman"/>
          <w:sz w:val="24"/>
          <w:szCs w:val="24"/>
        </w:rPr>
      </w:pPr>
      <w:r>
        <w:rPr>
          <w:rFonts w:ascii="Times New Roman" w:eastAsia="Times New Roman" w:hAnsi="Times New Roman"/>
          <w:sz w:val="24"/>
        </w:rPr>
        <w:t xml:space="preserve">Zaman, F., Hassan, M. U., Khattak, W. A., Ali, A., Awad, M. F., &amp; Chen, F. S. (2024). The pivotal role of arbuscular mycorrhizal fungi in enhancing plant biomass and nutrient availability under drought stress conditions: A global meta-analysis. </w:t>
      </w:r>
      <w:r>
        <w:rPr>
          <w:rFonts w:ascii="Times New Roman" w:eastAsia="Times New Roman" w:hAnsi="Times New Roman"/>
          <w:i/>
          <w:sz w:val="24"/>
        </w:rPr>
        <w:t>Science of the Total Environment, 955</w:t>
      </w:r>
      <w:r>
        <w:rPr>
          <w:rFonts w:ascii="Times New Roman" w:eastAsia="Times New Roman" w:hAnsi="Times New Roman"/>
          <w:sz w:val="24"/>
        </w:rPr>
        <w:t xml:space="preserve">, 176960. </w:t>
      </w:r>
      <w:hyperlink r:id="rId72">
        <w:r>
          <w:rPr>
            <w:rFonts w:ascii="Times New Roman" w:eastAsia="Times New Roman" w:hAnsi="Times New Roman"/>
            <w:color w:val="0563C1"/>
            <w:sz w:val="24"/>
            <w:szCs w:val="24"/>
            <w:u w:val="single"/>
          </w:rPr>
          <w:t>https://doi.org/10.1016/j.scitotenv.2024.176960</w:t>
        </w:r>
      </w:hyperlink>
    </w:p>
    <w:p w14:paraId="4428F462" w14:textId="77777777" w:rsidR="00C01EBD" w:rsidRDefault="00C01EBD" w:rsidP="00C01EBD">
      <w:p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8"/>
        </w:rPr>
      </w:pPr>
    </w:p>
    <w:p w14:paraId="72341E01" w14:textId="77777777" w:rsidR="00C01EBD" w:rsidRDefault="00C01EBD" w:rsidP="00C01EBD">
      <w:pPr>
        <w:tabs>
          <w:tab w:val="num" w:pos="720"/>
        </w:tabs>
        <w:rPr>
          <w:rFonts w:ascii="Times New Roman" w:hAnsi="Times New Roman" w:cs="Times New Roman"/>
          <w:sz w:val="24"/>
          <w:szCs w:val="24"/>
        </w:rPr>
      </w:pPr>
    </w:p>
    <w:p w14:paraId="546FF45D" w14:textId="77777777" w:rsidR="00C01EBD" w:rsidRPr="009224C3" w:rsidRDefault="00C01EBD" w:rsidP="00C01EBD">
      <w:pPr>
        <w:tabs>
          <w:tab w:val="num" w:pos="720"/>
        </w:tabs>
        <w:rPr>
          <w:rFonts w:ascii="Times New Roman" w:hAnsi="Times New Roman" w:cs="Times New Roman"/>
          <w:sz w:val="24"/>
          <w:szCs w:val="24"/>
        </w:rPr>
      </w:pPr>
    </w:p>
    <w:sectPr w:rsidR="00C01EBD" w:rsidRPr="009224C3" w:rsidSect="00C00C43">
      <w:headerReference w:type="even" r:id="rId73"/>
      <w:headerReference w:type="default" r:id="rId74"/>
      <w:footerReference w:type="even" r:id="rId75"/>
      <w:footerReference w:type="default" r:id="rId76"/>
      <w:headerReference w:type="first" r:id="rId77"/>
      <w:footerReference w:type="first" r:id="rId78"/>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EE10E" w14:textId="77777777" w:rsidR="00B57C34" w:rsidRDefault="00B57C34" w:rsidP="00004AB3">
      <w:pPr>
        <w:spacing w:after="0" w:line="240" w:lineRule="auto"/>
      </w:pPr>
      <w:r>
        <w:separator/>
      </w:r>
    </w:p>
  </w:endnote>
  <w:endnote w:type="continuationSeparator" w:id="0">
    <w:p w14:paraId="17756C65" w14:textId="77777777" w:rsidR="00B57C34" w:rsidRDefault="00B57C34" w:rsidP="00004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1263" w14:textId="77777777" w:rsidR="00505BFE" w:rsidRDefault="00505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622051"/>
      <w:docPartObj>
        <w:docPartGallery w:val="Page Numbers (Bottom of Page)"/>
        <w:docPartUnique/>
      </w:docPartObj>
    </w:sdtPr>
    <w:sdtEndPr>
      <w:rPr>
        <w:noProof/>
      </w:rPr>
    </w:sdtEndPr>
    <w:sdtContent>
      <w:p w14:paraId="23765801" w14:textId="77777777" w:rsidR="00004AB3" w:rsidRDefault="00004A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1ADF41" w14:textId="77777777" w:rsidR="00004AB3" w:rsidRDefault="00004A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DB746" w14:textId="77777777" w:rsidR="00505BFE" w:rsidRDefault="00505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552D0" w14:textId="77777777" w:rsidR="00B57C34" w:rsidRDefault="00B57C34" w:rsidP="00004AB3">
      <w:pPr>
        <w:spacing w:after="0" w:line="240" w:lineRule="auto"/>
      </w:pPr>
      <w:r>
        <w:separator/>
      </w:r>
    </w:p>
  </w:footnote>
  <w:footnote w:type="continuationSeparator" w:id="0">
    <w:p w14:paraId="61AB5F65" w14:textId="77777777" w:rsidR="00B57C34" w:rsidRDefault="00B57C34" w:rsidP="00004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9887A" w14:textId="77777777" w:rsidR="00505BFE" w:rsidRDefault="00000000">
    <w:pPr>
      <w:pStyle w:val="Header"/>
    </w:pPr>
    <w:r>
      <w:rPr>
        <w:noProof/>
      </w:rPr>
      <w:pict w14:anchorId="5666C3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8076" w14:textId="77777777" w:rsidR="00505BFE" w:rsidRDefault="00000000">
    <w:pPr>
      <w:pStyle w:val="Header"/>
    </w:pPr>
    <w:r>
      <w:rPr>
        <w:noProof/>
      </w:rPr>
      <w:pict w14:anchorId="72A378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4141D" w14:textId="77777777" w:rsidR="00505BFE" w:rsidRDefault="00000000">
    <w:pPr>
      <w:pStyle w:val="Header"/>
    </w:pPr>
    <w:r>
      <w:rPr>
        <w:noProof/>
      </w:rPr>
      <w:pict w14:anchorId="238FC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564C"/>
    <w:multiLevelType w:val="multilevel"/>
    <w:tmpl w:val="DAC4337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AD2BEA"/>
    <w:multiLevelType w:val="multilevel"/>
    <w:tmpl w:val="CA4E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371C3"/>
    <w:multiLevelType w:val="multilevel"/>
    <w:tmpl w:val="4F82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80A06"/>
    <w:multiLevelType w:val="multilevel"/>
    <w:tmpl w:val="905472EC"/>
    <w:lvl w:ilvl="0">
      <w:start w:val="3"/>
      <w:numFmt w:val="decimal"/>
      <w:lvlText w:val="%1"/>
      <w:lvlJc w:val="left"/>
      <w:pPr>
        <w:ind w:left="360" w:hanging="360"/>
      </w:pPr>
      <w:rPr>
        <w:rFonts w:eastAsiaTheme="majorEastAsia"/>
      </w:rPr>
    </w:lvl>
    <w:lvl w:ilvl="1">
      <w:start w:val="5"/>
      <w:numFmt w:val="decimal"/>
      <w:lvlText w:val="%1.%2"/>
      <w:lvlJc w:val="left"/>
      <w:pPr>
        <w:ind w:left="360" w:hanging="360"/>
      </w:pPr>
      <w:rPr>
        <w:rFonts w:eastAsiaTheme="majorEastAsia"/>
      </w:rPr>
    </w:lvl>
    <w:lvl w:ilvl="2">
      <w:start w:val="1"/>
      <w:numFmt w:val="decimal"/>
      <w:lvlText w:val="%1.%2.%3"/>
      <w:lvlJc w:val="left"/>
      <w:pPr>
        <w:ind w:left="720" w:hanging="720"/>
      </w:pPr>
      <w:rPr>
        <w:rFonts w:eastAsiaTheme="majorEastAsia"/>
      </w:rPr>
    </w:lvl>
    <w:lvl w:ilvl="3">
      <w:start w:val="1"/>
      <w:numFmt w:val="decimal"/>
      <w:lvlText w:val="%1.%2.%3.%4"/>
      <w:lvlJc w:val="left"/>
      <w:pPr>
        <w:ind w:left="720" w:hanging="720"/>
      </w:pPr>
      <w:rPr>
        <w:rFonts w:eastAsiaTheme="majorEastAsia"/>
      </w:rPr>
    </w:lvl>
    <w:lvl w:ilvl="4">
      <w:start w:val="1"/>
      <w:numFmt w:val="decimal"/>
      <w:lvlText w:val="%1.%2.%3.%4.%5"/>
      <w:lvlJc w:val="left"/>
      <w:pPr>
        <w:ind w:left="1080" w:hanging="1080"/>
      </w:pPr>
      <w:rPr>
        <w:rFonts w:eastAsiaTheme="majorEastAsia"/>
      </w:rPr>
    </w:lvl>
    <w:lvl w:ilvl="5">
      <w:start w:val="1"/>
      <w:numFmt w:val="decimal"/>
      <w:lvlText w:val="%1.%2.%3.%4.%5.%6"/>
      <w:lvlJc w:val="left"/>
      <w:pPr>
        <w:ind w:left="1080" w:hanging="1080"/>
      </w:pPr>
      <w:rPr>
        <w:rFonts w:eastAsiaTheme="majorEastAsia"/>
      </w:rPr>
    </w:lvl>
    <w:lvl w:ilvl="6">
      <w:start w:val="1"/>
      <w:numFmt w:val="decimal"/>
      <w:lvlText w:val="%1.%2.%3.%4.%5.%6.%7"/>
      <w:lvlJc w:val="left"/>
      <w:pPr>
        <w:ind w:left="1440" w:hanging="1440"/>
      </w:pPr>
      <w:rPr>
        <w:rFonts w:eastAsiaTheme="majorEastAsia"/>
      </w:rPr>
    </w:lvl>
    <w:lvl w:ilvl="7">
      <w:start w:val="1"/>
      <w:numFmt w:val="decimal"/>
      <w:lvlText w:val="%1.%2.%3.%4.%5.%6.%7.%8"/>
      <w:lvlJc w:val="left"/>
      <w:pPr>
        <w:ind w:left="1440" w:hanging="1440"/>
      </w:pPr>
      <w:rPr>
        <w:rFonts w:eastAsiaTheme="majorEastAsia"/>
      </w:rPr>
    </w:lvl>
    <w:lvl w:ilvl="8">
      <w:start w:val="1"/>
      <w:numFmt w:val="decimal"/>
      <w:lvlText w:val="%1.%2.%3.%4.%5.%6.%7.%8.%9"/>
      <w:lvlJc w:val="left"/>
      <w:pPr>
        <w:ind w:left="1800" w:hanging="1800"/>
      </w:pPr>
      <w:rPr>
        <w:rFonts w:eastAsiaTheme="majorEastAsia"/>
      </w:rPr>
    </w:lvl>
  </w:abstractNum>
  <w:abstractNum w:abstractNumId="4" w15:restartNumberingAfterBreak="0">
    <w:nsid w:val="22526094"/>
    <w:multiLevelType w:val="hybridMultilevel"/>
    <w:tmpl w:val="16340828"/>
    <w:lvl w:ilvl="0" w:tplc="132A92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80065"/>
    <w:multiLevelType w:val="multilevel"/>
    <w:tmpl w:val="C0DEAB5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693318"/>
    <w:multiLevelType w:val="hybridMultilevel"/>
    <w:tmpl w:val="8F38B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A35813"/>
    <w:multiLevelType w:val="multilevel"/>
    <w:tmpl w:val="0CFC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C9267C"/>
    <w:multiLevelType w:val="multilevel"/>
    <w:tmpl w:val="2FF66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FA1A5F"/>
    <w:multiLevelType w:val="hybridMultilevel"/>
    <w:tmpl w:val="EA322A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036266D"/>
    <w:multiLevelType w:val="multilevel"/>
    <w:tmpl w:val="CD548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0E011F"/>
    <w:multiLevelType w:val="multilevel"/>
    <w:tmpl w:val="EA8804CA"/>
    <w:lvl w:ilvl="0">
      <w:start w:val="1"/>
      <w:numFmt w:val="decimal"/>
      <w:lvlText w:val="%1."/>
      <w:lvlJc w:val="left"/>
      <w:pPr>
        <w:ind w:left="540" w:hanging="360"/>
      </w:pPr>
    </w:lvl>
    <w:lvl w:ilvl="1">
      <w:start w:val="3"/>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2" w15:restartNumberingAfterBreak="0">
    <w:nsid w:val="7EF53EE8"/>
    <w:multiLevelType w:val="multilevel"/>
    <w:tmpl w:val="225E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450783">
    <w:abstractNumId w:val="12"/>
  </w:num>
  <w:num w:numId="2" w16cid:durableId="7021805">
    <w:abstractNumId w:val="4"/>
  </w:num>
  <w:num w:numId="3" w16cid:durableId="1943564100">
    <w:abstractNumId w:val="11"/>
  </w:num>
  <w:num w:numId="4" w16cid:durableId="770786265">
    <w:abstractNumId w:val="6"/>
  </w:num>
  <w:num w:numId="5" w16cid:durableId="1491482053">
    <w:abstractNumId w:val="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95150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24460">
    <w:abstractNumId w:val="8"/>
  </w:num>
  <w:num w:numId="8" w16cid:durableId="1396515474">
    <w:abstractNumId w:val="0"/>
  </w:num>
  <w:num w:numId="9" w16cid:durableId="276955188">
    <w:abstractNumId w:val="5"/>
  </w:num>
  <w:num w:numId="10" w16cid:durableId="1631326960">
    <w:abstractNumId w:val="1"/>
  </w:num>
  <w:num w:numId="11" w16cid:durableId="2074159079">
    <w:abstractNumId w:val="7"/>
  </w:num>
  <w:num w:numId="12" w16cid:durableId="116609698">
    <w:abstractNumId w:val="2"/>
  </w:num>
  <w:num w:numId="13" w16cid:durableId="353307353">
    <w:abstractNumId w:val="10"/>
  </w:num>
  <w:num w:numId="14" w16cid:durableId="1569417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D4"/>
    <w:rsid w:val="00004AB3"/>
    <w:rsid w:val="0000613F"/>
    <w:rsid w:val="00010745"/>
    <w:rsid w:val="00026D76"/>
    <w:rsid w:val="00054711"/>
    <w:rsid w:val="0006558A"/>
    <w:rsid w:val="00077A05"/>
    <w:rsid w:val="00081C50"/>
    <w:rsid w:val="00086D9F"/>
    <w:rsid w:val="00090D57"/>
    <w:rsid w:val="000936D7"/>
    <w:rsid w:val="000A2CB0"/>
    <w:rsid w:val="000B21DB"/>
    <w:rsid w:val="000C4200"/>
    <w:rsid w:val="000C5B17"/>
    <w:rsid w:val="000C79E4"/>
    <w:rsid w:val="000D0A90"/>
    <w:rsid w:val="000D376B"/>
    <w:rsid w:val="000F604D"/>
    <w:rsid w:val="00126DD1"/>
    <w:rsid w:val="00150125"/>
    <w:rsid w:val="00161AC1"/>
    <w:rsid w:val="0019134F"/>
    <w:rsid w:val="00193300"/>
    <w:rsid w:val="001A4DED"/>
    <w:rsid w:val="001B4578"/>
    <w:rsid w:val="001C054A"/>
    <w:rsid w:val="001F2987"/>
    <w:rsid w:val="00202ED4"/>
    <w:rsid w:val="0020658D"/>
    <w:rsid w:val="0022205C"/>
    <w:rsid w:val="00231105"/>
    <w:rsid w:val="00254A5E"/>
    <w:rsid w:val="00287CB2"/>
    <w:rsid w:val="002B4FB4"/>
    <w:rsid w:val="002B72DB"/>
    <w:rsid w:val="002D0F8E"/>
    <w:rsid w:val="00303851"/>
    <w:rsid w:val="003215AA"/>
    <w:rsid w:val="00321677"/>
    <w:rsid w:val="003314A2"/>
    <w:rsid w:val="0035654F"/>
    <w:rsid w:val="003621C0"/>
    <w:rsid w:val="00367AD5"/>
    <w:rsid w:val="00372DB7"/>
    <w:rsid w:val="003A1DBE"/>
    <w:rsid w:val="003B3F87"/>
    <w:rsid w:val="003B41BE"/>
    <w:rsid w:val="003B7796"/>
    <w:rsid w:val="003C068F"/>
    <w:rsid w:val="003D7DE2"/>
    <w:rsid w:val="003E095E"/>
    <w:rsid w:val="003E5EBC"/>
    <w:rsid w:val="003F48E5"/>
    <w:rsid w:val="003F7E74"/>
    <w:rsid w:val="0043239F"/>
    <w:rsid w:val="004375D8"/>
    <w:rsid w:val="004411C1"/>
    <w:rsid w:val="00447A52"/>
    <w:rsid w:val="00460F11"/>
    <w:rsid w:val="00496233"/>
    <w:rsid w:val="004A727B"/>
    <w:rsid w:val="004B05A2"/>
    <w:rsid w:val="004B444C"/>
    <w:rsid w:val="004B678A"/>
    <w:rsid w:val="004C3B4E"/>
    <w:rsid w:val="004C415A"/>
    <w:rsid w:val="004C769E"/>
    <w:rsid w:val="004D4157"/>
    <w:rsid w:val="004D43A4"/>
    <w:rsid w:val="004D7885"/>
    <w:rsid w:val="004E260C"/>
    <w:rsid w:val="004E2CCA"/>
    <w:rsid w:val="004E43F6"/>
    <w:rsid w:val="00501B71"/>
    <w:rsid w:val="005056B4"/>
    <w:rsid w:val="00505BFE"/>
    <w:rsid w:val="005075BE"/>
    <w:rsid w:val="00522284"/>
    <w:rsid w:val="0052485C"/>
    <w:rsid w:val="005250CB"/>
    <w:rsid w:val="005325C6"/>
    <w:rsid w:val="005326D1"/>
    <w:rsid w:val="00542E99"/>
    <w:rsid w:val="005443BF"/>
    <w:rsid w:val="00570229"/>
    <w:rsid w:val="0057443C"/>
    <w:rsid w:val="00584489"/>
    <w:rsid w:val="005C723E"/>
    <w:rsid w:val="005E46C1"/>
    <w:rsid w:val="005E482D"/>
    <w:rsid w:val="005E5EA0"/>
    <w:rsid w:val="005F790C"/>
    <w:rsid w:val="0060138C"/>
    <w:rsid w:val="006144EA"/>
    <w:rsid w:val="006351E6"/>
    <w:rsid w:val="00635279"/>
    <w:rsid w:val="00636FBB"/>
    <w:rsid w:val="00640824"/>
    <w:rsid w:val="00643E37"/>
    <w:rsid w:val="00655BED"/>
    <w:rsid w:val="00670A3B"/>
    <w:rsid w:val="006849E7"/>
    <w:rsid w:val="0069024F"/>
    <w:rsid w:val="00695C6F"/>
    <w:rsid w:val="006C5CB1"/>
    <w:rsid w:val="006E20AA"/>
    <w:rsid w:val="006F5487"/>
    <w:rsid w:val="00704E6A"/>
    <w:rsid w:val="0071604A"/>
    <w:rsid w:val="00723943"/>
    <w:rsid w:val="00747B69"/>
    <w:rsid w:val="007504BC"/>
    <w:rsid w:val="00752A22"/>
    <w:rsid w:val="007575CF"/>
    <w:rsid w:val="007702EE"/>
    <w:rsid w:val="00774F0C"/>
    <w:rsid w:val="00775EA5"/>
    <w:rsid w:val="00787A4C"/>
    <w:rsid w:val="007902D4"/>
    <w:rsid w:val="007A51A9"/>
    <w:rsid w:val="007B08EB"/>
    <w:rsid w:val="007D5F0A"/>
    <w:rsid w:val="007D7A5A"/>
    <w:rsid w:val="007E4DF9"/>
    <w:rsid w:val="007E71C0"/>
    <w:rsid w:val="007E723E"/>
    <w:rsid w:val="00802B91"/>
    <w:rsid w:val="008165F0"/>
    <w:rsid w:val="00837C85"/>
    <w:rsid w:val="008457BA"/>
    <w:rsid w:val="008631B4"/>
    <w:rsid w:val="008773D2"/>
    <w:rsid w:val="00891AAF"/>
    <w:rsid w:val="008947AE"/>
    <w:rsid w:val="008A0A79"/>
    <w:rsid w:val="008A470F"/>
    <w:rsid w:val="008B6EE5"/>
    <w:rsid w:val="008C3BE5"/>
    <w:rsid w:val="008C700C"/>
    <w:rsid w:val="008D3224"/>
    <w:rsid w:val="008E1FFD"/>
    <w:rsid w:val="00900313"/>
    <w:rsid w:val="00916F69"/>
    <w:rsid w:val="009224C3"/>
    <w:rsid w:val="00945F3A"/>
    <w:rsid w:val="009510CC"/>
    <w:rsid w:val="00957C9E"/>
    <w:rsid w:val="00960759"/>
    <w:rsid w:val="00975EED"/>
    <w:rsid w:val="00994ECE"/>
    <w:rsid w:val="009B3C6C"/>
    <w:rsid w:val="009C35AD"/>
    <w:rsid w:val="009E1B56"/>
    <w:rsid w:val="009E3CB2"/>
    <w:rsid w:val="00A072E7"/>
    <w:rsid w:val="00A26A7D"/>
    <w:rsid w:val="00A31419"/>
    <w:rsid w:val="00A33DB8"/>
    <w:rsid w:val="00A367D8"/>
    <w:rsid w:val="00A45A2A"/>
    <w:rsid w:val="00A47043"/>
    <w:rsid w:val="00A5574E"/>
    <w:rsid w:val="00A81D66"/>
    <w:rsid w:val="00A97AB1"/>
    <w:rsid w:val="00AC79D3"/>
    <w:rsid w:val="00AD67D7"/>
    <w:rsid w:val="00AE184B"/>
    <w:rsid w:val="00AE55EF"/>
    <w:rsid w:val="00AF1744"/>
    <w:rsid w:val="00AF207E"/>
    <w:rsid w:val="00B013EE"/>
    <w:rsid w:val="00B15685"/>
    <w:rsid w:val="00B16B68"/>
    <w:rsid w:val="00B35F64"/>
    <w:rsid w:val="00B40F8B"/>
    <w:rsid w:val="00B5307F"/>
    <w:rsid w:val="00B57C34"/>
    <w:rsid w:val="00B65DE3"/>
    <w:rsid w:val="00B716D2"/>
    <w:rsid w:val="00BB4528"/>
    <w:rsid w:val="00BC4B3B"/>
    <w:rsid w:val="00BC5163"/>
    <w:rsid w:val="00BD0148"/>
    <w:rsid w:val="00BE3888"/>
    <w:rsid w:val="00BE78A8"/>
    <w:rsid w:val="00BF43B5"/>
    <w:rsid w:val="00C00C43"/>
    <w:rsid w:val="00C01EBD"/>
    <w:rsid w:val="00C110BB"/>
    <w:rsid w:val="00C22D47"/>
    <w:rsid w:val="00C236D2"/>
    <w:rsid w:val="00C346BD"/>
    <w:rsid w:val="00C37BE8"/>
    <w:rsid w:val="00C62FD1"/>
    <w:rsid w:val="00C70EF5"/>
    <w:rsid w:val="00C72CE2"/>
    <w:rsid w:val="00C92B57"/>
    <w:rsid w:val="00CB26AE"/>
    <w:rsid w:val="00CC0614"/>
    <w:rsid w:val="00CC5001"/>
    <w:rsid w:val="00CD1C9F"/>
    <w:rsid w:val="00CE645A"/>
    <w:rsid w:val="00D0213C"/>
    <w:rsid w:val="00D05A2C"/>
    <w:rsid w:val="00D204FF"/>
    <w:rsid w:val="00D412E1"/>
    <w:rsid w:val="00D61FBE"/>
    <w:rsid w:val="00D76FC9"/>
    <w:rsid w:val="00D801B6"/>
    <w:rsid w:val="00D837E1"/>
    <w:rsid w:val="00D86E8B"/>
    <w:rsid w:val="00DD0149"/>
    <w:rsid w:val="00DD5F5D"/>
    <w:rsid w:val="00DE170E"/>
    <w:rsid w:val="00DF66B7"/>
    <w:rsid w:val="00E1187A"/>
    <w:rsid w:val="00E150B7"/>
    <w:rsid w:val="00E1757D"/>
    <w:rsid w:val="00E30B75"/>
    <w:rsid w:val="00E42A03"/>
    <w:rsid w:val="00E437E3"/>
    <w:rsid w:val="00E43BEE"/>
    <w:rsid w:val="00E502AA"/>
    <w:rsid w:val="00E62E5B"/>
    <w:rsid w:val="00E77C11"/>
    <w:rsid w:val="00E95C5E"/>
    <w:rsid w:val="00E96A6A"/>
    <w:rsid w:val="00EA1CA2"/>
    <w:rsid w:val="00EC781D"/>
    <w:rsid w:val="00ED0023"/>
    <w:rsid w:val="00EE0403"/>
    <w:rsid w:val="00F04212"/>
    <w:rsid w:val="00F11802"/>
    <w:rsid w:val="00F14EE0"/>
    <w:rsid w:val="00F33E73"/>
    <w:rsid w:val="00F373D2"/>
    <w:rsid w:val="00F43620"/>
    <w:rsid w:val="00F4690D"/>
    <w:rsid w:val="00F54A3B"/>
    <w:rsid w:val="00F8276F"/>
    <w:rsid w:val="00FA225F"/>
    <w:rsid w:val="00FA3E40"/>
    <w:rsid w:val="00FD411C"/>
    <w:rsid w:val="00FD5C67"/>
    <w:rsid w:val="00FF4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1AD32"/>
  <w15:chartTrackingRefBased/>
  <w15:docId w15:val="{6D8A82A7-8FBB-4B1D-A141-0F2EEF3E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2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902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902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02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02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0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2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902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902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02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02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0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2D4"/>
    <w:rPr>
      <w:rFonts w:eastAsiaTheme="majorEastAsia" w:cstheme="majorBidi"/>
      <w:color w:val="272727" w:themeColor="text1" w:themeTint="D8"/>
    </w:rPr>
  </w:style>
  <w:style w:type="paragraph" w:styleId="Title">
    <w:name w:val="Title"/>
    <w:basedOn w:val="Normal"/>
    <w:next w:val="Normal"/>
    <w:link w:val="TitleChar"/>
    <w:uiPriority w:val="10"/>
    <w:qFormat/>
    <w:rsid w:val="00790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2D4"/>
    <w:pPr>
      <w:spacing w:before="160"/>
      <w:jc w:val="center"/>
    </w:pPr>
    <w:rPr>
      <w:i/>
      <w:iCs/>
      <w:color w:val="404040" w:themeColor="text1" w:themeTint="BF"/>
    </w:rPr>
  </w:style>
  <w:style w:type="character" w:customStyle="1" w:styleId="QuoteChar">
    <w:name w:val="Quote Char"/>
    <w:basedOn w:val="DefaultParagraphFont"/>
    <w:link w:val="Quote"/>
    <w:uiPriority w:val="29"/>
    <w:rsid w:val="007902D4"/>
    <w:rPr>
      <w:i/>
      <w:iCs/>
      <w:color w:val="404040" w:themeColor="text1" w:themeTint="BF"/>
    </w:rPr>
  </w:style>
  <w:style w:type="paragraph" w:styleId="ListParagraph">
    <w:name w:val="List Paragraph"/>
    <w:basedOn w:val="Normal"/>
    <w:uiPriority w:val="34"/>
    <w:qFormat/>
    <w:rsid w:val="007902D4"/>
    <w:pPr>
      <w:ind w:left="720"/>
      <w:contextualSpacing/>
    </w:pPr>
  </w:style>
  <w:style w:type="character" w:styleId="IntenseEmphasis">
    <w:name w:val="Intense Emphasis"/>
    <w:basedOn w:val="DefaultParagraphFont"/>
    <w:uiPriority w:val="21"/>
    <w:qFormat/>
    <w:rsid w:val="007902D4"/>
    <w:rPr>
      <w:i/>
      <w:iCs/>
      <w:color w:val="2F5496" w:themeColor="accent1" w:themeShade="BF"/>
    </w:rPr>
  </w:style>
  <w:style w:type="paragraph" w:styleId="IntenseQuote">
    <w:name w:val="Intense Quote"/>
    <w:basedOn w:val="Normal"/>
    <w:next w:val="Normal"/>
    <w:link w:val="IntenseQuoteChar"/>
    <w:uiPriority w:val="30"/>
    <w:qFormat/>
    <w:rsid w:val="007902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02D4"/>
    <w:rPr>
      <w:i/>
      <w:iCs/>
      <w:color w:val="2F5496" w:themeColor="accent1" w:themeShade="BF"/>
    </w:rPr>
  </w:style>
  <w:style w:type="character" w:styleId="IntenseReference">
    <w:name w:val="Intense Reference"/>
    <w:basedOn w:val="DefaultParagraphFont"/>
    <w:uiPriority w:val="32"/>
    <w:qFormat/>
    <w:rsid w:val="007902D4"/>
    <w:rPr>
      <w:b/>
      <w:bCs/>
      <w:smallCaps/>
      <w:color w:val="2F5496" w:themeColor="accent1" w:themeShade="BF"/>
      <w:spacing w:val="5"/>
    </w:rPr>
  </w:style>
  <w:style w:type="table" w:styleId="TableGrid">
    <w:name w:val="Table Grid"/>
    <w:basedOn w:val="TableNormal"/>
    <w:uiPriority w:val="39"/>
    <w:rsid w:val="000B21DB"/>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unhideWhenUsed/>
    <w:rsid w:val="000B21DB"/>
    <w:rPr>
      <w:color w:val="0000FF"/>
      <w:u w:val="single"/>
    </w:rPr>
  </w:style>
  <w:style w:type="paragraph" w:styleId="Header">
    <w:name w:val="header"/>
    <w:basedOn w:val="Normal"/>
    <w:link w:val="HeaderChar"/>
    <w:uiPriority w:val="99"/>
    <w:unhideWhenUsed/>
    <w:rsid w:val="000B21DB"/>
    <w:pPr>
      <w:tabs>
        <w:tab w:val="center" w:pos="4680"/>
        <w:tab w:val="right" w:pos="9360"/>
      </w:tabs>
      <w:spacing w:after="0" w:line="240" w:lineRule="auto"/>
    </w:pPr>
    <w:rPr>
      <w:rFonts w:ascii="Calibri" w:eastAsia="SimSun" w:hAnsi="Calibri" w:cs="Times New Roman"/>
      <w:kern w:val="0"/>
      <w:lang w:eastAsia="zh-CN"/>
      <w14:ligatures w14:val="none"/>
    </w:rPr>
  </w:style>
  <w:style w:type="character" w:customStyle="1" w:styleId="HeaderChar">
    <w:name w:val="Header Char"/>
    <w:basedOn w:val="DefaultParagraphFont"/>
    <w:link w:val="Header"/>
    <w:uiPriority w:val="99"/>
    <w:rsid w:val="000B21DB"/>
    <w:rPr>
      <w:rFonts w:ascii="Calibri" w:eastAsia="SimSun" w:hAnsi="Calibri" w:cs="Times New Roman"/>
      <w:kern w:val="0"/>
      <w:lang w:val="en-US" w:eastAsia="zh-CN"/>
      <w14:ligatures w14:val="none"/>
    </w:rPr>
  </w:style>
  <w:style w:type="paragraph" w:styleId="Footer">
    <w:name w:val="footer"/>
    <w:basedOn w:val="Normal"/>
    <w:link w:val="FooterChar"/>
    <w:uiPriority w:val="99"/>
    <w:unhideWhenUsed/>
    <w:rsid w:val="000B21DB"/>
    <w:pPr>
      <w:tabs>
        <w:tab w:val="center" w:pos="4680"/>
        <w:tab w:val="right" w:pos="9360"/>
      </w:tabs>
      <w:spacing w:after="0" w:line="240" w:lineRule="auto"/>
    </w:pPr>
    <w:rPr>
      <w:rFonts w:ascii="Calibri" w:eastAsia="SimSun" w:hAnsi="Calibri" w:cs="Times New Roman"/>
      <w:kern w:val="0"/>
      <w:lang w:eastAsia="zh-CN"/>
      <w14:ligatures w14:val="none"/>
    </w:rPr>
  </w:style>
  <w:style w:type="character" w:customStyle="1" w:styleId="FooterChar">
    <w:name w:val="Footer Char"/>
    <w:basedOn w:val="DefaultParagraphFont"/>
    <w:link w:val="Footer"/>
    <w:uiPriority w:val="99"/>
    <w:rsid w:val="000B21DB"/>
    <w:rPr>
      <w:rFonts w:ascii="Calibri" w:eastAsia="SimSun" w:hAnsi="Calibri" w:cs="Times New Roman"/>
      <w:kern w:val="0"/>
      <w:lang w:val="en-US" w:eastAsia="zh-CN"/>
      <w14:ligatures w14:val="none"/>
    </w:rPr>
  </w:style>
  <w:style w:type="character" w:customStyle="1" w:styleId="BalloonTextChar">
    <w:name w:val="Balloon Text Char"/>
    <w:basedOn w:val="DefaultParagraphFont"/>
    <w:link w:val="BalloonText"/>
    <w:uiPriority w:val="99"/>
    <w:semiHidden/>
    <w:rsid w:val="000B21DB"/>
    <w:rPr>
      <w:rFonts w:ascii="Segoe UI" w:eastAsia="SimSun" w:hAnsi="Segoe UI" w:cs="Segoe UI"/>
      <w:sz w:val="18"/>
      <w:szCs w:val="18"/>
      <w:lang w:eastAsia="zh-CN"/>
    </w:rPr>
  </w:style>
  <w:style w:type="paragraph" w:styleId="BalloonText">
    <w:name w:val="Balloon Text"/>
    <w:basedOn w:val="Normal"/>
    <w:link w:val="BalloonTextChar"/>
    <w:uiPriority w:val="99"/>
    <w:semiHidden/>
    <w:unhideWhenUsed/>
    <w:rsid w:val="000B21DB"/>
    <w:pPr>
      <w:spacing w:after="0" w:line="240" w:lineRule="auto"/>
    </w:pPr>
    <w:rPr>
      <w:rFonts w:ascii="Segoe UI" w:eastAsia="SimSun" w:hAnsi="Segoe UI" w:cs="Segoe UI"/>
      <w:sz w:val="18"/>
      <w:szCs w:val="18"/>
      <w:lang w:eastAsia="zh-CN"/>
    </w:rPr>
  </w:style>
  <w:style w:type="character" w:customStyle="1" w:styleId="BalloonTextChar1">
    <w:name w:val="Balloon Text Char1"/>
    <w:basedOn w:val="DefaultParagraphFont"/>
    <w:uiPriority w:val="99"/>
    <w:semiHidden/>
    <w:rsid w:val="000B21DB"/>
    <w:rPr>
      <w:rFonts w:ascii="Segoe UI" w:hAnsi="Segoe UI" w:cs="Segoe UI"/>
      <w:sz w:val="18"/>
      <w:szCs w:val="18"/>
    </w:rPr>
  </w:style>
  <w:style w:type="paragraph" w:customStyle="1" w:styleId="TableParagraph">
    <w:name w:val="Table Paragraph"/>
    <w:basedOn w:val="Normal"/>
    <w:uiPriority w:val="1"/>
    <w:qFormat/>
    <w:rsid w:val="000B21DB"/>
    <w:pPr>
      <w:widowControl w:val="0"/>
      <w:autoSpaceDE w:val="0"/>
      <w:autoSpaceDN w:val="0"/>
      <w:spacing w:after="0" w:line="240" w:lineRule="auto"/>
      <w:ind w:left="107"/>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0B21DB"/>
    <w:pPr>
      <w:widowControl w:val="0"/>
      <w:autoSpaceDE w:val="0"/>
      <w:autoSpaceDN w:val="0"/>
      <w:spacing w:after="0" w:line="240" w:lineRule="auto"/>
    </w:pPr>
    <w:rPr>
      <w:rFonts w:ascii="Trebuchet MS" w:eastAsia="Trebuchet MS" w:hAnsi="Trebuchet MS" w:cs="Trebuchet MS"/>
      <w:b/>
      <w:bCs/>
      <w:kern w:val="0"/>
      <w:sz w:val="32"/>
      <w:szCs w:val="32"/>
      <w14:ligatures w14:val="none"/>
    </w:rPr>
  </w:style>
  <w:style w:type="character" w:customStyle="1" w:styleId="BodyTextChar">
    <w:name w:val="Body Text Char"/>
    <w:basedOn w:val="DefaultParagraphFont"/>
    <w:link w:val="BodyText"/>
    <w:uiPriority w:val="1"/>
    <w:rsid w:val="000B21DB"/>
    <w:rPr>
      <w:rFonts w:ascii="Trebuchet MS" w:eastAsia="Trebuchet MS" w:hAnsi="Trebuchet MS" w:cs="Trebuchet MS"/>
      <w:b/>
      <w:bCs/>
      <w:kern w:val="0"/>
      <w:sz w:val="32"/>
      <w:szCs w:val="32"/>
      <w:lang w:val="en-US"/>
      <w14:ligatures w14:val="none"/>
    </w:rPr>
  </w:style>
  <w:style w:type="paragraph" w:styleId="NormalWeb">
    <w:name w:val="Normal (Web)"/>
    <w:basedOn w:val="Normal"/>
    <w:uiPriority w:val="99"/>
    <w:unhideWhenUsed/>
    <w:rsid w:val="000B21DB"/>
    <w:pPr>
      <w:spacing w:before="100" w:beforeAutospacing="1" w:after="100" w:afterAutospacing="1" w:line="240" w:lineRule="auto"/>
    </w:pPr>
    <w:rPr>
      <w:rFonts w:ascii="Times New Roman" w:eastAsia="Times New Roman" w:hAnsi="Times New Roman" w:cs="Times New Roman"/>
      <w:kern w:val="0"/>
      <w:sz w:val="24"/>
      <w:szCs w:val="24"/>
      <w:lang w:val="en-GB"/>
      <w14:ligatures w14:val="none"/>
    </w:rPr>
  </w:style>
  <w:style w:type="paragraph" w:customStyle="1" w:styleId="Normal1">
    <w:name w:val="Normal1"/>
    <w:rsid w:val="000B21DB"/>
    <w:rPr>
      <w:rFonts w:ascii="Calibri" w:eastAsia="Calibri" w:hAnsi="Calibri" w:cs="Calibri"/>
      <w:kern w:val="0"/>
      <w14:ligatures w14:val="none"/>
    </w:rPr>
  </w:style>
  <w:style w:type="character" w:styleId="Strong">
    <w:name w:val="Strong"/>
    <w:basedOn w:val="DefaultParagraphFont"/>
    <w:uiPriority w:val="22"/>
    <w:qFormat/>
    <w:rsid w:val="000B21DB"/>
    <w:rPr>
      <w:b/>
      <w:bCs/>
    </w:rPr>
  </w:style>
  <w:style w:type="paragraph" w:customStyle="1" w:styleId="pdq2pgselectionanchorcontainer">
    <w:name w:val="pdq2pg_selectionanchorcontainer"/>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B21DB"/>
    <w:rPr>
      <w:i/>
      <w:iCs/>
    </w:rPr>
  </w:style>
  <w:style w:type="paragraph" w:customStyle="1" w:styleId="font-claude-response-body">
    <w:name w:val="font-claude-response-body"/>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ommentTextChar">
    <w:name w:val="Comment Text Char"/>
    <w:basedOn w:val="DefaultParagraphFont"/>
    <w:link w:val="CommentText"/>
    <w:uiPriority w:val="99"/>
    <w:semiHidden/>
    <w:rsid w:val="000B21DB"/>
    <w:rPr>
      <w:rFonts w:ascii="Calibri" w:eastAsia="SimSun" w:hAnsi="Calibri" w:cs="Times New Roman"/>
      <w:sz w:val="20"/>
      <w:szCs w:val="20"/>
      <w:lang w:eastAsia="zh-CN"/>
    </w:rPr>
  </w:style>
  <w:style w:type="paragraph" w:styleId="CommentText">
    <w:name w:val="annotation text"/>
    <w:basedOn w:val="Normal"/>
    <w:link w:val="CommentTextChar"/>
    <w:uiPriority w:val="99"/>
    <w:semiHidden/>
    <w:unhideWhenUsed/>
    <w:rsid w:val="000B21DB"/>
    <w:pPr>
      <w:spacing w:after="200" w:line="240" w:lineRule="auto"/>
    </w:pPr>
    <w:rPr>
      <w:rFonts w:ascii="Calibri" w:eastAsia="SimSun" w:hAnsi="Calibri" w:cs="Times New Roman"/>
      <w:sz w:val="20"/>
      <w:szCs w:val="20"/>
      <w:lang w:eastAsia="zh-CN"/>
    </w:rPr>
  </w:style>
  <w:style w:type="character" w:customStyle="1" w:styleId="CommentTextChar1">
    <w:name w:val="Comment Text Char1"/>
    <w:basedOn w:val="DefaultParagraphFont"/>
    <w:uiPriority w:val="99"/>
    <w:semiHidden/>
    <w:rsid w:val="000B21DB"/>
    <w:rPr>
      <w:sz w:val="20"/>
      <w:szCs w:val="20"/>
    </w:rPr>
  </w:style>
  <w:style w:type="character" w:customStyle="1" w:styleId="CommentSubjectChar">
    <w:name w:val="Comment Subject Char"/>
    <w:basedOn w:val="CommentTextChar"/>
    <w:link w:val="CommentSubject"/>
    <w:uiPriority w:val="99"/>
    <w:semiHidden/>
    <w:rsid w:val="000B21DB"/>
    <w:rPr>
      <w:rFonts w:ascii="Calibri" w:eastAsia="SimSun" w:hAnsi="Calibri" w:cs="Times New Roman"/>
      <w:b/>
      <w:bCs/>
      <w:sz w:val="20"/>
      <w:szCs w:val="20"/>
      <w:lang w:eastAsia="zh-CN"/>
    </w:rPr>
  </w:style>
  <w:style w:type="paragraph" w:styleId="CommentSubject">
    <w:name w:val="annotation subject"/>
    <w:basedOn w:val="CommentText"/>
    <w:next w:val="CommentText"/>
    <w:link w:val="CommentSubjectChar"/>
    <w:uiPriority w:val="99"/>
    <w:semiHidden/>
    <w:unhideWhenUsed/>
    <w:rsid w:val="000B21DB"/>
    <w:rPr>
      <w:b/>
      <w:bCs/>
    </w:rPr>
  </w:style>
  <w:style w:type="character" w:customStyle="1" w:styleId="CommentSubjectChar1">
    <w:name w:val="Comment Subject Char1"/>
    <w:basedOn w:val="CommentTextChar1"/>
    <w:uiPriority w:val="99"/>
    <w:semiHidden/>
    <w:rsid w:val="000B21DB"/>
    <w:rPr>
      <w:b/>
      <w:bCs/>
      <w:sz w:val="20"/>
      <w:szCs w:val="20"/>
    </w:rPr>
  </w:style>
  <w:style w:type="paragraph" w:customStyle="1" w:styleId="isselectedend">
    <w:name w:val="isselectedend"/>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372DB7"/>
    <w:rPr>
      <w:color w:val="605E5C"/>
      <w:shd w:val="clear" w:color="auto" w:fill="E1DFDD"/>
    </w:rPr>
  </w:style>
  <w:style w:type="paragraph" w:styleId="NoSpacing">
    <w:name w:val="No Spacing"/>
    <w:uiPriority w:val="1"/>
    <w:qFormat/>
    <w:rsid w:val="00C01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55/2024/6753378" TargetMode="External"/><Relationship Id="rId21" Type="http://schemas.openxmlformats.org/officeDocument/2006/relationships/hyperlink" Target="https://doi.org/10.1007/s11104-005-5847-7" TargetMode="External"/><Relationship Id="rId42" Type="http://schemas.openxmlformats.org/officeDocument/2006/relationships/hyperlink" Target="https://doi.org/10.1016/j.pce.2018.01.003" TargetMode="External"/><Relationship Id="rId47" Type="http://schemas.openxmlformats.org/officeDocument/2006/relationships/hyperlink" Target="https://doi.org/10.1017/S0014479715000307" TargetMode="External"/><Relationship Id="rId63" Type="http://schemas.openxmlformats.org/officeDocument/2006/relationships/hyperlink" Target="https://doi.org/10.3390/agriculture13122197" TargetMode="External"/><Relationship Id="rId68" Type="http://schemas.openxmlformats.org/officeDocument/2006/relationships/hyperlink" Target="https://doi.org/10.3389/fpls.2024.1371895" TargetMode="External"/><Relationship Id="rId16" Type="http://schemas.openxmlformats.org/officeDocument/2006/relationships/hyperlink" Target="https://doi.org/10.1007/s11032-010-9527-9" TargetMode="External"/><Relationship Id="rId11" Type="http://schemas.openxmlformats.org/officeDocument/2006/relationships/hyperlink" Target="https://doi.org/10.1111/j.1439-037X.2004.00096.x" TargetMode="External"/><Relationship Id="rId24" Type="http://schemas.openxmlformats.org/officeDocument/2006/relationships/hyperlink" Target="https://doi.org/10.56557/pcbmb/2025/v26i7-89488" TargetMode="External"/><Relationship Id="rId32" Type="http://schemas.openxmlformats.org/officeDocument/2006/relationships/hyperlink" Target="https://doi.org/10.5897/AJPS10.198" TargetMode="External"/><Relationship Id="rId37" Type="http://schemas.openxmlformats.org/officeDocument/2006/relationships/hyperlink" Target="https://doi.org/10.1111/gcb.14062" TargetMode="External"/><Relationship Id="rId40" Type="http://schemas.openxmlformats.org/officeDocument/2006/relationships/hyperlink" Target="https://doi.org/10.1146/annurev.arplant.57.032905.105316" TargetMode="External"/><Relationship Id="rId45" Type="http://schemas.openxmlformats.org/officeDocument/2006/relationships/hyperlink" Target="https://doi.org/10.1007/s00425-019-03191-6" TargetMode="External"/><Relationship Id="rId53" Type="http://schemas.openxmlformats.org/officeDocument/2006/relationships/hyperlink" Target="https://africanjournalofbiomedicalresearch.com/index.php/AJBR/article/view/1047" TargetMode="External"/><Relationship Id="rId58" Type="http://schemas.openxmlformats.org/officeDocument/2006/relationships/hyperlink" Target="https://doi.org/10.1111/j.1365-3040.2006.01588.x" TargetMode="External"/><Relationship Id="rId66" Type="http://schemas.openxmlformats.org/officeDocument/2006/relationships/hyperlink" Target="https://www.nrcs.usda.gov/resources/guides-and-instructions/kellogg-soil-survey-laboratory-guidance"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doi.org/10.1016/0378-4290(91)90070-C" TargetMode="External"/><Relationship Id="rId19" Type="http://schemas.openxmlformats.org/officeDocument/2006/relationships/hyperlink" Target="https://prota.prota4u.org/protav8.asp?g=pe&amp;p=Vigna+subterranea" TargetMode="External"/><Relationship Id="rId14" Type="http://schemas.openxmlformats.org/officeDocument/2006/relationships/hyperlink" Target="https://doi.org/10.3389/fpls.2019.01068" TargetMode="External"/><Relationship Id="rId22" Type="http://schemas.openxmlformats.org/officeDocument/2006/relationships/hyperlink" Target="https://doi.org/10.3390/jof8070660" TargetMode="External"/><Relationship Id="rId27" Type="http://schemas.openxmlformats.org/officeDocument/2006/relationships/hyperlink" Target="https://doi.org/10.3390/plants11010095" TargetMode="External"/><Relationship Id="rId30" Type="http://schemas.openxmlformats.org/officeDocument/2006/relationships/hyperlink" Target="https://doi.org/10.1186/s12870-023-04293-w" TargetMode="External"/><Relationship Id="rId35" Type="http://schemas.openxmlformats.org/officeDocument/2006/relationships/hyperlink" Target="https://doi.org/10.1007/978-981-15-4752-2_11" TargetMode="External"/><Relationship Id="rId43" Type="http://schemas.openxmlformats.org/officeDocument/2006/relationships/hyperlink" Target="https://doi.org/10.3390/agronomy11071345" TargetMode="External"/><Relationship Id="rId48" Type="http://schemas.openxmlformats.org/officeDocument/2006/relationships/hyperlink" Target="https://doi.org/10.1590/S1413-70542010000100010" TargetMode="External"/><Relationship Id="rId56" Type="http://schemas.openxmlformats.org/officeDocument/2006/relationships/hyperlink" Target="https://doi.org/10.7831/ras.10.0_168" TargetMode="External"/><Relationship Id="rId64" Type="http://schemas.openxmlformats.org/officeDocument/2006/relationships/hyperlink" Target="https://doi.org/10.1155/2016/4165750" TargetMode="External"/><Relationship Id="rId69" Type="http://schemas.openxmlformats.org/officeDocument/2006/relationships/hyperlink" Target="https://doi.org/10.17221/54/2010-PSE" TargetMode="External"/><Relationship Id="rId77" Type="http://schemas.openxmlformats.org/officeDocument/2006/relationships/header" Target="header3.xml"/><Relationship Id="rId8" Type="http://schemas.openxmlformats.org/officeDocument/2006/relationships/image" Target="media/image1.emf"/><Relationship Id="rId51" Type="http://schemas.openxmlformats.org/officeDocument/2006/relationships/hyperlink" Target="https://doi.org/10.3389/fpls.2023.1104417" TargetMode="External"/><Relationship Id="rId72" Type="http://schemas.openxmlformats.org/officeDocument/2006/relationships/hyperlink" Target="https://doi.org/10.1016/j.scitotenv.2024.176960"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016/j.scienta.2015.03.002" TargetMode="External"/><Relationship Id="rId17" Type="http://schemas.openxmlformats.org/officeDocument/2006/relationships/hyperlink" Target="https://doi.org/10.2134/agronj15.0086" TargetMode="External"/><Relationship Id="rId25" Type="http://schemas.openxmlformats.org/officeDocument/2006/relationships/hyperlink" Target="https://doi.org/10.1016/S0378-4290(01)00137-X" TargetMode="External"/><Relationship Id="rId33" Type="http://schemas.openxmlformats.org/officeDocument/2006/relationships/hyperlink" Target="https://doi.org/10.1126/science.aaz7614" TargetMode="External"/><Relationship Id="rId38" Type="http://schemas.openxmlformats.org/officeDocument/2006/relationships/hyperlink" Target="https://doi.org/10.1007/978-981-10-9029-5_1" TargetMode="External"/><Relationship Id="rId46" Type="http://schemas.openxmlformats.org/officeDocument/2006/relationships/hyperlink" Target="https://doi.org/10.2134/agronmonogr9.2.c16" TargetMode="External"/><Relationship Id="rId59" Type="http://schemas.openxmlformats.org/officeDocument/2006/relationships/hyperlink" Target="https://www.fao.org/4/Y0494E/Y0494e09.htm" TargetMode="External"/><Relationship Id="rId67" Type="http://schemas.openxmlformats.org/officeDocument/2006/relationships/hyperlink" Target="https://doi.org/10.1038/s43017-023-00514-w" TargetMode="External"/><Relationship Id="rId20" Type="http://schemas.openxmlformats.org/officeDocument/2006/relationships/hyperlink" Target="https://doi.org/10.1093/jxb/erad312" TargetMode="External"/><Relationship Id="rId41" Type="http://schemas.openxmlformats.org/officeDocument/2006/relationships/hyperlink" Target="https://doi.org/10.4314/wsa.v39i2.2" TargetMode="External"/><Relationship Id="rId54" Type="http://schemas.openxmlformats.org/officeDocument/2006/relationships/hyperlink" Target="https://doi.org/10.9734/aprj/2026/v14i5397" TargetMode="External"/><Relationship Id="rId62" Type="http://schemas.openxmlformats.org/officeDocument/2006/relationships/hyperlink" Target="https://doi.org/10.1016/B978-0-12-370526-6.X5001-6" TargetMode="External"/><Relationship Id="rId70" Type="http://schemas.openxmlformats.org/officeDocument/2006/relationships/hyperlink" Target="https://doi.org/10.33003/fjs-2025-0903-3353"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90/plants10091910" TargetMode="External"/><Relationship Id="rId23" Type="http://schemas.openxmlformats.org/officeDocument/2006/relationships/hyperlink" Target="https://doi.org/10.17221/27/2024-PSE" TargetMode="External"/><Relationship Id="rId28" Type="http://schemas.openxmlformats.org/officeDocument/2006/relationships/hyperlink" Target="https://repo.mel.cgiar.org/items/14bb2a3f-dc9e-455b-99e3-97f27ceb9e42" TargetMode="External"/><Relationship Id="rId36" Type="http://schemas.openxmlformats.org/officeDocument/2006/relationships/hyperlink" Target="https://doi.org/10.1016/j.colsurfb.2007.06.006" TargetMode="External"/><Relationship Id="rId49" Type="http://schemas.openxmlformats.org/officeDocument/2006/relationships/hyperlink" Target="https://doi.org/10.3923/jftech.2005.572.575" TargetMode="External"/><Relationship Id="rId57" Type="http://schemas.openxmlformats.org/officeDocument/2006/relationships/hyperlink" Target="https://doi.org/10.3390/agriculture9060120" TargetMode="External"/><Relationship Id="rId10" Type="http://schemas.openxmlformats.org/officeDocument/2006/relationships/hyperlink" Target="https://doi.org/10.5897/AJPP10.186" TargetMode="External"/><Relationship Id="rId31" Type="http://schemas.openxmlformats.org/officeDocument/2006/relationships/hyperlink" Target="https://doi.org/10.52589/AJAFS-A7GABMWK" TargetMode="External"/><Relationship Id="rId44" Type="http://schemas.openxmlformats.org/officeDocument/2006/relationships/hyperlink" Target="https://doi.org/10.3389/fmicb.2021.809473" TargetMode="External"/><Relationship Id="rId52" Type="http://schemas.openxmlformats.org/officeDocument/2006/relationships/hyperlink" Target="https://journals.tubitak.gov.tr/agriculture/vol29/iss4/2/" TargetMode="External"/><Relationship Id="rId60" Type="http://schemas.openxmlformats.org/officeDocument/2006/relationships/hyperlink" Target="https://doi.org/10.3389/fpls.2021.642101" TargetMode="External"/><Relationship Id="rId65" Type="http://schemas.openxmlformats.org/officeDocument/2006/relationships/hyperlink" Target="https://doi.org/10.1016/j.sciaf.2023.e01823" TargetMode="External"/><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https://doi.org/10.5897/AJAR11.817" TargetMode="External"/><Relationship Id="rId18" Type="http://schemas.openxmlformats.org/officeDocument/2006/relationships/hyperlink" Target="https://doi.org/10.2134/agronmonogr9.2.c32" TargetMode="External"/><Relationship Id="rId39" Type="http://schemas.openxmlformats.org/officeDocument/2006/relationships/hyperlink" Target="https://doi.org/10.2489/jswc.2020.0620A" TargetMode="External"/><Relationship Id="rId34" Type="http://schemas.openxmlformats.org/officeDocument/2006/relationships/hyperlink" Target="https://gala.gre.ac.uk/id/eprint/23577/" TargetMode="External"/><Relationship Id="rId50" Type="http://schemas.openxmlformats.org/officeDocument/2006/relationships/hyperlink" Target="https://doi.org/10.4236/jep.2020.1110053" TargetMode="External"/><Relationship Id="rId55" Type="http://schemas.openxmlformats.org/officeDocument/2006/relationships/hyperlink" Target="https://doi.org/10.1007/978-3-030-73920-1"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doi.org/10.4314/mejs.v12i1.1" TargetMode="External"/><Relationship Id="rId2" Type="http://schemas.openxmlformats.org/officeDocument/2006/relationships/numbering" Target="numbering.xml"/><Relationship Id="rId29" Type="http://schemas.openxmlformats.org/officeDocument/2006/relationships/hyperlink" Target="https://www.fao.org/4/a0541e/a0541e0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2EBB0-7E29-4FD9-81D8-FF1873DF5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2236</TotalTime>
  <Pages>29</Pages>
  <Words>9580</Words>
  <Characters>54609</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USENOBONG UFOT</dc:creator>
  <cp:keywords/>
  <dc:description/>
  <cp:lastModifiedBy>Editor-90</cp:lastModifiedBy>
  <cp:revision>36</cp:revision>
  <dcterms:created xsi:type="dcterms:W3CDTF">2026-09-06T05:42:00Z</dcterms:created>
  <dcterms:modified xsi:type="dcterms:W3CDTF">2026-09-29T06:10:00Z</dcterms:modified>
</cp:coreProperties>
</file>