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242E2" w14:textId="77777777" w:rsidR="00E825B8" w:rsidRDefault="00000000">
      <w:pPr>
        <w:spacing w:after="60"/>
        <w:jc w:val="center"/>
        <w:rPr>
          <w:rFonts w:cs="Times New Roman"/>
          <w:b/>
          <w:szCs w:val="24"/>
        </w:rPr>
      </w:pPr>
      <w:r w:rsidRPr="00E825B8">
        <w:rPr>
          <w:rFonts w:cs="Times New Roman"/>
          <w:b/>
          <w:szCs w:val="24"/>
        </w:rPr>
        <w:t xml:space="preserve">Economic Performance and Investment Recovery of Conventional, Container Gardening, Kratky, and Nutrient Film Technique Systems for Lettuce </w:t>
      </w:r>
    </w:p>
    <w:p w14:paraId="1DFCB0AB" w14:textId="77777777" w:rsidR="00E825B8" w:rsidRDefault="00000000">
      <w:pPr>
        <w:spacing w:after="60"/>
        <w:jc w:val="center"/>
        <w:rPr>
          <w:rFonts w:cs="Times New Roman"/>
          <w:b/>
          <w:szCs w:val="24"/>
        </w:rPr>
      </w:pPr>
      <w:r w:rsidRPr="00E825B8">
        <w:rPr>
          <w:rFonts w:cs="Times New Roman"/>
          <w:b/>
          <w:szCs w:val="24"/>
        </w:rPr>
        <w:t>(</w:t>
      </w:r>
      <w:r w:rsidRPr="00EE1E62">
        <w:rPr>
          <w:rFonts w:cs="Times New Roman"/>
          <w:b/>
          <w:i/>
          <w:iCs/>
          <w:szCs w:val="24"/>
        </w:rPr>
        <w:t>Lactuca sativa</w:t>
      </w:r>
      <w:r w:rsidRPr="00E825B8">
        <w:rPr>
          <w:rFonts w:cs="Times New Roman"/>
          <w:b/>
          <w:szCs w:val="24"/>
        </w:rPr>
        <w:t xml:space="preserve"> L. cv. Olmetie RZ 1000 Batavia) </w:t>
      </w:r>
    </w:p>
    <w:p w14:paraId="02125E6D" w14:textId="77777777" w:rsidR="00FC4B7F" w:rsidRPr="00E825B8" w:rsidRDefault="00000000">
      <w:pPr>
        <w:spacing w:after="60"/>
        <w:jc w:val="center"/>
        <w:rPr>
          <w:rFonts w:cs="Times New Roman"/>
          <w:szCs w:val="24"/>
        </w:rPr>
      </w:pPr>
      <w:r w:rsidRPr="00E825B8">
        <w:rPr>
          <w:rFonts w:cs="Times New Roman"/>
          <w:b/>
          <w:szCs w:val="24"/>
        </w:rPr>
        <w:t>Production Under Tropical Conditions</w:t>
      </w:r>
    </w:p>
    <w:p w14:paraId="15BD27F5" w14:textId="77777777" w:rsidR="00E825B8" w:rsidRDefault="00E825B8">
      <w:pPr>
        <w:spacing w:after="60"/>
        <w:jc w:val="center"/>
        <w:rPr>
          <w:rFonts w:cs="Times New Roman"/>
          <w:b/>
          <w:szCs w:val="24"/>
        </w:rPr>
      </w:pPr>
    </w:p>
    <w:p w14:paraId="14B2A9DE" w14:textId="77777777" w:rsidR="00A21E19" w:rsidRDefault="00A21E19">
      <w:pPr>
        <w:spacing w:after="60"/>
        <w:jc w:val="center"/>
        <w:rPr>
          <w:rFonts w:cs="Times New Roman"/>
          <w:b/>
          <w:szCs w:val="24"/>
        </w:rPr>
      </w:pPr>
    </w:p>
    <w:p w14:paraId="252B552F" w14:textId="77777777" w:rsidR="00A21E19" w:rsidRPr="00E825B8" w:rsidRDefault="00A21E19">
      <w:pPr>
        <w:spacing w:after="60"/>
        <w:jc w:val="center"/>
        <w:rPr>
          <w:rFonts w:cs="Times New Roman"/>
          <w:szCs w:val="24"/>
        </w:rPr>
      </w:pPr>
    </w:p>
    <w:p w14:paraId="0A6FB402" w14:textId="77777777" w:rsidR="00FC4B7F" w:rsidRDefault="00000000" w:rsidP="000345A6">
      <w:pPr>
        <w:pStyle w:val="Heading1"/>
        <w:spacing w:after="60"/>
        <w:jc w:val="center"/>
        <w:rPr>
          <w:rFonts w:ascii="Times New Roman" w:hAnsi="Times New Roman" w:cs="Times New Roman"/>
          <w:sz w:val="24"/>
          <w:szCs w:val="24"/>
        </w:rPr>
      </w:pPr>
      <w:r w:rsidRPr="00E825B8">
        <w:rPr>
          <w:rFonts w:ascii="Times New Roman" w:hAnsi="Times New Roman" w:cs="Times New Roman"/>
          <w:sz w:val="24"/>
          <w:szCs w:val="24"/>
        </w:rPr>
        <w:t>Abstract</w:t>
      </w:r>
    </w:p>
    <w:p w14:paraId="548DD7BB" w14:textId="65C1E1F7" w:rsidR="00FC4B7F" w:rsidRPr="00E825B8" w:rsidRDefault="00CD6D2D">
      <w:pPr>
        <w:spacing w:after="60"/>
        <w:jc w:val="both"/>
        <w:rPr>
          <w:rFonts w:cs="Times New Roman"/>
          <w:szCs w:val="24"/>
        </w:rPr>
      </w:pPr>
      <w:r w:rsidRPr="00CD6D2D">
        <w:rPr>
          <w:rFonts w:cs="Times New Roman"/>
          <w:szCs w:val="24"/>
        </w:rPr>
        <w:t xml:space="preserve"> Lettuce production under tropical conditions is constrained by high temperatures, water requirements, and variability in resource availability, which can affect crop productivity and production costs. Conventional, container-based, and hydroponic systems differ considerably in their requirements for water, energy, infrastructure, and capital investment. However, direct comparisons of their economic performance and investment recovery under a common tropical production setting remain limited, creating a need to evaluate productivity alongside resource use and financial outcomes.</w:t>
      </w:r>
      <w:r>
        <w:rPr>
          <w:rFonts w:cs="Times New Roman"/>
          <w:szCs w:val="24"/>
        </w:rPr>
        <w:t xml:space="preserve"> </w:t>
      </w:r>
      <w:r w:rsidRPr="00E825B8">
        <w:rPr>
          <w:rFonts w:cs="Times New Roman"/>
          <w:szCs w:val="24"/>
        </w:rPr>
        <w:t>This study evaluated the economic performance and investment recovery of four lettuce (</w:t>
      </w:r>
      <w:r w:rsidRPr="00EE1E62">
        <w:rPr>
          <w:rFonts w:cs="Times New Roman"/>
          <w:i/>
          <w:iCs/>
          <w:szCs w:val="24"/>
        </w:rPr>
        <w:t>Lactuca sativa</w:t>
      </w:r>
      <w:r w:rsidRPr="00E825B8">
        <w:rPr>
          <w:rFonts w:cs="Times New Roman"/>
          <w:szCs w:val="24"/>
        </w:rPr>
        <w:t xml:space="preserve"> L.</w:t>
      </w:r>
      <w:r w:rsidR="00EE1E62">
        <w:rPr>
          <w:rFonts w:cs="Times New Roman"/>
          <w:szCs w:val="24"/>
        </w:rPr>
        <w:t xml:space="preserve"> </w:t>
      </w:r>
      <w:r>
        <w:rPr>
          <w:rFonts w:cs="Times New Roman"/>
          <w:bCs/>
          <w:szCs w:val="24"/>
          <w:highlight w:val="yellow"/>
        </w:rPr>
        <w:t>cv. ‘</w:t>
      </w:r>
      <w:proofErr w:type="spellStart"/>
      <w:r>
        <w:rPr>
          <w:rFonts w:cs="Times New Roman"/>
          <w:bCs/>
          <w:szCs w:val="24"/>
          <w:highlight w:val="yellow"/>
        </w:rPr>
        <w:t>Olmetie</w:t>
      </w:r>
      <w:proofErr w:type="spellEnd"/>
      <w:r>
        <w:rPr>
          <w:rFonts w:cs="Times New Roman"/>
          <w:bCs/>
          <w:szCs w:val="24"/>
          <w:highlight w:val="yellow"/>
        </w:rPr>
        <w:t xml:space="preserve"> RZ 1000 Batavia’</w:t>
      </w:r>
      <w:r>
        <w:rPr>
          <w:rFonts w:cs="Times New Roman"/>
          <w:szCs w:val="24"/>
        </w:rPr>
        <w:t xml:space="preserve">) production systems—conventional open-field farming, container gardening, Kratky hydroponics, and Nutrient Film Technique (NFT)—under tropical conditions. A </w:t>
      </w:r>
      <w:proofErr w:type="spellStart"/>
      <w:r>
        <w:rPr>
          <w:rFonts w:cs="Times New Roman"/>
          <w:szCs w:val="24"/>
          <w:highlight w:val="yellow"/>
        </w:rPr>
        <w:t>randomised</w:t>
      </w:r>
      <w:proofErr w:type="spellEnd"/>
      <w:r>
        <w:rPr>
          <w:rFonts w:cs="Times New Roman"/>
          <w:szCs w:val="24"/>
        </w:rPr>
        <w:t xml:space="preserve"> complete block design with four treatments and three replications was used, with a 28-day production cycle. Fresh biomass, measured water use, electricity requirement, production cost, gross income, first-cycle net income, ROI, and investment recovery were evaluated. NFT produced the highest fresh biomass (133.04 g plant⁻¹), followed by container gardening (74.77 g plant⁻¹), Kratky (58.17 g plant⁻¹), and conventional farming (31.60 g plant⁻¹). The two soil-based systems used 56.00 L plant⁻¹, compared with 2.00 L for Kratky and 2.08 L for NFT. </w:t>
      </w:r>
      <w:r>
        <w:rPr>
          <w:rFonts w:cs="Times New Roman"/>
          <w:szCs w:val="24"/>
          <w:highlight w:val="yellow"/>
        </w:rPr>
        <w:t>The electricity cost for NFT</w:t>
      </w:r>
      <w:r>
        <w:rPr>
          <w:rFonts w:cs="Times New Roman"/>
          <w:szCs w:val="24"/>
        </w:rPr>
        <w:t xml:space="preserve"> was approximately ₱2.99 plant⁻¹. At a selling price of ₱350 kg⁻¹, gross income ranged from ₱11.06 plant⁻¹ in conventional production to ₱46.56 plant⁻¹ in NFT. All systems had negative first-cycle net income because the complete unit cost basis was charged against the first harvest. Using the study-specific gross-revenue capital-recovery indicator, investment recovery ranged from 1.14 cycles for container gardening to 5.87 cycles for NFT. The results demonstrate that higher biomass and water efficiency can coexist with substantially higher capital requirements, making economic evaluation essential when selecting lettuce production technologies.</w:t>
      </w:r>
    </w:p>
    <w:p w14:paraId="609A08DC" w14:textId="77777777" w:rsidR="00E825B8" w:rsidRDefault="00E825B8">
      <w:pPr>
        <w:spacing w:after="60"/>
        <w:rPr>
          <w:rFonts w:cs="Times New Roman"/>
          <w:b/>
          <w:szCs w:val="24"/>
        </w:rPr>
      </w:pPr>
    </w:p>
    <w:p w14:paraId="1052B74B" w14:textId="77777777" w:rsidR="00FC4B7F" w:rsidRDefault="00000000" w:rsidP="00E825B8">
      <w:pPr>
        <w:spacing w:after="60"/>
        <w:ind w:left="1134" w:hanging="1134"/>
        <w:rPr>
          <w:rFonts w:cs="Times New Roman"/>
          <w:szCs w:val="24"/>
        </w:rPr>
      </w:pPr>
      <w:r w:rsidRPr="00E825B8">
        <w:rPr>
          <w:rFonts w:cs="Times New Roman"/>
          <w:b/>
          <w:szCs w:val="24"/>
        </w:rPr>
        <w:t xml:space="preserve">Keywords: </w:t>
      </w:r>
      <w:r w:rsidRPr="00E825B8">
        <w:rPr>
          <w:rFonts w:cs="Times New Roman"/>
          <w:szCs w:val="24"/>
        </w:rPr>
        <w:t>lettuce production; hydroponics; Kratky method; Nutrient Film Technique; economic performance; investment recovery; capital budgeting</w:t>
      </w:r>
    </w:p>
    <w:p w14:paraId="504E63C7" w14:textId="77777777" w:rsidR="000345A6" w:rsidRPr="00E825B8" w:rsidRDefault="000345A6" w:rsidP="00E825B8">
      <w:pPr>
        <w:spacing w:after="60"/>
        <w:ind w:left="1134" w:hanging="1134"/>
        <w:rPr>
          <w:rFonts w:cs="Times New Roman"/>
          <w:szCs w:val="24"/>
        </w:rPr>
      </w:pPr>
    </w:p>
    <w:p w14:paraId="6A56B796" w14:textId="77777777" w:rsidR="00FC4B7F" w:rsidRPr="00E825B8" w:rsidRDefault="00000000" w:rsidP="000345A6">
      <w:pPr>
        <w:pStyle w:val="Heading1"/>
        <w:spacing w:after="60"/>
        <w:jc w:val="center"/>
        <w:rPr>
          <w:rFonts w:ascii="Times New Roman" w:hAnsi="Times New Roman" w:cs="Times New Roman"/>
          <w:sz w:val="24"/>
          <w:szCs w:val="24"/>
        </w:rPr>
      </w:pPr>
      <w:r w:rsidRPr="00E825B8">
        <w:rPr>
          <w:rFonts w:ascii="Times New Roman" w:hAnsi="Times New Roman" w:cs="Times New Roman"/>
          <w:sz w:val="24"/>
          <w:szCs w:val="24"/>
        </w:rPr>
        <w:t>1. Introduction</w:t>
      </w:r>
    </w:p>
    <w:p w14:paraId="1BCDDDB8" w14:textId="77777777" w:rsidR="00FC4B7F" w:rsidRPr="00E825B8" w:rsidRDefault="00E825B8">
      <w:pPr>
        <w:spacing w:after="60"/>
        <w:jc w:val="both"/>
        <w:rPr>
          <w:rFonts w:cs="Times New Roman"/>
          <w:szCs w:val="24"/>
        </w:rPr>
      </w:pPr>
      <w:r>
        <w:rPr>
          <w:rFonts w:cs="Times New Roman"/>
          <w:szCs w:val="24"/>
        </w:rPr>
        <w:tab/>
      </w:r>
      <w:r w:rsidRPr="00E825B8">
        <w:rPr>
          <w:rFonts w:cs="Times New Roman"/>
          <w:szCs w:val="24"/>
        </w:rPr>
        <w:t>Lettuce (</w:t>
      </w:r>
      <w:r w:rsidRPr="00E825B8">
        <w:rPr>
          <w:rFonts w:cs="Times New Roman"/>
          <w:i/>
          <w:iCs/>
          <w:szCs w:val="24"/>
        </w:rPr>
        <w:t>Lactuca sativa</w:t>
      </w:r>
      <w:r w:rsidRPr="00E825B8">
        <w:rPr>
          <w:rFonts w:cs="Times New Roman"/>
          <w:szCs w:val="24"/>
        </w:rPr>
        <w:t xml:space="preserve"> L.) is a high-value leafy vegetable with a short production cycle and strong demand in households, restaurants, hotels, and institutional food services. However, lettuce is sensitive to high </w:t>
      </w:r>
      <w:r>
        <w:rPr>
          <w:rFonts w:cs="Times New Roman"/>
          <w:szCs w:val="24"/>
        </w:rPr>
        <w:t xml:space="preserve">temperatures, and hot tropical conditions can reduce growth and marketable quality. Studies of tropical-adapted lettuce production show that temperature management is an important determinant of crop performance under warm conditions, while recent reviews </w:t>
      </w:r>
      <w:proofErr w:type="spellStart"/>
      <w:r>
        <w:rPr>
          <w:rFonts w:cs="Times New Roman"/>
          <w:szCs w:val="24"/>
          <w:highlight w:val="yellow"/>
        </w:rPr>
        <w:t>emphasise</w:t>
      </w:r>
      <w:proofErr w:type="spellEnd"/>
      <w:r>
        <w:rPr>
          <w:rFonts w:cs="Times New Roman"/>
          <w:szCs w:val="24"/>
        </w:rPr>
        <w:t xml:space="preserve"> the role of soilless systems in production environments affected by climate variability, land constraints, and </w:t>
      </w:r>
      <w:proofErr w:type="spellStart"/>
      <w:r>
        <w:rPr>
          <w:rFonts w:cs="Times New Roman"/>
          <w:szCs w:val="24"/>
          <w:highlight w:val="yellow"/>
        </w:rPr>
        <w:t>urbanisation</w:t>
      </w:r>
      <w:proofErr w:type="spellEnd"/>
      <w:r>
        <w:rPr>
          <w:rFonts w:cs="Times New Roman"/>
          <w:szCs w:val="24"/>
        </w:rPr>
        <w:t xml:space="preserve"> (</w:t>
      </w:r>
      <w:proofErr w:type="spellStart"/>
      <w:r>
        <w:rPr>
          <w:rFonts w:cs="Times New Roman"/>
          <w:szCs w:val="24"/>
        </w:rPr>
        <w:t>Kumsong</w:t>
      </w:r>
      <w:proofErr w:type="spellEnd"/>
      <w:r>
        <w:rPr>
          <w:rFonts w:cs="Times New Roman"/>
          <w:szCs w:val="24"/>
        </w:rPr>
        <w:t xml:space="preserve"> et al., 2023; </w:t>
      </w:r>
      <w:proofErr w:type="spellStart"/>
      <w:r>
        <w:rPr>
          <w:rFonts w:cs="Times New Roman"/>
          <w:szCs w:val="24"/>
        </w:rPr>
        <w:t>Lakhiar</w:t>
      </w:r>
      <w:proofErr w:type="spellEnd"/>
      <w:r>
        <w:rPr>
          <w:rFonts w:cs="Times New Roman"/>
          <w:szCs w:val="24"/>
        </w:rPr>
        <w:t xml:space="preserve"> et al., 2025). These constraints make production technologies that improve control of water, nutrients, and the crop root environment increasingly relevant.</w:t>
      </w:r>
    </w:p>
    <w:p w14:paraId="43BFA8B8" w14:textId="77777777" w:rsidR="00FC4B7F" w:rsidRPr="00E825B8" w:rsidRDefault="00E825B8">
      <w:pPr>
        <w:spacing w:after="60"/>
        <w:jc w:val="both"/>
        <w:rPr>
          <w:rFonts w:cs="Times New Roman"/>
          <w:szCs w:val="24"/>
        </w:rPr>
      </w:pPr>
      <w:r>
        <w:rPr>
          <w:rFonts w:cs="Times New Roman"/>
          <w:szCs w:val="24"/>
        </w:rPr>
        <w:tab/>
        <w:t xml:space="preserve">Conventional open-field production remains relatively simple and requires less </w:t>
      </w:r>
      <w:proofErr w:type="spellStart"/>
      <w:r>
        <w:rPr>
          <w:rFonts w:cs="Times New Roman"/>
          <w:szCs w:val="24"/>
          <w:highlight w:val="yellow"/>
        </w:rPr>
        <w:t>specialised</w:t>
      </w:r>
      <w:proofErr w:type="spellEnd"/>
      <w:r>
        <w:rPr>
          <w:rFonts w:cs="Times New Roman"/>
          <w:szCs w:val="24"/>
        </w:rPr>
        <w:t xml:space="preserve"> infrastructure, but crop performance depends on soil condition, water availability, drainage, and nutrient distribution. Container gardening provides greater control over the immediate root environment by allowing the grower to select the growing medium and manage </w:t>
      </w:r>
      <w:r>
        <w:rPr>
          <w:rFonts w:cs="Times New Roman"/>
          <w:szCs w:val="24"/>
        </w:rPr>
        <w:lastRenderedPageBreak/>
        <w:t xml:space="preserve">water and drainage. Soilless systems extend this control by delivering water and nutrients directly to the root zone (Chowdhury et al., 2024; Gruda, 2019; Savvas &amp; Gruda, 2018). Comparative lettuce studies have also shown that substrate-based and hydroponic configurations can differ substantially in water productivity and crop response, indicating that </w:t>
      </w:r>
      <w:r w:rsidRPr="00E825B8">
        <w:rPr>
          <w:rFonts w:cs="Times New Roman"/>
          <w:szCs w:val="24"/>
        </w:rPr>
        <w:t>system design is an important component of production performance (</w:t>
      </w:r>
      <w:proofErr w:type="spellStart"/>
      <w:r w:rsidRPr="00E825B8">
        <w:rPr>
          <w:rFonts w:cs="Times New Roman"/>
          <w:szCs w:val="24"/>
        </w:rPr>
        <w:t>Shtaya</w:t>
      </w:r>
      <w:proofErr w:type="spellEnd"/>
      <w:r w:rsidRPr="00E825B8">
        <w:rPr>
          <w:rFonts w:cs="Times New Roman"/>
          <w:szCs w:val="24"/>
        </w:rPr>
        <w:t xml:space="preserve"> &amp; </w:t>
      </w:r>
      <w:proofErr w:type="spellStart"/>
      <w:r w:rsidRPr="00E825B8">
        <w:rPr>
          <w:rFonts w:cs="Times New Roman"/>
          <w:szCs w:val="24"/>
        </w:rPr>
        <w:t>Qubbaj</w:t>
      </w:r>
      <w:proofErr w:type="spellEnd"/>
      <w:r w:rsidRPr="00E825B8">
        <w:rPr>
          <w:rFonts w:cs="Times New Roman"/>
          <w:szCs w:val="24"/>
        </w:rPr>
        <w:t>, 2022; Yang et al., 2024).</w:t>
      </w:r>
    </w:p>
    <w:p w14:paraId="2AB8829F" w14:textId="77777777" w:rsidR="00FC4B7F" w:rsidRPr="00CD6D2D" w:rsidRDefault="00E825B8">
      <w:pPr>
        <w:spacing w:after="60"/>
        <w:jc w:val="both"/>
        <w:rPr>
          <w:rFonts w:cs="Times New Roman"/>
          <w:bCs/>
          <w:szCs w:val="24"/>
        </w:rPr>
      </w:pPr>
      <w:r>
        <w:rPr>
          <w:rFonts w:cs="Times New Roman"/>
          <w:szCs w:val="24"/>
        </w:rPr>
        <w:tab/>
        <w:t xml:space="preserve">Hydroponic systems </w:t>
      </w:r>
      <w:r>
        <w:rPr>
          <w:rFonts w:cs="Times New Roman"/>
          <w:szCs w:val="24"/>
          <w:highlight w:val="yellow"/>
        </w:rPr>
        <w:t>differ in their levels of technical and energy requirements</w:t>
      </w:r>
      <w:r>
        <w:rPr>
          <w:rFonts w:cs="Times New Roman"/>
          <w:szCs w:val="24"/>
        </w:rPr>
        <w:t xml:space="preserve">. The Kratky method is a passive, non-circulating system in which the nutrient solution remains in a reservoir while the solution level declines as the crop takes up water and nutrients. The resulting air space supplies oxygen to the roots without continuous pumping (Kratky, 2005). Recent work on low-cost non-circulating hydroponics likewise demonstrates the potential of passive systems for small-scale lettuce production where access to electricity or capital is limited (Gumisiriza et al., 2022). In contrast, the Nutrient Film Technique (NFT) is an active recirculating system that uses a pump to move nutrient solution through growing channels. Hydroponics can reduce water requirements, but active systems can require additional energy and infrastructure (Barbosa et al., 2015; Niu &amp; </w:t>
      </w:r>
      <w:proofErr w:type="spellStart"/>
      <w:r>
        <w:rPr>
          <w:rFonts w:cs="Times New Roman"/>
          <w:szCs w:val="24"/>
        </w:rPr>
        <w:t>Masabni</w:t>
      </w:r>
      <w:proofErr w:type="spellEnd"/>
      <w:r>
        <w:rPr>
          <w:rFonts w:cs="Times New Roman"/>
          <w:szCs w:val="24"/>
        </w:rPr>
        <w:t>, 2022; Resh, 2013; Sharma et al., 2018).</w:t>
      </w:r>
      <w:r>
        <w:rPr>
          <w:b/>
          <w:highlight w:val="yellow"/>
        </w:rPr>
        <w:t xml:space="preserve"> </w:t>
      </w:r>
      <w:r w:rsidRPr="00CD6D2D">
        <w:rPr>
          <w:bCs/>
          <w:highlight w:val="yellow"/>
        </w:rPr>
        <w:t>Recent research on recirculating hydroponic lettuce showed that nutrient-solution recycling can improve water-use efficiency, while also requiring careful nutrient management as solution conditions change (Liu et al., 2025). A recent life-cycle assessment of lettuce production likewise found that controlled-environment hydroponics can reduce irrigation-water and land requirements but may impose higher energy demands than lower-energy production systems (</w:t>
      </w:r>
      <w:proofErr w:type="spellStart"/>
      <w:r w:rsidRPr="00CD6D2D">
        <w:rPr>
          <w:bCs/>
          <w:highlight w:val="yellow"/>
        </w:rPr>
        <w:t>Banboukian</w:t>
      </w:r>
      <w:proofErr w:type="spellEnd"/>
      <w:r w:rsidRPr="00CD6D2D">
        <w:rPr>
          <w:bCs/>
          <w:highlight w:val="yellow"/>
        </w:rPr>
        <w:t xml:space="preserve"> et al., 2025).</w:t>
      </w:r>
    </w:p>
    <w:p w14:paraId="0377D732" w14:textId="77777777" w:rsidR="00FC4B7F" w:rsidRPr="00CD6D2D" w:rsidRDefault="00E825B8">
      <w:pPr>
        <w:spacing w:after="60"/>
        <w:jc w:val="both"/>
        <w:rPr>
          <w:rFonts w:cs="Times New Roman"/>
          <w:bCs/>
          <w:szCs w:val="24"/>
        </w:rPr>
      </w:pPr>
      <w:r>
        <w:rPr>
          <w:rFonts w:cs="Times New Roman"/>
          <w:szCs w:val="24"/>
        </w:rPr>
        <w:tab/>
      </w:r>
      <w:r w:rsidRPr="00E825B8">
        <w:rPr>
          <w:rFonts w:cs="Times New Roman"/>
          <w:szCs w:val="24"/>
        </w:rPr>
        <w:t xml:space="preserve">Economic performance is especially important when </w:t>
      </w:r>
      <w:r w:rsidR="00EE1E62">
        <w:rPr>
          <w:rFonts w:cs="Times New Roman"/>
          <w:szCs w:val="24"/>
        </w:rPr>
        <w:t>comparing technologies with very different capital requirements</w:t>
      </w:r>
      <w:r w:rsidRPr="00E825B8">
        <w:rPr>
          <w:rFonts w:cs="Times New Roman"/>
          <w:szCs w:val="24"/>
        </w:rPr>
        <w:t xml:space="preserve">. A system that produces more biomass may also require substantially more infrastructure and operating </w:t>
      </w:r>
      <w:r w:rsidR="00EE1E62">
        <w:rPr>
          <w:rFonts w:cs="Times New Roman"/>
          <w:szCs w:val="24"/>
        </w:rPr>
        <w:t>costs</w:t>
      </w:r>
      <w:r>
        <w:rPr>
          <w:rFonts w:cs="Times New Roman"/>
          <w:szCs w:val="24"/>
        </w:rPr>
        <w:t xml:space="preserve">. Maestre-Valero et al. (2018) demonstrated this trade-off in lettuce production by comparing soil-based and NFT systems, while Sace and Natividad (2015) showed that hydroponic lettuce production can be evaluated using investment, operating cost, income, and payback indicators. More recent comparative research likewise reports that hydroponic systems can have higher initial investment and operating costs while producing </w:t>
      </w:r>
      <w:r>
        <w:rPr>
          <w:rFonts w:cs="Times New Roman"/>
          <w:szCs w:val="24"/>
          <w:highlight w:val="yellow"/>
        </w:rPr>
        <w:t>higher yields, water productivity, or revenue</w:t>
      </w:r>
      <w:r>
        <w:rPr>
          <w:rFonts w:cs="Times New Roman"/>
          <w:szCs w:val="24"/>
        </w:rPr>
        <w:t xml:space="preserve"> under some production conditions (Wang et al., 2023). Capital-budgeting studies of small-scale hydroponic lettuce production further show the value of considering payback, profitability, and sensitivity to price and production assumptions (Gumisiriza et al., 2022; </w:t>
      </w:r>
      <w:proofErr w:type="spellStart"/>
      <w:r>
        <w:rPr>
          <w:rFonts w:cs="Times New Roman"/>
          <w:szCs w:val="24"/>
        </w:rPr>
        <w:t>Afriyanti</w:t>
      </w:r>
      <w:proofErr w:type="spellEnd"/>
      <w:r>
        <w:rPr>
          <w:rFonts w:cs="Times New Roman"/>
          <w:szCs w:val="24"/>
        </w:rPr>
        <w:t xml:space="preserve"> et al., 2024). Thus, yield alone is not sufficient for evaluating a production system intended for commercial or small-scale investment.</w:t>
      </w:r>
      <w:r>
        <w:rPr>
          <w:b/>
          <w:highlight w:val="yellow"/>
        </w:rPr>
        <w:t xml:space="preserve"> </w:t>
      </w:r>
      <w:r w:rsidRPr="00CD6D2D">
        <w:rPr>
          <w:bCs/>
          <w:highlight w:val="yellow"/>
        </w:rPr>
        <w:t>Recent farm-level evidence from urban hydroponic enterprises indicates that financial viability varies with farm scale, crop mix, initial investment, and recurring costs, reinforcing the value of context-specific economic assessment (Kaveri et al., 2026). A 2025 greenhouse lettuce case study also identified production cost and market price as important considerations for maintaining profitability, supporting the inclusion of cost and revenue measures in lettuce production comparisons (</w:t>
      </w:r>
      <w:proofErr w:type="spellStart"/>
      <w:r w:rsidRPr="00CD6D2D">
        <w:rPr>
          <w:bCs/>
          <w:highlight w:val="yellow"/>
        </w:rPr>
        <w:t>Engindeniz</w:t>
      </w:r>
      <w:proofErr w:type="spellEnd"/>
      <w:r w:rsidRPr="00CD6D2D">
        <w:rPr>
          <w:bCs/>
          <w:highlight w:val="yellow"/>
        </w:rPr>
        <w:t>, 2025).</w:t>
      </w:r>
    </w:p>
    <w:p w14:paraId="27874CF1" w14:textId="77777777" w:rsidR="00FC4B7F" w:rsidRPr="00E825B8" w:rsidRDefault="00E825B8">
      <w:pPr>
        <w:spacing w:after="60"/>
        <w:jc w:val="both"/>
        <w:rPr>
          <w:rFonts w:cs="Times New Roman"/>
          <w:szCs w:val="24"/>
        </w:rPr>
      </w:pPr>
      <w:r>
        <w:rPr>
          <w:rFonts w:cs="Times New Roman"/>
          <w:szCs w:val="24"/>
        </w:rPr>
        <w:tab/>
      </w:r>
      <w:r w:rsidRPr="00E825B8">
        <w:rPr>
          <w:rFonts w:cs="Times New Roman"/>
          <w:szCs w:val="24"/>
        </w:rPr>
        <w:t xml:space="preserve">The present study addresses this need by comparing conventional open-field farming, container gardening, Kratky hydroponics, and NFT hydroponics </w:t>
      </w:r>
      <w:r w:rsidR="00EE1E62">
        <w:rPr>
          <w:rFonts w:cs="Times New Roman"/>
          <w:szCs w:val="24"/>
        </w:rPr>
        <w:t>in a shared</w:t>
      </w:r>
      <w:r>
        <w:rPr>
          <w:rFonts w:cs="Times New Roman"/>
          <w:szCs w:val="24"/>
        </w:rPr>
        <w:t xml:space="preserve"> tropical production setting. The study focuses on fresh biomass yield, measured water use, electricity requirement, production cost, gross income, first-cycle net income, ROI, and a clearly defined investment recovery period. For the soil-based treatments, the fermented bamboo shoot and Japanese snail liquid </w:t>
      </w:r>
      <w:proofErr w:type="spellStart"/>
      <w:r>
        <w:rPr>
          <w:rFonts w:cs="Times New Roman"/>
          <w:szCs w:val="24"/>
          <w:highlight w:val="yellow"/>
        </w:rPr>
        <w:t>fertiliser</w:t>
      </w:r>
      <w:proofErr w:type="spellEnd"/>
      <w:r>
        <w:rPr>
          <w:rFonts w:cs="Times New Roman"/>
          <w:szCs w:val="24"/>
        </w:rPr>
        <w:t xml:space="preserve"> previously evaluated by </w:t>
      </w:r>
      <w:proofErr w:type="spellStart"/>
      <w:r>
        <w:rPr>
          <w:rFonts w:cs="Times New Roman"/>
          <w:szCs w:val="24"/>
        </w:rPr>
        <w:t>Carabio</w:t>
      </w:r>
      <w:proofErr w:type="spellEnd"/>
      <w:r>
        <w:rPr>
          <w:rFonts w:cs="Times New Roman"/>
          <w:szCs w:val="24"/>
        </w:rPr>
        <w:t xml:space="preserve"> et al. (2021) was used as part of the production protocol. Philippine studies have also examined non-circulating hydroponic lettuce and profitability, providing a useful local context for evaluating hydroponic nutrient management under Philippine production conditions (Ramos et al., 2024).</w:t>
      </w:r>
    </w:p>
    <w:p w14:paraId="0C9F80BC" w14:textId="77777777" w:rsidR="0071374C" w:rsidRDefault="00000000">
      <w:pPr>
        <w:spacing w:after="60"/>
        <w:jc w:val="both"/>
        <w:rPr>
          <w:rFonts w:cs="Times New Roman"/>
          <w:szCs w:val="24"/>
        </w:rPr>
      </w:pPr>
      <w:r>
        <w:rPr>
          <w:b/>
          <w:highlight w:val="yellow"/>
        </w:rPr>
        <w:tab/>
      </w:r>
      <w:r w:rsidRPr="00CD6D2D">
        <w:rPr>
          <w:bCs/>
          <w:highlight w:val="yellow"/>
        </w:rPr>
        <w:t xml:space="preserve">Within the context addressed by this study, a practical gap remains in the side-by-side evaluation of conventional open-field farming, container gardening, Kratky hydroponics, and </w:t>
      </w:r>
      <w:r w:rsidRPr="00CD6D2D">
        <w:rPr>
          <w:bCs/>
          <w:highlight w:val="yellow"/>
        </w:rPr>
        <w:lastRenderedPageBreak/>
        <w:t>NFT hydroponics using a common tropical production setting and the same set of yield, water-use, electricity, cost, return, and investment-recovery indicators</w:t>
      </w:r>
      <w:r>
        <w:rPr>
          <w:b/>
          <w:highlight w:val="yellow"/>
        </w:rPr>
        <w:t>.</w:t>
      </w:r>
    </w:p>
    <w:p w14:paraId="5E1A7533" w14:textId="77777777" w:rsidR="00FC4B7F" w:rsidRPr="00CD6D2D" w:rsidRDefault="00E825B8">
      <w:pPr>
        <w:spacing w:after="60"/>
        <w:jc w:val="both"/>
        <w:rPr>
          <w:rFonts w:cs="Times New Roman"/>
          <w:bCs/>
          <w:szCs w:val="24"/>
        </w:rPr>
      </w:pPr>
      <w:r>
        <w:rPr>
          <w:rFonts w:cs="Times New Roman"/>
          <w:b/>
          <w:szCs w:val="24"/>
        </w:rPr>
        <w:tab/>
      </w:r>
      <w:r w:rsidRPr="00CD6D2D">
        <w:rPr>
          <w:rFonts w:cs="Times New Roman"/>
          <w:bCs/>
          <w:szCs w:val="24"/>
        </w:rPr>
        <w:t>The study aimed to evaluate the economic performance and investment recovery of four lettuce production systems under tropical conditions. Specifically, it compared their production yield, measured water requirement, electricity cost, production-cost basis, gross income, first-cycle net income, ROI, and investment recovery period.</w:t>
      </w:r>
    </w:p>
    <w:p w14:paraId="380F1B9D" w14:textId="77777777" w:rsidR="000345A6" w:rsidRPr="00CD6D2D" w:rsidRDefault="000345A6">
      <w:pPr>
        <w:spacing w:after="60"/>
        <w:jc w:val="both"/>
        <w:rPr>
          <w:rFonts w:cs="Times New Roman"/>
          <w:bCs/>
          <w:szCs w:val="24"/>
        </w:rPr>
      </w:pPr>
    </w:p>
    <w:p w14:paraId="36A33A11" w14:textId="77777777" w:rsidR="000345A6" w:rsidRDefault="000345A6">
      <w:pPr>
        <w:spacing w:after="60"/>
        <w:jc w:val="both"/>
        <w:rPr>
          <w:rFonts w:cs="Times New Roman"/>
          <w:b/>
          <w:szCs w:val="24"/>
        </w:rPr>
      </w:pPr>
    </w:p>
    <w:p w14:paraId="2EF76476" w14:textId="77777777" w:rsidR="000345A6" w:rsidRDefault="000345A6">
      <w:pPr>
        <w:spacing w:after="60"/>
        <w:jc w:val="both"/>
        <w:rPr>
          <w:rFonts w:cs="Times New Roman"/>
          <w:b/>
          <w:szCs w:val="24"/>
        </w:rPr>
      </w:pPr>
    </w:p>
    <w:p w14:paraId="63D5C4E1" w14:textId="77777777" w:rsidR="000345A6" w:rsidRDefault="000345A6">
      <w:pPr>
        <w:spacing w:after="60"/>
        <w:jc w:val="both"/>
        <w:rPr>
          <w:rFonts w:cs="Times New Roman"/>
          <w:b/>
          <w:szCs w:val="24"/>
        </w:rPr>
      </w:pPr>
    </w:p>
    <w:p w14:paraId="1AEEC68E" w14:textId="77777777" w:rsidR="000345A6" w:rsidRDefault="000345A6">
      <w:pPr>
        <w:spacing w:after="60"/>
        <w:jc w:val="both"/>
        <w:rPr>
          <w:rFonts w:cs="Times New Roman"/>
          <w:b/>
          <w:szCs w:val="24"/>
        </w:rPr>
      </w:pPr>
    </w:p>
    <w:p w14:paraId="5543EEC1" w14:textId="77777777" w:rsidR="000345A6" w:rsidRPr="00E825B8" w:rsidRDefault="000345A6">
      <w:pPr>
        <w:spacing w:after="60"/>
        <w:jc w:val="both"/>
        <w:rPr>
          <w:rFonts w:cs="Times New Roman"/>
          <w:szCs w:val="24"/>
        </w:rPr>
      </w:pPr>
    </w:p>
    <w:p w14:paraId="2A2B52A8" w14:textId="77777777" w:rsidR="00FC4B7F" w:rsidRPr="00E825B8" w:rsidRDefault="00000000" w:rsidP="000345A6">
      <w:pPr>
        <w:pStyle w:val="Heading1"/>
        <w:spacing w:after="60"/>
        <w:jc w:val="center"/>
        <w:rPr>
          <w:rFonts w:ascii="Times New Roman" w:hAnsi="Times New Roman" w:cs="Times New Roman"/>
          <w:sz w:val="24"/>
          <w:szCs w:val="24"/>
        </w:rPr>
      </w:pPr>
      <w:r w:rsidRPr="00E825B8">
        <w:rPr>
          <w:rFonts w:ascii="Times New Roman" w:hAnsi="Times New Roman" w:cs="Times New Roman"/>
          <w:sz w:val="24"/>
          <w:szCs w:val="24"/>
        </w:rPr>
        <w:t>2. Materials and Methods</w:t>
      </w:r>
    </w:p>
    <w:p w14:paraId="5B0ECA20" w14:textId="77777777" w:rsidR="00FC4B7F" w:rsidRPr="00E825B8" w:rsidRDefault="00E825B8">
      <w:pPr>
        <w:pStyle w:val="Heading2"/>
        <w:rPr>
          <w:rFonts w:ascii="Times New Roman" w:hAnsi="Times New Roman" w:cs="Times New Roman"/>
          <w:szCs w:val="24"/>
        </w:rPr>
      </w:pPr>
      <w:r>
        <w:rPr>
          <w:rFonts w:ascii="Times New Roman" w:hAnsi="Times New Roman" w:cs="Times New Roman"/>
          <w:szCs w:val="24"/>
        </w:rPr>
        <w:tab/>
      </w:r>
      <w:r w:rsidRPr="00E825B8">
        <w:rPr>
          <w:rFonts w:ascii="Times New Roman" w:hAnsi="Times New Roman" w:cs="Times New Roman"/>
          <w:szCs w:val="24"/>
        </w:rPr>
        <w:t>2.1 Research design</w:t>
      </w:r>
    </w:p>
    <w:p w14:paraId="616D1852" w14:textId="77777777" w:rsidR="00FC4B7F" w:rsidRPr="00E825B8" w:rsidRDefault="00E825B8">
      <w:pPr>
        <w:spacing w:after="60"/>
        <w:jc w:val="both"/>
        <w:rPr>
          <w:rFonts w:cs="Times New Roman"/>
          <w:szCs w:val="24"/>
        </w:rPr>
      </w:pPr>
      <w:r>
        <w:rPr>
          <w:rFonts w:cs="Times New Roman"/>
          <w:szCs w:val="24"/>
        </w:rPr>
        <w:tab/>
      </w:r>
      <w:r>
        <w:rPr>
          <w:rFonts w:cs="Times New Roman"/>
          <w:szCs w:val="24"/>
          <w:highlight w:val="yellow"/>
        </w:rPr>
        <w:t xml:space="preserve">The study employed a </w:t>
      </w:r>
      <w:proofErr w:type="spellStart"/>
      <w:r>
        <w:rPr>
          <w:rFonts w:cs="Times New Roman"/>
          <w:szCs w:val="24"/>
          <w:highlight w:val="yellow"/>
        </w:rPr>
        <w:t>randomised</w:t>
      </w:r>
      <w:proofErr w:type="spellEnd"/>
      <w:r>
        <w:rPr>
          <w:rFonts w:cs="Times New Roman"/>
          <w:szCs w:val="24"/>
          <w:highlight w:val="yellow"/>
        </w:rPr>
        <w:t xml:space="preserve"> complete block design (RCBD)</w:t>
      </w:r>
      <w:r>
        <w:rPr>
          <w:rFonts w:cs="Times New Roman"/>
          <w:szCs w:val="24"/>
        </w:rPr>
        <w:t xml:space="preserve"> with four treatments and three replications. The same lettuce cultivar, seedling age, and 28-day production period were used across the treatments to reduce variation associated with crop genotype and crop age. The four systems were: T</w:t>
      </w:r>
      <w:r w:rsidRPr="00A02C15">
        <w:rPr>
          <w:rFonts w:cs="Times New Roman"/>
          <w:szCs w:val="24"/>
          <w:vertAlign w:val="subscript"/>
        </w:rPr>
        <w:t>1</w:t>
      </w:r>
      <w:r w:rsidRPr="00E825B8">
        <w:rPr>
          <w:rFonts w:cs="Times New Roman"/>
          <w:szCs w:val="24"/>
        </w:rPr>
        <w:t>, conventional open-field farming; T</w:t>
      </w:r>
      <w:r w:rsidRPr="00A02C15">
        <w:rPr>
          <w:rFonts w:cs="Times New Roman"/>
          <w:szCs w:val="24"/>
          <w:vertAlign w:val="subscript"/>
        </w:rPr>
        <w:t>2</w:t>
      </w:r>
      <w:r w:rsidRPr="00E825B8">
        <w:rPr>
          <w:rFonts w:cs="Times New Roman"/>
          <w:szCs w:val="24"/>
        </w:rPr>
        <w:t>, container gardening using soft plastic pots; T</w:t>
      </w:r>
      <w:r w:rsidRPr="00A02C15">
        <w:rPr>
          <w:rFonts w:cs="Times New Roman"/>
          <w:szCs w:val="24"/>
          <w:vertAlign w:val="subscript"/>
        </w:rPr>
        <w:t>3</w:t>
      </w:r>
      <w:r w:rsidRPr="00E825B8">
        <w:rPr>
          <w:rFonts w:cs="Times New Roman"/>
          <w:szCs w:val="24"/>
        </w:rPr>
        <w:t>, static Kratky hydroponics; and T</w:t>
      </w:r>
      <w:r w:rsidRPr="00A02C15">
        <w:rPr>
          <w:rFonts w:cs="Times New Roman"/>
          <w:szCs w:val="24"/>
          <w:vertAlign w:val="subscript"/>
        </w:rPr>
        <w:t>4</w:t>
      </w:r>
      <w:r w:rsidRPr="00E825B8">
        <w:rPr>
          <w:rFonts w:cs="Times New Roman"/>
          <w:szCs w:val="24"/>
        </w:rPr>
        <w:t>, Nutrient Film Technique (NFT) hydroponics.</w:t>
      </w:r>
    </w:p>
    <w:p w14:paraId="314AF4CE" w14:textId="77777777" w:rsidR="00FC4B7F" w:rsidRPr="00E825B8" w:rsidRDefault="00E825B8">
      <w:pPr>
        <w:pStyle w:val="Heading2"/>
        <w:rPr>
          <w:rFonts w:ascii="Times New Roman" w:hAnsi="Times New Roman" w:cs="Times New Roman"/>
          <w:szCs w:val="24"/>
        </w:rPr>
      </w:pPr>
      <w:r>
        <w:rPr>
          <w:rFonts w:ascii="Times New Roman" w:hAnsi="Times New Roman" w:cs="Times New Roman"/>
          <w:szCs w:val="24"/>
        </w:rPr>
        <w:tab/>
      </w:r>
      <w:r w:rsidRPr="00E825B8">
        <w:rPr>
          <w:rFonts w:ascii="Times New Roman" w:hAnsi="Times New Roman" w:cs="Times New Roman"/>
          <w:szCs w:val="24"/>
        </w:rPr>
        <w:t>2.2 Study area</w:t>
      </w:r>
    </w:p>
    <w:p w14:paraId="239E55B5" w14:textId="77777777" w:rsidR="00FC4B7F" w:rsidRPr="00E825B8" w:rsidRDefault="00E825B8">
      <w:pPr>
        <w:spacing w:after="60"/>
        <w:jc w:val="both"/>
        <w:rPr>
          <w:rFonts w:cs="Times New Roman"/>
          <w:szCs w:val="24"/>
        </w:rPr>
      </w:pPr>
      <w:r>
        <w:rPr>
          <w:rFonts w:cs="Times New Roman"/>
          <w:szCs w:val="24"/>
        </w:rPr>
        <w:tab/>
      </w:r>
      <w:r w:rsidRPr="00E825B8">
        <w:rPr>
          <w:rFonts w:cs="Times New Roman"/>
          <w:szCs w:val="24"/>
        </w:rPr>
        <w:t xml:space="preserve">The experiment was conducted at Cebu Technological University–Barili Campus in </w:t>
      </w:r>
      <w:proofErr w:type="spellStart"/>
      <w:r w:rsidRPr="00E825B8">
        <w:rPr>
          <w:rFonts w:cs="Times New Roman"/>
          <w:szCs w:val="24"/>
        </w:rPr>
        <w:t>Cagay</w:t>
      </w:r>
      <w:proofErr w:type="spellEnd"/>
      <w:r w:rsidRPr="00E825B8">
        <w:rPr>
          <w:rFonts w:cs="Times New Roman"/>
          <w:szCs w:val="24"/>
        </w:rPr>
        <w:t>, Barili, Cebu, Philippines (approximately 10°06′N, 123°30′E). The experimental site experienced tropical conditions, with ambient temperatures generally ranging from 27 to 30 °C and relative humidity of approximately 75% to 85% during the experimental period.</w:t>
      </w:r>
    </w:p>
    <w:p w14:paraId="0C4AD68D" w14:textId="77777777" w:rsidR="00FC4B7F" w:rsidRPr="00E825B8" w:rsidRDefault="00E825B8">
      <w:pPr>
        <w:pStyle w:val="Heading2"/>
        <w:rPr>
          <w:rFonts w:ascii="Times New Roman" w:hAnsi="Times New Roman" w:cs="Times New Roman"/>
          <w:szCs w:val="24"/>
        </w:rPr>
      </w:pPr>
      <w:r>
        <w:rPr>
          <w:rFonts w:ascii="Times New Roman" w:hAnsi="Times New Roman" w:cs="Times New Roman"/>
          <w:szCs w:val="24"/>
        </w:rPr>
        <w:tab/>
      </w:r>
      <w:r w:rsidRPr="00E825B8">
        <w:rPr>
          <w:rFonts w:ascii="Times New Roman" w:hAnsi="Times New Roman" w:cs="Times New Roman"/>
          <w:szCs w:val="24"/>
        </w:rPr>
        <w:t>2.3 Plant material and treatments</w:t>
      </w:r>
    </w:p>
    <w:p w14:paraId="2E1591E0" w14:textId="77777777" w:rsidR="00FC4B7F" w:rsidRPr="00E825B8" w:rsidRDefault="00E825B8">
      <w:pPr>
        <w:spacing w:after="60"/>
        <w:jc w:val="both"/>
        <w:rPr>
          <w:rFonts w:cs="Times New Roman"/>
          <w:szCs w:val="24"/>
        </w:rPr>
      </w:pPr>
      <w:r>
        <w:rPr>
          <w:rFonts w:cs="Times New Roman"/>
          <w:szCs w:val="24"/>
        </w:rPr>
        <w:tab/>
      </w:r>
      <w:r w:rsidRPr="00E825B8">
        <w:rPr>
          <w:rFonts w:cs="Times New Roman"/>
          <w:szCs w:val="24"/>
        </w:rPr>
        <w:t xml:space="preserve">The lettuce cultivar used was </w:t>
      </w:r>
      <w:r w:rsidRPr="00EE1E62">
        <w:rPr>
          <w:rFonts w:cs="Times New Roman"/>
          <w:i/>
          <w:iCs/>
          <w:szCs w:val="24"/>
        </w:rPr>
        <w:t>Lactuca sativa</w:t>
      </w:r>
      <w:r w:rsidRPr="00E825B8">
        <w:rPr>
          <w:rFonts w:cs="Times New Roman"/>
          <w:szCs w:val="24"/>
        </w:rPr>
        <w:t xml:space="preserve"> L. cv. ‘</w:t>
      </w:r>
      <w:proofErr w:type="spellStart"/>
      <w:r w:rsidRPr="00E825B8">
        <w:rPr>
          <w:rFonts w:cs="Times New Roman"/>
          <w:szCs w:val="24"/>
        </w:rPr>
        <w:t>Olmetie</w:t>
      </w:r>
      <w:proofErr w:type="spellEnd"/>
      <w:r w:rsidRPr="00E825B8">
        <w:rPr>
          <w:rFonts w:cs="Times New Roman"/>
          <w:szCs w:val="24"/>
        </w:rPr>
        <w:t xml:space="preserve"> RZ 1000 Batavia’. Seedlings were raised in trays and transplanted at 15 days after sowing when they had approximately two to three true leaves. Treatments T</w:t>
      </w:r>
      <w:r w:rsidRPr="00A02C15">
        <w:rPr>
          <w:rFonts w:cs="Times New Roman"/>
          <w:szCs w:val="24"/>
          <w:vertAlign w:val="subscript"/>
        </w:rPr>
        <w:t>1</w:t>
      </w:r>
      <w:r w:rsidRPr="00E825B8">
        <w:rPr>
          <w:rFonts w:cs="Times New Roman"/>
          <w:szCs w:val="24"/>
        </w:rPr>
        <w:t>, T</w:t>
      </w:r>
      <w:r w:rsidRPr="00A02C15">
        <w:rPr>
          <w:rFonts w:cs="Times New Roman"/>
          <w:szCs w:val="24"/>
          <w:vertAlign w:val="subscript"/>
        </w:rPr>
        <w:t>2</w:t>
      </w:r>
      <w:r w:rsidRPr="00E825B8">
        <w:rPr>
          <w:rFonts w:cs="Times New Roman"/>
          <w:szCs w:val="24"/>
        </w:rPr>
        <w:t>, and T</w:t>
      </w:r>
      <w:r w:rsidRPr="00A02C15">
        <w:rPr>
          <w:rFonts w:cs="Times New Roman"/>
          <w:szCs w:val="24"/>
          <w:vertAlign w:val="subscript"/>
        </w:rPr>
        <w:t>3</w:t>
      </w:r>
      <w:r w:rsidRPr="00E825B8">
        <w:rPr>
          <w:rFonts w:cs="Times New Roman"/>
          <w:szCs w:val="24"/>
        </w:rPr>
        <w:t xml:space="preserve"> each contained 45 plants across three replications, or 15 plants per experimental unit. The NFT structure contained 192 planting positions distributed among eight channels.</w:t>
      </w:r>
    </w:p>
    <w:p w14:paraId="0C8A1020" w14:textId="77777777" w:rsidR="00FC4B7F" w:rsidRPr="00E825B8" w:rsidRDefault="00000000">
      <w:pPr>
        <w:pStyle w:val="Heading2"/>
        <w:rPr>
          <w:rFonts w:ascii="Times New Roman" w:hAnsi="Times New Roman" w:cs="Times New Roman"/>
          <w:szCs w:val="24"/>
        </w:rPr>
      </w:pPr>
      <w:r w:rsidRPr="00E825B8">
        <w:rPr>
          <w:rFonts w:ascii="Times New Roman" w:hAnsi="Times New Roman" w:cs="Times New Roman"/>
          <w:szCs w:val="24"/>
        </w:rPr>
        <w:t>2.4 Conventional farming system</w:t>
      </w:r>
    </w:p>
    <w:p w14:paraId="2799559F" w14:textId="77777777" w:rsidR="00FC4B7F" w:rsidRPr="00E825B8" w:rsidRDefault="00E825B8">
      <w:pPr>
        <w:spacing w:after="60"/>
        <w:jc w:val="both"/>
        <w:rPr>
          <w:rFonts w:cs="Times New Roman"/>
          <w:szCs w:val="24"/>
        </w:rPr>
      </w:pPr>
      <w:r>
        <w:rPr>
          <w:rFonts w:cs="Times New Roman"/>
          <w:szCs w:val="24"/>
        </w:rPr>
        <w:tab/>
      </w:r>
      <w:r w:rsidR="00EE1E62">
        <w:rPr>
          <w:rFonts w:cs="Times New Roman"/>
          <w:szCs w:val="24"/>
        </w:rPr>
        <w:t>Treatment 1</w:t>
      </w:r>
      <w:r>
        <w:rPr>
          <w:rFonts w:cs="Times New Roman"/>
          <w:szCs w:val="24"/>
        </w:rPr>
        <w:t xml:space="preserve"> was established in an outdoor area of approximately 15 m². The soil was prepared and divided into three independent 1 m × 1 m plots, with 15 plants per plot. Plants were spaced approximately 25 cm within rows and 35 cm between rows. Microbial compost was applied as a basal nutrient source, and the crop was supplemented with a liquid </w:t>
      </w:r>
      <w:proofErr w:type="spellStart"/>
      <w:r>
        <w:rPr>
          <w:rFonts w:cs="Times New Roman"/>
          <w:szCs w:val="24"/>
          <w:highlight w:val="yellow"/>
        </w:rPr>
        <w:t>fertiliser</w:t>
      </w:r>
      <w:proofErr w:type="spellEnd"/>
      <w:r>
        <w:rPr>
          <w:rFonts w:cs="Times New Roman"/>
          <w:szCs w:val="24"/>
        </w:rPr>
        <w:t xml:space="preserve"> derived from fermented extracts of Japanese snail (</w:t>
      </w:r>
      <w:r w:rsidRPr="00E825B8">
        <w:rPr>
          <w:rFonts w:cs="Times New Roman"/>
          <w:i/>
          <w:iCs/>
          <w:szCs w:val="24"/>
        </w:rPr>
        <w:t>Achatina fulica</w:t>
      </w:r>
      <w:r>
        <w:rPr>
          <w:rFonts w:cs="Times New Roman"/>
          <w:szCs w:val="24"/>
        </w:rPr>
        <w:t>) and bamboo shoot (</w:t>
      </w:r>
      <w:r w:rsidRPr="00E825B8">
        <w:rPr>
          <w:rFonts w:cs="Times New Roman"/>
          <w:i/>
          <w:iCs/>
          <w:szCs w:val="24"/>
        </w:rPr>
        <w:t>Bambusa spinosa</w:t>
      </w:r>
      <w:r>
        <w:rPr>
          <w:rFonts w:cs="Times New Roman"/>
          <w:szCs w:val="24"/>
        </w:rPr>
        <w:t>)</w:t>
      </w:r>
      <w:r w:rsidRPr="00E825B8">
        <w:rPr>
          <w:rFonts w:cs="Times New Roman"/>
          <w:szCs w:val="24"/>
        </w:rPr>
        <w:t>.</w:t>
      </w:r>
    </w:p>
    <w:p w14:paraId="40767EDE" w14:textId="77777777" w:rsidR="00FC4B7F" w:rsidRPr="00E825B8" w:rsidRDefault="00000000">
      <w:pPr>
        <w:pStyle w:val="Heading2"/>
        <w:rPr>
          <w:rFonts w:ascii="Times New Roman" w:hAnsi="Times New Roman" w:cs="Times New Roman"/>
          <w:szCs w:val="24"/>
        </w:rPr>
      </w:pPr>
      <w:r w:rsidRPr="00E825B8">
        <w:rPr>
          <w:rFonts w:ascii="Times New Roman" w:hAnsi="Times New Roman" w:cs="Times New Roman"/>
          <w:szCs w:val="24"/>
        </w:rPr>
        <w:t>2.5 Container gardening system</w:t>
      </w:r>
    </w:p>
    <w:p w14:paraId="1CEDD6C7" w14:textId="77777777" w:rsidR="00FC4B7F" w:rsidRPr="00E825B8" w:rsidRDefault="00E825B8">
      <w:pPr>
        <w:spacing w:after="60"/>
        <w:jc w:val="both"/>
        <w:rPr>
          <w:rFonts w:cs="Times New Roman"/>
          <w:szCs w:val="24"/>
        </w:rPr>
      </w:pPr>
      <w:r>
        <w:rPr>
          <w:rFonts w:cs="Times New Roman"/>
          <w:szCs w:val="24"/>
        </w:rPr>
        <w:tab/>
      </w:r>
      <w:r w:rsidR="00EE1E62">
        <w:rPr>
          <w:rFonts w:cs="Times New Roman"/>
          <w:szCs w:val="24"/>
        </w:rPr>
        <w:t xml:space="preserve">Treatment </w:t>
      </w:r>
      <w:r>
        <w:rPr>
          <w:rFonts w:cs="Times New Roman"/>
          <w:szCs w:val="24"/>
        </w:rPr>
        <w:t xml:space="preserve">2 was established in a protective greenhouse using 45 soft plastic pots distributed among three replications. Each pot had </w:t>
      </w:r>
      <w:r>
        <w:rPr>
          <w:rFonts w:cs="Times New Roman"/>
          <w:szCs w:val="24"/>
          <w:highlight w:val="yellow"/>
        </w:rPr>
        <w:t>an approximate upper diameter of 18 cm, a height of 14 cm, and a bottom diameter of 13 cm</w:t>
      </w:r>
      <w:r>
        <w:rPr>
          <w:rFonts w:cs="Times New Roman"/>
          <w:szCs w:val="24"/>
        </w:rPr>
        <w:t xml:space="preserve">. Each pot contained approximately 1.5 kg of growing medium composed of microbial compost, </w:t>
      </w:r>
      <w:proofErr w:type="spellStart"/>
      <w:r>
        <w:rPr>
          <w:rFonts w:cs="Times New Roman"/>
          <w:szCs w:val="24"/>
          <w:highlight w:val="yellow"/>
        </w:rPr>
        <w:t>carbonised</w:t>
      </w:r>
      <w:proofErr w:type="spellEnd"/>
      <w:r>
        <w:rPr>
          <w:rFonts w:cs="Times New Roman"/>
          <w:szCs w:val="24"/>
        </w:rPr>
        <w:t xml:space="preserve"> rice hull, and garden soil mixed at a 1:1:2 ratio, with one plant per container.</w:t>
      </w:r>
    </w:p>
    <w:p w14:paraId="6B5558BF" w14:textId="77777777" w:rsidR="00FC4B7F" w:rsidRPr="00E825B8" w:rsidRDefault="00000000">
      <w:pPr>
        <w:pStyle w:val="Heading2"/>
        <w:rPr>
          <w:rFonts w:ascii="Times New Roman" w:hAnsi="Times New Roman" w:cs="Times New Roman"/>
          <w:szCs w:val="24"/>
        </w:rPr>
      </w:pPr>
      <w:r w:rsidRPr="00E825B8">
        <w:rPr>
          <w:rFonts w:ascii="Times New Roman" w:hAnsi="Times New Roman" w:cs="Times New Roman"/>
          <w:szCs w:val="24"/>
        </w:rPr>
        <w:t>2.6 Kratky hydroponic system</w:t>
      </w:r>
    </w:p>
    <w:p w14:paraId="443A8A07" w14:textId="77777777" w:rsidR="00FC4B7F" w:rsidRPr="00E825B8" w:rsidRDefault="00E825B8">
      <w:pPr>
        <w:spacing w:after="60"/>
        <w:jc w:val="both"/>
        <w:rPr>
          <w:rFonts w:cs="Times New Roman"/>
          <w:szCs w:val="24"/>
        </w:rPr>
      </w:pPr>
      <w:r>
        <w:rPr>
          <w:rFonts w:cs="Times New Roman"/>
          <w:szCs w:val="24"/>
        </w:rPr>
        <w:tab/>
      </w:r>
      <w:r w:rsidR="000345A6">
        <w:t xml:space="preserve">Treatment 3 used the passive Kratky method. Three 30-L insulated plastic tuna boxes served as nutrient-solution reservoirs, with one reservoir assigned to each replication. Each tuna </w:t>
      </w:r>
      <w:r w:rsidR="000345A6">
        <w:lastRenderedPageBreak/>
        <w:t xml:space="preserve">box lid contained 15 planting holes, corresponding to 15 lettuce plants per replication. The nutrient solution was prepared by adding </w:t>
      </w:r>
      <w:r w:rsidR="000345A6" w:rsidRPr="000345A6">
        <w:rPr>
          <w:rStyle w:val="Strong"/>
          <w:b w:val="0"/>
          <w:bCs w:val="0"/>
        </w:rPr>
        <w:t xml:space="preserve">2 mL of Solution A and 2 mL of Solution B </w:t>
      </w:r>
      <w:r w:rsidR="000345A6">
        <w:rPr>
          <w:rStyle w:val="Strong"/>
          <w:b w:val="0"/>
          <w:bCs w:val="0"/>
        </w:rPr>
        <w:t>to 1 L</w:t>
      </w:r>
      <w:r w:rsidR="000345A6" w:rsidRPr="000345A6">
        <w:rPr>
          <w:rStyle w:val="Strong"/>
          <w:b w:val="0"/>
          <w:bCs w:val="0"/>
        </w:rPr>
        <w:t xml:space="preserve"> of water</w:t>
      </w:r>
      <w:r w:rsidR="000345A6">
        <w:t xml:space="preserve">. Accordingly, a 30-L volume of nutrient solution required </w:t>
      </w:r>
      <w:r w:rsidR="000345A6" w:rsidRPr="000345A6">
        <w:rPr>
          <w:rStyle w:val="Strong"/>
          <w:b w:val="0"/>
          <w:bCs w:val="0"/>
        </w:rPr>
        <w:t>60 mL of Solution A and 60 mL of Solution B</w:t>
      </w:r>
      <w:r w:rsidR="000345A6">
        <w:t xml:space="preserve">. The system operated without mechanical circulation or forced aeration. Approximately </w:t>
      </w:r>
      <w:r w:rsidR="000345A6" w:rsidRPr="000345A6">
        <w:rPr>
          <w:rStyle w:val="Strong"/>
          <w:b w:val="0"/>
          <w:bCs w:val="0"/>
        </w:rPr>
        <w:t>2 L of nutrient solution per plant</w:t>
      </w:r>
      <w:r w:rsidR="000345A6">
        <w:t xml:space="preserve"> was provided at the beginning of the 28-day production cycle, with no routine replenishment during the growing period.</w:t>
      </w:r>
    </w:p>
    <w:p w14:paraId="14CE0517" w14:textId="77777777" w:rsidR="00FC4B7F" w:rsidRPr="00E825B8" w:rsidRDefault="00000000">
      <w:pPr>
        <w:pStyle w:val="Heading2"/>
        <w:rPr>
          <w:rFonts w:ascii="Times New Roman" w:hAnsi="Times New Roman" w:cs="Times New Roman"/>
          <w:szCs w:val="24"/>
        </w:rPr>
      </w:pPr>
      <w:r w:rsidRPr="00E825B8">
        <w:rPr>
          <w:rFonts w:ascii="Times New Roman" w:hAnsi="Times New Roman" w:cs="Times New Roman"/>
          <w:szCs w:val="24"/>
        </w:rPr>
        <w:t>2.7 Nutrient Film Technique system</w:t>
      </w:r>
    </w:p>
    <w:p w14:paraId="3EA5EEF7" w14:textId="77777777" w:rsidR="00FC4B7F" w:rsidRPr="00E825B8" w:rsidRDefault="00E825B8">
      <w:pPr>
        <w:spacing w:after="60"/>
        <w:jc w:val="both"/>
        <w:rPr>
          <w:rFonts w:cs="Times New Roman"/>
          <w:szCs w:val="24"/>
        </w:rPr>
      </w:pPr>
      <w:r>
        <w:rPr>
          <w:rFonts w:cs="Times New Roman"/>
          <w:szCs w:val="24"/>
        </w:rPr>
        <w:tab/>
      </w:r>
      <w:r w:rsidR="00EE1E62">
        <w:rPr>
          <w:rFonts w:cs="Times New Roman"/>
          <w:szCs w:val="24"/>
        </w:rPr>
        <w:t xml:space="preserve">Treatment </w:t>
      </w:r>
      <w:r w:rsidRPr="00E825B8">
        <w:rPr>
          <w:rFonts w:cs="Times New Roman"/>
          <w:szCs w:val="24"/>
        </w:rPr>
        <w:t>4 was an active recirculating NFT system established in a separate greenhouse. The system consisted of eight white PVC growing channels</w:t>
      </w:r>
      <w:r>
        <w:rPr>
          <w:rFonts w:cs="Times New Roman"/>
          <w:szCs w:val="24"/>
          <w:highlight w:val="yellow"/>
        </w:rPr>
        <w:t>, each measuring approximately 3 in × 4 in in cross-section and approximately 16 ft in length.</w:t>
      </w:r>
      <w:r>
        <w:rPr>
          <w:rFonts w:cs="Times New Roman"/>
          <w:szCs w:val="24"/>
        </w:rPr>
        <w:t xml:space="preserve"> Planting sites were spaced approximately 25 cm apart. Nutrient solution was held in a 200-L reservoir and continuously recirculated using a submersible pump. Electricity used for pumping and monitoring was included in the economic evaluation.</w:t>
      </w:r>
    </w:p>
    <w:p w14:paraId="7ECD48A0" w14:textId="77777777" w:rsidR="00FC4B7F" w:rsidRPr="00E825B8" w:rsidRDefault="00000000">
      <w:pPr>
        <w:pStyle w:val="Heading2"/>
        <w:rPr>
          <w:rFonts w:ascii="Times New Roman" w:hAnsi="Times New Roman" w:cs="Times New Roman"/>
          <w:szCs w:val="24"/>
        </w:rPr>
      </w:pPr>
      <w:r>
        <w:rPr>
          <w:rFonts w:ascii="Times New Roman" w:hAnsi="Times New Roman" w:cs="Times New Roman"/>
          <w:szCs w:val="24"/>
        </w:rPr>
        <w:t xml:space="preserve">2.8 Nutrient and </w:t>
      </w:r>
      <w:proofErr w:type="spellStart"/>
      <w:r>
        <w:rPr>
          <w:rFonts w:ascii="Times New Roman" w:hAnsi="Times New Roman" w:cs="Times New Roman"/>
          <w:szCs w:val="24"/>
          <w:highlight w:val="yellow"/>
        </w:rPr>
        <w:t>fertiliser</w:t>
      </w:r>
      <w:proofErr w:type="spellEnd"/>
      <w:r>
        <w:rPr>
          <w:rFonts w:ascii="Times New Roman" w:hAnsi="Times New Roman" w:cs="Times New Roman"/>
          <w:szCs w:val="24"/>
        </w:rPr>
        <w:t xml:space="preserve"> management</w:t>
      </w:r>
    </w:p>
    <w:p w14:paraId="24682C98" w14:textId="77777777" w:rsidR="00FC4B7F" w:rsidRPr="00E825B8" w:rsidRDefault="00E825B8">
      <w:pPr>
        <w:spacing w:after="60"/>
        <w:jc w:val="both"/>
        <w:rPr>
          <w:rFonts w:cs="Times New Roman"/>
          <w:szCs w:val="24"/>
        </w:rPr>
      </w:pPr>
      <w:r>
        <w:rPr>
          <w:rFonts w:cs="Times New Roman"/>
          <w:szCs w:val="24"/>
        </w:rPr>
        <w:tab/>
      </w:r>
      <w:r w:rsidRPr="00E825B8">
        <w:rPr>
          <w:rFonts w:cs="Times New Roman"/>
          <w:szCs w:val="24"/>
        </w:rPr>
        <w:t>For T</w:t>
      </w:r>
      <w:r w:rsidRPr="000345A6">
        <w:rPr>
          <w:rFonts w:cs="Times New Roman"/>
          <w:szCs w:val="24"/>
          <w:vertAlign w:val="subscript"/>
        </w:rPr>
        <w:t>1</w:t>
      </w:r>
      <w:r w:rsidRPr="00E825B8">
        <w:rPr>
          <w:rFonts w:cs="Times New Roman"/>
          <w:szCs w:val="24"/>
        </w:rPr>
        <w:t xml:space="preserve"> and T</w:t>
      </w:r>
      <w:r w:rsidRPr="000345A6">
        <w:rPr>
          <w:rFonts w:cs="Times New Roman"/>
          <w:szCs w:val="24"/>
          <w:vertAlign w:val="subscript"/>
        </w:rPr>
        <w:t>2</w:t>
      </w:r>
      <w:r w:rsidRPr="00E825B8">
        <w:rPr>
          <w:rFonts w:cs="Times New Roman"/>
          <w:szCs w:val="24"/>
        </w:rPr>
        <w:t xml:space="preserve">, microbial compost </w:t>
      </w:r>
      <w:r>
        <w:rPr>
          <w:rFonts w:cs="Times New Roman"/>
          <w:szCs w:val="24"/>
        </w:rPr>
        <w:t>served as the</w:t>
      </w:r>
      <w:r w:rsidRPr="00E825B8">
        <w:rPr>
          <w:rFonts w:cs="Times New Roman"/>
          <w:szCs w:val="24"/>
        </w:rPr>
        <w:t xml:space="preserve"> basal nutrient source. In T</w:t>
      </w:r>
      <w:r w:rsidRPr="000345A6">
        <w:rPr>
          <w:rFonts w:cs="Times New Roman"/>
          <w:szCs w:val="24"/>
          <w:vertAlign w:val="subscript"/>
        </w:rPr>
        <w:t>1</w:t>
      </w:r>
      <w:r w:rsidRPr="00E825B8">
        <w:rPr>
          <w:rFonts w:cs="Times New Roman"/>
          <w:szCs w:val="24"/>
        </w:rPr>
        <w:t xml:space="preserve">, 500 g of microbial compost was applied to each plot before planting. The fermented Japanese snail and bamboo shoot extracts were combined at a 1:1 ratio and diluted at 10 mL L⁻¹ of water. The solution was applied using a manual trigger sprayer at 5-day intervals beginning 5 days after transplanting, following </w:t>
      </w:r>
      <w:proofErr w:type="spellStart"/>
      <w:r w:rsidRPr="00E825B8">
        <w:rPr>
          <w:rFonts w:cs="Times New Roman"/>
          <w:szCs w:val="24"/>
        </w:rPr>
        <w:t>Carabio</w:t>
      </w:r>
      <w:proofErr w:type="spellEnd"/>
      <w:r w:rsidRPr="00E825B8">
        <w:rPr>
          <w:rFonts w:cs="Times New Roman"/>
          <w:szCs w:val="24"/>
        </w:rPr>
        <w:t xml:space="preserve"> et al. (2021). For T</w:t>
      </w:r>
      <w:r w:rsidRPr="000345A6">
        <w:rPr>
          <w:rFonts w:cs="Times New Roman"/>
          <w:szCs w:val="24"/>
          <w:vertAlign w:val="subscript"/>
        </w:rPr>
        <w:t>3</w:t>
      </w:r>
      <w:r w:rsidRPr="00E825B8">
        <w:rPr>
          <w:rFonts w:cs="Times New Roman"/>
          <w:szCs w:val="24"/>
        </w:rPr>
        <w:t xml:space="preserve"> and T</w:t>
      </w:r>
      <w:r w:rsidRPr="000345A6">
        <w:rPr>
          <w:rFonts w:cs="Times New Roman"/>
          <w:szCs w:val="24"/>
          <w:vertAlign w:val="subscript"/>
        </w:rPr>
        <w:t>4</w:t>
      </w:r>
      <w:r w:rsidRPr="00E825B8">
        <w:rPr>
          <w:rFonts w:cs="Times New Roman"/>
          <w:szCs w:val="24"/>
        </w:rPr>
        <w:t xml:space="preserve">, commercial </w:t>
      </w:r>
      <w:proofErr w:type="spellStart"/>
      <w:r w:rsidRPr="00E825B8">
        <w:rPr>
          <w:rFonts w:cs="Times New Roman"/>
          <w:szCs w:val="24"/>
        </w:rPr>
        <w:t>NutSol</w:t>
      </w:r>
      <w:proofErr w:type="spellEnd"/>
      <w:r w:rsidRPr="00E825B8">
        <w:rPr>
          <w:rFonts w:cs="Times New Roman"/>
          <w:szCs w:val="24"/>
        </w:rPr>
        <w:t xml:space="preserve"> A and </w:t>
      </w:r>
      <w:proofErr w:type="spellStart"/>
      <w:r w:rsidRPr="00E825B8">
        <w:rPr>
          <w:rFonts w:cs="Times New Roman"/>
          <w:szCs w:val="24"/>
        </w:rPr>
        <w:t>NutSol</w:t>
      </w:r>
      <w:proofErr w:type="spellEnd"/>
      <w:r w:rsidRPr="00E825B8">
        <w:rPr>
          <w:rFonts w:cs="Times New Roman"/>
          <w:szCs w:val="24"/>
        </w:rPr>
        <w:t xml:space="preserve"> B were </w:t>
      </w:r>
      <w:r w:rsidR="000345A6">
        <w:rPr>
          <w:rFonts w:cs="Times New Roman"/>
          <w:szCs w:val="24"/>
        </w:rPr>
        <w:t>each diluted to</w:t>
      </w:r>
      <w:r w:rsidRPr="00E825B8">
        <w:rPr>
          <w:rFonts w:cs="Times New Roman"/>
          <w:szCs w:val="24"/>
        </w:rPr>
        <w:t xml:space="preserve"> 2 mL L⁻¹ before being combined in the nutrient solution. Nutrient-solution pH and electrical conductivity were monitored using digital instruments.</w:t>
      </w:r>
    </w:p>
    <w:p w14:paraId="4B839078" w14:textId="77777777" w:rsidR="00FC4B7F" w:rsidRPr="00E825B8" w:rsidRDefault="00000000">
      <w:pPr>
        <w:pStyle w:val="Heading2"/>
        <w:rPr>
          <w:rFonts w:ascii="Times New Roman" w:hAnsi="Times New Roman" w:cs="Times New Roman"/>
          <w:szCs w:val="24"/>
        </w:rPr>
      </w:pPr>
      <w:r w:rsidRPr="00E825B8">
        <w:rPr>
          <w:rFonts w:ascii="Times New Roman" w:hAnsi="Times New Roman" w:cs="Times New Roman"/>
          <w:szCs w:val="24"/>
        </w:rPr>
        <w:t>2.9 Water and utility measurement</w:t>
      </w:r>
    </w:p>
    <w:p w14:paraId="114A2FDA" w14:textId="77777777" w:rsidR="00FC4B7F" w:rsidRPr="00E825B8" w:rsidRDefault="00E825B8">
      <w:pPr>
        <w:spacing w:after="60"/>
        <w:jc w:val="both"/>
        <w:rPr>
          <w:rFonts w:cs="Times New Roman"/>
          <w:szCs w:val="24"/>
        </w:rPr>
      </w:pPr>
      <w:r>
        <w:rPr>
          <w:rFonts w:cs="Times New Roman"/>
          <w:szCs w:val="24"/>
        </w:rPr>
        <w:tab/>
      </w:r>
      <w:r w:rsidRPr="00E825B8">
        <w:rPr>
          <w:rFonts w:cs="Times New Roman"/>
          <w:szCs w:val="24"/>
        </w:rPr>
        <w:t>Water application was recorded throughout the 28-day crop cycle. T</w:t>
      </w:r>
      <w:r w:rsidRPr="000345A6">
        <w:rPr>
          <w:rFonts w:cs="Times New Roman"/>
          <w:szCs w:val="24"/>
          <w:vertAlign w:val="subscript"/>
        </w:rPr>
        <w:t>1</w:t>
      </w:r>
      <w:r w:rsidRPr="00E825B8">
        <w:rPr>
          <w:rFonts w:cs="Times New Roman"/>
          <w:szCs w:val="24"/>
        </w:rPr>
        <w:t xml:space="preserve"> and T</w:t>
      </w:r>
      <w:r w:rsidRPr="000345A6">
        <w:rPr>
          <w:rFonts w:cs="Times New Roman"/>
          <w:szCs w:val="24"/>
          <w:vertAlign w:val="subscript"/>
        </w:rPr>
        <w:t>2</w:t>
      </w:r>
      <w:r w:rsidRPr="00E825B8">
        <w:rPr>
          <w:rFonts w:cs="Times New Roman"/>
          <w:szCs w:val="24"/>
        </w:rPr>
        <w:t xml:space="preserve"> were manually irrigated twice daily according to the predetermined schedule. T</w:t>
      </w:r>
      <w:r w:rsidRPr="000345A6">
        <w:rPr>
          <w:rFonts w:cs="Times New Roman"/>
          <w:szCs w:val="24"/>
          <w:vertAlign w:val="subscript"/>
        </w:rPr>
        <w:t>3</w:t>
      </w:r>
      <w:r w:rsidRPr="00E825B8">
        <w:rPr>
          <w:rFonts w:cs="Times New Roman"/>
          <w:szCs w:val="24"/>
        </w:rPr>
        <w:t xml:space="preserve"> received approximately 2 L plant⁻¹ of nutrient solution at the start of the cycle and no routine top-up. For T</w:t>
      </w:r>
      <w:r w:rsidRPr="000345A6">
        <w:rPr>
          <w:rFonts w:cs="Times New Roman"/>
          <w:szCs w:val="24"/>
          <w:vertAlign w:val="subscript"/>
        </w:rPr>
        <w:t>4</w:t>
      </w:r>
      <w:r w:rsidRPr="00E825B8">
        <w:rPr>
          <w:rFonts w:cs="Times New Roman"/>
          <w:szCs w:val="24"/>
        </w:rPr>
        <w:t>, water losses from the 200-L recirculating reservoir were compensated during the experiment, and the documented replenishment volume was used as the measured water-use indicator. NFT electricity use was based on the operation of the pump and monitoring equipment and was valued at ₱13.00 kWh⁻¹.</w:t>
      </w:r>
    </w:p>
    <w:p w14:paraId="661A7305" w14:textId="77777777" w:rsidR="00FC4B7F" w:rsidRPr="00E825B8" w:rsidRDefault="00000000">
      <w:pPr>
        <w:pStyle w:val="Heading2"/>
        <w:rPr>
          <w:rFonts w:ascii="Times New Roman" w:hAnsi="Times New Roman" w:cs="Times New Roman"/>
          <w:szCs w:val="24"/>
        </w:rPr>
      </w:pPr>
      <w:r w:rsidRPr="00E825B8">
        <w:rPr>
          <w:rFonts w:ascii="Times New Roman" w:hAnsi="Times New Roman" w:cs="Times New Roman"/>
          <w:szCs w:val="24"/>
        </w:rPr>
        <w:t>2.10 Harvest and yield measurement</w:t>
      </w:r>
    </w:p>
    <w:p w14:paraId="1FBB62D5" w14:textId="77777777" w:rsidR="00FC4B7F" w:rsidRPr="00E825B8" w:rsidRDefault="00E825B8">
      <w:pPr>
        <w:spacing w:after="60"/>
        <w:jc w:val="both"/>
        <w:rPr>
          <w:rFonts w:cs="Times New Roman"/>
          <w:szCs w:val="24"/>
        </w:rPr>
      </w:pPr>
      <w:r>
        <w:rPr>
          <w:rFonts w:cs="Times New Roman"/>
          <w:szCs w:val="24"/>
        </w:rPr>
        <w:tab/>
      </w:r>
      <w:r w:rsidRPr="00E825B8">
        <w:rPr>
          <w:rFonts w:cs="Times New Roman"/>
          <w:szCs w:val="24"/>
        </w:rPr>
        <w:t>All treatments were harvested 28 days after transplanting. Above-ground fresh weight was measured per sampled plant and expressed in grams per plant. The mean fresh weight was converted to kilograms per plant for income calculations.</w:t>
      </w:r>
    </w:p>
    <w:p w14:paraId="72CB3AF3" w14:textId="77777777" w:rsidR="00FC4B7F" w:rsidRPr="00E825B8" w:rsidRDefault="00000000">
      <w:pPr>
        <w:pStyle w:val="Heading2"/>
        <w:rPr>
          <w:rFonts w:ascii="Times New Roman" w:hAnsi="Times New Roman" w:cs="Times New Roman"/>
          <w:szCs w:val="24"/>
        </w:rPr>
      </w:pPr>
      <w:r w:rsidRPr="00E825B8">
        <w:rPr>
          <w:rFonts w:ascii="Times New Roman" w:hAnsi="Times New Roman" w:cs="Times New Roman"/>
          <w:szCs w:val="24"/>
        </w:rPr>
        <w:t>2.11 Economic evaluation</w:t>
      </w:r>
    </w:p>
    <w:p w14:paraId="79A1779B" w14:textId="77777777" w:rsidR="00FC4B7F" w:rsidRPr="00E825B8" w:rsidRDefault="00E825B8">
      <w:pPr>
        <w:spacing w:after="60"/>
        <w:jc w:val="both"/>
        <w:rPr>
          <w:rFonts w:cs="Times New Roman"/>
          <w:szCs w:val="24"/>
        </w:rPr>
      </w:pPr>
      <w:r>
        <w:rPr>
          <w:rFonts w:cs="Times New Roman"/>
          <w:szCs w:val="24"/>
        </w:rPr>
        <w:tab/>
        <w:t xml:space="preserve">The economic analysis was </w:t>
      </w:r>
      <w:proofErr w:type="spellStart"/>
      <w:r>
        <w:rPr>
          <w:rFonts w:cs="Times New Roman"/>
          <w:szCs w:val="24"/>
          <w:highlight w:val="yellow"/>
        </w:rPr>
        <w:t>standardised</w:t>
      </w:r>
      <w:proofErr w:type="spellEnd"/>
      <w:r>
        <w:rPr>
          <w:rFonts w:cs="Times New Roman"/>
          <w:szCs w:val="24"/>
        </w:rPr>
        <w:t xml:space="preserve"> on a per-plant basis. The reference selling price was ₱350.00 kg⁻¹ of fresh lettuce. The production-cost basis was ₱32.03 plant⁻¹ for T</w:t>
      </w:r>
      <w:r w:rsidRPr="000345A6">
        <w:rPr>
          <w:rFonts w:cs="Times New Roman"/>
          <w:szCs w:val="24"/>
          <w:vertAlign w:val="subscript"/>
        </w:rPr>
        <w:t>1</w:t>
      </w:r>
      <w:r w:rsidRPr="00E825B8">
        <w:rPr>
          <w:rFonts w:cs="Times New Roman"/>
          <w:szCs w:val="24"/>
        </w:rPr>
        <w:t>, ₱29.75 for T</w:t>
      </w:r>
      <w:r w:rsidRPr="000345A6">
        <w:rPr>
          <w:rFonts w:cs="Times New Roman"/>
          <w:szCs w:val="24"/>
          <w:vertAlign w:val="subscript"/>
        </w:rPr>
        <w:t>2</w:t>
      </w:r>
      <w:r w:rsidRPr="00E825B8">
        <w:rPr>
          <w:rFonts w:cs="Times New Roman"/>
          <w:szCs w:val="24"/>
        </w:rPr>
        <w:t>, ₱59.92 for T</w:t>
      </w:r>
      <w:r w:rsidRPr="000345A6">
        <w:rPr>
          <w:rFonts w:cs="Times New Roman"/>
          <w:szCs w:val="24"/>
          <w:vertAlign w:val="subscript"/>
        </w:rPr>
        <w:t>3</w:t>
      </w:r>
      <w:r w:rsidRPr="00E825B8">
        <w:rPr>
          <w:rFonts w:cs="Times New Roman"/>
          <w:szCs w:val="24"/>
        </w:rPr>
        <w:t>, and ₱273.31 for T</w:t>
      </w:r>
      <w:r w:rsidRPr="000345A6">
        <w:rPr>
          <w:rFonts w:cs="Times New Roman"/>
          <w:szCs w:val="24"/>
          <w:vertAlign w:val="subscript"/>
        </w:rPr>
        <w:t>4</w:t>
      </w:r>
      <w:r w:rsidRPr="00E825B8">
        <w:rPr>
          <w:rFonts w:cs="Times New Roman"/>
          <w:szCs w:val="24"/>
        </w:rPr>
        <w:t>.</w:t>
      </w:r>
    </w:p>
    <w:p w14:paraId="427674E9" w14:textId="77777777" w:rsidR="00FC4B7F" w:rsidRPr="00E825B8" w:rsidRDefault="00E825B8">
      <w:pPr>
        <w:pStyle w:val="Heading2"/>
        <w:rPr>
          <w:rFonts w:ascii="Times New Roman" w:hAnsi="Times New Roman" w:cs="Times New Roman"/>
          <w:szCs w:val="24"/>
        </w:rPr>
      </w:pPr>
      <w:r>
        <w:rPr>
          <w:rFonts w:ascii="Times New Roman" w:hAnsi="Times New Roman" w:cs="Times New Roman"/>
          <w:szCs w:val="24"/>
        </w:rPr>
        <w:tab/>
      </w:r>
      <w:r w:rsidRPr="00E825B8">
        <w:rPr>
          <w:rFonts w:ascii="Times New Roman" w:hAnsi="Times New Roman" w:cs="Times New Roman"/>
          <w:szCs w:val="24"/>
        </w:rPr>
        <w:t>2.11.1 Gross income</w:t>
      </w:r>
    </w:p>
    <w:p w14:paraId="556FF55F" w14:textId="77777777" w:rsidR="00FC4B7F" w:rsidRPr="00E825B8" w:rsidRDefault="00E825B8">
      <w:pPr>
        <w:spacing w:after="60"/>
        <w:jc w:val="both"/>
        <w:rPr>
          <w:rFonts w:cs="Times New Roman"/>
          <w:szCs w:val="24"/>
        </w:rPr>
      </w:pPr>
      <w:r>
        <w:rPr>
          <w:rFonts w:cs="Times New Roman"/>
          <w:szCs w:val="24"/>
        </w:rPr>
        <w:tab/>
      </w:r>
      <w:r w:rsidRPr="00E825B8">
        <w:rPr>
          <w:rFonts w:cs="Times New Roman"/>
          <w:szCs w:val="24"/>
        </w:rPr>
        <w:t>Gross income (GI) was calculated as: GI = Y × P, where Y is marketable fresh yield (kg plant⁻¹) and P is the selling price (₱ kg⁻¹).</w:t>
      </w:r>
    </w:p>
    <w:p w14:paraId="4325187A" w14:textId="77777777" w:rsidR="00FC4B7F" w:rsidRPr="00E825B8" w:rsidRDefault="00E825B8">
      <w:pPr>
        <w:pStyle w:val="Heading2"/>
        <w:rPr>
          <w:rFonts w:ascii="Times New Roman" w:hAnsi="Times New Roman" w:cs="Times New Roman"/>
          <w:szCs w:val="24"/>
        </w:rPr>
      </w:pPr>
      <w:r>
        <w:rPr>
          <w:rFonts w:ascii="Times New Roman" w:hAnsi="Times New Roman" w:cs="Times New Roman"/>
          <w:szCs w:val="24"/>
        </w:rPr>
        <w:tab/>
      </w:r>
      <w:r w:rsidRPr="00E825B8">
        <w:rPr>
          <w:rFonts w:ascii="Times New Roman" w:hAnsi="Times New Roman" w:cs="Times New Roman"/>
          <w:szCs w:val="24"/>
        </w:rPr>
        <w:t>2.11.2 First-cycle net income</w:t>
      </w:r>
    </w:p>
    <w:p w14:paraId="0128C76E" w14:textId="77777777" w:rsidR="00FC4B7F" w:rsidRPr="00E825B8" w:rsidRDefault="00E825B8">
      <w:pPr>
        <w:spacing w:after="60"/>
        <w:jc w:val="both"/>
        <w:rPr>
          <w:rFonts w:cs="Times New Roman"/>
          <w:szCs w:val="24"/>
        </w:rPr>
      </w:pPr>
      <w:r>
        <w:rPr>
          <w:rFonts w:cs="Times New Roman"/>
          <w:szCs w:val="24"/>
        </w:rPr>
        <w:tab/>
      </w:r>
      <w:r w:rsidRPr="00E825B8">
        <w:rPr>
          <w:rFonts w:cs="Times New Roman"/>
          <w:szCs w:val="24"/>
        </w:rPr>
        <w:t>First-cycle net income (NI) was calculated as</w:t>
      </w:r>
      <w:r>
        <w:rPr>
          <w:rFonts w:cs="Times New Roman"/>
          <w:szCs w:val="24"/>
        </w:rPr>
        <w:t xml:space="preserve"> NI = GI − TCP, where TCP is the total production cost</w:t>
      </w:r>
      <w:r w:rsidRPr="00E825B8">
        <w:rPr>
          <w:rFonts w:cs="Times New Roman"/>
          <w:szCs w:val="24"/>
        </w:rPr>
        <w:t xml:space="preserve"> per plant.</w:t>
      </w:r>
    </w:p>
    <w:p w14:paraId="147788E7" w14:textId="77777777" w:rsidR="00FC4B7F" w:rsidRPr="00E825B8" w:rsidRDefault="00E825B8">
      <w:pPr>
        <w:pStyle w:val="Heading2"/>
        <w:rPr>
          <w:rFonts w:ascii="Times New Roman" w:hAnsi="Times New Roman" w:cs="Times New Roman"/>
          <w:szCs w:val="24"/>
        </w:rPr>
      </w:pPr>
      <w:r>
        <w:rPr>
          <w:rFonts w:ascii="Times New Roman" w:hAnsi="Times New Roman" w:cs="Times New Roman"/>
          <w:szCs w:val="24"/>
        </w:rPr>
        <w:tab/>
      </w:r>
      <w:r w:rsidRPr="00E825B8">
        <w:rPr>
          <w:rFonts w:ascii="Times New Roman" w:hAnsi="Times New Roman" w:cs="Times New Roman"/>
          <w:szCs w:val="24"/>
        </w:rPr>
        <w:t>2.11.3 Return on investment</w:t>
      </w:r>
    </w:p>
    <w:p w14:paraId="48CBB367" w14:textId="77777777" w:rsidR="00FC4B7F" w:rsidRPr="00E825B8" w:rsidRDefault="00E825B8">
      <w:pPr>
        <w:spacing w:after="60"/>
        <w:jc w:val="both"/>
        <w:rPr>
          <w:rFonts w:cs="Times New Roman"/>
          <w:szCs w:val="24"/>
        </w:rPr>
      </w:pPr>
      <w:r>
        <w:rPr>
          <w:rFonts w:cs="Times New Roman"/>
          <w:szCs w:val="24"/>
        </w:rPr>
        <w:tab/>
      </w:r>
      <w:r w:rsidRPr="00E825B8">
        <w:rPr>
          <w:rFonts w:cs="Times New Roman"/>
          <w:szCs w:val="24"/>
        </w:rPr>
        <w:t>First-cycle ROI was calculated as: ROI (%) = (NI / TCP) × 100.</w:t>
      </w:r>
    </w:p>
    <w:p w14:paraId="49AE3F36" w14:textId="77777777" w:rsidR="00FC4B7F" w:rsidRPr="00E825B8" w:rsidRDefault="00E825B8">
      <w:pPr>
        <w:pStyle w:val="Heading2"/>
        <w:rPr>
          <w:rFonts w:ascii="Times New Roman" w:hAnsi="Times New Roman" w:cs="Times New Roman"/>
          <w:szCs w:val="24"/>
        </w:rPr>
      </w:pPr>
      <w:r>
        <w:rPr>
          <w:rFonts w:ascii="Times New Roman" w:hAnsi="Times New Roman" w:cs="Times New Roman"/>
          <w:szCs w:val="24"/>
        </w:rPr>
        <w:lastRenderedPageBreak/>
        <w:tab/>
      </w:r>
      <w:r w:rsidRPr="00E825B8">
        <w:rPr>
          <w:rFonts w:ascii="Times New Roman" w:hAnsi="Times New Roman" w:cs="Times New Roman"/>
          <w:szCs w:val="24"/>
        </w:rPr>
        <w:t>2.11.4 Investment recovery period</w:t>
      </w:r>
    </w:p>
    <w:p w14:paraId="3CBBD308" w14:textId="77777777" w:rsidR="00FC4B7F" w:rsidRPr="00E825B8" w:rsidRDefault="00E825B8">
      <w:pPr>
        <w:spacing w:after="60"/>
        <w:jc w:val="both"/>
        <w:rPr>
          <w:rFonts w:cs="Times New Roman"/>
          <w:szCs w:val="24"/>
        </w:rPr>
      </w:pPr>
      <w:r>
        <w:rPr>
          <w:rFonts w:cs="Times New Roman"/>
          <w:szCs w:val="24"/>
        </w:rPr>
        <w:tab/>
      </w:r>
      <w:r w:rsidRPr="00E825B8">
        <w:rPr>
          <w:rFonts w:cs="Times New Roman"/>
          <w:szCs w:val="24"/>
        </w:rPr>
        <w:t xml:space="preserve">The investment recovery period (IRP) was defined for this study as the number of 28-day cropping cycles required for cumulative gross crop revenue to equal the initial unit cost basis: IRP = ICI / GI. ICI is the initial unit cost or capital cost basis per plant, and GI is gross income per plant per cropping cycle. This is a study-specific </w:t>
      </w:r>
      <w:r>
        <w:rPr>
          <w:rFonts w:cs="Times New Roman"/>
          <w:szCs w:val="24"/>
        </w:rPr>
        <w:t>gross revenue capital recovery</w:t>
      </w:r>
      <w:r w:rsidRPr="00E825B8">
        <w:rPr>
          <w:rFonts w:cs="Times New Roman"/>
          <w:szCs w:val="24"/>
        </w:rPr>
        <w:t xml:space="preserve"> indicator. It differs from conventional payback calculations, which generally use cumulative net cash flow or net returns after operating costs (Gumisiriza et al., 2022; </w:t>
      </w:r>
      <w:proofErr w:type="spellStart"/>
      <w:r w:rsidRPr="00E825B8">
        <w:rPr>
          <w:rFonts w:cs="Times New Roman"/>
          <w:szCs w:val="24"/>
        </w:rPr>
        <w:t>Afriyanti</w:t>
      </w:r>
      <w:proofErr w:type="spellEnd"/>
      <w:r w:rsidRPr="00E825B8">
        <w:rPr>
          <w:rFonts w:cs="Times New Roman"/>
          <w:szCs w:val="24"/>
        </w:rPr>
        <w:t xml:space="preserve"> et al., 2024). The distinction is maintained throughout the Results and Discussion </w:t>
      </w:r>
      <w:r w:rsidR="000345A6">
        <w:rPr>
          <w:rFonts w:cs="Times New Roman"/>
          <w:szCs w:val="24"/>
        </w:rPr>
        <w:t>sections to avoid interpreting the reported IRP values as guaranteed net cash-flow</w:t>
      </w:r>
      <w:r w:rsidRPr="00E825B8">
        <w:rPr>
          <w:rFonts w:cs="Times New Roman"/>
          <w:szCs w:val="24"/>
        </w:rPr>
        <w:t xml:space="preserve"> payback periods.</w:t>
      </w:r>
    </w:p>
    <w:p w14:paraId="0C9BC0A3" w14:textId="77777777" w:rsidR="00FC4B7F" w:rsidRPr="00E825B8" w:rsidRDefault="00000000">
      <w:pPr>
        <w:pStyle w:val="Heading2"/>
        <w:rPr>
          <w:rFonts w:ascii="Times New Roman" w:hAnsi="Times New Roman" w:cs="Times New Roman"/>
          <w:szCs w:val="24"/>
        </w:rPr>
      </w:pPr>
      <w:r w:rsidRPr="00E825B8">
        <w:rPr>
          <w:rFonts w:ascii="Times New Roman" w:hAnsi="Times New Roman" w:cs="Times New Roman"/>
          <w:szCs w:val="24"/>
        </w:rPr>
        <w:t>2.12 Statistical analysis</w:t>
      </w:r>
    </w:p>
    <w:p w14:paraId="4E39E1D0" w14:textId="77777777" w:rsidR="00FC4B7F" w:rsidRPr="00E825B8" w:rsidRDefault="00E825B8">
      <w:pPr>
        <w:spacing w:after="60"/>
        <w:jc w:val="both"/>
        <w:rPr>
          <w:rFonts w:cs="Times New Roman"/>
          <w:szCs w:val="24"/>
        </w:rPr>
      </w:pPr>
      <w:r>
        <w:rPr>
          <w:rFonts w:cs="Times New Roman"/>
          <w:szCs w:val="24"/>
        </w:rPr>
        <w:tab/>
        <w:t xml:space="preserve">Yield and other measured response variables were </w:t>
      </w:r>
      <w:proofErr w:type="spellStart"/>
      <w:r>
        <w:rPr>
          <w:rFonts w:cs="Times New Roman"/>
          <w:szCs w:val="24"/>
          <w:highlight w:val="yellow"/>
        </w:rPr>
        <w:t>analysed</w:t>
      </w:r>
      <w:proofErr w:type="spellEnd"/>
      <w:r>
        <w:rPr>
          <w:rFonts w:cs="Times New Roman"/>
          <w:szCs w:val="24"/>
        </w:rPr>
        <w:t xml:space="preserve"> using analysis of variance (ANOVA) in the Statistical Tool for Agricultural Research (STAR). Treatment means were compared using Tukey's Honest Significant Difference test at the 5% significance level (α = .05) when the ANOVA indicated a significant treatment effect. Statistical significance was declared at P &lt; .05.</w:t>
      </w:r>
    </w:p>
    <w:p w14:paraId="1D98D609" w14:textId="77777777" w:rsidR="00FC4B7F" w:rsidRPr="00E825B8" w:rsidRDefault="00000000" w:rsidP="000345A6">
      <w:pPr>
        <w:pStyle w:val="Heading1"/>
        <w:spacing w:after="60"/>
        <w:jc w:val="center"/>
        <w:rPr>
          <w:rFonts w:ascii="Times New Roman" w:hAnsi="Times New Roman" w:cs="Times New Roman"/>
          <w:sz w:val="24"/>
          <w:szCs w:val="24"/>
        </w:rPr>
      </w:pPr>
      <w:r w:rsidRPr="00E825B8">
        <w:rPr>
          <w:rFonts w:ascii="Times New Roman" w:hAnsi="Times New Roman" w:cs="Times New Roman"/>
          <w:sz w:val="24"/>
          <w:szCs w:val="24"/>
        </w:rPr>
        <w:t>3. Results and Discussion</w:t>
      </w:r>
    </w:p>
    <w:p w14:paraId="0B57D936" w14:textId="77777777" w:rsidR="00FC4B7F" w:rsidRPr="00E825B8" w:rsidRDefault="00E825B8">
      <w:pPr>
        <w:pStyle w:val="Heading2"/>
        <w:rPr>
          <w:rFonts w:ascii="Times New Roman" w:hAnsi="Times New Roman" w:cs="Times New Roman"/>
          <w:szCs w:val="24"/>
        </w:rPr>
      </w:pPr>
      <w:r>
        <w:rPr>
          <w:rFonts w:ascii="Times New Roman" w:hAnsi="Times New Roman" w:cs="Times New Roman"/>
          <w:szCs w:val="24"/>
        </w:rPr>
        <w:tab/>
      </w:r>
      <w:r w:rsidRPr="00E825B8">
        <w:rPr>
          <w:rFonts w:ascii="Times New Roman" w:hAnsi="Times New Roman" w:cs="Times New Roman"/>
          <w:szCs w:val="24"/>
        </w:rPr>
        <w:t>3.1 Fresh Biomass Yield</w:t>
      </w:r>
    </w:p>
    <w:p w14:paraId="44349A19" w14:textId="77777777" w:rsidR="00FC4B7F" w:rsidRPr="00E825B8" w:rsidRDefault="00E825B8" w:rsidP="000345A6">
      <w:pPr>
        <w:spacing w:after="60"/>
        <w:jc w:val="both"/>
        <w:rPr>
          <w:rFonts w:cs="Times New Roman"/>
          <w:szCs w:val="24"/>
        </w:rPr>
      </w:pPr>
      <w:r>
        <w:rPr>
          <w:rFonts w:cs="Times New Roman"/>
          <w:szCs w:val="24"/>
        </w:rPr>
        <w:tab/>
      </w:r>
      <w:r w:rsidRPr="00E825B8">
        <w:rPr>
          <w:rFonts w:cs="Times New Roman"/>
          <w:szCs w:val="24"/>
        </w:rPr>
        <w:t>Above-ground fresh weight differed significantly among the four lettuce production systems (Figure 1). The NFT system (T</w:t>
      </w:r>
      <w:r w:rsidRPr="000345A6">
        <w:rPr>
          <w:rFonts w:cs="Times New Roman"/>
          <w:szCs w:val="24"/>
          <w:vertAlign w:val="subscript"/>
        </w:rPr>
        <w:t>4</w:t>
      </w:r>
      <w:r w:rsidRPr="00E825B8">
        <w:rPr>
          <w:rFonts w:cs="Times New Roman"/>
          <w:szCs w:val="24"/>
        </w:rPr>
        <w:t>) produced the highest fresh weight at 133.04 g plant⁻¹, followed by container gardening (T</w:t>
      </w:r>
      <w:r w:rsidRPr="000345A6">
        <w:rPr>
          <w:rFonts w:cs="Times New Roman"/>
          <w:szCs w:val="24"/>
          <w:vertAlign w:val="subscript"/>
        </w:rPr>
        <w:t>2</w:t>
      </w:r>
      <w:r w:rsidRPr="00E825B8">
        <w:rPr>
          <w:rFonts w:cs="Times New Roman"/>
          <w:szCs w:val="24"/>
        </w:rPr>
        <w:t>) at 74.77 g plant⁻¹, Kratky hydroponics (T</w:t>
      </w:r>
      <w:r w:rsidRPr="000345A6">
        <w:rPr>
          <w:rFonts w:cs="Times New Roman"/>
          <w:szCs w:val="24"/>
          <w:vertAlign w:val="subscript"/>
        </w:rPr>
        <w:t>3</w:t>
      </w:r>
      <w:r w:rsidRPr="00E825B8">
        <w:rPr>
          <w:rFonts w:cs="Times New Roman"/>
          <w:szCs w:val="24"/>
        </w:rPr>
        <w:t>) at 58.17 g plant⁻¹, and conventional production (T</w:t>
      </w:r>
      <w:r w:rsidRPr="000345A6">
        <w:rPr>
          <w:rFonts w:cs="Times New Roman"/>
          <w:szCs w:val="24"/>
          <w:vertAlign w:val="subscript"/>
        </w:rPr>
        <w:t>1</w:t>
      </w:r>
      <w:r w:rsidRPr="00E825B8">
        <w:rPr>
          <w:rFonts w:cs="Times New Roman"/>
          <w:szCs w:val="24"/>
        </w:rPr>
        <w:t>) at 31.60 g plant⁻¹. Based on Tukey’s HSD test at α = 0.05, NFT (T</w:t>
      </w:r>
      <w:r w:rsidRPr="000345A6">
        <w:rPr>
          <w:rFonts w:cs="Times New Roman"/>
          <w:szCs w:val="24"/>
          <w:vertAlign w:val="subscript"/>
        </w:rPr>
        <w:t>4</w:t>
      </w:r>
      <w:r w:rsidRPr="00E825B8">
        <w:rPr>
          <w:rFonts w:cs="Times New Roman"/>
          <w:szCs w:val="24"/>
        </w:rPr>
        <w:t>) was significantly different from all other treatments, while container gardening (T</w:t>
      </w:r>
      <w:r w:rsidRPr="000345A6">
        <w:rPr>
          <w:rFonts w:cs="Times New Roman"/>
          <w:szCs w:val="24"/>
          <w:vertAlign w:val="subscript"/>
        </w:rPr>
        <w:t>2</w:t>
      </w:r>
      <w:r w:rsidRPr="00E825B8">
        <w:rPr>
          <w:rFonts w:cs="Times New Roman"/>
          <w:szCs w:val="24"/>
        </w:rPr>
        <w:t>) and Kratky (T</w:t>
      </w:r>
      <w:r w:rsidRPr="000345A6">
        <w:rPr>
          <w:rFonts w:cs="Times New Roman"/>
          <w:szCs w:val="24"/>
          <w:vertAlign w:val="subscript"/>
        </w:rPr>
        <w:t>3</w:t>
      </w:r>
      <w:r w:rsidRPr="00E825B8">
        <w:rPr>
          <w:rFonts w:cs="Times New Roman"/>
          <w:szCs w:val="24"/>
        </w:rPr>
        <w:t>) did not differ significantly from each other. Conventional production (T</w:t>
      </w:r>
      <w:r w:rsidRPr="000345A6">
        <w:rPr>
          <w:rFonts w:cs="Times New Roman"/>
          <w:szCs w:val="24"/>
          <w:vertAlign w:val="subscript"/>
        </w:rPr>
        <w:t>1</w:t>
      </w:r>
      <w:r w:rsidRPr="00E825B8">
        <w:rPr>
          <w:rFonts w:cs="Times New Roman"/>
          <w:szCs w:val="24"/>
        </w:rPr>
        <w:t>) had significantly lower fresh biomass than the other three systems.</w:t>
      </w:r>
    </w:p>
    <w:p w14:paraId="310894BD" w14:textId="77777777" w:rsidR="00FC4B7F" w:rsidRPr="00E825B8" w:rsidRDefault="00000000">
      <w:pPr>
        <w:spacing w:after="60"/>
        <w:jc w:val="center"/>
        <w:rPr>
          <w:rFonts w:cs="Times New Roman"/>
          <w:szCs w:val="24"/>
        </w:rPr>
      </w:pPr>
      <w:r w:rsidRPr="00E825B8">
        <w:rPr>
          <w:rFonts w:cs="Times New Roman"/>
          <w:noProof/>
          <w:szCs w:val="24"/>
        </w:rPr>
        <w:drawing>
          <wp:inline distT="0" distB="0" distL="0" distR="0" wp14:anchorId="29F7CE43" wp14:editId="3DD7351B">
            <wp:extent cx="4366488" cy="26554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260920-024653).png"/>
                    <pic:cNvPicPr/>
                  </pic:nvPicPr>
                  <pic:blipFill rotWithShape="1">
                    <a:blip r:embed="rId8"/>
                    <a:srcRect l="14063" r="13561" b="17314"/>
                    <a:stretch/>
                  </pic:blipFill>
                  <pic:spPr bwMode="auto">
                    <a:xfrm>
                      <a:off x="0" y="0"/>
                      <a:ext cx="4377627" cy="2662192"/>
                    </a:xfrm>
                    <a:prstGeom prst="rect">
                      <a:avLst/>
                    </a:prstGeom>
                    <a:ln>
                      <a:noFill/>
                    </a:ln>
                    <a:extLst>
                      <a:ext uri="{53640926-AAD7-44D8-BBD7-CCE9431645EC}">
                        <a14:shadowObscured xmlns:a14="http://schemas.microsoft.com/office/drawing/2010/main"/>
                      </a:ext>
                    </a:extLst>
                  </pic:spPr>
                </pic:pic>
              </a:graphicData>
            </a:graphic>
          </wp:inline>
        </w:drawing>
      </w:r>
    </w:p>
    <w:p w14:paraId="313EE077" w14:textId="77777777" w:rsidR="00E825B8" w:rsidRPr="00E825B8" w:rsidRDefault="00E825B8" w:rsidP="00836FEF">
      <w:pPr>
        <w:spacing w:after="60"/>
        <w:ind w:left="851" w:hanging="851"/>
        <w:jc w:val="both"/>
        <w:rPr>
          <w:rFonts w:cs="Times New Roman"/>
          <w:iCs/>
          <w:szCs w:val="24"/>
        </w:rPr>
      </w:pPr>
      <w:r w:rsidRPr="00E825B8">
        <w:rPr>
          <w:rFonts w:cs="Times New Roman"/>
          <w:b/>
          <w:bCs/>
          <w:iCs/>
          <w:szCs w:val="24"/>
        </w:rPr>
        <w:t>Figure 1.</w:t>
      </w:r>
      <w:r w:rsidRPr="00E825B8">
        <w:rPr>
          <w:rFonts w:cs="Times New Roman"/>
          <w:iCs/>
          <w:szCs w:val="24"/>
        </w:rPr>
        <w:t xml:space="preserve"> Effects of four production systems on the above-ground fresh weight of lettuce (</w:t>
      </w:r>
      <w:r w:rsidRPr="00E825B8">
        <w:rPr>
          <w:rFonts w:cs="Times New Roman"/>
          <w:i/>
          <w:szCs w:val="24"/>
        </w:rPr>
        <w:t>Lactuca sativa</w:t>
      </w:r>
      <w:r w:rsidRPr="00E825B8">
        <w:rPr>
          <w:rFonts w:cs="Times New Roman"/>
          <w:iCs/>
          <w:szCs w:val="24"/>
        </w:rPr>
        <w:t xml:space="preserve"> L.</w:t>
      </w:r>
      <w:r w:rsidR="000345A6">
        <w:rPr>
          <w:rFonts w:cs="Times New Roman"/>
          <w:iCs/>
          <w:szCs w:val="24"/>
        </w:rPr>
        <w:t xml:space="preserve"> </w:t>
      </w:r>
      <w:r w:rsidR="000345A6" w:rsidRPr="00EE1E62">
        <w:rPr>
          <w:rFonts w:cs="Times New Roman"/>
          <w:bCs/>
          <w:szCs w:val="24"/>
        </w:rPr>
        <w:t>cv. Olmetie RZ 1000 Batavia</w:t>
      </w:r>
      <w:r w:rsidRPr="00E825B8">
        <w:rPr>
          <w:rFonts w:cs="Times New Roman"/>
          <w:iCs/>
          <w:szCs w:val="24"/>
        </w:rPr>
        <w:t>) at final harvest. Bars represent mean fresh weight per plant, and different lowercase letters indicate significant differences among treatments according to Tukey’s HSD test (α = 0.05).</w:t>
      </w:r>
    </w:p>
    <w:p w14:paraId="54360BD9" w14:textId="77777777" w:rsidR="00E825B8" w:rsidRDefault="00E825B8">
      <w:pPr>
        <w:spacing w:after="60"/>
        <w:rPr>
          <w:rFonts w:cs="Times New Roman"/>
          <w:szCs w:val="24"/>
        </w:rPr>
      </w:pPr>
    </w:p>
    <w:p w14:paraId="38715CC6" w14:textId="77777777" w:rsidR="00FC4B7F" w:rsidRPr="00E825B8" w:rsidRDefault="00E825B8" w:rsidP="00E825B8">
      <w:pPr>
        <w:spacing w:after="60"/>
        <w:jc w:val="both"/>
        <w:rPr>
          <w:rFonts w:cs="Times New Roman"/>
          <w:szCs w:val="24"/>
        </w:rPr>
      </w:pPr>
      <w:r>
        <w:rPr>
          <w:rFonts w:cs="Times New Roman"/>
          <w:szCs w:val="24"/>
        </w:rPr>
        <w:tab/>
      </w:r>
      <w:r w:rsidRPr="00E825B8">
        <w:rPr>
          <w:rFonts w:cs="Times New Roman"/>
          <w:szCs w:val="24"/>
        </w:rPr>
        <w:t xml:space="preserve">The higher biomass </w:t>
      </w:r>
      <w:r w:rsidR="00836FEF">
        <w:rPr>
          <w:rFonts w:cs="Times New Roman"/>
          <w:szCs w:val="24"/>
        </w:rPr>
        <w:t>observed under NFT may be associated with the continuous recirculation of the nutrient solution through the root zone, providing relatively consistent access to water and dissolved nutrients throughout</w:t>
      </w:r>
      <w:r w:rsidRPr="00E825B8">
        <w:rPr>
          <w:rFonts w:cs="Times New Roman"/>
          <w:szCs w:val="24"/>
        </w:rPr>
        <w:t xml:space="preserve"> crop development. In contrast, the Kratky system relies on a non-circulating nutrient solution, while conventional production depends on soil-based water and nutrient availability. Previous studies have similarly reported differences in lettuce growth and productivity among hydroponic configurations, with system design, </w:t>
      </w:r>
      <w:r w:rsidRPr="00E825B8">
        <w:rPr>
          <w:rFonts w:cs="Times New Roman"/>
          <w:szCs w:val="24"/>
        </w:rPr>
        <w:lastRenderedPageBreak/>
        <w:t>nutrient management, and environmental conditions influencing crop performance (Kratky, 2005; Sharma et al., 2018; Wang et al., 2023; Yang et al., 2024).</w:t>
      </w:r>
    </w:p>
    <w:p w14:paraId="7000E2B5" w14:textId="77777777" w:rsidR="00FC4B7F" w:rsidRPr="00E825B8" w:rsidRDefault="00FC4B7F">
      <w:pPr>
        <w:spacing w:after="60"/>
        <w:rPr>
          <w:rFonts w:cs="Times New Roman"/>
          <w:szCs w:val="24"/>
        </w:rPr>
      </w:pPr>
    </w:p>
    <w:p w14:paraId="6D061E3B" w14:textId="77777777" w:rsidR="00FC4B7F" w:rsidRPr="00E825B8" w:rsidRDefault="00E825B8" w:rsidP="00E825B8">
      <w:pPr>
        <w:spacing w:after="60"/>
        <w:jc w:val="both"/>
        <w:rPr>
          <w:rFonts w:cs="Times New Roman"/>
          <w:szCs w:val="24"/>
        </w:rPr>
      </w:pPr>
      <w:r>
        <w:rPr>
          <w:rFonts w:cs="Times New Roman"/>
          <w:szCs w:val="24"/>
        </w:rPr>
        <w:tab/>
      </w:r>
      <w:r w:rsidRPr="00E825B8">
        <w:rPr>
          <w:rFonts w:cs="Times New Roman"/>
          <w:szCs w:val="24"/>
        </w:rPr>
        <w:t xml:space="preserve">The fresh-weight advantage of NFT was substantial. Relative to conventional production, NFT produced approximately 4.21 times </w:t>
      </w:r>
      <w:r w:rsidR="00836FEF">
        <w:rPr>
          <w:rFonts w:cs="Times New Roman"/>
          <w:szCs w:val="24"/>
        </w:rPr>
        <w:t>as much fresh biomass per plant, while container and Kratky systems produced approximately 2.37 and 1.84 times as much</w:t>
      </w:r>
      <w:r w:rsidRPr="00E825B8">
        <w:rPr>
          <w:rFonts w:cs="Times New Roman"/>
          <w:szCs w:val="24"/>
        </w:rPr>
        <w:t xml:space="preserve">, respectively. This result demonstrates that greater biomass production was achievable through the controlled root-zone environment of the soilless systems used in the study. However, the production advantage of NFT must be </w:t>
      </w:r>
      <w:r w:rsidR="00836FEF">
        <w:rPr>
          <w:rFonts w:cs="Times New Roman"/>
          <w:szCs w:val="24"/>
        </w:rPr>
        <w:t>weighed against</w:t>
      </w:r>
      <w:r w:rsidRPr="00E825B8">
        <w:rPr>
          <w:rFonts w:cs="Times New Roman"/>
          <w:szCs w:val="24"/>
        </w:rPr>
        <w:t xml:space="preserve"> its substantially higher infrastructure and production </w:t>
      </w:r>
      <w:r w:rsidR="00836FEF">
        <w:rPr>
          <w:rFonts w:cs="Times New Roman"/>
          <w:szCs w:val="24"/>
        </w:rPr>
        <w:t>costs, which are</w:t>
      </w:r>
      <w:r>
        <w:rPr>
          <w:rFonts w:cs="Times New Roman"/>
          <w:szCs w:val="24"/>
        </w:rPr>
        <w:t xml:space="preserve"> examined in the subsequent economic analysis. Similar comparisons of soil-based and hydroponic lettuce production have </w:t>
      </w:r>
      <w:proofErr w:type="spellStart"/>
      <w:r>
        <w:rPr>
          <w:rFonts w:cs="Times New Roman"/>
          <w:szCs w:val="24"/>
          <w:highlight w:val="yellow"/>
        </w:rPr>
        <w:t>emphasised</w:t>
      </w:r>
      <w:proofErr w:type="spellEnd"/>
      <w:r>
        <w:rPr>
          <w:rFonts w:cs="Times New Roman"/>
          <w:szCs w:val="24"/>
        </w:rPr>
        <w:t xml:space="preserve"> that increased productivity may be accompanied by higher capital and operating requirements (Barbosa et al., 2015; Maestre-Valero et al., 2018; Wang et al., 2023).</w:t>
      </w:r>
    </w:p>
    <w:p w14:paraId="1EC2AD9B" w14:textId="77777777" w:rsidR="00FC4B7F" w:rsidRPr="00E825B8" w:rsidRDefault="00FC4B7F">
      <w:pPr>
        <w:spacing w:after="60"/>
        <w:rPr>
          <w:rFonts w:cs="Times New Roman"/>
          <w:szCs w:val="24"/>
        </w:rPr>
      </w:pPr>
    </w:p>
    <w:p w14:paraId="2D8AC3A4" w14:textId="77777777" w:rsidR="00FC4B7F" w:rsidRPr="00E825B8" w:rsidRDefault="00000000">
      <w:pPr>
        <w:pStyle w:val="Heading2"/>
        <w:rPr>
          <w:rFonts w:ascii="Times New Roman" w:hAnsi="Times New Roman" w:cs="Times New Roman"/>
          <w:szCs w:val="24"/>
        </w:rPr>
      </w:pPr>
      <w:r w:rsidRPr="00E825B8">
        <w:rPr>
          <w:rFonts w:ascii="Times New Roman" w:hAnsi="Times New Roman" w:cs="Times New Roman"/>
          <w:szCs w:val="24"/>
        </w:rPr>
        <w:t>3.2 Water Use and Resource Efficiency</w:t>
      </w:r>
    </w:p>
    <w:p w14:paraId="3F802420" w14:textId="77777777" w:rsidR="00FC4B7F" w:rsidRPr="00E825B8" w:rsidRDefault="00E825B8">
      <w:pPr>
        <w:spacing w:after="60"/>
        <w:jc w:val="both"/>
        <w:rPr>
          <w:rFonts w:cs="Times New Roman"/>
          <w:szCs w:val="24"/>
        </w:rPr>
      </w:pPr>
      <w:r>
        <w:rPr>
          <w:rFonts w:cs="Times New Roman"/>
          <w:szCs w:val="24"/>
        </w:rPr>
        <w:tab/>
      </w:r>
      <w:r w:rsidRPr="00E825B8">
        <w:rPr>
          <w:rFonts w:cs="Times New Roman"/>
          <w:szCs w:val="24"/>
        </w:rPr>
        <w:t>The two soil-based systems each used 56.00 L plant⁻¹ over the 28-day cycle. Kratky used 2.00 L plant⁻¹</w:t>
      </w:r>
      <w:r w:rsidR="00836FEF">
        <w:rPr>
          <w:rFonts w:cs="Times New Roman"/>
          <w:szCs w:val="24"/>
        </w:rPr>
        <w:t>,</w:t>
      </w:r>
      <w:r w:rsidRPr="00E825B8">
        <w:rPr>
          <w:rFonts w:cs="Times New Roman"/>
          <w:szCs w:val="24"/>
        </w:rPr>
        <w:t xml:space="preserve"> and NFT used 2.08 L plant⁻¹ of measured water or replenishment volume. Relative to the soil-based systems, these values correspond to reductions of approximately 96% in measured water use. The large difference is directionally consistent with published comparisons showing substantially higher water-use efficiency in soilless and hydroponic lettuce systems than in conventional production, although the magnitude of savings depends on how water inputs and system boundaries are defined (Barbosa et al., 2015; Jarrar et al., 2022; </w:t>
      </w:r>
      <w:proofErr w:type="spellStart"/>
      <w:r>
        <w:rPr>
          <w:rFonts w:cs="Times New Roman"/>
          <w:szCs w:val="24"/>
        </w:rPr>
        <w:t>Shtaya</w:t>
      </w:r>
      <w:proofErr w:type="spellEnd"/>
      <w:r>
        <w:rPr>
          <w:rFonts w:cs="Times New Roman"/>
          <w:szCs w:val="24"/>
        </w:rPr>
        <w:t xml:space="preserve"> &amp; </w:t>
      </w:r>
      <w:proofErr w:type="spellStart"/>
      <w:r>
        <w:rPr>
          <w:rFonts w:cs="Times New Roman"/>
          <w:szCs w:val="24"/>
        </w:rPr>
        <w:t>Qubbaj</w:t>
      </w:r>
      <w:proofErr w:type="spellEnd"/>
      <w:r>
        <w:rPr>
          <w:rFonts w:cs="Times New Roman"/>
          <w:szCs w:val="24"/>
        </w:rPr>
        <w:t xml:space="preserve">, 2022). Recent NFT research also </w:t>
      </w:r>
      <w:proofErr w:type="spellStart"/>
      <w:r>
        <w:rPr>
          <w:rFonts w:cs="Times New Roman"/>
          <w:szCs w:val="24"/>
          <w:highlight w:val="yellow"/>
        </w:rPr>
        <w:t>emphasises</w:t>
      </w:r>
      <w:proofErr w:type="spellEnd"/>
      <w:r>
        <w:rPr>
          <w:rFonts w:cs="Times New Roman"/>
          <w:szCs w:val="24"/>
        </w:rPr>
        <w:t xml:space="preserve"> that water-use efficiency is </w:t>
      </w:r>
      <w:r w:rsidR="00836FEF">
        <w:rPr>
          <w:rFonts w:cs="Times New Roman"/>
          <w:szCs w:val="24"/>
        </w:rPr>
        <w:t>influenced by flow rate and nutrient management</w:t>
      </w:r>
      <w:r w:rsidRPr="00E825B8">
        <w:rPr>
          <w:rFonts w:cs="Times New Roman"/>
          <w:szCs w:val="24"/>
        </w:rPr>
        <w:t xml:space="preserve"> strategy rather than by system type alone (El-</w:t>
      </w:r>
      <w:proofErr w:type="spellStart"/>
      <w:r w:rsidRPr="00E825B8">
        <w:rPr>
          <w:rFonts w:cs="Times New Roman"/>
          <w:szCs w:val="24"/>
        </w:rPr>
        <w:t>Demerdash</w:t>
      </w:r>
      <w:proofErr w:type="spellEnd"/>
      <w:r w:rsidRPr="00E825B8">
        <w:rPr>
          <w:rFonts w:cs="Times New Roman"/>
          <w:szCs w:val="24"/>
        </w:rPr>
        <w:t xml:space="preserve"> et al., 2026).</w:t>
      </w:r>
    </w:p>
    <w:p w14:paraId="31F6A649" w14:textId="77777777" w:rsidR="00FC4B7F" w:rsidRPr="00E825B8" w:rsidRDefault="00000000">
      <w:pPr>
        <w:pStyle w:val="Heading2"/>
        <w:rPr>
          <w:rFonts w:ascii="Times New Roman" w:hAnsi="Times New Roman" w:cs="Times New Roman"/>
          <w:szCs w:val="24"/>
        </w:rPr>
      </w:pPr>
      <w:r w:rsidRPr="00E825B8">
        <w:rPr>
          <w:rFonts w:ascii="Times New Roman" w:hAnsi="Times New Roman" w:cs="Times New Roman"/>
          <w:szCs w:val="24"/>
        </w:rPr>
        <w:t>3.3 Electricity Requirement and Utility Cost</w:t>
      </w:r>
    </w:p>
    <w:p w14:paraId="5E55FD02" w14:textId="77777777" w:rsidR="00FC4B7F" w:rsidRPr="00E825B8" w:rsidRDefault="00E825B8">
      <w:pPr>
        <w:spacing w:after="60"/>
        <w:jc w:val="both"/>
        <w:rPr>
          <w:rFonts w:cs="Times New Roman"/>
          <w:szCs w:val="24"/>
        </w:rPr>
      </w:pPr>
      <w:r>
        <w:rPr>
          <w:rFonts w:cs="Times New Roman"/>
          <w:szCs w:val="24"/>
        </w:rPr>
        <w:tab/>
      </w:r>
      <w:r w:rsidRPr="00E825B8">
        <w:rPr>
          <w:rFonts w:cs="Times New Roman"/>
          <w:szCs w:val="24"/>
        </w:rPr>
        <w:t xml:space="preserve">Electricity was required continuously in NFT because the nutrient solution was recirculated by an electric pump. The resulting electricity cost was approximately ₱2.99 plant⁻¹. Kratky required no continuous electrical pumping. This difference illustrates an important distinction between passive and active hydroponic systems: passive systems can reduce dependence on electrical equipment, whereas recirculating systems require pumping and associated infrastructure. Published comparisons of hydroponic and soil-based lettuce production similarly identify energy and infrastructure as important components of system-level resource requirements (Barbosa et al., 2015; Niu &amp; </w:t>
      </w:r>
      <w:proofErr w:type="spellStart"/>
      <w:r w:rsidRPr="00E825B8">
        <w:rPr>
          <w:rFonts w:cs="Times New Roman"/>
          <w:szCs w:val="24"/>
        </w:rPr>
        <w:t>Masabni</w:t>
      </w:r>
      <w:proofErr w:type="spellEnd"/>
      <w:r w:rsidRPr="00E825B8">
        <w:rPr>
          <w:rFonts w:cs="Times New Roman"/>
          <w:szCs w:val="24"/>
        </w:rPr>
        <w:t>, 2022).</w:t>
      </w:r>
    </w:p>
    <w:p w14:paraId="23D8224D" w14:textId="77777777" w:rsidR="00FC4B7F" w:rsidRPr="00E825B8" w:rsidRDefault="00000000">
      <w:pPr>
        <w:pStyle w:val="Heading2"/>
        <w:rPr>
          <w:rFonts w:ascii="Times New Roman" w:hAnsi="Times New Roman" w:cs="Times New Roman"/>
          <w:szCs w:val="24"/>
        </w:rPr>
      </w:pPr>
      <w:r w:rsidRPr="00E825B8">
        <w:rPr>
          <w:rFonts w:ascii="Times New Roman" w:hAnsi="Times New Roman" w:cs="Times New Roman"/>
          <w:szCs w:val="24"/>
        </w:rPr>
        <w:t>3.4 Production Cost and Gross Income</w:t>
      </w:r>
    </w:p>
    <w:p w14:paraId="35A89F04" w14:textId="77777777" w:rsidR="00FC4B7F" w:rsidRPr="00E825B8" w:rsidRDefault="00E825B8">
      <w:pPr>
        <w:spacing w:after="60"/>
        <w:jc w:val="both"/>
        <w:rPr>
          <w:rFonts w:cs="Times New Roman"/>
          <w:szCs w:val="24"/>
        </w:rPr>
      </w:pPr>
      <w:r>
        <w:rPr>
          <w:rFonts w:cs="Times New Roman"/>
          <w:szCs w:val="24"/>
        </w:rPr>
        <w:tab/>
        <w:t xml:space="preserve">Table 1 </w:t>
      </w:r>
      <w:proofErr w:type="spellStart"/>
      <w:r>
        <w:rPr>
          <w:rFonts w:cs="Times New Roman"/>
          <w:szCs w:val="24"/>
          <w:highlight w:val="yellow"/>
        </w:rPr>
        <w:t>summarises</w:t>
      </w:r>
      <w:proofErr w:type="spellEnd"/>
      <w:r>
        <w:rPr>
          <w:rFonts w:cs="Times New Roman"/>
          <w:szCs w:val="24"/>
        </w:rPr>
        <w:t xml:space="preserve"> the yield and economic indicators. NFT generated the highest gross income at ₱46.56 plant⁻¹</w:t>
      </w:r>
      <w:r w:rsidR="00836FEF">
        <w:rPr>
          <w:rFonts w:cs="Times New Roman"/>
          <w:szCs w:val="24"/>
        </w:rPr>
        <w:t>, due to</w:t>
      </w:r>
      <w:r w:rsidRPr="00E825B8">
        <w:rPr>
          <w:rFonts w:cs="Times New Roman"/>
          <w:szCs w:val="24"/>
        </w:rPr>
        <w:t xml:space="preserve"> its higher fresh weight. Container gardening generated ₱26.17 plant⁻¹, Kratky ₱20.36 plant⁻¹, and conventional farming ₱11.06 plant⁻¹. The corresponding production-cost bases were ₱273.31, ₱29.75, ₱59.92, and ₱32.03 plant⁻¹, respectively. The pattern illustrates the central economic trade-off observed in other lettuce comparisons: higher-output hydroponic systems can also involve greater infrastructure and operating requirements (Maestre-Valero et al., 2018; Wang et al., 2023). Recent economic studies of hydroponic lettuce likewise demonstrate that ROI and payback depend strongly on the relationship between initial investment, recurring costs, production volume, and selling price (</w:t>
      </w:r>
      <w:proofErr w:type="spellStart"/>
      <w:r w:rsidRPr="00E825B8">
        <w:rPr>
          <w:rFonts w:cs="Times New Roman"/>
          <w:szCs w:val="24"/>
        </w:rPr>
        <w:t>Afriyanti</w:t>
      </w:r>
      <w:proofErr w:type="spellEnd"/>
      <w:r w:rsidRPr="00E825B8">
        <w:rPr>
          <w:rFonts w:cs="Times New Roman"/>
          <w:szCs w:val="24"/>
        </w:rPr>
        <w:t xml:space="preserve"> et al., 2024).</w:t>
      </w:r>
    </w:p>
    <w:tbl>
      <w:tblPr>
        <w:tblStyle w:val="TableGrid"/>
        <w:tblW w:w="0" w:type="auto"/>
        <w:jc w:val="center"/>
        <w:tblLook w:val="04A0" w:firstRow="1" w:lastRow="0" w:firstColumn="1" w:lastColumn="0" w:noHBand="0" w:noVBand="1"/>
      </w:tblPr>
      <w:tblGrid>
        <w:gridCol w:w="2733"/>
        <w:gridCol w:w="1476"/>
        <w:gridCol w:w="1285"/>
        <w:gridCol w:w="1174"/>
        <w:gridCol w:w="1258"/>
        <w:gridCol w:w="1117"/>
      </w:tblGrid>
      <w:tr w:rsidR="00836FEF" w:rsidRPr="00E825B8" w14:paraId="54453BD8" w14:textId="77777777" w:rsidTr="00836FEF">
        <w:trPr>
          <w:jc w:val="center"/>
        </w:trPr>
        <w:tc>
          <w:tcPr>
            <w:tcW w:w="2864" w:type="dxa"/>
            <w:vAlign w:val="center"/>
          </w:tcPr>
          <w:p w14:paraId="20E93B64" w14:textId="77777777" w:rsidR="00FC4B7F" w:rsidRPr="00836FEF" w:rsidRDefault="00000000" w:rsidP="00836FEF">
            <w:pPr>
              <w:pStyle w:val="NoSpacing"/>
              <w:jc w:val="center"/>
              <w:rPr>
                <w:rFonts w:ascii="Times New Roman" w:hAnsi="Times New Roman" w:cs="Times New Roman"/>
                <w:b/>
                <w:bCs/>
              </w:rPr>
            </w:pPr>
            <w:r w:rsidRPr="00836FEF">
              <w:rPr>
                <w:rFonts w:ascii="Times New Roman" w:hAnsi="Times New Roman" w:cs="Times New Roman"/>
                <w:b/>
                <w:bCs/>
              </w:rPr>
              <w:t>Indicator</w:t>
            </w:r>
          </w:p>
        </w:tc>
        <w:tc>
          <w:tcPr>
            <w:tcW w:w="1476" w:type="dxa"/>
            <w:vAlign w:val="center"/>
          </w:tcPr>
          <w:p w14:paraId="2E982420" w14:textId="77777777" w:rsidR="00FC4B7F" w:rsidRPr="00836FEF" w:rsidRDefault="00000000" w:rsidP="00836FEF">
            <w:pPr>
              <w:pStyle w:val="NoSpacing"/>
              <w:jc w:val="center"/>
              <w:rPr>
                <w:rFonts w:ascii="Times New Roman" w:hAnsi="Times New Roman" w:cs="Times New Roman"/>
                <w:b/>
                <w:bCs/>
              </w:rPr>
            </w:pPr>
            <w:r w:rsidRPr="00836FEF">
              <w:rPr>
                <w:rFonts w:ascii="Times New Roman" w:hAnsi="Times New Roman" w:cs="Times New Roman"/>
                <w:b/>
                <w:bCs/>
              </w:rPr>
              <w:t>T1 Conventional</w:t>
            </w:r>
          </w:p>
        </w:tc>
        <w:tc>
          <w:tcPr>
            <w:tcW w:w="1297" w:type="dxa"/>
            <w:vAlign w:val="center"/>
          </w:tcPr>
          <w:p w14:paraId="1DAEAD54" w14:textId="77777777" w:rsidR="00FC4B7F" w:rsidRPr="00836FEF" w:rsidRDefault="00000000" w:rsidP="00836FEF">
            <w:pPr>
              <w:pStyle w:val="NoSpacing"/>
              <w:jc w:val="center"/>
              <w:rPr>
                <w:rFonts w:ascii="Times New Roman" w:hAnsi="Times New Roman" w:cs="Times New Roman"/>
                <w:b/>
                <w:bCs/>
              </w:rPr>
            </w:pPr>
            <w:r w:rsidRPr="00836FEF">
              <w:rPr>
                <w:rFonts w:ascii="Times New Roman" w:hAnsi="Times New Roman" w:cs="Times New Roman"/>
                <w:b/>
                <w:bCs/>
              </w:rPr>
              <w:t>T2 Container</w:t>
            </w:r>
          </w:p>
        </w:tc>
        <w:tc>
          <w:tcPr>
            <w:tcW w:w="1203" w:type="dxa"/>
            <w:vAlign w:val="center"/>
          </w:tcPr>
          <w:p w14:paraId="513C30DA" w14:textId="77777777" w:rsidR="00836FEF" w:rsidRPr="00836FEF" w:rsidRDefault="00000000" w:rsidP="00836FEF">
            <w:pPr>
              <w:pStyle w:val="NoSpacing"/>
              <w:jc w:val="center"/>
              <w:rPr>
                <w:rFonts w:ascii="Times New Roman" w:hAnsi="Times New Roman" w:cs="Times New Roman"/>
                <w:b/>
                <w:bCs/>
              </w:rPr>
            </w:pPr>
            <w:r w:rsidRPr="00836FEF">
              <w:rPr>
                <w:rFonts w:ascii="Times New Roman" w:hAnsi="Times New Roman" w:cs="Times New Roman"/>
                <w:b/>
                <w:bCs/>
              </w:rPr>
              <w:t>T3</w:t>
            </w:r>
          </w:p>
          <w:p w14:paraId="0D2B0406" w14:textId="77777777" w:rsidR="00FC4B7F" w:rsidRPr="00836FEF" w:rsidRDefault="00000000" w:rsidP="00836FEF">
            <w:pPr>
              <w:pStyle w:val="NoSpacing"/>
              <w:jc w:val="center"/>
              <w:rPr>
                <w:rFonts w:ascii="Times New Roman" w:hAnsi="Times New Roman" w:cs="Times New Roman"/>
                <w:b/>
                <w:bCs/>
              </w:rPr>
            </w:pPr>
            <w:r w:rsidRPr="00836FEF">
              <w:rPr>
                <w:rFonts w:ascii="Times New Roman" w:hAnsi="Times New Roman" w:cs="Times New Roman"/>
                <w:b/>
                <w:bCs/>
              </w:rPr>
              <w:t>Kratky</w:t>
            </w:r>
          </w:p>
        </w:tc>
        <w:tc>
          <w:tcPr>
            <w:tcW w:w="1284" w:type="dxa"/>
            <w:vAlign w:val="center"/>
          </w:tcPr>
          <w:p w14:paraId="46461213" w14:textId="77777777" w:rsidR="00836FEF" w:rsidRPr="00836FEF" w:rsidRDefault="00000000" w:rsidP="00836FEF">
            <w:pPr>
              <w:pStyle w:val="NoSpacing"/>
              <w:jc w:val="center"/>
              <w:rPr>
                <w:rFonts w:ascii="Times New Roman" w:hAnsi="Times New Roman" w:cs="Times New Roman"/>
                <w:b/>
                <w:bCs/>
              </w:rPr>
            </w:pPr>
            <w:r w:rsidRPr="00836FEF">
              <w:rPr>
                <w:rFonts w:ascii="Times New Roman" w:hAnsi="Times New Roman" w:cs="Times New Roman"/>
                <w:b/>
                <w:bCs/>
              </w:rPr>
              <w:t>T4</w:t>
            </w:r>
          </w:p>
          <w:p w14:paraId="09305014" w14:textId="77777777" w:rsidR="00FC4B7F" w:rsidRPr="00836FEF" w:rsidRDefault="00000000" w:rsidP="00836FEF">
            <w:pPr>
              <w:pStyle w:val="NoSpacing"/>
              <w:jc w:val="center"/>
              <w:rPr>
                <w:rFonts w:ascii="Times New Roman" w:hAnsi="Times New Roman" w:cs="Times New Roman"/>
                <w:b/>
                <w:bCs/>
              </w:rPr>
            </w:pPr>
            <w:r w:rsidRPr="00836FEF">
              <w:rPr>
                <w:rFonts w:ascii="Times New Roman" w:hAnsi="Times New Roman" w:cs="Times New Roman"/>
                <w:b/>
                <w:bCs/>
              </w:rPr>
              <w:t>NFT</w:t>
            </w:r>
          </w:p>
        </w:tc>
        <w:tc>
          <w:tcPr>
            <w:tcW w:w="1145" w:type="dxa"/>
            <w:vAlign w:val="center"/>
          </w:tcPr>
          <w:p w14:paraId="1D7CB555" w14:textId="77777777" w:rsidR="00FC4B7F" w:rsidRPr="00836FEF" w:rsidRDefault="00000000" w:rsidP="00836FEF">
            <w:pPr>
              <w:pStyle w:val="NoSpacing"/>
              <w:jc w:val="center"/>
              <w:rPr>
                <w:rFonts w:ascii="Times New Roman" w:hAnsi="Times New Roman" w:cs="Times New Roman"/>
                <w:b/>
                <w:bCs/>
              </w:rPr>
            </w:pPr>
            <w:r w:rsidRPr="00836FEF">
              <w:rPr>
                <w:rFonts w:ascii="Times New Roman" w:hAnsi="Times New Roman" w:cs="Times New Roman"/>
                <w:b/>
                <w:bCs/>
              </w:rPr>
              <w:t>Unit</w:t>
            </w:r>
          </w:p>
        </w:tc>
      </w:tr>
      <w:tr w:rsidR="00836FEF" w:rsidRPr="00E825B8" w14:paraId="74D807AD" w14:textId="77777777" w:rsidTr="00836FEF">
        <w:trPr>
          <w:jc w:val="center"/>
        </w:trPr>
        <w:tc>
          <w:tcPr>
            <w:tcW w:w="2864" w:type="dxa"/>
          </w:tcPr>
          <w:p w14:paraId="7F15AF9F" w14:textId="77777777" w:rsidR="00FC4B7F" w:rsidRPr="00E825B8" w:rsidRDefault="00000000">
            <w:pPr>
              <w:rPr>
                <w:rFonts w:cs="Times New Roman"/>
                <w:szCs w:val="24"/>
              </w:rPr>
            </w:pPr>
            <w:r w:rsidRPr="00E825B8">
              <w:rPr>
                <w:rFonts w:cs="Times New Roman"/>
                <w:szCs w:val="24"/>
              </w:rPr>
              <w:t>Fresh weight</w:t>
            </w:r>
          </w:p>
        </w:tc>
        <w:tc>
          <w:tcPr>
            <w:tcW w:w="1476" w:type="dxa"/>
            <w:vAlign w:val="center"/>
          </w:tcPr>
          <w:p w14:paraId="7DFF6503" w14:textId="77777777" w:rsidR="00FC4B7F" w:rsidRPr="00E825B8" w:rsidRDefault="00000000" w:rsidP="00836FEF">
            <w:pPr>
              <w:jc w:val="center"/>
              <w:rPr>
                <w:rFonts w:cs="Times New Roman"/>
                <w:szCs w:val="24"/>
              </w:rPr>
            </w:pPr>
            <w:r w:rsidRPr="00E825B8">
              <w:rPr>
                <w:rFonts w:cs="Times New Roman"/>
                <w:szCs w:val="24"/>
              </w:rPr>
              <w:t>31.60</w:t>
            </w:r>
          </w:p>
        </w:tc>
        <w:tc>
          <w:tcPr>
            <w:tcW w:w="1297" w:type="dxa"/>
            <w:vAlign w:val="center"/>
          </w:tcPr>
          <w:p w14:paraId="49D326D7" w14:textId="77777777" w:rsidR="00FC4B7F" w:rsidRPr="00E825B8" w:rsidRDefault="00000000" w:rsidP="00836FEF">
            <w:pPr>
              <w:jc w:val="center"/>
              <w:rPr>
                <w:rFonts w:cs="Times New Roman"/>
                <w:szCs w:val="24"/>
              </w:rPr>
            </w:pPr>
            <w:r w:rsidRPr="00E825B8">
              <w:rPr>
                <w:rFonts w:cs="Times New Roman"/>
                <w:szCs w:val="24"/>
              </w:rPr>
              <w:t>74.77</w:t>
            </w:r>
          </w:p>
        </w:tc>
        <w:tc>
          <w:tcPr>
            <w:tcW w:w="1203" w:type="dxa"/>
            <w:vAlign w:val="center"/>
          </w:tcPr>
          <w:p w14:paraId="4485DE99" w14:textId="77777777" w:rsidR="00FC4B7F" w:rsidRPr="00E825B8" w:rsidRDefault="00000000" w:rsidP="00836FEF">
            <w:pPr>
              <w:jc w:val="center"/>
              <w:rPr>
                <w:rFonts w:cs="Times New Roman"/>
                <w:szCs w:val="24"/>
              </w:rPr>
            </w:pPr>
            <w:r w:rsidRPr="00E825B8">
              <w:rPr>
                <w:rFonts w:cs="Times New Roman"/>
                <w:szCs w:val="24"/>
              </w:rPr>
              <w:t>58.17</w:t>
            </w:r>
          </w:p>
        </w:tc>
        <w:tc>
          <w:tcPr>
            <w:tcW w:w="1284" w:type="dxa"/>
            <w:vAlign w:val="center"/>
          </w:tcPr>
          <w:p w14:paraId="5EB95AEA" w14:textId="77777777" w:rsidR="00FC4B7F" w:rsidRPr="00E825B8" w:rsidRDefault="00000000" w:rsidP="00836FEF">
            <w:pPr>
              <w:jc w:val="center"/>
              <w:rPr>
                <w:rFonts w:cs="Times New Roman"/>
                <w:szCs w:val="24"/>
              </w:rPr>
            </w:pPr>
            <w:r w:rsidRPr="00E825B8">
              <w:rPr>
                <w:rFonts w:cs="Times New Roman"/>
                <w:szCs w:val="24"/>
              </w:rPr>
              <w:t>133.04</w:t>
            </w:r>
          </w:p>
        </w:tc>
        <w:tc>
          <w:tcPr>
            <w:tcW w:w="1145" w:type="dxa"/>
            <w:vAlign w:val="center"/>
          </w:tcPr>
          <w:p w14:paraId="07E199DA" w14:textId="77777777" w:rsidR="00FC4B7F" w:rsidRPr="00E825B8" w:rsidRDefault="00000000" w:rsidP="00836FEF">
            <w:pPr>
              <w:jc w:val="center"/>
              <w:rPr>
                <w:rFonts w:cs="Times New Roman"/>
                <w:szCs w:val="24"/>
              </w:rPr>
            </w:pPr>
            <w:r w:rsidRPr="00E825B8">
              <w:rPr>
                <w:rFonts w:cs="Times New Roman"/>
                <w:szCs w:val="24"/>
              </w:rPr>
              <w:t>g plant⁻¹</w:t>
            </w:r>
          </w:p>
        </w:tc>
      </w:tr>
      <w:tr w:rsidR="00836FEF" w:rsidRPr="00E825B8" w14:paraId="0798DBF8" w14:textId="77777777" w:rsidTr="00836FEF">
        <w:trPr>
          <w:jc w:val="center"/>
        </w:trPr>
        <w:tc>
          <w:tcPr>
            <w:tcW w:w="2864" w:type="dxa"/>
          </w:tcPr>
          <w:p w14:paraId="1EAB5CA1" w14:textId="77777777" w:rsidR="00FC4B7F" w:rsidRPr="00E825B8" w:rsidRDefault="00000000">
            <w:pPr>
              <w:rPr>
                <w:rFonts w:cs="Times New Roman"/>
                <w:szCs w:val="24"/>
              </w:rPr>
            </w:pPr>
            <w:r w:rsidRPr="00E825B8">
              <w:rPr>
                <w:rFonts w:cs="Times New Roman"/>
                <w:szCs w:val="24"/>
              </w:rPr>
              <w:t>Gross income</w:t>
            </w:r>
          </w:p>
        </w:tc>
        <w:tc>
          <w:tcPr>
            <w:tcW w:w="1476" w:type="dxa"/>
            <w:vAlign w:val="center"/>
          </w:tcPr>
          <w:p w14:paraId="2F0D4BCE" w14:textId="77777777" w:rsidR="00FC4B7F" w:rsidRPr="00E825B8" w:rsidRDefault="00000000" w:rsidP="00836FEF">
            <w:pPr>
              <w:jc w:val="center"/>
              <w:rPr>
                <w:rFonts w:cs="Times New Roman"/>
                <w:szCs w:val="24"/>
              </w:rPr>
            </w:pPr>
            <w:r w:rsidRPr="00E825B8">
              <w:rPr>
                <w:rFonts w:cs="Times New Roman"/>
                <w:szCs w:val="24"/>
              </w:rPr>
              <w:t>11.06</w:t>
            </w:r>
          </w:p>
        </w:tc>
        <w:tc>
          <w:tcPr>
            <w:tcW w:w="1297" w:type="dxa"/>
            <w:vAlign w:val="center"/>
          </w:tcPr>
          <w:p w14:paraId="2C21E3F8" w14:textId="77777777" w:rsidR="00FC4B7F" w:rsidRPr="00E825B8" w:rsidRDefault="00000000" w:rsidP="00836FEF">
            <w:pPr>
              <w:jc w:val="center"/>
              <w:rPr>
                <w:rFonts w:cs="Times New Roman"/>
                <w:szCs w:val="24"/>
              </w:rPr>
            </w:pPr>
            <w:r w:rsidRPr="00E825B8">
              <w:rPr>
                <w:rFonts w:cs="Times New Roman"/>
                <w:szCs w:val="24"/>
              </w:rPr>
              <w:t>26.17</w:t>
            </w:r>
          </w:p>
        </w:tc>
        <w:tc>
          <w:tcPr>
            <w:tcW w:w="1203" w:type="dxa"/>
            <w:vAlign w:val="center"/>
          </w:tcPr>
          <w:p w14:paraId="2B337B89" w14:textId="77777777" w:rsidR="00FC4B7F" w:rsidRPr="00E825B8" w:rsidRDefault="00000000" w:rsidP="00836FEF">
            <w:pPr>
              <w:jc w:val="center"/>
              <w:rPr>
                <w:rFonts w:cs="Times New Roman"/>
                <w:szCs w:val="24"/>
              </w:rPr>
            </w:pPr>
            <w:r w:rsidRPr="00E825B8">
              <w:rPr>
                <w:rFonts w:cs="Times New Roman"/>
                <w:szCs w:val="24"/>
              </w:rPr>
              <w:t>20.36</w:t>
            </w:r>
          </w:p>
        </w:tc>
        <w:tc>
          <w:tcPr>
            <w:tcW w:w="1284" w:type="dxa"/>
            <w:vAlign w:val="center"/>
          </w:tcPr>
          <w:p w14:paraId="7116F375" w14:textId="77777777" w:rsidR="00FC4B7F" w:rsidRPr="00E825B8" w:rsidRDefault="00000000" w:rsidP="00836FEF">
            <w:pPr>
              <w:jc w:val="center"/>
              <w:rPr>
                <w:rFonts w:cs="Times New Roman"/>
                <w:szCs w:val="24"/>
              </w:rPr>
            </w:pPr>
            <w:r w:rsidRPr="00E825B8">
              <w:rPr>
                <w:rFonts w:cs="Times New Roman"/>
                <w:szCs w:val="24"/>
              </w:rPr>
              <w:t>46.56</w:t>
            </w:r>
          </w:p>
        </w:tc>
        <w:tc>
          <w:tcPr>
            <w:tcW w:w="1145" w:type="dxa"/>
            <w:vAlign w:val="center"/>
          </w:tcPr>
          <w:p w14:paraId="1886D4A7" w14:textId="77777777" w:rsidR="00FC4B7F" w:rsidRPr="00E825B8" w:rsidRDefault="00000000" w:rsidP="00836FEF">
            <w:pPr>
              <w:jc w:val="center"/>
              <w:rPr>
                <w:rFonts w:cs="Times New Roman"/>
                <w:szCs w:val="24"/>
              </w:rPr>
            </w:pPr>
            <w:r w:rsidRPr="00E825B8">
              <w:rPr>
                <w:rFonts w:cs="Times New Roman"/>
                <w:szCs w:val="24"/>
              </w:rPr>
              <w:t>₱ plant⁻¹</w:t>
            </w:r>
          </w:p>
        </w:tc>
      </w:tr>
      <w:tr w:rsidR="00836FEF" w:rsidRPr="00E825B8" w14:paraId="4E0408D6" w14:textId="77777777" w:rsidTr="00836FEF">
        <w:trPr>
          <w:jc w:val="center"/>
        </w:trPr>
        <w:tc>
          <w:tcPr>
            <w:tcW w:w="2864" w:type="dxa"/>
          </w:tcPr>
          <w:p w14:paraId="0E3B6FA5" w14:textId="77777777" w:rsidR="00FC4B7F" w:rsidRPr="00E825B8" w:rsidRDefault="00000000">
            <w:pPr>
              <w:rPr>
                <w:rFonts w:cs="Times New Roman"/>
                <w:szCs w:val="24"/>
              </w:rPr>
            </w:pPr>
            <w:r w:rsidRPr="00E825B8">
              <w:rPr>
                <w:rFonts w:cs="Times New Roman"/>
                <w:szCs w:val="24"/>
              </w:rPr>
              <w:t>Production-cost basis</w:t>
            </w:r>
          </w:p>
        </w:tc>
        <w:tc>
          <w:tcPr>
            <w:tcW w:w="1476" w:type="dxa"/>
            <w:vAlign w:val="center"/>
          </w:tcPr>
          <w:p w14:paraId="1936C969" w14:textId="77777777" w:rsidR="00FC4B7F" w:rsidRPr="00E825B8" w:rsidRDefault="00000000" w:rsidP="00836FEF">
            <w:pPr>
              <w:jc w:val="center"/>
              <w:rPr>
                <w:rFonts w:cs="Times New Roman"/>
                <w:szCs w:val="24"/>
              </w:rPr>
            </w:pPr>
            <w:r w:rsidRPr="00E825B8">
              <w:rPr>
                <w:rFonts w:cs="Times New Roman"/>
                <w:szCs w:val="24"/>
              </w:rPr>
              <w:t>32.03</w:t>
            </w:r>
          </w:p>
        </w:tc>
        <w:tc>
          <w:tcPr>
            <w:tcW w:w="1297" w:type="dxa"/>
            <w:vAlign w:val="center"/>
          </w:tcPr>
          <w:p w14:paraId="65D98B06" w14:textId="77777777" w:rsidR="00FC4B7F" w:rsidRPr="00E825B8" w:rsidRDefault="00000000" w:rsidP="00836FEF">
            <w:pPr>
              <w:jc w:val="center"/>
              <w:rPr>
                <w:rFonts w:cs="Times New Roman"/>
                <w:szCs w:val="24"/>
              </w:rPr>
            </w:pPr>
            <w:r w:rsidRPr="00E825B8">
              <w:rPr>
                <w:rFonts w:cs="Times New Roman"/>
                <w:szCs w:val="24"/>
              </w:rPr>
              <w:t>29.75</w:t>
            </w:r>
          </w:p>
        </w:tc>
        <w:tc>
          <w:tcPr>
            <w:tcW w:w="1203" w:type="dxa"/>
            <w:vAlign w:val="center"/>
          </w:tcPr>
          <w:p w14:paraId="65B742C3" w14:textId="77777777" w:rsidR="00FC4B7F" w:rsidRPr="00E825B8" w:rsidRDefault="00000000" w:rsidP="00836FEF">
            <w:pPr>
              <w:jc w:val="center"/>
              <w:rPr>
                <w:rFonts w:cs="Times New Roman"/>
                <w:szCs w:val="24"/>
              </w:rPr>
            </w:pPr>
            <w:r w:rsidRPr="00E825B8">
              <w:rPr>
                <w:rFonts w:cs="Times New Roman"/>
                <w:szCs w:val="24"/>
              </w:rPr>
              <w:t>59.92</w:t>
            </w:r>
          </w:p>
        </w:tc>
        <w:tc>
          <w:tcPr>
            <w:tcW w:w="1284" w:type="dxa"/>
            <w:vAlign w:val="center"/>
          </w:tcPr>
          <w:p w14:paraId="42892E06" w14:textId="77777777" w:rsidR="00FC4B7F" w:rsidRPr="00E825B8" w:rsidRDefault="00000000" w:rsidP="00836FEF">
            <w:pPr>
              <w:jc w:val="center"/>
              <w:rPr>
                <w:rFonts w:cs="Times New Roman"/>
                <w:szCs w:val="24"/>
              </w:rPr>
            </w:pPr>
            <w:r w:rsidRPr="00E825B8">
              <w:rPr>
                <w:rFonts w:cs="Times New Roman"/>
                <w:szCs w:val="24"/>
              </w:rPr>
              <w:t>273.31</w:t>
            </w:r>
          </w:p>
        </w:tc>
        <w:tc>
          <w:tcPr>
            <w:tcW w:w="1145" w:type="dxa"/>
            <w:vAlign w:val="center"/>
          </w:tcPr>
          <w:p w14:paraId="23B76756" w14:textId="77777777" w:rsidR="00FC4B7F" w:rsidRPr="00E825B8" w:rsidRDefault="00000000" w:rsidP="00836FEF">
            <w:pPr>
              <w:jc w:val="center"/>
              <w:rPr>
                <w:rFonts w:cs="Times New Roman"/>
                <w:szCs w:val="24"/>
              </w:rPr>
            </w:pPr>
            <w:r w:rsidRPr="00E825B8">
              <w:rPr>
                <w:rFonts w:cs="Times New Roman"/>
                <w:szCs w:val="24"/>
              </w:rPr>
              <w:t>₱ plant⁻¹</w:t>
            </w:r>
          </w:p>
        </w:tc>
      </w:tr>
      <w:tr w:rsidR="00836FEF" w:rsidRPr="00E825B8" w14:paraId="2B9D4532" w14:textId="77777777" w:rsidTr="00836FEF">
        <w:trPr>
          <w:jc w:val="center"/>
        </w:trPr>
        <w:tc>
          <w:tcPr>
            <w:tcW w:w="2864" w:type="dxa"/>
          </w:tcPr>
          <w:p w14:paraId="0BD3D53C" w14:textId="77777777" w:rsidR="00FC4B7F" w:rsidRPr="00E825B8" w:rsidRDefault="00000000">
            <w:pPr>
              <w:rPr>
                <w:rFonts w:cs="Times New Roman"/>
                <w:szCs w:val="24"/>
              </w:rPr>
            </w:pPr>
            <w:r w:rsidRPr="00E825B8">
              <w:rPr>
                <w:rFonts w:cs="Times New Roman"/>
                <w:szCs w:val="24"/>
              </w:rPr>
              <w:lastRenderedPageBreak/>
              <w:t>First-cycle net income</w:t>
            </w:r>
          </w:p>
        </w:tc>
        <w:tc>
          <w:tcPr>
            <w:tcW w:w="1476" w:type="dxa"/>
            <w:vAlign w:val="center"/>
          </w:tcPr>
          <w:p w14:paraId="58A809F4" w14:textId="77777777" w:rsidR="00FC4B7F" w:rsidRPr="00E825B8" w:rsidRDefault="00000000" w:rsidP="00836FEF">
            <w:pPr>
              <w:jc w:val="center"/>
              <w:rPr>
                <w:rFonts w:cs="Times New Roman"/>
                <w:szCs w:val="24"/>
              </w:rPr>
            </w:pPr>
            <w:r w:rsidRPr="00E825B8">
              <w:rPr>
                <w:rFonts w:cs="Times New Roman"/>
                <w:szCs w:val="24"/>
              </w:rPr>
              <w:t>−20.97</w:t>
            </w:r>
          </w:p>
        </w:tc>
        <w:tc>
          <w:tcPr>
            <w:tcW w:w="1297" w:type="dxa"/>
            <w:vAlign w:val="center"/>
          </w:tcPr>
          <w:p w14:paraId="4192C775" w14:textId="77777777" w:rsidR="00FC4B7F" w:rsidRPr="00E825B8" w:rsidRDefault="00000000" w:rsidP="00836FEF">
            <w:pPr>
              <w:jc w:val="center"/>
              <w:rPr>
                <w:rFonts w:cs="Times New Roman"/>
                <w:szCs w:val="24"/>
              </w:rPr>
            </w:pPr>
            <w:r w:rsidRPr="00E825B8">
              <w:rPr>
                <w:rFonts w:cs="Times New Roman"/>
                <w:szCs w:val="24"/>
              </w:rPr>
              <w:t>−3.58</w:t>
            </w:r>
          </w:p>
        </w:tc>
        <w:tc>
          <w:tcPr>
            <w:tcW w:w="1203" w:type="dxa"/>
            <w:vAlign w:val="center"/>
          </w:tcPr>
          <w:p w14:paraId="36FAA9F9" w14:textId="77777777" w:rsidR="00FC4B7F" w:rsidRPr="00E825B8" w:rsidRDefault="00000000" w:rsidP="00836FEF">
            <w:pPr>
              <w:jc w:val="center"/>
              <w:rPr>
                <w:rFonts w:cs="Times New Roman"/>
                <w:szCs w:val="24"/>
              </w:rPr>
            </w:pPr>
            <w:r w:rsidRPr="00E825B8">
              <w:rPr>
                <w:rFonts w:cs="Times New Roman"/>
                <w:szCs w:val="24"/>
              </w:rPr>
              <w:t>−39.56</w:t>
            </w:r>
          </w:p>
        </w:tc>
        <w:tc>
          <w:tcPr>
            <w:tcW w:w="1284" w:type="dxa"/>
            <w:vAlign w:val="center"/>
          </w:tcPr>
          <w:p w14:paraId="49578076" w14:textId="77777777" w:rsidR="00FC4B7F" w:rsidRPr="00E825B8" w:rsidRDefault="00000000" w:rsidP="00836FEF">
            <w:pPr>
              <w:jc w:val="center"/>
              <w:rPr>
                <w:rFonts w:cs="Times New Roman"/>
                <w:szCs w:val="24"/>
              </w:rPr>
            </w:pPr>
            <w:r w:rsidRPr="00E825B8">
              <w:rPr>
                <w:rFonts w:cs="Times New Roman"/>
                <w:szCs w:val="24"/>
              </w:rPr>
              <w:t>−226.75</w:t>
            </w:r>
          </w:p>
        </w:tc>
        <w:tc>
          <w:tcPr>
            <w:tcW w:w="1145" w:type="dxa"/>
            <w:vAlign w:val="center"/>
          </w:tcPr>
          <w:p w14:paraId="3CE801E3" w14:textId="77777777" w:rsidR="00FC4B7F" w:rsidRPr="00E825B8" w:rsidRDefault="00000000" w:rsidP="00836FEF">
            <w:pPr>
              <w:jc w:val="center"/>
              <w:rPr>
                <w:rFonts w:cs="Times New Roman"/>
                <w:szCs w:val="24"/>
              </w:rPr>
            </w:pPr>
            <w:r w:rsidRPr="00E825B8">
              <w:rPr>
                <w:rFonts w:cs="Times New Roman"/>
                <w:szCs w:val="24"/>
              </w:rPr>
              <w:t>₱ plant⁻¹</w:t>
            </w:r>
          </w:p>
        </w:tc>
      </w:tr>
      <w:tr w:rsidR="00836FEF" w:rsidRPr="00E825B8" w14:paraId="4C3846A7" w14:textId="77777777" w:rsidTr="00836FEF">
        <w:trPr>
          <w:jc w:val="center"/>
        </w:trPr>
        <w:tc>
          <w:tcPr>
            <w:tcW w:w="2864" w:type="dxa"/>
          </w:tcPr>
          <w:p w14:paraId="4B745FF0" w14:textId="77777777" w:rsidR="00FC4B7F" w:rsidRPr="00E825B8" w:rsidRDefault="00000000">
            <w:pPr>
              <w:rPr>
                <w:rFonts w:cs="Times New Roman"/>
                <w:szCs w:val="24"/>
              </w:rPr>
            </w:pPr>
            <w:r w:rsidRPr="00E825B8">
              <w:rPr>
                <w:rFonts w:cs="Times New Roman"/>
                <w:szCs w:val="24"/>
              </w:rPr>
              <w:t>First-cycle ROI</w:t>
            </w:r>
          </w:p>
        </w:tc>
        <w:tc>
          <w:tcPr>
            <w:tcW w:w="1476" w:type="dxa"/>
            <w:vAlign w:val="center"/>
          </w:tcPr>
          <w:p w14:paraId="4A914CAF" w14:textId="77777777" w:rsidR="00FC4B7F" w:rsidRPr="00E825B8" w:rsidRDefault="00000000" w:rsidP="00836FEF">
            <w:pPr>
              <w:jc w:val="center"/>
              <w:rPr>
                <w:rFonts w:cs="Times New Roman"/>
                <w:szCs w:val="24"/>
              </w:rPr>
            </w:pPr>
            <w:r w:rsidRPr="00E825B8">
              <w:rPr>
                <w:rFonts w:cs="Times New Roman"/>
                <w:szCs w:val="24"/>
              </w:rPr>
              <w:t>−65.47</w:t>
            </w:r>
          </w:p>
        </w:tc>
        <w:tc>
          <w:tcPr>
            <w:tcW w:w="1297" w:type="dxa"/>
            <w:vAlign w:val="center"/>
          </w:tcPr>
          <w:p w14:paraId="4337AEE4" w14:textId="77777777" w:rsidR="00FC4B7F" w:rsidRPr="00E825B8" w:rsidRDefault="00000000" w:rsidP="00836FEF">
            <w:pPr>
              <w:jc w:val="center"/>
              <w:rPr>
                <w:rFonts w:cs="Times New Roman"/>
                <w:szCs w:val="24"/>
              </w:rPr>
            </w:pPr>
            <w:r w:rsidRPr="00E825B8">
              <w:rPr>
                <w:rFonts w:cs="Times New Roman"/>
                <w:szCs w:val="24"/>
              </w:rPr>
              <w:t>−12.03</w:t>
            </w:r>
          </w:p>
        </w:tc>
        <w:tc>
          <w:tcPr>
            <w:tcW w:w="1203" w:type="dxa"/>
            <w:vAlign w:val="center"/>
          </w:tcPr>
          <w:p w14:paraId="4A3D2816" w14:textId="77777777" w:rsidR="00FC4B7F" w:rsidRPr="00E825B8" w:rsidRDefault="00000000" w:rsidP="00836FEF">
            <w:pPr>
              <w:jc w:val="center"/>
              <w:rPr>
                <w:rFonts w:cs="Times New Roman"/>
                <w:szCs w:val="24"/>
              </w:rPr>
            </w:pPr>
            <w:r w:rsidRPr="00E825B8">
              <w:rPr>
                <w:rFonts w:cs="Times New Roman"/>
                <w:szCs w:val="24"/>
              </w:rPr>
              <w:t>−66.02</w:t>
            </w:r>
          </w:p>
        </w:tc>
        <w:tc>
          <w:tcPr>
            <w:tcW w:w="1284" w:type="dxa"/>
            <w:vAlign w:val="center"/>
          </w:tcPr>
          <w:p w14:paraId="2737A3DE" w14:textId="77777777" w:rsidR="00FC4B7F" w:rsidRPr="00E825B8" w:rsidRDefault="00000000" w:rsidP="00836FEF">
            <w:pPr>
              <w:jc w:val="center"/>
              <w:rPr>
                <w:rFonts w:cs="Times New Roman"/>
                <w:szCs w:val="24"/>
              </w:rPr>
            </w:pPr>
            <w:r w:rsidRPr="00E825B8">
              <w:rPr>
                <w:rFonts w:cs="Times New Roman"/>
                <w:szCs w:val="24"/>
              </w:rPr>
              <w:t>−82.96</w:t>
            </w:r>
          </w:p>
        </w:tc>
        <w:tc>
          <w:tcPr>
            <w:tcW w:w="1145" w:type="dxa"/>
            <w:vAlign w:val="center"/>
          </w:tcPr>
          <w:p w14:paraId="1C964741" w14:textId="77777777" w:rsidR="00FC4B7F" w:rsidRPr="00E825B8" w:rsidRDefault="00000000" w:rsidP="00836FEF">
            <w:pPr>
              <w:jc w:val="center"/>
              <w:rPr>
                <w:rFonts w:cs="Times New Roman"/>
                <w:szCs w:val="24"/>
              </w:rPr>
            </w:pPr>
            <w:r w:rsidRPr="00E825B8">
              <w:rPr>
                <w:rFonts w:cs="Times New Roman"/>
                <w:szCs w:val="24"/>
              </w:rPr>
              <w:t>%</w:t>
            </w:r>
          </w:p>
        </w:tc>
      </w:tr>
      <w:tr w:rsidR="00836FEF" w:rsidRPr="00E825B8" w14:paraId="073A7274" w14:textId="77777777" w:rsidTr="00836FEF">
        <w:trPr>
          <w:jc w:val="center"/>
        </w:trPr>
        <w:tc>
          <w:tcPr>
            <w:tcW w:w="2864" w:type="dxa"/>
          </w:tcPr>
          <w:p w14:paraId="25FB5DCB" w14:textId="77777777" w:rsidR="00FC4B7F" w:rsidRPr="00E825B8" w:rsidRDefault="00000000">
            <w:pPr>
              <w:rPr>
                <w:rFonts w:cs="Times New Roman"/>
                <w:szCs w:val="24"/>
              </w:rPr>
            </w:pPr>
            <w:r w:rsidRPr="00E825B8">
              <w:rPr>
                <w:rFonts w:cs="Times New Roman"/>
                <w:szCs w:val="24"/>
              </w:rPr>
              <w:t>Investment recovery period</w:t>
            </w:r>
          </w:p>
        </w:tc>
        <w:tc>
          <w:tcPr>
            <w:tcW w:w="1476" w:type="dxa"/>
            <w:vAlign w:val="center"/>
          </w:tcPr>
          <w:p w14:paraId="374A0884" w14:textId="77777777" w:rsidR="00FC4B7F" w:rsidRPr="00E825B8" w:rsidRDefault="00000000" w:rsidP="00836FEF">
            <w:pPr>
              <w:jc w:val="center"/>
              <w:rPr>
                <w:rFonts w:cs="Times New Roman"/>
                <w:szCs w:val="24"/>
              </w:rPr>
            </w:pPr>
            <w:r w:rsidRPr="00E825B8">
              <w:rPr>
                <w:rFonts w:cs="Times New Roman"/>
                <w:szCs w:val="24"/>
              </w:rPr>
              <w:t>2.90</w:t>
            </w:r>
          </w:p>
        </w:tc>
        <w:tc>
          <w:tcPr>
            <w:tcW w:w="1297" w:type="dxa"/>
            <w:vAlign w:val="center"/>
          </w:tcPr>
          <w:p w14:paraId="2E358CA4" w14:textId="77777777" w:rsidR="00FC4B7F" w:rsidRPr="00E825B8" w:rsidRDefault="00000000" w:rsidP="00836FEF">
            <w:pPr>
              <w:jc w:val="center"/>
              <w:rPr>
                <w:rFonts w:cs="Times New Roman"/>
                <w:szCs w:val="24"/>
              </w:rPr>
            </w:pPr>
            <w:r w:rsidRPr="00E825B8">
              <w:rPr>
                <w:rFonts w:cs="Times New Roman"/>
                <w:szCs w:val="24"/>
              </w:rPr>
              <w:t>1.14</w:t>
            </w:r>
          </w:p>
        </w:tc>
        <w:tc>
          <w:tcPr>
            <w:tcW w:w="1203" w:type="dxa"/>
            <w:vAlign w:val="center"/>
          </w:tcPr>
          <w:p w14:paraId="57613D81" w14:textId="77777777" w:rsidR="00FC4B7F" w:rsidRPr="00E825B8" w:rsidRDefault="00000000" w:rsidP="00836FEF">
            <w:pPr>
              <w:jc w:val="center"/>
              <w:rPr>
                <w:rFonts w:cs="Times New Roman"/>
                <w:szCs w:val="24"/>
              </w:rPr>
            </w:pPr>
            <w:r w:rsidRPr="00E825B8">
              <w:rPr>
                <w:rFonts w:cs="Times New Roman"/>
                <w:szCs w:val="24"/>
              </w:rPr>
              <w:t>2.94</w:t>
            </w:r>
          </w:p>
        </w:tc>
        <w:tc>
          <w:tcPr>
            <w:tcW w:w="1284" w:type="dxa"/>
            <w:vAlign w:val="center"/>
          </w:tcPr>
          <w:p w14:paraId="4881541B" w14:textId="77777777" w:rsidR="00FC4B7F" w:rsidRPr="00E825B8" w:rsidRDefault="00000000" w:rsidP="00836FEF">
            <w:pPr>
              <w:jc w:val="center"/>
              <w:rPr>
                <w:rFonts w:cs="Times New Roman"/>
                <w:szCs w:val="24"/>
              </w:rPr>
            </w:pPr>
            <w:r w:rsidRPr="00E825B8">
              <w:rPr>
                <w:rFonts w:cs="Times New Roman"/>
                <w:szCs w:val="24"/>
              </w:rPr>
              <w:t>5.87</w:t>
            </w:r>
          </w:p>
        </w:tc>
        <w:tc>
          <w:tcPr>
            <w:tcW w:w="1145" w:type="dxa"/>
            <w:vAlign w:val="center"/>
          </w:tcPr>
          <w:p w14:paraId="24846C46" w14:textId="77777777" w:rsidR="00FC4B7F" w:rsidRPr="00E825B8" w:rsidRDefault="00000000" w:rsidP="00836FEF">
            <w:pPr>
              <w:jc w:val="center"/>
              <w:rPr>
                <w:rFonts w:cs="Times New Roman"/>
                <w:szCs w:val="24"/>
              </w:rPr>
            </w:pPr>
            <w:r w:rsidRPr="00E825B8">
              <w:rPr>
                <w:rFonts w:cs="Times New Roman"/>
                <w:szCs w:val="24"/>
              </w:rPr>
              <w:t>cycles</w:t>
            </w:r>
          </w:p>
        </w:tc>
      </w:tr>
      <w:tr w:rsidR="00836FEF" w:rsidRPr="00E825B8" w14:paraId="47DEB0BF" w14:textId="77777777" w:rsidTr="00836FEF">
        <w:trPr>
          <w:jc w:val="center"/>
        </w:trPr>
        <w:tc>
          <w:tcPr>
            <w:tcW w:w="2864" w:type="dxa"/>
          </w:tcPr>
          <w:p w14:paraId="68458861" w14:textId="77777777" w:rsidR="00FC4B7F" w:rsidRPr="00E825B8" w:rsidRDefault="00000000">
            <w:pPr>
              <w:rPr>
                <w:rFonts w:cs="Times New Roman"/>
                <w:szCs w:val="24"/>
              </w:rPr>
            </w:pPr>
            <w:r w:rsidRPr="00E825B8">
              <w:rPr>
                <w:rFonts w:cs="Times New Roman"/>
                <w:szCs w:val="24"/>
              </w:rPr>
              <w:t>Approximate recovery time</w:t>
            </w:r>
          </w:p>
        </w:tc>
        <w:tc>
          <w:tcPr>
            <w:tcW w:w="1476" w:type="dxa"/>
            <w:vAlign w:val="center"/>
          </w:tcPr>
          <w:p w14:paraId="4E8DF2F0" w14:textId="77777777" w:rsidR="00FC4B7F" w:rsidRPr="00E825B8" w:rsidRDefault="00000000" w:rsidP="00836FEF">
            <w:pPr>
              <w:jc w:val="center"/>
              <w:rPr>
                <w:rFonts w:cs="Times New Roman"/>
                <w:szCs w:val="24"/>
              </w:rPr>
            </w:pPr>
            <w:r w:rsidRPr="00E825B8">
              <w:rPr>
                <w:rFonts w:cs="Times New Roman"/>
                <w:szCs w:val="24"/>
              </w:rPr>
              <w:t>81</w:t>
            </w:r>
          </w:p>
        </w:tc>
        <w:tc>
          <w:tcPr>
            <w:tcW w:w="1297" w:type="dxa"/>
            <w:vAlign w:val="center"/>
          </w:tcPr>
          <w:p w14:paraId="36ADCB23" w14:textId="77777777" w:rsidR="00FC4B7F" w:rsidRPr="00E825B8" w:rsidRDefault="00000000" w:rsidP="00836FEF">
            <w:pPr>
              <w:jc w:val="center"/>
              <w:rPr>
                <w:rFonts w:cs="Times New Roman"/>
                <w:szCs w:val="24"/>
              </w:rPr>
            </w:pPr>
            <w:r w:rsidRPr="00E825B8">
              <w:rPr>
                <w:rFonts w:cs="Times New Roman"/>
                <w:szCs w:val="24"/>
              </w:rPr>
              <w:t>32</w:t>
            </w:r>
          </w:p>
        </w:tc>
        <w:tc>
          <w:tcPr>
            <w:tcW w:w="1203" w:type="dxa"/>
            <w:vAlign w:val="center"/>
          </w:tcPr>
          <w:p w14:paraId="4456D169" w14:textId="77777777" w:rsidR="00FC4B7F" w:rsidRPr="00E825B8" w:rsidRDefault="00000000" w:rsidP="00836FEF">
            <w:pPr>
              <w:jc w:val="center"/>
              <w:rPr>
                <w:rFonts w:cs="Times New Roman"/>
                <w:szCs w:val="24"/>
              </w:rPr>
            </w:pPr>
            <w:r w:rsidRPr="00E825B8">
              <w:rPr>
                <w:rFonts w:cs="Times New Roman"/>
                <w:szCs w:val="24"/>
              </w:rPr>
              <w:t>82</w:t>
            </w:r>
          </w:p>
        </w:tc>
        <w:tc>
          <w:tcPr>
            <w:tcW w:w="1284" w:type="dxa"/>
            <w:vAlign w:val="center"/>
          </w:tcPr>
          <w:p w14:paraId="51AC7EDD" w14:textId="77777777" w:rsidR="00FC4B7F" w:rsidRPr="00E825B8" w:rsidRDefault="00000000" w:rsidP="00836FEF">
            <w:pPr>
              <w:jc w:val="center"/>
              <w:rPr>
                <w:rFonts w:cs="Times New Roman"/>
                <w:szCs w:val="24"/>
              </w:rPr>
            </w:pPr>
            <w:r w:rsidRPr="00E825B8">
              <w:rPr>
                <w:rFonts w:cs="Times New Roman"/>
                <w:szCs w:val="24"/>
              </w:rPr>
              <w:t>164</w:t>
            </w:r>
          </w:p>
        </w:tc>
        <w:tc>
          <w:tcPr>
            <w:tcW w:w="1145" w:type="dxa"/>
            <w:vAlign w:val="center"/>
          </w:tcPr>
          <w:p w14:paraId="618BB654" w14:textId="77777777" w:rsidR="00FC4B7F" w:rsidRPr="00E825B8" w:rsidRDefault="00000000" w:rsidP="00836FEF">
            <w:pPr>
              <w:jc w:val="center"/>
              <w:rPr>
                <w:rFonts w:cs="Times New Roman"/>
                <w:szCs w:val="24"/>
              </w:rPr>
            </w:pPr>
            <w:r w:rsidRPr="00E825B8">
              <w:rPr>
                <w:rFonts w:cs="Times New Roman"/>
                <w:szCs w:val="24"/>
              </w:rPr>
              <w:t>days</w:t>
            </w:r>
          </w:p>
        </w:tc>
      </w:tr>
    </w:tbl>
    <w:p w14:paraId="452F6F5F" w14:textId="77777777" w:rsidR="00FC4B7F" w:rsidRDefault="00000000">
      <w:pPr>
        <w:spacing w:after="60"/>
        <w:jc w:val="center"/>
        <w:rPr>
          <w:rFonts w:cs="Times New Roman"/>
          <w:bCs/>
          <w:szCs w:val="24"/>
        </w:rPr>
      </w:pPr>
      <w:r w:rsidRPr="00E825B8">
        <w:rPr>
          <w:rFonts w:cs="Times New Roman"/>
          <w:b/>
          <w:szCs w:val="24"/>
        </w:rPr>
        <w:t xml:space="preserve">Table 1. </w:t>
      </w:r>
      <w:r w:rsidRPr="00E825B8">
        <w:rPr>
          <w:rFonts w:cs="Times New Roman"/>
          <w:bCs/>
          <w:szCs w:val="24"/>
        </w:rPr>
        <w:t>Production, economic, and investment-recovery indicators on a per-plant basis.</w:t>
      </w:r>
    </w:p>
    <w:p w14:paraId="47D05D23" w14:textId="77777777" w:rsidR="00836FEF" w:rsidRPr="00E825B8" w:rsidRDefault="00836FEF">
      <w:pPr>
        <w:spacing w:after="60"/>
        <w:jc w:val="center"/>
        <w:rPr>
          <w:rFonts w:cs="Times New Roman"/>
          <w:szCs w:val="24"/>
        </w:rPr>
      </w:pPr>
    </w:p>
    <w:p w14:paraId="1F91E873" w14:textId="77777777" w:rsidR="00FC4B7F" w:rsidRPr="00E825B8" w:rsidRDefault="00000000">
      <w:pPr>
        <w:pStyle w:val="Heading2"/>
        <w:rPr>
          <w:rFonts w:ascii="Times New Roman" w:hAnsi="Times New Roman" w:cs="Times New Roman"/>
          <w:szCs w:val="24"/>
        </w:rPr>
      </w:pPr>
      <w:r w:rsidRPr="00E825B8">
        <w:rPr>
          <w:rFonts w:ascii="Times New Roman" w:hAnsi="Times New Roman" w:cs="Times New Roman"/>
          <w:szCs w:val="24"/>
        </w:rPr>
        <w:t>3.5 First-cycle net income and ROI</w:t>
      </w:r>
    </w:p>
    <w:p w14:paraId="3B8F4A5C" w14:textId="77777777" w:rsidR="00FC4B7F" w:rsidRPr="00E825B8" w:rsidRDefault="00E825B8">
      <w:pPr>
        <w:spacing w:after="60"/>
        <w:jc w:val="both"/>
        <w:rPr>
          <w:rFonts w:cs="Times New Roman"/>
          <w:szCs w:val="24"/>
        </w:rPr>
      </w:pPr>
      <w:r>
        <w:rPr>
          <w:rFonts w:cs="Times New Roman"/>
          <w:szCs w:val="24"/>
        </w:rPr>
        <w:tab/>
      </w:r>
      <w:r w:rsidRPr="00E825B8">
        <w:rPr>
          <w:rFonts w:cs="Times New Roman"/>
          <w:szCs w:val="24"/>
        </w:rPr>
        <w:t xml:space="preserve">When the complete unit cost basis was charged against the first 28-day harvest, all four systems produced negative first-cycle net income. The values were −₱20.97 plant⁻¹ for conventional farming, −₱3.58 for container gardening, −₱39.56 for Kratky, and −₱226.75 for NFT. The corresponding first-cycle ROI values were −65.47%, −12.03%, −66.02%, and −82.96%, respectively. These first-cycle results should be distinguished from longer-horizon investment feasibility, because capital-intensive production systems generally require multiple production cycles to distribute initial costs across subsequent harvests. Studies of hydroponic lettuce enterprises have therefore used multi-cycle or multi-year financial indicators such as payback period, NPV, IRR, and profitability indices to assess longer-term investment performance (Gumisiriza et al., 2022; </w:t>
      </w:r>
      <w:proofErr w:type="spellStart"/>
      <w:r w:rsidRPr="00E825B8">
        <w:rPr>
          <w:rFonts w:cs="Times New Roman"/>
          <w:szCs w:val="24"/>
        </w:rPr>
        <w:t>Afriyanti</w:t>
      </w:r>
      <w:proofErr w:type="spellEnd"/>
      <w:r w:rsidRPr="00E825B8">
        <w:rPr>
          <w:rFonts w:cs="Times New Roman"/>
          <w:szCs w:val="24"/>
        </w:rPr>
        <w:t xml:space="preserve"> et al., 2024).</w:t>
      </w:r>
    </w:p>
    <w:p w14:paraId="03248950" w14:textId="77777777" w:rsidR="00FC4B7F" w:rsidRPr="00E825B8" w:rsidRDefault="00000000">
      <w:pPr>
        <w:pStyle w:val="Heading2"/>
        <w:rPr>
          <w:rFonts w:ascii="Times New Roman" w:hAnsi="Times New Roman" w:cs="Times New Roman"/>
          <w:szCs w:val="24"/>
        </w:rPr>
      </w:pPr>
      <w:r w:rsidRPr="00E825B8">
        <w:rPr>
          <w:rFonts w:ascii="Times New Roman" w:hAnsi="Times New Roman" w:cs="Times New Roman"/>
          <w:szCs w:val="24"/>
        </w:rPr>
        <w:t>3.6 Investment Recovery Period</w:t>
      </w:r>
    </w:p>
    <w:p w14:paraId="2BB46608" w14:textId="77777777" w:rsidR="00FC4B7F" w:rsidRPr="00E825B8" w:rsidRDefault="00E825B8">
      <w:pPr>
        <w:spacing w:after="60"/>
        <w:jc w:val="both"/>
        <w:rPr>
          <w:rFonts w:cs="Times New Roman"/>
          <w:szCs w:val="24"/>
        </w:rPr>
      </w:pPr>
      <w:r>
        <w:rPr>
          <w:rFonts w:cs="Times New Roman"/>
          <w:szCs w:val="24"/>
        </w:rPr>
        <w:tab/>
      </w:r>
      <w:r w:rsidRPr="00E825B8">
        <w:rPr>
          <w:rFonts w:cs="Times New Roman"/>
          <w:szCs w:val="24"/>
        </w:rPr>
        <w:t xml:space="preserve">Using the study's gross-revenue capital-recovery definition, container gardening reached the recovery threshold at 1.14 cycles, conventional farming at 2.90 cycles, Kratky at 2.94 cycles, and NFT at 5.87 cycles. These correspond to approximately 32, 81, 82, and 164 days, respectively, when multiplied by the 28-day production cycle. The pattern is consistent with the general principle that higher initial capital requirements </w:t>
      </w:r>
      <w:r w:rsidR="00836FEF">
        <w:rPr>
          <w:rFonts w:cs="Times New Roman"/>
          <w:szCs w:val="24"/>
        </w:rPr>
        <w:t>delay the time at which cumulative revenue equals</w:t>
      </w:r>
      <w:r w:rsidRPr="00E825B8">
        <w:rPr>
          <w:rFonts w:cs="Times New Roman"/>
          <w:szCs w:val="24"/>
        </w:rPr>
        <w:t xml:space="preserve"> the initial investment. However, conventional payback analyses normally use net cash flow rather than gross crop revenue; published hydroponic investment studies commonly calculate payback from investment cost relative to net cash flow or longer-term profitability measures (Gumisiriza et al., 2022; </w:t>
      </w:r>
      <w:proofErr w:type="spellStart"/>
      <w:r w:rsidRPr="00E825B8">
        <w:rPr>
          <w:rFonts w:cs="Times New Roman"/>
          <w:szCs w:val="24"/>
        </w:rPr>
        <w:t>Afriyanti</w:t>
      </w:r>
      <w:proofErr w:type="spellEnd"/>
      <w:r w:rsidRPr="00E825B8">
        <w:rPr>
          <w:rFonts w:cs="Times New Roman"/>
          <w:szCs w:val="24"/>
        </w:rPr>
        <w:t xml:space="preserve"> et al., 2024). Therefore, the recovery values reported here are intentionally retained as a gross-revenue capital-recovery indicator and should not be interpreted as conventional net-cash-flow payback periods.</w:t>
      </w:r>
    </w:p>
    <w:p w14:paraId="42BAFB94" w14:textId="77777777" w:rsidR="00FC4B7F" w:rsidRPr="00E825B8" w:rsidRDefault="00000000">
      <w:pPr>
        <w:pStyle w:val="Heading2"/>
        <w:rPr>
          <w:rFonts w:ascii="Times New Roman" w:hAnsi="Times New Roman" w:cs="Times New Roman"/>
          <w:szCs w:val="24"/>
        </w:rPr>
      </w:pPr>
      <w:r w:rsidRPr="00E825B8">
        <w:rPr>
          <w:rFonts w:ascii="Times New Roman" w:hAnsi="Times New Roman" w:cs="Times New Roman"/>
          <w:szCs w:val="24"/>
        </w:rPr>
        <w:t>3.7 Economic Trade-offs Among Production Systems</w:t>
      </w:r>
    </w:p>
    <w:p w14:paraId="1A522FDD" w14:textId="77777777" w:rsidR="00FC4B7F" w:rsidRDefault="00E825B8">
      <w:pPr>
        <w:spacing w:after="60"/>
        <w:jc w:val="both"/>
        <w:rPr>
          <w:rFonts w:cs="Times New Roman"/>
          <w:szCs w:val="24"/>
        </w:rPr>
      </w:pPr>
      <w:r>
        <w:rPr>
          <w:rFonts w:cs="Times New Roman"/>
          <w:szCs w:val="24"/>
        </w:rPr>
        <w:tab/>
      </w:r>
      <w:r w:rsidRPr="00E825B8">
        <w:rPr>
          <w:rFonts w:cs="Times New Roman"/>
          <w:szCs w:val="24"/>
        </w:rPr>
        <w:t>The results show why production yield should not be considered in isolation when comparing technologies. NFT produced the highest biomass and gross income and used very little measured water, but its large initial cost basis resulted in the longest calculated recovery period. Container gardening required a much smaller cost basis and therefore reached the recovery threshold more quickly under the study assumptions. Kratky combined low measured water use with passive operation, while conventional farming required substantially more measured irrigation water. These trade-offs are consistent with broader literature showing that soilless systems can improve resource-use efficiency but may require greater infrastructure, technical management, or capital investment (</w:t>
      </w:r>
      <w:proofErr w:type="spellStart"/>
      <w:r w:rsidRPr="00E825B8">
        <w:rPr>
          <w:rFonts w:cs="Times New Roman"/>
          <w:szCs w:val="24"/>
        </w:rPr>
        <w:t>Lakhiar</w:t>
      </w:r>
      <w:proofErr w:type="spellEnd"/>
      <w:r w:rsidRPr="00E825B8">
        <w:rPr>
          <w:rFonts w:cs="Times New Roman"/>
          <w:szCs w:val="24"/>
        </w:rPr>
        <w:t xml:space="preserve"> et al., 2025; Wang et al., 2023). Recent research also shows that hydroponic profitability and resource efficiency are sensitive to system configuration, operating conditions, and nutrient or flow management (El-</w:t>
      </w:r>
      <w:proofErr w:type="spellStart"/>
      <w:r w:rsidRPr="00E825B8">
        <w:rPr>
          <w:rFonts w:cs="Times New Roman"/>
          <w:szCs w:val="24"/>
        </w:rPr>
        <w:t>Demerdash</w:t>
      </w:r>
      <w:proofErr w:type="spellEnd"/>
      <w:r w:rsidRPr="00E825B8">
        <w:rPr>
          <w:rFonts w:cs="Times New Roman"/>
          <w:szCs w:val="24"/>
        </w:rPr>
        <w:t xml:space="preserve"> et al., 2026).</w:t>
      </w:r>
    </w:p>
    <w:p w14:paraId="5E02F59E" w14:textId="77777777" w:rsidR="000345A6" w:rsidRDefault="000345A6">
      <w:pPr>
        <w:spacing w:after="60"/>
        <w:jc w:val="both"/>
        <w:rPr>
          <w:rFonts w:cs="Times New Roman"/>
          <w:szCs w:val="24"/>
        </w:rPr>
      </w:pPr>
    </w:p>
    <w:p w14:paraId="3295A16A" w14:textId="77777777" w:rsidR="000345A6" w:rsidRDefault="000345A6">
      <w:pPr>
        <w:spacing w:after="60"/>
        <w:jc w:val="both"/>
        <w:rPr>
          <w:rFonts w:cs="Times New Roman"/>
          <w:szCs w:val="24"/>
        </w:rPr>
      </w:pPr>
    </w:p>
    <w:p w14:paraId="315E3261" w14:textId="77777777" w:rsidR="000345A6" w:rsidRDefault="000345A6">
      <w:pPr>
        <w:spacing w:after="60"/>
        <w:jc w:val="both"/>
        <w:rPr>
          <w:rFonts w:cs="Times New Roman"/>
          <w:szCs w:val="24"/>
        </w:rPr>
      </w:pPr>
    </w:p>
    <w:p w14:paraId="05BF8909" w14:textId="77777777" w:rsidR="000345A6" w:rsidRDefault="000345A6">
      <w:pPr>
        <w:spacing w:after="60"/>
        <w:jc w:val="both"/>
        <w:rPr>
          <w:rFonts w:cs="Times New Roman"/>
          <w:szCs w:val="24"/>
        </w:rPr>
      </w:pPr>
    </w:p>
    <w:p w14:paraId="1FF8D0EC" w14:textId="77777777" w:rsidR="000345A6" w:rsidRDefault="000345A6">
      <w:pPr>
        <w:spacing w:after="60"/>
        <w:jc w:val="both"/>
        <w:rPr>
          <w:rFonts w:cs="Times New Roman"/>
          <w:szCs w:val="24"/>
        </w:rPr>
      </w:pPr>
    </w:p>
    <w:p w14:paraId="2773BF7C" w14:textId="77777777" w:rsidR="000345A6" w:rsidRDefault="000345A6">
      <w:pPr>
        <w:spacing w:after="60"/>
        <w:jc w:val="both"/>
        <w:rPr>
          <w:rFonts w:cs="Times New Roman"/>
          <w:szCs w:val="24"/>
        </w:rPr>
      </w:pPr>
    </w:p>
    <w:p w14:paraId="1E85B20B" w14:textId="77777777" w:rsidR="000345A6" w:rsidRDefault="000345A6">
      <w:pPr>
        <w:spacing w:after="60"/>
        <w:jc w:val="both"/>
        <w:rPr>
          <w:rFonts w:cs="Times New Roman"/>
          <w:szCs w:val="24"/>
        </w:rPr>
      </w:pPr>
    </w:p>
    <w:p w14:paraId="0A0C1A1B" w14:textId="77777777" w:rsidR="000345A6" w:rsidRDefault="000345A6">
      <w:pPr>
        <w:spacing w:after="60"/>
        <w:jc w:val="both"/>
        <w:rPr>
          <w:rFonts w:cs="Times New Roman"/>
          <w:szCs w:val="24"/>
        </w:rPr>
      </w:pPr>
    </w:p>
    <w:p w14:paraId="0D522393" w14:textId="77777777" w:rsidR="000345A6" w:rsidRDefault="000345A6">
      <w:pPr>
        <w:spacing w:after="60"/>
        <w:jc w:val="both"/>
        <w:rPr>
          <w:rFonts w:cs="Times New Roman"/>
          <w:szCs w:val="24"/>
        </w:rPr>
      </w:pPr>
    </w:p>
    <w:p w14:paraId="232B86DC" w14:textId="77777777" w:rsidR="000345A6" w:rsidRDefault="000345A6">
      <w:pPr>
        <w:spacing w:after="60"/>
        <w:jc w:val="both"/>
        <w:rPr>
          <w:rFonts w:cs="Times New Roman"/>
          <w:szCs w:val="24"/>
        </w:rPr>
      </w:pPr>
    </w:p>
    <w:p w14:paraId="57E17233" w14:textId="77777777" w:rsidR="000345A6" w:rsidRDefault="000345A6">
      <w:pPr>
        <w:spacing w:after="60"/>
        <w:jc w:val="both"/>
        <w:rPr>
          <w:rFonts w:cs="Times New Roman"/>
          <w:szCs w:val="24"/>
        </w:rPr>
      </w:pPr>
    </w:p>
    <w:p w14:paraId="7EE6E4EB" w14:textId="77777777" w:rsidR="000345A6" w:rsidRDefault="000345A6">
      <w:pPr>
        <w:spacing w:after="60"/>
        <w:jc w:val="both"/>
        <w:rPr>
          <w:rFonts w:cs="Times New Roman"/>
          <w:szCs w:val="24"/>
        </w:rPr>
      </w:pPr>
    </w:p>
    <w:p w14:paraId="7AE8F5C4" w14:textId="77777777" w:rsidR="000345A6" w:rsidRDefault="000345A6">
      <w:pPr>
        <w:spacing w:after="60"/>
        <w:jc w:val="both"/>
        <w:rPr>
          <w:rFonts w:cs="Times New Roman"/>
          <w:szCs w:val="24"/>
        </w:rPr>
      </w:pPr>
    </w:p>
    <w:p w14:paraId="56295DB5" w14:textId="77777777" w:rsidR="000345A6" w:rsidRDefault="000345A6">
      <w:pPr>
        <w:spacing w:after="60"/>
        <w:jc w:val="both"/>
        <w:rPr>
          <w:rFonts w:cs="Times New Roman"/>
          <w:szCs w:val="24"/>
        </w:rPr>
      </w:pPr>
    </w:p>
    <w:p w14:paraId="0BFCCC30" w14:textId="77777777" w:rsidR="000345A6" w:rsidRPr="00E825B8" w:rsidRDefault="000345A6">
      <w:pPr>
        <w:spacing w:after="60"/>
        <w:jc w:val="both"/>
        <w:rPr>
          <w:rFonts w:cs="Times New Roman"/>
          <w:szCs w:val="24"/>
        </w:rPr>
      </w:pPr>
    </w:p>
    <w:p w14:paraId="7C320255" w14:textId="77777777" w:rsidR="00FC4B7F" w:rsidRPr="00E825B8" w:rsidRDefault="00000000" w:rsidP="000345A6">
      <w:pPr>
        <w:pStyle w:val="Heading1"/>
        <w:spacing w:after="60"/>
        <w:jc w:val="center"/>
        <w:rPr>
          <w:rFonts w:ascii="Times New Roman" w:hAnsi="Times New Roman" w:cs="Times New Roman"/>
          <w:sz w:val="24"/>
          <w:szCs w:val="24"/>
        </w:rPr>
      </w:pPr>
      <w:r w:rsidRPr="00E825B8">
        <w:rPr>
          <w:rFonts w:ascii="Times New Roman" w:hAnsi="Times New Roman" w:cs="Times New Roman"/>
          <w:sz w:val="24"/>
          <w:szCs w:val="24"/>
        </w:rPr>
        <w:t>4. Conclusion</w:t>
      </w:r>
    </w:p>
    <w:p w14:paraId="25908039" w14:textId="77777777" w:rsidR="00FC4B7F" w:rsidRPr="00E825B8" w:rsidRDefault="00E825B8">
      <w:pPr>
        <w:spacing w:after="60"/>
        <w:jc w:val="both"/>
        <w:rPr>
          <w:rFonts w:cs="Times New Roman"/>
          <w:szCs w:val="24"/>
        </w:rPr>
      </w:pPr>
      <w:r>
        <w:rPr>
          <w:rFonts w:cs="Times New Roman"/>
          <w:szCs w:val="24"/>
        </w:rPr>
        <w:tab/>
      </w:r>
      <w:r w:rsidRPr="00E825B8">
        <w:rPr>
          <w:rFonts w:cs="Times New Roman"/>
          <w:szCs w:val="24"/>
        </w:rPr>
        <w:t>The four lettuce production systems differed in yield, measured water use, production cost, first-cycle economic return, and calculated investment recovery. NFT produced the highest fresh biomass at 133.04 g plant⁻¹ and the highest gross income at ₱46.56 plant⁻¹, but it also had the highest production-cost basis at ₱273.31 plant⁻¹ and the longest calculated recovery period at 5.87 cycles.</w:t>
      </w:r>
    </w:p>
    <w:p w14:paraId="3393E299" w14:textId="77777777" w:rsidR="00FC4B7F" w:rsidRPr="00E825B8" w:rsidRDefault="00836FEF">
      <w:pPr>
        <w:spacing w:after="60"/>
        <w:jc w:val="both"/>
        <w:rPr>
          <w:rFonts w:cs="Times New Roman"/>
          <w:szCs w:val="24"/>
        </w:rPr>
      </w:pPr>
      <w:r>
        <w:rPr>
          <w:rFonts w:cs="Times New Roman"/>
          <w:szCs w:val="24"/>
        </w:rPr>
        <w:tab/>
      </w:r>
      <w:r w:rsidRPr="00E825B8">
        <w:rPr>
          <w:rFonts w:cs="Times New Roman"/>
          <w:szCs w:val="24"/>
        </w:rPr>
        <w:t>Container gardening had the lowest production-cost basis at ₱29.75 plant⁻¹ and the shortest calculated recovery period at 1.14 cycles. Kratky and NFT reduced measured water use by approximately 96% compared with the soil-based systems, although NFT required continuous electrical pumping and incurred an estimated electricity cost of ₱2.99 plant⁻¹.</w:t>
      </w:r>
    </w:p>
    <w:p w14:paraId="4B68E3E5" w14:textId="77777777" w:rsidR="00FC4B7F" w:rsidRDefault="00836FEF">
      <w:pPr>
        <w:spacing w:after="60"/>
        <w:jc w:val="both"/>
        <w:rPr>
          <w:rFonts w:cs="Times New Roman"/>
          <w:szCs w:val="24"/>
        </w:rPr>
      </w:pPr>
      <w:r>
        <w:rPr>
          <w:rFonts w:cs="Times New Roman"/>
          <w:szCs w:val="24"/>
        </w:rPr>
        <w:tab/>
        <w:t xml:space="preserve">All four systems produced negative first-cycle net income and ROI when the full unit cost basis was charged against the first harvest. Therefore, the reported recovery periods should be interpreted specifically as gross-revenue capital-recovery indicators rather than conventional net-profit or net-cash-flow payback periods. Actual economic performance over multiple cycles would depend on future yields, selling prices, </w:t>
      </w:r>
      <w:proofErr w:type="spellStart"/>
      <w:r>
        <w:rPr>
          <w:rFonts w:cs="Times New Roman"/>
          <w:szCs w:val="24"/>
          <w:highlight w:val="yellow"/>
        </w:rPr>
        <w:t>labour</w:t>
      </w:r>
      <w:proofErr w:type="spellEnd"/>
      <w:r>
        <w:rPr>
          <w:rFonts w:cs="Times New Roman"/>
          <w:szCs w:val="24"/>
        </w:rPr>
        <w:t>, input costs, electricity, maintenance, and other operating conditions.</w:t>
      </w:r>
    </w:p>
    <w:p w14:paraId="11FB99A4" w14:textId="77777777" w:rsidR="000345A6" w:rsidRPr="00E825B8" w:rsidRDefault="000345A6">
      <w:pPr>
        <w:spacing w:after="60"/>
        <w:jc w:val="both"/>
        <w:rPr>
          <w:rFonts w:cs="Times New Roman"/>
          <w:szCs w:val="24"/>
        </w:rPr>
      </w:pPr>
    </w:p>
    <w:p w14:paraId="7C41ED0F" w14:textId="77777777" w:rsidR="00FC4B7F" w:rsidRPr="00E825B8" w:rsidRDefault="00000000" w:rsidP="000345A6">
      <w:pPr>
        <w:pStyle w:val="Heading1"/>
        <w:spacing w:after="60"/>
        <w:jc w:val="center"/>
        <w:rPr>
          <w:rFonts w:ascii="Times New Roman" w:hAnsi="Times New Roman" w:cs="Times New Roman"/>
          <w:sz w:val="24"/>
          <w:szCs w:val="24"/>
        </w:rPr>
      </w:pPr>
      <w:r w:rsidRPr="00E825B8">
        <w:rPr>
          <w:rFonts w:ascii="Times New Roman" w:hAnsi="Times New Roman" w:cs="Times New Roman"/>
          <w:sz w:val="24"/>
          <w:szCs w:val="24"/>
        </w:rPr>
        <w:t>5. Recommendations</w:t>
      </w:r>
    </w:p>
    <w:p w14:paraId="08305968" w14:textId="77777777" w:rsidR="00FC4B7F" w:rsidRDefault="00E825B8" w:rsidP="00E825B8">
      <w:pPr>
        <w:spacing w:after="60"/>
        <w:jc w:val="both"/>
        <w:rPr>
          <w:rFonts w:cs="Times New Roman"/>
          <w:szCs w:val="24"/>
        </w:rPr>
      </w:pPr>
      <w:r>
        <w:rPr>
          <w:rFonts w:cs="Times New Roman"/>
          <w:szCs w:val="24"/>
        </w:rPr>
        <w:tab/>
      </w:r>
      <w:r w:rsidRPr="00E825B8">
        <w:rPr>
          <w:rFonts w:cs="Times New Roman"/>
          <w:szCs w:val="24"/>
        </w:rPr>
        <w:t>Evaluate the four systems over several consecutive cropping cycles so that cumulative net income and actual capital recovery can be measured after initial establishment costs have been absorbed.</w:t>
      </w:r>
      <w:r>
        <w:rPr>
          <w:rFonts w:cs="Times New Roman"/>
          <w:szCs w:val="24"/>
        </w:rPr>
        <w:tab/>
        <w:t xml:space="preserve"> Conduct sensitivity analyses using alternative lettuce selling prices, yields, </w:t>
      </w:r>
      <w:proofErr w:type="spellStart"/>
      <w:r>
        <w:rPr>
          <w:rFonts w:cs="Times New Roman"/>
          <w:szCs w:val="24"/>
          <w:highlight w:val="yellow"/>
        </w:rPr>
        <w:t>labour</w:t>
      </w:r>
      <w:proofErr w:type="spellEnd"/>
      <w:r>
        <w:rPr>
          <w:rFonts w:cs="Times New Roman"/>
          <w:szCs w:val="24"/>
        </w:rPr>
        <w:t xml:space="preserve"> rates, </w:t>
      </w:r>
      <w:proofErr w:type="spellStart"/>
      <w:r>
        <w:rPr>
          <w:rFonts w:cs="Times New Roman"/>
          <w:szCs w:val="24"/>
          <w:highlight w:val="yellow"/>
        </w:rPr>
        <w:t>fertiliser</w:t>
      </w:r>
      <w:proofErr w:type="spellEnd"/>
      <w:r>
        <w:rPr>
          <w:rFonts w:cs="Times New Roman"/>
          <w:szCs w:val="24"/>
        </w:rPr>
        <w:t xml:space="preserve"> and nutrient costs, electricity tariffs, and equipment costs. </w:t>
      </w:r>
      <w:r w:rsidRPr="00E825B8">
        <w:rPr>
          <w:rFonts w:cs="Times New Roman"/>
          <w:szCs w:val="24"/>
        </w:rPr>
        <w:t xml:space="preserve">For NFT systems, evaluate energy-efficient or </w:t>
      </w:r>
      <w:r>
        <w:rPr>
          <w:rFonts w:cs="Times New Roman"/>
          <w:szCs w:val="24"/>
        </w:rPr>
        <w:t>well-designed solar-powered pumping options and determine their impact on operating costs</w:t>
      </w:r>
      <w:r w:rsidRPr="00E825B8">
        <w:rPr>
          <w:rFonts w:cs="Times New Roman"/>
          <w:szCs w:val="24"/>
        </w:rPr>
        <w:t xml:space="preserve"> and investment recovery.</w:t>
      </w:r>
      <w:r>
        <w:rPr>
          <w:rFonts w:cs="Times New Roman"/>
          <w:szCs w:val="24"/>
        </w:rPr>
        <w:t xml:space="preserve"> </w:t>
      </w:r>
      <w:r w:rsidRPr="00E825B8">
        <w:rPr>
          <w:rFonts w:cs="Times New Roman"/>
          <w:szCs w:val="24"/>
        </w:rPr>
        <w:t>Repeat the comparison across additional seasons and production environments to determine how tropical temperature, rainfall, and greenhouse conditions affect system performance.</w:t>
      </w:r>
    </w:p>
    <w:p w14:paraId="222381B1" w14:textId="77777777" w:rsidR="00CD6D2D" w:rsidRDefault="00CD6D2D" w:rsidP="00E825B8">
      <w:pPr>
        <w:spacing w:after="60"/>
        <w:jc w:val="both"/>
        <w:rPr>
          <w:rFonts w:cs="Times New Roman"/>
          <w:szCs w:val="24"/>
        </w:rPr>
      </w:pPr>
    </w:p>
    <w:p w14:paraId="620C6FA9" w14:textId="0DE801CA" w:rsidR="00CD6D2D" w:rsidRPr="00CD6D2D" w:rsidRDefault="00CD6D2D" w:rsidP="00CD6D2D">
      <w:pPr>
        <w:spacing w:before="100" w:beforeAutospacing="1" w:after="100" w:afterAutospacing="1"/>
        <w:outlineLvl w:val="1"/>
        <w:rPr>
          <w:rFonts w:cs="Times New Roman"/>
          <w:b/>
          <w:bCs/>
          <w:sz w:val="36"/>
          <w:szCs w:val="36"/>
        </w:rPr>
      </w:pPr>
      <w:r w:rsidRPr="00CD6D2D">
        <w:rPr>
          <w:rFonts w:cs="Times New Roman"/>
          <w:b/>
          <w:bCs/>
          <w:sz w:val="36"/>
          <w:szCs w:val="36"/>
        </w:rPr>
        <w:t>Limitation</w:t>
      </w:r>
    </w:p>
    <w:p w14:paraId="12249E35" w14:textId="77777777" w:rsidR="00CD6D2D" w:rsidRPr="00CD6D2D" w:rsidRDefault="00CD6D2D" w:rsidP="00CD6D2D">
      <w:pPr>
        <w:spacing w:before="100" w:beforeAutospacing="1" w:after="100" w:afterAutospacing="1"/>
        <w:rPr>
          <w:rFonts w:cs="Times New Roman"/>
          <w:szCs w:val="24"/>
        </w:rPr>
      </w:pPr>
      <w:r w:rsidRPr="00CD6D2D">
        <w:rPr>
          <w:rFonts w:cs="Times New Roman"/>
          <w:szCs w:val="24"/>
        </w:rPr>
        <w:t xml:space="preserve">The comparison covered a single 28-day production cycle at one tropical site, and the systems were operated under different production environments, including outdoor and greenhouse conditions. The economic analysis used a fixed selling price of ₱350 kg⁻¹ and charged the complete unit cost basis to the first harvest. In addition, the reported investment recovery period was based on cumulative gross revenue rather than net cash flow. Consequently, the results do not represent multi-cycle profitability or conventional payback and may vary with season, yield, prices, </w:t>
      </w:r>
      <w:proofErr w:type="spellStart"/>
      <w:r w:rsidRPr="00CD6D2D">
        <w:rPr>
          <w:rFonts w:cs="Times New Roman"/>
          <w:szCs w:val="24"/>
        </w:rPr>
        <w:t>labour</w:t>
      </w:r>
      <w:proofErr w:type="spellEnd"/>
      <w:r w:rsidRPr="00CD6D2D">
        <w:rPr>
          <w:rFonts w:cs="Times New Roman"/>
          <w:szCs w:val="24"/>
        </w:rPr>
        <w:t>, electricity, maintenance, and other operating conditions.</w:t>
      </w:r>
    </w:p>
    <w:p w14:paraId="11591B4D" w14:textId="77777777" w:rsidR="00CD6D2D" w:rsidRPr="00E825B8" w:rsidRDefault="00CD6D2D" w:rsidP="00E825B8">
      <w:pPr>
        <w:spacing w:after="60"/>
        <w:jc w:val="both"/>
        <w:rPr>
          <w:rFonts w:cs="Times New Roman"/>
          <w:szCs w:val="24"/>
        </w:rPr>
      </w:pPr>
    </w:p>
    <w:p w14:paraId="41E28F1F" w14:textId="77777777" w:rsidR="00FC4B7F" w:rsidRPr="00E825B8" w:rsidRDefault="00000000">
      <w:pPr>
        <w:pStyle w:val="Heading1"/>
        <w:spacing w:after="60"/>
        <w:rPr>
          <w:rFonts w:ascii="Times New Roman" w:hAnsi="Times New Roman" w:cs="Times New Roman"/>
          <w:sz w:val="24"/>
          <w:szCs w:val="24"/>
        </w:rPr>
      </w:pPr>
      <w:r w:rsidRPr="00E825B8">
        <w:rPr>
          <w:rFonts w:ascii="Times New Roman" w:hAnsi="Times New Roman" w:cs="Times New Roman"/>
          <w:sz w:val="24"/>
          <w:szCs w:val="24"/>
        </w:rPr>
        <w:t>Competing Interests</w:t>
      </w:r>
    </w:p>
    <w:p w14:paraId="2B9975C6" w14:textId="77777777" w:rsidR="00FC4B7F" w:rsidRPr="00E825B8" w:rsidRDefault="00E825B8">
      <w:pPr>
        <w:spacing w:after="60"/>
        <w:jc w:val="both"/>
        <w:rPr>
          <w:rFonts w:cs="Times New Roman"/>
          <w:szCs w:val="24"/>
        </w:rPr>
      </w:pPr>
      <w:r>
        <w:rPr>
          <w:rFonts w:cs="Times New Roman"/>
          <w:szCs w:val="24"/>
        </w:rPr>
        <w:tab/>
      </w:r>
      <w:r w:rsidRPr="00E825B8">
        <w:rPr>
          <w:rFonts w:cs="Times New Roman"/>
          <w:szCs w:val="24"/>
        </w:rPr>
        <w:t>The author declares that no competing interests exist.</w:t>
      </w:r>
    </w:p>
    <w:p w14:paraId="3947FAC8" w14:textId="77777777" w:rsidR="00FC4B7F" w:rsidRPr="00E825B8" w:rsidRDefault="00000000">
      <w:pPr>
        <w:pStyle w:val="Heading1"/>
        <w:spacing w:after="60"/>
        <w:rPr>
          <w:rFonts w:ascii="Times New Roman" w:hAnsi="Times New Roman" w:cs="Times New Roman"/>
          <w:sz w:val="24"/>
          <w:szCs w:val="24"/>
        </w:rPr>
      </w:pPr>
      <w:r w:rsidRPr="00E825B8">
        <w:rPr>
          <w:rFonts w:ascii="Times New Roman" w:hAnsi="Times New Roman" w:cs="Times New Roman"/>
          <w:sz w:val="24"/>
          <w:szCs w:val="24"/>
        </w:rPr>
        <w:t>Ethical Approval</w:t>
      </w:r>
    </w:p>
    <w:p w14:paraId="196C99EF" w14:textId="5D9666BA" w:rsidR="00FC4B7F" w:rsidRDefault="00E825B8">
      <w:pPr>
        <w:spacing w:after="60"/>
        <w:jc w:val="both"/>
        <w:rPr>
          <w:rFonts w:cs="Times New Roman"/>
          <w:szCs w:val="24"/>
        </w:rPr>
      </w:pPr>
      <w:r>
        <w:rPr>
          <w:rFonts w:cs="Times New Roman"/>
          <w:szCs w:val="24"/>
        </w:rPr>
        <w:tab/>
      </w:r>
      <w:r w:rsidRPr="00E825B8">
        <w:rPr>
          <w:rFonts w:cs="Times New Roman"/>
          <w:szCs w:val="24"/>
        </w:rPr>
        <w:t xml:space="preserve">Not applicable. </w:t>
      </w:r>
    </w:p>
    <w:p w14:paraId="765A200A" w14:textId="77777777" w:rsidR="00CE237B" w:rsidRDefault="00CE237B">
      <w:pPr>
        <w:spacing w:after="60"/>
        <w:jc w:val="both"/>
        <w:rPr>
          <w:rFonts w:cs="Times New Roman"/>
          <w:szCs w:val="24"/>
        </w:rPr>
      </w:pPr>
    </w:p>
    <w:p w14:paraId="7A8C2500" w14:textId="77777777" w:rsidR="00DF4E2C" w:rsidRDefault="00DF4E2C" w:rsidP="00DF4E2C">
      <w:pPr>
        <w:spacing w:after="0"/>
        <w:rPr>
          <w:rFonts w:cs="Times New Roman"/>
          <w:b/>
        </w:rPr>
      </w:pPr>
      <w:r w:rsidRPr="000839CE">
        <w:rPr>
          <w:rFonts w:cs="Times New Roman"/>
          <w:b/>
        </w:rPr>
        <w:t>Declaration of AI Use</w:t>
      </w:r>
    </w:p>
    <w:p w14:paraId="6D747D7D" w14:textId="77777777" w:rsidR="00DF4E2C" w:rsidRDefault="00DF4E2C" w:rsidP="00DF4E2C">
      <w:pPr>
        <w:spacing w:after="0"/>
        <w:rPr>
          <w:rFonts w:cs="Times New Roman"/>
          <w:b/>
        </w:rPr>
      </w:pPr>
    </w:p>
    <w:p w14:paraId="28FF146E" w14:textId="77777777" w:rsidR="00DF4E2C" w:rsidRDefault="00DF4E2C" w:rsidP="00DF4E2C">
      <w:pPr>
        <w:spacing w:after="0"/>
        <w:rPr>
          <w:rFonts w:cs="Times New Roman"/>
          <w:b/>
        </w:rPr>
      </w:pPr>
    </w:p>
    <w:p w14:paraId="5CBF88B7" w14:textId="77777777" w:rsidR="00DF4E2C" w:rsidRPr="002D08AC" w:rsidRDefault="00DF4E2C" w:rsidP="00DF4E2C">
      <w:pPr>
        <w:spacing w:after="0"/>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AECBCA2" w14:textId="77777777" w:rsidR="00E825B8" w:rsidRDefault="00E825B8">
      <w:pPr>
        <w:spacing w:after="60"/>
        <w:jc w:val="both"/>
        <w:rPr>
          <w:rFonts w:cs="Times New Roman"/>
          <w:szCs w:val="24"/>
        </w:rPr>
      </w:pPr>
    </w:p>
    <w:p w14:paraId="270D58C3" w14:textId="77777777" w:rsidR="000345A6" w:rsidRDefault="000345A6">
      <w:pPr>
        <w:spacing w:after="60"/>
        <w:jc w:val="both"/>
        <w:rPr>
          <w:rFonts w:cs="Times New Roman"/>
          <w:szCs w:val="24"/>
        </w:rPr>
      </w:pPr>
    </w:p>
    <w:p w14:paraId="4612F660" w14:textId="77777777" w:rsidR="000345A6" w:rsidRDefault="000345A6">
      <w:pPr>
        <w:spacing w:after="60"/>
        <w:jc w:val="both"/>
        <w:rPr>
          <w:rFonts w:cs="Times New Roman"/>
          <w:szCs w:val="24"/>
        </w:rPr>
      </w:pPr>
    </w:p>
    <w:p w14:paraId="608289EE" w14:textId="77777777" w:rsidR="000345A6" w:rsidRDefault="000345A6">
      <w:pPr>
        <w:spacing w:after="60"/>
        <w:jc w:val="both"/>
        <w:rPr>
          <w:rFonts w:cs="Times New Roman"/>
          <w:szCs w:val="24"/>
        </w:rPr>
      </w:pPr>
    </w:p>
    <w:p w14:paraId="0AF24D20" w14:textId="77777777" w:rsidR="00FC4B7F" w:rsidRDefault="00000000" w:rsidP="000345A6">
      <w:pPr>
        <w:pStyle w:val="Heading1"/>
        <w:spacing w:after="60"/>
        <w:jc w:val="center"/>
        <w:rPr>
          <w:rFonts w:ascii="Times New Roman" w:hAnsi="Times New Roman" w:cs="Times New Roman"/>
          <w:sz w:val="24"/>
          <w:szCs w:val="24"/>
        </w:rPr>
      </w:pPr>
      <w:r w:rsidRPr="00E825B8">
        <w:rPr>
          <w:rFonts w:ascii="Times New Roman" w:hAnsi="Times New Roman" w:cs="Times New Roman"/>
          <w:sz w:val="24"/>
          <w:szCs w:val="24"/>
        </w:rPr>
        <w:t>References</w:t>
      </w:r>
    </w:p>
    <w:p w14:paraId="0C857A0D" w14:textId="77777777" w:rsidR="000345A6" w:rsidRPr="000345A6" w:rsidRDefault="000345A6" w:rsidP="000345A6"/>
    <w:p w14:paraId="1D465805" w14:textId="77777777" w:rsidR="005D409E" w:rsidRPr="005D409E" w:rsidRDefault="005D409E" w:rsidP="005D409E">
      <w:pPr>
        <w:spacing w:before="100" w:beforeAutospacing="1" w:after="100" w:afterAutospacing="1"/>
        <w:ind w:left="540" w:hanging="540"/>
        <w:jc w:val="both"/>
        <w:rPr>
          <w:rFonts w:cs="Times New Roman"/>
          <w:szCs w:val="24"/>
        </w:rPr>
      </w:pPr>
      <w:proofErr w:type="spellStart"/>
      <w:r w:rsidRPr="005D409E">
        <w:rPr>
          <w:rFonts w:cs="Times New Roman"/>
          <w:szCs w:val="24"/>
        </w:rPr>
        <w:t>Afriyanti</w:t>
      </w:r>
      <w:proofErr w:type="spellEnd"/>
      <w:r w:rsidRPr="005D409E">
        <w:rPr>
          <w:rFonts w:cs="Times New Roman"/>
          <w:szCs w:val="24"/>
        </w:rPr>
        <w:t xml:space="preserve">, A., </w:t>
      </w:r>
      <w:proofErr w:type="spellStart"/>
      <w:r w:rsidRPr="005D409E">
        <w:rPr>
          <w:rFonts w:cs="Times New Roman"/>
          <w:szCs w:val="24"/>
        </w:rPr>
        <w:t>Kurniati</w:t>
      </w:r>
      <w:proofErr w:type="spellEnd"/>
      <w:r w:rsidRPr="005D409E">
        <w:rPr>
          <w:rFonts w:cs="Times New Roman"/>
          <w:szCs w:val="24"/>
        </w:rPr>
        <w:t xml:space="preserve">, N., </w:t>
      </w:r>
      <w:proofErr w:type="spellStart"/>
      <w:r w:rsidRPr="005D409E">
        <w:rPr>
          <w:rFonts w:cs="Times New Roman"/>
          <w:szCs w:val="24"/>
        </w:rPr>
        <w:t>Efrita</w:t>
      </w:r>
      <w:proofErr w:type="spellEnd"/>
      <w:r w:rsidRPr="005D409E">
        <w:rPr>
          <w:rFonts w:cs="Times New Roman"/>
          <w:szCs w:val="24"/>
        </w:rPr>
        <w:t xml:space="preserve">, E., &amp; Mutmainnah, E. (2024). </w:t>
      </w:r>
      <w:proofErr w:type="spellStart"/>
      <w:r w:rsidRPr="005D409E">
        <w:rPr>
          <w:rFonts w:cs="Times New Roman"/>
          <w:szCs w:val="24"/>
        </w:rPr>
        <w:t>Pengembalian</w:t>
      </w:r>
      <w:proofErr w:type="spellEnd"/>
      <w:r w:rsidRPr="005D409E">
        <w:rPr>
          <w:rFonts w:cs="Times New Roman"/>
          <w:szCs w:val="24"/>
        </w:rPr>
        <w:t xml:space="preserve"> </w:t>
      </w:r>
      <w:proofErr w:type="spellStart"/>
      <w:r w:rsidRPr="005D409E">
        <w:rPr>
          <w:rFonts w:cs="Times New Roman"/>
          <w:szCs w:val="24"/>
        </w:rPr>
        <w:t>investasi</w:t>
      </w:r>
      <w:proofErr w:type="spellEnd"/>
      <w:r w:rsidRPr="005D409E">
        <w:rPr>
          <w:rFonts w:cs="Times New Roman"/>
          <w:szCs w:val="24"/>
        </w:rPr>
        <w:t xml:space="preserve"> pada </w:t>
      </w:r>
      <w:proofErr w:type="spellStart"/>
      <w:r w:rsidRPr="005D409E">
        <w:rPr>
          <w:rFonts w:cs="Times New Roman"/>
          <w:szCs w:val="24"/>
        </w:rPr>
        <w:t>usahatani</w:t>
      </w:r>
      <w:proofErr w:type="spellEnd"/>
      <w:r w:rsidRPr="005D409E">
        <w:rPr>
          <w:rFonts w:cs="Times New Roman"/>
          <w:szCs w:val="24"/>
        </w:rPr>
        <w:t xml:space="preserve"> </w:t>
      </w:r>
      <w:proofErr w:type="spellStart"/>
      <w:r w:rsidRPr="005D409E">
        <w:rPr>
          <w:rFonts w:cs="Times New Roman"/>
          <w:szCs w:val="24"/>
        </w:rPr>
        <w:t>selada</w:t>
      </w:r>
      <w:proofErr w:type="spellEnd"/>
      <w:r w:rsidRPr="005D409E">
        <w:rPr>
          <w:rFonts w:cs="Times New Roman"/>
          <w:szCs w:val="24"/>
        </w:rPr>
        <w:t xml:space="preserve"> </w:t>
      </w:r>
      <w:proofErr w:type="spellStart"/>
      <w:r w:rsidRPr="005D409E">
        <w:rPr>
          <w:rFonts w:cs="Times New Roman"/>
          <w:szCs w:val="24"/>
        </w:rPr>
        <w:t>hidroponik</w:t>
      </w:r>
      <w:proofErr w:type="spellEnd"/>
      <w:r w:rsidRPr="005D409E">
        <w:rPr>
          <w:rFonts w:cs="Times New Roman"/>
          <w:szCs w:val="24"/>
        </w:rPr>
        <w:t xml:space="preserve"> </w:t>
      </w:r>
      <w:proofErr w:type="spellStart"/>
      <w:r w:rsidRPr="005D409E">
        <w:rPr>
          <w:rFonts w:cs="Times New Roman"/>
          <w:szCs w:val="24"/>
        </w:rPr>
        <w:t>dengan</w:t>
      </w:r>
      <w:proofErr w:type="spellEnd"/>
      <w:r w:rsidRPr="005D409E">
        <w:rPr>
          <w:rFonts w:cs="Times New Roman"/>
          <w:szCs w:val="24"/>
        </w:rPr>
        <w:t xml:space="preserve"> </w:t>
      </w:r>
      <w:proofErr w:type="spellStart"/>
      <w:r w:rsidRPr="005D409E">
        <w:rPr>
          <w:rFonts w:cs="Times New Roman"/>
          <w:szCs w:val="24"/>
        </w:rPr>
        <w:t>metode</w:t>
      </w:r>
      <w:proofErr w:type="spellEnd"/>
      <w:r w:rsidRPr="005D409E">
        <w:rPr>
          <w:rFonts w:cs="Times New Roman"/>
          <w:szCs w:val="24"/>
        </w:rPr>
        <w:t xml:space="preserve"> Deep Flow Technique (DFT) dan Nutrient Film Technique (NFT). </w:t>
      </w:r>
      <w:r w:rsidRPr="005D409E">
        <w:rPr>
          <w:rFonts w:cs="Times New Roman"/>
          <w:i/>
          <w:iCs/>
          <w:szCs w:val="24"/>
        </w:rPr>
        <w:t>JIA (</w:t>
      </w:r>
      <w:proofErr w:type="spellStart"/>
      <w:r w:rsidRPr="005D409E">
        <w:rPr>
          <w:rFonts w:cs="Times New Roman"/>
          <w:i/>
          <w:iCs/>
          <w:szCs w:val="24"/>
        </w:rPr>
        <w:t>Jurnal</w:t>
      </w:r>
      <w:proofErr w:type="spellEnd"/>
      <w:r w:rsidRPr="005D409E">
        <w:rPr>
          <w:rFonts w:cs="Times New Roman"/>
          <w:i/>
          <w:iCs/>
          <w:szCs w:val="24"/>
        </w:rPr>
        <w:t xml:space="preserve"> </w:t>
      </w:r>
      <w:proofErr w:type="spellStart"/>
      <w:r w:rsidRPr="005D409E">
        <w:rPr>
          <w:rFonts w:cs="Times New Roman"/>
          <w:i/>
          <w:iCs/>
          <w:szCs w:val="24"/>
        </w:rPr>
        <w:t>Ilmiah</w:t>
      </w:r>
      <w:proofErr w:type="spellEnd"/>
      <w:r w:rsidRPr="005D409E">
        <w:rPr>
          <w:rFonts w:cs="Times New Roman"/>
          <w:i/>
          <w:iCs/>
          <w:szCs w:val="24"/>
        </w:rPr>
        <w:t xml:space="preserve"> Agribisnis): </w:t>
      </w:r>
      <w:proofErr w:type="spellStart"/>
      <w:r w:rsidRPr="005D409E">
        <w:rPr>
          <w:rFonts w:cs="Times New Roman"/>
          <w:i/>
          <w:iCs/>
          <w:szCs w:val="24"/>
        </w:rPr>
        <w:t>Jurnal</w:t>
      </w:r>
      <w:proofErr w:type="spellEnd"/>
      <w:r w:rsidRPr="005D409E">
        <w:rPr>
          <w:rFonts w:cs="Times New Roman"/>
          <w:i/>
          <w:iCs/>
          <w:szCs w:val="24"/>
        </w:rPr>
        <w:t xml:space="preserve"> </w:t>
      </w:r>
      <w:proofErr w:type="spellStart"/>
      <w:r w:rsidRPr="005D409E">
        <w:rPr>
          <w:rFonts w:cs="Times New Roman"/>
          <w:i/>
          <w:iCs/>
          <w:szCs w:val="24"/>
        </w:rPr>
        <w:t>Agribisnis</w:t>
      </w:r>
      <w:proofErr w:type="spellEnd"/>
      <w:r w:rsidRPr="005D409E">
        <w:rPr>
          <w:rFonts w:cs="Times New Roman"/>
          <w:i/>
          <w:iCs/>
          <w:szCs w:val="24"/>
        </w:rPr>
        <w:t xml:space="preserve"> dan </w:t>
      </w:r>
      <w:proofErr w:type="spellStart"/>
      <w:r w:rsidRPr="005D409E">
        <w:rPr>
          <w:rFonts w:cs="Times New Roman"/>
          <w:i/>
          <w:iCs/>
          <w:szCs w:val="24"/>
        </w:rPr>
        <w:t>Ilmu</w:t>
      </w:r>
      <w:proofErr w:type="spellEnd"/>
      <w:r w:rsidRPr="005D409E">
        <w:rPr>
          <w:rFonts w:cs="Times New Roman"/>
          <w:i/>
          <w:iCs/>
          <w:szCs w:val="24"/>
        </w:rPr>
        <w:t xml:space="preserve"> </w:t>
      </w:r>
      <w:proofErr w:type="spellStart"/>
      <w:r w:rsidRPr="005D409E">
        <w:rPr>
          <w:rFonts w:cs="Times New Roman"/>
          <w:i/>
          <w:iCs/>
          <w:szCs w:val="24"/>
        </w:rPr>
        <w:t>Sosial</w:t>
      </w:r>
      <w:proofErr w:type="spellEnd"/>
      <w:r w:rsidRPr="005D409E">
        <w:rPr>
          <w:rFonts w:cs="Times New Roman"/>
          <w:i/>
          <w:iCs/>
          <w:szCs w:val="24"/>
        </w:rPr>
        <w:t xml:space="preserve"> Ekonomi Pertanian, 9</w:t>
      </w:r>
      <w:r w:rsidRPr="005D409E">
        <w:rPr>
          <w:rFonts w:cs="Times New Roman"/>
          <w:szCs w:val="24"/>
        </w:rPr>
        <w:t xml:space="preserve">(4), 381–390. </w:t>
      </w:r>
      <w:hyperlink r:id="rId9" w:tgtFrame="_blank" w:history="1">
        <w:r w:rsidRPr="005D409E">
          <w:rPr>
            <w:rFonts w:cs="Times New Roman"/>
            <w:color w:val="0000FF"/>
            <w:szCs w:val="24"/>
            <w:u w:val="single"/>
          </w:rPr>
          <w:t>https://doi.org/10.37149/jia.v9i4.1425</w:t>
        </w:r>
      </w:hyperlink>
    </w:p>
    <w:p w14:paraId="2EAB7A5B" w14:textId="77777777" w:rsidR="005D409E" w:rsidRPr="005D409E" w:rsidRDefault="005D409E" w:rsidP="005D409E">
      <w:pPr>
        <w:spacing w:before="100" w:beforeAutospacing="1" w:after="100" w:afterAutospacing="1"/>
        <w:ind w:left="540" w:hanging="540"/>
        <w:jc w:val="both"/>
        <w:rPr>
          <w:rFonts w:cs="Times New Roman"/>
          <w:szCs w:val="24"/>
        </w:rPr>
      </w:pPr>
      <w:proofErr w:type="spellStart"/>
      <w:r w:rsidRPr="005D409E">
        <w:rPr>
          <w:rFonts w:cs="Times New Roman"/>
          <w:szCs w:val="24"/>
        </w:rPr>
        <w:t>Banboukian</w:t>
      </w:r>
      <w:proofErr w:type="spellEnd"/>
      <w:r w:rsidRPr="005D409E">
        <w:rPr>
          <w:rFonts w:cs="Times New Roman"/>
          <w:szCs w:val="24"/>
        </w:rPr>
        <w:t xml:space="preserve">, A., Chen, Y., &amp; Thomas, V. M. (2025). The challenges of controlled environment hydroponic farming: A life cycle assessment of lettuce. </w:t>
      </w:r>
      <w:r w:rsidRPr="005D409E">
        <w:rPr>
          <w:rFonts w:cs="Times New Roman"/>
          <w:i/>
          <w:iCs/>
          <w:szCs w:val="24"/>
        </w:rPr>
        <w:t>The International Journal of Life Cycle Assessment, 30</w:t>
      </w:r>
      <w:r w:rsidRPr="005D409E">
        <w:rPr>
          <w:rFonts w:cs="Times New Roman"/>
          <w:szCs w:val="24"/>
        </w:rPr>
        <w:t xml:space="preserve">, 1691–1704. </w:t>
      </w:r>
      <w:hyperlink r:id="rId10" w:tgtFrame="_blank" w:history="1">
        <w:r w:rsidRPr="005D409E">
          <w:rPr>
            <w:rFonts w:cs="Times New Roman"/>
            <w:color w:val="0000FF"/>
            <w:szCs w:val="24"/>
            <w:u w:val="single"/>
          </w:rPr>
          <w:t>https://doi.org/10.1007/s11367-025-02463-6</w:t>
        </w:r>
      </w:hyperlink>
    </w:p>
    <w:p w14:paraId="0381B3ED" w14:textId="77777777" w:rsidR="005D409E" w:rsidRPr="005D409E" w:rsidRDefault="005D409E" w:rsidP="005D409E">
      <w:pPr>
        <w:spacing w:before="100" w:beforeAutospacing="1" w:after="100" w:afterAutospacing="1"/>
        <w:ind w:left="540" w:hanging="540"/>
        <w:jc w:val="both"/>
        <w:rPr>
          <w:rFonts w:cs="Times New Roman"/>
          <w:szCs w:val="24"/>
        </w:rPr>
      </w:pPr>
      <w:r w:rsidRPr="005D409E">
        <w:rPr>
          <w:rFonts w:cs="Times New Roman"/>
          <w:szCs w:val="24"/>
          <w:lang w:val="nl-BE"/>
        </w:rPr>
        <w:t xml:space="preserve">Barbosa, G. L., Gadelha, F. D. A., Kublik, N., Proctor, A., Reichelm, L., Weissinger, E., Wohlleb, G. M., &amp; Halden, R. U. (2015). </w:t>
      </w:r>
      <w:r w:rsidRPr="005D409E">
        <w:rPr>
          <w:rFonts w:cs="Times New Roman"/>
          <w:szCs w:val="24"/>
        </w:rPr>
        <w:t xml:space="preserve">Comparison of land, water, and energy requirements of lettuce grown using hydroponic vs. conventional agricultural methods. </w:t>
      </w:r>
      <w:r w:rsidRPr="005D409E">
        <w:rPr>
          <w:rFonts w:cs="Times New Roman"/>
          <w:i/>
          <w:iCs/>
          <w:szCs w:val="24"/>
        </w:rPr>
        <w:t>International Journal of Environmental Research and Public Health, 12</w:t>
      </w:r>
      <w:r w:rsidRPr="005D409E">
        <w:rPr>
          <w:rFonts w:cs="Times New Roman"/>
          <w:szCs w:val="24"/>
        </w:rPr>
        <w:t xml:space="preserve">(6), 6879–6891. </w:t>
      </w:r>
      <w:hyperlink r:id="rId11" w:tgtFrame="_blank" w:history="1">
        <w:r w:rsidRPr="005D409E">
          <w:rPr>
            <w:rFonts w:cs="Times New Roman"/>
            <w:color w:val="0000FF"/>
            <w:szCs w:val="24"/>
            <w:u w:val="single"/>
          </w:rPr>
          <w:t>https://doi.org/10.3390/ijerph120606879</w:t>
        </w:r>
      </w:hyperlink>
    </w:p>
    <w:p w14:paraId="21E04DC9" w14:textId="77777777" w:rsidR="005D409E" w:rsidRPr="005D409E" w:rsidRDefault="005D409E" w:rsidP="005D409E">
      <w:pPr>
        <w:spacing w:before="100" w:beforeAutospacing="1" w:after="100" w:afterAutospacing="1"/>
        <w:ind w:left="540" w:hanging="540"/>
        <w:jc w:val="both"/>
        <w:rPr>
          <w:rFonts w:cs="Times New Roman"/>
          <w:szCs w:val="24"/>
        </w:rPr>
      </w:pPr>
      <w:proofErr w:type="spellStart"/>
      <w:r w:rsidRPr="005D409E">
        <w:rPr>
          <w:rFonts w:cs="Times New Roman"/>
          <w:szCs w:val="24"/>
        </w:rPr>
        <w:t>Carabio</w:t>
      </w:r>
      <w:proofErr w:type="spellEnd"/>
      <w:r w:rsidRPr="005D409E">
        <w:rPr>
          <w:rFonts w:cs="Times New Roman"/>
          <w:szCs w:val="24"/>
        </w:rPr>
        <w:t>, D. E., Pascual, V. U., Abello, N. F. H., Rondina, M. E., &amp; Pascual, P. R. L. (2021). Combined application of fermented bamboo (</w:t>
      </w:r>
      <w:r w:rsidRPr="005D409E">
        <w:rPr>
          <w:rFonts w:cs="Times New Roman"/>
          <w:i/>
          <w:iCs/>
          <w:szCs w:val="24"/>
        </w:rPr>
        <w:t>Bambusa spinosa</w:t>
      </w:r>
      <w:r w:rsidRPr="005D409E">
        <w:rPr>
          <w:rFonts w:cs="Times New Roman"/>
          <w:szCs w:val="24"/>
        </w:rPr>
        <w:t>) and mollusk (</w:t>
      </w:r>
      <w:r w:rsidRPr="005D409E">
        <w:rPr>
          <w:rFonts w:cs="Times New Roman"/>
          <w:i/>
          <w:iCs/>
          <w:szCs w:val="24"/>
        </w:rPr>
        <w:t>Achatina fulica</w:t>
      </w:r>
      <w:r w:rsidRPr="005D409E">
        <w:rPr>
          <w:rFonts w:cs="Times New Roman"/>
          <w:szCs w:val="24"/>
        </w:rPr>
        <w:t>) liquid fertilizer can improved lettuce (</w:t>
      </w:r>
      <w:r w:rsidRPr="005D409E">
        <w:rPr>
          <w:rFonts w:cs="Times New Roman"/>
          <w:i/>
          <w:iCs/>
          <w:szCs w:val="24"/>
        </w:rPr>
        <w:t>Lactuca sativa</w:t>
      </w:r>
      <w:r w:rsidRPr="005D409E">
        <w:rPr>
          <w:rFonts w:cs="Times New Roman"/>
          <w:szCs w:val="24"/>
        </w:rPr>
        <w:t xml:space="preserve"> var. Curly Green) production. </w:t>
      </w:r>
      <w:r w:rsidRPr="005D409E">
        <w:rPr>
          <w:rFonts w:cs="Times New Roman"/>
          <w:i/>
          <w:iCs/>
          <w:szCs w:val="24"/>
        </w:rPr>
        <w:t>Plant Cell Biotechnology and Molecular Biology, 22</w:t>
      </w:r>
      <w:r w:rsidRPr="005D409E">
        <w:rPr>
          <w:rFonts w:cs="Times New Roman"/>
          <w:szCs w:val="24"/>
        </w:rPr>
        <w:t xml:space="preserve">(3–4), 56–64. </w:t>
      </w:r>
      <w:hyperlink r:id="rId12" w:tgtFrame="_blank" w:history="1">
        <w:r w:rsidRPr="005D409E">
          <w:rPr>
            <w:rFonts w:cs="Times New Roman"/>
            <w:color w:val="0000FF"/>
            <w:szCs w:val="24"/>
            <w:u w:val="single"/>
          </w:rPr>
          <w:t>https://ikprress.org/index.php/PCBMB/article/view/5855</w:t>
        </w:r>
      </w:hyperlink>
    </w:p>
    <w:p w14:paraId="3514E4D2" w14:textId="77777777" w:rsidR="005D409E" w:rsidRPr="005D409E" w:rsidRDefault="005D409E" w:rsidP="005D409E">
      <w:pPr>
        <w:spacing w:before="100" w:beforeAutospacing="1" w:after="100" w:afterAutospacing="1"/>
        <w:ind w:left="540" w:hanging="540"/>
        <w:jc w:val="both"/>
        <w:rPr>
          <w:rFonts w:cs="Times New Roman"/>
          <w:szCs w:val="24"/>
        </w:rPr>
      </w:pPr>
      <w:r w:rsidRPr="005D409E">
        <w:rPr>
          <w:rFonts w:cs="Times New Roman"/>
          <w:szCs w:val="24"/>
        </w:rPr>
        <w:t xml:space="preserve">Chowdhury, M., Samarakoon, U. C., &amp; Altland, J. E. (2024). Evaluation of hydroponic systems for organic lettuce production in controlled environment. </w:t>
      </w:r>
      <w:r w:rsidRPr="005D409E">
        <w:rPr>
          <w:rFonts w:cs="Times New Roman"/>
          <w:i/>
          <w:iCs/>
          <w:szCs w:val="24"/>
        </w:rPr>
        <w:t>Frontiers in Plant Science, 15</w:t>
      </w:r>
      <w:r w:rsidRPr="005D409E">
        <w:rPr>
          <w:rFonts w:cs="Times New Roman"/>
          <w:szCs w:val="24"/>
        </w:rPr>
        <w:t xml:space="preserve">, 1401089. </w:t>
      </w:r>
      <w:hyperlink r:id="rId13" w:tgtFrame="_blank" w:history="1">
        <w:r w:rsidRPr="005D409E">
          <w:rPr>
            <w:rFonts w:cs="Times New Roman"/>
            <w:color w:val="0000FF"/>
            <w:szCs w:val="24"/>
            <w:u w:val="single"/>
          </w:rPr>
          <w:t>https://doi.org/10.3389/fpls.2024.1401089</w:t>
        </w:r>
      </w:hyperlink>
    </w:p>
    <w:p w14:paraId="7D9B2D18" w14:textId="77777777" w:rsidR="005D409E" w:rsidRPr="005D409E" w:rsidRDefault="005D409E" w:rsidP="005D409E">
      <w:pPr>
        <w:spacing w:before="100" w:beforeAutospacing="1" w:after="100" w:afterAutospacing="1"/>
        <w:ind w:left="540" w:hanging="540"/>
        <w:jc w:val="both"/>
        <w:rPr>
          <w:rFonts w:cs="Times New Roman"/>
          <w:szCs w:val="24"/>
        </w:rPr>
      </w:pPr>
      <w:r w:rsidRPr="005D409E">
        <w:rPr>
          <w:rFonts w:cs="Times New Roman"/>
          <w:szCs w:val="24"/>
        </w:rPr>
        <w:t>El-</w:t>
      </w:r>
      <w:proofErr w:type="spellStart"/>
      <w:r w:rsidRPr="005D409E">
        <w:rPr>
          <w:rFonts w:cs="Times New Roman"/>
          <w:szCs w:val="24"/>
        </w:rPr>
        <w:t>Demerdash</w:t>
      </w:r>
      <w:proofErr w:type="spellEnd"/>
      <w:r w:rsidRPr="005D409E">
        <w:rPr>
          <w:rFonts w:cs="Times New Roman"/>
          <w:szCs w:val="24"/>
        </w:rPr>
        <w:t xml:space="preserve">, D. I., Morad, M. M., </w:t>
      </w:r>
      <w:proofErr w:type="spellStart"/>
      <w:r w:rsidRPr="005D409E">
        <w:rPr>
          <w:rFonts w:cs="Times New Roman"/>
          <w:szCs w:val="24"/>
        </w:rPr>
        <w:t>Wasfy</w:t>
      </w:r>
      <w:proofErr w:type="spellEnd"/>
      <w:r w:rsidRPr="005D409E">
        <w:rPr>
          <w:rFonts w:cs="Times New Roman"/>
          <w:szCs w:val="24"/>
        </w:rPr>
        <w:t xml:space="preserve">, K. I., Hamed, L. M. M., &amp; </w:t>
      </w:r>
      <w:proofErr w:type="spellStart"/>
      <w:r w:rsidRPr="005D409E">
        <w:rPr>
          <w:rFonts w:cs="Times New Roman"/>
          <w:szCs w:val="24"/>
        </w:rPr>
        <w:t>Moursy</w:t>
      </w:r>
      <w:proofErr w:type="spellEnd"/>
      <w:r w:rsidRPr="005D409E">
        <w:rPr>
          <w:rFonts w:cs="Times New Roman"/>
          <w:szCs w:val="24"/>
        </w:rPr>
        <w:t xml:space="preserve">, M. A. M. (2026). Aeroponic and NFT system optimization for lettuce: Effects of flow rate and nutrient source on water use efficiency, growth, and profitability. </w:t>
      </w:r>
      <w:r w:rsidRPr="005D409E">
        <w:rPr>
          <w:rFonts w:cs="Times New Roman"/>
          <w:i/>
          <w:iCs/>
          <w:szCs w:val="24"/>
        </w:rPr>
        <w:t>Scientific Reports, 16</w:t>
      </w:r>
      <w:r w:rsidRPr="005D409E">
        <w:rPr>
          <w:rFonts w:cs="Times New Roman"/>
          <w:szCs w:val="24"/>
        </w:rPr>
        <w:t xml:space="preserve">, 14292. </w:t>
      </w:r>
      <w:hyperlink r:id="rId14" w:tgtFrame="_blank" w:history="1">
        <w:r w:rsidRPr="005D409E">
          <w:rPr>
            <w:rFonts w:cs="Times New Roman"/>
            <w:color w:val="0000FF"/>
            <w:szCs w:val="24"/>
            <w:u w:val="single"/>
          </w:rPr>
          <w:t>https://doi.org/10.1038/s41598-026-41347-z</w:t>
        </w:r>
      </w:hyperlink>
    </w:p>
    <w:p w14:paraId="451DE5A2" w14:textId="77777777" w:rsidR="005D409E" w:rsidRPr="005D409E" w:rsidRDefault="005D409E" w:rsidP="005D409E">
      <w:pPr>
        <w:spacing w:before="100" w:beforeAutospacing="1" w:after="100" w:afterAutospacing="1"/>
        <w:ind w:left="540" w:hanging="540"/>
        <w:jc w:val="both"/>
        <w:rPr>
          <w:rFonts w:cs="Times New Roman"/>
          <w:szCs w:val="24"/>
        </w:rPr>
      </w:pPr>
      <w:proofErr w:type="spellStart"/>
      <w:r w:rsidRPr="005D409E">
        <w:rPr>
          <w:rFonts w:cs="Times New Roman"/>
          <w:szCs w:val="24"/>
        </w:rPr>
        <w:lastRenderedPageBreak/>
        <w:t>Engindeniz</w:t>
      </w:r>
      <w:proofErr w:type="spellEnd"/>
      <w:r w:rsidRPr="005D409E">
        <w:rPr>
          <w:rFonts w:cs="Times New Roman"/>
          <w:szCs w:val="24"/>
        </w:rPr>
        <w:t xml:space="preserve">, D. Y. (2025). Economic analysis of lettuce growing in greenhouse: A case study from Türkiye. </w:t>
      </w:r>
      <w:r w:rsidRPr="005D409E">
        <w:rPr>
          <w:rFonts w:cs="Times New Roman"/>
          <w:i/>
          <w:iCs/>
          <w:szCs w:val="24"/>
        </w:rPr>
        <w:t>Journal of Global Agriculture and Ecology, 17</w:t>
      </w:r>
      <w:r w:rsidRPr="005D409E">
        <w:rPr>
          <w:rFonts w:cs="Times New Roman"/>
          <w:szCs w:val="24"/>
        </w:rPr>
        <w:t xml:space="preserve">(1), 1–8. </w:t>
      </w:r>
      <w:hyperlink r:id="rId15" w:tgtFrame="_blank" w:history="1">
        <w:r w:rsidRPr="005D409E">
          <w:rPr>
            <w:rFonts w:cs="Times New Roman"/>
            <w:color w:val="0000FF"/>
            <w:szCs w:val="24"/>
            <w:u w:val="single"/>
          </w:rPr>
          <w:t>https://doi.org/10.56557/jogae/2025/v17i19039</w:t>
        </w:r>
      </w:hyperlink>
    </w:p>
    <w:p w14:paraId="26FF51B1" w14:textId="77777777" w:rsidR="005D409E" w:rsidRPr="005D409E" w:rsidRDefault="005D409E" w:rsidP="005D409E">
      <w:pPr>
        <w:spacing w:before="100" w:beforeAutospacing="1" w:after="100" w:afterAutospacing="1"/>
        <w:ind w:left="540" w:hanging="540"/>
        <w:jc w:val="both"/>
        <w:rPr>
          <w:rFonts w:cs="Times New Roman"/>
          <w:szCs w:val="24"/>
        </w:rPr>
      </w:pPr>
      <w:r w:rsidRPr="005D409E">
        <w:rPr>
          <w:rFonts w:cs="Times New Roman"/>
          <w:szCs w:val="24"/>
        </w:rPr>
        <w:t xml:space="preserve">Gruda, N. S. (2019). Increasing the sustainability of growing media constituents and stand-alone substrates in soilless culture systems. </w:t>
      </w:r>
      <w:r w:rsidRPr="005D409E">
        <w:rPr>
          <w:rFonts w:cs="Times New Roman"/>
          <w:i/>
          <w:iCs/>
          <w:szCs w:val="24"/>
        </w:rPr>
        <w:t>Agronomy, 9</w:t>
      </w:r>
      <w:r w:rsidRPr="005D409E">
        <w:rPr>
          <w:rFonts w:cs="Times New Roman"/>
          <w:szCs w:val="24"/>
        </w:rPr>
        <w:t xml:space="preserve">(6), 298. </w:t>
      </w:r>
      <w:hyperlink r:id="rId16" w:tgtFrame="_blank" w:history="1">
        <w:r w:rsidRPr="005D409E">
          <w:rPr>
            <w:rFonts w:cs="Times New Roman"/>
            <w:color w:val="0000FF"/>
            <w:szCs w:val="24"/>
            <w:u w:val="single"/>
          </w:rPr>
          <w:t>https://doi.org/10.3390/agronomy9060298</w:t>
        </w:r>
      </w:hyperlink>
    </w:p>
    <w:p w14:paraId="5BAA5DD8" w14:textId="77777777" w:rsidR="005D409E" w:rsidRPr="005D409E" w:rsidRDefault="005D409E" w:rsidP="005D409E">
      <w:pPr>
        <w:spacing w:before="100" w:beforeAutospacing="1" w:after="100" w:afterAutospacing="1"/>
        <w:ind w:left="540" w:hanging="540"/>
        <w:jc w:val="both"/>
        <w:rPr>
          <w:rFonts w:cs="Times New Roman"/>
          <w:szCs w:val="24"/>
        </w:rPr>
      </w:pPr>
      <w:r w:rsidRPr="005D409E">
        <w:rPr>
          <w:rFonts w:cs="Times New Roman"/>
          <w:szCs w:val="24"/>
        </w:rPr>
        <w:t xml:space="preserve">Gumisiriza, M. S., </w:t>
      </w:r>
      <w:proofErr w:type="spellStart"/>
      <w:r w:rsidRPr="005D409E">
        <w:rPr>
          <w:rFonts w:cs="Times New Roman"/>
          <w:szCs w:val="24"/>
        </w:rPr>
        <w:t>Ndakidemi</w:t>
      </w:r>
      <w:proofErr w:type="spellEnd"/>
      <w:r w:rsidRPr="005D409E">
        <w:rPr>
          <w:rFonts w:cs="Times New Roman"/>
          <w:szCs w:val="24"/>
        </w:rPr>
        <w:t xml:space="preserve">, P. A., &amp; </w:t>
      </w:r>
      <w:proofErr w:type="spellStart"/>
      <w:r w:rsidRPr="005D409E">
        <w:rPr>
          <w:rFonts w:cs="Times New Roman"/>
          <w:szCs w:val="24"/>
        </w:rPr>
        <w:t>Mbega</w:t>
      </w:r>
      <w:proofErr w:type="spellEnd"/>
      <w:r w:rsidRPr="005D409E">
        <w:rPr>
          <w:rFonts w:cs="Times New Roman"/>
          <w:szCs w:val="24"/>
        </w:rPr>
        <w:t xml:space="preserve">, E. R. (2022). A simplified non-greenhouse hydroponic system for small-scale soilless urban vegetable farming. </w:t>
      </w:r>
      <w:proofErr w:type="spellStart"/>
      <w:r w:rsidRPr="005D409E">
        <w:rPr>
          <w:rFonts w:cs="Times New Roman"/>
          <w:i/>
          <w:iCs/>
          <w:szCs w:val="24"/>
        </w:rPr>
        <w:t>MethodsX</w:t>
      </w:r>
      <w:proofErr w:type="spellEnd"/>
      <w:r w:rsidRPr="005D409E">
        <w:rPr>
          <w:rFonts w:cs="Times New Roman"/>
          <w:i/>
          <w:iCs/>
          <w:szCs w:val="24"/>
        </w:rPr>
        <w:t>, 9</w:t>
      </w:r>
      <w:r w:rsidRPr="005D409E">
        <w:rPr>
          <w:rFonts w:cs="Times New Roman"/>
          <w:szCs w:val="24"/>
        </w:rPr>
        <w:t xml:space="preserve">, 101882. </w:t>
      </w:r>
      <w:hyperlink r:id="rId17" w:tgtFrame="_blank" w:history="1">
        <w:r w:rsidRPr="005D409E">
          <w:rPr>
            <w:rFonts w:cs="Times New Roman"/>
            <w:color w:val="0000FF"/>
            <w:szCs w:val="24"/>
            <w:u w:val="single"/>
          </w:rPr>
          <w:t>https://doi.org/10.1016/j.mex.2022.101882</w:t>
        </w:r>
      </w:hyperlink>
    </w:p>
    <w:p w14:paraId="31DF1C0F" w14:textId="77777777" w:rsidR="005D409E" w:rsidRPr="005D409E" w:rsidRDefault="005D409E" w:rsidP="005D409E">
      <w:pPr>
        <w:spacing w:before="100" w:beforeAutospacing="1" w:after="100" w:afterAutospacing="1"/>
        <w:ind w:left="540" w:hanging="540"/>
        <w:jc w:val="both"/>
        <w:rPr>
          <w:rFonts w:cs="Times New Roman"/>
          <w:szCs w:val="24"/>
        </w:rPr>
      </w:pPr>
      <w:r w:rsidRPr="005D409E">
        <w:rPr>
          <w:rFonts w:cs="Times New Roman"/>
          <w:szCs w:val="24"/>
        </w:rPr>
        <w:t xml:space="preserve">Jarrar, E., Hasan, A. R., </w:t>
      </w:r>
      <w:proofErr w:type="spellStart"/>
      <w:r w:rsidRPr="005D409E">
        <w:rPr>
          <w:rFonts w:cs="Times New Roman"/>
          <w:szCs w:val="24"/>
        </w:rPr>
        <w:t>Alimari</w:t>
      </w:r>
      <w:proofErr w:type="spellEnd"/>
      <w:r w:rsidRPr="005D409E">
        <w:rPr>
          <w:rFonts w:cs="Times New Roman"/>
          <w:szCs w:val="24"/>
        </w:rPr>
        <w:t xml:space="preserve">, A., &amp; Saleh, M. (2022). Water and fertilizer use efficiency of lettuce plants cultivated in soilless conditions under different irrigation systems. </w:t>
      </w:r>
      <w:r w:rsidRPr="005D409E">
        <w:rPr>
          <w:rFonts w:cs="Times New Roman"/>
          <w:i/>
          <w:iCs/>
          <w:szCs w:val="24"/>
        </w:rPr>
        <w:t>Desalination and Water Treatment, 275</w:t>
      </w:r>
      <w:r w:rsidRPr="005D409E">
        <w:rPr>
          <w:rFonts w:cs="Times New Roman"/>
          <w:szCs w:val="24"/>
        </w:rPr>
        <w:t xml:space="preserve">, 184–195. </w:t>
      </w:r>
      <w:hyperlink r:id="rId18" w:tgtFrame="_blank" w:history="1">
        <w:r w:rsidRPr="005D409E">
          <w:rPr>
            <w:rFonts w:cs="Times New Roman"/>
            <w:color w:val="0000FF"/>
            <w:szCs w:val="24"/>
            <w:u w:val="single"/>
          </w:rPr>
          <w:t>https://doi.org/10.5004/dwt.2022.28868</w:t>
        </w:r>
      </w:hyperlink>
    </w:p>
    <w:p w14:paraId="57443733" w14:textId="77777777" w:rsidR="005D409E" w:rsidRPr="005D409E" w:rsidRDefault="005D409E" w:rsidP="005D409E">
      <w:pPr>
        <w:spacing w:before="100" w:beforeAutospacing="1" w:after="100" w:afterAutospacing="1"/>
        <w:ind w:left="540" w:hanging="540"/>
        <w:jc w:val="both"/>
        <w:rPr>
          <w:rFonts w:cs="Times New Roman"/>
          <w:szCs w:val="24"/>
        </w:rPr>
      </w:pPr>
      <w:r w:rsidRPr="005D409E">
        <w:rPr>
          <w:rFonts w:cs="Times New Roman"/>
          <w:szCs w:val="24"/>
        </w:rPr>
        <w:t xml:space="preserve">Kaveri, N., Kakumanu, K. R., Reddy, D. S., Radhika, P., &amp; Chary, D. S. (2026). Investment viability of urban hydroponic farming: Evidence from hydroponic vegetable farms in Hyderabad, India. </w:t>
      </w:r>
      <w:r w:rsidRPr="005D409E">
        <w:rPr>
          <w:rFonts w:cs="Times New Roman"/>
          <w:i/>
          <w:iCs/>
          <w:szCs w:val="24"/>
        </w:rPr>
        <w:t>Journal of Scientific Research and Reports, 32</w:t>
      </w:r>
      <w:r w:rsidRPr="005D409E">
        <w:rPr>
          <w:rFonts w:cs="Times New Roman"/>
          <w:szCs w:val="24"/>
        </w:rPr>
        <w:t xml:space="preserve">(1), 378–388. </w:t>
      </w:r>
      <w:hyperlink r:id="rId19" w:tgtFrame="_blank" w:history="1">
        <w:r w:rsidRPr="005D409E">
          <w:rPr>
            <w:rFonts w:cs="Times New Roman"/>
            <w:color w:val="0000FF"/>
            <w:szCs w:val="24"/>
            <w:u w:val="single"/>
          </w:rPr>
          <w:t>https://doi.org/10.9734/jsrr/2026/v32i13904</w:t>
        </w:r>
      </w:hyperlink>
    </w:p>
    <w:p w14:paraId="6F0691DE" w14:textId="77777777" w:rsidR="005D409E" w:rsidRPr="005D409E" w:rsidRDefault="005D409E" w:rsidP="005D409E">
      <w:pPr>
        <w:spacing w:before="100" w:beforeAutospacing="1" w:after="100" w:afterAutospacing="1"/>
        <w:ind w:left="540" w:hanging="540"/>
        <w:jc w:val="both"/>
        <w:rPr>
          <w:rFonts w:cs="Times New Roman"/>
          <w:szCs w:val="24"/>
        </w:rPr>
      </w:pPr>
      <w:r w:rsidRPr="005D409E">
        <w:rPr>
          <w:rFonts w:cs="Times New Roman"/>
          <w:szCs w:val="24"/>
        </w:rPr>
        <w:t xml:space="preserve">Kratky, B. A. (2005). Growing lettuce in non-aerated, non-circulated hydroponic systems. </w:t>
      </w:r>
      <w:r w:rsidRPr="005D409E">
        <w:rPr>
          <w:rFonts w:cs="Times New Roman"/>
          <w:i/>
          <w:iCs/>
          <w:szCs w:val="24"/>
        </w:rPr>
        <w:t>Journal of Vegetable Science, 11</w:t>
      </w:r>
      <w:r w:rsidRPr="005D409E">
        <w:rPr>
          <w:rFonts w:cs="Times New Roman"/>
          <w:szCs w:val="24"/>
        </w:rPr>
        <w:t xml:space="preserve">(2), 35–42. </w:t>
      </w:r>
      <w:hyperlink r:id="rId20" w:tgtFrame="_blank" w:history="1">
        <w:r w:rsidRPr="005D409E">
          <w:rPr>
            <w:rFonts w:cs="Times New Roman"/>
            <w:color w:val="0000FF"/>
            <w:szCs w:val="24"/>
            <w:u w:val="single"/>
          </w:rPr>
          <w:t>https://doi.org/10.1300/J484v11n02_04</w:t>
        </w:r>
      </w:hyperlink>
    </w:p>
    <w:p w14:paraId="6A16D287" w14:textId="77777777" w:rsidR="005D409E" w:rsidRPr="005D409E" w:rsidRDefault="005D409E" w:rsidP="005D409E">
      <w:pPr>
        <w:spacing w:before="100" w:beforeAutospacing="1" w:after="100" w:afterAutospacing="1"/>
        <w:ind w:left="540" w:hanging="540"/>
        <w:jc w:val="both"/>
        <w:rPr>
          <w:rFonts w:cs="Times New Roman"/>
          <w:szCs w:val="24"/>
        </w:rPr>
      </w:pPr>
      <w:proofErr w:type="spellStart"/>
      <w:r w:rsidRPr="005D409E">
        <w:rPr>
          <w:rFonts w:cs="Times New Roman"/>
          <w:szCs w:val="24"/>
        </w:rPr>
        <w:t>Kumsong</w:t>
      </w:r>
      <w:proofErr w:type="spellEnd"/>
      <w:r w:rsidRPr="005D409E">
        <w:rPr>
          <w:rFonts w:cs="Times New Roman"/>
          <w:szCs w:val="24"/>
        </w:rPr>
        <w:t xml:space="preserve">, N., </w:t>
      </w:r>
      <w:proofErr w:type="spellStart"/>
      <w:r w:rsidRPr="005D409E">
        <w:rPr>
          <w:rFonts w:cs="Times New Roman"/>
          <w:szCs w:val="24"/>
        </w:rPr>
        <w:t>Thepsilvisut</w:t>
      </w:r>
      <w:proofErr w:type="spellEnd"/>
      <w:r w:rsidRPr="005D409E">
        <w:rPr>
          <w:rFonts w:cs="Times New Roman"/>
          <w:szCs w:val="24"/>
        </w:rPr>
        <w:t xml:space="preserve">, O., </w:t>
      </w:r>
      <w:proofErr w:type="spellStart"/>
      <w:r w:rsidRPr="005D409E">
        <w:rPr>
          <w:rFonts w:cs="Times New Roman"/>
          <w:szCs w:val="24"/>
        </w:rPr>
        <w:t>Imorachorn</w:t>
      </w:r>
      <w:proofErr w:type="spellEnd"/>
      <w:r w:rsidRPr="005D409E">
        <w:rPr>
          <w:rFonts w:cs="Times New Roman"/>
          <w:szCs w:val="24"/>
        </w:rPr>
        <w:t xml:space="preserve">, P., </w:t>
      </w:r>
      <w:proofErr w:type="spellStart"/>
      <w:r w:rsidRPr="005D409E">
        <w:rPr>
          <w:rFonts w:cs="Times New Roman"/>
          <w:szCs w:val="24"/>
        </w:rPr>
        <w:t>Chutimanukul</w:t>
      </w:r>
      <w:proofErr w:type="spellEnd"/>
      <w:r w:rsidRPr="005D409E">
        <w:rPr>
          <w:rFonts w:cs="Times New Roman"/>
          <w:szCs w:val="24"/>
        </w:rPr>
        <w:t xml:space="preserve">, P., </w:t>
      </w:r>
      <w:proofErr w:type="spellStart"/>
      <w:r w:rsidRPr="005D409E">
        <w:rPr>
          <w:rFonts w:cs="Times New Roman"/>
          <w:szCs w:val="24"/>
        </w:rPr>
        <w:t>Pimpha</w:t>
      </w:r>
      <w:proofErr w:type="spellEnd"/>
      <w:r w:rsidRPr="005D409E">
        <w:rPr>
          <w:rFonts w:cs="Times New Roman"/>
          <w:szCs w:val="24"/>
        </w:rPr>
        <w:t xml:space="preserve">, N., </w:t>
      </w:r>
      <w:proofErr w:type="spellStart"/>
      <w:r w:rsidRPr="005D409E">
        <w:rPr>
          <w:rFonts w:cs="Times New Roman"/>
          <w:szCs w:val="24"/>
        </w:rPr>
        <w:t>Toojinda</w:t>
      </w:r>
      <w:proofErr w:type="spellEnd"/>
      <w:r w:rsidRPr="005D409E">
        <w:rPr>
          <w:rFonts w:cs="Times New Roman"/>
          <w:szCs w:val="24"/>
        </w:rPr>
        <w:t xml:space="preserve">, T., </w:t>
      </w:r>
      <w:proofErr w:type="spellStart"/>
      <w:r w:rsidRPr="005D409E">
        <w:rPr>
          <w:rFonts w:cs="Times New Roman"/>
          <w:szCs w:val="24"/>
        </w:rPr>
        <w:t>Trithaveesak</w:t>
      </w:r>
      <w:proofErr w:type="spellEnd"/>
      <w:r w:rsidRPr="005D409E">
        <w:rPr>
          <w:rFonts w:cs="Times New Roman"/>
          <w:szCs w:val="24"/>
        </w:rPr>
        <w:t xml:space="preserve">, O., </w:t>
      </w:r>
      <w:proofErr w:type="spellStart"/>
      <w:r w:rsidRPr="005D409E">
        <w:rPr>
          <w:rFonts w:cs="Times New Roman"/>
          <w:szCs w:val="24"/>
        </w:rPr>
        <w:t>Ratanaudomphisut</w:t>
      </w:r>
      <w:proofErr w:type="spellEnd"/>
      <w:r w:rsidRPr="005D409E">
        <w:rPr>
          <w:rFonts w:cs="Times New Roman"/>
          <w:szCs w:val="24"/>
        </w:rPr>
        <w:t xml:space="preserve">, E., </w:t>
      </w:r>
      <w:proofErr w:type="spellStart"/>
      <w:r w:rsidRPr="005D409E">
        <w:rPr>
          <w:rFonts w:cs="Times New Roman"/>
          <w:szCs w:val="24"/>
        </w:rPr>
        <w:t>Poyai</w:t>
      </w:r>
      <w:proofErr w:type="spellEnd"/>
      <w:r w:rsidRPr="005D409E">
        <w:rPr>
          <w:rFonts w:cs="Times New Roman"/>
          <w:szCs w:val="24"/>
        </w:rPr>
        <w:t xml:space="preserve">, A., </w:t>
      </w:r>
      <w:proofErr w:type="spellStart"/>
      <w:r w:rsidRPr="005D409E">
        <w:rPr>
          <w:rFonts w:cs="Times New Roman"/>
          <w:szCs w:val="24"/>
        </w:rPr>
        <w:t>Hruanun</w:t>
      </w:r>
      <w:proofErr w:type="spellEnd"/>
      <w:r w:rsidRPr="005D409E">
        <w:rPr>
          <w:rFonts w:cs="Times New Roman"/>
          <w:szCs w:val="24"/>
        </w:rPr>
        <w:t xml:space="preserve">, C., </w:t>
      </w:r>
      <w:proofErr w:type="spellStart"/>
      <w:r w:rsidRPr="005D409E">
        <w:rPr>
          <w:rFonts w:cs="Times New Roman"/>
          <w:szCs w:val="24"/>
        </w:rPr>
        <w:t>Yanuwong</w:t>
      </w:r>
      <w:proofErr w:type="spellEnd"/>
      <w:r w:rsidRPr="005D409E">
        <w:rPr>
          <w:rFonts w:cs="Times New Roman"/>
          <w:szCs w:val="24"/>
        </w:rPr>
        <w:t xml:space="preserve">, S., </w:t>
      </w:r>
      <w:proofErr w:type="spellStart"/>
      <w:r w:rsidRPr="005D409E">
        <w:rPr>
          <w:rFonts w:cs="Times New Roman"/>
          <w:szCs w:val="24"/>
        </w:rPr>
        <w:t>Pakhamin</w:t>
      </w:r>
      <w:proofErr w:type="spellEnd"/>
      <w:r w:rsidRPr="005D409E">
        <w:rPr>
          <w:rFonts w:cs="Times New Roman"/>
          <w:szCs w:val="24"/>
        </w:rPr>
        <w:t xml:space="preserve">, W., </w:t>
      </w:r>
      <w:proofErr w:type="spellStart"/>
      <w:r w:rsidRPr="005D409E">
        <w:rPr>
          <w:rFonts w:cs="Times New Roman"/>
          <w:szCs w:val="24"/>
        </w:rPr>
        <w:t>Kayoontammarong</w:t>
      </w:r>
      <w:proofErr w:type="spellEnd"/>
      <w:r w:rsidRPr="005D409E">
        <w:rPr>
          <w:rFonts w:cs="Times New Roman"/>
          <w:szCs w:val="24"/>
        </w:rPr>
        <w:t xml:space="preserve">, C., Janpeng, M., &amp; Ehara, H. (2023). Comparison of different temperature control systems in tropical-adapted greenhouses for green romaine lettuce production. </w:t>
      </w:r>
      <w:proofErr w:type="spellStart"/>
      <w:r w:rsidRPr="005D409E">
        <w:rPr>
          <w:rFonts w:cs="Times New Roman"/>
          <w:i/>
          <w:iCs/>
          <w:szCs w:val="24"/>
        </w:rPr>
        <w:t>Horticulturae</w:t>
      </w:r>
      <w:proofErr w:type="spellEnd"/>
      <w:r w:rsidRPr="005D409E">
        <w:rPr>
          <w:rFonts w:cs="Times New Roman"/>
          <w:i/>
          <w:iCs/>
          <w:szCs w:val="24"/>
        </w:rPr>
        <w:t>, 9</w:t>
      </w:r>
      <w:r w:rsidRPr="005D409E">
        <w:rPr>
          <w:rFonts w:cs="Times New Roman"/>
          <w:szCs w:val="24"/>
        </w:rPr>
        <w:t xml:space="preserve">(12), 1255. </w:t>
      </w:r>
      <w:hyperlink r:id="rId21" w:tgtFrame="_blank" w:history="1">
        <w:r w:rsidRPr="005D409E">
          <w:rPr>
            <w:rFonts w:cs="Times New Roman"/>
            <w:color w:val="0000FF"/>
            <w:szCs w:val="24"/>
            <w:u w:val="single"/>
          </w:rPr>
          <w:t>https://doi.org/10.3390/horticulturae9121255</w:t>
        </w:r>
      </w:hyperlink>
    </w:p>
    <w:p w14:paraId="08978001" w14:textId="77777777" w:rsidR="005D409E" w:rsidRPr="005D409E" w:rsidRDefault="005D409E" w:rsidP="005D409E">
      <w:pPr>
        <w:spacing w:before="100" w:beforeAutospacing="1" w:after="100" w:afterAutospacing="1"/>
        <w:ind w:left="540" w:hanging="540"/>
        <w:jc w:val="both"/>
        <w:rPr>
          <w:rFonts w:cs="Times New Roman"/>
          <w:szCs w:val="24"/>
        </w:rPr>
      </w:pPr>
      <w:proofErr w:type="spellStart"/>
      <w:r w:rsidRPr="005D409E">
        <w:rPr>
          <w:rFonts w:cs="Times New Roman"/>
          <w:szCs w:val="24"/>
        </w:rPr>
        <w:t>Lakhiar</w:t>
      </w:r>
      <w:proofErr w:type="spellEnd"/>
      <w:r w:rsidRPr="005D409E">
        <w:rPr>
          <w:rFonts w:cs="Times New Roman"/>
          <w:szCs w:val="24"/>
        </w:rPr>
        <w:t xml:space="preserve">, I. A., Yan, H., Syed, T. N., Zhang, C., Shaikh, S. A., </w:t>
      </w:r>
      <w:proofErr w:type="spellStart"/>
      <w:r w:rsidRPr="005D409E">
        <w:rPr>
          <w:rFonts w:cs="Times New Roman"/>
          <w:szCs w:val="24"/>
        </w:rPr>
        <w:t>Rakibuzzaman</w:t>
      </w:r>
      <w:proofErr w:type="spellEnd"/>
      <w:r w:rsidRPr="005D409E">
        <w:rPr>
          <w:rFonts w:cs="Times New Roman"/>
          <w:szCs w:val="24"/>
        </w:rPr>
        <w:t xml:space="preserve">, M., &amp; </w:t>
      </w:r>
      <w:proofErr w:type="spellStart"/>
      <w:r w:rsidRPr="005D409E">
        <w:rPr>
          <w:rFonts w:cs="Times New Roman"/>
          <w:szCs w:val="24"/>
        </w:rPr>
        <w:t>Vistro</w:t>
      </w:r>
      <w:proofErr w:type="spellEnd"/>
      <w:r w:rsidRPr="005D409E">
        <w:rPr>
          <w:rFonts w:cs="Times New Roman"/>
          <w:szCs w:val="24"/>
        </w:rPr>
        <w:t xml:space="preserve">, R. B. (2025). Soilless agricultural systems: Opportunities, challenges, and applications for enhancing horticultural resilience to climate change and urbanization. </w:t>
      </w:r>
      <w:proofErr w:type="spellStart"/>
      <w:r w:rsidRPr="005D409E">
        <w:rPr>
          <w:rFonts w:cs="Times New Roman"/>
          <w:i/>
          <w:iCs/>
          <w:szCs w:val="24"/>
        </w:rPr>
        <w:t>Horticulturae</w:t>
      </w:r>
      <w:proofErr w:type="spellEnd"/>
      <w:r w:rsidRPr="005D409E">
        <w:rPr>
          <w:rFonts w:cs="Times New Roman"/>
          <w:i/>
          <w:iCs/>
          <w:szCs w:val="24"/>
        </w:rPr>
        <w:t>, 11</w:t>
      </w:r>
      <w:r w:rsidRPr="005D409E">
        <w:rPr>
          <w:rFonts w:cs="Times New Roman"/>
          <w:szCs w:val="24"/>
        </w:rPr>
        <w:t xml:space="preserve">(6), 568. </w:t>
      </w:r>
      <w:hyperlink r:id="rId22" w:tgtFrame="_blank" w:history="1">
        <w:r w:rsidRPr="005D409E">
          <w:rPr>
            <w:rFonts w:cs="Times New Roman"/>
            <w:color w:val="0000FF"/>
            <w:szCs w:val="24"/>
            <w:u w:val="single"/>
          </w:rPr>
          <w:t>https://doi.org/10.3390/horticulturae11060568</w:t>
        </w:r>
      </w:hyperlink>
    </w:p>
    <w:p w14:paraId="37165C9D" w14:textId="77777777" w:rsidR="005D409E" w:rsidRPr="005D409E" w:rsidRDefault="005D409E" w:rsidP="005D409E">
      <w:pPr>
        <w:spacing w:before="100" w:beforeAutospacing="1" w:after="100" w:afterAutospacing="1"/>
        <w:ind w:left="540" w:hanging="540"/>
        <w:jc w:val="both"/>
        <w:rPr>
          <w:rFonts w:cs="Times New Roman"/>
          <w:szCs w:val="24"/>
        </w:rPr>
      </w:pPr>
      <w:r w:rsidRPr="005D409E">
        <w:rPr>
          <w:rFonts w:cs="Times New Roman"/>
          <w:szCs w:val="24"/>
        </w:rPr>
        <w:t xml:space="preserve">Liu, X., Chen, C., Zhang, Y.-H., &amp; Tong, Y.-X. (2025). Effects of nutrient solution recycling on water and nutrient consumption patterns and lettuce growth. </w:t>
      </w:r>
      <w:r w:rsidRPr="005D409E">
        <w:rPr>
          <w:rFonts w:cs="Times New Roman"/>
          <w:i/>
          <w:iCs/>
          <w:szCs w:val="24"/>
        </w:rPr>
        <w:t xml:space="preserve">Scientia </w:t>
      </w:r>
      <w:proofErr w:type="spellStart"/>
      <w:r w:rsidRPr="005D409E">
        <w:rPr>
          <w:rFonts w:cs="Times New Roman"/>
          <w:i/>
          <w:iCs/>
          <w:szCs w:val="24"/>
        </w:rPr>
        <w:t>Horticulturae</w:t>
      </w:r>
      <w:proofErr w:type="spellEnd"/>
      <w:r w:rsidRPr="005D409E">
        <w:rPr>
          <w:rFonts w:cs="Times New Roman"/>
          <w:i/>
          <w:iCs/>
          <w:szCs w:val="24"/>
        </w:rPr>
        <w:t>, 341</w:t>
      </w:r>
      <w:r w:rsidRPr="005D409E">
        <w:rPr>
          <w:rFonts w:cs="Times New Roman"/>
          <w:szCs w:val="24"/>
        </w:rPr>
        <w:t xml:space="preserve">, 113976. </w:t>
      </w:r>
      <w:hyperlink r:id="rId23" w:tgtFrame="_blank" w:history="1">
        <w:r w:rsidRPr="005D409E">
          <w:rPr>
            <w:rFonts w:cs="Times New Roman"/>
            <w:color w:val="0000FF"/>
            <w:szCs w:val="24"/>
            <w:u w:val="single"/>
          </w:rPr>
          <w:t>https://doi.org/10.1016/j.scienta.2025.113976</w:t>
        </w:r>
      </w:hyperlink>
    </w:p>
    <w:p w14:paraId="6FEBB9FD" w14:textId="77777777" w:rsidR="005D409E" w:rsidRPr="005D409E" w:rsidRDefault="005D409E" w:rsidP="005D409E">
      <w:pPr>
        <w:spacing w:before="100" w:beforeAutospacing="1" w:after="100" w:afterAutospacing="1"/>
        <w:ind w:left="540" w:hanging="540"/>
        <w:jc w:val="both"/>
        <w:rPr>
          <w:rFonts w:cs="Times New Roman"/>
          <w:szCs w:val="24"/>
        </w:rPr>
      </w:pPr>
      <w:r w:rsidRPr="005D409E">
        <w:rPr>
          <w:rFonts w:cs="Times New Roman"/>
          <w:szCs w:val="24"/>
        </w:rPr>
        <w:t xml:space="preserve">Maestre-Valero, J. F., Martin-Gorriz, B., Soto-García, M., Martinez-Mate, M. A., &amp; Martinez-Alvarez, V. (2018). Producing lettuce in soil-based or in soilless outdoor systems. Which is more economically profitable? </w:t>
      </w:r>
      <w:r w:rsidRPr="005D409E">
        <w:rPr>
          <w:rFonts w:cs="Times New Roman"/>
          <w:i/>
          <w:iCs/>
          <w:szCs w:val="24"/>
        </w:rPr>
        <w:t>Agricultural Water Management, 206</w:t>
      </w:r>
      <w:r w:rsidRPr="005D409E">
        <w:rPr>
          <w:rFonts w:cs="Times New Roman"/>
          <w:szCs w:val="24"/>
        </w:rPr>
        <w:t xml:space="preserve">, 48–55. </w:t>
      </w:r>
      <w:hyperlink r:id="rId24" w:tgtFrame="_blank" w:history="1">
        <w:r w:rsidRPr="005D409E">
          <w:rPr>
            <w:rFonts w:cs="Times New Roman"/>
            <w:color w:val="0000FF"/>
            <w:szCs w:val="24"/>
            <w:u w:val="single"/>
          </w:rPr>
          <w:t>https://doi.org/10.1016/j.agwat.2018.04.022</w:t>
        </w:r>
      </w:hyperlink>
    </w:p>
    <w:p w14:paraId="414B1FA3" w14:textId="77777777" w:rsidR="005D409E" w:rsidRPr="005D409E" w:rsidRDefault="005D409E" w:rsidP="005D409E">
      <w:pPr>
        <w:spacing w:before="100" w:beforeAutospacing="1" w:after="100" w:afterAutospacing="1"/>
        <w:ind w:left="540" w:hanging="540"/>
        <w:jc w:val="both"/>
        <w:rPr>
          <w:rFonts w:cs="Times New Roman"/>
          <w:szCs w:val="24"/>
        </w:rPr>
      </w:pPr>
      <w:r w:rsidRPr="005D409E">
        <w:rPr>
          <w:rFonts w:cs="Times New Roman"/>
          <w:szCs w:val="24"/>
          <w:lang w:val="nl-BE"/>
        </w:rPr>
        <w:t xml:space="preserve">Niu, G., &amp; Masabni, J. G. (2022). Hydroponics. </w:t>
      </w:r>
      <w:r w:rsidRPr="005D409E">
        <w:rPr>
          <w:rFonts w:cs="Times New Roman"/>
          <w:szCs w:val="24"/>
        </w:rPr>
        <w:t xml:space="preserve">In T. </w:t>
      </w:r>
      <w:proofErr w:type="spellStart"/>
      <w:r w:rsidRPr="005D409E">
        <w:rPr>
          <w:rFonts w:cs="Times New Roman"/>
          <w:szCs w:val="24"/>
        </w:rPr>
        <w:t>Kozai</w:t>
      </w:r>
      <w:proofErr w:type="spellEnd"/>
      <w:r w:rsidRPr="005D409E">
        <w:rPr>
          <w:rFonts w:cs="Times New Roman"/>
          <w:szCs w:val="24"/>
        </w:rPr>
        <w:t xml:space="preserve">, G. Niu, &amp; J. G. </w:t>
      </w:r>
      <w:proofErr w:type="spellStart"/>
      <w:r w:rsidRPr="005D409E">
        <w:rPr>
          <w:rFonts w:cs="Times New Roman"/>
          <w:szCs w:val="24"/>
        </w:rPr>
        <w:t>Masabni</w:t>
      </w:r>
      <w:proofErr w:type="spellEnd"/>
      <w:r w:rsidRPr="005D409E">
        <w:rPr>
          <w:rFonts w:cs="Times New Roman"/>
          <w:szCs w:val="24"/>
        </w:rPr>
        <w:t xml:space="preserve"> (Eds.), </w:t>
      </w:r>
      <w:r w:rsidRPr="005D409E">
        <w:rPr>
          <w:rFonts w:cs="Times New Roman"/>
          <w:i/>
          <w:iCs/>
          <w:szCs w:val="24"/>
        </w:rPr>
        <w:t>Plant factory basics, applications and advances</w:t>
      </w:r>
      <w:r w:rsidRPr="005D409E">
        <w:rPr>
          <w:rFonts w:cs="Times New Roman"/>
          <w:szCs w:val="24"/>
        </w:rPr>
        <w:t xml:space="preserve"> (pp. 153–166). Academic Press. </w:t>
      </w:r>
      <w:hyperlink r:id="rId25" w:tgtFrame="_blank" w:history="1">
        <w:r w:rsidRPr="005D409E">
          <w:rPr>
            <w:rFonts w:cs="Times New Roman"/>
            <w:color w:val="0000FF"/>
            <w:szCs w:val="24"/>
            <w:u w:val="single"/>
          </w:rPr>
          <w:t>https://doi.org/10.1016/B978-0-323-85152-7.00023-9</w:t>
        </w:r>
      </w:hyperlink>
    </w:p>
    <w:p w14:paraId="7A098C73" w14:textId="77777777" w:rsidR="005D409E" w:rsidRPr="005D409E" w:rsidRDefault="005D409E" w:rsidP="005D409E">
      <w:pPr>
        <w:spacing w:before="100" w:beforeAutospacing="1" w:after="100" w:afterAutospacing="1"/>
        <w:ind w:left="540" w:hanging="540"/>
        <w:jc w:val="both"/>
        <w:rPr>
          <w:rFonts w:cs="Times New Roman"/>
          <w:szCs w:val="24"/>
        </w:rPr>
      </w:pPr>
      <w:r w:rsidRPr="005D409E">
        <w:rPr>
          <w:rFonts w:cs="Times New Roman"/>
          <w:szCs w:val="24"/>
        </w:rPr>
        <w:t xml:space="preserve">Ramos, A. P., Rocha, L. V., Martin, A. A., Casco, V. V., &amp; Da Jose, B. O. (2024). Potential of </w:t>
      </w:r>
      <w:proofErr w:type="spellStart"/>
      <w:r w:rsidRPr="005D409E">
        <w:rPr>
          <w:rFonts w:cs="Times New Roman"/>
          <w:szCs w:val="24"/>
        </w:rPr>
        <w:t>vermitea</w:t>
      </w:r>
      <w:proofErr w:type="spellEnd"/>
      <w:r w:rsidRPr="005D409E">
        <w:rPr>
          <w:rFonts w:cs="Times New Roman"/>
          <w:szCs w:val="24"/>
        </w:rPr>
        <w:t xml:space="preserve"> and SNAP as nutrient solution for lettuce (</w:t>
      </w:r>
      <w:r w:rsidRPr="005D409E">
        <w:rPr>
          <w:rFonts w:cs="Times New Roman"/>
          <w:i/>
          <w:iCs/>
          <w:szCs w:val="24"/>
        </w:rPr>
        <w:t>Lactuca sativa</w:t>
      </w:r>
      <w:r w:rsidRPr="005D409E">
        <w:rPr>
          <w:rFonts w:cs="Times New Roman"/>
          <w:szCs w:val="24"/>
        </w:rPr>
        <w:t xml:space="preserve">) under non-circulating </w:t>
      </w:r>
      <w:r w:rsidRPr="005D409E">
        <w:rPr>
          <w:rFonts w:cs="Times New Roman"/>
          <w:szCs w:val="24"/>
        </w:rPr>
        <w:lastRenderedPageBreak/>
        <w:t xml:space="preserve">hydroponics system. </w:t>
      </w:r>
      <w:r w:rsidRPr="005D409E">
        <w:rPr>
          <w:rFonts w:cs="Times New Roman"/>
          <w:i/>
          <w:iCs/>
          <w:szCs w:val="24"/>
        </w:rPr>
        <w:t>International Journal of Farm Sciences, 14</w:t>
      </w:r>
      <w:r w:rsidRPr="005D409E">
        <w:rPr>
          <w:rFonts w:cs="Times New Roman"/>
          <w:szCs w:val="24"/>
        </w:rPr>
        <w:t xml:space="preserve">(1–2), 40–44. </w:t>
      </w:r>
      <w:hyperlink r:id="rId26" w:tgtFrame="_blank" w:history="1">
        <w:r w:rsidRPr="005D409E">
          <w:rPr>
            <w:rFonts w:cs="Times New Roman"/>
            <w:color w:val="0000FF"/>
            <w:szCs w:val="24"/>
            <w:u w:val="single"/>
          </w:rPr>
          <w:t>https://doi.org/10.5958/2250-0499.2024.00022.8</w:t>
        </w:r>
      </w:hyperlink>
    </w:p>
    <w:p w14:paraId="5B5E089E" w14:textId="3CA96818" w:rsidR="005D409E" w:rsidRPr="005D409E" w:rsidRDefault="005D409E" w:rsidP="005D409E">
      <w:pPr>
        <w:spacing w:before="100" w:beforeAutospacing="1" w:after="100" w:afterAutospacing="1"/>
        <w:ind w:left="540" w:hanging="540"/>
        <w:jc w:val="both"/>
        <w:rPr>
          <w:rFonts w:cs="Times New Roman"/>
          <w:szCs w:val="24"/>
        </w:rPr>
      </w:pPr>
      <w:r w:rsidRPr="005D409E">
        <w:rPr>
          <w:rFonts w:cs="Times New Roman"/>
          <w:szCs w:val="24"/>
        </w:rPr>
        <w:t xml:space="preserve">Resh, H. M. (2013). </w:t>
      </w:r>
      <w:r w:rsidRPr="005D409E">
        <w:rPr>
          <w:rFonts w:cs="Times New Roman"/>
          <w:i/>
          <w:iCs/>
          <w:szCs w:val="24"/>
        </w:rPr>
        <w:t>Hydroponic food production: A definitive guidebook for the advanced home gardener and the commercial hydroponic grower</w:t>
      </w:r>
      <w:r w:rsidRPr="005D409E">
        <w:rPr>
          <w:rFonts w:cs="Times New Roman"/>
          <w:szCs w:val="24"/>
        </w:rPr>
        <w:t xml:space="preserve"> (7th ed.). CRC Press. </w:t>
      </w:r>
    </w:p>
    <w:p w14:paraId="417D8484" w14:textId="4A0B231B" w:rsidR="005D409E" w:rsidRPr="005D409E" w:rsidRDefault="005D409E" w:rsidP="005D409E">
      <w:pPr>
        <w:spacing w:before="100" w:beforeAutospacing="1" w:after="100" w:afterAutospacing="1"/>
        <w:ind w:left="540" w:hanging="540"/>
        <w:jc w:val="both"/>
        <w:rPr>
          <w:rFonts w:cs="Times New Roman"/>
          <w:szCs w:val="24"/>
        </w:rPr>
      </w:pPr>
      <w:r w:rsidRPr="005D409E">
        <w:rPr>
          <w:rFonts w:cs="Times New Roman"/>
          <w:szCs w:val="24"/>
        </w:rPr>
        <w:t>Sace, C. F., &amp; Natividad, E. P., Jr. (2015). Economic analysis of an urban vertical garden for hydroponic production of lettuce (</w:t>
      </w:r>
      <w:r w:rsidRPr="005D409E">
        <w:rPr>
          <w:rFonts w:cs="Times New Roman"/>
          <w:i/>
          <w:iCs/>
          <w:szCs w:val="24"/>
        </w:rPr>
        <w:t>Lactuca sativa</w:t>
      </w:r>
      <w:r w:rsidRPr="005D409E">
        <w:rPr>
          <w:rFonts w:cs="Times New Roman"/>
          <w:szCs w:val="24"/>
        </w:rPr>
        <w:t xml:space="preserve">). </w:t>
      </w:r>
      <w:r w:rsidRPr="005D409E">
        <w:rPr>
          <w:rFonts w:cs="Times New Roman"/>
          <w:i/>
          <w:iCs/>
          <w:szCs w:val="24"/>
        </w:rPr>
        <w:t>International Journal of Contemporary Applied Sciences, 2</w:t>
      </w:r>
      <w:r w:rsidRPr="005D409E">
        <w:rPr>
          <w:rFonts w:cs="Times New Roman"/>
          <w:szCs w:val="24"/>
        </w:rPr>
        <w:t xml:space="preserve">(7), 42–56. </w:t>
      </w:r>
    </w:p>
    <w:p w14:paraId="0751A41B" w14:textId="77777777" w:rsidR="005D409E" w:rsidRPr="005D409E" w:rsidRDefault="005D409E" w:rsidP="005D409E">
      <w:pPr>
        <w:spacing w:before="100" w:beforeAutospacing="1" w:after="100" w:afterAutospacing="1"/>
        <w:ind w:left="540" w:hanging="540"/>
        <w:jc w:val="both"/>
        <w:rPr>
          <w:rFonts w:cs="Times New Roman"/>
          <w:szCs w:val="24"/>
        </w:rPr>
      </w:pPr>
      <w:r w:rsidRPr="005D409E">
        <w:rPr>
          <w:rFonts w:cs="Times New Roman"/>
          <w:szCs w:val="24"/>
        </w:rPr>
        <w:t xml:space="preserve">Savvas, D., &amp; Gruda, N. S. (2018). Application of soilless culture technologies in the modern greenhouse industry—A review. </w:t>
      </w:r>
      <w:r w:rsidRPr="005D409E">
        <w:rPr>
          <w:rFonts w:cs="Times New Roman"/>
          <w:i/>
          <w:iCs/>
          <w:szCs w:val="24"/>
        </w:rPr>
        <w:t>European Journal of Horticultural Science, 83</w:t>
      </w:r>
      <w:r w:rsidRPr="005D409E">
        <w:rPr>
          <w:rFonts w:cs="Times New Roman"/>
          <w:szCs w:val="24"/>
        </w:rPr>
        <w:t xml:space="preserve">(5), 280–293. </w:t>
      </w:r>
      <w:hyperlink r:id="rId27" w:tgtFrame="_blank" w:history="1">
        <w:r w:rsidRPr="005D409E">
          <w:rPr>
            <w:rFonts w:cs="Times New Roman"/>
            <w:color w:val="0000FF"/>
            <w:szCs w:val="24"/>
            <w:u w:val="single"/>
          </w:rPr>
          <w:t>https://doi.org/10.17660/eJHS.2018/83.5.2</w:t>
        </w:r>
      </w:hyperlink>
    </w:p>
    <w:p w14:paraId="621165B7" w14:textId="77777777" w:rsidR="005D409E" w:rsidRPr="005D409E" w:rsidRDefault="005D409E" w:rsidP="005D409E">
      <w:pPr>
        <w:spacing w:before="100" w:beforeAutospacing="1" w:after="100" w:afterAutospacing="1"/>
        <w:ind w:left="540" w:hanging="540"/>
        <w:jc w:val="both"/>
        <w:rPr>
          <w:rFonts w:cs="Times New Roman"/>
          <w:szCs w:val="24"/>
        </w:rPr>
      </w:pPr>
      <w:r w:rsidRPr="005D409E">
        <w:rPr>
          <w:rFonts w:cs="Times New Roman"/>
          <w:szCs w:val="24"/>
        </w:rPr>
        <w:t xml:space="preserve">Sharma, N., Acharya, S., Kumar, K., Singh, N., &amp; Chaurasia, O. P. (2018). Hydroponics as an advanced technique for vegetable production: An overview. </w:t>
      </w:r>
      <w:r w:rsidRPr="005D409E">
        <w:rPr>
          <w:rFonts w:cs="Times New Roman"/>
          <w:i/>
          <w:iCs/>
          <w:szCs w:val="24"/>
        </w:rPr>
        <w:t>Journal of Soil and Water Conservation, 17</w:t>
      </w:r>
      <w:r w:rsidRPr="005D409E">
        <w:rPr>
          <w:rFonts w:cs="Times New Roman"/>
          <w:szCs w:val="24"/>
        </w:rPr>
        <w:t xml:space="preserve">(4), 364–371. </w:t>
      </w:r>
      <w:hyperlink r:id="rId28" w:tgtFrame="_blank" w:history="1">
        <w:r w:rsidRPr="005D409E">
          <w:rPr>
            <w:rFonts w:cs="Times New Roman"/>
            <w:color w:val="0000FF"/>
            <w:szCs w:val="24"/>
            <w:u w:val="single"/>
          </w:rPr>
          <w:t>https://doi.org/10.5958/2455-7145.2018.00056.5</w:t>
        </w:r>
      </w:hyperlink>
    </w:p>
    <w:p w14:paraId="50780960" w14:textId="77777777" w:rsidR="005D409E" w:rsidRPr="005D409E" w:rsidRDefault="005D409E" w:rsidP="005D409E">
      <w:pPr>
        <w:spacing w:before="100" w:beforeAutospacing="1" w:after="100" w:afterAutospacing="1"/>
        <w:ind w:left="540" w:hanging="540"/>
        <w:jc w:val="both"/>
        <w:rPr>
          <w:rFonts w:cs="Times New Roman"/>
          <w:szCs w:val="24"/>
        </w:rPr>
      </w:pPr>
      <w:proofErr w:type="spellStart"/>
      <w:r w:rsidRPr="005D409E">
        <w:rPr>
          <w:rFonts w:cs="Times New Roman"/>
          <w:szCs w:val="24"/>
        </w:rPr>
        <w:t>Shtaya</w:t>
      </w:r>
      <w:proofErr w:type="spellEnd"/>
      <w:r w:rsidRPr="005D409E">
        <w:rPr>
          <w:rFonts w:cs="Times New Roman"/>
          <w:szCs w:val="24"/>
        </w:rPr>
        <w:t xml:space="preserve">, M. J. Y., &amp; </w:t>
      </w:r>
      <w:proofErr w:type="spellStart"/>
      <w:r w:rsidRPr="005D409E">
        <w:rPr>
          <w:rFonts w:cs="Times New Roman"/>
          <w:szCs w:val="24"/>
        </w:rPr>
        <w:t>Qubbaj</w:t>
      </w:r>
      <w:proofErr w:type="spellEnd"/>
      <w:r w:rsidRPr="005D409E">
        <w:rPr>
          <w:rFonts w:cs="Times New Roman"/>
          <w:szCs w:val="24"/>
        </w:rPr>
        <w:t>, T. (2022). Effect of different soilless agriculture methods on irrigation water saving and growth of lettuce (</w:t>
      </w:r>
      <w:r w:rsidRPr="005D409E">
        <w:rPr>
          <w:rFonts w:cs="Times New Roman"/>
          <w:i/>
          <w:iCs/>
          <w:szCs w:val="24"/>
        </w:rPr>
        <w:t>Lactuca sativa</w:t>
      </w:r>
      <w:r w:rsidRPr="005D409E">
        <w:rPr>
          <w:rFonts w:cs="Times New Roman"/>
          <w:szCs w:val="24"/>
        </w:rPr>
        <w:t xml:space="preserve">). </w:t>
      </w:r>
      <w:r w:rsidRPr="005D409E">
        <w:rPr>
          <w:rFonts w:cs="Times New Roman"/>
          <w:i/>
          <w:iCs/>
          <w:szCs w:val="24"/>
        </w:rPr>
        <w:t>Research on Crops, 23</w:t>
      </w:r>
      <w:r w:rsidRPr="005D409E">
        <w:rPr>
          <w:rFonts w:cs="Times New Roman"/>
          <w:szCs w:val="24"/>
        </w:rPr>
        <w:t xml:space="preserve">(1), 156–162. </w:t>
      </w:r>
      <w:hyperlink r:id="rId29" w:tgtFrame="_blank" w:history="1">
        <w:r w:rsidRPr="005D409E">
          <w:rPr>
            <w:rFonts w:cs="Times New Roman"/>
            <w:color w:val="0000FF"/>
            <w:szCs w:val="24"/>
            <w:u w:val="single"/>
          </w:rPr>
          <w:t>https://doi.org/10.31830/2348-7542.2022.022</w:t>
        </w:r>
      </w:hyperlink>
    </w:p>
    <w:p w14:paraId="280C974C" w14:textId="77777777" w:rsidR="005D409E" w:rsidRPr="005D409E" w:rsidRDefault="005D409E" w:rsidP="005D409E">
      <w:pPr>
        <w:spacing w:before="100" w:beforeAutospacing="1" w:after="100" w:afterAutospacing="1"/>
        <w:ind w:left="540" w:hanging="540"/>
        <w:jc w:val="both"/>
        <w:rPr>
          <w:rFonts w:cs="Times New Roman"/>
          <w:szCs w:val="24"/>
        </w:rPr>
      </w:pPr>
      <w:r w:rsidRPr="005D409E">
        <w:rPr>
          <w:rFonts w:cs="Times New Roman"/>
          <w:szCs w:val="24"/>
        </w:rPr>
        <w:t xml:space="preserve">Wang, L., Ning, S., Zheng, W., Guo, J., Li, Y., Li, Y., Chen, X., Ben-Gal, A., &amp; Wei, X. (2023). Performance analysis of two typical greenhouse lettuce production systems: Commercial hydroponic production and traditional soil cultivation. </w:t>
      </w:r>
      <w:r w:rsidRPr="005D409E">
        <w:rPr>
          <w:rFonts w:cs="Times New Roman"/>
          <w:i/>
          <w:iCs/>
          <w:szCs w:val="24"/>
        </w:rPr>
        <w:t>Frontiers in Plant Science, 14</w:t>
      </w:r>
      <w:r w:rsidRPr="005D409E">
        <w:rPr>
          <w:rFonts w:cs="Times New Roman"/>
          <w:szCs w:val="24"/>
        </w:rPr>
        <w:t xml:space="preserve">, 1165856. </w:t>
      </w:r>
      <w:hyperlink r:id="rId30" w:tgtFrame="_blank" w:history="1">
        <w:r w:rsidRPr="005D409E">
          <w:rPr>
            <w:rFonts w:cs="Times New Roman"/>
            <w:color w:val="0000FF"/>
            <w:szCs w:val="24"/>
            <w:u w:val="single"/>
          </w:rPr>
          <w:t>https://doi.org/10.3389/fpls.2023.1165856</w:t>
        </w:r>
      </w:hyperlink>
    </w:p>
    <w:p w14:paraId="0614F5E9" w14:textId="77777777" w:rsidR="005D409E" w:rsidRPr="005D409E" w:rsidRDefault="005D409E" w:rsidP="005D409E">
      <w:pPr>
        <w:spacing w:before="100" w:beforeAutospacing="1" w:after="100" w:afterAutospacing="1"/>
        <w:ind w:left="540" w:hanging="540"/>
        <w:jc w:val="both"/>
        <w:rPr>
          <w:rFonts w:cs="Times New Roman"/>
          <w:szCs w:val="24"/>
        </w:rPr>
      </w:pPr>
      <w:r w:rsidRPr="005D409E">
        <w:rPr>
          <w:rFonts w:cs="Times New Roman"/>
          <w:szCs w:val="24"/>
        </w:rPr>
        <w:t xml:space="preserve">Yang, T., Samarakoon, U., &amp; Altland, J. E. (2024). Growth, phytochemical concentration, nutrient uptake, and water consumption of butterhead lettuce in response to hydroponic system design and growing season. </w:t>
      </w:r>
      <w:r w:rsidRPr="005D409E">
        <w:rPr>
          <w:rFonts w:cs="Times New Roman"/>
          <w:i/>
          <w:iCs/>
          <w:szCs w:val="24"/>
        </w:rPr>
        <w:t xml:space="preserve">Scientia </w:t>
      </w:r>
      <w:proofErr w:type="spellStart"/>
      <w:r w:rsidRPr="005D409E">
        <w:rPr>
          <w:rFonts w:cs="Times New Roman"/>
          <w:i/>
          <w:iCs/>
          <w:szCs w:val="24"/>
        </w:rPr>
        <w:t>Horticulturae</w:t>
      </w:r>
      <w:proofErr w:type="spellEnd"/>
      <w:r w:rsidRPr="005D409E">
        <w:rPr>
          <w:rFonts w:cs="Times New Roman"/>
          <w:i/>
          <w:iCs/>
          <w:szCs w:val="24"/>
        </w:rPr>
        <w:t>, 332</w:t>
      </w:r>
      <w:r w:rsidRPr="005D409E">
        <w:rPr>
          <w:rFonts w:cs="Times New Roman"/>
          <w:szCs w:val="24"/>
        </w:rPr>
        <w:t xml:space="preserve">, 113201. </w:t>
      </w:r>
      <w:hyperlink r:id="rId31" w:tgtFrame="_blank" w:history="1">
        <w:r w:rsidRPr="005D409E">
          <w:rPr>
            <w:rFonts w:cs="Times New Roman"/>
            <w:color w:val="0000FF"/>
            <w:szCs w:val="24"/>
            <w:u w:val="single"/>
          </w:rPr>
          <w:t>https://doi.org/10.1016/j.scienta.2024.113201</w:t>
        </w:r>
      </w:hyperlink>
    </w:p>
    <w:p w14:paraId="6CEC674F" w14:textId="54495B74" w:rsidR="00FC4B7F" w:rsidRPr="00E825B8" w:rsidRDefault="00FC4B7F" w:rsidP="005D409E">
      <w:pPr>
        <w:spacing w:after="60"/>
        <w:ind w:left="432" w:hanging="432"/>
        <w:jc w:val="both"/>
        <w:rPr>
          <w:rFonts w:cs="Times New Roman"/>
          <w:szCs w:val="24"/>
        </w:rPr>
      </w:pPr>
    </w:p>
    <w:sectPr w:rsidR="00FC4B7F" w:rsidRPr="00E825B8" w:rsidSect="00E825B8">
      <w:headerReference w:type="even" r:id="rId32"/>
      <w:headerReference w:type="default" r:id="rId33"/>
      <w:footerReference w:type="even" r:id="rId34"/>
      <w:footerReference w:type="default" r:id="rId35"/>
      <w:headerReference w:type="first" r:id="rId36"/>
      <w:footerReference w:type="first" r:id="rId37"/>
      <w:pgSz w:w="11906" w:h="16838" w:code="9"/>
      <w:pgMar w:top="1008" w:right="1152" w:bottom="1008"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2FCEA" w14:textId="77777777" w:rsidR="00265A3A" w:rsidRDefault="00265A3A">
      <w:pPr>
        <w:spacing w:after="0"/>
      </w:pPr>
      <w:r>
        <w:separator/>
      </w:r>
    </w:p>
  </w:endnote>
  <w:endnote w:type="continuationSeparator" w:id="0">
    <w:p w14:paraId="40811128" w14:textId="77777777" w:rsidR="00265A3A" w:rsidRDefault="00265A3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5D086" w14:textId="77777777" w:rsidR="00903726" w:rsidRDefault="009037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C5F89" w14:textId="77777777" w:rsidR="00FC4B7F" w:rsidRDefault="00000000">
    <w:pPr>
      <w:pStyle w:val="Footer"/>
      <w:jc w:val="center"/>
    </w:pPr>
    <w:r>
      <w:rPr>
        <w:sz w:val="20"/>
      </w:rPr>
      <w:fldChar w:fldCharType="begin"/>
    </w:r>
    <w:r>
      <w:rPr>
        <w:sz w:val="20"/>
      </w:rPr>
      <w:instrText>PAGE</w:instrText>
    </w:r>
    <w:r>
      <w:rPr>
        <w:sz w:val="20"/>
      </w:rPr>
      <w:fldChar w:fldCharType="separate"/>
    </w:r>
    <w:r w:rsidR="00E825B8">
      <w:rPr>
        <w:noProof/>
        <w:sz w:val="20"/>
      </w:rPr>
      <w:t>1</w:t>
    </w:r>
    <w:r>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6DFC7" w14:textId="77777777" w:rsidR="00903726" w:rsidRDefault="009037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5C79C" w14:textId="77777777" w:rsidR="00265A3A" w:rsidRDefault="00265A3A">
      <w:pPr>
        <w:spacing w:after="0"/>
      </w:pPr>
      <w:r>
        <w:separator/>
      </w:r>
    </w:p>
  </w:footnote>
  <w:footnote w:type="continuationSeparator" w:id="0">
    <w:p w14:paraId="6F0AB8C4" w14:textId="77777777" w:rsidR="00265A3A" w:rsidRDefault="00265A3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2ED29" w14:textId="77777777" w:rsidR="00903726" w:rsidRDefault="00000000">
    <w:pPr>
      <w:pStyle w:val="Header"/>
    </w:pPr>
    <w:r>
      <w:rPr>
        <w:noProof/>
      </w:rPr>
      <w:pict w14:anchorId="63875C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6390344" o:spid="_x0000_s1026" type="#_x0000_t136" style="position:absolute;margin-left:0;margin-top:0;width:574.25pt;height:63.8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BC185" w14:textId="77777777" w:rsidR="00903726" w:rsidRDefault="00000000">
    <w:pPr>
      <w:pStyle w:val="Header"/>
    </w:pPr>
    <w:r>
      <w:rPr>
        <w:noProof/>
      </w:rPr>
      <w:pict w14:anchorId="1A697E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6390345" o:spid="_x0000_s1027" type="#_x0000_t136" style="position:absolute;margin-left:0;margin-top:0;width:574.25pt;height:63.8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0405B" w14:textId="77777777" w:rsidR="00903726" w:rsidRDefault="00000000">
    <w:pPr>
      <w:pStyle w:val="Header"/>
    </w:pPr>
    <w:r>
      <w:rPr>
        <w:noProof/>
      </w:rPr>
      <w:pict w14:anchorId="034188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6390343" o:spid="_x0000_s1025" type="#_x0000_t136" style="position:absolute;margin-left:0;margin-top:0;width:574.25pt;height:63.8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87187787">
    <w:abstractNumId w:val="8"/>
  </w:num>
  <w:num w:numId="2" w16cid:durableId="2007394798">
    <w:abstractNumId w:val="6"/>
  </w:num>
  <w:num w:numId="3" w16cid:durableId="1810592111">
    <w:abstractNumId w:val="5"/>
  </w:num>
  <w:num w:numId="4" w16cid:durableId="1557543672">
    <w:abstractNumId w:val="4"/>
  </w:num>
  <w:num w:numId="5" w16cid:durableId="120880443">
    <w:abstractNumId w:val="7"/>
  </w:num>
  <w:num w:numId="6" w16cid:durableId="404689489">
    <w:abstractNumId w:val="3"/>
  </w:num>
  <w:num w:numId="7" w16cid:durableId="849687428">
    <w:abstractNumId w:val="2"/>
  </w:num>
  <w:num w:numId="8" w16cid:durableId="859396469">
    <w:abstractNumId w:val="1"/>
  </w:num>
  <w:num w:numId="9" w16cid:durableId="761872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6A0"/>
    <w:rsid w:val="000345A6"/>
    <w:rsid w:val="00034616"/>
    <w:rsid w:val="00040F0B"/>
    <w:rsid w:val="0006063C"/>
    <w:rsid w:val="00092236"/>
    <w:rsid w:val="000D1519"/>
    <w:rsid w:val="0015074B"/>
    <w:rsid w:val="00265A3A"/>
    <w:rsid w:val="0029639D"/>
    <w:rsid w:val="00326F90"/>
    <w:rsid w:val="003F18C1"/>
    <w:rsid w:val="003F619C"/>
    <w:rsid w:val="00547BB4"/>
    <w:rsid w:val="005B12AD"/>
    <w:rsid w:val="005D409E"/>
    <w:rsid w:val="00692F01"/>
    <w:rsid w:val="0071374C"/>
    <w:rsid w:val="00836FEF"/>
    <w:rsid w:val="00903726"/>
    <w:rsid w:val="009077C5"/>
    <w:rsid w:val="00A02C15"/>
    <w:rsid w:val="00A21E19"/>
    <w:rsid w:val="00AA1D8D"/>
    <w:rsid w:val="00AB167A"/>
    <w:rsid w:val="00AB2DEA"/>
    <w:rsid w:val="00B24C31"/>
    <w:rsid w:val="00B47730"/>
    <w:rsid w:val="00B831CC"/>
    <w:rsid w:val="00BB2A67"/>
    <w:rsid w:val="00BF0048"/>
    <w:rsid w:val="00CB0664"/>
    <w:rsid w:val="00CD5788"/>
    <w:rsid w:val="00CD6D2D"/>
    <w:rsid w:val="00CE237B"/>
    <w:rsid w:val="00D106A2"/>
    <w:rsid w:val="00D671A7"/>
    <w:rsid w:val="00D90FB4"/>
    <w:rsid w:val="00DF4E2C"/>
    <w:rsid w:val="00E150B7"/>
    <w:rsid w:val="00E825B8"/>
    <w:rsid w:val="00EE1E62"/>
    <w:rsid w:val="00F35E1E"/>
    <w:rsid w:val="00FB5540"/>
    <w:rsid w:val="00FC4B7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A1A1E3A"/>
  <w14:defaultImageDpi w14:val="300"/>
  <w15:docId w15:val="{09108BE4-BF9C-4127-89C5-9AC162D8A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21E19"/>
    <w:rPr>
      <w:color w:val="0000FF" w:themeColor="hyperlink"/>
      <w:u w:val="single"/>
    </w:rPr>
  </w:style>
  <w:style w:type="character" w:styleId="UnresolvedMention">
    <w:name w:val="Unresolved Mention"/>
    <w:basedOn w:val="DefaultParagraphFont"/>
    <w:uiPriority w:val="99"/>
    <w:semiHidden/>
    <w:unhideWhenUsed/>
    <w:rsid w:val="00A21E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76688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89/fpls.2024.1401089?utm_source=chatgpt.com" TargetMode="External"/><Relationship Id="rId18" Type="http://schemas.openxmlformats.org/officeDocument/2006/relationships/hyperlink" Target="https://doi.org/10.5004/dwt.2022.28868?utm_source=chatgpt.com" TargetMode="External"/><Relationship Id="rId26" Type="http://schemas.openxmlformats.org/officeDocument/2006/relationships/hyperlink" Target="https://doi.org/10.5958/2250-0499.2024.00022.8?utm_source=chatgpt.com" TargetMode="External"/><Relationship Id="rId39" Type="http://schemas.openxmlformats.org/officeDocument/2006/relationships/theme" Target="theme/theme1.xml"/><Relationship Id="rId21" Type="http://schemas.openxmlformats.org/officeDocument/2006/relationships/hyperlink" Target="https://doi.org/10.3390/horticulturae9121255?utm_source=chatgpt.com"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ikprress.org/index.php/PCBMB/article/view/5855?utm_source=chatgpt.com" TargetMode="External"/><Relationship Id="rId17" Type="http://schemas.openxmlformats.org/officeDocument/2006/relationships/hyperlink" Target="https://doi.org/10.1016/j.mex.2022.101882?utm_source=chatgpt.com" TargetMode="External"/><Relationship Id="rId25" Type="http://schemas.openxmlformats.org/officeDocument/2006/relationships/hyperlink" Target="https://doi.org/10.1016/B978-0-323-85152-7.00023-9?utm_source=chatgpt.com"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3390/agronomy9060298?utm_source=chatgpt.com" TargetMode="External"/><Relationship Id="rId20" Type="http://schemas.openxmlformats.org/officeDocument/2006/relationships/hyperlink" Target="https://doi.org/10.1300/J484v11n02_04?utm_source=chatgpt.com" TargetMode="External"/><Relationship Id="rId29" Type="http://schemas.openxmlformats.org/officeDocument/2006/relationships/hyperlink" Target="https://doi.org/10.31830/2348-7542.2022.022?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90/ijerph120606879?utm_source=chatgpt.com" TargetMode="External"/><Relationship Id="rId24" Type="http://schemas.openxmlformats.org/officeDocument/2006/relationships/hyperlink" Target="https://doi.org/10.1016/j.agwat.2018.04.022?utm_source=chatgpt.com"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doi.org/10.56557/jogae/2025/v17i19039?utm_source=chatgpt.com" TargetMode="External"/><Relationship Id="rId23" Type="http://schemas.openxmlformats.org/officeDocument/2006/relationships/hyperlink" Target="https://doi.org/10.1016/j.scienta.2025.113976?utm_source=chatgpt.com" TargetMode="External"/><Relationship Id="rId28" Type="http://schemas.openxmlformats.org/officeDocument/2006/relationships/hyperlink" Target="https://doi.org/10.5958/2455-7145.2018.00056.5?utm_source=chatgpt.com" TargetMode="External"/><Relationship Id="rId36" Type="http://schemas.openxmlformats.org/officeDocument/2006/relationships/header" Target="header3.xml"/><Relationship Id="rId10" Type="http://schemas.openxmlformats.org/officeDocument/2006/relationships/hyperlink" Target="https://doi.org/10.1007/s11367-025-02463-6?utm_source=chatgpt.com" TargetMode="External"/><Relationship Id="rId19" Type="http://schemas.openxmlformats.org/officeDocument/2006/relationships/hyperlink" Target="https://doi.org/10.9734/jsrr/2026/v32i13904?utm_source=chatgpt.com" TargetMode="External"/><Relationship Id="rId31" Type="http://schemas.openxmlformats.org/officeDocument/2006/relationships/hyperlink" Target="https://doi.org/10.1016/j.scienta.2024.113201?utm_source=chatgpt.com" TargetMode="External"/><Relationship Id="rId4" Type="http://schemas.openxmlformats.org/officeDocument/2006/relationships/settings" Target="settings.xml"/><Relationship Id="rId9" Type="http://schemas.openxmlformats.org/officeDocument/2006/relationships/hyperlink" Target="https://doi.org/10.37149/jia.v9i4.1425?utm_source=chatgpt.com" TargetMode="External"/><Relationship Id="rId14" Type="http://schemas.openxmlformats.org/officeDocument/2006/relationships/hyperlink" Target="https://doi.org/10.1038/s41598-026-41347-z?utm_source=chatgpt.com" TargetMode="External"/><Relationship Id="rId22" Type="http://schemas.openxmlformats.org/officeDocument/2006/relationships/hyperlink" Target="https://doi.org/10.3390/horticulturae11060568?utm_source=chatgpt.com" TargetMode="External"/><Relationship Id="rId27" Type="http://schemas.openxmlformats.org/officeDocument/2006/relationships/hyperlink" Target="https://doi.org/10.17660/eJHS.2018/83.5.2?utm_source=chatgpt.com" TargetMode="External"/><Relationship Id="rId30" Type="http://schemas.openxmlformats.org/officeDocument/2006/relationships/hyperlink" Target="https://doi.org/10.3389/fpls.2023.1165856?utm_source=chatgpt.com" TargetMode="External"/><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11</Pages>
  <Words>5407</Words>
  <Characters>30825</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36160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CPU 1117</cp:lastModifiedBy>
  <cp:revision>14</cp:revision>
  <dcterms:created xsi:type="dcterms:W3CDTF">2026-09-20T09:28:00Z</dcterms:created>
  <dcterms:modified xsi:type="dcterms:W3CDTF">2026-09-24T09:19:00Z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95f801b5-3909-448e-9592-efa1eff092a8</vt:lpwstr>
  </property>
</Properties>
</file>