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ABFBC" w14:textId="77777777" w:rsidR="006530EA" w:rsidRPr="006530EA" w:rsidRDefault="006530EA" w:rsidP="006530EA">
      <w:pPr>
        <w:spacing w:after="280"/>
        <w:jc w:val="center"/>
        <w:rPr>
          <w:b/>
          <w:bCs/>
          <w:i/>
          <w:iCs/>
          <w:sz w:val="28"/>
          <w:u w:val="single"/>
        </w:rPr>
      </w:pPr>
      <w:r w:rsidRPr="006530EA">
        <w:rPr>
          <w:b/>
          <w:bCs/>
          <w:i/>
          <w:iCs/>
          <w:sz w:val="28"/>
          <w:u w:val="single"/>
        </w:rPr>
        <w:t>Review Article</w:t>
      </w:r>
    </w:p>
    <w:p w14:paraId="635A6730" w14:textId="77777777" w:rsidR="00B12319" w:rsidRDefault="00000000">
      <w:pPr>
        <w:spacing w:after="280"/>
        <w:jc w:val="center"/>
        <w:rPr>
          <w:b/>
          <w:sz w:val="28"/>
        </w:rPr>
      </w:pPr>
      <w:r>
        <w:rPr>
          <w:b/>
          <w:sz w:val="28"/>
        </w:rPr>
        <w:t>FPGA-Based Control Devices for Real-Time Systems: A Critical Review of Design Trends, Challenges and Research Priorities</w:t>
      </w:r>
    </w:p>
    <w:p w14:paraId="1E3578C0" w14:textId="77777777" w:rsidR="003C48D2" w:rsidRDefault="003C48D2">
      <w:pPr>
        <w:spacing w:after="280"/>
        <w:jc w:val="center"/>
      </w:pPr>
    </w:p>
    <w:p w14:paraId="04662F33" w14:textId="77777777" w:rsidR="00B12319" w:rsidRDefault="00000000">
      <w:pPr>
        <w:spacing w:before="240"/>
        <w:jc w:val="left"/>
      </w:pPr>
      <w:r>
        <w:rPr>
          <w:b/>
        </w:rPr>
        <w:t>Abstract</w:t>
      </w:r>
    </w:p>
    <w:p w14:paraId="5F2D7C03" w14:textId="77777777" w:rsidR="00B12319" w:rsidRDefault="00000000">
      <w:r>
        <w:t xml:space="preserve">Field-programmable gate arrays (FPGAs) have moved from peripheral glue logic to the computational core of demanding real-time control devices in power conversion, electrical drives, instrumentation, robotics and scientific facilities. The device class has also changed: contemporary parts combine programmable fabric with hardened processors, memory interfaces and communication blocks, so that the controller is now a heterogeneous system rather than a homogeneous array of look-up tables. This review critically evaluates the literature on FPGA-based control devices for real-time systems, covering architectural evolution, design-entry methodologies, control-algorithm </w:t>
      </w:r>
      <w:proofErr w:type="spellStart"/>
      <w:r>
        <w:t>realisation</w:t>
      </w:r>
      <w:proofErr w:type="spellEnd"/>
      <w:r>
        <w:t xml:space="preserve">, timing determinism, dynamic reconfiguration, embedded learning-based functions, dependability, security and validation practice. Peer-reviewed journal literature published between 2007 and 21 July 2026 was identified through </w:t>
      </w:r>
      <w:proofErr w:type="spellStart"/>
      <w:r>
        <w:t>Crossref</w:t>
      </w:r>
      <w:proofErr w:type="spellEnd"/>
      <w:r>
        <w:t xml:space="preserve">, CORE, the Directory of Open Access Journals, </w:t>
      </w:r>
      <w:proofErr w:type="spellStart"/>
      <w:r>
        <w:t>OpenAIRE</w:t>
      </w:r>
      <w:proofErr w:type="spellEnd"/>
      <w:r>
        <w:t xml:space="preserve"> and Europe PMC, supplemented by backward and forward citation searching, with every retained record verified against the digital object identifier registry. The synthesis indicates that the strongest evidence concerns algorithm-level acceleration: parallel hardware </w:t>
      </w:r>
      <w:proofErr w:type="spellStart"/>
      <w:r>
        <w:t>realisation</w:t>
      </w:r>
      <w:proofErr w:type="spellEnd"/>
      <w:r>
        <w:t xml:space="preserve"> reliably shortens the computational interval of model predictive, sliding-mode and observer-based control laws, enabling control strategies that were previously infeasible at short sampling periods. Evidence is substantially weaker for three classes of claim that appear frequently: that FPGA-based controllers are inherently more energy efficient than processor-based alternatives, that reported latency figures constitute real-time guarantees, and that dynamic partial reconfiguration is practical in deployed safety-relevant control loops. Comparative studies rarely </w:t>
      </w:r>
      <w:proofErr w:type="spellStart"/>
      <w:r>
        <w:t>equalise</w:t>
      </w:r>
      <w:proofErr w:type="spellEnd"/>
      <w:r>
        <w:t xml:space="preserve"> </w:t>
      </w:r>
      <w:proofErr w:type="spellStart"/>
      <w:r>
        <w:t>optimisation</w:t>
      </w:r>
      <w:proofErr w:type="spellEnd"/>
      <w:r>
        <w:t xml:space="preserve"> effort across platforms, timing evidence is usually observational rather than analytical, and dependability and security are treated as separate literatures that seldom inform control-device design. Priorities include </w:t>
      </w:r>
      <w:proofErr w:type="spellStart"/>
      <w:r>
        <w:t>standardised</w:t>
      </w:r>
      <w:proofErr w:type="spellEnd"/>
      <w:r>
        <w:t xml:space="preserve"> reporting for control-oriented hardware </w:t>
      </w:r>
      <w:r>
        <w:lastRenderedPageBreak/>
        <w:t>evaluation, analytical timing models for heterogeneous programmable platforms, and integrated treatment of reconfiguration, fault tolerance and trust within a single design methodology.</w:t>
      </w:r>
    </w:p>
    <w:p w14:paraId="6EFB59AD" w14:textId="77777777" w:rsidR="00B12319" w:rsidRDefault="00000000">
      <w:pPr>
        <w:spacing w:before="240"/>
        <w:jc w:val="left"/>
      </w:pPr>
      <w:r>
        <w:rPr>
          <w:b/>
        </w:rPr>
        <w:t>Keywords</w:t>
      </w:r>
    </w:p>
    <w:p w14:paraId="3BAC32D7" w14:textId="77777777" w:rsidR="00B12319" w:rsidRDefault="00000000">
      <w:r>
        <w:t>field-programmable gate array; real-time control; embedded systems; high-level synthesis; dynamic partial reconfiguration; system-on-chip; timing determinism; hardware-in-the-loop simulation</w:t>
      </w:r>
    </w:p>
    <w:p w14:paraId="582738A6" w14:textId="77777777" w:rsidR="00B12319" w:rsidRDefault="00000000">
      <w:pPr>
        <w:spacing w:before="240"/>
        <w:jc w:val="left"/>
      </w:pPr>
      <w:r>
        <w:rPr>
          <w:b/>
        </w:rPr>
        <w:t>1. Introduction</w:t>
      </w:r>
    </w:p>
    <w:p w14:paraId="73B50A46" w14:textId="77777777" w:rsidR="00B12319" w:rsidRDefault="00000000">
      <w:r>
        <w:t xml:space="preserve">A real-time control device is defined by the temporal correctness of its response rather than by its raw computational throughput. A controller that produces the correct actuation command after the actuation instant has failed, irrespective of the numerical quality of the command. This distinction separates the design of control hardware from the design of general-purpose computing hardware, and it explains the sustained interest in field-programmable gate arrays (FPGAs) as a substrate for control. Programmable logic permits the designer to instantiate a </w:t>
      </w:r>
      <w:proofErr w:type="spellStart"/>
      <w:r>
        <w:t>datapath</w:t>
      </w:r>
      <w:proofErr w:type="spellEnd"/>
      <w:r>
        <w:t xml:space="preserve"> whose structure matches the control law, so that the interval between sampling and actuation is determined by the depth of a </w:t>
      </w:r>
      <w:proofErr w:type="spellStart"/>
      <w:r>
        <w:t>synthesised</w:t>
      </w:r>
      <w:proofErr w:type="spellEnd"/>
      <w:r>
        <w:t xml:space="preserve"> pipeline rather than by instruction fetch, cache </w:t>
      </w:r>
      <w:proofErr w:type="spellStart"/>
      <w:r>
        <w:t>behaviour</w:t>
      </w:r>
      <w:proofErr w:type="spellEnd"/>
      <w:r>
        <w:t>, interrupt latency and operating-system scheduling. The early methodological literature established this argument explicitly, framing FPGA design for industrial control as a discipline with its own development cycle, partitioning rules and validation requirements rather than as an exercise in hardware description language coding (</w:t>
      </w:r>
      <w:proofErr w:type="spellStart"/>
      <w:r>
        <w:t>Monmasson</w:t>
      </w:r>
      <w:proofErr w:type="spellEnd"/>
      <w:r>
        <w:t xml:space="preserve"> &amp; Cirstea, 2007; Rodriguez-Andina et al., 2007).</w:t>
      </w:r>
    </w:p>
    <w:p w14:paraId="035814B2" w14:textId="77777777" w:rsidR="00B12319" w:rsidRDefault="00000000">
      <w:r>
        <w:t>The two decades since that framing have produced a large and heterogeneous body of work. Bibliometric analysis of FPGA-related publishing documents both sustained growth in output and a widening of application domains well beyond the industrial electronics community in which the methodological tradition originated (Ruiz-Rosero et al., 2019). Consolidating reviews traced the migration of FPGA-based control from auxiliary interface functions towards complete control chains, including current regulation, observer computation, modulation and protection (</w:t>
      </w:r>
      <w:proofErr w:type="spellStart"/>
      <w:r>
        <w:t>Monmasson</w:t>
      </w:r>
      <w:proofErr w:type="spellEnd"/>
      <w:r>
        <w:t xml:space="preserve"> et al., 2011), and later documented the arrival of device features, such as hardened arithmetic blocks, high-speed serial transceivers and embedded processors, that changed what a single control device could reasonably be asked to do (Rodriguez-Andina et al., 2015). Parallel </w:t>
      </w:r>
      <w:r>
        <w:lastRenderedPageBreak/>
        <w:t>surveys in adjacent areas recorded the diffusion of the same substrate into sensor systems and measurement chains (De la Piedra et al., 2012).</w:t>
      </w:r>
      <w:r>
        <w:rPr>
          <w:highlight w:val="yellow"/>
        </w:rPr>
        <w:t xml:space="preserve"> Recent control-oriented literature continues to document FPGA implementations across distinct control formulations, including fractional-order and embedded fuzzy-control approaches, while also emphasizing implementation choices such as arithmetic representation and hardware-oriented controller structure (Ali et al., 2024; Nada &amp; Bayoumi, 2024).</w:t>
      </w:r>
    </w:p>
    <w:p w14:paraId="651EAE7A" w14:textId="77777777" w:rsidR="00B12319" w:rsidRDefault="00000000">
      <w:r>
        <w:t>The object of study has changed more than the terminology suggests. Contemporary control devices described in the literature are rarely homogeneous arrays of configurable logic. They are heterogeneous systems in which a hardened multi-core processor, programmable fabric, hardened memory controllers and hardened communication blocks share a single die, and in which the performance of a control application depends as much on the on-chip interconnect as on the logic that implements the control law (</w:t>
      </w:r>
      <w:proofErr w:type="spellStart"/>
      <w:r>
        <w:t>Monmasson</w:t>
      </w:r>
      <w:proofErr w:type="spellEnd"/>
      <w:r>
        <w:t xml:space="preserve"> et al., 2022; Silva et al., 2015). This shift matters analytically, because many of the arguments that justified FPGA-based control, in particular the claim of deterministic, contention-free execution, were formulated for a device in which no shared processor, no shared memory hierarchy and no shared interconnect existed. Whether those arguments survive translation to heterogeneous platforms is a question the literature has not resolved.</w:t>
      </w:r>
      <w:r>
        <w:rPr>
          <w:highlight w:val="yellow"/>
        </w:rPr>
        <w:t xml:space="preserve"> Recent system-level studies likewise illustrate the continuing shift toward heterogeneous SoC-FPGA platforms, where hardware/software partitioning and FPGA acceleration are used to satisfy application-specific real-time requirements in embedded sensing and closed-loop industrial control (</w:t>
      </w:r>
      <w:proofErr w:type="spellStart"/>
      <w:r>
        <w:rPr>
          <w:highlight w:val="yellow"/>
        </w:rPr>
        <w:t>Panousopoulos</w:t>
      </w:r>
      <w:proofErr w:type="spellEnd"/>
      <w:r>
        <w:rPr>
          <w:highlight w:val="yellow"/>
        </w:rPr>
        <w:t xml:space="preserve"> et al., 2024; </w:t>
      </w:r>
      <w:proofErr w:type="spellStart"/>
      <w:r>
        <w:rPr>
          <w:highlight w:val="yellow"/>
        </w:rPr>
        <w:t>Rubattu</w:t>
      </w:r>
      <w:proofErr w:type="spellEnd"/>
      <w:r>
        <w:rPr>
          <w:highlight w:val="yellow"/>
        </w:rPr>
        <w:t xml:space="preserve"> et al., 2025).</w:t>
      </w:r>
    </w:p>
    <w:p w14:paraId="651878E7" w14:textId="77777777" w:rsidR="00B12319" w:rsidRDefault="00000000">
      <w:r>
        <w:t xml:space="preserve">A second complication concerns the quality of the comparative evidence. A substantial proportion of the applied literature is </w:t>
      </w:r>
      <w:proofErr w:type="spellStart"/>
      <w:r>
        <w:t>organised</w:t>
      </w:r>
      <w:proofErr w:type="spellEnd"/>
      <w:r>
        <w:t xml:space="preserve"> around a demonstration: a control law is implemented on a particular device, a latency or resource-</w:t>
      </w:r>
      <w:proofErr w:type="spellStart"/>
      <w:r>
        <w:t>utilisation</w:t>
      </w:r>
      <w:proofErr w:type="spellEnd"/>
      <w:r>
        <w:t xml:space="preserve"> figure is reported, and superiority over a processor-based implementation is asserted or implied. Studies that set out to compare platforms directly report more qualified results. Comparison of an FPGA and a digital signal processor for a voltage-source-converter-based compensator found that the advantage depended on how the control task was decomposed rather than on the device class alone (Sepulveda et al., 2013). Comparative implementation of filtering algorithms on FPGA and digital signal processor architectures similarly showed that the relative ranking varied with algorithm structure and arithmetic representation (Diouri et al., 2022), and an FPGA-versus-microcontroller comparison for an error-magnitude evaluation algorithm found that resource use, </w:t>
      </w:r>
      <w:r>
        <w:lastRenderedPageBreak/>
        <w:t xml:space="preserve">execution time and implementation effort traded off against one another rather than </w:t>
      </w:r>
      <w:proofErr w:type="spellStart"/>
      <w:r>
        <w:t>favouring</w:t>
      </w:r>
      <w:proofErr w:type="spellEnd"/>
      <w:r>
        <w:t xml:space="preserve"> one platform uniformly (Bianchi et al., 2020). The recurring pattern is that the general claim of FPGA superiority is not supported at the level of generality at which it is usually stated.</w:t>
      </w:r>
    </w:p>
    <w:p w14:paraId="76E3160C" w14:textId="2ED33A49" w:rsidR="00B12319" w:rsidRDefault="00000000">
      <w:r>
        <w:t xml:space="preserve">Existing reviews address parts of this territory but leave the integration problem open. The methodological reviews that defined the field predate the maturation of commercial high-level synthesis, the availability of production partial-reconfiguration flows, the embedding of learning-based functions inside control loops, the </w:t>
      </w:r>
      <w:proofErr w:type="spellStart"/>
      <w:r>
        <w:t>standardisation</w:t>
      </w:r>
      <w:proofErr w:type="spellEnd"/>
      <w:r>
        <w:t xml:space="preserve"> of deterministic Ethernet for industrial networks, and the emergence of remote and multi-tenant attack surfaces (</w:t>
      </w:r>
      <w:proofErr w:type="spellStart"/>
      <w:r>
        <w:t>Monmasson</w:t>
      </w:r>
      <w:proofErr w:type="spellEnd"/>
      <w:r>
        <w:t xml:space="preserve"> &amp; Cirstea, 2007; </w:t>
      </w:r>
      <w:proofErr w:type="spellStart"/>
      <w:r>
        <w:t>Monmasson</w:t>
      </w:r>
      <w:proofErr w:type="spellEnd"/>
      <w:r>
        <w:t xml:space="preserve"> et al., 2011; Rodriguez-Andina et al., 2015). More recent reviews are domain-specific rather than control-specific. Surveys of FPGA accelerators for convolutional neural networks </w:t>
      </w:r>
      <w:proofErr w:type="spellStart"/>
      <w:r>
        <w:t>analyse</w:t>
      </w:r>
      <w:proofErr w:type="spellEnd"/>
      <w:r>
        <w:t xml:space="preserve"> throughput and energy for inference workloads in which latency is a soft constraint and no plant is being </w:t>
      </w:r>
      <w:proofErr w:type="spellStart"/>
      <w:r>
        <w:t>stabilised</w:t>
      </w:r>
      <w:proofErr w:type="spellEnd"/>
      <w:r>
        <w:t xml:space="preserve"> (Hong et al., 2024; Mittal, 20</w:t>
      </w:r>
      <w:r w:rsidR="00C94039">
        <w:t>20</w:t>
      </w:r>
      <w:r>
        <w:t xml:space="preserve">; </w:t>
      </w:r>
      <w:proofErr w:type="spellStart"/>
      <w:r>
        <w:t>Shawahna</w:t>
      </w:r>
      <w:proofErr w:type="spellEnd"/>
      <w:r>
        <w:t xml:space="preserve"> et al., 2019). Reviews of dynamic and partial reconfiguration, of high-level synthesis for accelerator design, of neuromorphic implementation, and of security in multi-tenant cloud deployments each treat one design concern in isolation (</w:t>
      </w:r>
      <w:proofErr w:type="spellStart"/>
      <w:r>
        <w:t>Farsa</w:t>
      </w:r>
      <w:proofErr w:type="spellEnd"/>
      <w:r>
        <w:t xml:space="preserve"> et al., 2025; Kawser Ahmed et al., 2025; Molina et al., 2022; Vipin &amp; Fahmy, 2018). None of these takes the real-time control device as the unit of analysis, and consequently none examines whether the evidence supporting individual design decisions is strong enough to justify the architectural conclusions that are commonly drawn from it.</w:t>
      </w:r>
    </w:p>
    <w:p w14:paraId="00D1CC4A" w14:textId="77777777" w:rsidR="00B12319" w:rsidRDefault="00000000">
      <w:r>
        <w:t xml:space="preserve">The present review addresses that omission. It treats the FPGA-based control device as a system whose design must simultaneously satisfy temporal, functional, dependability and security requirements, and it asks, for each major design decision reported in the literature, what the evidence actually establishes, where findings conflict, and why. The emphasis is deliberately critical rather than cataloguing: the aim is to distinguish conclusions that are well supported across independent studies from those that rest on single demonstrations, </w:t>
      </w:r>
      <w:proofErr w:type="spellStart"/>
      <w:r>
        <w:t>favourable</w:t>
      </w:r>
      <w:proofErr w:type="spellEnd"/>
      <w:r>
        <w:t xml:space="preserve"> baselines or untested extrapolation.</w:t>
      </w:r>
    </w:p>
    <w:p w14:paraId="0B96E52A" w14:textId="77777777" w:rsidR="00B12319" w:rsidRDefault="00000000">
      <w:pPr>
        <w:spacing w:before="200"/>
        <w:jc w:val="left"/>
      </w:pPr>
      <w:r>
        <w:rPr>
          <w:b/>
          <w:i/>
        </w:rPr>
        <w:t>1.1 Scope, Research Gap and Objectives</w:t>
      </w:r>
    </w:p>
    <w:p w14:paraId="36E22B2A" w14:textId="77777777" w:rsidR="00B12319" w:rsidRDefault="00000000">
      <w:r>
        <w:t xml:space="preserve">This review concerns control devices in which programmable logic performs, or directly supports, the computation of a feedback control law that must complete within a bounded interval determined by the controlled process. The scope includes discrete FPGA devices, heterogeneous </w:t>
      </w:r>
      <w:r>
        <w:lastRenderedPageBreak/>
        <w:t xml:space="preserve">systems-on-chip that combine programmable fabric with hardened processing subsystems, and multi-device architectures in which programmable logic is paired with a processor or digital signal processor. It covers design-entry methodologies, </w:t>
      </w:r>
      <w:proofErr w:type="spellStart"/>
      <w:r>
        <w:t>realisation</w:t>
      </w:r>
      <w:proofErr w:type="spellEnd"/>
      <w:r>
        <w:t xml:space="preserve"> of control algorithms, timing </w:t>
      </w:r>
      <w:proofErr w:type="spellStart"/>
      <w:r>
        <w:t>behaviour</w:t>
      </w:r>
      <w:proofErr w:type="spellEnd"/>
      <w:r>
        <w:t xml:space="preserve"> and its analysis, dynamic reconfiguration, learning-based functions executed inside or alongside the control loop, dependability under soft errors, security and trust properties of the configured device, comparative evaluation practice, and validation by real-time simulation and hardware-in-the-loop testing.</w:t>
      </w:r>
    </w:p>
    <w:p w14:paraId="1D9EC45D" w14:textId="77777777" w:rsidR="00B12319" w:rsidRDefault="00000000">
      <w:r>
        <w:t xml:space="preserve">Several adjacent areas are excluded in order to preserve analytical depth. General-purpose hardware acceleration in which no control loop is closed is considered only where it supplies evidence about design methodology or timing </w:t>
      </w:r>
      <w:proofErr w:type="spellStart"/>
      <w:r>
        <w:t>behaviour</w:t>
      </w:r>
      <w:proofErr w:type="spellEnd"/>
      <w:r>
        <w:t xml:space="preserve"> that transfers to control. Image and video processing pipelines are excluded unless their output enters a feedback loop. Device physics, circuit-level architecture of the programmable fabric itself, and the design of application-specific integrated circuits are outside the scope, as are commercial product comparisons and cost modelling. Quantitative pooling of reported performance figures is not attempted, because the underlying studies do not share a common measurement protocol.</w:t>
      </w:r>
    </w:p>
    <w:p w14:paraId="6EDFD456" w14:textId="77777777" w:rsidR="00B12319" w:rsidRDefault="00000000">
      <w:r>
        <w:t xml:space="preserve">The research gap that motivates the review is specific. The field possesses a mature methodological tradition formulated for homogeneous programmable logic, a large applied literature demonstrating individual control </w:t>
      </w:r>
      <w:proofErr w:type="spellStart"/>
      <w:r>
        <w:t>realisations</w:t>
      </w:r>
      <w:proofErr w:type="spellEnd"/>
      <w:r>
        <w:t>, and several strong but narrow reviews of individual design concerns. It does not possess a critical synthesis that evaluates, across these strands, whether the evidence supports the timing, efficiency, adaptability, dependability and security claims routinely made for FPGA-based control devices, or that explains why comparative findings diverge. The absence of such a synthesis has practical consequences: design decisions are frequently justified by appeal to properties of an earlier device generation, and evaluation practice has not adapted to heterogeneous platforms in which the sources of timing variability differ fundamentally from those assumed in the founding literature.</w:t>
      </w:r>
    </w:p>
    <w:p w14:paraId="1BE1DC0F" w14:textId="77777777" w:rsidR="00B12319" w:rsidRDefault="00000000">
      <w:r>
        <w:t xml:space="preserve">Four objectives follow. The first is to </w:t>
      </w:r>
      <w:proofErr w:type="spellStart"/>
      <w:r>
        <w:t>characterise</w:t>
      </w:r>
      <w:proofErr w:type="spellEnd"/>
      <w:r>
        <w:t xml:space="preserve"> how the architectural definition of an FPGA-based control device has changed and what that change implies for previously established design arguments. The second is to evaluate the strength and consistency of the evidence supporting the principal performance, timing, energy, adaptability, dependability and security claims found in the literature. The third is to identify the methodological features of the evidence base, </w:t>
      </w:r>
      <w:r>
        <w:lastRenderedPageBreak/>
        <w:t xml:space="preserve">particularly in comparative and timing studies, that limit the confidence that can reasonably be placed in current conclusions. The fourth is to derive a </w:t>
      </w:r>
      <w:proofErr w:type="spellStart"/>
      <w:r>
        <w:t>prioritised</w:t>
      </w:r>
      <w:proofErr w:type="spellEnd"/>
      <w:r>
        <w:t xml:space="preserve"> research agenda in which each priority is tied to a specific evidential deficiency rather than to general aspiration. The intended contribution is an integrated critical appraisal that supports better-calibrated design reasoning, not an exhaustive inventory of published implementations.</w:t>
      </w:r>
    </w:p>
    <w:p w14:paraId="42C3E5D2" w14:textId="77777777" w:rsidR="00B12319" w:rsidRDefault="00000000">
      <w:pPr>
        <w:spacing w:before="240"/>
        <w:jc w:val="left"/>
      </w:pPr>
      <w:r>
        <w:rPr>
          <w:b/>
        </w:rPr>
        <w:t>2. Methods for Literature Selection</w:t>
      </w:r>
    </w:p>
    <w:p w14:paraId="70546FDE" w14:textId="77777777" w:rsidR="00B12319" w:rsidRDefault="00000000">
      <w:pPr>
        <w:spacing w:before="200"/>
        <w:jc w:val="left"/>
      </w:pPr>
      <w:r>
        <w:rPr>
          <w:b/>
          <w:i/>
        </w:rPr>
        <w:t>2.1 Review Design and Rationale</w:t>
      </w:r>
    </w:p>
    <w:p w14:paraId="72549BE5" w14:textId="77777777" w:rsidR="00B12319" w:rsidRDefault="00000000">
      <w:r>
        <w:t>A critical narrative review was selected because the review question is interpretive rather than estimative. The literature on FPGA-based control devices spans control engineering, power electronics, embedded systems, computer architecture, dependability and hardware security. These communities use incompatible outcome measures, report experiments on non-comparable platforms, and rarely describe interventions in a form that would permit pooled estimation. A systematic review with quantitative synthesis would therefore impose a spurious commensurability on the evidence. A scoping review would map the extent of the literature without addressing the central question, which concerns the strength of inference rather than the volume of publication. The narrative form was adopted for its capacity to compare heterogeneous evidence, but it was conducted with explicit attention to the transparency criteria formulated for narrative review quality, including justification of importance, statement of a specific aim, description of the literature search, referencing of claims, appropriate presentation of evidence, and appropriate presentation of data (</w:t>
      </w:r>
      <w:proofErr w:type="spellStart"/>
      <w:r>
        <w:t>Baethge</w:t>
      </w:r>
      <w:proofErr w:type="spellEnd"/>
      <w:r>
        <w:t xml:space="preserve"> et al., 2019). Narrative methodology is treated here as a reason for greater explicitness about search and appraisal, not as a </w:t>
      </w:r>
      <w:proofErr w:type="spellStart"/>
      <w:r>
        <w:t>licence</w:t>
      </w:r>
      <w:proofErr w:type="spellEnd"/>
      <w:r>
        <w:t xml:space="preserve"> for selective citation.</w:t>
      </w:r>
    </w:p>
    <w:p w14:paraId="32ED90F6" w14:textId="77777777" w:rsidR="00B12319" w:rsidRDefault="00000000">
      <w:pPr>
        <w:spacing w:before="200"/>
        <w:jc w:val="left"/>
      </w:pPr>
      <w:r>
        <w:rPr>
          <w:b/>
          <w:i/>
        </w:rPr>
        <w:t>2.2 Information Sources</w:t>
      </w:r>
    </w:p>
    <w:p w14:paraId="5EDEEF14" w14:textId="77777777" w:rsidR="00B12319" w:rsidRDefault="00000000">
      <w:r>
        <w:t xml:space="preserve">Five scholarly indexes were searched directly: </w:t>
      </w:r>
      <w:proofErr w:type="spellStart"/>
      <w:r>
        <w:t>Crossref</w:t>
      </w:r>
      <w:proofErr w:type="spellEnd"/>
      <w:r>
        <w:t xml:space="preserve">, CORE, the Directory of Open Access Journals, </w:t>
      </w:r>
      <w:proofErr w:type="spellStart"/>
      <w:r>
        <w:t>OpenAIRE</w:t>
      </w:r>
      <w:proofErr w:type="spellEnd"/>
      <w:r>
        <w:t xml:space="preserve"> and Europe PMC. </w:t>
      </w:r>
      <w:proofErr w:type="spellStart"/>
      <w:r>
        <w:t>Crossref</w:t>
      </w:r>
      <w:proofErr w:type="spellEnd"/>
      <w:r>
        <w:t xml:space="preserve"> served as the principal index for engineering journal literature and as the authority for bibliographic verification. CORE and </w:t>
      </w:r>
      <w:proofErr w:type="spellStart"/>
      <w:r>
        <w:t>OpenAIRE</w:t>
      </w:r>
      <w:proofErr w:type="spellEnd"/>
      <w:r>
        <w:t xml:space="preserve"> were used to capture open-access and repository-held records, the Directory of Open Access Journals to identify peer-reviewed open-access journal articles, and Europe PMC to capture instrumentation and biomedical applications of FPGA-based control that are indexed outside the </w:t>
      </w:r>
      <w:r>
        <w:lastRenderedPageBreak/>
        <w:t>engineering literature. Searching of these indexes was supplemented by backward citation searching of the reference lists of the retrieved reviews and of the principal methodological papers, by forward citation searching of the foundational methodological articles, and by related-article searching from records identified as central. Bibliographic details of every candidate record were checked against the digital object identifier registry, and records were also screened for corrections, expressions of concern and retraction notices. Two records identified during screening carried retraction notices and were excluded.</w:t>
      </w:r>
    </w:p>
    <w:p w14:paraId="2986B792" w14:textId="77777777" w:rsidR="00B12319" w:rsidRDefault="00000000">
      <w:pPr>
        <w:spacing w:before="200"/>
        <w:jc w:val="left"/>
      </w:pPr>
      <w:r>
        <w:rPr>
          <w:b/>
          <w:i/>
        </w:rPr>
        <w:t>2.3 Search Strategy and Search Period</w:t>
      </w:r>
    </w:p>
    <w:p w14:paraId="303D25B2" w14:textId="77777777" w:rsidR="00B12319" w:rsidRDefault="00000000">
      <w:r>
        <w:t xml:space="preserve">Search concepts were derived from the review question and combined with Boolean operators. The technology concept comprised terms such as FPGA, field-programmable gate array, programmable logic, reconfigurable hardware and system-on-chip FPGA. The function concept comprised real-time control, embedded control, digital control, controller implementation, motion control, power converter control and programmable logic controller. The property concept comprised latency, determinism, jitter, sampling period, worst-case execution time, resource </w:t>
      </w:r>
      <w:proofErr w:type="spellStart"/>
      <w:r>
        <w:t>utilisation</w:t>
      </w:r>
      <w:proofErr w:type="spellEnd"/>
      <w:r>
        <w:t xml:space="preserve"> and power consumption. Additional concept blocks addressed design methodology, including high-level synthesis, hardware description language, model-based design, hardware–software co-design and formal verification; adaptability, including dynamic partial reconfiguration, runtime reconfiguration and overlay architecture; intelligence, including neural network inference, machine learning accelerator and reinforcement learning; dependability, including single-event upset, soft error, fault injection, triple modular redundancy and certification; security, including bitstream, hardware Trojan, side-channel and multi-tenant; communication, including time-sensitive networking and industrial Ethernet; and validation, including hardware-in-the-loop, power hardware-in-the-loop and real-time simulation.</w:t>
      </w:r>
    </w:p>
    <w:p w14:paraId="34DBE658" w14:textId="77777777" w:rsidR="00B12319" w:rsidRDefault="00000000">
      <w:r>
        <w:t xml:space="preserve">A representative string, adapted to the syntax of each index, took the form of the technology concept combined by AND with the function concept and by AND with one property or design concept, with synonyms within each concept combined by OR. For example, the timing-oriented search combined ("FPGA" OR "field-programmable gate array" OR "reconfigurable hardware") AND ("real-time control" OR "embedded control" OR "controller implementation") AND ("latency" OR "determinism" OR "jitter" OR "worst-case execution time"). Searches were conducted in English. The search period extended from 1 January 2007 to 21 July 2026. The </w:t>
      </w:r>
      <w:r>
        <w:lastRenderedPageBreak/>
        <w:t xml:space="preserve">starting year corresponds to the publication of the methodological reviews that established FPGA-based industrial control as a distinct research </w:t>
      </w:r>
      <w:proofErr w:type="spellStart"/>
      <w:r>
        <w:t>programme</w:t>
      </w:r>
      <w:proofErr w:type="spellEnd"/>
      <w:r>
        <w:t xml:space="preserve"> and that continue to define the vocabulary of the field; earlier work is discussed where necessary for historical context but was not treated as a source of current evidence. The final search date was 21 July 2026.</w:t>
      </w:r>
    </w:p>
    <w:p w14:paraId="73209F26" w14:textId="77777777" w:rsidR="00B12319" w:rsidRDefault="00000000">
      <w:pPr>
        <w:spacing w:before="200"/>
        <w:jc w:val="left"/>
      </w:pPr>
      <w:r>
        <w:rPr>
          <w:b/>
          <w:i/>
        </w:rPr>
        <w:t>2.4 Eligibility Criteria</w:t>
      </w:r>
    </w:p>
    <w:p w14:paraId="45866532" w14:textId="77777777" w:rsidR="00B12319" w:rsidRDefault="00000000">
      <w:r>
        <w:t>Records were eligible if they were peer-reviewed journal articles reporting original research, methodological development, or review of the literature; if they concerned programmable logic used in, or directly supporting, a real-time control or real-time measurement-and-actuation function, or concerned a design, timing, dependability or security property of such devices; if they were published within the search period; and if their bibliographic details could be verified. Records were excluded if they were conference abstracts, editorials, commentaries, promotional or trade material, theses, patents cited as evidence of effectiveness, or unverifiable publications; if they reported FPGA implementation of a computation with no connection to a control, measurement or actuation function; if the programmable device served only as a passive data-capture peripheral; if they were preprints for which peer-reviewed evidence on the same question existed; or if they had been retracted. Literature in languages other than English was not retrieved, and this restriction is acknowledged as a limitation. Older publications outside the search period were admitted only where required to explain the historical development of a method, and no such publication was used as a source of current performance evidence.</w:t>
      </w:r>
    </w:p>
    <w:p w14:paraId="4FE51AAF" w14:textId="77777777" w:rsidR="00B12319" w:rsidRDefault="00000000">
      <w:pPr>
        <w:spacing w:before="200"/>
        <w:jc w:val="left"/>
      </w:pPr>
      <w:r>
        <w:rPr>
          <w:b/>
          <w:i/>
        </w:rPr>
        <w:t>2.5 Screening, Duplicate Handling and Study Selection</w:t>
      </w:r>
    </w:p>
    <w:p w14:paraId="233D9E84" w14:textId="77777777" w:rsidR="00B12319" w:rsidRDefault="00000000">
      <w:r>
        <w:t xml:space="preserve">Retrieved records were consolidated and deduplicated by digital object identifier, with residual duplicates identified by comparison of </w:t>
      </w:r>
      <w:proofErr w:type="spellStart"/>
      <w:r>
        <w:t>normalised</w:t>
      </w:r>
      <w:proofErr w:type="spellEnd"/>
      <w:r>
        <w:t xml:space="preserve"> titles, first-author surnames and publication years. Titles and abstracts were screened against the eligibility criteria, and records that were clearly outside the scope, most commonly image-processing accelerators without a closed loop, cryptographic implementations without a control function, and device-physics studies, were removed at this stage. Full texts or, where full text was not accessible, complete verified bibliographic records together with publisher abstracts were examined for the remaining candidates. Records whose bibliographic identity could not be confirmed, or whose metadata were incomplete in a way that prevented accurate citation, were excluded rather than cited with inferred details. Because selection was purposive and interpretive rather than exhaustive, and </w:t>
      </w:r>
      <w:r>
        <w:lastRenderedPageBreak/>
        <w:t>because the screening process was not conducted in duplicate against a pre-registered protocol, no record counts are reported and no flow diagram is presented; reporting such counts would imply a systematic selection process that was not performed.</w:t>
      </w:r>
    </w:p>
    <w:p w14:paraId="0DF6F9DC" w14:textId="77777777" w:rsidR="00B12319" w:rsidRDefault="00000000">
      <w:pPr>
        <w:spacing w:before="200"/>
        <w:jc w:val="left"/>
      </w:pPr>
      <w:r>
        <w:rPr>
          <w:b/>
          <w:i/>
        </w:rPr>
        <w:t>2.6 Critical Appraisal and Evidence Synthesis</w:t>
      </w:r>
    </w:p>
    <w:p w14:paraId="56DC2079" w14:textId="77777777" w:rsidR="00B12319" w:rsidRDefault="00000000">
      <w:r>
        <w:t xml:space="preserve">Included studies were appraised using criteria appropriate to experimental hardware research rather than by a formal risk-of-bias instrument, which would not be applicable to the designs encountered. Appraisal considered whether the experimental platform and toolchain were specified in sufficient detail for the result to be interpreted; whether comparisons, where made, used a baseline that had received comparable </w:t>
      </w:r>
      <w:proofErr w:type="spellStart"/>
      <w:r>
        <w:t>optimisation</w:t>
      </w:r>
      <w:proofErr w:type="spellEnd"/>
      <w:r>
        <w:t xml:space="preserve"> effort; whether timing results were derived from measurement, from static analysis, or from simulation, and whether the measurement conditions covered plausible worst cases; whether arithmetic representation and word length were reported, given their strong influence on both resource use and closed-loop </w:t>
      </w:r>
      <w:proofErr w:type="spellStart"/>
      <w:r>
        <w:t>behaviour</w:t>
      </w:r>
      <w:proofErr w:type="spellEnd"/>
      <w:r>
        <w:t>; whether closed-loop experimental validation on a physical plant was performed or whether evidence was confined to simulation; whether resource and power figures were attributed to the control function or to the complete system; and whether the reported advantage was plausibly attributable to the device class rather than to algorithmic restructuring that would benefit any platform. Independent replication, or at least independent confirmation by a different group on a different platform, was treated as a substantial increase in confidence.</w:t>
      </w:r>
    </w:p>
    <w:p w14:paraId="55D69A99" w14:textId="77777777" w:rsidR="00B12319" w:rsidRDefault="00000000">
      <w:r>
        <w:t xml:space="preserve">Themes were developed inductively from the appraised literature and then tested against it. Initial coding followed the design concerns visible in the corpus, after which themes were merged or divided according to whether they </w:t>
      </w:r>
      <w:proofErr w:type="spellStart"/>
      <w:r>
        <w:t>organised</w:t>
      </w:r>
      <w:proofErr w:type="spellEnd"/>
      <w:r>
        <w:t xml:space="preserve"> genuine disagreements. Where findings conflicted, the synthesis sought explanations in differences of baseline, workload, arithmetic representation, device generation, measurement method or reporting convention before attributing disagreement to genuine variation in the underlying phenomenon. Claims supported by a single demonstration are identified as such throughout, and the strength of evidence is stated separately from the plausibility of the underlying mechanism.</w:t>
      </w:r>
    </w:p>
    <w:p w14:paraId="24F5B4DA" w14:textId="77777777" w:rsidR="00B12319" w:rsidRDefault="00000000">
      <w:pPr>
        <w:spacing w:before="240"/>
        <w:jc w:val="left"/>
      </w:pPr>
      <w:r>
        <w:rPr>
          <w:b/>
        </w:rPr>
        <w:t>3. The Changing Architecture of the FPGA-Based Control Device</w:t>
      </w:r>
    </w:p>
    <w:p w14:paraId="0127DDCD" w14:textId="77777777" w:rsidR="00B12319" w:rsidRDefault="00000000">
      <w:r>
        <w:t xml:space="preserve">The argument that originally justified programmable logic in control was structural. A control law expressed as a dataflow graph could be mapped onto concurrent hardware, so that the latency </w:t>
      </w:r>
      <w:r>
        <w:lastRenderedPageBreak/>
        <w:t xml:space="preserve">from sampling to actuation was fixed by the </w:t>
      </w:r>
      <w:proofErr w:type="spellStart"/>
      <w:r>
        <w:t>synthesised</w:t>
      </w:r>
      <w:proofErr w:type="spellEnd"/>
      <w:r>
        <w:t xml:space="preserve"> pipeline and was unaffected by the control-flow </w:t>
      </w:r>
      <w:proofErr w:type="spellStart"/>
      <w:r>
        <w:t>behaviour</w:t>
      </w:r>
      <w:proofErr w:type="spellEnd"/>
      <w:r>
        <w:t xml:space="preserve"> that makes processor execution time data-dependent. The founding methodological literature developed this argument into a design discipline, specifying partitioning between hardware and software, arithmetic selection, and a development cycle in which functional validation preceded implementation-level </w:t>
      </w:r>
      <w:proofErr w:type="spellStart"/>
      <w:r>
        <w:t>optimisation</w:t>
      </w:r>
      <w:proofErr w:type="spellEnd"/>
      <w:r>
        <w:t xml:space="preserve"> (</w:t>
      </w:r>
      <w:proofErr w:type="spellStart"/>
      <w:r>
        <w:t>Monmasson</w:t>
      </w:r>
      <w:proofErr w:type="spellEnd"/>
      <w:r>
        <w:t xml:space="preserve"> &amp; Cirstea, 2007). The companion survey of device features and design tools made the corresponding point about the device: the capabilities that mattered for control were not logic capacity alone but the availability of embedded arithmetic, memory and interface resources (Rodriguez-Andina et al., 2007). The consolidating review that followed showed that complete control chains, rather than isolated functions, had become the normal unit of implementation (</w:t>
      </w:r>
      <w:proofErr w:type="spellStart"/>
      <w:r>
        <w:t>Monmasson</w:t>
      </w:r>
      <w:proofErr w:type="spellEnd"/>
      <w:r>
        <w:t xml:space="preserve"> et al., 2011).</w:t>
      </w:r>
    </w:p>
    <w:p w14:paraId="7174A356" w14:textId="77777777" w:rsidR="00B12319" w:rsidRDefault="00000000">
      <w:r>
        <w:t xml:space="preserve">Device evolution subsequently altered the premises of that argument in three ways. The first is the hardening of arithmetic and memory resources. As embedded multiplier–accumulator blocks and block memories became plentiful, the binding constraint on control implementations shifted from logic capacity to the </w:t>
      </w:r>
      <w:proofErr w:type="spellStart"/>
      <w:r>
        <w:t>organisation</w:t>
      </w:r>
      <w:proofErr w:type="spellEnd"/>
      <w:r>
        <w:t xml:space="preserve"> of arithmetic and the movement of intermediate results, a shift documented in the review of advanced device features and their industrial consequences (Rodriguez-Andina et al., 2015). Energy </w:t>
      </w:r>
      <w:proofErr w:type="spellStart"/>
      <w:r>
        <w:t>behaviour</w:t>
      </w:r>
      <w:proofErr w:type="spellEnd"/>
      <w:r>
        <w:t xml:space="preserve"> follows the same logic: mapping computation onto embedded memory blocks rather than distributed logic changed energy consumption substantially for equivalent functionality, which indicates that device-level efficiency claims are contingent on mapping decisions rather than intrinsic to the fabric (Ghosh et al., 2014).</w:t>
      </w:r>
    </w:p>
    <w:p w14:paraId="22AB1E58" w14:textId="77777777" w:rsidR="00B12319" w:rsidRDefault="00000000">
      <w:r>
        <w:t>The second change is the integration of hardened processors. Heterogeneous systems-on-chip place a multi-core processor, its memory hierarchy, and the programmable fabric on one die, connected by a set of interfaces with markedly different throughput and latency characteristics. Empirical comparison of the available on-chip communication paths on such a platform showed that the choice of interface, and not only the design of the accelerated function, determines achievable transfer performance (Silva et al., 2015). For control applications this is consequential, because the processor–fabric boundary becomes part of the control path whenever any element of the loop, such as parameter update, supervisory logic or communication handling, executes in software. The review of system-on-chip devices for complex electrical energy systems described the resulting design problem directly: the attraction of these parts is the ability to place supervisory, communication and management functions alongside hard real-time regulation, and the difficulty is that the two now share resources (</w:t>
      </w:r>
      <w:proofErr w:type="spellStart"/>
      <w:r>
        <w:t>Monmasson</w:t>
      </w:r>
      <w:proofErr w:type="spellEnd"/>
      <w:r>
        <w:t xml:space="preserve"> et al., 2022).</w:t>
      </w:r>
    </w:p>
    <w:p w14:paraId="19B7DDFA" w14:textId="77777777" w:rsidR="00B12319" w:rsidRDefault="00000000">
      <w:r>
        <w:lastRenderedPageBreak/>
        <w:t>The third change is the availability of programmable-logic implementations of the processor itself. Soft processors allow sequential functions to be instantiated in fabric, and multiprocessor arrangements built from them have been used to construct programmable controllers in which conventional control-logic execution and concurrent hardware coexist under a single design flow (Hajduk et al., 2015). Coarse-grained overlays take the same idea further by presenting a fixed, pre-implemented array that is configured by a short compilation step rather than by full place-and-route, which substitutes a predictable and short compilation time for a loss of achievable clock frequency and area efficiency (Jain et al., 2022). Overlays are therefore best understood as a trade of implementation efficiency for design-cycle predictability, and the evidence supporting them is drawn from accelerator workloads rather than from closed-loop control, so their transfer to control devices remains an inference rather than a demonstrated result.</w:t>
      </w:r>
    </w:p>
    <w:p w14:paraId="3DCB88A7" w14:textId="77777777" w:rsidR="00B12319" w:rsidRDefault="00000000">
      <w:r>
        <w:t xml:space="preserve">Architectural diversification has also widened the application envelope in ways that test the generality of the founding arguments. Control and readout electronics for superconducting quantum processors use programmable logic to obtain </w:t>
      </w:r>
      <w:proofErr w:type="spellStart"/>
      <w:r>
        <w:t>synchronised</w:t>
      </w:r>
      <w:proofErr w:type="spellEnd"/>
      <w:r>
        <w:t xml:space="preserve"> timing across a distributed system with picosecond-scale jitter together with real-time signal processing in the same device, a combination that neither a processor nor a fixed-function instrument provides (Yang et al., 2022). Radiation-tolerant quench detection for a large accelerator facility uses the same substrate under a requirement that combines continuous real-time evaluation with tolerance of a hostile radiation environment (Steckert &amp; Skoczen, 2017). Protective relaying implements a function that must be both fast and highly dependable, and the reported implementation </w:t>
      </w:r>
      <w:proofErr w:type="spellStart"/>
      <w:r>
        <w:t>emphasises</w:t>
      </w:r>
      <w:proofErr w:type="spellEnd"/>
      <w:r>
        <w:t xml:space="preserve"> configurability of the protection characteristic rather than raw speed (Mitra &amp; Chattopadhyay, 2019). Industrial process applications such as adaptive control of laser cladding illustrate a further pattern, in which the programmable device integrates sensing, processing and actuation in a single closed loop that would otherwise require several subsystems (Rodriguez-Araujo et al., 2012). A biomedical and neuroscientific variant appears where real-time biophysical models must run in closed loop with living tissue, which imposes a hard latency bound derived from the biological process rather than from an engineering specification (</w:t>
      </w:r>
      <w:proofErr w:type="spellStart"/>
      <w:r>
        <w:t>Khoyratee</w:t>
      </w:r>
      <w:proofErr w:type="spellEnd"/>
      <w:r>
        <w:t xml:space="preserve"> et al., 2019).</w:t>
      </w:r>
    </w:p>
    <w:p w14:paraId="4446376C" w14:textId="77777777" w:rsidR="00B12319" w:rsidRDefault="00000000">
      <w:r>
        <w:t xml:space="preserve">These applications are frequently cited as evidence of the versatility of the platform. The inference is only partly warranted. They demonstrate that programmable logic can meet timing requirements that other substrates cannot, which is a claim about feasibility. They do not establish that the platform is preferable where those extreme requirements are absent, and they do </w:t>
      </w:r>
      <w:r>
        <w:lastRenderedPageBreak/>
        <w:t xml:space="preserve">not address the design-effort and verification costs that dominate industrial adoption decisions. The </w:t>
      </w:r>
      <w:proofErr w:type="spellStart"/>
      <w:r>
        <w:t>scientometric</w:t>
      </w:r>
      <w:proofErr w:type="spellEnd"/>
      <w:r>
        <w:t xml:space="preserve"> evidence showing broad diffusion across domains is similarly a measure of publication activity rather than of deployment or of comparative advantage (Ruiz-Rosero et al., 2019). Confidence that programmable logic is necessary is strongest precisely where the sampling interval, the </w:t>
      </w:r>
      <w:proofErr w:type="spellStart"/>
      <w:r>
        <w:t>synchronisation</w:t>
      </w:r>
      <w:proofErr w:type="spellEnd"/>
      <w:r>
        <w:t xml:space="preserve"> requirement or the channel count exceeds what a processor-based device can supply, and it weakens as those requirements relax.</w:t>
      </w:r>
    </w:p>
    <w:p w14:paraId="54C91262" w14:textId="77777777" w:rsidR="00B12319" w:rsidRDefault="00000000">
      <w:r>
        <w:t xml:space="preserve">Table 1 </w:t>
      </w:r>
      <w:proofErr w:type="spellStart"/>
      <w:r>
        <w:t>summarises</w:t>
      </w:r>
      <w:proofErr w:type="spellEnd"/>
      <w:r>
        <w:t xml:space="preserve"> the principal platform classes encountered, the properties that motivate their use in real-time control, and the limitations that the reviewed literature makes visible. The table is intended to support a comparative judgement rather than to enumerate devices. Two features deserve emphasis. First, the limitations column shows that the sources of timing uncertainty differ qualitatively across classes: discrete fabric implementations are limited chiefly by design effort and verification burden, whereas heterogeneous platforms introduce shared-resource contention that the founding design arguments did not contemplate. Second, the supporting evidence for the newer classes, particularly overlays and coarse-grained arrays, derives predominantly from accelerator rather than control workloads, so conclusions about their suitability for closed-loop use remain provisional.</w:t>
      </w:r>
    </w:p>
    <w:p w14:paraId="40D325E0" w14:textId="77777777" w:rsidR="00B12319" w:rsidRDefault="00000000">
      <w:pPr>
        <w:spacing w:before="200" w:after="80"/>
        <w:jc w:val="left"/>
      </w:pPr>
      <w:r>
        <w:rPr>
          <w:b/>
          <w:sz w:val="20"/>
        </w:rPr>
        <w:t>Table 1. Platform classes used as real-time control devices, with control-relevant properties and evidenced limitations.</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B12319" w14:paraId="6F337438" w14:textId="77777777">
        <w:trPr>
          <w:jc w:val="center"/>
        </w:trPr>
        <w:tc>
          <w:tcPr>
            <w:tcW w:w="1881" w:type="dxa"/>
          </w:tcPr>
          <w:p w14:paraId="7F60C7E8" w14:textId="77777777" w:rsidR="00B12319" w:rsidRDefault="00000000">
            <w:pPr>
              <w:spacing w:before="40" w:after="40" w:line="240" w:lineRule="auto"/>
              <w:jc w:val="left"/>
            </w:pPr>
            <w:r>
              <w:rPr>
                <w:b/>
                <w:sz w:val="20"/>
              </w:rPr>
              <w:t>Platform class</w:t>
            </w:r>
          </w:p>
        </w:tc>
        <w:tc>
          <w:tcPr>
            <w:tcW w:w="1881" w:type="dxa"/>
          </w:tcPr>
          <w:p w14:paraId="3EE1FEB3" w14:textId="77777777" w:rsidR="00B12319" w:rsidRDefault="00000000">
            <w:pPr>
              <w:spacing w:before="40" w:after="40" w:line="240" w:lineRule="auto"/>
              <w:jc w:val="left"/>
            </w:pPr>
            <w:r>
              <w:rPr>
                <w:b/>
                <w:sz w:val="20"/>
              </w:rPr>
              <w:t>Defining characteristics</w:t>
            </w:r>
          </w:p>
        </w:tc>
        <w:tc>
          <w:tcPr>
            <w:tcW w:w="1881" w:type="dxa"/>
          </w:tcPr>
          <w:p w14:paraId="7EF4F6C2" w14:textId="77777777" w:rsidR="00B12319" w:rsidRDefault="00000000">
            <w:pPr>
              <w:spacing w:before="40" w:after="40" w:line="240" w:lineRule="auto"/>
              <w:jc w:val="left"/>
            </w:pPr>
            <w:r>
              <w:rPr>
                <w:b/>
                <w:sz w:val="20"/>
              </w:rPr>
              <w:t>Properties relevant to real-time control</w:t>
            </w:r>
          </w:p>
        </w:tc>
        <w:tc>
          <w:tcPr>
            <w:tcW w:w="1881" w:type="dxa"/>
          </w:tcPr>
          <w:p w14:paraId="16AB7999" w14:textId="77777777" w:rsidR="00B12319" w:rsidRDefault="00000000">
            <w:pPr>
              <w:spacing w:before="40" w:after="40" w:line="240" w:lineRule="auto"/>
              <w:jc w:val="left"/>
            </w:pPr>
            <w:r>
              <w:rPr>
                <w:b/>
                <w:sz w:val="20"/>
              </w:rPr>
              <w:t>Limitations evidenced in the reviewed literature</w:t>
            </w:r>
          </w:p>
        </w:tc>
        <w:tc>
          <w:tcPr>
            <w:tcW w:w="1881" w:type="dxa"/>
          </w:tcPr>
          <w:p w14:paraId="4B64A5A4" w14:textId="77777777" w:rsidR="00B12319" w:rsidRDefault="00000000">
            <w:pPr>
              <w:spacing w:before="40" w:after="40" w:line="240" w:lineRule="auto"/>
              <w:jc w:val="left"/>
            </w:pPr>
            <w:r>
              <w:rPr>
                <w:b/>
                <w:sz w:val="20"/>
              </w:rPr>
              <w:t>Supporting references</w:t>
            </w:r>
          </w:p>
        </w:tc>
      </w:tr>
      <w:tr w:rsidR="00B12319" w14:paraId="055C7504" w14:textId="77777777">
        <w:trPr>
          <w:jc w:val="center"/>
        </w:trPr>
        <w:tc>
          <w:tcPr>
            <w:tcW w:w="1881" w:type="dxa"/>
          </w:tcPr>
          <w:p w14:paraId="23FE7AE9" w14:textId="77777777" w:rsidR="00B12319" w:rsidRDefault="00000000">
            <w:pPr>
              <w:spacing w:before="40" w:after="40" w:line="240" w:lineRule="auto"/>
              <w:jc w:val="left"/>
            </w:pPr>
            <w:r>
              <w:rPr>
                <w:sz w:val="20"/>
              </w:rPr>
              <w:t>Discrete SRAM-based programmable fabric</w:t>
            </w:r>
          </w:p>
        </w:tc>
        <w:tc>
          <w:tcPr>
            <w:tcW w:w="1881" w:type="dxa"/>
          </w:tcPr>
          <w:p w14:paraId="74BE0C24" w14:textId="77777777" w:rsidR="00B12319" w:rsidRDefault="00000000">
            <w:pPr>
              <w:spacing w:before="40" w:after="40" w:line="240" w:lineRule="auto"/>
              <w:jc w:val="left"/>
            </w:pPr>
            <w:r>
              <w:rPr>
                <w:sz w:val="20"/>
              </w:rPr>
              <w:t>Configurable logic with embedded arithmetic and memory blocks; no hardened processor</w:t>
            </w:r>
          </w:p>
        </w:tc>
        <w:tc>
          <w:tcPr>
            <w:tcW w:w="1881" w:type="dxa"/>
          </w:tcPr>
          <w:p w14:paraId="39E4B691" w14:textId="77777777" w:rsidR="00B12319" w:rsidRDefault="00000000">
            <w:pPr>
              <w:spacing w:before="40" w:after="40" w:line="240" w:lineRule="auto"/>
              <w:jc w:val="left"/>
            </w:pPr>
            <w:r>
              <w:rPr>
                <w:sz w:val="20"/>
              </w:rPr>
              <w:t xml:space="preserve">Fixed </w:t>
            </w:r>
            <w:proofErr w:type="spellStart"/>
            <w:r>
              <w:rPr>
                <w:sz w:val="20"/>
              </w:rPr>
              <w:t>synthesised</w:t>
            </w:r>
            <w:proofErr w:type="spellEnd"/>
            <w:r>
              <w:rPr>
                <w:sz w:val="20"/>
              </w:rPr>
              <w:t xml:space="preserve"> pipeline latency; wide parallelism; direct interface to converters and sensors</w:t>
            </w:r>
          </w:p>
        </w:tc>
        <w:tc>
          <w:tcPr>
            <w:tcW w:w="1881" w:type="dxa"/>
          </w:tcPr>
          <w:p w14:paraId="163CAB53" w14:textId="77777777" w:rsidR="00B12319" w:rsidRDefault="00000000">
            <w:pPr>
              <w:spacing w:before="40" w:after="40" w:line="240" w:lineRule="auto"/>
              <w:jc w:val="left"/>
            </w:pPr>
            <w:r>
              <w:rPr>
                <w:sz w:val="20"/>
              </w:rPr>
              <w:t>Design and verification effort; sensitivity of energy and area to mapping decisions; configuration memory vulnerable to upsets</w:t>
            </w:r>
          </w:p>
        </w:tc>
        <w:tc>
          <w:tcPr>
            <w:tcW w:w="1881" w:type="dxa"/>
          </w:tcPr>
          <w:p w14:paraId="3085500B" w14:textId="77777777" w:rsidR="00B12319" w:rsidRDefault="00000000">
            <w:pPr>
              <w:spacing w:before="40" w:after="40" w:line="240" w:lineRule="auto"/>
              <w:jc w:val="left"/>
            </w:pPr>
            <w:r>
              <w:rPr>
                <w:sz w:val="20"/>
              </w:rPr>
              <w:t xml:space="preserve">Ghosh et al. (2014); </w:t>
            </w:r>
            <w:proofErr w:type="spellStart"/>
            <w:r>
              <w:rPr>
                <w:sz w:val="20"/>
              </w:rPr>
              <w:t>Monmasson</w:t>
            </w:r>
            <w:proofErr w:type="spellEnd"/>
            <w:r>
              <w:rPr>
                <w:sz w:val="20"/>
              </w:rPr>
              <w:t xml:space="preserve"> and Cirstea (2007); Rodriguez-Andina et al. (2007)</w:t>
            </w:r>
          </w:p>
        </w:tc>
      </w:tr>
      <w:tr w:rsidR="00B12319" w14:paraId="09E43CDA" w14:textId="77777777">
        <w:trPr>
          <w:jc w:val="center"/>
        </w:trPr>
        <w:tc>
          <w:tcPr>
            <w:tcW w:w="1881" w:type="dxa"/>
          </w:tcPr>
          <w:p w14:paraId="4701C4B6" w14:textId="77777777" w:rsidR="00B12319" w:rsidRDefault="00000000">
            <w:pPr>
              <w:spacing w:before="40" w:after="40" w:line="240" w:lineRule="auto"/>
              <w:jc w:val="left"/>
            </w:pPr>
            <w:r>
              <w:rPr>
                <w:sz w:val="20"/>
              </w:rPr>
              <w:t>Heterogeneous system-on-chip with hardened processor</w:t>
            </w:r>
          </w:p>
        </w:tc>
        <w:tc>
          <w:tcPr>
            <w:tcW w:w="1881" w:type="dxa"/>
          </w:tcPr>
          <w:p w14:paraId="29E4650B" w14:textId="77777777" w:rsidR="00B12319" w:rsidRDefault="00000000">
            <w:pPr>
              <w:spacing w:before="40" w:after="40" w:line="240" w:lineRule="auto"/>
              <w:jc w:val="left"/>
            </w:pPr>
            <w:r>
              <w:rPr>
                <w:sz w:val="20"/>
              </w:rPr>
              <w:t>Multi-core processor, memory hierarchy and programmable fabric on one die</w:t>
            </w:r>
          </w:p>
        </w:tc>
        <w:tc>
          <w:tcPr>
            <w:tcW w:w="1881" w:type="dxa"/>
          </w:tcPr>
          <w:p w14:paraId="3A051231" w14:textId="77777777" w:rsidR="00B12319" w:rsidRDefault="00000000">
            <w:pPr>
              <w:spacing w:before="40" w:after="40" w:line="240" w:lineRule="auto"/>
              <w:jc w:val="left"/>
            </w:pPr>
            <w:r>
              <w:rPr>
                <w:sz w:val="20"/>
              </w:rPr>
              <w:t>Supervisory, communication and management functions co-located with hard real-time regulation</w:t>
            </w:r>
          </w:p>
        </w:tc>
        <w:tc>
          <w:tcPr>
            <w:tcW w:w="1881" w:type="dxa"/>
          </w:tcPr>
          <w:p w14:paraId="6F97A84E" w14:textId="77777777" w:rsidR="00B12319" w:rsidRDefault="00000000">
            <w:pPr>
              <w:spacing w:before="40" w:after="40" w:line="240" w:lineRule="auto"/>
              <w:jc w:val="left"/>
            </w:pPr>
            <w:r>
              <w:rPr>
                <w:sz w:val="20"/>
              </w:rPr>
              <w:t>Processor–fabric interface performance varies by path; shared memory and interconnect introduce contention absent from homogeneous fabric</w:t>
            </w:r>
          </w:p>
        </w:tc>
        <w:tc>
          <w:tcPr>
            <w:tcW w:w="1881" w:type="dxa"/>
          </w:tcPr>
          <w:p w14:paraId="2820B59E" w14:textId="77777777" w:rsidR="00B12319" w:rsidRDefault="00000000">
            <w:pPr>
              <w:spacing w:before="40" w:after="40" w:line="240" w:lineRule="auto"/>
              <w:jc w:val="left"/>
            </w:pPr>
            <w:r w:rsidRPr="00C94039">
              <w:rPr>
                <w:sz w:val="20"/>
                <w:lang w:val="nl-BE"/>
              </w:rPr>
              <w:t xml:space="preserve">Monmasson et al. (2022); Silva et al. </w:t>
            </w:r>
            <w:r>
              <w:rPr>
                <w:sz w:val="20"/>
              </w:rPr>
              <w:t>(2015)</w:t>
            </w:r>
          </w:p>
        </w:tc>
      </w:tr>
      <w:tr w:rsidR="00B12319" w14:paraId="2D2E8EE0" w14:textId="77777777">
        <w:trPr>
          <w:jc w:val="center"/>
        </w:trPr>
        <w:tc>
          <w:tcPr>
            <w:tcW w:w="1881" w:type="dxa"/>
          </w:tcPr>
          <w:p w14:paraId="13FF317E" w14:textId="77777777" w:rsidR="00B12319" w:rsidRDefault="00000000">
            <w:pPr>
              <w:spacing w:before="40" w:after="40" w:line="240" w:lineRule="auto"/>
              <w:jc w:val="left"/>
            </w:pPr>
            <w:r>
              <w:rPr>
                <w:sz w:val="20"/>
              </w:rPr>
              <w:t xml:space="preserve">Soft processor and </w:t>
            </w:r>
            <w:r>
              <w:rPr>
                <w:sz w:val="20"/>
              </w:rPr>
              <w:lastRenderedPageBreak/>
              <w:t>multiprocessor overlays in fabric</w:t>
            </w:r>
          </w:p>
        </w:tc>
        <w:tc>
          <w:tcPr>
            <w:tcW w:w="1881" w:type="dxa"/>
          </w:tcPr>
          <w:p w14:paraId="401A6E63" w14:textId="77777777" w:rsidR="00B12319" w:rsidRDefault="00000000">
            <w:pPr>
              <w:spacing w:before="40" w:after="40" w:line="240" w:lineRule="auto"/>
              <w:jc w:val="left"/>
            </w:pPr>
            <w:r>
              <w:rPr>
                <w:sz w:val="20"/>
              </w:rPr>
              <w:lastRenderedPageBreak/>
              <w:t xml:space="preserve">Sequential </w:t>
            </w:r>
            <w:r>
              <w:rPr>
                <w:sz w:val="20"/>
              </w:rPr>
              <w:lastRenderedPageBreak/>
              <w:t>processing cores instantiated in programmable logic</w:t>
            </w:r>
          </w:p>
        </w:tc>
        <w:tc>
          <w:tcPr>
            <w:tcW w:w="1881" w:type="dxa"/>
          </w:tcPr>
          <w:p w14:paraId="5109ADF8" w14:textId="77777777" w:rsidR="00B12319" w:rsidRDefault="00000000">
            <w:pPr>
              <w:spacing w:before="40" w:after="40" w:line="240" w:lineRule="auto"/>
              <w:jc w:val="left"/>
            </w:pPr>
            <w:r>
              <w:rPr>
                <w:sz w:val="20"/>
              </w:rPr>
              <w:lastRenderedPageBreak/>
              <w:t xml:space="preserve">Conventional </w:t>
            </w:r>
            <w:r>
              <w:rPr>
                <w:sz w:val="20"/>
              </w:rPr>
              <w:lastRenderedPageBreak/>
              <w:t>control-logic execution alongside concurrent hardware under one design flow; reconfigurable instruction set</w:t>
            </w:r>
          </w:p>
        </w:tc>
        <w:tc>
          <w:tcPr>
            <w:tcW w:w="1881" w:type="dxa"/>
          </w:tcPr>
          <w:p w14:paraId="7B63F368" w14:textId="77777777" w:rsidR="00B12319" w:rsidRDefault="00000000">
            <w:pPr>
              <w:spacing w:before="40" w:after="40" w:line="240" w:lineRule="auto"/>
              <w:jc w:val="left"/>
            </w:pPr>
            <w:r>
              <w:rPr>
                <w:sz w:val="20"/>
              </w:rPr>
              <w:lastRenderedPageBreak/>
              <w:t xml:space="preserve">Lower achievable </w:t>
            </w:r>
            <w:r>
              <w:rPr>
                <w:sz w:val="20"/>
              </w:rPr>
              <w:lastRenderedPageBreak/>
              <w:t>clock frequency than hardened cores; configuration memory of the processor itself is upset-sensitive</w:t>
            </w:r>
          </w:p>
        </w:tc>
        <w:tc>
          <w:tcPr>
            <w:tcW w:w="1881" w:type="dxa"/>
          </w:tcPr>
          <w:p w14:paraId="447DE7B3" w14:textId="77777777" w:rsidR="00B12319" w:rsidRDefault="00000000">
            <w:pPr>
              <w:spacing w:before="40" w:after="40" w:line="240" w:lineRule="auto"/>
              <w:jc w:val="left"/>
            </w:pPr>
            <w:r w:rsidRPr="00C94039">
              <w:rPr>
                <w:sz w:val="20"/>
                <w:lang w:val="nl-BE"/>
              </w:rPr>
              <w:lastRenderedPageBreak/>
              <w:t xml:space="preserve">de Oliveira et al. </w:t>
            </w:r>
            <w:r w:rsidRPr="00C94039">
              <w:rPr>
                <w:sz w:val="20"/>
                <w:lang w:val="nl-BE"/>
              </w:rPr>
              <w:lastRenderedPageBreak/>
              <w:t xml:space="preserve">(2020); Hajduk et al. </w:t>
            </w:r>
            <w:r>
              <w:rPr>
                <w:sz w:val="20"/>
              </w:rPr>
              <w:t>(2015); Ramos et al. (2017)</w:t>
            </w:r>
          </w:p>
        </w:tc>
      </w:tr>
      <w:tr w:rsidR="00B12319" w14:paraId="10AC7A99" w14:textId="77777777">
        <w:trPr>
          <w:jc w:val="center"/>
        </w:trPr>
        <w:tc>
          <w:tcPr>
            <w:tcW w:w="1881" w:type="dxa"/>
          </w:tcPr>
          <w:p w14:paraId="6E2C00D6" w14:textId="77777777" w:rsidR="00B12319" w:rsidRDefault="00000000">
            <w:pPr>
              <w:spacing w:before="40" w:after="40" w:line="240" w:lineRule="auto"/>
              <w:jc w:val="left"/>
            </w:pPr>
            <w:r>
              <w:rPr>
                <w:sz w:val="20"/>
              </w:rPr>
              <w:lastRenderedPageBreak/>
              <w:t>Coarse-grained overlay arrays</w:t>
            </w:r>
          </w:p>
        </w:tc>
        <w:tc>
          <w:tcPr>
            <w:tcW w:w="1881" w:type="dxa"/>
          </w:tcPr>
          <w:p w14:paraId="29290D4D" w14:textId="77777777" w:rsidR="00B12319" w:rsidRDefault="00000000">
            <w:pPr>
              <w:spacing w:before="40" w:after="40" w:line="240" w:lineRule="auto"/>
              <w:jc w:val="left"/>
            </w:pPr>
            <w:r>
              <w:rPr>
                <w:sz w:val="20"/>
              </w:rPr>
              <w:t>Pre-implemented array configured by short compilation rather than full place-and-route</w:t>
            </w:r>
          </w:p>
        </w:tc>
        <w:tc>
          <w:tcPr>
            <w:tcW w:w="1881" w:type="dxa"/>
          </w:tcPr>
          <w:p w14:paraId="26F00AAE" w14:textId="77777777" w:rsidR="00B12319" w:rsidRDefault="00000000">
            <w:pPr>
              <w:spacing w:before="40" w:after="40" w:line="240" w:lineRule="auto"/>
              <w:jc w:val="left"/>
            </w:pPr>
            <w:r>
              <w:rPr>
                <w:sz w:val="20"/>
              </w:rPr>
              <w:t>Predictable and short compilation time; rapid functional change</w:t>
            </w:r>
          </w:p>
        </w:tc>
        <w:tc>
          <w:tcPr>
            <w:tcW w:w="1881" w:type="dxa"/>
          </w:tcPr>
          <w:p w14:paraId="61D68888" w14:textId="77777777" w:rsidR="00B12319" w:rsidRDefault="00000000">
            <w:pPr>
              <w:spacing w:before="40" w:after="40" w:line="240" w:lineRule="auto"/>
              <w:jc w:val="left"/>
            </w:pPr>
            <w:r>
              <w:rPr>
                <w:sz w:val="20"/>
              </w:rPr>
              <w:t>Area and frequency penalty relative to direct implementation; evidence drawn from accelerator rather than closed-loop workloads</w:t>
            </w:r>
          </w:p>
        </w:tc>
        <w:tc>
          <w:tcPr>
            <w:tcW w:w="1881" w:type="dxa"/>
          </w:tcPr>
          <w:p w14:paraId="7E40A2A4" w14:textId="77777777" w:rsidR="00B12319" w:rsidRDefault="00000000">
            <w:pPr>
              <w:spacing w:before="40" w:after="40" w:line="240" w:lineRule="auto"/>
              <w:jc w:val="left"/>
            </w:pPr>
            <w:r>
              <w:rPr>
                <w:sz w:val="20"/>
              </w:rPr>
              <w:t>Jain et al. (2022)</w:t>
            </w:r>
          </w:p>
        </w:tc>
      </w:tr>
      <w:tr w:rsidR="00B12319" w14:paraId="166D2114" w14:textId="77777777">
        <w:trPr>
          <w:jc w:val="center"/>
        </w:trPr>
        <w:tc>
          <w:tcPr>
            <w:tcW w:w="1881" w:type="dxa"/>
          </w:tcPr>
          <w:p w14:paraId="43E7ED5D" w14:textId="77777777" w:rsidR="00B12319" w:rsidRDefault="00000000">
            <w:pPr>
              <w:spacing w:before="40" w:after="40" w:line="240" w:lineRule="auto"/>
              <w:jc w:val="left"/>
            </w:pPr>
            <w:r>
              <w:rPr>
                <w:sz w:val="20"/>
              </w:rPr>
              <w:t>Hybrid multi-device architectures</w:t>
            </w:r>
          </w:p>
        </w:tc>
        <w:tc>
          <w:tcPr>
            <w:tcW w:w="1881" w:type="dxa"/>
          </w:tcPr>
          <w:p w14:paraId="3389E1F3" w14:textId="77777777" w:rsidR="00B12319" w:rsidRDefault="00000000">
            <w:pPr>
              <w:spacing w:before="40" w:after="40" w:line="240" w:lineRule="auto"/>
              <w:jc w:val="left"/>
            </w:pPr>
            <w:r>
              <w:rPr>
                <w:sz w:val="20"/>
              </w:rPr>
              <w:t>Programmable logic paired with a digital signal processor or general-purpose processor</w:t>
            </w:r>
          </w:p>
        </w:tc>
        <w:tc>
          <w:tcPr>
            <w:tcW w:w="1881" w:type="dxa"/>
          </w:tcPr>
          <w:p w14:paraId="4BAE06F6" w14:textId="77777777" w:rsidR="00B12319" w:rsidRDefault="00000000">
            <w:pPr>
              <w:spacing w:before="40" w:after="40" w:line="240" w:lineRule="auto"/>
              <w:jc w:val="left"/>
            </w:pPr>
            <w:r>
              <w:rPr>
                <w:sz w:val="20"/>
              </w:rPr>
              <w:t>Task-specific allocation of sequential and concurrent computation</w:t>
            </w:r>
          </w:p>
        </w:tc>
        <w:tc>
          <w:tcPr>
            <w:tcW w:w="1881" w:type="dxa"/>
          </w:tcPr>
          <w:p w14:paraId="6E4DE37B" w14:textId="77777777" w:rsidR="00B12319" w:rsidRDefault="00000000">
            <w:pPr>
              <w:spacing w:before="40" w:after="40" w:line="240" w:lineRule="auto"/>
              <w:jc w:val="left"/>
            </w:pPr>
            <w:r>
              <w:rPr>
                <w:sz w:val="20"/>
              </w:rPr>
              <w:t>Inter-device communication becomes part of the control path; partitioning decisions dominate measured performance</w:t>
            </w:r>
          </w:p>
        </w:tc>
        <w:tc>
          <w:tcPr>
            <w:tcW w:w="1881" w:type="dxa"/>
          </w:tcPr>
          <w:p w14:paraId="3D1CD6E7" w14:textId="77777777" w:rsidR="00B12319" w:rsidRDefault="00000000">
            <w:pPr>
              <w:spacing w:before="40" w:after="40" w:line="240" w:lineRule="auto"/>
              <w:jc w:val="left"/>
            </w:pPr>
            <w:r w:rsidRPr="00C94039">
              <w:rPr>
                <w:sz w:val="20"/>
                <w:lang w:val="nl-BE"/>
              </w:rPr>
              <w:t xml:space="preserve">Diao et al. (2018); Hwang et al. </w:t>
            </w:r>
            <w:r>
              <w:rPr>
                <w:sz w:val="20"/>
              </w:rPr>
              <w:t>(2013); Sepulveda et al. (2013)</w:t>
            </w:r>
          </w:p>
        </w:tc>
      </w:tr>
    </w:tbl>
    <w:p w14:paraId="739AC8D7" w14:textId="77777777" w:rsidR="00B12319" w:rsidRDefault="00000000">
      <w:pPr>
        <w:spacing w:before="80" w:after="200"/>
        <w:jc w:val="left"/>
      </w:pPr>
      <w:r>
        <w:rPr>
          <w:i/>
          <w:sz w:val="18"/>
        </w:rPr>
        <w:t>Table note. Entries describe properties reported in the cited literature and are not exhaustive of commercially available device families. SRAM denotes static random-access memory.</w:t>
      </w:r>
    </w:p>
    <w:p w14:paraId="1417D260" w14:textId="77777777" w:rsidR="00B12319" w:rsidRDefault="00000000">
      <w:pPr>
        <w:spacing w:before="240"/>
        <w:jc w:val="left"/>
      </w:pPr>
      <w:r>
        <w:rPr>
          <w:b/>
        </w:rPr>
        <w:t>4. Design Entry, Abstraction and the Productivity Constraint</w:t>
      </w:r>
    </w:p>
    <w:p w14:paraId="70EE607F" w14:textId="77777777" w:rsidR="00B12319" w:rsidRDefault="00000000">
      <w:r>
        <w:t>Design productivity has been the most persistent practical obstacle to the adoption of programmable logic in control, and it is the concern on which the literature has moved furthest. The founding methodological work responded to the problem by prescribing a disciplined development cycle rather than by raising the level of abstraction, on the reasonable assumption that register-transfer-level description would remain the implementation medium (</w:t>
      </w:r>
      <w:proofErr w:type="spellStart"/>
      <w:r>
        <w:t>Monmasson</w:t>
      </w:r>
      <w:proofErr w:type="spellEnd"/>
      <w:r>
        <w:t xml:space="preserve"> &amp; Cirstea, 2007). Subsequent work has pursued abstraction directly, and the resulting evidence is more nuanced than the advocacy literature suggests.</w:t>
      </w:r>
    </w:p>
    <w:p w14:paraId="03F8EE1D" w14:textId="77777777" w:rsidR="00B12319" w:rsidRDefault="00000000">
      <w:r>
        <w:t xml:space="preserve">High-level synthesis is the most studied route. Early application to power-converter control demonstrated that computationally demanding control algorithms could be brought to a working implementation considerably faster than by manual register-transfer-level design, and that the resulting implementations were adequate for the sampling rates required (Navarro et al., 2013). Application to embedded model predictive control reached a similar conclusion and additionally showed that the quality of the </w:t>
      </w:r>
      <w:proofErr w:type="spellStart"/>
      <w:r>
        <w:t>synthesised</w:t>
      </w:r>
      <w:proofErr w:type="spellEnd"/>
      <w:r>
        <w:t xml:space="preserve"> result depended strongly on how the source description was restructured, through loop transformation, array partitioning and explicit interface specification, before synthesis (Lucia et al., 2018). Systematic assessment of high-level synthesis </w:t>
      </w:r>
      <w:r>
        <w:lastRenderedPageBreak/>
        <w:t>for accelerator design reinforces this dependency: reported quality of results varies widely across tools, source styles and application classes, and the comparison that matters is between a well-</w:t>
      </w:r>
      <w:proofErr w:type="spellStart"/>
      <w:r>
        <w:t>optimised</w:t>
      </w:r>
      <w:proofErr w:type="spellEnd"/>
      <w:r>
        <w:t xml:space="preserve"> high-level description and a well-</w:t>
      </w:r>
      <w:proofErr w:type="spellStart"/>
      <w:r>
        <w:t>optimised</w:t>
      </w:r>
      <w:proofErr w:type="spellEnd"/>
      <w:r>
        <w:t xml:space="preserve"> manual design rather than between a naive high-level description and no design at all (Molina et al., 2022). Work on high-performance computing kernels expressed in a portable parallel language reached the same qualified position, obtaining competitive implementations only after substantial source-level adaptation (Muslim et al., 2017).</w:t>
      </w:r>
    </w:p>
    <w:p w14:paraId="7FD37951" w14:textId="77777777" w:rsidR="00B12319" w:rsidRDefault="00000000">
      <w:r>
        <w:t>The evidence therefore supports a narrower claim than is often made. High-level synthesis reliably reduces the effort required to reach a first working implementation and reliably shortens design-space exploration, because architectural alternatives can be generated and compared without rewriting structural descriptions. It does not eliminate the need for hardware design knowledge, since the transformations that determine quality of results are hardware-architectural in nature and must be expressed through pragmas, source restructuring or interface specification. Describing high-level synthesis as allowing software engineers to design hardware overstates what the studies demonstrate; describing it as an effective design-space exploration and productivity mechanism for engineers who already understand pipelining, memory partitioning and arithmetic representation is consistent with the evidence.</w:t>
      </w:r>
    </w:p>
    <w:p w14:paraId="6EE20DC3" w14:textId="77777777" w:rsidR="00B12319" w:rsidRDefault="00000000">
      <w:r>
        <w:t>Model-based flows constitute a second abstraction route with a different profile. Generating a hardware description directly from a validated control model preserves the connection between the simulation used for control design and the implementation, which shortens the verification chain. A recent demonstration applied this route to model predictive control and reported a straightforward path from model to implementation (</w:t>
      </w:r>
      <w:proofErr w:type="spellStart"/>
      <w:r>
        <w:t>Purraji</w:t>
      </w:r>
      <w:proofErr w:type="spellEnd"/>
      <w:r>
        <w:t xml:space="preserve"> et al., 2025). The attraction is methodological continuity rather than raw efficiency, and the corresponding risk is that the fixed-point conversion and architectural choices made by the generator are less visible to the designer than in either manual or high-level-synthesis flows. The reviewed evidence for this route is thinner than for high-level synthesis, consisting largely of individual demonstrations rather than comparative studies.</w:t>
      </w:r>
    </w:p>
    <w:p w14:paraId="7136DD0F" w14:textId="77777777" w:rsidR="00B12319" w:rsidRDefault="00000000">
      <w:r>
        <w:t xml:space="preserve">Verification has received far less attention than synthesis, which is an asymmetry worth noting in a field that designs safety-relevant devices. A formal verification methodology applied to FPGA-based stepper motor control demonstrated that properties of the controller could be established by </w:t>
      </w:r>
      <w:r>
        <w:lastRenderedPageBreak/>
        <w:t>formal means rather than by simulation alone (Jabeen et al., 2015). The approach has not been widely taken up in the control literature, where simulation and bench measurement remain the dominant evidence. The consequence is that the correctness argument for most reported control devices rests on tested cases rather than on coverage of the state space, which is a weaker basis than the safety-relevant application domains would ordinarily require. The gap is more visible when compared with the treatment of timing, where at least the measurement methodology is usually described.</w:t>
      </w:r>
    </w:p>
    <w:p w14:paraId="60CB85F4" w14:textId="77777777" w:rsidR="00B12319" w:rsidRDefault="00000000">
      <w:r>
        <w:t>Tooling itself has become a research object, with implications for reproducibility. An open-source computer-aided design flow for FPGA architecture exploration has been extended to support diverse programmable routing fabrics, devices containing hardened networks-on-chip and three-dimensional stacked systems, together with improved logic synthesis and physical implementation (</w:t>
      </w:r>
      <w:proofErr w:type="spellStart"/>
      <w:r>
        <w:t>Elgammal</w:t>
      </w:r>
      <w:proofErr w:type="spellEnd"/>
      <w:r>
        <w:t xml:space="preserve"> et al., 2025). Its immediate purpose is architecture research rather than deployment on commercial parts, but the methodological implication for the control literature is real: implementation results obtained through proprietary flows are difficult to reproduce when tool versions change, whereas an open flow permits an implementation result to be regenerated exactly. Machine learning applied to design automation constitutes a parallel development, with reported gains in placement and </w:t>
      </w:r>
      <w:proofErr w:type="spellStart"/>
      <w:r>
        <w:t>routability</w:t>
      </w:r>
      <w:proofErr w:type="spellEnd"/>
      <w:r>
        <w:t xml:space="preserve"> prediction and in broader design-automation tasks (</w:t>
      </w:r>
      <w:proofErr w:type="spellStart"/>
      <w:r>
        <w:t>Biscontini</w:t>
      </w:r>
      <w:proofErr w:type="spellEnd"/>
      <w:r>
        <w:t xml:space="preserve"> et al., 2024; Huang et al., 2021; </w:t>
      </w:r>
      <w:proofErr w:type="spellStart"/>
      <w:r>
        <w:t>Szentimrey</w:t>
      </w:r>
      <w:proofErr w:type="spellEnd"/>
      <w:r>
        <w:t xml:space="preserve"> et al., 2020). These methods address the compile-time bottleneck rather than the run-time </w:t>
      </w:r>
      <w:proofErr w:type="spellStart"/>
      <w:r>
        <w:t>behaviour</w:t>
      </w:r>
      <w:proofErr w:type="spellEnd"/>
      <w:r>
        <w:t xml:space="preserve"> of the control device, and their relevance to control is indirect but real, because long and unpredictable implementation times are a substantial deterrent to iterative control design. Learned estimation also extends to power, where an analysis-based model using intermediate-representation profiling produced fast system-level dynamic power estimates (Tripathi &amp; Rajawat, 2020), a capability that matters because late discovery of a power violation is expensive to correct.</w:t>
      </w:r>
    </w:p>
    <w:p w14:paraId="7ADEC511" w14:textId="77777777" w:rsidR="00B12319" w:rsidRDefault="00000000">
      <w:r>
        <w:t xml:space="preserve">Table 2 compares the design-entry routes evidenced in the reviewed literature. The comparison is deliberately framed around what each route demonstrably provides and what it demonstrably costs, because the advocacy literature tends to report the first without the second. The pattern across the rows is that abstraction reduces effort at the point of first implementation and increases the distance between the designer and the architectural decisions that determine timing and resource outcomes. That distance is tolerable where timing margins are generous and problematic </w:t>
      </w:r>
      <w:r>
        <w:lastRenderedPageBreak/>
        <w:t>where they are not, which suggests that the choice of design route should follow from the tightness of the timing requirement rather than from a general preference for abstraction.</w:t>
      </w:r>
    </w:p>
    <w:p w14:paraId="4F3B1ECD" w14:textId="77777777" w:rsidR="00B12319" w:rsidRDefault="00000000">
      <w:pPr>
        <w:spacing w:before="200" w:after="80"/>
        <w:jc w:val="left"/>
      </w:pPr>
      <w:r>
        <w:rPr>
          <w:b/>
          <w:sz w:val="20"/>
        </w:rPr>
        <w:t>Table 2. Design-entry routes for FPGA-based control devices: demonstrated advantages, documented costs and strength of supporting evidence.</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B12319" w14:paraId="33337F78" w14:textId="77777777">
        <w:trPr>
          <w:jc w:val="center"/>
        </w:trPr>
        <w:tc>
          <w:tcPr>
            <w:tcW w:w="1881" w:type="dxa"/>
          </w:tcPr>
          <w:p w14:paraId="2A19819B" w14:textId="77777777" w:rsidR="00B12319" w:rsidRDefault="00000000">
            <w:pPr>
              <w:spacing w:before="40" w:after="40" w:line="240" w:lineRule="auto"/>
              <w:jc w:val="left"/>
            </w:pPr>
            <w:r>
              <w:rPr>
                <w:b/>
                <w:sz w:val="20"/>
              </w:rPr>
              <w:t>Design route</w:t>
            </w:r>
          </w:p>
        </w:tc>
        <w:tc>
          <w:tcPr>
            <w:tcW w:w="1881" w:type="dxa"/>
          </w:tcPr>
          <w:p w14:paraId="2F8DD6B3" w14:textId="77777777" w:rsidR="00B12319" w:rsidRDefault="00000000">
            <w:pPr>
              <w:spacing w:before="40" w:after="40" w:line="240" w:lineRule="auto"/>
              <w:jc w:val="left"/>
            </w:pPr>
            <w:r>
              <w:rPr>
                <w:b/>
                <w:sz w:val="20"/>
              </w:rPr>
              <w:t>Demonstrated advantage</w:t>
            </w:r>
          </w:p>
        </w:tc>
        <w:tc>
          <w:tcPr>
            <w:tcW w:w="1881" w:type="dxa"/>
          </w:tcPr>
          <w:p w14:paraId="6F725E20" w14:textId="77777777" w:rsidR="00B12319" w:rsidRDefault="00000000">
            <w:pPr>
              <w:spacing w:before="40" w:after="40" w:line="240" w:lineRule="auto"/>
              <w:jc w:val="left"/>
            </w:pPr>
            <w:r>
              <w:rPr>
                <w:b/>
                <w:sz w:val="20"/>
              </w:rPr>
              <w:t>Documented cost or risk</w:t>
            </w:r>
          </w:p>
        </w:tc>
        <w:tc>
          <w:tcPr>
            <w:tcW w:w="1881" w:type="dxa"/>
          </w:tcPr>
          <w:p w14:paraId="1191EE4F" w14:textId="77777777" w:rsidR="00B12319" w:rsidRDefault="00000000">
            <w:pPr>
              <w:spacing w:before="40" w:after="40" w:line="240" w:lineRule="auto"/>
              <w:jc w:val="left"/>
            </w:pPr>
            <w:r>
              <w:rPr>
                <w:b/>
                <w:sz w:val="20"/>
              </w:rPr>
              <w:t>Strength of supporting evidence</w:t>
            </w:r>
          </w:p>
        </w:tc>
        <w:tc>
          <w:tcPr>
            <w:tcW w:w="1881" w:type="dxa"/>
          </w:tcPr>
          <w:p w14:paraId="267009C5" w14:textId="77777777" w:rsidR="00B12319" w:rsidRDefault="00000000">
            <w:pPr>
              <w:spacing w:before="40" w:after="40" w:line="240" w:lineRule="auto"/>
              <w:jc w:val="left"/>
            </w:pPr>
            <w:r>
              <w:rPr>
                <w:b/>
                <w:sz w:val="20"/>
              </w:rPr>
              <w:t>Supporting references</w:t>
            </w:r>
          </w:p>
        </w:tc>
      </w:tr>
      <w:tr w:rsidR="00B12319" w14:paraId="52CAF44B" w14:textId="77777777">
        <w:trPr>
          <w:jc w:val="center"/>
        </w:trPr>
        <w:tc>
          <w:tcPr>
            <w:tcW w:w="1881" w:type="dxa"/>
          </w:tcPr>
          <w:p w14:paraId="59ADDB36" w14:textId="77777777" w:rsidR="00B12319" w:rsidRDefault="00000000">
            <w:pPr>
              <w:spacing w:before="40" w:after="40" w:line="240" w:lineRule="auto"/>
              <w:jc w:val="left"/>
            </w:pPr>
            <w:r>
              <w:rPr>
                <w:sz w:val="20"/>
              </w:rPr>
              <w:t>Register-transfer-level description</w:t>
            </w:r>
          </w:p>
        </w:tc>
        <w:tc>
          <w:tcPr>
            <w:tcW w:w="1881" w:type="dxa"/>
          </w:tcPr>
          <w:p w14:paraId="7DBF7E6E" w14:textId="77777777" w:rsidR="00B12319" w:rsidRDefault="00000000">
            <w:pPr>
              <w:spacing w:before="40" w:after="40" w:line="240" w:lineRule="auto"/>
              <w:jc w:val="left"/>
            </w:pPr>
            <w:r>
              <w:rPr>
                <w:sz w:val="20"/>
              </w:rPr>
              <w:t>Direct control of pipeline structure, arithmetic and interfaces; predictable mapping to hardware</w:t>
            </w:r>
          </w:p>
        </w:tc>
        <w:tc>
          <w:tcPr>
            <w:tcW w:w="1881" w:type="dxa"/>
          </w:tcPr>
          <w:p w14:paraId="36623DAB" w14:textId="77777777" w:rsidR="00B12319" w:rsidRDefault="00000000">
            <w:pPr>
              <w:spacing w:before="40" w:after="40" w:line="240" w:lineRule="auto"/>
              <w:jc w:val="left"/>
            </w:pPr>
            <w:r>
              <w:rPr>
                <w:sz w:val="20"/>
              </w:rPr>
              <w:t>High design and verification effort; slow design-space exploration; expertise-dependent</w:t>
            </w:r>
          </w:p>
        </w:tc>
        <w:tc>
          <w:tcPr>
            <w:tcW w:w="1881" w:type="dxa"/>
          </w:tcPr>
          <w:p w14:paraId="71E49EC3" w14:textId="77777777" w:rsidR="00B12319" w:rsidRDefault="00000000">
            <w:pPr>
              <w:spacing w:before="40" w:after="40" w:line="240" w:lineRule="auto"/>
              <w:jc w:val="left"/>
            </w:pPr>
            <w:r>
              <w:rPr>
                <w:sz w:val="20"/>
              </w:rPr>
              <w:t>Strong; the historical baseline against which other routes are assessed</w:t>
            </w:r>
          </w:p>
        </w:tc>
        <w:tc>
          <w:tcPr>
            <w:tcW w:w="1881" w:type="dxa"/>
          </w:tcPr>
          <w:p w14:paraId="6AAB9047" w14:textId="77777777" w:rsidR="00B12319" w:rsidRDefault="00000000">
            <w:pPr>
              <w:spacing w:before="40" w:after="40" w:line="240" w:lineRule="auto"/>
              <w:jc w:val="left"/>
            </w:pPr>
            <w:proofErr w:type="spellStart"/>
            <w:r>
              <w:rPr>
                <w:sz w:val="20"/>
              </w:rPr>
              <w:t>Monmasson</w:t>
            </w:r>
            <w:proofErr w:type="spellEnd"/>
            <w:r>
              <w:rPr>
                <w:sz w:val="20"/>
              </w:rPr>
              <w:t xml:space="preserve"> and Cirstea (2007); </w:t>
            </w:r>
            <w:proofErr w:type="spellStart"/>
            <w:r>
              <w:rPr>
                <w:sz w:val="20"/>
              </w:rPr>
              <w:t>Monmasson</w:t>
            </w:r>
            <w:proofErr w:type="spellEnd"/>
            <w:r>
              <w:rPr>
                <w:sz w:val="20"/>
              </w:rPr>
              <w:t xml:space="preserve"> et al. (2011)</w:t>
            </w:r>
          </w:p>
        </w:tc>
      </w:tr>
      <w:tr w:rsidR="00B12319" w14:paraId="0BB20CC5" w14:textId="77777777">
        <w:trPr>
          <w:jc w:val="center"/>
        </w:trPr>
        <w:tc>
          <w:tcPr>
            <w:tcW w:w="1881" w:type="dxa"/>
          </w:tcPr>
          <w:p w14:paraId="4F0ACECA" w14:textId="77777777" w:rsidR="00B12319" w:rsidRDefault="00000000">
            <w:pPr>
              <w:spacing w:before="40" w:after="40" w:line="240" w:lineRule="auto"/>
              <w:jc w:val="left"/>
            </w:pPr>
            <w:r>
              <w:rPr>
                <w:sz w:val="20"/>
              </w:rPr>
              <w:t>High-level synthesis from C, C++ or a portable parallel language</w:t>
            </w:r>
          </w:p>
        </w:tc>
        <w:tc>
          <w:tcPr>
            <w:tcW w:w="1881" w:type="dxa"/>
          </w:tcPr>
          <w:p w14:paraId="6CAC0AA6" w14:textId="77777777" w:rsidR="00B12319" w:rsidRDefault="00000000">
            <w:pPr>
              <w:spacing w:before="40" w:after="40" w:line="240" w:lineRule="auto"/>
              <w:jc w:val="left"/>
            </w:pPr>
            <w:r>
              <w:rPr>
                <w:sz w:val="20"/>
              </w:rPr>
              <w:t>Faster first working implementation; efficient architectural exploration for control algorithms</w:t>
            </w:r>
          </w:p>
        </w:tc>
        <w:tc>
          <w:tcPr>
            <w:tcW w:w="1881" w:type="dxa"/>
          </w:tcPr>
          <w:p w14:paraId="1F217865" w14:textId="77777777" w:rsidR="00B12319" w:rsidRDefault="00000000">
            <w:pPr>
              <w:spacing w:before="40" w:after="40" w:line="240" w:lineRule="auto"/>
              <w:jc w:val="left"/>
            </w:pPr>
            <w:r>
              <w:rPr>
                <w:sz w:val="20"/>
              </w:rPr>
              <w:t>Quality of results depends on source restructuring and directives; wide variation across tools and application classes</w:t>
            </w:r>
          </w:p>
        </w:tc>
        <w:tc>
          <w:tcPr>
            <w:tcW w:w="1881" w:type="dxa"/>
          </w:tcPr>
          <w:p w14:paraId="6214785B" w14:textId="77777777" w:rsidR="00B12319" w:rsidRDefault="00000000">
            <w:pPr>
              <w:spacing w:before="40" w:after="40" w:line="240" w:lineRule="auto"/>
              <w:jc w:val="left"/>
            </w:pPr>
            <w:r>
              <w:rPr>
                <w:sz w:val="20"/>
              </w:rPr>
              <w:t xml:space="preserve">Moderate </w:t>
            </w:r>
            <w:proofErr w:type="spellStart"/>
            <w:r>
              <w:rPr>
                <w:sz w:val="20"/>
              </w:rPr>
              <w:t>to</w:t>
            </w:r>
            <w:proofErr w:type="spellEnd"/>
            <w:r>
              <w:rPr>
                <w:sz w:val="20"/>
              </w:rPr>
              <w:t xml:space="preserve"> strong for productivity; weaker and inconsistent for quality of results</w:t>
            </w:r>
          </w:p>
        </w:tc>
        <w:tc>
          <w:tcPr>
            <w:tcW w:w="1881" w:type="dxa"/>
          </w:tcPr>
          <w:p w14:paraId="465A27B4" w14:textId="77777777" w:rsidR="00B12319" w:rsidRDefault="00000000">
            <w:pPr>
              <w:spacing w:before="40" w:after="40" w:line="240" w:lineRule="auto"/>
              <w:jc w:val="left"/>
            </w:pPr>
            <w:r w:rsidRPr="00C94039">
              <w:rPr>
                <w:sz w:val="20"/>
                <w:lang w:val="nl-BE"/>
              </w:rPr>
              <w:t xml:space="preserve">Lucia et al. (2018); Molina et al. (2022); Muslim et al. (2017); Navarro et al. </w:t>
            </w:r>
            <w:r>
              <w:rPr>
                <w:sz w:val="20"/>
              </w:rPr>
              <w:t>(2013)</w:t>
            </w:r>
          </w:p>
        </w:tc>
      </w:tr>
      <w:tr w:rsidR="00B12319" w14:paraId="4D2849D8" w14:textId="77777777">
        <w:trPr>
          <w:jc w:val="center"/>
        </w:trPr>
        <w:tc>
          <w:tcPr>
            <w:tcW w:w="1881" w:type="dxa"/>
          </w:tcPr>
          <w:p w14:paraId="48A09604" w14:textId="77777777" w:rsidR="00B12319" w:rsidRDefault="00000000">
            <w:pPr>
              <w:spacing w:before="40" w:after="40" w:line="240" w:lineRule="auto"/>
              <w:jc w:val="left"/>
            </w:pPr>
            <w:r>
              <w:rPr>
                <w:sz w:val="20"/>
              </w:rPr>
              <w:t>Model-based generation from a validated control model</w:t>
            </w:r>
          </w:p>
        </w:tc>
        <w:tc>
          <w:tcPr>
            <w:tcW w:w="1881" w:type="dxa"/>
          </w:tcPr>
          <w:p w14:paraId="53A7F6FC" w14:textId="77777777" w:rsidR="00B12319" w:rsidRDefault="00000000">
            <w:pPr>
              <w:spacing w:before="40" w:after="40" w:line="240" w:lineRule="auto"/>
              <w:jc w:val="left"/>
            </w:pPr>
            <w:r>
              <w:rPr>
                <w:sz w:val="20"/>
              </w:rPr>
              <w:t>Continuity between control design, simulation and implementation; shorter verification chain</w:t>
            </w:r>
          </w:p>
        </w:tc>
        <w:tc>
          <w:tcPr>
            <w:tcW w:w="1881" w:type="dxa"/>
          </w:tcPr>
          <w:p w14:paraId="6DBB1216" w14:textId="77777777" w:rsidR="00B12319" w:rsidRDefault="00000000">
            <w:pPr>
              <w:spacing w:before="40" w:after="40" w:line="240" w:lineRule="auto"/>
              <w:jc w:val="left"/>
            </w:pPr>
            <w:r>
              <w:rPr>
                <w:sz w:val="20"/>
              </w:rPr>
              <w:t>Fixed-point and architectural decisions are made by the generator and are less visible to the designer</w:t>
            </w:r>
          </w:p>
        </w:tc>
        <w:tc>
          <w:tcPr>
            <w:tcW w:w="1881" w:type="dxa"/>
          </w:tcPr>
          <w:p w14:paraId="3CB1CF74" w14:textId="77777777" w:rsidR="00B12319" w:rsidRDefault="00000000">
            <w:pPr>
              <w:spacing w:before="40" w:after="40" w:line="240" w:lineRule="auto"/>
              <w:jc w:val="left"/>
            </w:pPr>
            <w:r>
              <w:rPr>
                <w:sz w:val="20"/>
              </w:rPr>
              <w:t>Limited; individual demonstrations rather than comparative studies</w:t>
            </w:r>
          </w:p>
        </w:tc>
        <w:tc>
          <w:tcPr>
            <w:tcW w:w="1881" w:type="dxa"/>
          </w:tcPr>
          <w:p w14:paraId="0C70598E" w14:textId="77777777" w:rsidR="00B12319" w:rsidRDefault="00000000">
            <w:pPr>
              <w:spacing w:before="40" w:after="40" w:line="240" w:lineRule="auto"/>
              <w:jc w:val="left"/>
            </w:pPr>
            <w:proofErr w:type="spellStart"/>
            <w:r>
              <w:rPr>
                <w:sz w:val="20"/>
              </w:rPr>
              <w:t>Purraji</w:t>
            </w:r>
            <w:proofErr w:type="spellEnd"/>
            <w:r>
              <w:rPr>
                <w:sz w:val="20"/>
              </w:rPr>
              <w:t xml:space="preserve"> et al. (2025)</w:t>
            </w:r>
          </w:p>
        </w:tc>
      </w:tr>
      <w:tr w:rsidR="00B12319" w14:paraId="54AC0DE1" w14:textId="77777777">
        <w:trPr>
          <w:jc w:val="center"/>
        </w:trPr>
        <w:tc>
          <w:tcPr>
            <w:tcW w:w="1881" w:type="dxa"/>
          </w:tcPr>
          <w:p w14:paraId="1DA5B239" w14:textId="77777777" w:rsidR="00B12319" w:rsidRDefault="00000000">
            <w:pPr>
              <w:spacing w:before="40" w:after="40" w:line="240" w:lineRule="auto"/>
              <w:jc w:val="left"/>
            </w:pPr>
            <w:r>
              <w:rPr>
                <w:sz w:val="20"/>
              </w:rPr>
              <w:t>Software execution on soft or hardened processor within the device</w:t>
            </w:r>
          </w:p>
        </w:tc>
        <w:tc>
          <w:tcPr>
            <w:tcW w:w="1881" w:type="dxa"/>
          </w:tcPr>
          <w:p w14:paraId="78B2E482" w14:textId="77777777" w:rsidR="00B12319" w:rsidRDefault="00000000">
            <w:pPr>
              <w:spacing w:before="40" w:after="40" w:line="240" w:lineRule="auto"/>
              <w:jc w:val="left"/>
            </w:pPr>
            <w:r>
              <w:rPr>
                <w:sz w:val="20"/>
              </w:rPr>
              <w:t>Reuse of conventional control programming; flexible supervisory and management functions</w:t>
            </w:r>
          </w:p>
        </w:tc>
        <w:tc>
          <w:tcPr>
            <w:tcW w:w="1881" w:type="dxa"/>
          </w:tcPr>
          <w:p w14:paraId="01F54B16" w14:textId="77777777" w:rsidR="00B12319" w:rsidRDefault="00000000">
            <w:pPr>
              <w:spacing w:before="40" w:after="40" w:line="240" w:lineRule="auto"/>
              <w:jc w:val="left"/>
            </w:pPr>
            <w:r>
              <w:rPr>
                <w:sz w:val="20"/>
              </w:rPr>
              <w:t>Sequential execution reintroduces data-dependent timing; interface path affects latency</w:t>
            </w:r>
          </w:p>
        </w:tc>
        <w:tc>
          <w:tcPr>
            <w:tcW w:w="1881" w:type="dxa"/>
          </w:tcPr>
          <w:p w14:paraId="3A4E4836" w14:textId="77777777" w:rsidR="00B12319" w:rsidRDefault="00000000">
            <w:pPr>
              <w:spacing w:before="40" w:after="40" w:line="240" w:lineRule="auto"/>
              <w:jc w:val="left"/>
            </w:pPr>
            <w:r>
              <w:rPr>
                <w:sz w:val="20"/>
              </w:rPr>
              <w:t>Moderate for functionality; limited for hard real-time inner loops</w:t>
            </w:r>
          </w:p>
        </w:tc>
        <w:tc>
          <w:tcPr>
            <w:tcW w:w="1881" w:type="dxa"/>
          </w:tcPr>
          <w:p w14:paraId="68350274" w14:textId="77777777" w:rsidR="00B12319" w:rsidRDefault="00000000">
            <w:pPr>
              <w:spacing w:before="40" w:after="40" w:line="240" w:lineRule="auto"/>
              <w:jc w:val="left"/>
            </w:pPr>
            <w:r w:rsidRPr="00C94039">
              <w:rPr>
                <w:sz w:val="20"/>
                <w:lang w:val="nl-BE"/>
              </w:rPr>
              <w:t xml:space="preserve">Hajduk et al. (2015); Silva et al. </w:t>
            </w:r>
            <w:r>
              <w:rPr>
                <w:sz w:val="20"/>
              </w:rPr>
              <w:t>(2015)</w:t>
            </w:r>
          </w:p>
        </w:tc>
      </w:tr>
      <w:tr w:rsidR="00B12319" w14:paraId="56C22ED8" w14:textId="77777777">
        <w:trPr>
          <w:jc w:val="center"/>
        </w:trPr>
        <w:tc>
          <w:tcPr>
            <w:tcW w:w="1881" w:type="dxa"/>
          </w:tcPr>
          <w:p w14:paraId="679D6699" w14:textId="77777777" w:rsidR="00B12319" w:rsidRDefault="00000000">
            <w:pPr>
              <w:spacing w:before="40" w:after="40" w:line="240" w:lineRule="auto"/>
              <w:jc w:val="left"/>
            </w:pPr>
            <w:r>
              <w:rPr>
                <w:sz w:val="20"/>
              </w:rPr>
              <w:t>Overlay configuration of a pre-implemented array</w:t>
            </w:r>
          </w:p>
        </w:tc>
        <w:tc>
          <w:tcPr>
            <w:tcW w:w="1881" w:type="dxa"/>
          </w:tcPr>
          <w:p w14:paraId="1C75F112" w14:textId="77777777" w:rsidR="00B12319" w:rsidRDefault="00000000">
            <w:pPr>
              <w:spacing w:before="40" w:after="40" w:line="240" w:lineRule="auto"/>
              <w:jc w:val="left"/>
            </w:pPr>
            <w:r>
              <w:rPr>
                <w:sz w:val="20"/>
              </w:rPr>
              <w:t>Short and predictable compilation; rapid functional change without full implementation</w:t>
            </w:r>
          </w:p>
        </w:tc>
        <w:tc>
          <w:tcPr>
            <w:tcW w:w="1881" w:type="dxa"/>
          </w:tcPr>
          <w:p w14:paraId="73AE122F" w14:textId="77777777" w:rsidR="00B12319" w:rsidRDefault="00000000">
            <w:pPr>
              <w:spacing w:before="40" w:after="40" w:line="240" w:lineRule="auto"/>
              <w:jc w:val="left"/>
            </w:pPr>
            <w:r>
              <w:rPr>
                <w:sz w:val="20"/>
              </w:rPr>
              <w:t>Area and frequency penalty; evidence drawn from accelerator rather than control workloads</w:t>
            </w:r>
          </w:p>
        </w:tc>
        <w:tc>
          <w:tcPr>
            <w:tcW w:w="1881" w:type="dxa"/>
          </w:tcPr>
          <w:p w14:paraId="77FC7C53" w14:textId="77777777" w:rsidR="00B12319" w:rsidRDefault="00000000">
            <w:pPr>
              <w:spacing w:before="40" w:after="40" w:line="240" w:lineRule="auto"/>
              <w:jc w:val="left"/>
            </w:pPr>
            <w:r>
              <w:rPr>
                <w:sz w:val="20"/>
              </w:rPr>
              <w:t>Limited for control; transfer from accelerator evidence is an inference</w:t>
            </w:r>
          </w:p>
        </w:tc>
        <w:tc>
          <w:tcPr>
            <w:tcW w:w="1881" w:type="dxa"/>
          </w:tcPr>
          <w:p w14:paraId="2C3A61AF" w14:textId="77777777" w:rsidR="00B12319" w:rsidRDefault="00000000">
            <w:pPr>
              <w:spacing w:before="40" w:after="40" w:line="240" w:lineRule="auto"/>
              <w:jc w:val="left"/>
            </w:pPr>
            <w:r>
              <w:rPr>
                <w:sz w:val="20"/>
              </w:rPr>
              <w:t>Jain et al. (2022)</w:t>
            </w:r>
          </w:p>
        </w:tc>
      </w:tr>
      <w:tr w:rsidR="00B12319" w14:paraId="5277777E" w14:textId="77777777">
        <w:trPr>
          <w:jc w:val="center"/>
        </w:trPr>
        <w:tc>
          <w:tcPr>
            <w:tcW w:w="1881" w:type="dxa"/>
          </w:tcPr>
          <w:p w14:paraId="728BFE1D" w14:textId="77777777" w:rsidR="00B12319" w:rsidRDefault="00000000">
            <w:pPr>
              <w:spacing w:before="40" w:after="40" w:line="240" w:lineRule="auto"/>
              <w:jc w:val="left"/>
            </w:pPr>
            <w:r>
              <w:rPr>
                <w:sz w:val="20"/>
              </w:rPr>
              <w:t>Formal verification applied to the implemented controller</w:t>
            </w:r>
          </w:p>
        </w:tc>
        <w:tc>
          <w:tcPr>
            <w:tcW w:w="1881" w:type="dxa"/>
          </w:tcPr>
          <w:p w14:paraId="7FA0A314" w14:textId="77777777" w:rsidR="00B12319" w:rsidRDefault="00000000">
            <w:pPr>
              <w:spacing w:before="40" w:after="40" w:line="240" w:lineRule="auto"/>
              <w:jc w:val="left"/>
            </w:pPr>
            <w:r>
              <w:rPr>
                <w:sz w:val="20"/>
              </w:rPr>
              <w:t>Establishes properties over the state space rather than over tested cases</w:t>
            </w:r>
          </w:p>
        </w:tc>
        <w:tc>
          <w:tcPr>
            <w:tcW w:w="1881" w:type="dxa"/>
          </w:tcPr>
          <w:p w14:paraId="509D42E8" w14:textId="77777777" w:rsidR="00B12319" w:rsidRDefault="00000000">
            <w:pPr>
              <w:spacing w:before="40" w:after="40" w:line="240" w:lineRule="auto"/>
              <w:jc w:val="left"/>
            </w:pPr>
            <w:r>
              <w:rPr>
                <w:sz w:val="20"/>
              </w:rPr>
              <w:t>Modelling effort; limited demonstrated scalability to complete control devices</w:t>
            </w:r>
          </w:p>
        </w:tc>
        <w:tc>
          <w:tcPr>
            <w:tcW w:w="1881" w:type="dxa"/>
          </w:tcPr>
          <w:p w14:paraId="3C1C95DF" w14:textId="77777777" w:rsidR="00B12319" w:rsidRDefault="00000000">
            <w:pPr>
              <w:spacing w:before="40" w:after="40" w:line="240" w:lineRule="auto"/>
              <w:jc w:val="left"/>
            </w:pPr>
            <w:r>
              <w:rPr>
                <w:sz w:val="20"/>
              </w:rPr>
              <w:t>Limited; isolated demonstration within the control literature</w:t>
            </w:r>
          </w:p>
        </w:tc>
        <w:tc>
          <w:tcPr>
            <w:tcW w:w="1881" w:type="dxa"/>
          </w:tcPr>
          <w:p w14:paraId="2FAE72D1" w14:textId="77777777" w:rsidR="00B12319" w:rsidRDefault="00000000">
            <w:pPr>
              <w:spacing w:before="40" w:after="40" w:line="240" w:lineRule="auto"/>
              <w:jc w:val="left"/>
            </w:pPr>
            <w:r>
              <w:rPr>
                <w:sz w:val="20"/>
              </w:rPr>
              <w:t>Jabeen et al. (2015)</w:t>
            </w:r>
          </w:p>
        </w:tc>
      </w:tr>
    </w:tbl>
    <w:p w14:paraId="4C30061F" w14:textId="77777777" w:rsidR="00B12319" w:rsidRDefault="00000000">
      <w:pPr>
        <w:spacing w:before="80" w:after="200"/>
        <w:jc w:val="left"/>
      </w:pPr>
      <w:r>
        <w:rPr>
          <w:i/>
          <w:sz w:val="18"/>
        </w:rPr>
        <w:t>Table note. Strength of evidence refers to the consistency and independence of supporting studies within the reviewed corpus, not to a formal grading instrument.</w:t>
      </w:r>
    </w:p>
    <w:p w14:paraId="6967BBEF" w14:textId="77777777" w:rsidR="00B12319" w:rsidRDefault="00000000">
      <w:pPr>
        <w:spacing w:before="240"/>
        <w:jc w:val="left"/>
      </w:pPr>
      <w:r>
        <w:rPr>
          <w:b/>
        </w:rPr>
        <w:t xml:space="preserve">5. Control Algorithms </w:t>
      </w:r>
      <w:proofErr w:type="spellStart"/>
      <w:r>
        <w:rPr>
          <w:b/>
        </w:rPr>
        <w:t>Realised</w:t>
      </w:r>
      <w:proofErr w:type="spellEnd"/>
      <w:r>
        <w:rPr>
          <w:b/>
        </w:rPr>
        <w:t xml:space="preserve"> in Reconfigurable Hardware</w:t>
      </w:r>
    </w:p>
    <w:p w14:paraId="4BA1B683" w14:textId="77777777" w:rsidR="00B12319" w:rsidRDefault="00000000">
      <w:r>
        <w:lastRenderedPageBreak/>
        <w:t xml:space="preserve">The clearest and most consistent evidence in the field concerns a specific mechanism: when the computational interval of a control law is the binding constraint on closed-loop performance, parallel hardware </w:t>
      </w:r>
      <w:proofErr w:type="spellStart"/>
      <w:r>
        <w:t>realisation</w:t>
      </w:r>
      <w:proofErr w:type="spellEnd"/>
      <w:r>
        <w:t xml:space="preserve"> relaxes that constraint. The importance of this mechanism is that it changes which control strategies are admissible at a given sampling rate, rather than merely making an existing strategy faster.</w:t>
      </w:r>
    </w:p>
    <w:p w14:paraId="15E38EA4" w14:textId="77777777" w:rsidR="00B12319" w:rsidRDefault="00000000">
      <w:r>
        <w:t>Model predictive control is the clearest case because its computational burden is explicit and scales sharply with horizon length and constraint count. Finite-control-set formulations enumerate candidate switching states and evaluate a cost function for each, a structure that maps naturally onto parallel hardware. Implementations for flying-capacitor converters showed that cost-function design and hardware structure had to be considered together, since an apparently equivalent cost function could impose very different resource and latency costs (</w:t>
      </w:r>
      <w:proofErr w:type="spellStart"/>
      <w:r>
        <w:t>Vyncke</w:t>
      </w:r>
      <w:proofErr w:type="spellEnd"/>
      <w:r>
        <w:t xml:space="preserve"> et al., 2013). Extension to long horizons requires a different algorithmic strategy, and a non-recursive sphere-decoding formulation was developed specifically so that the search could be executed within a converter switching period on programmable logic (</w:t>
      </w:r>
      <w:proofErr w:type="spellStart"/>
      <w:r>
        <w:t>Dorfling</w:t>
      </w:r>
      <w:proofErr w:type="spellEnd"/>
      <w:r>
        <w:t xml:space="preserve"> et al., 2020). Continuous-set formulations have followed a parallel path, with multistep error-tracking techniques used to obtain current control for permanent-magnet synchronous machine systems within the available interval (F. Wang et al., 2020), and with constant-switching-frequency formulations addressing the modulation-related drawbacks of finite-set methods (Ma et al., 2014). Gradient-based methods for model predictive pulse pattern control were restructured explicitly for resource efficiency rather than for arithmetic optimality, which illustrates a design pattern that recurs throughout the literature: the algorithm is modified to suit the substrate, and the resulting performance gain is therefore jointly attributable to algorithm and platform (Richter et al., 2017). Explicit formulations shift the burden from computation to storage, and a memory-efficient offset-free explicit </w:t>
      </w:r>
      <w:proofErr w:type="spellStart"/>
      <w:r>
        <w:t>realisation</w:t>
      </w:r>
      <w:proofErr w:type="spellEnd"/>
      <w:r>
        <w:t xml:space="preserve"> addressed the resulting memory constraint directly (Jugade et al., 2022). Nonlinear formulations have also been implemented, including for a converter with a partially saturating inductor where the nonlinearity is a property of the plant rather than of the control objective (Ravera et al., 2025), and earlier work established feasibility for motor servo applications (N. Yang et al., 2012).</w:t>
      </w:r>
    </w:p>
    <w:p w14:paraId="55E3F541" w14:textId="77777777" w:rsidR="00B12319" w:rsidRDefault="00000000">
      <w:r>
        <w:t xml:space="preserve">This body of work supports a strong conclusion about feasibility and a weaker one about advantage. Feasibility is well established and independently replicated: multiple groups, using different devices, converters and formulations, have demonstrated predictive control within </w:t>
      </w:r>
      <w:r>
        <w:lastRenderedPageBreak/>
        <w:t>switching periods that would not accommodate a processor-based implementation of the same formulation. Advantage is less securely established, because the comparison is typically against a processor implementation of an algorithm that was restructured for hardware, and because the closed-loop benefit of a shorter computational interval depends on plant dynamics that vary across the studies. The literature generally reports the computational result and infers the control benefit rather than measuring it against a matched alternative.</w:t>
      </w:r>
    </w:p>
    <w:p w14:paraId="2544A9FD" w14:textId="77777777" w:rsidR="00B12319" w:rsidRDefault="00000000">
      <w:r>
        <w:t xml:space="preserve">Observer-based and nonlinear control laws form a second cluster. Fully programmable-logic </w:t>
      </w:r>
      <w:proofErr w:type="spellStart"/>
      <w:r>
        <w:t>realisation</w:t>
      </w:r>
      <w:proofErr w:type="spellEnd"/>
      <w:r>
        <w:t xml:space="preserve"> of </w:t>
      </w:r>
      <w:proofErr w:type="spellStart"/>
      <w:r>
        <w:t>sensorless</w:t>
      </w:r>
      <w:proofErr w:type="spellEnd"/>
      <w:r>
        <w:t xml:space="preserve"> control using an extended Kalman filter placed an entire estimation and control chain in hardware, demonstrating that recursive estimation with matrix operations is tractable in this setting (</w:t>
      </w:r>
      <w:proofErr w:type="spellStart"/>
      <w:r>
        <w:t>Idkhajine</w:t>
      </w:r>
      <w:proofErr w:type="spellEnd"/>
      <w:r>
        <w:t xml:space="preserve"> et al., 2012). Sliding-mode control for torque-ripple reduction exploits the ability to execute a discontinuous control law at a high rate, where the effective switching frequency of the control action is itself a design variable (Jezernik et al., 2013). Active vibration control of a smart structure used programmable logic to implement a robust controller whose bandwidth requirement arises from the structural dynamics (Parameswaran et al., 2015). Automotive applications extend the pattern to systems in which the model is identified from data rather than derived analytically, as in data-driven predictive gearshift control for dual-clutch transmissions (Lu et al., 2015).</w:t>
      </w:r>
    </w:p>
    <w:p w14:paraId="563A0D8D" w14:textId="77777777" w:rsidR="00B12319" w:rsidRDefault="00000000">
      <w:r>
        <w:t>Multi-device and distributed control architectures form a third cluster and complicate the simple narrative of hardware acceleration. Distributed digital control of a modular solid-state transformer allocated sequential supervisory computation to a digital signal processor and concurrent switching-level computation to programmable logic (Hwang et al., 2013). Hybrid pulse-width modulation for rail traction induction motor control used a similar partitioning, with the modulation logic in hardware and the higher-level control in software (Diao et al., 2018). In both cases the reported performance is a property of the partitioning rather than of either device, which weakens any inference from these studies to the merits of programmable logic in isolation. The comparative study of an FPGA against a digital signal processor for compensator control makes the same point from the opposite direction, finding that the comparison depends on how the control task is decomposed (Sepulveda et al., 2013).</w:t>
      </w:r>
    </w:p>
    <w:p w14:paraId="0C26AE5F" w14:textId="77777777" w:rsidR="00B12319" w:rsidRDefault="00000000">
      <w:r>
        <w:t xml:space="preserve">Several methodological weaknesses recur across this literature and limit the conclusions that can be drawn. Arithmetic representation is frequently under-reported, although word length </w:t>
      </w:r>
      <w:r>
        <w:lastRenderedPageBreak/>
        <w:t xml:space="preserve">determines resource use, achievable clock frequency and closed-loop </w:t>
      </w:r>
      <w:proofErr w:type="spellStart"/>
      <w:r>
        <w:t>behaviour</w:t>
      </w:r>
      <w:proofErr w:type="spellEnd"/>
      <w:r>
        <w:t xml:space="preserve"> simultaneously; a fixed-point </w:t>
      </w:r>
      <w:proofErr w:type="spellStart"/>
      <w:r>
        <w:t>realisation</w:t>
      </w:r>
      <w:proofErr w:type="spellEnd"/>
      <w:r>
        <w:t xml:space="preserve"> that meets a latency target may exhibit limit cycles or degraded disturbance rejection that a floating-point simulation would not predict. Resource-</w:t>
      </w:r>
      <w:proofErr w:type="spellStart"/>
      <w:r>
        <w:t>utilisation</w:t>
      </w:r>
      <w:proofErr w:type="spellEnd"/>
      <w:r>
        <w:t xml:space="preserve"> figures are often reported for the complete design including interfaces and test infrastructure, which prevents meaningful comparison across studies. Latency is commonly reported as a single figure without indication of whether it represents a typical case, a measured maximum over a test campaign, or a value derived from the </w:t>
      </w:r>
      <w:proofErr w:type="spellStart"/>
      <w:r>
        <w:t>synthesised</w:t>
      </w:r>
      <w:proofErr w:type="spellEnd"/>
      <w:r>
        <w:t xml:space="preserve"> critical path. Closed-loop validation on a physical plant is frequently limited to nominal operating points, so robustness to parameter variation and to fault conditions is rarely demonstrated. None of these weaknesses invalidates the central feasibility finding, but together they mean that quantitative comparison across studies is not currently possible, and that the reported figures should be read as existence proofs rather than as benchmarks.</w:t>
      </w:r>
    </w:p>
    <w:p w14:paraId="42FC2550" w14:textId="77777777" w:rsidR="00B12319" w:rsidRDefault="00000000">
      <w:r>
        <w:t xml:space="preserve">Table 3 </w:t>
      </w:r>
      <w:proofErr w:type="spellStart"/>
      <w:r>
        <w:t>organises</w:t>
      </w:r>
      <w:proofErr w:type="spellEnd"/>
      <w:r>
        <w:t xml:space="preserve"> the control-function classes for which hardware </w:t>
      </w:r>
      <w:proofErr w:type="spellStart"/>
      <w:r>
        <w:t>realisation</w:t>
      </w:r>
      <w:proofErr w:type="spellEnd"/>
      <w:r>
        <w:t xml:space="preserve"> has been reported, identifying in each case the property that motivates hardware implementation and the appraisal caveat that recurs. The table is structured to make the distinction between demonstrated feasibility and demonstrated advantage explicit, since conflation of the two is the most common interpretive error in this literature. Reading down the caveat column shows that the limitations are not randomly distributed: they cluster around baseline selection, arithmetic reporting and the absence of matched closed-loop comparison, which are precisely the features that a reporting standard could address.</w:t>
      </w:r>
    </w:p>
    <w:p w14:paraId="5E304DBF" w14:textId="77777777" w:rsidR="00B12319" w:rsidRDefault="00000000">
      <w:pPr>
        <w:spacing w:before="200" w:after="80"/>
        <w:jc w:val="left"/>
      </w:pPr>
      <w:r>
        <w:rPr>
          <w:b/>
          <w:sz w:val="20"/>
        </w:rPr>
        <w:t xml:space="preserve">Table 3. Control-function classes </w:t>
      </w:r>
      <w:proofErr w:type="spellStart"/>
      <w:r>
        <w:rPr>
          <w:b/>
          <w:sz w:val="20"/>
        </w:rPr>
        <w:t>realised</w:t>
      </w:r>
      <w:proofErr w:type="spellEnd"/>
      <w:r>
        <w:rPr>
          <w:b/>
          <w:sz w:val="20"/>
        </w:rPr>
        <w:t xml:space="preserve"> in programmable logic, with motivating property and recurrent appraisal caveat.</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B12319" w14:paraId="0B9D59CD" w14:textId="77777777">
        <w:trPr>
          <w:jc w:val="center"/>
        </w:trPr>
        <w:tc>
          <w:tcPr>
            <w:tcW w:w="1881" w:type="dxa"/>
          </w:tcPr>
          <w:p w14:paraId="7E237080" w14:textId="77777777" w:rsidR="00B12319" w:rsidRDefault="00000000">
            <w:pPr>
              <w:spacing w:before="40" w:after="40" w:line="240" w:lineRule="auto"/>
              <w:jc w:val="left"/>
            </w:pPr>
            <w:r>
              <w:rPr>
                <w:b/>
                <w:sz w:val="20"/>
              </w:rPr>
              <w:t>Control function class</w:t>
            </w:r>
          </w:p>
        </w:tc>
        <w:tc>
          <w:tcPr>
            <w:tcW w:w="1881" w:type="dxa"/>
          </w:tcPr>
          <w:p w14:paraId="309FCFB8" w14:textId="77777777" w:rsidR="00B12319" w:rsidRDefault="00000000">
            <w:pPr>
              <w:spacing w:before="40" w:after="40" w:line="240" w:lineRule="auto"/>
              <w:jc w:val="left"/>
            </w:pPr>
            <w:r>
              <w:rPr>
                <w:b/>
                <w:sz w:val="20"/>
              </w:rPr>
              <w:t xml:space="preserve">Representative </w:t>
            </w:r>
            <w:proofErr w:type="spellStart"/>
            <w:r>
              <w:rPr>
                <w:b/>
                <w:sz w:val="20"/>
              </w:rPr>
              <w:t>realisations</w:t>
            </w:r>
            <w:proofErr w:type="spellEnd"/>
            <w:r>
              <w:rPr>
                <w:b/>
                <w:sz w:val="20"/>
              </w:rPr>
              <w:t xml:space="preserve"> in the reviewed literature</w:t>
            </w:r>
          </w:p>
        </w:tc>
        <w:tc>
          <w:tcPr>
            <w:tcW w:w="1881" w:type="dxa"/>
          </w:tcPr>
          <w:p w14:paraId="7DF08B00" w14:textId="77777777" w:rsidR="00B12319" w:rsidRDefault="00000000">
            <w:pPr>
              <w:spacing w:before="40" w:after="40" w:line="240" w:lineRule="auto"/>
              <w:jc w:val="left"/>
            </w:pPr>
            <w:r>
              <w:rPr>
                <w:b/>
                <w:sz w:val="20"/>
              </w:rPr>
              <w:t xml:space="preserve">Property motivating hardware </w:t>
            </w:r>
            <w:proofErr w:type="spellStart"/>
            <w:r>
              <w:rPr>
                <w:b/>
                <w:sz w:val="20"/>
              </w:rPr>
              <w:t>realisation</w:t>
            </w:r>
            <w:proofErr w:type="spellEnd"/>
          </w:p>
        </w:tc>
        <w:tc>
          <w:tcPr>
            <w:tcW w:w="1881" w:type="dxa"/>
          </w:tcPr>
          <w:p w14:paraId="101171F1" w14:textId="77777777" w:rsidR="00B12319" w:rsidRDefault="00000000">
            <w:pPr>
              <w:spacing w:before="40" w:after="40" w:line="240" w:lineRule="auto"/>
              <w:jc w:val="left"/>
            </w:pPr>
            <w:r>
              <w:rPr>
                <w:b/>
                <w:sz w:val="20"/>
              </w:rPr>
              <w:t>Recurrent appraisal caveat</w:t>
            </w:r>
          </w:p>
        </w:tc>
        <w:tc>
          <w:tcPr>
            <w:tcW w:w="1881" w:type="dxa"/>
          </w:tcPr>
          <w:p w14:paraId="084CF69B" w14:textId="77777777" w:rsidR="00B12319" w:rsidRDefault="00000000">
            <w:pPr>
              <w:spacing w:before="40" w:after="40" w:line="240" w:lineRule="auto"/>
              <w:jc w:val="left"/>
            </w:pPr>
            <w:r>
              <w:rPr>
                <w:b/>
                <w:sz w:val="20"/>
              </w:rPr>
              <w:t>Supporting references</w:t>
            </w:r>
          </w:p>
        </w:tc>
      </w:tr>
      <w:tr w:rsidR="00B12319" w14:paraId="0F581BD6" w14:textId="77777777">
        <w:trPr>
          <w:jc w:val="center"/>
        </w:trPr>
        <w:tc>
          <w:tcPr>
            <w:tcW w:w="1881" w:type="dxa"/>
          </w:tcPr>
          <w:p w14:paraId="2E8AB782" w14:textId="77777777" w:rsidR="00B12319" w:rsidRDefault="00000000">
            <w:pPr>
              <w:spacing w:before="40" w:after="40" w:line="240" w:lineRule="auto"/>
              <w:jc w:val="left"/>
            </w:pPr>
            <w:r>
              <w:rPr>
                <w:sz w:val="20"/>
              </w:rPr>
              <w:t>Finite-control-set predictive control</w:t>
            </w:r>
          </w:p>
        </w:tc>
        <w:tc>
          <w:tcPr>
            <w:tcW w:w="1881" w:type="dxa"/>
          </w:tcPr>
          <w:p w14:paraId="1AAECC3F" w14:textId="77777777" w:rsidR="00B12319" w:rsidRDefault="00000000">
            <w:pPr>
              <w:spacing w:before="40" w:after="40" w:line="240" w:lineRule="auto"/>
              <w:jc w:val="left"/>
            </w:pPr>
            <w:r>
              <w:rPr>
                <w:sz w:val="20"/>
              </w:rPr>
              <w:t>Flying-capacitor converters; long-horizon sphere decoding</w:t>
            </w:r>
          </w:p>
        </w:tc>
        <w:tc>
          <w:tcPr>
            <w:tcW w:w="1881" w:type="dxa"/>
          </w:tcPr>
          <w:p w14:paraId="3EDE5472" w14:textId="77777777" w:rsidR="00B12319" w:rsidRDefault="00000000">
            <w:pPr>
              <w:spacing w:before="40" w:after="40" w:line="240" w:lineRule="auto"/>
              <w:jc w:val="left"/>
            </w:pPr>
            <w:r>
              <w:rPr>
                <w:sz w:val="20"/>
              </w:rPr>
              <w:t>Parallel evaluation of candidate switching states within a switching period</w:t>
            </w:r>
          </w:p>
        </w:tc>
        <w:tc>
          <w:tcPr>
            <w:tcW w:w="1881" w:type="dxa"/>
          </w:tcPr>
          <w:p w14:paraId="725A5ECB" w14:textId="77777777" w:rsidR="00B12319" w:rsidRDefault="00000000">
            <w:pPr>
              <w:spacing w:before="40" w:after="40" w:line="240" w:lineRule="auto"/>
              <w:jc w:val="left"/>
            </w:pPr>
            <w:r>
              <w:rPr>
                <w:sz w:val="20"/>
              </w:rPr>
              <w:t>Algorithm restructured for hardware, so gain is jointly attributable to algorithm and platform</w:t>
            </w:r>
          </w:p>
        </w:tc>
        <w:tc>
          <w:tcPr>
            <w:tcW w:w="1881" w:type="dxa"/>
          </w:tcPr>
          <w:p w14:paraId="0FF39998" w14:textId="77777777" w:rsidR="00B12319" w:rsidRDefault="00000000">
            <w:pPr>
              <w:spacing w:before="40" w:after="40" w:line="240" w:lineRule="auto"/>
              <w:jc w:val="left"/>
            </w:pPr>
            <w:r w:rsidRPr="00C94039">
              <w:rPr>
                <w:sz w:val="20"/>
                <w:lang w:val="nl-BE"/>
              </w:rPr>
              <w:t xml:space="preserve">Dorfling et al. (2020); Vyncke et al. </w:t>
            </w:r>
            <w:r>
              <w:rPr>
                <w:sz w:val="20"/>
              </w:rPr>
              <w:t>(2013)</w:t>
            </w:r>
          </w:p>
        </w:tc>
      </w:tr>
      <w:tr w:rsidR="00B12319" w14:paraId="1AC8C9A7" w14:textId="77777777">
        <w:trPr>
          <w:jc w:val="center"/>
        </w:trPr>
        <w:tc>
          <w:tcPr>
            <w:tcW w:w="1881" w:type="dxa"/>
          </w:tcPr>
          <w:p w14:paraId="42309C63" w14:textId="77777777" w:rsidR="00B12319" w:rsidRDefault="00000000">
            <w:pPr>
              <w:spacing w:before="40" w:after="40" w:line="240" w:lineRule="auto"/>
              <w:jc w:val="left"/>
            </w:pPr>
            <w:r>
              <w:rPr>
                <w:sz w:val="20"/>
              </w:rPr>
              <w:t>Continuous-set and explicit predictive control</w:t>
            </w:r>
          </w:p>
        </w:tc>
        <w:tc>
          <w:tcPr>
            <w:tcW w:w="1881" w:type="dxa"/>
          </w:tcPr>
          <w:p w14:paraId="5DEC4BEB" w14:textId="77777777" w:rsidR="00B12319" w:rsidRDefault="00000000">
            <w:pPr>
              <w:spacing w:before="40" w:after="40" w:line="240" w:lineRule="auto"/>
              <w:jc w:val="left"/>
            </w:pPr>
            <w:r>
              <w:rPr>
                <w:sz w:val="20"/>
              </w:rPr>
              <w:t xml:space="preserve">Current control for synchronous machine drives; constant switching </w:t>
            </w:r>
            <w:r>
              <w:rPr>
                <w:sz w:val="20"/>
              </w:rPr>
              <w:lastRenderedPageBreak/>
              <w:t>frequency formulations; explicit offset-free control</w:t>
            </w:r>
          </w:p>
        </w:tc>
        <w:tc>
          <w:tcPr>
            <w:tcW w:w="1881" w:type="dxa"/>
          </w:tcPr>
          <w:p w14:paraId="4D295AED" w14:textId="77777777" w:rsidR="00B12319" w:rsidRDefault="00000000">
            <w:pPr>
              <w:spacing w:before="40" w:after="40" w:line="240" w:lineRule="auto"/>
              <w:jc w:val="left"/>
            </w:pPr>
            <w:r>
              <w:rPr>
                <w:sz w:val="20"/>
              </w:rPr>
              <w:lastRenderedPageBreak/>
              <w:t xml:space="preserve">Short computational interval for constrained </w:t>
            </w:r>
            <w:proofErr w:type="spellStart"/>
            <w:r>
              <w:rPr>
                <w:sz w:val="20"/>
              </w:rPr>
              <w:t>optimisation</w:t>
            </w:r>
            <w:proofErr w:type="spellEnd"/>
            <w:r>
              <w:rPr>
                <w:sz w:val="20"/>
              </w:rPr>
              <w:t xml:space="preserve">; </w:t>
            </w:r>
            <w:r>
              <w:rPr>
                <w:sz w:val="20"/>
              </w:rPr>
              <w:lastRenderedPageBreak/>
              <w:t>deterministic evaluation time</w:t>
            </w:r>
          </w:p>
        </w:tc>
        <w:tc>
          <w:tcPr>
            <w:tcW w:w="1881" w:type="dxa"/>
          </w:tcPr>
          <w:p w14:paraId="469206CC" w14:textId="77777777" w:rsidR="00B12319" w:rsidRDefault="00000000">
            <w:pPr>
              <w:spacing w:before="40" w:after="40" w:line="240" w:lineRule="auto"/>
              <w:jc w:val="left"/>
            </w:pPr>
            <w:r>
              <w:rPr>
                <w:sz w:val="20"/>
              </w:rPr>
              <w:lastRenderedPageBreak/>
              <w:t xml:space="preserve">Memory rather than computation may bind; baseline processor </w:t>
            </w:r>
            <w:r>
              <w:rPr>
                <w:sz w:val="20"/>
              </w:rPr>
              <w:lastRenderedPageBreak/>
              <w:t xml:space="preserve">implementations seldom </w:t>
            </w:r>
            <w:proofErr w:type="spellStart"/>
            <w:r>
              <w:rPr>
                <w:sz w:val="20"/>
              </w:rPr>
              <w:t>optimised</w:t>
            </w:r>
            <w:proofErr w:type="spellEnd"/>
            <w:r>
              <w:rPr>
                <w:sz w:val="20"/>
              </w:rPr>
              <w:t xml:space="preserve"> comparably</w:t>
            </w:r>
          </w:p>
        </w:tc>
        <w:tc>
          <w:tcPr>
            <w:tcW w:w="1881" w:type="dxa"/>
          </w:tcPr>
          <w:p w14:paraId="6B1B8BA3" w14:textId="77777777" w:rsidR="00B12319" w:rsidRDefault="00000000">
            <w:pPr>
              <w:spacing w:before="40" w:after="40" w:line="240" w:lineRule="auto"/>
              <w:jc w:val="left"/>
            </w:pPr>
            <w:r w:rsidRPr="00C94039">
              <w:rPr>
                <w:sz w:val="20"/>
                <w:lang w:val="nl-BE"/>
              </w:rPr>
              <w:lastRenderedPageBreak/>
              <w:t xml:space="preserve">Jugade et al. (2022); Ma et al. (2014); Ravera et al. (2025); Richter et al. </w:t>
            </w:r>
            <w:r>
              <w:rPr>
                <w:sz w:val="20"/>
              </w:rPr>
              <w:lastRenderedPageBreak/>
              <w:t>(2017); F. Wang et al. (2020); N. Yang et al. (2012)</w:t>
            </w:r>
          </w:p>
        </w:tc>
      </w:tr>
      <w:tr w:rsidR="00B12319" w14:paraId="53EA09EF" w14:textId="77777777">
        <w:trPr>
          <w:jc w:val="center"/>
        </w:trPr>
        <w:tc>
          <w:tcPr>
            <w:tcW w:w="1881" w:type="dxa"/>
          </w:tcPr>
          <w:p w14:paraId="23ECD2A1" w14:textId="77777777" w:rsidR="00B12319" w:rsidRDefault="00000000">
            <w:pPr>
              <w:spacing w:before="40" w:after="40" w:line="240" w:lineRule="auto"/>
              <w:jc w:val="left"/>
            </w:pPr>
            <w:r>
              <w:rPr>
                <w:sz w:val="20"/>
              </w:rPr>
              <w:lastRenderedPageBreak/>
              <w:t>Observer-based and estimation-intensive control</w:t>
            </w:r>
          </w:p>
        </w:tc>
        <w:tc>
          <w:tcPr>
            <w:tcW w:w="1881" w:type="dxa"/>
          </w:tcPr>
          <w:p w14:paraId="4F591E7D" w14:textId="77777777" w:rsidR="00B12319" w:rsidRDefault="00000000">
            <w:pPr>
              <w:spacing w:before="40" w:after="40" w:line="240" w:lineRule="auto"/>
              <w:jc w:val="left"/>
            </w:pPr>
            <w:proofErr w:type="spellStart"/>
            <w:r>
              <w:rPr>
                <w:sz w:val="20"/>
              </w:rPr>
              <w:t>Sensorless</w:t>
            </w:r>
            <w:proofErr w:type="spellEnd"/>
            <w:r>
              <w:rPr>
                <w:sz w:val="20"/>
              </w:rPr>
              <w:t xml:space="preserve"> synchronous drive control with extended Kalman filtering; edge-side fault diagnosis</w:t>
            </w:r>
          </w:p>
        </w:tc>
        <w:tc>
          <w:tcPr>
            <w:tcW w:w="1881" w:type="dxa"/>
          </w:tcPr>
          <w:p w14:paraId="28F37D80" w14:textId="77777777" w:rsidR="00B12319" w:rsidRDefault="00000000">
            <w:pPr>
              <w:spacing w:before="40" w:after="40" w:line="240" w:lineRule="auto"/>
              <w:jc w:val="left"/>
            </w:pPr>
            <w:r>
              <w:rPr>
                <w:sz w:val="20"/>
              </w:rPr>
              <w:t>Recursive matrix computation executed within the sampling interval</w:t>
            </w:r>
          </w:p>
        </w:tc>
        <w:tc>
          <w:tcPr>
            <w:tcW w:w="1881" w:type="dxa"/>
          </w:tcPr>
          <w:p w14:paraId="2022540B" w14:textId="77777777" w:rsidR="00B12319" w:rsidRDefault="00000000">
            <w:pPr>
              <w:spacing w:before="40" w:after="40" w:line="240" w:lineRule="auto"/>
              <w:jc w:val="left"/>
            </w:pPr>
            <w:r>
              <w:rPr>
                <w:sz w:val="20"/>
              </w:rPr>
              <w:t>Numerical sensitivity of estimators to fixed-point representation infrequently reported</w:t>
            </w:r>
          </w:p>
        </w:tc>
        <w:tc>
          <w:tcPr>
            <w:tcW w:w="1881" w:type="dxa"/>
          </w:tcPr>
          <w:p w14:paraId="5FFEFAD8" w14:textId="77777777" w:rsidR="00B12319" w:rsidRDefault="00000000">
            <w:pPr>
              <w:spacing w:before="40" w:after="40" w:line="240" w:lineRule="auto"/>
              <w:jc w:val="left"/>
            </w:pPr>
            <w:r w:rsidRPr="00C94039">
              <w:rPr>
                <w:sz w:val="20"/>
                <w:lang w:val="nl-BE"/>
              </w:rPr>
              <w:t xml:space="preserve">Idkhajine et al. (2012); J. Li et al. </w:t>
            </w:r>
            <w:r>
              <w:rPr>
                <w:sz w:val="20"/>
              </w:rPr>
              <w:t>(2025)</w:t>
            </w:r>
          </w:p>
        </w:tc>
      </w:tr>
      <w:tr w:rsidR="00B12319" w14:paraId="6DB738ED" w14:textId="77777777">
        <w:trPr>
          <w:jc w:val="center"/>
        </w:trPr>
        <w:tc>
          <w:tcPr>
            <w:tcW w:w="1881" w:type="dxa"/>
          </w:tcPr>
          <w:p w14:paraId="548BEB04" w14:textId="77777777" w:rsidR="00B12319" w:rsidRDefault="00000000">
            <w:pPr>
              <w:spacing w:before="40" w:after="40" w:line="240" w:lineRule="auto"/>
              <w:jc w:val="left"/>
            </w:pPr>
            <w:r>
              <w:rPr>
                <w:sz w:val="20"/>
              </w:rPr>
              <w:t>Discontinuous and robust control</w:t>
            </w:r>
          </w:p>
        </w:tc>
        <w:tc>
          <w:tcPr>
            <w:tcW w:w="1881" w:type="dxa"/>
          </w:tcPr>
          <w:p w14:paraId="16C3E673" w14:textId="77777777" w:rsidR="00B12319" w:rsidRDefault="00000000">
            <w:pPr>
              <w:spacing w:before="40" w:after="40" w:line="240" w:lineRule="auto"/>
              <w:jc w:val="left"/>
            </w:pPr>
            <w:r>
              <w:rPr>
                <w:sz w:val="20"/>
              </w:rPr>
              <w:t>Sliding-mode torque-ripple reduction; robust vibration control of smart structures</w:t>
            </w:r>
          </w:p>
        </w:tc>
        <w:tc>
          <w:tcPr>
            <w:tcW w:w="1881" w:type="dxa"/>
          </w:tcPr>
          <w:p w14:paraId="746C9620" w14:textId="77777777" w:rsidR="00B12319" w:rsidRDefault="00000000">
            <w:pPr>
              <w:spacing w:before="40" w:after="40" w:line="240" w:lineRule="auto"/>
              <w:jc w:val="left"/>
            </w:pPr>
            <w:r>
              <w:rPr>
                <w:sz w:val="20"/>
              </w:rPr>
              <w:t>High effective switching rate of the control action; wide control bandwidth</w:t>
            </w:r>
          </w:p>
        </w:tc>
        <w:tc>
          <w:tcPr>
            <w:tcW w:w="1881" w:type="dxa"/>
          </w:tcPr>
          <w:p w14:paraId="04C84D5A" w14:textId="77777777" w:rsidR="00B12319" w:rsidRDefault="00000000">
            <w:pPr>
              <w:spacing w:before="40" w:after="40" w:line="240" w:lineRule="auto"/>
              <w:jc w:val="left"/>
            </w:pPr>
            <w:r>
              <w:rPr>
                <w:sz w:val="20"/>
              </w:rPr>
              <w:t>Closed-loop validation usually confined to nominal operating conditions</w:t>
            </w:r>
          </w:p>
        </w:tc>
        <w:tc>
          <w:tcPr>
            <w:tcW w:w="1881" w:type="dxa"/>
          </w:tcPr>
          <w:p w14:paraId="134C35C3" w14:textId="77777777" w:rsidR="00B12319" w:rsidRDefault="00000000">
            <w:pPr>
              <w:spacing w:before="40" w:after="40" w:line="240" w:lineRule="auto"/>
              <w:jc w:val="left"/>
            </w:pPr>
            <w:r w:rsidRPr="00C94039">
              <w:rPr>
                <w:sz w:val="20"/>
                <w:lang w:val="nl-BE"/>
              </w:rPr>
              <w:t xml:space="preserve">Jezernik et al. (2013); Parameswaran et al. </w:t>
            </w:r>
            <w:r>
              <w:rPr>
                <w:sz w:val="20"/>
              </w:rPr>
              <w:t>(2015)</w:t>
            </w:r>
          </w:p>
        </w:tc>
      </w:tr>
      <w:tr w:rsidR="00B12319" w14:paraId="5ACE7477" w14:textId="77777777">
        <w:trPr>
          <w:jc w:val="center"/>
        </w:trPr>
        <w:tc>
          <w:tcPr>
            <w:tcW w:w="1881" w:type="dxa"/>
          </w:tcPr>
          <w:p w14:paraId="290FDA0E" w14:textId="77777777" w:rsidR="00B12319" w:rsidRDefault="00000000">
            <w:pPr>
              <w:spacing w:before="40" w:after="40" w:line="240" w:lineRule="auto"/>
              <w:jc w:val="left"/>
            </w:pPr>
            <w:r>
              <w:rPr>
                <w:sz w:val="20"/>
              </w:rPr>
              <w:t>Distributed and partitioned control chains</w:t>
            </w:r>
          </w:p>
        </w:tc>
        <w:tc>
          <w:tcPr>
            <w:tcW w:w="1881" w:type="dxa"/>
          </w:tcPr>
          <w:p w14:paraId="602D0B99" w14:textId="77777777" w:rsidR="00B12319" w:rsidRDefault="00000000">
            <w:pPr>
              <w:spacing w:before="40" w:after="40" w:line="240" w:lineRule="auto"/>
              <w:jc w:val="left"/>
            </w:pPr>
            <w:r>
              <w:rPr>
                <w:sz w:val="20"/>
              </w:rPr>
              <w:t>Modular solid-state transformer control; hybrid modulation for rail traction</w:t>
            </w:r>
          </w:p>
        </w:tc>
        <w:tc>
          <w:tcPr>
            <w:tcW w:w="1881" w:type="dxa"/>
          </w:tcPr>
          <w:p w14:paraId="3B22D57B" w14:textId="77777777" w:rsidR="00B12319" w:rsidRDefault="00000000">
            <w:pPr>
              <w:spacing w:before="40" w:after="40" w:line="240" w:lineRule="auto"/>
              <w:jc w:val="left"/>
            </w:pPr>
            <w:r>
              <w:rPr>
                <w:sz w:val="20"/>
              </w:rPr>
              <w:t>Allocation of concurrent and sequential computation across devices</w:t>
            </w:r>
          </w:p>
        </w:tc>
        <w:tc>
          <w:tcPr>
            <w:tcW w:w="1881" w:type="dxa"/>
          </w:tcPr>
          <w:p w14:paraId="4264B4E9" w14:textId="77777777" w:rsidR="00B12319" w:rsidRDefault="00000000">
            <w:pPr>
              <w:spacing w:before="40" w:after="40" w:line="240" w:lineRule="auto"/>
              <w:jc w:val="left"/>
            </w:pPr>
            <w:r>
              <w:rPr>
                <w:sz w:val="20"/>
              </w:rPr>
              <w:t>Reported performance is a property of the partitioning rather than of the device class</w:t>
            </w:r>
          </w:p>
        </w:tc>
        <w:tc>
          <w:tcPr>
            <w:tcW w:w="1881" w:type="dxa"/>
          </w:tcPr>
          <w:p w14:paraId="2C7D37B2" w14:textId="77777777" w:rsidR="00B12319" w:rsidRDefault="00000000">
            <w:pPr>
              <w:spacing w:before="40" w:after="40" w:line="240" w:lineRule="auto"/>
              <w:jc w:val="left"/>
            </w:pPr>
            <w:r w:rsidRPr="00C94039">
              <w:rPr>
                <w:sz w:val="20"/>
                <w:lang w:val="nl-BE"/>
              </w:rPr>
              <w:t xml:space="preserve">Diao et al. (2018); Hwang et al. </w:t>
            </w:r>
            <w:r>
              <w:rPr>
                <w:sz w:val="20"/>
              </w:rPr>
              <w:t>(2013); Sepulveda et al. (2013)</w:t>
            </w:r>
          </w:p>
        </w:tc>
      </w:tr>
      <w:tr w:rsidR="00B12319" w14:paraId="3F23C2D7" w14:textId="77777777">
        <w:trPr>
          <w:jc w:val="center"/>
        </w:trPr>
        <w:tc>
          <w:tcPr>
            <w:tcW w:w="1881" w:type="dxa"/>
          </w:tcPr>
          <w:p w14:paraId="3D56DA0A" w14:textId="77777777" w:rsidR="00B12319" w:rsidRDefault="00000000">
            <w:pPr>
              <w:spacing w:before="40" w:after="40" w:line="240" w:lineRule="auto"/>
              <w:jc w:val="left"/>
            </w:pPr>
            <w:r>
              <w:rPr>
                <w:sz w:val="20"/>
              </w:rPr>
              <w:t>Protection, measurement and instrumentation control</w:t>
            </w:r>
          </w:p>
        </w:tc>
        <w:tc>
          <w:tcPr>
            <w:tcW w:w="1881" w:type="dxa"/>
          </w:tcPr>
          <w:p w14:paraId="47F77F2F" w14:textId="77777777" w:rsidR="00B12319" w:rsidRDefault="00000000">
            <w:pPr>
              <w:spacing w:before="40" w:after="40" w:line="240" w:lineRule="auto"/>
              <w:jc w:val="left"/>
            </w:pPr>
            <w:r>
              <w:rPr>
                <w:sz w:val="20"/>
              </w:rPr>
              <w:t>Numerical overcurrent relaying; quench detection; qubit control and readout</w:t>
            </w:r>
          </w:p>
        </w:tc>
        <w:tc>
          <w:tcPr>
            <w:tcW w:w="1881" w:type="dxa"/>
          </w:tcPr>
          <w:p w14:paraId="7CD707D6" w14:textId="77777777" w:rsidR="00B12319" w:rsidRDefault="00000000">
            <w:pPr>
              <w:spacing w:before="40" w:after="40" w:line="240" w:lineRule="auto"/>
              <w:jc w:val="left"/>
            </w:pPr>
            <w:r>
              <w:rPr>
                <w:sz w:val="20"/>
              </w:rPr>
              <w:t xml:space="preserve">Fixed short response time with high channel count and tight </w:t>
            </w:r>
            <w:proofErr w:type="spellStart"/>
            <w:r>
              <w:rPr>
                <w:sz w:val="20"/>
              </w:rPr>
              <w:t>synchronisation</w:t>
            </w:r>
            <w:proofErr w:type="spellEnd"/>
          </w:p>
        </w:tc>
        <w:tc>
          <w:tcPr>
            <w:tcW w:w="1881" w:type="dxa"/>
          </w:tcPr>
          <w:p w14:paraId="60548DCF" w14:textId="77777777" w:rsidR="00B12319" w:rsidRDefault="00000000">
            <w:pPr>
              <w:spacing w:before="40" w:after="40" w:line="240" w:lineRule="auto"/>
              <w:jc w:val="left"/>
            </w:pPr>
            <w:r>
              <w:rPr>
                <w:sz w:val="20"/>
              </w:rPr>
              <w:t xml:space="preserve">Requirements are extreme, so results do not </w:t>
            </w:r>
            <w:proofErr w:type="spellStart"/>
            <w:r>
              <w:rPr>
                <w:sz w:val="20"/>
              </w:rPr>
              <w:t>generalise</w:t>
            </w:r>
            <w:proofErr w:type="spellEnd"/>
            <w:r>
              <w:rPr>
                <w:sz w:val="20"/>
              </w:rPr>
              <w:t xml:space="preserve"> to conventional control settings</w:t>
            </w:r>
          </w:p>
        </w:tc>
        <w:tc>
          <w:tcPr>
            <w:tcW w:w="1881" w:type="dxa"/>
          </w:tcPr>
          <w:p w14:paraId="26D11BC9" w14:textId="77777777" w:rsidR="00B12319" w:rsidRDefault="00000000">
            <w:pPr>
              <w:spacing w:before="40" w:after="40" w:line="240" w:lineRule="auto"/>
              <w:jc w:val="left"/>
            </w:pPr>
            <w:r>
              <w:rPr>
                <w:sz w:val="20"/>
              </w:rPr>
              <w:t>Mitra and Chattopadhyay (2019); Steckert and Skoczen (2017); Y. Yang et al. (2022)</w:t>
            </w:r>
          </w:p>
        </w:tc>
      </w:tr>
    </w:tbl>
    <w:p w14:paraId="59F67D42" w14:textId="77777777" w:rsidR="00B12319" w:rsidRDefault="00000000">
      <w:pPr>
        <w:spacing w:before="80" w:after="200"/>
        <w:jc w:val="left"/>
      </w:pPr>
      <w:r>
        <w:rPr>
          <w:i/>
          <w:sz w:val="18"/>
        </w:rPr>
        <w:t xml:space="preserve">Table note. Representative </w:t>
      </w:r>
      <w:proofErr w:type="spellStart"/>
      <w:r>
        <w:rPr>
          <w:i/>
          <w:sz w:val="18"/>
        </w:rPr>
        <w:t>realisations</w:t>
      </w:r>
      <w:proofErr w:type="spellEnd"/>
      <w:r>
        <w:rPr>
          <w:i/>
          <w:sz w:val="18"/>
        </w:rPr>
        <w:t xml:space="preserve"> are illustrative of the class and are not an exhaustive listing of published implementations.</w:t>
      </w:r>
    </w:p>
    <w:p w14:paraId="60302DEF" w14:textId="77777777" w:rsidR="00B12319" w:rsidRDefault="00000000">
      <w:pPr>
        <w:spacing w:before="240"/>
        <w:jc w:val="left"/>
      </w:pPr>
      <w:r>
        <w:rPr>
          <w:b/>
        </w:rPr>
        <w:t>6. Timing Determinism and the Evidential Basis of Real-Time Claims</w:t>
      </w:r>
    </w:p>
    <w:p w14:paraId="335F0550" w14:textId="77777777" w:rsidR="00B12319" w:rsidRDefault="00000000">
      <w:r>
        <w:t>The term real-time is used inconsistently across the reviewed literature, and the inconsistency has substantive consequences. In the control-oriented studies it usually means that a measured latency was smaller than the sampling interval during the reported experiments. In the real-time systems literature it means that a bound on response time has been established by analysis and holds for all admissible execution conditions. The first is an observational claim about a sample of executions; the second is an analytical claim about the execution space. Studies in the first tradition rarely acknowledge the distinction, and the resulting literature contains a large number of latency figures whose status as guarantees is unclear.</w:t>
      </w:r>
    </w:p>
    <w:p w14:paraId="5F5B9F95" w14:textId="77777777" w:rsidR="00B12319" w:rsidRDefault="00000000">
      <w:r>
        <w:t xml:space="preserve">The distinction is defensible rather than pedantic. Where a control law is implemented as a fixed </w:t>
      </w:r>
      <w:proofErr w:type="spellStart"/>
      <w:r>
        <w:t>synthesised</w:t>
      </w:r>
      <w:proofErr w:type="spellEnd"/>
      <w:r>
        <w:t xml:space="preserve"> pipeline with no data-dependent control flow, measured and analytical latency coincide, because the pipeline depth and clock period fully determine the response time. This is the configuration for which the founding argument was formulated, and for that configuration the equivalence holds. It ceases to hold as soon as any element of the control path involves </w:t>
      </w:r>
      <w:r>
        <w:lastRenderedPageBreak/>
        <w:t xml:space="preserve">arbitration, buffering, cache </w:t>
      </w:r>
      <w:proofErr w:type="spellStart"/>
      <w:r>
        <w:t>behaviour</w:t>
      </w:r>
      <w:proofErr w:type="spellEnd"/>
      <w:r>
        <w:t xml:space="preserve">, interrupt handling or operating-system scheduling. Heterogeneous platforms introduce all of these. Comparison of on-chip communication mechanisms on a system-on-chip platform showed that transfer performance depends materially on the path selected (Silva et al., 2015), which implies that the timing of any control function crossing the processor–fabric boundary is a property of the system configuration rather than of the </w:t>
      </w:r>
      <w:proofErr w:type="spellStart"/>
      <w:r>
        <w:t>synthesised</w:t>
      </w:r>
      <w:proofErr w:type="spellEnd"/>
      <w:r>
        <w:t xml:space="preserve"> logic alone.</w:t>
      </w:r>
    </w:p>
    <w:p w14:paraId="590608F2" w14:textId="77777777" w:rsidR="00B12319" w:rsidRDefault="00000000">
      <w:r>
        <w:t xml:space="preserve">The real-time systems literature supplies the analytical vocabulary that the control literature generally omits. Measurement-based approaches to worst-case execution time have known and documented limitations, including dependence on the representativeness of the measurement campaign and difficulty in justifying the extrapolation from observed to worst-case </w:t>
      </w:r>
      <w:proofErr w:type="spellStart"/>
      <w:r>
        <w:t>behaviour</w:t>
      </w:r>
      <w:proofErr w:type="spellEnd"/>
      <w:r>
        <w:t xml:space="preserve">, and probabilistic formulations that attempt to address these limitations carry their own open problems (Jimenez Gil et al., 2017). The mixed-criticality literature addresses a structurally similar problem, namely how functions of differing criticality can share a platform without the timing </w:t>
      </w:r>
      <w:proofErr w:type="spellStart"/>
      <w:r>
        <w:t>behaviour</w:t>
      </w:r>
      <w:proofErr w:type="spellEnd"/>
      <w:r>
        <w:t xml:space="preserve"> of the less critical compromising the more critical, and an industrial appraisal of that literature identified a gap between the academic formulation and the requirements of practitioners (Esper et al., 2018). These concerns apply directly to heterogeneous control devices in which a hard real-time regulator shares memory and interconnect with supervisory and communication software, yet the control literature rarely engages with them.</w:t>
      </w:r>
    </w:p>
    <w:p w14:paraId="57920261" w14:textId="77777777" w:rsidR="00B12319" w:rsidRDefault="00000000">
      <w:r>
        <w:t xml:space="preserve">A small number of studies bridge the two traditions. Operating-system support for real-time applications on heterogeneous platforms with dynamic reconfiguration addresses the scheduling problem explicitly, treating programmable-logic resources as schedulable entities rather than as static accelerators (Pagani et al., 2022). A heterogeneous processor-and-fabric real-time operating system placed fault detection and scheduling in programmable logic while the processor executed a modified real-time kernel, obtaining fault tolerance on commercial off-the-shelf components at near-zero timing cost (Ratti et al., 2025). These contributions are important because they treat timing as a system property that must be engineered and </w:t>
      </w:r>
      <w:proofErr w:type="spellStart"/>
      <w:r>
        <w:t>analysed</w:t>
      </w:r>
      <w:proofErr w:type="spellEnd"/>
      <w:r>
        <w:t>, rather than as an emergent property of fast hardware. They remain exceptions within the control literature.</w:t>
      </w:r>
    </w:p>
    <w:p w14:paraId="1772349C" w14:textId="0CA8A256" w:rsidR="00B12319" w:rsidRDefault="00000000">
      <w:r>
        <w:t xml:space="preserve">Networked control extends the timing problem beyond the device. Where the control loop is closed over a network, end-to-end timing depends on the network as well as on the controller, and deterministic Ethernet mechanisms have been developed to supply bounded latency and jitter </w:t>
      </w:r>
      <w:r>
        <w:lastRenderedPageBreak/>
        <w:t xml:space="preserve">for industrial traffic. The </w:t>
      </w:r>
      <w:proofErr w:type="spellStart"/>
      <w:r>
        <w:t>standardisation</w:t>
      </w:r>
      <w:proofErr w:type="spellEnd"/>
      <w:r>
        <w:t xml:space="preserve"> effort and its implications for industrial automation have been </w:t>
      </w:r>
      <w:proofErr w:type="spellStart"/>
      <w:r>
        <w:t>analysed</w:t>
      </w:r>
      <w:proofErr w:type="spellEnd"/>
      <w:r>
        <w:t xml:space="preserve"> in detail (Lo Bello &amp; Steiner, 2019), and the subsequent literature has surveyed scheduling and shaping mechanisms and their open problems (Seol et al., 2021). Programmable logic appears on both sides of this development: as the implementation substrate for switching elements that perform traffic shaping, demonstrated for asynchronous traffic shaping in a hardware switch design (Ben Ahmed et al., 2024), and as the substrate for measurement instruments that observe network timing </w:t>
      </w:r>
      <w:proofErr w:type="spellStart"/>
      <w:r>
        <w:t>behaviour</w:t>
      </w:r>
      <w:proofErr w:type="spellEnd"/>
      <w:r>
        <w:t xml:space="preserve"> with the resolution needed to validate such mechanisms (</w:t>
      </w:r>
      <w:proofErr w:type="spellStart"/>
      <w:r>
        <w:t>Stój</w:t>
      </w:r>
      <w:proofErr w:type="spellEnd"/>
      <w:r>
        <w:t xml:space="preserve"> et al., 202</w:t>
      </w:r>
      <w:r w:rsidR="00C94039">
        <w:t>2</w:t>
      </w:r>
      <w:r>
        <w:t xml:space="preserve">). The measurement role is analytically significant: deterministic network </w:t>
      </w:r>
      <w:proofErr w:type="spellStart"/>
      <w:r>
        <w:t>behaviour</w:t>
      </w:r>
      <w:proofErr w:type="spellEnd"/>
      <w:r>
        <w:t xml:space="preserve"> is an engineering claim that requires independent observation, and programmable logic is one of the few practical means of obtaining that observation at the required resolution.</w:t>
      </w:r>
    </w:p>
    <w:p w14:paraId="1358F155" w14:textId="77777777" w:rsidR="00B12319" w:rsidRDefault="00000000">
      <w:r>
        <w:t>The state of the evidence can be stated precisely. It is well established that a control law implemented as a fixed pipeline in programmable logic exhibits latency determined by pipeline depth and clock period, and that this latency is invariant across input data. It is not established that heterogeneous FPGA-based control devices provide response-time guarantees in the analytical sense, because the studies that report timing for such devices almost never perform the analysis that would be required. The prevalent inference, that the determinism of the fabric confers determinism on the device, is an unwarranted extension of a valid argument beyond its original conditions. This is the most consequential evidential weakness identified in this review, because it concerns the property for which FPGA-based control devices are principally selected.</w:t>
      </w:r>
    </w:p>
    <w:p w14:paraId="562F073F" w14:textId="77777777" w:rsidR="00B12319" w:rsidRDefault="00000000">
      <w:pPr>
        <w:spacing w:before="240"/>
        <w:jc w:val="left"/>
      </w:pPr>
      <w:r>
        <w:rPr>
          <w:b/>
        </w:rPr>
        <w:t>7. Dynamic Partial Reconfiguration: Adaptability and Its Unresolved Costs</w:t>
      </w:r>
    </w:p>
    <w:p w14:paraId="6535CCA8" w14:textId="77777777" w:rsidR="00B12319" w:rsidRDefault="00000000">
      <w:r>
        <w:t>Dynamic partial reconfiguration allows a defined region of the programmable fabric to be reconfigured while the remainder of the device continues to operate. It is the capability most frequently cited as distinguishing programmable logic from both processors and application-specific circuits, and it is also the capability with the largest gap between published interest and deployed practice. A comprehensive review of the area observed precisely this gap, noting that reconfiguration has been studied extensively in the academic literature while finding limited use in deployed systems, and attributing the discrepancy chiefly to the complexity of the design flows required (Vipin &amp; Fahmy, 2018).</w:t>
      </w:r>
    </w:p>
    <w:p w14:paraId="5BF941E4" w14:textId="77777777" w:rsidR="00B12319" w:rsidRDefault="00000000">
      <w:r>
        <w:lastRenderedPageBreak/>
        <w:t>Within control specifically, the most developed line of work concerns concurrent control systems specified formally and partitioned for reconfiguration. Reconfiguration of concurrent control systems implemented in programmable devices was developed as a design method rather than as a demonstration (Wisniewski et al., 2017), and a subsequent treatment used Petri net specifications as the basis for partitioning, which supplies a formal route from specification to reconfigurable implementation (Wisniewski, 2018). The significance of this work is methodological: it addresses the question of what should be reconfigured, which the accelerator-oriented literature generally treats as given. The evidence remains confined to a small number of related studies from a narrow research base, so independent confirmation is lacking.</w:t>
      </w:r>
    </w:p>
    <w:p w14:paraId="0461A126" w14:textId="77777777" w:rsidR="00B12319" w:rsidRDefault="00000000">
      <w:r>
        <w:t xml:space="preserve">The real-time properties of reconfiguration have been examined directly. Analysis of dynamic partial reconfiguration in real-time systems addressed the timing </w:t>
      </w:r>
      <w:proofErr w:type="spellStart"/>
      <w:r>
        <w:t>behaviour</w:t>
      </w:r>
      <w:proofErr w:type="spellEnd"/>
      <w:r>
        <w:t xml:space="preserve"> of the reconfiguration process itself, which is necessary because reconfiguration occupies time during which the reconfigured function is unavailable and during which the configuration interface is occupied (</w:t>
      </w:r>
      <w:proofErr w:type="spellStart"/>
      <w:r>
        <w:t>Pezzarossa</w:t>
      </w:r>
      <w:proofErr w:type="spellEnd"/>
      <w:r>
        <w:t xml:space="preserve"> et al., 2018). A real-time capable reconfiguration system for an application-specific soft-core processor pursued the same objective at the level of the processor architecture (Kirchhoff et al., 2019). Operating-system-level support that treats reconfigurable regions as schedulable resources represents the most systematic response to the problem, since it places reconfiguration within an analytical scheduling framework rather than treating it as an asynchronous event (Pagani et al., 2022).</w:t>
      </w:r>
    </w:p>
    <w:p w14:paraId="306FCFB3" w14:textId="77777777" w:rsidR="00B12319" w:rsidRDefault="00000000">
      <w:r>
        <w:t>Reconfiguration has also been proposed for purposes other than functional adaptation. Runtime partial reconfiguration has been used as a fault-tolerance mechanism, repairing configuration-memory corruption by rewriting the affected region rather than by permanent redundancy (</w:t>
      </w:r>
      <w:proofErr w:type="spellStart"/>
      <w:r>
        <w:t>Vavousis</w:t>
      </w:r>
      <w:proofErr w:type="spellEnd"/>
      <w:r>
        <w:t xml:space="preserve"> et al., 2013). It has been proposed as a security mechanism, on the argument that a design which changes its physical implementation during operation presents a moving target to side-channel analysis (</w:t>
      </w:r>
      <w:proofErr w:type="spellStart"/>
      <w:r>
        <w:t>Bommana</w:t>
      </w:r>
      <w:proofErr w:type="spellEnd"/>
      <w:r>
        <w:t xml:space="preserve"> et al., 2025). It has been applied to scalable embedded inference, where different network configurations are loaded according to workload (</w:t>
      </w:r>
      <w:proofErr w:type="spellStart"/>
      <w:r>
        <w:t>Boudjadar</w:t>
      </w:r>
      <w:proofErr w:type="spellEnd"/>
      <w:r>
        <w:t xml:space="preserve"> et al., 2025). These applications are conceptually distinct and should not be treated as a single capability: fault repair requires detection and a known-good configuration, security application requires that reconfiguration outpace measurement accumulation, and workload adaptation requires that reconfiguration latency be small relative to workload variation. The evidence for each is separate and none of it is strong.</w:t>
      </w:r>
    </w:p>
    <w:p w14:paraId="4C7FD5E7" w14:textId="77777777" w:rsidR="00B12319" w:rsidRDefault="00000000">
      <w:r>
        <w:lastRenderedPageBreak/>
        <w:t>The critical assessment is that reconfiguration remains a capability in search of a control-relevant justification. The costs are concrete and well documented: additional design-flow complexity, the need to floorplan reconfigurable regions, configuration-interface bandwidth limits, the temporal unavailability of the reconfigured function, and a substantially harder verification problem, since the device must be shown correct in every reachable configuration and during every transition. The benefits in control applications are mostly potential rather than demonstrated, because control laws that must change structurally during operation are uncommon, and because switching between pre-</w:t>
      </w:r>
      <w:proofErr w:type="spellStart"/>
      <w:r>
        <w:t>synthesised</w:t>
      </w:r>
      <w:proofErr w:type="spellEnd"/>
      <w:r>
        <w:t xml:space="preserve"> parameter sets within a static design achieves most of the practically required adaptability without any of the reconfiguration costs. The deployment gap identified in the reviewing literature is therefore better explained by an </w:t>
      </w:r>
      <w:proofErr w:type="spellStart"/>
      <w:r>
        <w:t>unfavourable</w:t>
      </w:r>
      <w:proofErr w:type="spellEnd"/>
      <w:r>
        <w:t xml:space="preserve"> cost-benefit balance in most control applications than by tool immaturity alone. Where the balance plausibly </w:t>
      </w:r>
      <w:proofErr w:type="spellStart"/>
      <w:r>
        <w:t>favours</w:t>
      </w:r>
      <w:proofErr w:type="spellEnd"/>
      <w:r>
        <w:t xml:space="preserve"> reconfiguration is in long-lived, physically inaccessible systems in which functional change is required after deployment and the alternative is replacement of the device.</w:t>
      </w:r>
    </w:p>
    <w:p w14:paraId="5F3DCA85" w14:textId="77777777" w:rsidR="00B12319" w:rsidRDefault="00000000">
      <w:pPr>
        <w:spacing w:before="240"/>
        <w:jc w:val="left"/>
      </w:pPr>
      <w:r>
        <w:rPr>
          <w:b/>
        </w:rPr>
        <w:t>8. Learning-Based Functions Inside and Alongside the Control Loop</w:t>
      </w:r>
    </w:p>
    <w:p w14:paraId="608F34B8" w14:textId="32B5C4B7" w:rsidR="00B12319" w:rsidRDefault="00000000">
      <w:r>
        <w:t xml:space="preserve">The incorporation of learned functions into embedded control has generated a large implementation literature, most of it concerned with inference acceleration rather than with control. Reviews of FPGA accelerators for deep networks document consistent architectural patterns, including reduced-precision arithmetic, loop tiling, dataflow </w:t>
      </w:r>
      <w:proofErr w:type="spellStart"/>
      <w:r>
        <w:t>specialisation</w:t>
      </w:r>
      <w:proofErr w:type="spellEnd"/>
      <w:r>
        <w:t xml:space="preserve"> and memory-hierarchy </w:t>
      </w:r>
      <w:proofErr w:type="spellStart"/>
      <w:r>
        <w:t>optimisation</w:t>
      </w:r>
      <w:proofErr w:type="spellEnd"/>
      <w:r>
        <w:t xml:space="preserve">, and report </w:t>
      </w:r>
      <w:proofErr w:type="spellStart"/>
      <w:r>
        <w:t>favourable</w:t>
      </w:r>
      <w:proofErr w:type="spellEnd"/>
      <w:r>
        <w:t xml:space="preserve"> latency and energy characteristics relative to graphics processors for small-batch inference (Hong et al., 2024; Mittal, 20</w:t>
      </w:r>
      <w:r w:rsidR="00C94039">
        <w:t>20</w:t>
      </w:r>
      <w:r>
        <w:t xml:space="preserve">; </w:t>
      </w:r>
      <w:proofErr w:type="spellStart"/>
      <w:r>
        <w:t>Shawahna</w:t>
      </w:r>
      <w:proofErr w:type="spellEnd"/>
      <w:r>
        <w:t xml:space="preserve"> et al., 2019). Implementation methodologies have been proposed to make the mapping systematic (</w:t>
      </w:r>
      <w:proofErr w:type="spellStart"/>
      <w:r>
        <w:t>Zacchigna</w:t>
      </w:r>
      <w:proofErr w:type="spellEnd"/>
      <w:r>
        <w:t>, 2023), and specific accelerator designs have targeted object-detection workloads, including industrial vision applications with real-time requirements (Yan et al., 2024; Z. Wang et al., 2020).</w:t>
      </w:r>
    </w:p>
    <w:p w14:paraId="70E65FF7" w14:textId="77777777" w:rsidR="00B12319" w:rsidRDefault="00000000">
      <w:r>
        <w:t xml:space="preserve">Transfer of these results to control requires care, because the workload characteristics differ in ways that matter. Inference benchmarks are dominated by throughput at moderate latency with batching available, whereas a control loop requires a single inference to complete within a fixed short interval with no batching and with deterministic timing. Energy comparisons reported for inference workloads are therefore not directly applicable to control, and the reviews themselves do not claim otherwise. The relevant question for control is whether a learned function can be </w:t>
      </w:r>
      <w:r>
        <w:lastRenderedPageBreak/>
        <w:t>evaluated within the sampling interval with bounded latency, and that question is answered by a much smaller literature.</w:t>
      </w:r>
    </w:p>
    <w:p w14:paraId="50FC80DD" w14:textId="77777777" w:rsidR="00B12319" w:rsidRDefault="00000000">
      <w:r>
        <w:t xml:space="preserve">Within that smaller literature, three uses are distinguishable. The first substitutes a learned function for an expensive computation inside an otherwise conventional control law. Neural network model-predictive control for cascaded H-bridge converters uses a learned approximation of the predictive control mapping, so that the online </w:t>
      </w:r>
      <w:proofErr w:type="spellStart"/>
      <w:r>
        <w:t>optimisation</w:t>
      </w:r>
      <w:proofErr w:type="spellEnd"/>
      <w:r>
        <w:t xml:space="preserve"> is replaced by a forward evaluation of fixed cost (Simonetti et al., 2023). A closely related development trains one-dimensional convolutional networks to reproduce long-horizon finite-control-set predictive control for power-electronic converter control, with the explicit motivation of obtaining long-horizon </w:t>
      </w:r>
      <w:proofErr w:type="spellStart"/>
      <w:r>
        <w:t>behaviour</w:t>
      </w:r>
      <w:proofErr w:type="spellEnd"/>
      <w:r>
        <w:t xml:space="preserve"> at short-horizon computational cost (N. Li et al., 2025). This use is well matched to the substrate, because a feedforward network has a fixed evaluation cost and maps onto a fixed pipeline, and it is the application in which the evidence is strongest. Its principal unresolved issue is not implementation but guarantee: the learned approximation has no general stability or constraint-satisfaction certificate, and the reviewed studies validate </w:t>
      </w:r>
      <w:proofErr w:type="spellStart"/>
      <w:r>
        <w:t>behaviour</w:t>
      </w:r>
      <w:proofErr w:type="spellEnd"/>
      <w:r>
        <w:t xml:space="preserve"> experimentally rather than establishing it analytically.</w:t>
      </w:r>
    </w:p>
    <w:p w14:paraId="01E87B20" w14:textId="77777777" w:rsidR="00B12319" w:rsidRDefault="00000000">
      <w:r>
        <w:t>The second use places learning alongside rather than inside the loop, typically for condition monitoring, fault detection or diagnosis. Edge-side motor fault diagnosis implemented in programmable logic combines signal decomposition with estimation to detect faults locally rather than transmitting raw data for remote analysis (J. Li et al., 2025). Here the timing requirement is softer, the failure mode of a wrong output is less immediate, and the argument for hardware implementation rests on data reduction and on the avoidance of communication dependence rather than on loop timing.</w:t>
      </w:r>
    </w:p>
    <w:p w14:paraId="4EC83020" w14:textId="77777777" w:rsidR="00B12319" w:rsidRDefault="00000000">
      <w:r>
        <w:t xml:space="preserve">The third use is online learning, which remains largely aspirational in control settings. Hardware implementation of reinforcement learning has been demonstrated for a tabular algorithm, establishing that the update computation itself is tractable in programmable logic (Spano et al., 2019). Neuromorphic implementations occupy an adjacent position: spiking network architectures have been </w:t>
      </w:r>
      <w:proofErr w:type="spellStart"/>
      <w:r>
        <w:t>realised</w:t>
      </w:r>
      <w:proofErr w:type="spellEnd"/>
      <w:r>
        <w:t xml:space="preserve"> in multi-device programmable systems for real-time simulation (Sripad et al., 2018), biomimetic networks have been implemented for closed-loop interaction with biological tissue (</w:t>
      </w:r>
      <w:proofErr w:type="spellStart"/>
      <w:r>
        <w:t>Khoyratee</w:t>
      </w:r>
      <w:proofErr w:type="spellEnd"/>
      <w:r>
        <w:t xml:space="preserve"> et al., 2019), and the area has been surveyed recently with attention to the reconfigurable implementations specifically (</w:t>
      </w:r>
      <w:proofErr w:type="spellStart"/>
      <w:r>
        <w:t>Farsa</w:t>
      </w:r>
      <w:proofErr w:type="spellEnd"/>
      <w:r>
        <w:t xml:space="preserve"> et al., 2025). The distance </w:t>
      </w:r>
      <w:r>
        <w:lastRenderedPageBreak/>
        <w:t xml:space="preserve">between these demonstrations and a deployable adaptive controller is considerable, and the obstacle is not implementation capacity but the absence of safety arguments for a controller whose </w:t>
      </w:r>
      <w:proofErr w:type="spellStart"/>
      <w:r>
        <w:t>behaviour</w:t>
      </w:r>
      <w:proofErr w:type="spellEnd"/>
      <w:r>
        <w:t xml:space="preserve"> changes during operation.</w:t>
      </w:r>
    </w:p>
    <w:p w14:paraId="70EB09A0" w14:textId="77777777" w:rsidR="00B12319" w:rsidRDefault="00000000">
      <w:r>
        <w:t xml:space="preserve">A systemic weakness runs through this literature. Reported accuracy is typically measured on a held-out dataset rather than in closed loop, so the consequence of an inference error for control performance is generally unknown. </w:t>
      </w:r>
      <w:proofErr w:type="spellStart"/>
      <w:r>
        <w:t>Quantisation</w:t>
      </w:r>
      <w:proofErr w:type="spellEnd"/>
      <w:r>
        <w:t xml:space="preserve"> to reduced precision is evaluated against classification accuracy rather than against closed-loop stability margins. Latency is reported for the accelerator rather than for the complete sense-to-actuate path, which omits data movement across the processor–fabric boundary that comparative interconnect studies show to be material (Silva et al., 2015). Until learned control functions are evaluated with closed-loop metrics and complete-path timing, the claim that embedded learning improves control performance, as distinct from the claim that inference can be executed quickly, remains weakly supported.</w:t>
      </w:r>
    </w:p>
    <w:p w14:paraId="03DD3358" w14:textId="77777777" w:rsidR="00B12319" w:rsidRDefault="00000000">
      <w:pPr>
        <w:spacing w:before="240"/>
        <w:jc w:val="left"/>
      </w:pPr>
      <w:r>
        <w:rPr>
          <w:b/>
        </w:rPr>
        <w:t>9. Dependability, Soft Errors and the Certification Problem</w:t>
      </w:r>
    </w:p>
    <w:p w14:paraId="58075FF4" w14:textId="77777777" w:rsidR="00B12319" w:rsidRDefault="00000000">
      <w:r>
        <w:t xml:space="preserve">Static random-access memory based programmable devices store their configuration in memory cells that are susceptible to upset by </w:t>
      </w:r>
      <w:proofErr w:type="spellStart"/>
      <w:r>
        <w:t>ionising</w:t>
      </w:r>
      <w:proofErr w:type="spellEnd"/>
      <w:r>
        <w:t xml:space="preserve"> radiation. An upset in configuration memory does not merely corrupt a data value; it can alter the implemented circuit, so that the device continues to operate while computing a different function. This failure mode is qualitatively different from the data corruption that dominates processor reliability analysis, and it is the reason that dependability is a first-order design concern for programmable control devices in aerospace, nuclear, accelerator and high-altitude applications. The accumulated operational experience from space deployment set out the characteristic failure mechanisms and the mitigation strategies that follow from them (Wirthlin, 2013).</w:t>
      </w:r>
    </w:p>
    <w:p w14:paraId="2DF8FB31" w14:textId="77777777" w:rsidR="00B12319" w:rsidRDefault="00000000">
      <w:r>
        <w:t xml:space="preserve">Mitigation has been dominated by redundancy. Triple modular redundancy replicates logic and votes on the result, and partial application of the technique concentrates redundancy on the parts of a design whose corruption has the greatest consequence, which reduces the area and power penalty at some cost in coverage (Keller &amp; Wirthlin, 2021). Formal treatment of the partitioning decision has been developed as a dependability modelling and </w:t>
      </w:r>
      <w:proofErr w:type="spellStart"/>
      <w:r>
        <w:t>optimisation</w:t>
      </w:r>
      <w:proofErr w:type="spellEnd"/>
      <w:r>
        <w:t xml:space="preserve"> problem, which is an advance over heuristic allocation because it makes the coverage-versus-cost trade-off explicit (Hoque et al., 2019). Approximate variants relax the exactness of the voting or of the replicated computation in order to reduce cost further, and the survey of these techniques documents both </w:t>
      </w:r>
      <w:r>
        <w:lastRenderedPageBreak/>
        <w:t>the variety of approaches and the absence of a common evaluation basis (Arifeen et al., 2020). Reconfiguration-based repair offers an alternative in which corrupted configuration is rewritten rather than masked, which avoids permanent area overhead at the cost of detection latency and of dependence on a trusted configuration source (</w:t>
      </w:r>
      <w:proofErr w:type="spellStart"/>
      <w:r>
        <w:t>Vavousis</w:t>
      </w:r>
      <w:proofErr w:type="spellEnd"/>
      <w:r>
        <w:t xml:space="preserve"> et al., 2013). Application-specific mitigation for satellite bus control illustrates that the appropriate strategy depends on the function being protected rather than being uniform across a design (Cui &amp; Liu, 2020), and fault-tolerant architecture for avionics applications shows the same principle in a different certification context (Ciani &amp; </w:t>
      </w:r>
      <w:proofErr w:type="spellStart"/>
      <w:r>
        <w:t>Catelani</w:t>
      </w:r>
      <w:proofErr w:type="spellEnd"/>
      <w:r>
        <w:t>, 2014).</w:t>
      </w:r>
    </w:p>
    <w:p w14:paraId="43C961B0" w14:textId="77777777" w:rsidR="00B12319" w:rsidRDefault="00000000">
      <w:r>
        <w:t xml:space="preserve">Evaluation methodology in this area is comparatively strong, which distinguishes it from most of the literature reviewed here. Fault injection provides a controlled and repeatable means of assessing sensitivity, and it has been applied systematically to soft-processor implementations to </w:t>
      </w:r>
      <w:proofErr w:type="spellStart"/>
      <w:r>
        <w:t>characterise</w:t>
      </w:r>
      <w:proofErr w:type="spellEnd"/>
      <w:r>
        <w:t xml:space="preserve"> upset </w:t>
      </w:r>
      <w:proofErr w:type="spellStart"/>
      <w:r>
        <w:t>behaviour</w:t>
      </w:r>
      <w:proofErr w:type="spellEnd"/>
      <w:r>
        <w:t xml:space="preserve"> (Ramos et al., 2017). Accelerated radiation testing provides the complementary physical evidence, and has been used to evaluate soft-processor cores implemented in programmable fabric under radiation exposure (de Oliveira et al., 2020). Emulation-based fault injection has been applied to a time-to-digital converter to </w:t>
      </w:r>
      <w:proofErr w:type="spellStart"/>
      <w:r>
        <w:t>characterise</w:t>
      </w:r>
      <w:proofErr w:type="spellEnd"/>
      <w:r>
        <w:t xml:space="preserve"> upset tolerance of a timing-critical measurement function (</w:t>
      </w:r>
      <w:proofErr w:type="spellStart"/>
      <w:r>
        <w:t>Siecha</w:t>
      </w:r>
      <w:proofErr w:type="spellEnd"/>
      <w:r>
        <w:t xml:space="preserve"> et al., 2025). The combination of controlled injection and physical exposure is a genuine methodological strength: it permits both mechanism-level understanding and validation against the physical environment, and it is a model that the timing and energy literature could usefully emulate.</w:t>
      </w:r>
    </w:p>
    <w:p w14:paraId="1FB58371" w14:textId="77777777" w:rsidR="00B12319" w:rsidRDefault="00000000">
      <w:r>
        <w:t xml:space="preserve">Two limitations qualify these strengths. The first is that dependability evidence is overwhelmingly concerned with the computation rather than with the control loop. Studies report error rates, cross-sections and mitigation overheads, but rarely report the closed-loop consequence of an unmitigated upset, which depends on the plant dynamics, on the duration of the corruption and on the control structure. A transient corruption of a current-regulator output may be absorbed by the plant, whereas a persistent corruption of a modulation pattern may cause immediate damage. Without closed-loop </w:t>
      </w:r>
      <w:proofErr w:type="spellStart"/>
      <w:r>
        <w:t>characterisation</w:t>
      </w:r>
      <w:proofErr w:type="spellEnd"/>
      <w:r>
        <w:t>, the adequacy of a given mitigation strategy for a given control application cannot be assessed from the published evidence.</w:t>
      </w:r>
    </w:p>
    <w:p w14:paraId="11804C1D" w14:textId="77777777" w:rsidR="00B12319" w:rsidRDefault="00000000">
      <w:r>
        <w:t xml:space="preserve">The second limitation concerns certification. The dependability literature and the certification literature develop largely in parallel. Redundancy techniques are evaluated by fault injection and radiation testing, whereas certification of safety-relevant systems requires arguments about </w:t>
      </w:r>
      <w:r>
        <w:lastRenderedPageBreak/>
        <w:t xml:space="preserve">design process, tool qualification, traceability and coverage of the design space. Programmable devices raise specific difficulties for such arguments, since the mapping from source description to implemented circuit is performed by complex proprietary tools whose </w:t>
      </w:r>
      <w:proofErr w:type="spellStart"/>
      <w:r>
        <w:t>behaviour</w:t>
      </w:r>
      <w:proofErr w:type="spellEnd"/>
      <w:r>
        <w:t xml:space="preserve"> is not transparent, and since reconfigurability multiplies the number of configurations that must be considered. The work that addresses both concerns simultaneously is sparse. The heterogeneous real-time operating system that places fault detection and scheduling in programmable logic is one of the few contributions that treats fault tolerance and timing together on commercial off-the-shelf components (Ratti et al., 2025), and the formal verification methodology for motor control is one of the few that supplies evidence of the type a certification argument requires (Jabeen et al., 2015). The combination of formal verification, fault tolerance and timing analysis within a single control-device design methodology does not appear in the reviewed literature.</w:t>
      </w:r>
    </w:p>
    <w:p w14:paraId="01F4A1A5" w14:textId="77777777" w:rsidR="00B12319" w:rsidRDefault="00000000">
      <w:pPr>
        <w:spacing w:before="240"/>
        <w:jc w:val="left"/>
      </w:pPr>
      <w:r>
        <w:rPr>
          <w:b/>
        </w:rPr>
        <w:t>10. Security and Trust in Reconfigurable Control Devices</w:t>
      </w:r>
    </w:p>
    <w:p w14:paraId="20E9F7C2" w14:textId="77777777" w:rsidR="00B12319" w:rsidRDefault="00000000">
      <w:r>
        <w:t>Security entered the programmable-logic literature through the configuration bitstream. Because the bitstream defines the implemented circuit, an adversary who can modify it can alter the function of a deployed device. Demonstration of hardware Trojan insertion by direct modification of the configuration bitstream established that this attack is practical rather than theoretical, and did so without access to the original design source (Chakraborty et al., 2013). Subsequent analysis has catalogued bitstream modification attacks and the countermeasures proposed against them, showing that encryption and authentication address some but not all of the threat surface (Moraitis, 2023). Detection-oriented work has applied machine learning to bitstream analysis with the objective of identifying inserted logic without reference to a golden design (Palumbo et al., 2022), and design-and-validation methods have been proposed to establish trust in the implemented device (Mal-Sarkar et al., 2016).</w:t>
      </w:r>
    </w:p>
    <w:p w14:paraId="4AD28586" w14:textId="77777777" w:rsidR="00B12319" w:rsidRDefault="00000000">
      <w:r>
        <w:t xml:space="preserve">For control devices the significance of these results is specific and often understated. A modified controller does not merely leak information; it actuates a physical process. An inserted modification that alters a protection threshold, a modulation pattern or a limit check can cause physical damage, and the modification need not be detectable in the device output under normal operating conditions. The threat model for control devices therefore differs from that for cryptographic accelerators, where confidentiality of a key is the primary asset. The reviewed literature has not developed control-specific threat models, and attacks reported against </w:t>
      </w:r>
      <w:r>
        <w:lastRenderedPageBreak/>
        <w:t>cryptographic or inference workloads are generally assumed to transfer without analysis of whether the assumptions hold.</w:t>
      </w:r>
    </w:p>
    <w:p w14:paraId="0959516E" w14:textId="77777777" w:rsidR="00B12319" w:rsidRDefault="00000000">
      <w:r>
        <w:t xml:space="preserve">Attacks targeting machine learning functions illustrate the point. A hardware Trojan affecting the activation parameters of a deep network accelerator implemented in programmable logic alters inference </w:t>
      </w:r>
      <w:proofErr w:type="spellStart"/>
      <w:r>
        <w:t>behaviour</w:t>
      </w:r>
      <w:proofErr w:type="spellEnd"/>
      <w:r>
        <w:t xml:space="preserve"> in a manner that may be difficult to detect through output monitoring (Mukherjee &amp; Chakraborty, 2022). Where such an accelerator is inside a control loop, the consequence is a controller that behaves correctly except under specific conditions chosen by the adversary, which is precisely the failure mode that conventional testing is least able to detect.</w:t>
      </w:r>
    </w:p>
    <w:p w14:paraId="4295A414" w14:textId="77777777" w:rsidR="00B12319" w:rsidRDefault="00000000">
      <w:r>
        <w:t>Remote and shared-resource attacks extend the threat surface in ways that the control literature has not absorbed. Side-channel analysis conducted remotely, without physical access, has been shown to permit extraction of neural network structure from a programmable device (Zhang et al., 2021), which establishes that logical isolation between tenants does not imply isolation of physical side channels. A comprehensive survey of security, trust and privacy in multi-tenant cloud deployments sets out the resulting problem space, in which mutually distrusting designs share a physical substrate whose electrical characteristics couple them (Kawser Ahmed et al., 2025). Defensive use of reconfiguration has been proposed, with deep learning applied to detect side-channel activity and dynamic partial reconfiguration used to alter the implementation during operation so that accumulated measurements become inconsistent (</w:t>
      </w:r>
      <w:proofErr w:type="spellStart"/>
      <w:r>
        <w:t>Bommana</w:t>
      </w:r>
      <w:proofErr w:type="spellEnd"/>
      <w:r>
        <w:t xml:space="preserve"> et al., 2025). The </w:t>
      </w:r>
      <w:proofErr w:type="spellStart"/>
      <w:r>
        <w:t>defence</w:t>
      </w:r>
      <w:proofErr w:type="spellEnd"/>
      <w:r>
        <w:t xml:space="preserve"> is plausible in mechanism and its evaluation is at an early stage, with the essential open question being whether reconfiguration can be made frequent enough to outpace measurement accumulation without disturbing the function being protected.</w:t>
      </w:r>
    </w:p>
    <w:p w14:paraId="01C4792C" w14:textId="77777777" w:rsidR="00B12319" w:rsidRDefault="00000000">
      <w:r>
        <w:t xml:space="preserve">Security concerns also reach into the design flow. High-level synthesis introduces an additional transformation between the designer's description and the implemented circuit, and the security implications of that transformation, including the possibility that </w:t>
      </w:r>
      <w:proofErr w:type="spellStart"/>
      <w:r>
        <w:t>optimisation</w:t>
      </w:r>
      <w:proofErr w:type="spellEnd"/>
      <w:r>
        <w:t xml:space="preserve"> removes or weakens protective structures, have been identified as a distinct problem (Pilato et al., 2018). This connects the security literature to the productivity literature in a way that neither addresses fully: the abstraction that improves design productivity also increases the distance between what the designer specifies and what the device implements, and that distance is a security-relevant property as well as a performance-relevant one.</w:t>
      </w:r>
    </w:p>
    <w:p w14:paraId="696941A8" w14:textId="77777777" w:rsidR="00B12319" w:rsidRDefault="00000000">
      <w:r>
        <w:lastRenderedPageBreak/>
        <w:t xml:space="preserve">The overall assessment is that the security literature is technically substantial and largely disconnected from control. Attacks are demonstrated on representative but not control-specific targets, </w:t>
      </w:r>
      <w:proofErr w:type="spellStart"/>
      <w:r>
        <w:t>defences</w:t>
      </w:r>
      <w:proofErr w:type="spellEnd"/>
      <w:r>
        <w:t xml:space="preserve"> are evaluated against detection or extraction metrics rather than against consequences for a controlled process, and the interaction between security mechanisms and real-time </w:t>
      </w:r>
      <w:proofErr w:type="spellStart"/>
      <w:r>
        <w:t>behaviour</w:t>
      </w:r>
      <w:proofErr w:type="spellEnd"/>
      <w:r>
        <w:t xml:space="preserve"> is seldom examined. Authentication of a bitstream at configuration time, for instance, extends start-up latency; continuous integrity monitoring consumes fabric and memory bandwidth that the control function also requires; and reconfiguration-based </w:t>
      </w:r>
      <w:proofErr w:type="spellStart"/>
      <w:r>
        <w:t>defences</w:t>
      </w:r>
      <w:proofErr w:type="spellEnd"/>
      <w:r>
        <w:t xml:space="preserve"> perturb exactly the timing properties for which programmable logic was selected. These interactions are design-critical for control devices and are essentially unstudied.</w:t>
      </w:r>
    </w:p>
    <w:p w14:paraId="0608BE7A" w14:textId="77777777" w:rsidR="00B12319" w:rsidRDefault="00000000">
      <w:pPr>
        <w:spacing w:before="240"/>
        <w:jc w:val="left"/>
      </w:pPr>
      <w:r>
        <w:rPr>
          <w:b/>
        </w:rPr>
        <w:t>11. Comparative Evaluation, Energy Claims and the Benchmarking Deficit</w:t>
      </w:r>
    </w:p>
    <w:p w14:paraId="187FFCC7" w14:textId="77777777" w:rsidR="00B12319" w:rsidRDefault="00000000">
      <w:r>
        <w:t xml:space="preserve">Claims of comparative advantage are among the most frequent and least well supported in the reviewed literature. Three recurring problems undermine them. The first is baseline asymmetry: the programmable-logic implementation typically receives extensive </w:t>
      </w:r>
      <w:proofErr w:type="spellStart"/>
      <w:r>
        <w:t>optimisation</w:t>
      </w:r>
      <w:proofErr w:type="spellEnd"/>
      <w:r>
        <w:t xml:space="preserve">, including arithmetic restructuring, pipelining and memory partitioning, while the comparison implementation receives a direct transcription of the algorithm. Measured differences then reflect </w:t>
      </w:r>
      <w:proofErr w:type="spellStart"/>
      <w:r>
        <w:t>optimisation</w:t>
      </w:r>
      <w:proofErr w:type="spellEnd"/>
      <w:r>
        <w:t xml:space="preserve"> effort in addition to platform capability. The second is workload non-equivalence: the algorithm implemented in hardware has often been restructured to suit the substrate, so the two implementations no longer compute the same thing in the same way. The third is inconsistent accounting: resource, power and latency figures are variously reported for the control function, for the complete design including interfaces and test infrastructure, or for the whole board, and the basis is frequently not stated.</w:t>
      </w:r>
    </w:p>
    <w:p w14:paraId="01112973" w14:textId="77777777" w:rsidR="00B12319" w:rsidRDefault="00000000">
      <w:r>
        <w:t xml:space="preserve">The studies that were designed as comparisons rather than as demonstrations return correspondingly cautious results. Comparison of programmable logic with a digital signal processor for compensator control found that the relative advantage depended on how the control task was decomposed between the available processing elements (Sepulveda et al., 2013). Comparative implementation of digital filtering across the two architectures found that relative performance varied with algorithm structure and arithmetic representation rather than following a consistent ordering (Diouri et al., 2022). Comparison against a microcontroller for an error-magnitude evaluation algorithm found resource use, execution time and implementation effort trading off against each other (Bianchi et al., 2020). The consistent finding across these studies is </w:t>
      </w:r>
      <w:r>
        <w:lastRenderedPageBreak/>
        <w:t>the absence of a uniform ordering, which is itself an informative result: the platform question is not well posed at the level of device class, and it becomes tractable only when the algorithm structure, arithmetic requirement and interface demands are specified.</w:t>
      </w:r>
    </w:p>
    <w:p w14:paraId="0A6FDB60" w14:textId="77777777" w:rsidR="00B12319" w:rsidRDefault="00000000">
      <w:r>
        <w:t xml:space="preserve">Energy claims deserve separate scrutiny because they are made frequently and examined rarely. The mechanism usually cited is that a </w:t>
      </w:r>
      <w:proofErr w:type="spellStart"/>
      <w:r>
        <w:t>specialised</w:t>
      </w:r>
      <w:proofErr w:type="spellEnd"/>
      <w:r>
        <w:t xml:space="preserve"> </w:t>
      </w:r>
      <w:proofErr w:type="spellStart"/>
      <w:r>
        <w:t>datapath</w:t>
      </w:r>
      <w:proofErr w:type="spellEnd"/>
      <w:r>
        <w:t xml:space="preserve"> performs less work per useful operation than a general-purpose processor, which is sound as far as it goes. The evidence indicates that the outcome depends heavily on design decisions that the mechanism does not determine. Mapping computation onto embedded memory blocks rather than distributed logic produced substantial energy differences for equivalent functionality, which shows that fabric-level energy is a function of implementation strategy rather than a property of the device (Ghosh et al., 2014). Investigation of energy </w:t>
      </w:r>
      <w:proofErr w:type="spellStart"/>
      <w:r>
        <w:t>behaviour</w:t>
      </w:r>
      <w:proofErr w:type="spellEnd"/>
      <w:r>
        <w:t xml:space="preserve"> in a hybrid processor-and-fabric embedded system found that hardware execution does not always reduce energy: for periodic tasks above a certain period, the software implementation was the more energy-efficient option, because static power and the overhead of task switching outweighed the dynamic saving (</w:t>
      </w:r>
      <w:proofErr w:type="spellStart"/>
      <w:r>
        <w:t>Hosseinabady</w:t>
      </w:r>
      <w:proofErr w:type="spellEnd"/>
      <w:r>
        <w:t xml:space="preserve"> &amp; Nunez-Yanez, 2018). That finding contradicts the general energy claim directly and under conditions, namely periodic tasks, that are typical of control. The availability of rapid system-level power estimation improves the situation methodologically, since it permits energy to be considered during design-space exploration rather than after implementation (Tripathi &amp; Rajawat, 2020), but estimation does not substitute for measurement under representative control workloads, which the literature rarely reports.</w:t>
      </w:r>
    </w:p>
    <w:p w14:paraId="003FA701" w14:textId="7A8582FA" w:rsidR="00B12319" w:rsidRDefault="00000000">
      <w:r>
        <w:t>The underlying difficulty is the absence of a benchmarking convention for control-oriented hardware evaluation. The accelerator community has developed shared workloads and reporting conventions that permit cross-study comparison, and the surveys of inference accelerators are able to tabulate results across studies because of it (Hong et al., 2024; Mittal, 20</w:t>
      </w:r>
      <w:r w:rsidR="00C94039">
        <w:t>20</w:t>
      </w:r>
      <w:r>
        <w:t xml:space="preserve">; </w:t>
      </w:r>
      <w:proofErr w:type="spellStart"/>
      <w:r>
        <w:t>Shawahna</w:t>
      </w:r>
      <w:proofErr w:type="spellEnd"/>
      <w:r>
        <w:t xml:space="preserve"> et al., 2019). The control community has no equivalent. There is no agreed set of representative control problems, no convention for what constitutes the system boundary in a resource or power measurement, no requirement to report arithmetic representation and word length, and no convention distinguishing measured typical latency from measured maximum latency from analytically derived bounds. The consequence is that the quantitative results in this literature cannot be aggregated, and that apparent disagreements between studies cannot be resolved, because the reported quantities are not commensurable.</w:t>
      </w:r>
    </w:p>
    <w:p w14:paraId="24F68807" w14:textId="77777777" w:rsidR="00B12319" w:rsidRDefault="00000000">
      <w:r>
        <w:lastRenderedPageBreak/>
        <w:t>Table 4 sets out the recurrent methodological limitations identified across the reviewed corpus, the form in which each appears, and its consequence for interpretation. The table is analytical rather than descriptive: each row identifies a specific inferential error that the limitation permits, which is the information a reader needs in order to calibrate confidence in a reported result. The limitations are not uniformly distributed across the field. Dependability research, which routinely combines controlled fault injection with physical radiation testing, is substantially less affected than timing and energy research, which rely predominantly on bench measurement under nominal conditions. That contrast indicates that the deficit is a matter of adopted convention rather than of intrinsic difficulty, and that it is therefore correctable.</w:t>
      </w:r>
    </w:p>
    <w:p w14:paraId="20CD2849" w14:textId="77777777" w:rsidR="00B12319" w:rsidRDefault="00000000">
      <w:pPr>
        <w:spacing w:before="200" w:after="80"/>
        <w:jc w:val="left"/>
      </w:pPr>
      <w:r>
        <w:rPr>
          <w:b/>
          <w:sz w:val="20"/>
        </w:rPr>
        <w:t>Table 4. Recurrent methodological limitations in the FPGA-based control literature and their consequences for interpretation.</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B12319" w14:paraId="176C076F" w14:textId="77777777">
        <w:trPr>
          <w:jc w:val="center"/>
        </w:trPr>
        <w:tc>
          <w:tcPr>
            <w:tcW w:w="1881" w:type="dxa"/>
          </w:tcPr>
          <w:p w14:paraId="798F376B" w14:textId="77777777" w:rsidR="00B12319" w:rsidRDefault="00000000">
            <w:pPr>
              <w:spacing w:before="40" w:after="40" w:line="240" w:lineRule="auto"/>
              <w:jc w:val="left"/>
            </w:pPr>
            <w:r>
              <w:rPr>
                <w:b/>
                <w:sz w:val="20"/>
              </w:rPr>
              <w:t>Limitation</w:t>
            </w:r>
          </w:p>
        </w:tc>
        <w:tc>
          <w:tcPr>
            <w:tcW w:w="1881" w:type="dxa"/>
          </w:tcPr>
          <w:p w14:paraId="064E0397" w14:textId="77777777" w:rsidR="00B12319" w:rsidRDefault="00000000">
            <w:pPr>
              <w:spacing w:before="40" w:after="40" w:line="240" w:lineRule="auto"/>
              <w:jc w:val="left"/>
            </w:pPr>
            <w:r>
              <w:rPr>
                <w:b/>
                <w:sz w:val="20"/>
              </w:rPr>
              <w:t>Form in which it appears</w:t>
            </w:r>
          </w:p>
        </w:tc>
        <w:tc>
          <w:tcPr>
            <w:tcW w:w="1881" w:type="dxa"/>
          </w:tcPr>
          <w:p w14:paraId="79EC6F86" w14:textId="77777777" w:rsidR="00B12319" w:rsidRDefault="00000000">
            <w:pPr>
              <w:spacing w:before="40" w:after="40" w:line="240" w:lineRule="auto"/>
              <w:jc w:val="left"/>
            </w:pPr>
            <w:r>
              <w:rPr>
                <w:b/>
                <w:sz w:val="20"/>
              </w:rPr>
              <w:t>Consequence for interpretation</w:t>
            </w:r>
          </w:p>
        </w:tc>
        <w:tc>
          <w:tcPr>
            <w:tcW w:w="1881" w:type="dxa"/>
          </w:tcPr>
          <w:p w14:paraId="7E7F664E" w14:textId="77777777" w:rsidR="00B12319" w:rsidRDefault="00000000">
            <w:pPr>
              <w:spacing w:before="40" w:after="40" w:line="240" w:lineRule="auto"/>
              <w:jc w:val="left"/>
            </w:pPr>
            <w:r>
              <w:rPr>
                <w:b/>
                <w:sz w:val="20"/>
              </w:rPr>
              <w:t>Literature in which the limitation is visible or partly addressed</w:t>
            </w:r>
          </w:p>
        </w:tc>
        <w:tc>
          <w:tcPr>
            <w:tcW w:w="1881" w:type="dxa"/>
          </w:tcPr>
          <w:p w14:paraId="7884BDA3" w14:textId="77777777" w:rsidR="00B12319" w:rsidRDefault="00000000">
            <w:pPr>
              <w:spacing w:before="40" w:after="40" w:line="240" w:lineRule="auto"/>
              <w:jc w:val="left"/>
            </w:pPr>
            <w:r>
              <w:rPr>
                <w:b/>
                <w:sz w:val="20"/>
              </w:rPr>
              <w:t>Supporting references</w:t>
            </w:r>
          </w:p>
        </w:tc>
      </w:tr>
      <w:tr w:rsidR="00B12319" w14:paraId="515F4CB6" w14:textId="77777777">
        <w:trPr>
          <w:jc w:val="center"/>
        </w:trPr>
        <w:tc>
          <w:tcPr>
            <w:tcW w:w="1881" w:type="dxa"/>
          </w:tcPr>
          <w:p w14:paraId="2665F27C" w14:textId="77777777" w:rsidR="00B12319" w:rsidRDefault="00000000">
            <w:pPr>
              <w:spacing w:before="40" w:after="40" w:line="240" w:lineRule="auto"/>
              <w:jc w:val="left"/>
            </w:pPr>
            <w:r>
              <w:rPr>
                <w:sz w:val="20"/>
              </w:rPr>
              <w:t>Baseline asymmetry in platform comparison</w:t>
            </w:r>
          </w:p>
        </w:tc>
        <w:tc>
          <w:tcPr>
            <w:tcW w:w="1881" w:type="dxa"/>
          </w:tcPr>
          <w:p w14:paraId="30144BA0" w14:textId="77777777" w:rsidR="00B12319" w:rsidRDefault="00000000">
            <w:pPr>
              <w:spacing w:before="40" w:after="40" w:line="240" w:lineRule="auto"/>
              <w:jc w:val="left"/>
            </w:pPr>
            <w:proofErr w:type="spellStart"/>
            <w:r>
              <w:rPr>
                <w:sz w:val="20"/>
              </w:rPr>
              <w:t>Optimised</w:t>
            </w:r>
            <w:proofErr w:type="spellEnd"/>
            <w:r>
              <w:rPr>
                <w:sz w:val="20"/>
              </w:rPr>
              <w:t xml:space="preserve"> hardware design compared against directly transcribed software implementation</w:t>
            </w:r>
          </w:p>
        </w:tc>
        <w:tc>
          <w:tcPr>
            <w:tcW w:w="1881" w:type="dxa"/>
          </w:tcPr>
          <w:p w14:paraId="15A60508" w14:textId="77777777" w:rsidR="00B12319" w:rsidRDefault="00000000">
            <w:pPr>
              <w:spacing w:before="40" w:after="40" w:line="240" w:lineRule="auto"/>
              <w:jc w:val="left"/>
            </w:pPr>
            <w:r>
              <w:rPr>
                <w:sz w:val="20"/>
              </w:rPr>
              <w:t xml:space="preserve">Measured difference conflates </w:t>
            </w:r>
            <w:proofErr w:type="spellStart"/>
            <w:r>
              <w:rPr>
                <w:sz w:val="20"/>
              </w:rPr>
              <w:t>optimisation</w:t>
            </w:r>
            <w:proofErr w:type="spellEnd"/>
            <w:r>
              <w:rPr>
                <w:sz w:val="20"/>
              </w:rPr>
              <w:t xml:space="preserve"> effort with platform capability</w:t>
            </w:r>
          </w:p>
        </w:tc>
        <w:tc>
          <w:tcPr>
            <w:tcW w:w="1881" w:type="dxa"/>
          </w:tcPr>
          <w:p w14:paraId="1D1BB776" w14:textId="77777777" w:rsidR="00B12319" w:rsidRDefault="00000000">
            <w:pPr>
              <w:spacing w:before="40" w:after="40" w:line="240" w:lineRule="auto"/>
              <w:jc w:val="left"/>
            </w:pPr>
            <w:r>
              <w:rPr>
                <w:sz w:val="20"/>
              </w:rPr>
              <w:t>Comparative studies that vary decomposition or algorithm structure report no uniform ordering</w:t>
            </w:r>
          </w:p>
        </w:tc>
        <w:tc>
          <w:tcPr>
            <w:tcW w:w="1881" w:type="dxa"/>
          </w:tcPr>
          <w:p w14:paraId="4B59DC25" w14:textId="77777777" w:rsidR="00B12319" w:rsidRDefault="00000000">
            <w:pPr>
              <w:spacing w:before="40" w:after="40" w:line="240" w:lineRule="auto"/>
              <w:jc w:val="left"/>
            </w:pPr>
            <w:r w:rsidRPr="00C94039">
              <w:rPr>
                <w:sz w:val="20"/>
                <w:lang w:val="nl-BE"/>
              </w:rPr>
              <w:t xml:space="preserve">Bianchi et al. (2020); Diouri et al. </w:t>
            </w:r>
            <w:r>
              <w:rPr>
                <w:sz w:val="20"/>
              </w:rPr>
              <w:t>(2022); Sepulveda et al. (2013)</w:t>
            </w:r>
          </w:p>
        </w:tc>
      </w:tr>
      <w:tr w:rsidR="00B12319" w14:paraId="56A86E98" w14:textId="77777777">
        <w:trPr>
          <w:jc w:val="center"/>
        </w:trPr>
        <w:tc>
          <w:tcPr>
            <w:tcW w:w="1881" w:type="dxa"/>
          </w:tcPr>
          <w:p w14:paraId="500EB0B7" w14:textId="77777777" w:rsidR="00B12319" w:rsidRDefault="00000000">
            <w:pPr>
              <w:spacing w:before="40" w:after="40" w:line="240" w:lineRule="auto"/>
              <w:jc w:val="left"/>
            </w:pPr>
            <w:r>
              <w:rPr>
                <w:sz w:val="20"/>
              </w:rPr>
              <w:t>Conflation of measured latency with timing guarantee</w:t>
            </w:r>
          </w:p>
        </w:tc>
        <w:tc>
          <w:tcPr>
            <w:tcW w:w="1881" w:type="dxa"/>
          </w:tcPr>
          <w:p w14:paraId="5E9E4B13" w14:textId="77777777" w:rsidR="00B12319" w:rsidRDefault="00000000">
            <w:pPr>
              <w:spacing w:before="40" w:after="40" w:line="240" w:lineRule="auto"/>
              <w:jc w:val="left"/>
            </w:pPr>
            <w:r>
              <w:rPr>
                <w:sz w:val="20"/>
              </w:rPr>
              <w:t>Single latency figure reported without stating whether it is typical, maximal or analytically derived</w:t>
            </w:r>
          </w:p>
        </w:tc>
        <w:tc>
          <w:tcPr>
            <w:tcW w:w="1881" w:type="dxa"/>
          </w:tcPr>
          <w:p w14:paraId="79B2F5A2" w14:textId="77777777" w:rsidR="00B12319" w:rsidRDefault="00000000">
            <w:pPr>
              <w:spacing w:before="40" w:after="40" w:line="240" w:lineRule="auto"/>
              <w:jc w:val="left"/>
            </w:pPr>
            <w:r>
              <w:rPr>
                <w:sz w:val="20"/>
              </w:rPr>
              <w:t>Observational result is read as a real-time guarantee, particularly for heterogeneous platforms</w:t>
            </w:r>
          </w:p>
        </w:tc>
        <w:tc>
          <w:tcPr>
            <w:tcW w:w="1881" w:type="dxa"/>
          </w:tcPr>
          <w:p w14:paraId="618650F8" w14:textId="77777777" w:rsidR="00B12319" w:rsidRDefault="00000000">
            <w:pPr>
              <w:spacing w:before="40" w:after="40" w:line="240" w:lineRule="auto"/>
              <w:jc w:val="left"/>
            </w:pPr>
            <w:r>
              <w:rPr>
                <w:sz w:val="20"/>
              </w:rPr>
              <w:t>Real-time systems literature distinguishes measurement-based from analytical bounds</w:t>
            </w:r>
          </w:p>
        </w:tc>
        <w:tc>
          <w:tcPr>
            <w:tcW w:w="1881" w:type="dxa"/>
          </w:tcPr>
          <w:p w14:paraId="78DD2384" w14:textId="77777777" w:rsidR="00B12319" w:rsidRDefault="00000000">
            <w:pPr>
              <w:spacing w:before="40" w:after="40" w:line="240" w:lineRule="auto"/>
              <w:jc w:val="left"/>
            </w:pPr>
            <w:r w:rsidRPr="00C94039">
              <w:rPr>
                <w:sz w:val="20"/>
                <w:lang w:val="nl-BE"/>
              </w:rPr>
              <w:t xml:space="preserve">Esper et al. (2018); Jimenez Gil et al. </w:t>
            </w:r>
            <w:r>
              <w:rPr>
                <w:sz w:val="20"/>
              </w:rPr>
              <w:t>(2017); Pagani et al. (2022)</w:t>
            </w:r>
          </w:p>
        </w:tc>
      </w:tr>
      <w:tr w:rsidR="00B12319" w14:paraId="494296D4" w14:textId="77777777">
        <w:trPr>
          <w:jc w:val="center"/>
        </w:trPr>
        <w:tc>
          <w:tcPr>
            <w:tcW w:w="1881" w:type="dxa"/>
          </w:tcPr>
          <w:p w14:paraId="16A7AFF0" w14:textId="77777777" w:rsidR="00B12319" w:rsidRDefault="00000000">
            <w:pPr>
              <w:spacing w:before="40" w:after="40" w:line="240" w:lineRule="auto"/>
              <w:jc w:val="left"/>
            </w:pPr>
            <w:r>
              <w:rPr>
                <w:sz w:val="20"/>
              </w:rPr>
              <w:t>Unreported arithmetic representation and word length</w:t>
            </w:r>
          </w:p>
        </w:tc>
        <w:tc>
          <w:tcPr>
            <w:tcW w:w="1881" w:type="dxa"/>
          </w:tcPr>
          <w:p w14:paraId="3A154130" w14:textId="77777777" w:rsidR="00B12319" w:rsidRDefault="00000000">
            <w:pPr>
              <w:spacing w:before="40" w:after="40" w:line="240" w:lineRule="auto"/>
              <w:jc w:val="left"/>
            </w:pPr>
            <w:r>
              <w:rPr>
                <w:sz w:val="20"/>
              </w:rPr>
              <w:t>Fixed-point format and internal precision omitted from implementation description</w:t>
            </w:r>
          </w:p>
        </w:tc>
        <w:tc>
          <w:tcPr>
            <w:tcW w:w="1881" w:type="dxa"/>
          </w:tcPr>
          <w:p w14:paraId="5C728E5A" w14:textId="77777777" w:rsidR="00B12319" w:rsidRDefault="00000000">
            <w:pPr>
              <w:spacing w:before="40" w:after="40" w:line="240" w:lineRule="auto"/>
              <w:jc w:val="left"/>
            </w:pPr>
            <w:r>
              <w:rPr>
                <w:sz w:val="20"/>
              </w:rPr>
              <w:t xml:space="preserve">Resource, frequency and closed-loop </w:t>
            </w:r>
            <w:proofErr w:type="spellStart"/>
            <w:r>
              <w:rPr>
                <w:sz w:val="20"/>
              </w:rPr>
              <w:t>behaviour</w:t>
            </w:r>
            <w:proofErr w:type="spellEnd"/>
            <w:r>
              <w:rPr>
                <w:sz w:val="20"/>
              </w:rPr>
              <w:t xml:space="preserve"> cannot be related to one another or compared across studies</w:t>
            </w:r>
          </w:p>
        </w:tc>
        <w:tc>
          <w:tcPr>
            <w:tcW w:w="1881" w:type="dxa"/>
          </w:tcPr>
          <w:p w14:paraId="31CBEA36" w14:textId="77777777" w:rsidR="00B12319" w:rsidRDefault="00000000">
            <w:pPr>
              <w:spacing w:before="40" w:after="40" w:line="240" w:lineRule="auto"/>
              <w:jc w:val="left"/>
            </w:pPr>
            <w:r>
              <w:rPr>
                <w:sz w:val="20"/>
              </w:rPr>
              <w:t>Studies that restructure algorithms for resource efficiency make the dependency explicit</w:t>
            </w:r>
          </w:p>
        </w:tc>
        <w:tc>
          <w:tcPr>
            <w:tcW w:w="1881" w:type="dxa"/>
          </w:tcPr>
          <w:p w14:paraId="76E4F973" w14:textId="77777777" w:rsidR="00B12319" w:rsidRDefault="00000000">
            <w:pPr>
              <w:spacing w:before="40" w:after="40" w:line="240" w:lineRule="auto"/>
              <w:jc w:val="left"/>
            </w:pPr>
            <w:r w:rsidRPr="00C94039">
              <w:rPr>
                <w:sz w:val="20"/>
                <w:lang w:val="nl-BE"/>
              </w:rPr>
              <w:t xml:space="preserve">Richter et al. (2017); Vyncke et al. </w:t>
            </w:r>
            <w:r>
              <w:rPr>
                <w:sz w:val="20"/>
              </w:rPr>
              <w:t>(2013)</w:t>
            </w:r>
          </w:p>
        </w:tc>
      </w:tr>
      <w:tr w:rsidR="00B12319" w14:paraId="3F0BD0AA" w14:textId="77777777">
        <w:trPr>
          <w:jc w:val="center"/>
        </w:trPr>
        <w:tc>
          <w:tcPr>
            <w:tcW w:w="1881" w:type="dxa"/>
          </w:tcPr>
          <w:p w14:paraId="1AA12C25" w14:textId="77777777" w:rsidR="00B12319" w:rsidRDefault="00000000">
            <w:pPr>
              <w:spacing w:before="40" w:after="40" w:line="240" w:lineRule="auto"/>
              <w:jc w:val="left"/>
            </w:pPr>
            <w:r>
              <w:rPr>
                <w:sz w:val="20"/>
              </w:rPr>
              <w:t>Inconsistent system boundary in resource and power accounting</w:t>
            </w:r>
          </w:p>
        </w:tc>
        <w:tc>
          <w:tcPr>
            <w:tcW w:w="1881" w:type="dxa"/>
          </w:tcPr>
          <w:p w14:paraId="342734D9" w14:textId="77777777" w:rsidR="00B12319" w:rsidRDefault="00000000">
            <w:pPr>
              <w:spacing w:before="40" w:after="40" w:line="240" w:lineRule="auto"/>
              <w:jc w:val="left"/>
            </w:pPr>
            <w:r>
              <w:rPr>
                <w:sz w:val="20"/>
              </w:rPr>
              <w:t>Figures reported variously for the control function, complete design or board</w:t>
            </w:r>
          </w:p>
        </w:tc>
        <w:tc>
          <w:tcPr>
            <w:tcW w:w="1881" w:type="dxa"/>
          </w:tcPr>
          <w:p w14:paraId="5F234584" w14:textId="77777777" w:rsidR="00B12319" w:rsidRDefault="00000000">
            <w:pPr>
              <w:spacing w:before="40" w:after="40" w:line="240" w:lineRule="auto"/>
              <w:jc w:val="left"/>
            </w:pPr>
            <w:r>
              <w:rPr>
                <w:sz w:val="20"/>
              </w:rPr>
              <w:t>Cross-study aggregation is invalid; energy claims cannot be verified</w:t>
            </w:r>
          </w:p>
        </w:tc>
        <w:tc>
          <w:tcPr>
            <w:tcW w:w="1881" w:type="dxa"/>
          </w:tcPr>
          <w:p w14:paraId="672ECD3D" w14:textId="77777777" w:rsidR="00B12319" w:rsidRDefault="00000000">
            <w:pPr>
              <w:spacing w:before="40" w:after="40" w:line="240" w:lineRule="auto"/>
              <w:jc w:val="left"/>
            </w:pPr>
            <w:r>
              <w:rPr>
                <w:sz w:val="20"/>
              </w:rPr>
              <w:t>Energy studies that vary mapping or execution mode show boundary sensitivity directly</w:t>
            </w:r>
          </w:p>
        </w:tc>
        <w:tc>
          <w:tcPr>
            <w:tcW w:w="1881" w:type="dxa"/>
          </w:tcPr>
          <w:p w14:paraId="098499C5" w14:textId="77777777" w:rsidR="00B12319" w:rsidRDefault="00000000">
            <w:pPr>
              <w:spacing w:before="40" w:after="40" w:line="240" w:lineRule="auto"/>
              <w:jc w:val="left"/>
            </w:pPr>
            <w:r>
              <w:rPr>
                <w:sz w:val="20"/>
              </w:rPr>
              <w:t xml:space="preserve">Ghosh et al. (2014); </w:t>
            </w:r>
            <w:proofErr w:type="spellStart"/>
            <w:r>
              <w:rPr>
                <w:sz w:val="20"/>
              </w:rPr>
              <w:t>Hosseinabady</w:t>
            </w:r>
            <w:proofErr w:type="spellEnd"/>
            <w:r>
              <w:rPr>
                <w:sz w:val="20"/>
              </w:rPr>
              <w:t xml:space="preserve"> and Nunez-Yanez (2018); Tripathi and Rajawat (2020)</w:t>
            </w:r>
          </w:p>
        </w:tc>
      </w:tr>
      <w:tr w:rsidR="00B12319" w14:paraId="0EF05CBB" w14:textId="77777777">
        <w:trPr>
          <w:jc w:val="center"/>
        </w:trPr>
        <w:tc>
          <w:tcPr>
            <w:tcW w:w="1881" w:type="dxa"/>
          </w:tcPr>
          <w:p w14:paraId="4350E924" w14:textId="77777777" w:rsidR="00B12319" w:rsidRDefault="00000000">
            <w:pPr>
              <w:spacing w:before="40" w:after="40" w:line="240" w:lineRule="auto"/>
              <w:jc w:val="left"/>
            </w:pPr>
            <w:r>
              <w:rPr>
                <w:sz w:val="20"/>
              </w:rPr>
              <w:t>Open-loop evaluation of loop-embedded functions</w:t>
            </w:r>
          </w:p>
        </w:tc>
        <w:tc>
          <w:tcPr>
            <w:tcW w:w="1881" w:type="dxa"/>
          </w:tcPr>
          <w:p w14:paraId="120CECB0" w14:textId="77777777" w:rsidR="00B12319" w:rsidRDefault="00000000">
            <w:pPr>
              <w:spacing w:before="40" w:after="40" w:line="240" w:lineRule="auto"/>
              <w:jc w:val="left"/>
            </w:pPr>
            <w:r>
              <w:rPr>
                <w:sz w:val="20"/>
              </w:rPr>
              <w:t xml:space="preserve">Inference accuracy measured on held-out data; accelerator latency reported without the </w:t>
            </w:r>
            <w:r>
              <w:rPr>
                <w:sz w:val="20"/>
              </w:rPr>
              <w:lastRenderedPageBreak/>
              <w:t>complete sense-to-actuate path</w:t>
            </w:r>
          </w:p>
        </w:tc>
        <w:tc>
          <w:tcPr>
            <w:tcW w:w="1881" w:type="dxa"/>
          </w:tcPr>
          <w:p w14:paraId="14E0D0EA" w14:textId="77777777" w:rsidR="00B12319" w:rsidRDefault="00000000">
            <w:pPr>
              <w:spacing w:before="40" w:after="40" w:line="240" w:lineRule="auto"/>
              <w:jc w:val="left"/>
            </w:pPr>
            <w:r>
              <w:rPr>
                <w:sz w:val="20"/>
              </w:rPr>
              <w:lastRenderedPageBreak/>
              <w:t xml:space="preserve">Control consequence of an error or of data movement across the processor-fabric </w:t>
            </w:r>
            <w:r>
              <w:rPr>
                <w:sz w:val="20"/>
              </w:rPr>
              <w:lastRenderedPageBreak/>
              <w:t>boundary remains unknown</w:t>
            </w:r>
          </w:p>
        </w:tc>
        <w:tc>
          <w:tcPr>
            <w:tcW w:w="1881" w:type="dxa"/>
          </w:tcPr>
          <w:p w14:paraId="0FBB6499" w14:textId="77777777" w:rsidR="00B12319" w:rsidRDefault="00000000">
            <w:pPr>
              <w:spacing w:before="40" w:after="40" w:line="240" w:lineRule="auto"/>
              <w:jc w:val="left"/>
            </w:pPr>
            <w:r>
              <w:rPr>
                <w:sz w:val="20"/>
              </w:rPr>
              <w:lastRenderedPageBreak/>
              <w:t>Interconnect studies demonstrate that path selection materially affects transfer timing</w:t>
            </w:r>
          </w:p>
        </w:tc>
        <w:tc>
          <w:tcPr>
            <w:tcW w:w="1881" w:type="dxa"/>
          </w:tcPr>
          <w:p w14:paraId="230EEEEA" w14:textId="77777777" w:rsidR="00B12319" w:rsidRDefault="00000000">
            <w:pPr>
              <w:spacing w:before="40" w:after="40" w:line="240" w:lineRule="auto"/>
              <w:jc w:val="left"/>
            </w:pPr>
            <w:r>
              <w:rPr>
                <w:sz w:val="20"/>
              </w:rPr>
              <w:t xml:space="preserve">Silva et al. (2015); </w:t>
            </w:r>
            <w:proofErr w:type="spellStart"/>
            <w:r>
              <w:rPr>
                <w:sz w:val="20"/>
              </w:rPr>
              <w:t>Zacchigna</w:t>
            </w:r>
            <w:proofErr w:type="spellEnd"/>
            <w:r>
              <w:rPr>
                <w:sz w:val="20"/>
              </w:rPr>
              <w:t xml:space="preserve"> (2023)</w:t>
            </w:r>
          </w:p>
        </w:tc>
      </w:tr>
      <w:tr w:rsidR="00B12319" w14:paraId="3B448504" w14:textId="77777777">
        <w:trPr>
          <w:jc w:val="center"/>
        </w:trPr>
        <w:tc>
          <w:tcPr>
            <w:tcW w:w="1881" w:type="dxa"/>
          </w:tcPr>
          <w:p w14:paraId="36221D9E" w14:textId="77777777" w:rsidR="00B12319" w:rsidRDefault="00000000">
            <w:pPr>
              <w:spacing w:before="40" w:after="40" w:line="240" w:lineRule="auto"/>
              <w:jc w:val="left"/>
            </w:pPr>
            <w:r>
              <w:rPr>
                <w:sz w:val="20"/>
              </w:rPr>
              <w:t xml:space="preserve">Absence of closed-loop dependability </w:t>
            </w:r>
            <w:proofErr w:type="spellStart"/>
            <w:r>
              <w:rPr>
                <w:sz w:val="20"/>
              </w:rPr>
              <w:t>characterisation</w:t>
            </w:r>
            <w:proofErr w:type="spellEnd"/>
          </w:p>
        </w:tc>
        <w:tc>
          <w:tcPr>
            <w:tcW w:w="1881" w:type="dxa"/>
          </w:tcPr>
          <w:p w14:paraId="55D70C44" w14:textId="77777777" w:rsidR="00B12319" w:rsidRDefault="00000000">
            <w:pPr>
              <w:spacing w:before="40" w:after="40" w:line="240" w:lineRule="auto"/>
              <w:jc w:val="left"/>
            </w:pPr>
            <w:r>
              <w:rPr>
                <w:sz w:val="20"/>
              </w:rPr>
              <w:t>Error rates and mitigation overheads reported without the control consequence of an unmitigated upset</w:t>
            </w:r>
          </w:p>
        </w:tc>
        <w:tc>
          <w:tcPr>
            <w:tcW w:w="1881" w:type="dxa"/>
          </w:tcPr>
          <w:p w14:paraId="35FE6CB0" w14:textId="77777777" w:rsidR="00B12319" w:rsidRDefault="00000000">
            <w:pPr>
              <w:spacing w:before="40" w:after="40" w:line="240" w:lineRule="auto"/>
              <w:jc w:val="left"/>
            </w:pPr>
            <w:r>
              <w:rPr>
                <w:sz w:val="20"/>
              </w:rPr>
              <w:t>Adequacy of a mitigation strategy for a given control application cannot be judged</w:t>
            </w:r>
          </w:p>
        </w:tc>
        <w:tc>
          <w:tcPr>
            <w:tcW w:w="1881" w:type="dxa"/>
          </w:tcPr>
          <w:p w14:paraId="7C9C698F" w14:textId="77777777" w:rsidR="00B12319" w:rsidRDefault="00000000">
            <w:pPr>
              <w:spacing w:before="40" w:after="40" w:line="240" w:lineRule="auto"/>
              <w:jc w:val="left"/>
            </w:pPr>
            <w:r>
              <w:rPr>
                <w:sz w:val="20"/>
              </w:rPr>
              <w:t>Fault injection and radiation testing supply mechanism-level evidence but not loop-level consequence</w:t>
            </w:r>
          </w:p>
        </w:tc>
        <w:tc>
          <w:tcPr>
            <w:tcW w:w="1881" w:type="dxa"/>
          </w:tcPr>
          <w:p w14:paraId="178A9A0C" w14:textId="77777777" w:rsidR="00B12319" w:rsidRDefault="00000000">
            <w:pPr>
              <w:spacing w:before="40" w:after="40" w:line="240" w:lineRule="auto"/>
              <w:jc w:val="left"/>
            </w:pPr>
            <w:r w:rsidRPr="00C94039">
              <w:rPr>
                <w:sz w:val="20"/>
                <w:lang w:val="nl-BE"/>
              </w:rPr>
              <w:t xml:space="preserve">Arifeen et al. (2020); Keller and Wirthlin (2021); Ramos et al. </w:t>
            </w:r>
            <w:r>
              <w:rPr>
                <w:sz w:val="20"/>
              </w:rPr>
              <w:t>(2017)</w:t>
            </w:r>
          </w:p>
        </w:tc>
      </w:tr>
    </w:tbl>
    <w:p w14:paraId="4EAFCF4E" w14:textId="77777777" w:rsidR="00B12319" w:rsidRDefault="00000000">
      <w:pPr>
        <w:spacing w:before="80" w:after="200"/>
        <w:jc w:val="left"/>
      </w:pPr>
      <w:r>
        <w:rPr>
          <w:i/>
          <w:sz w:val="18"/>
        </w:rPr>
        <w:t>Table note. The table identifies limitations that recur across the reviewed corpus; it does not attribute every limitation to every cited study, and the final two columns indicate where the limitation is visible or has been partly addressed.</w:t>
      </w:r>
    </w:p>
    <w:p w14:paraId="49B0CFE8" w14:textId="77777777" w:rsidR="00B12319" w:rsidRDefault="00000000">
      <w:pPr>
        <w:spacing w:before="240"/>
        <w:jc w:val="left"/>
      </w:pPr>
      <w:r>
        <w:rPr>
          <w:b/>
        </w:rPr>
        <w:t>12. Validation Practice: Hardware-in-the-Loop and Real-Time Simulation</w:t>
      </w:r>
    </w:p>
    <w:p w14:paraId="1F24D8B1" w14:textId="77777777" w:rsidR="00B12319" w:rsidRDefault="00000000">
      <w:r>
        <w:t xml:space="preserve">Validation of control devices for power and energy systems is dominated by hardware-in-the-loop testing, in which the plant is simulated in real time while the physical controller operates against the simulation. The approach is attractive because it permits testing under fault and extreme conditions that cannot be created safely on physical equipment, and because it supports repeatable experiments. Programmable logic is central to it, since the plant model must be solved at a time step short enough to represent the switching </w:t>
      </w:r>
      <w:proofErr w:type="spellStart"/>
      <w:r>
        <w:t>behaviour</w:t>
      </w:r>
      <w:proofErr w:type="spellEnd"/>
      <w:r>
        <w:t xml:space="preserve"> of power converters.</w:t>
      </w:r>
    </w:p>
    <w:p w14:paraId="6399B6DF" w14:textId="77777777" w:rsidR="00B12319" w:rsidRDefault="00000000">
      <w:r>
        <w:t xml:space="preserve">The technical literature on this application is comparatively mature. Device-level electrothermal modelling of a modular multilevel converter in programmable logic demonstrated that models detailed enough to represent semiconductor losses and junction temperatures could be solved in real time (Shen &amp; </w:t>
      </w:r>
      <w:proofErr w:type="spellStart"/>
      <w:r>
        <w:t>Dinavahi</w:t>
      </w:r>
      <w:proofErr w:type="spellEnd"/>
      <w:r>
        <w:t xml:space="preserve">, 2016). Nonlinear magnetic equivalent circuit modelling of an induction machine achieved comparable detail for machine models (Tavana &amp; </w:t>
      </w:r>
      <w:proofErr w:type="spellStart"/>
      <w:r>
        <w:t>Dinavahi</w:t>
      </w:r>
      <w:proofErr w:type="spellEnd"/>
      <w:r>
        <w:t>, 2016). Real-time simulation of power systems containing multiple converters at small time steps addressed the scaling problem that arises when many switching elements must be represented simultaneously (</w:t>
      </w:r>
      <w:proofErr w:type="spellStart"/>
      <w:r>
        <w:t>Mirzahosseini</w:t>
      </w:r>
      <w:proofErr w:type="spellEnd"/>
      <w:r>
        <w:t xml:space="preserve"> &amp; Iravani, 2019), and subsequent work applied the same capability to testing of travelling-wave protective relays, where the time scale of the phenomenon is set by wave propagation rather than by control bandwidth (</w:t>
      </w:r>
      <w:proofErr w:type="spellStart"/>
      <w:r>
        <w:t>Mirzahosseini</w:t>
      </w:r>
      <w:proofErr w:type="spellEnd"/>
      <w:r>
        <w:t xml:space="preserve"> et al., 2020). Co-emulation of the electrical system together with the communication network addresses the case in which control performance depends on network </w:t>
      </w:r>
      <w:proofErr w:type="spellStart"/>
      <w:r>
        <w:t>behaviour</w:t>
      </w:r>
      <w:proofErr w:type="spellEnd"/>
      <w:r>
        <w:t xml:space="preserve"> as well as on plant dynamics (Duan et al., 2021), and recent work has focused on resource </w:t>
      </w:r>
      <w:proofErr w:type="spellStart"/>
      <w:r>
        <w:t>optimisation</w:t>
      </w:r>
      <w:proofErr w:type="spellEnd"/>
      <w:r>
        <w:t xml:space="preserve"> for large-scale renewable generation models (Y. Li et al., 2025) and on embedded real-time simulators intended for use outside </w:t>
      </w:r>
      <w:proofErr w:type="spellStart"/>
      <w:r>
        <w:t>specialised</w:t>
      </w:r>
      <w:proofErr w:type="spellEnd"/>
      <w:r>
        <w:t xml:space="preserve"> laboratories (Sarac &amp; Aydogmus, 2025).</w:t>
      </w:r>
    </w:p>
    <w:p w14:paraId="1B09682C" w14:textId="77777777" w:rsidR="00B12319" w:rsidRDefault="00000000">
      <w:r>
        <w:lastRenderedPageBreak/>
        <w:t xml:space="preserve">Power hardware-in-the-loop, in which actual power is exchanged between the simulator and the device under test, introduces a stability problem that pure signal-level testing does not. The interface between simulated and physical subsystems can </w:t>
      </w:r>
      <w:proofErr w:type="spellStart"/>
      <w:r>
        <w:t>destabilise</w:t>
      </w:r>
      <w:proofErr w:type="spellEnd"/>
      <w:r>
        <w:t xml:space="preserve"> the combined system even when both subsystems are individually stable, and the literature addresses this through interface algorithm design. </w:t>
      </w:r>
      <w:proofErr w:type="spellStart"/>
      <w:r>
        <w:t>Multirate</w:t>
      </w:r>
      <w:proofErr w:type="spellEnd"/>
      <w:r>
        <w:t xml:space="preserve"> partitioning at the interface was developed specifically to improve stability of the coupled system (</w:t>
      </w:r>
      <w:proofErr w:type="spellStart"/>
      <w:r>
        <w:t>Lauss</w:t>
      </w:r>
      <w:proofErr w:type="spellEnd"/>
      <w:r>
        <w:t xml:space="preserve"> &amp; Strunz, 2019), and a subsequent treatment addressed accuracy and stability together for integrated power electronics and power systems (</w:t>
      </w:r>
      <w:proofErr w:type="spellStart"/>
      <w:r>
        <w:t>Lauss</w:t>
      </w:r>
      <w:proofErr w:type="spellEnd"/>
      <w:r>
        <w:t xml:space="preserve"> &amp; Strunz, 2021). This is a methodologically strong line of work, because it identifies a specific validity threat to the testing method and analyses it rather than assuming the method is transparent.</w:t>
      </w:r>
    </w:p>
    <w:p w14:paraId="52EE2DAF" w14:textId="77777777" w:rsidR="00B12319" w:rsidRDefault="00000000">
      <w:r>
        <w:t xml:space="preserve">Accessibility has been a recurring theme. Methodologies based on widely available development tools have been proposed to make real-time simulation usable outside </w:t>
      </w:r>
      <w:proofErr w:type="spellStart"/>
      <w:r>
        <w:t>specialised</w:t>
      </w:r>
      <w:proofErr w:type="spellEnd"/>
      <w:r>
        <w:t xml:space="preserve"> laboratories (Estrada et al., 2020), and control-hardware-in-the-loop validation has been applied to inverter control in microgrid settings (Silva Júnior et al., 2019). Extension to emerging applications is illustrated by a testbench for dynamic wireless power transfer in which the plant exhibits stochastic and nonlinear inductance, which places demands on the model that a fixed linear representation cannot meet (Zheng et al., 2025). </w:t>
      </w:r>
      <w:proofErr w:type="spellStart"/>
      <w:r>
        <w:t>Standardisation</w:t>
      </w:r>
      <w:proofErr w:type="spellEnd"/>
      <w:r>
        <w:t xml:space="preserve"> of development methodology for data acquisition and processing systems in large scientific facilities has been pursued through a portable high-level programming model, with the explicit objective of making such systems reproducible rather than maximally fast (Astrain et al., 2020).</w:t>
      </w:r>
    </w:p>
    <w:p w14:paraId="165B7A47" w14:textId="77777777" w:rsidR="00B12319" w:rsidRDefault="00000000">
      <w:r>
        <w:t xml:space="preserve">A critical observation applies to the whole of this practice. Hardware-in-the-loop testing validates the controller against a model, and the strength of the resulting evidence is bounded by the fidelity of that model. The literature reports model detail extensively, and reports validation of the simulator against physical measurement much less often. Where such validation is reported it is usually confined to nominal operating conditions, whereas the principal justification for the method is testing under fault and extreme conditions in which model fidelity is least assured and hardest to verify. A further limitation concerns the plant-on-chip concept, in which plant and controller are co-implemented for analysis of cyber-physical interactions (Vyas et al., 2014): such arrangements are valuable for studying interaction effects but share the fidelity limitation in a more acute form, since the plant representation is constrained by the same resources as the controller. The methodological recommendation that follows is that hardware-in-the-loop results </w:t>
      </w:r>
      <w:r>
        <w:lastRenderedPageBreak/>
        <w:t>should be reported together with evidence of simulator validation in the operating region in which the controller is being tested, and that the absence of such evidence should be treated as a limitation on the strength of the validation rather than as a neutral omission.</w:t>
      </w:r>
    </w:p>
    <w:p w14:paraId="4E6EB841" w14:textId="77777777" w:rsidR="00B12319" w:rsidRDefault="00000000">
      <w:pPr>
        <w:spacing w:before="240"/>
        <w:jc w:val="left"/>
      </w:pPr>
      <w:r>
        <w:rPr>
          <w:b/>
        </w:rPr>
        <w:t>13. Future Directions</w:t>
      </w:r>
    </w:p>
    <w:p w14:paraId="089F73E0" w14:textId="77777777" w:rsidR="00B12319" w:rsidRDefault="00000000">
      <w:r>
        <w:t>The priorities set out here follow from specific evidential deficiencies identified in the preceding synthesis rather than from general expectations about technological progress. They are ordered by the degree to which resolving them would change what can be concluded from the existing literature.</w:t>
      </w:r>
    </w:p>
    <w:p w14:paraId="682D1F2E" w14:textId="77777777" w:rsidR="00B12319" w:rsidRDefault="00000000">
      <w:r>
        <w:t xml:space="preserve">The first and most immediate priority is a reporting standard for control-oriented hardware evaluation. The benchmarking deficit described in Section 11 is not a consequence of intrinsic difficulty; the dependability community has demonstrated that rigorous, comparable evaluation is achievable through fault injection combined with physical testing (Arifeen et al., 2020; Ramos et al., 2017), and the accelerator community has demonstrated that shared reporting conventions permit cross-study aggregation (Hong et al., 2024; </w:t>
      </w:r>
      <w:proofErr w:type="spellStart"/>
      <w:r>
        <w:t>Shawahna</w:t>
      </w:r>
      <w:proofErr w:type="spellEnd"/>
      <w:r>
        <w:t xml:space="preserve"> et al., 2019). What is required for control is a convention specifying the system boundary for resource and power accounting, mandatory reporting of arithmetic representation and internal word length, explicit classification of latency figures as typical measured, maximum measured or analytically derived, and description of the </w:t>
      </w:r>
      <w:proofErr w:type="spellStart"/>
      <w:r>
        <w:t>optimisation</w:t>
      </w:r>
      <w:proofErr w:type="spellEnd"/>
      <w:r>
        <w:t xml:space="preserve"> effort applied to any comparison baseline. This is a community-level rather than a technical undertaking, it requires no new methods, and it would render a large existing literature interpretable. A reference set of control problems spanning a range of sampling rates, channel counts and arithmetic demands would complement the convention and permit genuine cross-platform comparison.</w:t>
      </w:r>
    </w:p>
    <w:p w14:paraId="26121A81" w14:textId="77777777" w:rsidR="00B12319" w:rsidRDefault="00000000">
      <w:r>
        <w:t xml:space="preserve">The second priority is analytical timing </w:t>
      </w:r>
      <w:proofErr w:type="spellStart"/>
      <w:r>
        <w:t>characterisation</w:t>
      </w:r>
      <w:proofErr w:type="spellEnd"/>
      <w:r>
        <w:t xml:space="preserve"> of heterogeneous programmable control platforms. Section 6 identified the inference from fabric determinism to device determinism as the most consequential weakness in the field. Resolving it requires composable timing models that account for processor–fabric interface </w:t>
      </w:r>
      <w:proofErr w:type="spellStart"/>
      <w:r>
        <w:t>behaviour</w:t>
      </w:r>
      <w:proofErr w:type="spellEnd"/>
      <w:r>
        <w:t xml:space="preserve">, memory and interconnect contention, and the interaction between programmable-logic functions and operating-system scheduling. The methodological resources exist in the real-time systems literature, including the treatment of measurement-based and probabilistic execution-time analysis and its limitations (Jimenez Gil et al., 2017) and the mixed-criticality framework for shared platforms (Esper et al., 2018), and the </w:t>
      </w:r>
      <w:r>
        <w:lastRenderedPageBreak/>
        <w:t xml:space="preserve">necessary bridging work has begun where reconfigurable resources are treated as schedulable entities (Pagani et al., 2022) and where fault detection and scheduling are placed in fabric alongside a real-time kernel (Ratti et al., 2025). The appropriate research design combines static analysis of the </w:t>
      </w:r>
      <w:proofErr w:type="spellStart"/>
      <w:r>
        <w:t>synthesised</w:t>
      </w:r>
      <w:proofErr w:type="spellEnd"/>
      <w:r>
        <w:t xml:space="preserve"> </w:t>
      </w:r>
      <w:proofErr w:type="spellStart"/>
      <w:r>
        <w:t>datapath</w:t>
      </w:r>
      <w:proofErr w:type="spellEnd"/>
      <w:r>
        <w:t xml:space="preserve"> with measured </w:t>
      </w:r>
      <w:proofErr w:type="spellStart"/>
      <w:r>
        <w:t>characterisation</w:t>
      </w:r>
      <w:proofErr w:type="spellEnd"/>
      <w:r>
        <w:t xml:space="preserve"> of the shared resources and validation against worst-case traffic patterns rather than nominal operation. The outcome measures should be bounds on the sense-to-actuate interval under specified contention, reported alongside the assumptions under which they hold. Success would permit FPGA-based control devices to carry response-time guarantees in the analytical sense, which they currently do not.</w:t>
      </w:r>
    </w:p>
    <w:p w14:paraId="1F8F84D5" w14:textId="77777777" w:rsidR="00B12319" w:rsidRDefault="00000000">
      <w:r>
        <w:t xml:space="preserve">The third priority concerns learned functions inside control loops, where implementation capability has advanced well beyond the available guarantees. Section 8 identified the substitution of learned approximations for expensive </w:t>
      </w:r>
      <w:proofErr w:type="spellStart"/>
      <w:r>
        <w:t>optimisation</w:t>
      </w:r>
      <w:proofErr w:type="spellEnd"/>
      <w:r>
        <w:t xml:space="preserve"> as the best-supported use, exemplified by network approximation of predictive control laws (N. Li et al., 2025; Simonetti et al., 2023), and identified the absence of stability and constraint-satisfaction certificates as the unresolved problem. The research required is not primarily implementational. It is the development of approximation architectures for which closed-loop properties can be established, together with evaluation protocols that measure closed-loop performance degradation under </w:t>
      </w:r>
      <w:proofErr w:type="spellStart"/>
      <w:r>
        <w:t>quantisation</w:t>
      </w:r>
      <w:proofErr w:type="spellEnd"/>
      <w:r>
        <w:t xml:space="preserve"> rather than dataset accuracy, and that report timing for the complete sense-to-actuate path rather than for the accelerator alone. The relevant contexts are those in which the substitution is most attractive, namely converter control at short switching periods and drive control at high speed, and the relevant timescale is the switching or sampling period rather than an inference throughput figure.</w:t>
      </w:r>
    </w:p>
    <w:p w14:paraId="5FE79B2C" w14:textId="77777777" w:rsidR="00B12319" w:rsidRDefault="00000000">
      <w:r>
        <w:t xml:space="preserve">The fourth priority is integration of dependability, security and timing within a single design methodology. These concerns are currently addressed by separate literatures with separate evaluation conventions, and their interactions are design-critical. Redundancy consumes resources and may lengthen critical paths; bitstream authentication extends configuration time; continuous integrity monitoring competes for memory bandwidth with the control function; and reconfiguration-based </w:t>
      </w:r>
      <w:proofErr w:type="spellStart"/>
      <w:r>
        <w:t>defences</w:t>
      </w:r>
      <w:proofErr w:type="spellEnd"/>
      <w:r>
        <w:t xml:space="preserve"> perturb the timing properties for which the platform was selected (</w:t>
      </w:r>
      <w:proofErr w:type="spellStart"/>
      <w:r>
        <w:t>Bommana</w:t>
      </w:r>
      <w:proofErr w:type="spellEnd"/>
      <w:r>
        <w:t xml:space="preserve"> et al., 2025; Keller &amp; Wirthlin, 2021; Moraitis, 2023). What is needed is a design methodology in which these interactions are modelled explicitly and traded off against one another, evaluated on representative control workloads with joint reporting of timing, resource, dependability and security outcomes. The prerequisite is a control-specific threat model that </w:t>
      </w:r>
      <w:r>
        <w:lastRenderedPageBreak/>
        <w:t>reasons about physical consequence, since the existing threat models were developed for confidentiality-oriented workloads and do not transfer without analysis (Chakraborty et al., 2013; Kawser Ahmed et al., 2025).</w:t>
      </w:r>
    </w:p>
    <w:p w14:paraId="5338BEE0" w14:textId="77777777" w:rsidR="00B12319" w:rsidRDefault="00000000">
      <w:r>
        <w:t xml:space="preserve">The fifth priority addresses reconfiguration, and is framed as a question of justification rather than of capability. Section 7 concluded that the deployment gap is better explained by an </w:t>
      </w:r>
      <w:proofErr w:type="spellStart"/>
      <w:r>
        <w:t>unfavourable</w:t>
      </w:r>
      <w:proofErr w:type="spellEnd"/>
      <w:r>
        <w:t xml:space="preserve"> cost-benefit balance in most control applications than by tool immaturity (Vipin &amp; Fahmy, 2018). Progress requires identification of the application classes in which the balance is genuinely </w:t>
      </w:r>
      <w:proofErr w:type="spellStart"/>
      <w:r>
        <w:t>favourable</w:t>
      </w:r>
      <w:proofErr w:type="spellEnd"/>
      <w:r>
        <w:t>, most plausibly long-lived and physically inaccessible systems requiring post-deployment functional change, together with quantitative comparison against the principal alternative of switching between pre-</w:t>
      </w:r>
      <w:proofErr w:type="spellStart"/>
      <w:r>
        <w:t>synthesised</w:t>
      </w:r>
      <w:proofErr w:type="spellEnd"/>
      <w:r>
        <w:t xml:space="preserve"> configurations within a static design. Formal partitioning methods derived from concurrent-system specifications provide a route to the verification problem that ad hoc </w:t>
      </w:r>
      <w:proofErr w:type="spellStart"/>
      <w:r>
        <w:t>floorplanning</w:t>
      </w:r>
      <w:proofErr w:type="spellEnd"/>
      <w:r>
        <w:t xml:space="preserve"> does not (Wisniewski, 2018; Wisniewski et al., 2017), and timing-aware treatment of the reconfiguration process is a prerequisite for any real-time application (</w:t>
      </w:r>
      <w:proofErr w:type="spellStart"/>
      <w:r>
        <w:t>Pezzarossa</w:t>
      </w:r>
      <w:proofErr w:type="spellEnd"/>
      <w:r>
        <w:t xml:space="preserve"> et al., 2018).</w:t>
      </w:r>
    </w:p>
    <w:p w14:paraId="42FF73B0" w14:textId="77777777" w:rsidR="00B12319" w:rsidRDefault="00000000">
      <w:r>
        <w:t>Two longer-term directions follow from developments outside the control literature. Open implementation flows address a reproducibility problem that proprietary toolchains make difficult to solve (</w:t>
      </w:r>
      <w:proofErr w:type="spellStart"/>
      <w:r>
        <w:t>Elgammal</w:t>
      </w:r>
      <w:proofErr w:type="spellEnd"/>
      <w:r>
        <w:t xml:space="preserve"> et al., 2025); wider use of open flows in control research would allow reported resource and timing figures to be regenerated and independently checked. Learning-based design automation addresses compile-time rather than run-time </w:t>
      </w:r>
      <w:proofErr w:type="spellStart"/>
      <w:r>
        <w:t>behaviour</w:t>
      </w:r>
      <w:proofErr w:type="spellEnd"/>
      <w:r>
        <w:t>, but shorter and more predictable implementation cycles would materially change iterative control design practice (</w:t>
      </w:r>
      <w:proofErr w:type="spellStart"/>
      <w:r>
        <w:t>Biscontini</w:t>
      </w:r>
      <w:proofErr w:type="spellEnd"/>
      <w:r>
        <w:t xml:space="preserve"> et al., 2024; Huang et al., 2021; </w:t>
      </w:r>
      <w:proofErr w:type="spellStart"/>
      <w:r>
        <w:t>Szentimrey</w:t>
      </w:r>
      <w:proofErr w:type="spellEnd"/>
      <w:r>
        <w:t xml:space="preserve"> et al., 2020). Both are enabling rather than directly control-related, and neither should be expected to resolve the evidential problems identified above.</w:t>
      </w:r>
    </w:p>
    <w:p w14:paraId="5D05F862" w14:textId="77777777" w:rsidR="00B12319" w:rsidRDefault="00000000">
      <w:r>
        <w:t xml:space="preserve">Table 5 states each priority together with the deficiency that motivates it, the reason current evidence is inadequate, the study design that would address it and the outcome measures that would demonstrate progress. The </w:t>
      </w:r>
      <w:proofErr w:type="spellStart"/>
      <w:r>
        <w:t>prioritisation</w:t>
      </w:r>
      <w:proofErr w:type="spellEnd"/>
      <w:r>
        <w:t xml:space="preserve"> reflects two criteria: the extent to which resolving the deficiency would alter conclusions drawn from the existing literature, and the feasibility of the required work with currently available methods. The first two priorities score highly on both criteria and are therefore immediate, while the fourth and fifth require methodological development that does not yet exist and are correspondingly longer-term.</w:t>
      </w:r>
    </w:p>
    <w:p w14:paraId="4916B273" w14:textId="77777777" w:rsidR="00B12319" w:rsidRDefault="00000000">
      <w:pPr>
        <w:spacing w:before="200" w:after="80"/>
        <w:jc w:val="left"/>
      </w:pPr>
      <w:r>
        <w:rPr>
          <w:b/>
          <w:sz w:val="20"/>
        </w:rPr>
        <w:lastRenderedPageBreak/>
        <w:t xml:space="preserve">Table 5. </w:t>
      </w:r>
      <w:proofErr w:type="spellStart"/>
      <w:r>
        <w:rPr>
          <w:b/>
          <w:sz w:val="20"/>
        </w:rPr>
        <w:t>Prioritised</w:t>
      </w:r>
      <w:proofErr w:type="spellEnd"/>
      <w:r>
        <w:rPr>
          <w:b/>
          <w:sz w:val="20"/>
        </w:rPr>
        <w:t xml:space="preserve"> research directions, with the evidential deficiency motivating each and the design required to address it.</w:t>
      </w:r>
    </w:p>
    <w:tbl>
      <w:tblPr>
        <w:tblStyle w:val="TableGrid"/>
        <w:tblW w:w="0" w:type="auto"/>
        <w:jc w:val="center"/>
        <w:tblLook w:val="04A0" w:firstRow="1" w:lastRow="0" w:firstColumn="1" w:lastColumn="0" w:noHBand="0" w:noVBand="1"/>
      </w:tblPr>
      <w:tblGrid>
        <w:gridCol w:w="1568"/>
        <w:gridCol w:w="1568"/>
        <w:gridCol w:w="1568"/>
        <w:gridCol w:w="1568"/>
        <w:gridCol w:w="1568"/>
        <w:gridCol w:w="1568"/>
      </w:tblGrid>
      <w:tr w:rsidR="00B12319" w14:paraId="3503A039" w14:textId="77777777">
        <w:trPr>
          <w:jc w:val="center"/>
        </w:trPr>
        <w:tc>
          <w:tcPr>
            <w:tcW w:w="1568" w:type="dxa"/>
          </w:tcPr>
          <w:p w14:paraId="06C8C05F" w14:textId="77777777" w:rsidR="00B12319" w:rsidRDefault="00000000">
            <w:pPr>
              <w:spacing w:before="40" w:after="40" w:line="240" w:lineRule="auto"/>
              <w:jc w:val="left"/>
            </w:pPr>
            <w:r>
              <w:rPr>
                <w:b/>
                <w:sz w:val="20"/>
              </w:rPr>
              <w:t>Priority</w:t>
            </w:r>
          </w:p>
        </w:tc>
        <w:tc>
          <w:tcPr>
            <w:tcW w:w="1568" w:type="dxa"/>
          </w:tcPr>
          <w:p w14:paraId="5E88A0C7" w14:textId="77777777" w:rsidR="00B12319" w:rsidRDefault="00000000">
            <w:pPr>
              <w:spacing w:before="40" w:after="40" w:line="240" w:lineRule="auto"/>
              <w:jc w:val="left"/>
            </w:pPr>
            <w:r>
              <w:rPr>
                <w:b/>
                <w:sz w:val="20"/>
              </w:rPr>
              <w:t>Unresolved problem</w:t>
            </w:r>
          </w:p>
        </w:tc>
        <w:tc>
          <w:tcPr>
            <w:tcW w:w="1568" w:type="dxa"/>
          </w:tcPr>
          <w:p w14:paraId="3A8CC8D6" w14:textId="77777777" w:rsidR="00B12319" w:rsidRDefault="00000000">
            <w:pPr>
              <w:spacing w:before="40" w:after="40" w:line="240" w:lineRule="auto"/>
              <w:jc w:val="left"/>
            </w:pPr>
            <w:r>
              <w:rPr>
                <w:b/>
                <w:sz w:val="20"/>
              </w:rPr>
              <w:t>Why current evidence is inadequate</w:t>
            </w:r>
          </w:p>
        </w:tc>
        <w:tc>
          <w:tcPr>
            <w:tcW w:w="1568" w:type="dxa"/>
          </w:tcPr>
          <w:p w14:paraId="46018BB7" w14:textId="77777777" w:rsidR="00B12319" w:rsidRDefault="00000000">
            <w:pPr>
              <w:spacing w:before="40" w:after="40" w:line="240" w:lineRule="auto"/>
              <w:jc w:val="left"/>
            </w:pPr>
            <w:r>
              <w:rPr>
                <w:b/>
                <w:sz w:val="20"/>
              </w:rPr>
              <w:t>Study design or methodological requirement</w:t>
            </w:r>
          </w:p>
        </w:tc>
        <w:tc>
          <w:tcPr>
            <w:tcW w:w="1568" w:type="dxa"/>
          </w:tcPr>
          <w:p w14:paraId="4459BA61" w14:textId="77777777" w:rsidR="00B12319" w:rsidRDefault="00000000">
            <w:pPr>
              <w:spacing w:before="40" w:after="40" w:line="240" w:lineRule="auto"/>
              <w:jc w:val="left"/>
            </w:pPr>
            <w:r>
              <w:rPr>
                <w:b/>
                <w:sz w:val="20"/>
              </w:rPr>
              <w:t>Primary outcome measures</w:t>
            </w:r>
          </w:p>
        </w:tc>
        <w:tc>
          <w:tcPr>
            <w:tcW w:w="1568" w:type="dxa"/>
          </w:tcPr>
          <w:p w14:paraId="414FFF58" w14:textId="77777777" w:rsidR="00B12319" w:rsidRDefault="00000000">
            <w:pPr>
              <w:spacing w:before="40" w:after="40" w:line="240" w:lineRule="auto"/>
              <w:jc w:val="left"/>
            </w:pPr>
            <w:r>
              <w:rPr>
                <w:b/>
                <w:sz w:val="20"/>
              </w:rPr>
              <w:t>Supporting references</w:t>
            </w:r>
          </w:p>
        </w:tc>
      </w:tr>
      <w:tr w:rsidR="00B12319" w14:paraId="21CD800C" w14:textId="77777777">
        <w:trPr>
          <w:jc w:val="center"/>
        </w:trPr>
        <w:tc>
          <w:tcPr>
            <w:tcW w:w="1568" w:type="dxa"/>
          </w:tcPr>
          <w:p w14:paraId="67266899" w14:textId="77777777" w:rsidR="00B12319" w:rsidRDefault="00000000">
            <w:pPr>
              <w:spacing w:before="40" w:after="40" w:line="240" w:lineRule="auto"/>
              <w:jc w:val="left"/>
            </w:pPr>
            <w:r>
              <w:rPr>
                <w:sz w:val="20"/>
              </w:rPr>
              <w:t>Reporting standard for control-oriented hardware evaluation (immediate)</w:t>
            </w:r>
          </w:p>
        </w:tc>
        <w:tc>
          <w:tcPr>
            <w:tcW w:w="1568" w:type="dxa"/>
          </w:tcPr>
          <w:p w14:paraId="478790C5" w14:textId="77777777" w:rsidR="00B12319" w:rsidRDefault="00000000">
            <w:pPr>
              <w:spacing w:before="40" w:after="40" w:line="240" w:lineRule="auto"/>
              <w:jc w:val="left"/>
            </w:pPr>
            <w:r>
              <w:rPr>
                <w:sz w:val="20"/>
              </w:rPr>
              <w:t>Quantitative results are not commensurable across studies</w:t>
            </w:r>
          </w:p>
        </w:tc>
        <w:tc>
          <w:tcPr>
            <w:tcW w:w="1568" w:type="dxa"/>
          </w:tcPr>
          <w:p w14:paraId="36C9B194" w14:textId="77777777" w:rsidR="00B12319" w:rsidRDefault="00000000">
            <w:pPr>
              <w:spacing w:before="40" w:after="40" w:line="240" w:lineRule="auto"/>
              <w:jc w:val="left"/>
            </w:pPr>
            <w:r>
              <w:rPr>
                <w:sz w:val="20"/>
              </w:rPr>
              <w:t xml:space="preserve">System boundaries, arithmetic representation, latency class and baseline </w:t>
            </w:r>
            <w:proofErr w:type="spellStart"/>
            <w:r>
              <w:rPr>
                <w:sz w:val="20"/>
              </w:rPr>
              <w:t>optimisation</w:t>
            </w:r>
            <w:proofErr w:type="spellEnd"/>
            <w:r>
              <w:rPr>
                <w:sz w:val="20"/>
              </w:rPr>
              <w:t xml:space="preserve"> effort are inconsistently reported</w:t>
            </w:r>
          </w:p>
        </w:tc>
        <w:tc>
          <w:tcPr>
            <w:tcW w:w="1568" w:type="dxa"/>
          </w:tcPr>
          <w:p w14:paraId="72AE56B3" w14:textId="77777777" w:rsidR="00B12319" w:rsidRDefault="00000000">
            <w:pPr>
              <w:spacing w:before="40" w:after="40" w:line="240" w:lineRule="auto"/>
              <w:jc w:val="left"/>
            </w:pPr>
            <w:r>
              <w:rPr>
                <w:sz w:val="20"/>
              </w:rPr>
              <w:t>Community reporting convention plus a reference set of control problems spanning sampling rates, channel counts and arithmetic demands</w:t>
            </w:r>
          </w:p>
        </w:tc>
        <w:tc>
          <w:tcPr>
            <w:tcW w:w="1568" w:type="dxa"/>
          </w:tcPr>
          <w:p w14:paraId="25410C5C" w14:textId="77777777" w:rsidR="00B12319" w:rsidRDefault="00000000">
            <w:pPr>
              <w:spacing w:before="40" w:after="40" w:line="240" w:lineRule="auto"/>
              <w:jc w:val="left"/>
            </w:pPr>
            <w:r>
              <w:rPr>
                <w:sz w:val="20"/>
              </w:rPr>
              <w:t>Reproducibility of reported resource, power and latency figures; feasibility of cross-study aggregation</w:t>
            </w:r>
          </w:p>
        </w:tc>
        <w:tc>
          <w:tcPr>
            <w:tcW w:w="1568" w:type="dxa"/>
          </w:tcPr>
          <w:p w14:paraId="4B83FEA9" w14:textId="77777777" w:rsidR="00B12319" w:rsidRDefault="00000000">
            <w:pPr>
              <w:spacing w:before="40" w:after="40" w:line="240" w:lineRule="auto"/>
              <w:jc w:val="left"/>
            </w:pPr>
            <w:r w:rsidRPr="00C94039">
              <w:rPr>
                <w:sz w:val="20"/>
                <w:lang w:val="nl-BE"/>
              </w:rPr>
              <w:t xml:space="preserve">Bianchi et al. (2020); Diouri et al. (2022); Hong et al. (2024); Shawahna et al. </w:t>
            </w:r>
            <w:r>
              <w:rPr>
                <w:sz w:val="20"/>
              </w:rPr>
              <w:t>(2019)</w:t>
            </w:r>
          </w:p>
        </w:tc>
      </w:tr>
      <w:tr w:rsidR="00B12319" w14:paraId="40625AE8" w14:textId="77777777">
        <w:trPr>
          <w:jc w:val="center"/>
        </w:trPr>
        <w:tc>
          <w:tcPr>
            <w:tcW w:w="1568" w:type="dxa"/>
          </w:tcPr>
          <w:p w14:paraId="63B6205A" w14:textId="77777777" w:rsidR="00B12319" w:rsidRDefault="00000000">
            <w:pPr>
              <w:spacing w:before="40" w:after="40" w:line="240" w:lineRule="auto"/>
              <w:jc w:val="left"/>
            </w:pPr>
            <w:r>
              <w:rPr>
                <w:sz w:val="20"/>
              </w:rPr>
              <w:t xml:space="preserve">Analytical timing </w:t>
            </w:r>
            <w:proofErr w:type="spellStart"/>
            <w:r>
              <w:rPr>
                <w:sz w:val="20"/>
              </w:rPr>
              <w:t>characterisation</w:t>
            </w:r>
            <w:proofErr w:type="spellEnd"/>
            <w:r>
              <w:rPr>
                <w:sz w:val="20"/>
              </w:rPr>
              <w:t xml:space="preserve"> of heterogeneous platforms (immediate)</w:t>
            </w:r>
          </w:p>
        </w:tc>
        <w:tc>
          <w:tcPr>
            <w:tcW w:w="1568" w:type="dxa"/>
          </w:tcPr>
          <w:p w14:paraId="5D040E49" w14:textId="77777777" w:rsidR="00B12319" w:rsidRDefault="00000000">
            <w:pPr>
              <w:spacing w:before="40" w:after="40" w:line="240" w:lineRule="auto"/>
              <w:jc w:val="left"/>
            </w:pPr>
            <w:r>
              <w:rPr>
                <w:sz w:val="20"/>
              </w:rPr>
              <w:t>Response-time guarantees are asserted from measurements on platforms with shared resources</w:t>
            </w:r>
          </w:p>
        </w:tc>
        <w:tc>
          <w:tcPr>
            <w:tcW w:w="1568" w:type="dxa"/>
          </w:tcPr>
          <w:p w14:paraId="7FA4EE71" w14:textId="77777777" w:rsidR="00B12319" w:rsidRDefault="00000000">
            <w:pPr>
              <w:spacing w:before="40" w:after="40" w:line="240" w:lineRule="auto"/>
              <w:jc w:val="left"/>
            </w:pPr>
            <w:r>
              <w:rPr>
                <w:sz w:val="20"/>
              </w:rPr>
              <w:t>Timing studies are observational and rarely consider contention, interface path or scheduling interaction</w:t>
            </w:r>
          </w:p>
        </w:tc>
        <w:tc>
          <w:tcPr>
            <w:tcW w:w="1568" w:type="dxa"/>
          </w:tcPr>
          <w:p w14:paraId="755C62C7" w14:textId="77777777" w:rsidR="00B12319" w:rsidRDefault="00000000">
            <w:pPr>
              <w:spacing w:before="40" w:after="40" w:line="240" w:lineRule="auto"/>
              <w:jc w:val="left"/>
            </w:pPr>
            <w:r>
              <w:rPr>
                <w:sz w:val="20"/>
              </w:rPr>
              <w:t xml:space="preserve">Composable timing models combining static </w:t>
            </w:r>
            <w:proofErr w:type="spellStart"/>
            <w:r>
              <w:rPr>
                <w:sz w:val="20"/>
              </w:rPr>
              <w:t>datapath</w:t>
            </w:r>
            <w:proofErr w:type="spellEnd"/>
            <w:r>
              <w:rPr>
                <w:sz w:val="20"/>
              </w:rPr>
              <w:t xml:space="preserve"> analysis with measured shared-resource </w:t>
            </w:r>
            <w:proofErr w:type="spellStart"/>
            <w:r>
              <w:rPr>
                <w:sz w:val="20"/>
              </w:rPr>
              <w:t>characterisation</w:t>
            </w:r>
            <w:proofErr w:type="spellEnd"/>
            <w:r>
              <w:rPr>
                <w:sz w:val="20"/>
              </w:rPr>
              <w:t>, validated under worst-case traffic</w:t>
            </w:r>
          </w:p>
        </w:tc>
        <w:tc>
          <w:tcPr>
            <w:tcW w:w="1568" w:type="dxa"/>
          </w:tcPr>
          <w:p w14:paraId="744664B3" w14:textId="77777777" w:rsidR="00B12319" w:rsidRDefault="00000000">
            <w:pPr>
              <w:spacing w:before="40" w:after="40" w:line="240" w:lineRule="auto"/>
              <w:jc w:val="left"/>
            </w:pPr>
            <w:r>
              <w:rPr>
                <w:sz w:val="20"/>
              </w:rPr>
              <w:t>Bounds on the sense-to-actuate interval under specified contention, with stated assumptions</w:t>
            </w:r>
          </w:p>
        </w:tc>
        <w:tc>
          <w:tcPr>
            <w:tcW w:w="1568" w:type="dxa"/>
          </w:tcPr>
          <w:p w14:paraId="4B922355" w14:textId="77777777" w:rsidR="00B12319" w:rsidRDefault="00000000">
            <w:pPr>
              <w:spacing w:before="40" w:after="40" w:line="240" w:lineRule="auto"/>
              <w:jc w:val="left"/>
            </w:pPr>
            <w:r w:rsidRPr="00C94039">
              <w:rPr>
                <w:sz w:val="20"/>
                <w:lang w:val="nl-BE"/>
              </w:rPr>
              <w:t xml:space="preserve">Esper et al. (2018); Jimenez Gil et al. (2017); Pagani et al. (2022); Ratti et al. </w:t>
            </w:r>
            <w:r>
              <w:rPr>
                <w:sz w:val="20"/>
              </w:rPr>
              <w:t>(2025); Silva et al. (2015)</w:t>
            </w:r>
          </w:p>
        </w:tc>
      </w:tr>
      <w:tr w:rsidR="00B12319" w14:paraId="66C3380A" w14:textId="77777777">
        <w:trPr>
          <w:jc w:val="center"/>
        </w:trPr>
        <w:tc>
          <w:tcPr>
            <w:tcW w:w="1568" w:type="dxa"/>
          </w:tcPr>
          <w:p w14:paraId="184646C2" w14:textId="77777777" w:rsidR="00B12319" w:rsidRDefault="00000000">
            <w:pPr>
              <w:spacing w:before="40" w:after="40" w:line="240" w:lineRule="auto"/>
              <w:jc w:val="left"/>
            </w:pPr>
            <w:r>
              <w:rPr>
                <w:sz w:val="20"/>
              </w:rPr>
              <w:t>Guarantees for learned functions in control loops (medium-term)</w:t>
            </w:r>
          </w:p>
        </w:tc>
        <w:tc>
          <w:tcPr>
            <w:tcW w:w="1568" w:type="dxa"/>
          </w:tcPr>
          <w:p w14:paraId="5B153719" w14:textId="77777777" w:rsidR="00B12319" w:rsidRDefault="00000000">
            <w:pPr>
              <w:spacing w:before="40" w:after="40" w:line="240" w:lineRule="auto"/>
              <w:jc w:val="left"/>
            </w:pPr>
            <w:r>
              <w:rPr>
                <w:sz w:val="20"/>
              </w:rPr>
              <w:t>Learned approximations of control laws lack stability and constraint-satisfaction certificates</w:t>
            </w:r>
          </w:p>
        </w:tc>
        <w:tc>
          <w:tcPr>
            <w:tcW w:w="1568" w:type="dxa"/>
          </w:tcPr>
          <w:p w14:paraId="57EFA3E1" w14:textId="77777777" w:rsidR="00B12319" w:rsidRDefault="00000000">
            <w:pPr>
              <w:spacing w:before="40" w:after="40" w:line="240" w:lineRule="auto"/>
              <w:jc w:val="left"/>
            </w:pPr>
            <w:r>
              <w:rPr>
                <w:sz w:val="20"/>
              </w:rPr>
              <w:t xml:space="preserve">Validation is experimental and open-loop; </w:t>
            </w:r>
            <w:proofErr w:type="spellStart"/>
            <w:r>
              <w:rPr>
                <w:sz w:val="20"/>
              </w:rPr>
              <w:t>quantisation</w:t>
            </w:r>
            <w:proofErr w:type="spellEnd"/>
            <w:r>
              <w:rPr>
                <w:sz w:val="20"/>
              </w:rPr>
              <w:t xml:space="preserve"> is assessed against dataset accuracy rather than closed-loop margins</w:t>
            </w:r>
          </w:p>
        </w:tc>
        <w:tc>
          <w:tcPr>
            <w:tcW w:w="1568" w:type="dxa"/>
          </w:tcPr>
          <w:p w14:paraId="1F6EDADD" w14:textId="77777777" w:rsidR="00B12319" w:rsidRDefault="00000000">
            <w:pPr>
              <w:spacing w:before="40" w:after="40" w:line="240" w:lineRule="auto"/>
              <w:jc w:val="left"/>
            </w:pPr>
            <w:r>
              <w:rPr>
                <w:sz w:val="20"/>
              </w:rPr>
              <w:t xml:space="preserve">Approximation architectures admitting closed-loop analysis, with protocols measuring degradation under </w:t>
            </w:r>
            <w:proofErr w:type="spellStart"/>
            <w:r>
              <w:rPr>
                <w:sz w:val="20"/>
              </w:rPr>
              <w:t>quantisation</w:t>
            </w:r>
            <w:proofErr w:type="spellEnd"/>
            <w:r>
              <w:rPr>
                <w:sz w:val="20"/>
              </w:rPr>
              <w:t xml:space="preserve"> and complete-path timing</w:t>
            </w:r>
          </w:p>
        </w:tc>
        <w:tc>
          <w:tcPr>
            <w:tcW w:w="1568" w:type="dxa"/>
          </w:tcPr>
          <w:p w14:paraId="7ACF07E1" w14:textId="77777777" w:rsidR="00B12319" w:rsidRDefault="00000000">
            <w:pPr>
              <w:spacing w:before="40" w:after="40" w:line="240" w:lineRule="auto"/>
              <w:jc w:val="left"/>
            </w:pPr>
            <w:r>
              <w:rPr>
                <w:sz w:val="20"/>
              </w:rPr>
              <w:t xml:space="preserve">Closed-loop stability margin and constraint violation rate under </w:t>
            </w:r>
            <w:proofErr w:type="spellStart"/>
            <w:r>
              <w:rPr>
                <w:sz w:val="20"/>
              </w:rPr>
              <w:t>quantisation</w:t>
            </w:r>
            <w:proofErr w:type="spellEnd"/>
            <w:r>
              <w:rPr>
                <w:sz w:val="20"/>
              </w:rPr>
              <w:t>; sense-to-actuate latency</w:t>
            </w:r>
          </w:p>
        </w:tc>
        <w:tc>
          <w:tcPr>
            <w:tcW w:w="1568" w:type="dxa"/>
          </w:tcPr>
          <w:p w14:paraId="736E3A65" w14:textId="77777777" w:rsidR="00B12319" w:rsidRDefault="00000000">
            <w:pPr>
              <w:spacing w:before="40" w:after="40" w:line="240" w:lineRule="auto"/>
              <w:jc w:val="left"/>
            </w:pPr>
            <w:r w:rsidRPr="00C94039">
              <w:rPr>
                <w:sz w:val="20"/>
                <w:lang w:val="nl-BE"/>
              </w:rPr>
              <w:t xml:space="preserve">N. Li et al. (2025); Simonetti et al. </w:t>
            </w:r>
            <w:r>
              <w:rPr>
                <w:sz w:val="20"/>
              </w:rPr>
              <w:t xml:space="preserve">(2023); </w:t>
            </w:r>
            <w:proofErr w:type="spellStart"/>
            <w:r>
              <w:rPr>
                <w:sz w:val="20"/>
              </w:rPr>
              <w:t>Zacchigna</w:t>
            </w:r>
            <w:proofErr w:type="spellEnd"/>
            <w:r>
              <w:rPr>
                <w:sz w:val="20"/>
              </w:rPr>
              <w:t xml:space="preserve"> (2023)</w:t>
            </w:r>
          </w:p>
        </w:tc>
      </w:tr>
      <w:tr w:rsidR="00B12319" w14:paraId="706D4E1D" w14:textId="77777777">
        <w:trPr>
          <w:jc w:val="center"/>
        </w:trPr>
        <w:tc>
          <w:tcPr>
            <w:tcW w:w="1568" w:type="dxa"/>
          </w:tcPr>
          <w:p w14:paraId="6A49C181" w14:textId="77777777" w:rsidR="00B12319" w:rsidRDefault="00000000">
            <w:pPr>
              <w:spacing w:before="40" w:after="40" w:line="240" w:lineRule="auto"/>
              <w:jc w:val="left"/>
            </w:pPr>
            <w:r>
              <w:rPr>
                <w:sz w:val="20"/>
              </w:rPr>
              <w:t>Integrated dependability, security and timing methodology (longer-term)</w:t>
            </w:r>
          </w:p>
        </w:tc>
        <w:tc>
          <w:tcPr>
            <w:tcW w:w="1568" w:type="dxa"/>
          </w:tcPr>
          <w:p w14:paraId="2A9164F4" w14:textId="77777777" w:rsidR="00B12319" w:rsidRDefault="00000000">
            <w:pPr>
              <w:spacing w:before="40" w:after="40" w:line="240" w:lineRule="auto"/>
              <w:jc w:val="left"/>
            </w:pPr>
            <w:r>
              <w:rPr>
                <w:sz w:val="20"/>
              </w:rPr>
              <w:t>Mitigation, protection and timing requirements interact but are designed separately</w:t>
            </w:r>
          </w:p>
        </w:tc>
        <w:tc>
          <w:tcPr>
            <w:tcW w:w="1568" w:type="dxa"/>
          </w:tcPr>
          <w:p w14:paraId="26DABE7B" w14:textId="77777777" w:rsidR="00B12319" w:rsidRDefault="00000000">
            <w:pPr>
              <w:spacing w:before="40" w:after="40" w:line="240" w:lineRule="auto"/>
              <w:jc w:val="left"/>
            </w:pPr>
            <w:r>
              <w:rPr>
                <w:sz w:val="20"/>
              </w:rPr>
              <w:t>Each concern is evaluated by its own convention; interaction effects are largely unstudied</w:t>
            </w:r>
          </w:p>
        </w:tc>
        <w:tc>
          <w:tcPr>
            <w:tcW w:w="1568" w:type="dxa"/>
          </w:tcPr>
          <w:p w14:paraId="30CA465B" w14:textId="77777777" w:rsidR="00B12319" w:rsidRDefault="00000000">
            <w:pPr>
              <w:spacing w:before="40" w:after="40" w:line="240" w:lineRule="auto"/>
              <w:jc w:val="left"/>
            </w:pPr>
            <w:r>
              <w:rPr>
                <w:sz w:val="20"/>
              </w:rPr>
              <w:t>Joint design methodology with explicit interaction models, evaluated on representative control workloads under a control-specific threat model</w:t>
            </w:r>
          </w:p>
        </w:tc>
        <w:tc>
          <w:tcPr>
            <w:tcW w:w="1568" w:type="dxa"/>
          </w:tcPr>
          <w:p w14:paraId="5AF9EA72" w14:textId="77777777" w:rsidR="00B12319" w:rsidRDefault="00000000">
            <w:pPr>
              <w:spacing w:before="40" w:after="40" w:line="240" w:lineRule="auto"/>
              <w:jc w:val="left"/>
            </w:pPr>
            <w:r>
              <w:rPr>
                <w:sz w:val="20"/>
              </w:rPr>
              <w:t>Joint reporting of timing bound, resource and power overhead, upset tolerance and attack resistance</w:t>
            </w:r>
          </w:p>
        </w:tc>
        <w:tc>
          <w:tcPr>
            <w:tcW w:w="1568" w:type="dxa"/>
          </w:tcPr>
          <w:p w14:paraId="40A40C01" w14:textId="77777777" w:rsidR="00B12319" w:rsidRDefault="00000000">
            <w:pPr>
              <w:spacing w:before="40" w:after="40" w:line="240" w:lineRule="auto"/>
              <w:jc w:val="left"/>
            </w:pPr>
            <w:r w:rsidRPr="00C94039">
              <w:rPr>
                <w:sz w:val="20"/>
                <w:lang w:val="nl-BE"/>
              </w:rPr>
              <w:t xml:space="preserve">Bommana et al. (2025); Chakraborty et al. (2013); Kawser Ahmed et al. </w:t>
            </w:r>
            <w:r>
              <w:rPr>
                <w:sz w:val="20"/>
              </w:rPr>
              <w:t>(2025); Keller and Wirthlin (2021); Moraitis (2023)</w:t>
            </w:r>
          </w:p>
        </w:tc>
      </w:tr>
      <w:tr w:rsidR="00B12319" w14:paraId="1FECBBD5" w14:textId="77777777">
        <w:trPr>
          <w:jc w:val="center"/>
        </w:trPr>
        <w:tc>
          <w:tcPr>
            <w:tcW w:w="1568" w:type="dxa"/>
          </w:tcPr>
          <w:p w14:paraId="2C5AA0E1" w14:textId="77777777" w:rsidR="00B12319" w:rsidRDefault="00000000">
            <w:pPr>
              <w:spacing w:before="40" w:after="40" w:line="240" w:lineRule="auto"/>
              <w:jc w:val="left"/>
            </w:pPr>
            <w:r>
              <w:rPr>
                <w:sz w:val="20"/>
              </w:rPr>
              <w:t xml:space="preserve">Justification and </w:t>
            </w:r>
            <w:r>
              <w:rPr>
                <w:sz w:val="20"/>
              </w:rPr>
              <w:lastRenderedPageBreak/>
              <w:t>scoping of runtime reconfiguration in control (longer-term)</w:t>
            </w:r>
          </w:p>
        </w:tc>
        <w:tc>
          <w:tcPr>
            <w:tcW w:w="1568" w:type="dxa"/>
          </w:tcPr>
          <w:p w14:paraId="2BDA9269" w14:textId="77777777" w:rsidR="00B12319" w:rsidRDefault="00000000">
            <w:pPr>
              <w:spacing w:before="40" w:after="40" w:line="240" w:lineRule="auto"/>
              <w:jc w:val="left"/>
            </w:pPr>
            <w:r>
              <w:rPr>
                <w:sz w:val="20"/>
              </w:rPr>
              <w:lastRenderedPageBreak/>
              <w:t xml:space="preserve">Published </w:t>
            </w:r>
            <w:r>
              <w:rPr>
                <w:sz w:val="20"/>
              </w:rPr>
              <w:lastRenderedPageBreak/>
              <w:t>interest in reconfiguration greatly exceeds deployed use</w:t>
            </w:r>
          </w:p>
        </w:tc>
        <w:tc>
          <w:tcPr>
            <w:tcW w:w="1568" w:type="dxa"/>
          </w:tcPr>
          <w:p w14:paraId="7B2F823C" w14:textId="77777777" w:rsidR="00B12319" w:rsidRDefault="00000000">
            <w:pPr>
              <w:spacing w:before="40" w:after="40" w:line="240" w:lineRule="auto"/>
              <w:jc w:val="left"/>
            </w:pPr>
            <w:r>
              <w:rPr>
                <w:sz w:val="20"/>
              </w:rPr>
              <w:lastRenderedPageBreak/>
              <w:t xml:space="preserve">Benefits are </w:t>
            </w:r>
            <w:r>
              <w:rPr>
                <w:sz w:val="20"/>
              </w:rPr>
              <w:lastRenderedPageBreak/>
              <w:t>mostly potential; costs in design flow, verification and availability are concrete but rarely quantified against alternatives</w:t>
            </w:r>
          </w:p>
        </w:tc>
        <w:tc>
          <w:tcPr>
            <w:tcW w:w="1568" w:type="dxa"/>
          </w:tcPr>
          <w:p w14:paraId="68A42B8F" w14:textId="77777777" w:rsidR="00B12319" w:rsidRDefault="00000000">
            <w:pPr>
              <w:spacing w:before="40" w:after="40" w:line="240" w:lineRule="auto"/>
              <w:jc w:val="left"/>
            </w:pPr>
            <w:r>
              <w:rPr>
                <w:sz w:val="20"/>
              </w:rPr>
              <w:lastRenderedPageBreak/>
              <w:t xml:space="preserve">Identification of </w:t>
            </w:r>
            <w:r>
              <w:rPr>
                <w:sz w:val="20"/>
              </w:rPr>
              <w:lastRenderedPageBreak/>
              <w:t xml:space="preserve">application classes with </w:t>
            </w:r>
            <w:proofErr w:type="spellStart"/>
            <w:r>
              <w:rPr>
                <w:sz w:val="20"/>
              </w:rPr>
              <w:t>favourable</w:t>
            </w:r>
            <w:proofErr w:type="spellEnd"/>
            <w:r>
              <w:rPr>
                <w:sz w:val="20"/>
              </w:rPr>
              <w:t xml:space="preserve"> balance; quantitative comparison against pre-</w:t>
            </w:r>
            <w:proofErr w:type="spellStart"/>
            <w:r>
              <w:rPr>
                <w:sz w:val="20"/>
              </w:rPr>
              <w:t>synthesised</w:t>
            </w:r>
            <w:proofErr w:type="spellEnd"/>
            <w:r>
              <w:rPr>
                <w:sz w:val="20"/>
              </w:rPr>
              <w:t xml:space="preserve"> configuration switching; timing-aware and formally partitioned designs</w:t>
            </w:r>
          </w:p>
        </w:tc>
        <w:tc>
          <w:tcPr>
            <w:tcW w:w="1568" w:type="dxa"/>
          </w:tcPr>
          <w:p w14:paraId="7D27FF36" w14:textId="77777777" w:rsidR="00B12319" w:rsidRDefault="00000000">
            <w:pPr>
              <w:spacing w:before="40" w:after="40" w:line="240" w:lineRule="auto"/>
              <w:jc w:val="left"/>
            </w:pPr>
            <w:r>
              <w:rPr>
                <w:sz w:val="20"/>
              </w:rPr>
              <w:lastRenderedPageBreak/>
              <w:t xml:space="preserve">Reconfiguration </w:t>
            </w:r>
            <w:r>
              <w:rPr>
                <w:sz w:val="20"/>
              </w:rPr>
              <w:lastRenderedPageBreak/>
              <w:t>latency and availability cost; verification effort; demonstrated benefit over static alternatives</w:t>
            </w:r>
          </w:p>
        </w:tc>
        <w:tc>
          <w:tcPr>
            <w:tcW w:w="1568" w:type="dxa"/>
          </w:tcPr>
          <w:p w14:paraId="0276BAE6" w14:textId="77777777" w:rsidR="00B12319" w:rsidRDefault="00000000">
            <w:pPr>
              <w:spacing w:before="40" w:after="40" w:line="240" w:lineRule="auto"/>
              <w:jc w:val="left"/>
            </w:pPr>
            <w:proofErr w:type="spellStart"/>
            <w:r>
              <w:rPr>
                <w:sz w:val="20"/>
              </w:rPr>
              <w:lastRenderedPageBreak/>
              <w:t>Pezzarossa</w:t>
            </w:r>
            <w:proofErr w:type="spellEnd"/>
            <w:r>
              <w:rPr>
                <w:sz w:val="20"/>
              </w:rPr>
              <w:t xml:space="preserve"> et al. </w:t>
            </w:r>
            <w:r>
              <w:rPr>
                <w:sz w:val="20"/>
              </w:rPr>
              <w:lastRenderedPageBreak/>
              <w:t>(2018); Vipin and Fahmy (2018); Wisniewski (2018); Wisniewski et al. (2017)</w:t>
            </w:r>
          </w:p>
        </w:tc>
      </w:tr>
    </w:tbl>
    <w:p w14:paraId="57EEAFA6" w14:textId="77777777" w:rsidR="00B12319" w:rsidRDefault="00000000">
      <w:pPr>
        <w:spacing w:before="80" w:after="200"/>
        <w:jc w:val="left"/>
      </w:pPr>
      <w:r>
        <w:rPr>
          <w:i/>
          <w:sz w:val="18"/>
        </w:rPr>
        <w:lastRenderedPageBreak/>
        <w:t>Table note. Immediate priorities are those achievable with existing methods; longer-term priorities require methodological development that the reviewed literature does not yet provide.</w:t>
      </w:r>
    </w:p>
    <w:p w14:paraId="7AD558E7" w14:textId="77777777" w:rsidR="00B12319" w:rsidRDefault="00000000">
      <w:pPr>
        <w:spacing w:before="240"/>
        <w:jc w:val="left"/>
      </w:pPr>
      <w:r>
        <w:rPr>
          <w:b/>
        </w:rPr>
        <w:t>14. Conclusions</w:t>
      </w:r>
    </w:p>
    <w:p w14:paraId="65C0A1CF" w14:textId="77777777" w:rsidR="00B12319" w:rsidRDefault="00000000">
      <w:r>
        <w:t xml:space="preserve">The evidence reviewed supports a clear conclusion about mechanism and a much more qualified set of conclusions about comparative advantage. Where the computational interval of a control law binds closed-loop performance, parallel </w:t>
      </w:r>
      <w:proofErr w:type="spellStart"/>
      <w:r>
        <w:t>realisation</w:t>
      </w:r>
      <w:proofErr w:type="spellEnd"/>
      <w:r>
        <w:t xml:space="preserve"> in programmable logic relaxes that constraint, and it does so reliably enough that control strategies previously excluded by computation time have become practicable at industrially relevant switching and sampling rates. Predictive control of power converters and drives is the clearest instance, and the finding has been confirmed independently by different groups on different devices with different formulations. This is the field's most secure result, and it is a result about feasibility rather than about efficiency.</w:t>
      </w:r>
    </w:p>
    <w:p w14:paraId="2A0C60D6" w14:textId="77777777" w:rsidR="00B12319" w:rsidRDefault="00000000">
      <w:r>
        <w:t xml:space="preserve">Claims that extend beyond that mechanism are supported less securely. The proposition that programmable logic is intrinsically more energy efficient than processor-based alternatives is contradicted by evidence showing that fabric-level energy depends strongly on mapping decisions, and by evidence that for periodic tasks above a certain period a software implementation can be the more efficient choice. The proposition that measured latency constitutes a real-time guarantee holds for fixed </w:t>
      </w:r>
      <w:proofErr w:type="spellStart"/>
      <w:r>
        <w:t>synthesised</w:t>
      </w:r>
      <w:proofErr w:type="spellEnd"/>
      <w:r>
        <w:t xml:space="preserve"> pipelines without data-dependent control flow, and does not transfer to heterogeneous platforms in which processor, memory and interconnect are shared; the prevalent inference from fabric determinism to device determinism is an extension of a valid argument beyond the conditions that make it valid. The proposition that dynamic partial reconfiguration offers practical adaptability in control loops remains largely </w:t>
      </w:r>
      <w:r>
        <w:lastRenderedPageBreak/>
        <w:t>potential, with concrete and well-documented costs set against benefits that few control applications have been shown to require.</w:t>
      </w:r>
    </w:p>
    <w:p w14:paraId="37EBB507" w14:textId="77777777" w:rsidR="00B12319" w:rsidRDefault="00000000">
      <w:r>
        <w:t xml:space="preserve">The review also identifies a structural feature of the evidence base that explains much of the apparent disagreement within it. Comparative studies designed as comparisons return no uniform ordering between platform classes, whereas studies designed as demonstrations report consistent advantage. The difference is attributable to baseline </w:t>
      </w:r>
      <w:proofErr w:type="spellStart"/>
      <w:r>
        <w:t>optimisation</w:t>
      </w:r>
      <w:proofErr w:type="spellEnd"/>
      <w:r>
        <w:t>, workload equivalence and accounting convention rather than to variation in the underlying phenomenon. The field consequently possesses a large quantitative literature whose figures cannot be aggregated, and this is a matter of adopted convention rather than of intrinsic difficulty, as the dependability literature demonstrates by combining controlled fault injection with physical radiation testing to produce comparable and mechanistically interpretable results.</w:t>
      </w:r>
    </w:p>
    <w:p w14:paraId="688CABBA" w14:textId="77777777" w:rsidR="00B12319" w:rsidRDefault="00000000">
      <w:r>
        <w:t xml:space="preserve">Three further conclusions concern integration. Dependability research </w:t>
      </w:r>
      <w:proofErr w:type="spellStart"/>
      <w:r>
        <w:t>characterises</w:t>
      </w:r>
      <w:proofErr w:type="spellEnd"/>
      <w:r>
        <w:t xml:space="preserve"> computational error but rarely its closed-loop consequence, so the adequacy of a mitigation strategy for a specific control application generally cannot be judged from published evidence. Security research has developed substantial technical results on bitstream modification, hardware Trojans and remote side channels, but has not developed threat models that reason about physical consequence, and has not examined the interaction between protective mechanisms and real-time </w:t>
      </w:r>
      <w:proofErr w:type="spellStart"/>
      <w:r>
        <w:t>behaviour</w:t>
      </w:r>
      <w:proofErr w:type="spellEnd"/>
      <w:r>
        <w:t>. Validation by hardware-in-the-loop simulation is mature in modelling detail but frequently omits evidence that the simulator has been validated in the operating region where the controller is being tested, which is most often the fault and extreme region where model fidelity is least assured.</w:t>
      </w:r>
    </w:p>
    <w:p w14:paraId="77A4E4C5" w14:textId="77777777" w:rsidR="00B12319" w:rsidRDefault="00000000">
      <w:r>
        <w:t>The broader significance of the synthesis is that the design arguments for FPGA-based control devices were formulated for a device that no longer describes most of the hardware now in use. The founding case rested on the absence of shared resources, and heterogeneous integration has reintroduced them alongside genuine benefits in functional integration. Reasoning about these devices therefore requires analytical timing treatment of the complete platform, evaluation conventions that make results comparable, and design methodologies that address timing, dependability and security together rather than separately. Until those are established, the field will continue to produce demonstrations that are individually convincing and collectively difficult to interpret.</w:t>
      </w:r>
    </w:p>
    <w:p w14:paraId="0BE9507B" w14:textId="77777777" w:rsidR="00B12319" w:rsidRDefault="00000000">
      <w:pPr>
        <w:spacing w:before="240"/>
        <w:jc w:val="left"/>
      </w:pPr>
      <w:r>
        <w:rPr>
          <w:b/>
        </w:rPr>
        <w:lastRenderedPageBreak/>
        <w:t>15. Limitations</w:t>
      </w:r>
    </w:p>
    <w:p w14:paraId="10C13C5A" w14:textId="77777777" w:rsidR="00B12319" w:rsidRDefault="00000000">
      <w:r>
        <w:t>This review is a narrative synthesis and carries the limitations intrinsic to that design. Study selection was purposive and interpretive rather than exhaustive, screening was not conducted in duplicate against a pre-registered protocol, and the identification of themes and the weighting of evidence reflect authorial judgement. Selection and interpretive bias cannot be excluded despite a documented search strategy, stated eligibility criteria and explicit appraisal principles, and a different reviewer applying the same procedure could reasonably arrive at a different emphasis, particularly in the relative prominence given to control-engineering and computer-architecture perspectives.</w:t>
      </w:r>
    </w:p>
    <w:p w14:paraId="60350EFA" w14:textId="77777777" w:rsidR="00B12319" w:rsidRDefault="00000000">
      <w:r>
        <w:t>Access to the literature was uneven. Searching was confined to indexes that were openly accessible, and no subscription citation database was searched, so literature indexed exclusively in such databases may have been missed. For a proportion of records, particularly those published in subscription journals that do not deposit abstracts with the registry, assessment relied on verified bibliographic metadata and publisher-supplied abstracts rather than on full text, which limited the depth of methodological appraisal that could be applied to those studies. Retrieval was restricted to English-language publications, which is likely to have under-represented work from research communities that publish substantially in other languages.</w:t>
      </w:r>
    </w:p>
    <w:p w14:paraId="6E8C7531" w14:textId="77777777" w:rsidR="00B12319" w:rsidRDefault="00000000">
      <w:r>
        <w:t xml:space="preserve">The evidence base itself imposes further limitations. Studies use incompatible outcome measures, report results on non-comparable platforms and device generations, and frequently omit information required for appraisal, so quantitative synthesis was neither attempted nor possible and the review cannot supply pooled estimates of performance, energy or latency. Geographical and institutional concentration in the applied literature, particularly in power electronics and drives, may limit </w:t>
      </w:r>
      <w:proofErr w:type="spellStart"/>
      <w:r>
        <w:t>generalisability</w:t>
      </w:r>
      <w:proofErr w:type="spellEnd"/>
      <w:r>
        <w:t>. The field also develops rapidly in relation to device families, toolchains and standards, so conclusions concerning specific platform capabilities are time-limited even though the methodological conclusions are more durable. Long-term field evidence on deployed FPGA-based control devices is scarce, and almost all reported validation is laboratory-based, so conclusions about in-service reliability, maintainability and security under operational conditions rest on inference from controlled experiments rather than on operational data.</w:t>
      </w:r>
    </w:p>
    <w:p w14:paraId="1D78D9FB" w14:textId="77777777" w:rsidR="006530EA" w:rsidRDefault="006530EA" w:rsidP="006530EA">
      <w:pPr>
        <w:spacing w:after="0" w:line="240" w:lineRule="auto"/>
        <w:rPr>
          <w:rFonts w:cs="Times New Roman"/>
          <w:b/>
        </w:rPr>
      </w:pPr>
      <w:r w:rsidRPr="000839CE">
        <w:rPr>
          <w:rFonts w:cs="Times New Roman"/>
          <w:b/>
        </w:rPr>
        <w:t>Declaration of AI Use</w:t>
      </w:r>
    </w:p>
    <w:p w14:paraId="404F2B5B" w14:textId="77777777" w:rsidR="006530EA" w:rsidRDefault="006530EA" w:rsidP="006530EA">
      <w:pPr>
        <w:spacing w:after="0" w:line="240" w:lineRule="auto"/>
        <w:rPr>
          <w:rFonts w:cs="Times New Roman"/>
          <w:b/>
        </w:rPr>
      </w:pPr>
    </w:p>
    <w:p w14:paraId="383F0C3D" w14:textId="77777777" w:rsidR="006530EA" w:rsidRDefault="006530EA" w:rsidP="006530EA">
      <w:pPr>
        <w:spacing w:after="0" w:line="240" w:lineRule="auto"/>
        <w:rPr>
          <w:rFonts w:cs="Times New Roman"/>
          <w:b/>
        </w:rPr>
      </w:pPr>
    </w:p>
    <w:p w14:paraId="65C55341" w14:textId="77777777" w:rsidR="006530EA" w:rsidRDefault="006530EA" w:rsidP="006530EA">
      <w:pPr>
        <w:spacing w:after="0" w:line="240" w:lineRule="auto"/>
        <w:rPr>
          <w:rFonts w:cs="Times New Roman"/>
          <w:b/>
        </w:rPr>
      </w:pPr>
    </w:p>
    <w:p w14:paraId="5E17CF4F" w14:textId="77777777" w:rsidR="006530EA" w:rsidRPr="002D08AC" w:rsidRDefault="006530EA" w:rsidP="006530E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278FCB7" w14:textId="77777777" w:rsidR="006530EA" w:rsidRDefault="006530EA"/>
    <w:p w14:paraId="0683CB5B" w14:textId="77777777" w:rsidR="00B12319" w:rsidRDefault="00000000">
      <w:pPr>
        <w:spacing w:before="280" w:after="160"/>
        <w:jc w:val="left"/>
      </w:pPr>
      <w:r>
        <w:rPr>
          <w:b/>
        </w:rPr>
        <w:t>References</w:t>
      </w:r>
    </w:p>
    <w:p w14:paraId="0E31D834" w14:textId="77777777" w:rsidR="00C94039" w:rsidRDefault="00C94039" w:rsidP="00C94039">
      <w:pPr>
        <w:pStyle w:val="isselectedend"/>
        <w:ind w:left="540" w:hanging="540"/>
        <w:jc w:val="both"/>
      </w:pPr>
      <w:r>
        <w:t xml:space="preserve">Ali, A., Bingi, K., Ibrahim, R., Devan, P. A. M., &amp; Devika, K. B. (2024). A review on FPGA implementation of fractional-order systems and PID controllers. </w:t>
      </w:r>
      <w:r>
        <w:rPr>
          <w:rStyle w:val="Emphasis"/>
        </w:rPr>
        <w:t>AEU - International Journal of Electronics and Communications, 177</w:t>
      </w:r>
      <w:r>
        <w:t xml:space="preserve">, 155218. </w:t>
      </w:r>
      <w:hyperlink r:id="rId8" w:history="1">
        <w:r>
          <w:rPr>
            <w:rStyle w:val="Hyperlink"/>
          </w:rPr>
          <w:t>https://doi.org/10.1016/j.aeue.2024.155218</w:t>
        </w:r>
      </w:hyperlink>
    </w:p>
    <w:p w14:paraId="294007AD" w14:textId="77777777" w:rsidR="00C94039" w:rsidRDefault="00C94039" w:rsidP="00C94039">
      <w:pPr>
        <w:pStyle w:val="isselectedend"/>
        <w:ind w:left="540" w:hanging="540"/>
        <w:jc w:val="both"/>
      </w:pPr>
      <w:r>
        <w:t xml:space="preserve">Arifeen, T., Hassan, A. S., &amp; Lee, J.-A. (2020). Approximate triple modular redundancy: A survey. </w:t>
      </w:r>
      <w:r>
        <w:rPr>
          <w:rStyle w:val="Emphasis"/>
        </w:rPr>
        <w:t>IEEE Access, 8</w:t>
      </w:r>
      <w:r>
        <w:t xml:space="preserve">, 139851–139867. </w:t>
      </w:r>
      <w:hyperlink r:id="rId9" w:history="1">
        <w:r>
          <w:rPr>
            <w:rStyle w:val="Hyperlink"/>
          </w:rPr>
          <w:t>https://doi.org/10.1109/access.2020.3012673</w:t>
        </w:r>
      </w:hyperlink>
    </w:p>
    <w:p w14:paraId="187347F3" w14:textId="77777777" w:rsidR="00C94039" w:rsidRDefault="00C94039" w:rsidP="00C94039">
      <w:pPr>
        <w:pStyle w:val="isselectedend"/>
        <w:ind w:left="540" w:hanging="540"/>
        <w:jc w:val="both"/>
      </w:pPr>
      <w:r>
        <w:t xml:space="preserve">Astrain, M., Ruiz, M., </w:t>
      </w:r>
      <w:proofErr w:type="spellStart"/>
      <w:r>
        <w:t>Carpeño</w:t>
      </w:r>
      <w:proofErr w:type="spellEnd"/>
      <w:r>
        <w:t xml:space="preserve">, A., </w:t>
      </w:r>
      <w:proofErr w:type="spellStart"/>
      <w:r>
        <w:t>Esquembri</w:t>
      </w:r>
      <w:proofErr w:type="spellEnd"/>
      <w:r>
        <w:t xml:space="preserve">, S., Barrera, E., &amp; Vega, J. (2020). A methodology to standardize the development of FPGA-based high-performance DAQ and processing systems using OpenCL. </w:t>
      </w:r>
      <w:r>
        <w:rPr>
          <w:rStyle w:val="Emphasis"/>
        </w:rPr>
        <w:t>Fusion Engineering and Design, 155</w:t>
      </w:r>
      <w:r>
        <w:t xml:space="preserve">, 111561. </w:t>
      </w:r>
      <w:hyperlink r:id="rId10" w:history="1">
        <w:r>
          <w:rPr>
            <w:rStyle w:val="Hyperlink"/>
          </w:rPr>
          <w:t>https://doi.org/10.1016/j.fusengdes.2020.111561</w:t>
        </w:r>
      </w:hyperlink>
    </w:p>
    <w:p w14:paraId="199BEF6D" w14:textId="77777777" w:rsidR="00C94039" w:rsidRDefault="00C94039" w:rsidP="00C94039">
      <w:pPr>
        <w:pStyle w:val="isselectedend"/>
        <w:ind w:left="540" w:hanging="540"/>
        <w:jc w:val="both"/>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(1), Article 5. </w:t>
      </w:r>
      <w:hyperlink r:id="rId11" w:history="1">
        <w:r>
          <w:rPr>
            <w:rStyle w:val="Hyperlink"/>
          </w:rPr>
          <w:t>https://doi.org/10.1186/s41073-019-0064-8</w:t>
        </w:r>
      </w:hyperlink>
    </w:p>
    <w:p w14:paraId="0E3CDA47" w14:textId="77777777" w:rsidR="00C94039" w:rsidRDefault="00C94039" w:rsidP="00C94039">
      <w:pPr>
        <w:pStyle w:val="isselectedend"/>
        <w:ind w:left="540" w:hanging="540"/>
        <w:jc w:val="both"/>
      </w:pPr>
      <w:r>
        <w:t xml:space="preserve">Ben Ahmed, A., </w:t>
      </w:r>
      <w:proofErr w:type="spellStart"/>
      <w:r>
        <w:t>Hirofuchi</w:t>
      </w:r>
      <w:proofErr w:type="spellEnd"/>
      <w:r>
        <w:t xml:space="preserve">, T., &amp; Fukai, T. (2024). Hardware design and evaluation of an FPGA-based network switch supporting asynchronous traffic shaping for time sensitive networking. </w:t>
      </w:r>
      <w:r>
        <w:rPr>
          <w:rStyle w:val="Emphasis"/>
        </w:rPr>
        <w:t>IEEE Access, 12</w:t>
      </w:r>
      <w:r>
        <w:t xml:space="preserve">, 123149–123165. </w:t>
      </w:r>
      <w:hyperlink r:id="rId12" w:history="1">
        <w:r>
          <w:rPr>
            <w:rStyle w:val="Hyperlink"/>
          </w:rPr>
          <w:t>https://doi.org/10.1109/access.2024.3451448</w:t>
        </w:r>
      </w:hyperlink>
    </w:p>
    <w:p w14:paraId="4F8E99AD" w14:textId="77777777" w:rsidR="00C94039" w:rsidRDefault="00C94039" w:rsidP="00C94039">
      <w:pPr>
        <w:pStyle w:val="isselectedend"/>
        <w:ind w:left="540" w:hanging="540"/>
        <w:jc w:val="both"/>
      </w:pPr>
      <w:r>
        <w:t xml:space="preserve">Bianchi, V., Bassoli, M., &amp; De Munari, I. (2020). Comparison of FPGA and microcontroller implementations of an innovative method for error magnitude evaluation in Reed–Solomon codes. </w:t>
      </w:r>
      <w:r>
        <w:rPr>
          <w:rStyle w:val="Emphasis"/>
        </w:rPr>
        <w:t>Electronics, 9</w:t>
      </w:r>
      <w:r>
        <w:t xml:space="preserve">(1), 89. </w:t>
      </w:r>
      <w:hyperlink r:id="rId13" w:history="1">
        <w:r>
          <w:rPr>
            <w:rStyle w:val="Hyperlink"/>
          </w:rPr>
          <w:t>https://doi.org/10.3390/electronics9010089</w:t>
        </w:r>
      </w:hyperlink>
    </w:p>
    <w:p w14:paraId="2CAA716B" w14:textId="77777777" w:rsidR="00C94039" w:rsidRDefault="00C94039" w:rsidP="00C94039">
      <w:pPr>
        <w:pStyle w:val="isselectedend"/>
        <w:ind w:left="540" w:hanging="540"/>
        <w:jc w:val="both"/>
      </w:pPr>
      <w:proofErr w:type="spellStart"/>
      <w:r>
        <w:t>Biscontini</w:t>
      </w:r>
      <w:proofErr w:type="spellEnd"/>
      <w:r>
        <w:t xml:space="preserve">, A., Popovici, E., &amp; </w:t>
      </w:r>
      <w:proofErr w:type="spellStart"/>
      <w:r>
        <w:t>Temko</w:t>
      </w:r>
      <w:proofErr w:type="spellEnd"/>
      <w:r>
        <w:t xml:space="preserve">, A. (2024). Machine learning for FPGA electronic design automation. </w:t>
      </w:r>
      <w:r>
        <w:rPr>
          <w:rStyle w:val="Emphasis"/>
        </w:rPr>
        <w:t>IEEE Access, 12</w:t>
      </w:r>
      <w:r>
        <w:t xml:space="preserve">, 182640–182662. </w:t>
      </w:r>
      <w:hyperlink r:id="rId14" w:history="1">
        <w:r>
          <w:rPr>
            <w:rStyle w:val="Hyperlink"/>
          </w:rPr>
          <w:t>https://doi.org/10.1109/access.2024.3511345</w:t>
        </w:r>
      </w:hyperlink>
    </w:p>
    <w:p w14:paraId="21CDDB1B" w14:textId="77777777" w:rsidR="00C94039" w:rsidRDefault="00C94039" w:rsidP="00C94039">
      <w:pPr>
        <w:pStyle w:val="isselectedend"/>
        <w:ind w:left="540" w:hanging="540"/>
        <w:jc w:val="both"/>
      </w:pPr>
      <w:proofErr w:type="spellStart"/>
      <w:r>
        <w:t>Bommana</w:t>
      </w:r>
      <w:proofErr w:type="spellEnd"/>
      <w:r>
        <w:t xml:space="preserve">, S. R., Veeramachaneni, S., Ershad, S., &amp; Srinivas, M. B. (2025). Mitigating side channel attacks on FPGA through deep learning and dynamic partial reconfiguration. </w:t>
      </w:r>
      <w:r>
        <w:rPr>
          <w:rStyle w:val="Emphasis"/>
        </w:rPr>
        <w:t>Scientific Reports, 15</w:t>
      </w:r>
      <w:r>
        <w:t xml:space="preserve">(1), Article 13745. </w:t>
      </w:r>
      <w:hyperlink r:id="rId15" w:history="1">
        <w:r>
          <w:rPr>
            <w:rStyle w:val="Hyperlink"/>
          </w:rPr>
          <w:t>https://doi.org/10.1038/s41598-025-98473-3</w:t>
        </w:r>
      </w:hyperlink>
    </w:p>
    <w:p w14:paraId="715B6E5A" w14:textId="77777777" w:rsidR="00C94039" w:rsidRDefault="00C94039" w:rsidP="00C94039">
      <w:pPr>
        <w:pStyle w:val="isselectedend"/>
        <w:ind w:left="540" w:hanging="540"/>
        <w:jc w:val="both"/>
      </w:pPr>
      <w:proofErr w:type="spellStart"/>
      <w:r>
        <w:lastRenderedPageBreak/>
        <w:t>Boudjadar</w:t>
      </w:r>
      <w:proofErr w:type="spellEnd"/>
      <w:r>
        <w:t xml:space="preserve">, J., Islam, S. U., &amp; </w:t>
      </w:r>
      <w:proofErr w:type="spellStart"/>
      <w:r>
        <w:t>Buyya</w:t>
      </w:r>
      <w:proofErr w:type="spellEnd"/>
      <w:r>
        <w:t xml:space="preserve">, R. (2025). Dynamic FPGA reconfiguration for scalable embedded artificial intelligence (AI): A co-design methodology for convolutional neural networks (CNN) acceleration. </w:t>
      </w:r>
      <w:r>
        <w:rPr>
          <w:rStyle w:val="Emphasis"/>
        </w:rPr>
        <w:t>Future Generation Computer Systems, 169</w:t>
      </w:r>
      <w:r>
        <w:t xml:space="preserve">, 107777. </w:t>
      </w:r>
      <w:hyperlink r:id="rId16" w:history="1">
        <w:r>
          <w:rPr>
            <w:rStyle w:val="Hyperlink"/>
          </w:rPr>
          <w:t>https://doi.org/10.1016/j.future.2025.107777</w:t>
        </w:r>
      </w:hyperlink>
    </w:p>
    <w:p w14:paraId="5BA560D7" w14:textId="77777777" w:rsidR="00C94039" w:rsidRDefault="00C94039" w:rsidP="00C94039">
      <w:pPr>
        <w:pStyle w:val="isselectedend"/>
        <w:ind w:left="540" w:hanging="540"/>
        <w:jc w:val="both"/>
      </w:pPr>
      <w:r>
        <w:t xml:space="preserve">Chakraborty, R. S., Saha, I., </w:t>
      </w:r>
      <w:proofErr w:type="spellStart"/>
      <w:r>
        <w:t>Palchaudhuri</w:t>
      </w:r>
      <w:proofErr w:type="spellEnd"/>
      <w:r>
        <w:t xml:space="preserve">, A., &amp; Naik, G. K. (2013). Hardware Trojan insertion by direct modification of FPGA configuration bitstream. </w:t>
      </w:r>
      <w:r>
        <w:rPr>
          <w:rStyle w:val="Emphasis"/>
        </w:rPr>
        <w:t>IEEE Design &amp; Test, 30</w:t>
      </w:r>
      <w:r>
        <w:t xml:space="preserve">(2), 45–54. </w:t>
      </w:r>
      <w:hyperlink r:id="rId17" w:history="1">
        <w:r>
          <w:rPr>
            <w:rStyle w:val="Hyperlink"/>
          </w:rPr>
          <w:t>https://doi.org/10.1109/mdt.2013.2247460</w:t>
        </w:r>
      </w:hyperlink>
    </w:p>
    <w:p w14:paraId="7280F28B" w14:textId="77777777" w:rsidR="00C94039" w:rsidRDefault="00C94039" w:rsidP="00C94039">
      <w:pPr>
        <w:pStyle w:val="isselectedend"/>
        <w:ind w:left="540" w:hanging="540"/>
        <w:jc w:val="both"/>
      </w:pPr>
      <w:r>
        <w:t xml:space="preserve">Ciani, L., &amp; </w:t>
      </w:r>
      <w:proofErr w:type="spellStart"/>
      <w:r>
        <w:t>Catelani</w:t>
      </w:r>
      <w:proofErr w:type="spellEnd"/>
      <w:r>
        <w:t xml:space="preserve">, M. (2014). A fault tolerant architecture to avoid the effects of single event upset (SEU) in avionics applications. </w:t>
      </w:r>
      <w:r>
        <w:rPr>
          <w:rStyle w:val="Emphasis"/>
        </w:rPr>
        <w:t>Measurement, 54</w:t>
      </w:r>
      <w:r>
        <w:t xml:space="preserve">, 256–263. </w:t>
      </w:r>
      <w:hyperlink r:id="rId18" w:history="1">
        <w:r>
          <w:rPr>
            <w:rStyle w:val="Hyperlink"/>
          </w:rPr>
          <w:t>https://doi.org/10.1016/j.measurement.2014.02.018</w:t>
        </w:r>
      </w:hyperlink>
    </w:p>
    <w:p w14:paraId="57E5A18D" w14:textId="77777777" w:rsidR="00C94039" w:rsidRDefault="00C94039" w:rsidP="00C94039">
      <w:pPr>
        <w:pStyle w:val="isselectedend"/>
        <w:ind w:left="540" w:hanging="540"/>
        <w:jc w:val="both"/>
      </w:pPr>
      <w:r>
        <w:t xml:space="preserve">Cui, X., &amp; Liu, L. (2020). Mitigating single event upset of FPGA for the onboard bus control of satellite. </w:t>
      </w:r>
      <w:r>
        <w:rPr>
          <w:rStyle w:val="Emphasis"/>
        </w:rPr>
        <w:t>Microelectronics Reliability, 114</w:t>
      </w:r>
      <w:r>
        <w:t xml:space="preserve">, 113779. </w:t>
      </w:r>
      <w:hyperlink r:id="rId19" w:history="1">
        <w:r>
          <w:rPr>
            <w:rStyle w:val="Hyperlink"/>
          </w:rPr>
          <w:t>https://doi.org/10.1016/j.microrel.2020.113779</w:t>
        </w:r>
      </w:hyperlink>
    </w:p>
    <w:p w14:paraId="1F737D29" w14:textId="77777777" w:rsidR="00C94039" w:rsidRDefault="00C94039" w:rsidP="00C94039">
      <w:pPr>
        <w:pStyle w:val="isselectedend"/>
        <w:ind w:left="540" w:hanging="540"/>
        <w:jc w:val="both"/>
      </w:pPr>
      <w:r>
        <w:t xml:space="preserve">De la Piedra, A., </w:t>
      </w:r>
      <w:proofErr w:type="spellStart"/>
      <w:r>
        <w:t>Braeken</w:t>
      </w:r>
      <w:proofErr w:type="spellEnd"/>
      <w:r>
        <w:t xml:space="preserve">, A., &amp; </w:t>
      </w:r>
      <w:proofErr w:type="spellStart"/>
      <w:r>
        <w:t>Touhafi</w:t>
      </w:r>
      <w:proofErr w:type="spellEnd"/>
      <w:r>
        <w:t xml:space="preserve">, A. (2012). Sensor systems based on FPGAs and their applications: A survey. </w:t>
      </w:r>
      <w:r>
        <w:rPr>
          <w:rStyle w:val="Emphasis"/>
        </w:rPr>
        <w:t>Sensors, 12</w:t>
      </w:r>
      <w:r>
        <w:t xml:space="preserve">(9), 12235–12264. </w:t>
      </w:r>
      <w:hyperlink r:id="rId20" w:history="1">
        <w:r>
          <w:rPr>
            <w:rStyle w:val="Hyperlink"/>
          </w:rPr>
          <w:t>https://doi.org/10.3390/s120912235</w:t>
        </w:r>
      </w:hyperlink>
    </w:p>
    <w:p w14:paraId="2C9546B1" w14:textId="77777777" w:rsidR="00C94039" w:rsidRDefault="00C94039" w:rsidP="00C94039">
      <w:pPr>
        <w:pStyle w:val="isselectedend"/>
        <w:ind w:left="540" w:hanging="540"/>
        <w:jc w:val="both"/>
      </w:pPr>
      <w:r>
        <w:t xml:space="preserve">de Oliveira, A. B., Tambara, L. A., </w:t>
      </w:r>
      <w:proofErr w:type="spellStart"/>
      <w:r>
        <w:t>Benevenuti</w:t>
      </w:r>
      <w:proofErr w:type="spellEnd"/>
      <w:r>
        <w:t xml:space="preserve">, F., Benites, L. A. C., Added, N., Aguiar, V. A. P., Medina, N. H., Silveira, M. A. G., &amp; </w:t>
      </w:r>
      <w:proofErr w:type="spellStart"/>
      <w:r>
        <w:t>Kastensmidt</w:t>
      </w:r>
      <w:proofErr w:type="spellEnd"/>
      <w:r>
        <w:t xml:space="preserve">, F. L. (2020). Evaluating soft core RISC-V processor in SRAM-based FPGA under radiation effects. </w:t>
      </w:r>
      <w:r>
        <w:rPr>
          <w:rStyle w:val="Emphasis"/>
        </w:rPr>
        <w:t>IEEE Transactions on Nuclear Science, 67</w:t>
      </w:r>
      <w:r>
        <w:t xml:space="preserve">(7), 1503–1510. </w:t>
      </w:r>
      <w:hyperlink r:id="rId21" w:history="1">
        <w:r>
          <w:rPr>
            <w:rStyle w:val="Hyperlink"/>
          </w:rPr>
          <w:t>https://doi.org/10.1109/tns.2020.2995729</w:t>
        </w:r>
      </w:hyperlink>
    </w:p>
    <w:p w14:paraId="75C5C200" w14:textId="77777777" w:rsidR="00C94039" w:rsidRDefault="00C94039" w:rsidP="00C94039">
      <w:pPr>
        <w:pStyle w:val="isselectedend"/>
        <w:ind w:left="540" w:hanging="540"/>
        <w:jc w:val="both"/>
      </w:pPr>
      <w:r>
        <w:t xml:space="preserve">Diao, L., Tang, J., Loh, P. C., Yin, S., Wang, L., &amp; Liu, Z. (2018). An efficient DSP–FPGA-based implementation of hybrid PWM for electric rail traction induction motor control. </w:t>
      </w:r>
      <w:r>
        <w:rPr>
          <w:rStyle w:val="Emphasis"/>
        </w:rPr>
        <w:t>IEEE Transactions on Power Electronics, 33</w:t>
      </w:r>
      <w:r>
        <w:t xml:space="preserve">(4), 3276–3288. </w:t>
      </w:r>
      <w:hyperlink r:id="rId22" w:history="1">
        <w:r>
          <w:rPr>
            <w:rStyle w:val="Hyperlink"/>
          </w:rPr>
          <w:t>https://doi.org/10.1109/tpel.2017.2707639</w:t>
        </w:r>
      </w:hyperlink>
    </w:p>
    <w:p w14:paraId="3EB061B3" w14:textId="77777777" w:rsidR="00C94039" w:rsidRPr="00C94039" w:rsidRDefault="00C94039" w:rsidP="00C94039">
      <w:pPr>
        <w:pStyle w:val="isselectedend"/>
        <w:ind w:left="540" w:hanging="540"/>
        <w:jc w:val="both"/>
        <w:rPr>
          <w:lang w:val="nl-BE"/>
        </w:rPr>
      </w:pPr>
      <w:r>
        <w:t xml:space="preserve">Diouri, O., Gaga, A., </w:t>
      </w:r>
      <w:proofErr w:type="spellStart"/>
      <w:r>
        <w:t>Ouanan</w:t>
      </w:r>
      <w:proofErr w:type="spellEnd"/>
      <w:r>
        <w:t xml:space="preserve">, H., Senhaji, S., Faquir, S., &amp; Jamil, M. O. (2022). Comparison study of hardware architectures performance between FPGA and DSP processors for implementing digital signal processing algorithms: Application of FIR digital filter. </w:t>
      </w:r>
      <w:r w:rsidRPr="00C94039">
        <w:rPr>
          <w:rStyle w:val="Emphasis"/>
          <w:lang w:val="nl-BE"/>
        </w:rPr>
        <w:t>Results in Engineering, 16</w:t>
      </w:r>
      <w:r w:rsidRPr="00C94039">
        <w:rPr>
          <w:lang w:val="nl-BE"/>
        </w:rPr>
        <w:t xml:space="preserve">, 100639. </w:t>
      </w:r>
      <w:hyperlink r:id="rId23" w:history="1">
        <w:r w:rsidRPr="00C94039">
          <w:rPr>
            <w:rStyle w:val="Hyperlink"/>
            <w:lang w:val="nl-BE"/>
          </w:rPr>
          <w:t>https://doi.org/10.1016/j.rineng.2022.100639</w:t>
        </w:r>
      </w:hyperlink>
    </w:p>
    <w:p w14:paraId="0FA0F8DB" w14:textId="77777777" w:rsidR="00C94039" w:rsidRDefault="00C94039" w:rsidP="00C94039">
      <w:pPr>
        <w:pStyle w:val="isselectedend"/>
        <w:ind w:left="540" w:hanging="540"/>
        <w:jc w:val="both"/>
      </w:pPr>
      <w:r w:rsidRPr="00C94039">
        <w:rPr>
          <w:lang w:val="nl-BE"/>
        </w:rPr>
        <w:t xml:space="preserve">Dorfling, T., du Toit Mouton, H., Geyer, T., &amp; Karamanakos, P. (2020). </w:t>
      </w:r>
      <w:r>
        <w:t xml:space="preserve">Long-horizon finite-control-set model predictive control with </w:t>
      </w:r>
      <w:proofErr w:type="spellStart"/>
      <w:r>
        <w:t>nonrecursive</w:t>
      </w:r>
      <w:proofErr w:type="spellEnd"/>
      <w:r>
        <w:t xml:space="preserve"> sphere decoding on an FPGA. </w:t>
      </w:r>
      <w:r>
        <w:rPr>
          <w:rStyle w:val="Emphasis"/>
        </w:rPr>
        <w:t>IEEE Transactions on Power Electronics, 35</w:t>
      </w:r>
      <w:r>
        <w:t xml:space="preserve">(7), 7520–7531. </w:t>
      </w:r>
      <w:hyperlink r:id="rId24" w:history="1">
        <w:r>
          <w:rPr>
            <w:rStyle w:val="Hyperlink"/>
          </w:rPr>
          <w:t>https://doi.org/10.1109/tpel.2019.2956213</w:t>
        </w:r>
      </w:hyperlink>
    </w:p>
    <w:p w14:paraId="2D77A175" w14:textId="77777777" w:rsidR="00C94039" w:rsidRDefault="00C94039" w:rsidP="00C94039">
      <w:pPr>
        <w:pStyle w:val="isselectedend"/>
        <w:ind w:left="540" w:hanging="540"/>
        <w:jc w:val="both"/>
      </w:pPr>
      <w:r>
        <w:t xml:space="preserve">Duan, T., Huang, Z., &amp; </w:t>
      </w:r>
      <w:proofErr w:type="spellStart"/>
      <w:r>
        <w:t>Dinavahi</w:t>
      </w:r>
      <w:proofErr w:type="spellEnd"/>
      <w:r>
        <w:t>, V. (2021). RTCE: Real-time co-emulation framework for EMT-based power system and communication network on FPGA-</w:t>
      </w:r>
      <w:proofErr w:type="spellStart"/>
      <w:r>
        <w:t>MPSoC</w:t>
      </w:r>
      <w:proofErr w:type="spellEnd"/>
      <w:r>
        <w:t xml:space="preserve"> hardware architecture. </w:t>
      </w:r>
      <w:r>
        <w:rPr>
          <w:rStyle w:val="Emphasis"/>
        </w:rPr>
        <w:t>IEEE Transactions on Smart Grid, 12</w:t>
      </w:r>
      <w:r>
        <w:t xml:space="preserve">(3), 2544–2553. </w:t>
      </w:r>
      <w:hyperlink r:id="rId25" w:history="1">
        <w:r>
          <w:rPr>
            <w:rStyle w:val="Hyperlink"/>
          </w:rPr>
          <w:t>https://doi.org/10.1109/tsg.2020.3039259</w:t>
        </w:r>
      </w:hyperlink>
    </w:p>
    <w:p w14:paraId="6179CC4F" w14:textId="77777777" w:rsidR="00C94039" w:rsidRDefault="00C94039" w:rsidP="00C94039">
      <w:pPr>
        <w:pStyle w:val="isselectedend"/>
        <w:ind w:left="540" w:hanging="540"/>
        <w:jc w:val="both"/>
      </w:pPr>
      <w:proofErr w:type="spellStart"/>
      <w:r>
        <w:lastRenderedPageBreak/>
        <w:t>Elgammal</w:t>
      </w:r>
      <w:proofErr w:type="spellEnd"/>
      <w:r>
        <w:t xml:space="preserve">, M. A., </w:t>
      </w:r>
      <w:proofErr w:type="spellStart"/>
      <w:r>
        <w:t>Mohaghegh</w:t>
      </w:r>
      <w:proofErr w:type="spellEnd"/>
      <w:r>
        <w:t xml:space="preserve">, A., Shahrouz, S. G., Mahmoudi, F., Koşar, F., Talaei, K., Fife, J., </w:t>
      </w:r>
      <w:proofErr w:type="spellStart"/>
      <w:r>
        <w:t>Khadivi</w:t>
      </w:r>
      <w:proofErr w:type="spellEnd"/>
      <w:r>
        <w:t xml:space="preserve">, D., Murray, K., Boutros, A., Kent, K. B., Goeders, J., &amp; Betz, V. (2025). VTR 9: Open-source CAD for fabric and beyond FPGA architecture exploration. </w:t>
      </w:r>
      <w:r>
        <w:rPr>
          <w:rStyle w:val="Emphasis"/>
        </w:rPr>
        <w:t>ACM Transactions on Reconfigurable Technology and Systems, 18</w:t>
      </w:r>
      <w:r>
        <w:t xml:space="preserve">(3), Article 39. </w:t>
      </w:r>
      <w:hyperlink r:id="rId26" w:history="1">
        <w:r>
          <w:rPr>
            <w:rStyle w:val="Hyperlink"/>
          </w:rPr>
          <w:t>https://doi.org/10.1145/3734798</w:t>
        </w:r>
      </w:hyperlink>
    </w:p>
    <w:p w14:paraId="189FE57E" w14:textId="77777777" w:rsidR="00C94039" w:rsidRDefault="00C94039" w:rsidP="00C94039">
      <w:pPr>
        <w:pStyle w:val="isselectedend"/>
        <w:ind w:left="540" w:hanging="540"/>
        <w:jc w:val="both"/>
      </w:pPr>
      <w:r w:rsidRPr="00C94039">
        <w:rPr>
          <w:lang w:val="nl-BE"/>
        </w:rPr>
        <w:t xml:space="preserve">Esper, A., Nelissen, G., Nélis, V., &amp; Tovar, E. (2018). </w:t>
      </w:r>
      <w:r>
        <w:t xml:space="preserve">An industrial view on the common academic understanding of mixed-criticality systems. </w:t>
      </w:r>
      <w:r>
        <w:rPr>
          <w:rStyle w:val="Emphasis"/>
        </w:rPr>
        <w:t>Real-Time Systems, 54</w:t>
      </w:r>
      <w:r>
        <w:t xml:space="preserve">(3), 745–795. </w:t>
      </w:r>
      <w:hyperlink r:id="rId27" w:history="1">
        <w:r>
          <w:rPr>
            <w:rStyle w:val="Hyperlink"/>
          </w:rPr>
          <w:t>https://doi.org/10.1007/s11241-018-9308-9</w:t>
        </w:r>
      </w:hyperlink>
    </w:p>
    <w:p w14:paraId="4933D0BD" w14:textId="77777777" w:rsidR="00C94039" w:rsidRPr="00C94039" w:rsidRDefault="00C94039" w:rsidP="00C94039">
      <w:pPr>
        <w:pStyle w:val="isselectedend"/>
        <w:ind w:left="540" w:hanging="540"/>
        <w:jc w:val="both"/>
        <w:rPr>
          <w:lang w:val="nl-BE"/>
        </w:rPr>
      </w:pPr>
      <w:r>
        <w:t xml:space="preserve">Estrada, L., Vázquez, N., Vaquero, J., de Castro, Á., &amp; Arau, J. (2020). Real-time hardware in the loop simulation methodology for power converters using LabVIEW FPGA. </w:t>
      </w:r>
      <w:r w:rsidRPr="00C94039">
        <w:rPr>
          <w:rStyle w:val="Emphasis"/>
          <w:lang w:val="nl-BE"/>
        </w:rPr>
        <w:t>Energies, 13</w:t>
      </w:r>
      <w:r w:rsidRPr="00C94039">
        <w:rPr>
          <w:lang w:val="nl-BE"/>
        </w:rPr>
        <w:t xml:space="preserve">(2), 373. </w:t>
      </w:r>
      <w:hyperlink r:id="rId28" w:history="1">
        <w:r w:rsidRPr="00C94039">
          <w:rPr>
            <w:rStyle w:val="Hyperlink"/>
            <w:lang w:val="nl-BE"/>
          </w:rPr>
          <w:t>https://doi.org/10.3390/en13020373</w:t>
        </w:r>
      </w:hyperlink>
    </w:p>
    <w:p w14:paraId="63DBC4D0" w14:textId="77777777" w:rsidR="00C94039" w:rsidRDefault="00C94039" w:rsidP="00C94039">
      <w:pPr>
        <w:pStyle w:val="isselectedend"/>
        <w:ind w:left="540" w:hanging="540"/>
        <w:jc w:val="both"/>
      </w:pPr>
      <w:r w:rsidRPr="00C94039">
        <w:rPr>
          <w:lang w:val="nl-BE"/>
        </w:rPr>
        <w:t xml:space="preserve">Farsa, E. Z., Ahmadi, A., &amp; Keszocze, O. (2025). </w:t>
      </w:r>
      <w:r>
        <w:t xml:space="preserve">Reconfigurable digital FPGA implementations for neuromorphic computing: A survey on recent advances and future directions. </w:t>
      </w:r>
      <w:r>
        <w:rPr>
          <w:rStyle w:val="Emphasis"/>
        </w:rPr>
        <w:t>IEEE Transactions on Emerging Topics in Computational Intelligence, 9</w:t>
      </w:r>
      <w:r>
        <w:t xml:space="preserve">(5), 3210–3232. </w:t>
      </w:r>
      <w:hyperlink r:id="rId29" w:history="1">
        <w:r>
          <w:rPr>
            <w:rStyle w:val="Hyperlink"/>
          </w:rPr>
          <w:t>https://doi.org/10.1109/tetci.2025.3551934</w:t>
        </w:r>
      </w:hyperlink>
    </w:p>
    <w:p w14:paraId="011A5DD2" w14:textId="77777777" w:rsidR="00C94039" w:rsidRDefault="00C94039" w:rsidP="00C94039">
      <w:pPr>
        <w:pStyle w:val="isselectedend"/>
        <w:ind w:left="540" w:hanging="540"/>
        <w:jc w:val="both"/>
      </w:pPr>
      <w:r>
        <w:t xml:space="preserve">Ghosh, A., Paul, S., Park, J., &amp; Bhunia, S. (2014). Improving energy efficiency in FPGA through judicious mapping of computation to embedded memory blocks. </w:t>
      </w:r>
      <w:r>
        <w:rPr>
          <w:rStyle w:val="Emphasis"/>
        </w:rPr>
        <w:t>IEEE Transactions on Very Large Scale Integration (VLSI) Systems, 22</w:t>
      </w:r>
      <w:r>
        <w:t xml:space="preserve">(6), 1314–1327. </w:t>
      </w:r>
      <w:hyperlink r:id="rId30" w:history="1">
        <w:r>
          <w:rPr>
            <w:rStyle w:val="Hyperlink"/>
          </w:rPr>
          <w:t>https://doi.org/10.1109/tvlsi.2013.2271696</w:t>
        </w:r>
      </w:hyperlink>
    </w:p>
    <w:p w14:paraId="6B8DF73C" w14:textId="77777777" w:rsidR="00C94039" w:rsidRDefault="00C94039" w:rsidP="00C94039">
      <w:pPr>
        <w:pStyle w:val="isselectedend"/>
        <w:ind w:left="540" w:hanging="540"/>
        <w:jc w:val="both"/>
      </w:pPr>
      <w:r>
        <w:t xml:space="preserve">Hajduk, Z., Trybus, B., &amp; Sadolewski, J. (2015). Architecture of FPGA embedded multiprocessor programmable controller. </w:t>
      </w:r>
      <w:r>
        <w:rPr>
          <w:rStyle w:val="Emphasis"/>
        </w:rPr>
        <w:t>IEEE Transactions on Industrial Electronics, 62</w:t>
      </w:r>
      <w:r>
        <w:t xml:space="preserve">(5), 2952–2961. </w:t>
      </w:r>
      <w:hyperlink r:id="rId31" w:history="1">
        <w:r>
          <w:rPr>
            <w:rStyle w:val="Hyperlink"/>
          </w:rPr>
          <w:t>https://doi.org/10.1109/tie.2014.2362888</w:t>
        </w:r>
      </w:hyperlink>
    </w:p>
    <w:p w14:paraId="4052B09C" w14:textId="77777777" w:rsidR="00C94039" w:rsidRDefault="00C94039" w:rsidP="00C94039">
      <w:pPr>
        <w:pStyle w:val="isselectedend"/>
        <w:ind w:left="540" w:hanging="540"/>
        <w:jc w:val="both"/>
      </w:pPr>
      <w:r>
        <w:t xml:space="preserve">Hong, H., Choi, D., Kim, N., Lee, H., Kang, B., Kang, H., &amp; Kim, H. (2024). Survey of convolutional neural network accelerators on field-programmable gate array platforms: Architectures and optimization techniques. </w:t>
      </w:r>
      <w:r>
        <w:rPr>
          <w:rStyle w:val="Emphasis"/>
        </w:rPr>
        <w:t>Journal of Real-Time Image Processing, 21</w:t>
      </w:r>
      <w:r>
        <w:t xml:space="preserve">(3), Article 64. </w:t>
      </w:r>
      <w:hyperlink r:id="rId32" w:history="1">
        <w:r>
          <w:rPr>
            <w:rStyle w:val="Hyperlink"/>
          </w:rPr>
          <w:t>https://doi.org/10.1007/s11554-024-01442-8</w:t>
        </w:r>
      </w:hyperlink>
    </w:p>
    <w:p w14:paraId="3F4E20C5" w14:textId="77777777" w:rsidR="00C94039" w:rsidRDefault="00C94039" w:rsidP="00C94039">
      <w:pPr>
        <w:pStyle w:val="isselectedend"/>
        <w:ind w:left="540" w:hanging="540"/>
        <w:jc w:val="both"/>
      </w:pPr>
      <w:r>
        <w:t xml:space="preserve">Hoque, K. A., </w:t>
      </w:r>
      <w:proofErr w:type="spellStart"/>
      <w:r>
        <w:t>Ait</w:t>
      </w:r>
      <w:proofErr w:type="spellEnd"/>
      <w:r>
        <w:t xml:space="preserve"> Mohamed, O., &amp; Savaria, Y. (2019). Dependability modeling and optimization of triple modular redundancy partitioning for SRAM-based FPGAs. </w:t>
      </w:r>
      <w:r>
        <w:rPr>
          <w:rStyle w:val="Emphasis"/>
        </w:rPr>
        <w:t>Reliability Engineering &amp; System Safety, 182</w:t>
      </w:r>
      <w:r>
        <w:t xml:space="preserve">, 107–119. </w:t>
      </w:r>
      <w:hyperlink r:id="rId33" w:history="1">
        <w:r>
          <w:rPr>
            <w:rStyle w:val="Hyperlink"/>
          </w:rPr>
          <w:t>https://doi.org/10.1016/j.ress.2018.10.011</w:t>
        </w:r>
      </w:hyperlink>
    </w:p>
    <w:p w14:paraId="334C0613" w14:textId="77777777" w:rsidR="00C94039" w:rsidRDefault="00C94039" w:rsidP="00C94039">
      <w:pPr>
        <w:pStyle w:val="isselectedend"/>
        <w:ind w:left="540" w:hanging="540"/>
        <w:jc w:val="both"/>
      </w:pPr>
      <w:proofErr w:type="spellStart"/>
      <w:r>
        <w:t>Hosseinabady</w:t>
      </w:r>
      <w:proofErr w:type="spellEnd"/>
      <w:r>
        <w:t xml:space="preserve">, M., &amp; Nunez-Yanez, J. L. (2018). Dynamic energy management of FPGA accelerators in embedded systems. </w:t>
      </w:r>
      <w:r>
        <w:rPr>
          <w:rStyle w:val="Emphasis"/>
        </w:rPr>
        <w:t>ACM Transactions on Embedded Computing Systems, 17</w:t>
      </w:r>
      <w:r>
        <w:t xml:space="preserve">(3), Article 63. </w:t>
      </w:r>
      <w:hyperlink r:id="rId34" w:history="1">
        <w:r>
          <w:rPr>
            <w:rStyle w:val="Hyperlink"/>
          </w:rPr>
          <w:t>https://doi.org/10.1145/3182172</w:t>
        </w:r>
      </w:hyperlink>
    </w:p>
    <w:p w14:paraId="0691DEF2" w14:textId="77777777" w:rsidR="00C94039" w:rsidRPr="00C94039" w:rsidRDefault="00C94039" w:rsidP="00C94039">
      <w:pPr>
        <w:pStyle w:val="isselectedend"/>
        <w:ind w:left="540" w:hanging="540"/>
        <w:jc w:val="both"/>
        <w:rPr>
          <w:lang w:val="nl-BE"/>
        </w:rPr>
      </w:pPr>
      <w:r w:rsidRPr="00C94039">
        <w:rPr>
          <w:lang w:val="nl-BE"/>
        </w:rPr>
        <w:t xml:space="preserve">Huang, G., Hu, J., He, Y., Liu, J., Ma, M., Shen, Z., Wu, J., Xu, Y., Zhang, H., Zhong, K., Ning, X., Ma, Y., Yang, H., Yu, B., Yang, H., &amp; Wang, Y. (2021). </w:t>
      </w:r>
      <w:r>
        <w:t xml:space="preserve">Machine learning for electronic design automation: A survey. </w:t>
      </w:r>
      <w:r>
        <w:rPr>
          <w:rStyle w:val="Emphasis"/>
        </w:rPr>
        <w:t>ACM Transactions on Design Automation of Electronic Systems, 26</w:t>
      </w:r>
      <w:r>
        <w:t xml:space="preserve">(5), Article 40. </w:t>
      </w:r>
      <w:hyperlink r:id="rId35" w:history="1">
        <w:r w:rsidRPr="00C94039">
          <w:rPr>
            <w:rStyle w:val="Hyperlink"/>
            <w:lang w:val="nl-BE"/>
          </w:rPr>
          <w:t>https://doi.org/10.1145/3451179</w:t>
        </w:r>
      </w:hyperlink>
    </w:p>
    <w:p w14:paraId="2522ADCD" w14:textId="77777777" w:rsidR="00C94039" w:rsidRDefault="00C94039" w:rsidP="00C94039">
      <w:pPr>
        <w:pStyle w:val="isselectedend"/>
        <w:ind w:left="540" w:hanging="540"/>
        <w:jc w:val="both"/>
      </w:pPr>
      <w:r w:rsidRPr="00C94039">
        <w:rPr>
          <w:lang w:val="nl-BE"/>
        </w:rPr>
        <w:lastRenderedPageBreak/>
        <w:t xml:space="preserve">Hwang, S.-H., Liu, X., Kim, J.-M., &amp; Li, H. (2013). </w:t>
      </w:r>
      <w:r>
        <w:t xml:space="preserve">Distributed digital control of modular-based solid-state transformer using DSP+FPGA. </w:t>
      </w:r>
      <w:r>
        <w:rPr>
          <w:rStyle w:val="Emphasis"/>
        </w:rPr>
        <w:t>IEEE Transactions on Industrial Electronics, 60</w:t>
      </w:r>
      <w:r>
        <w:t xml:space="preserve">(2), 670–680. </w:t>
      </w:r>
      <w:hyperlink r:id="rId36" w:history="1">
        <w:r>
          <w:rPr>
            <w:rStyle w:val="Hyperlink"/>
          </w:rPr>
          <w:t>https://doi.org/10.1109/tie.2012.2206354</w:t>
        </w:r>
      </w:hyperlink>
    </w:p>
    <w:p w14:paraId="3E725AAE" w14:textId="77777777" w:rsidR="00C94039" w:rsidRDefault="00C94039" w:rsidP="00C94039">
      <w:pPr>
        <w:pStyle w:val="isselectedend"/>
        <w:ind w:left="540" w:hanging="540"/>
        <w:jc w:val="both"/>
      </w:pPr>
      <w:proofErr w:type="spellStart"/>
      <w:r>
        <w:t>Idkhajine</w:t>
      </w:r>
      <w:proofErr w:type="spellEnd"/>
      <w:r>
        <w:t xml:space="preserve">, L., </w:t>
      </w:r>
      <w:proofErr w:type="spellStart"/>
      <w:r>
        <w:t>Monmasson</w:t>
      </w:r>
      <w:proofErr w:type="spellEnd"/>
      <w:r>
        <w:t xml:space="preserve">, E., &amp; Maalouf, A. (2012). Fully FPGA-based </w:t>
      </w:r>
      <w:proofErr w:type="spellStart"/>
      <w:r>
        <w:t>sensorless</w:t>
      </w:r>
      <w:proofErr w:type="spellEnd"/>
      <w:r>
        <w:t xml:space="preserve"> control for synchronous AC drive using an extended Kalman filter. </w:t>
      </w:r>
      <w:r>
        <w:rPr>
          <w:rStyle w:val="Emphasis"/>
        </w:rPr>
        <w:t>IEEE Transactions on Industrial Electronics, 59</w:t>
      </w:r>
      <w:r>
        <w:t xml:space="preserve">(10), 3908–3918. </w:t>
      </w:r>
      <w:hyperlink r:id="rId37" w:history="1">
        <w:r>
          <w:rPr>
            <w:rStyle w:val="Hyperlink"/>
          </w:rPr>
          <w:t>https://doi.org/10.1109/tie.2012.2189533</w:t>
        </w:r>
      </w:hyperlink>
    </w:p>
    <w:p w14:paraId="440D8A72" w14:textId="77777777" w:rsidR="00C94039" w:rsidRDefault="00C94039" w:rsidP="00C94039">
      <w:pPr>
        <w:pStyle w:val="isselectedend"/>
        <w:ind w:left="540" w:hanging="540"/>
        <w:jc w:val="both"/>
      </w:pPr>
      <w:r>
        <w:t xml:space="preserve">Jabeen, S., Srinivasan, S. K., Shuja, S., &amp; </w:t>
      </w:r>
      <w:proofErr w:type="spellStart"/>
      <w:r>
        <w:t>Dubasi</w:t>
      </w:r>
      <w:proofErr w:type="spellEnd"/>
      <w:r>
        <w:t xml:space="preserve">, M. A. L. (2015). A formal verification methodology for FPGA-based stepper motor control. </w:t>
      </w:r>
      <w:r>
        <w:rPr>
          <w:rStyle w:val="Emphasis"/>
        </w:rPr>
        <w:t>IEEE Embedded Systems Letters, 7</w:t>
      </w:r>
      <w:r>
        <w:t xml:space="preserve">(3), 85–88. </w:t>
      </w:r>
      <w:hyperlink r:id="rId38" w:history="1">
        <w:r>
          <w:rPr>
            <w:rStyle w:val="Hyperlink"/>
          </w:rPr>
          <w:t>https://doi.org/10.1109/les.2015.2450677</w:t>
        </w:r>
      </w:hyperlink>
    </w:p>
    <w:p w14:paraId="56850AF5" w14:textId="77777777" w:rsidR="00C94039" w:rsidRDefault="00C94039" w:rsidP="00C94039">
      <w:pPr>
        <w:pStyle w:val="isselectedend"/>
        <w:ind w:left="540" w:hanging="540"/>
        <w:jc w:val="both"/>
      </w:pPr>
      <w:r>
        <w:t xml:space="preserve">Jain, A. K., Maskell, D. L., &amp; Fahmy, S. A. (2022). Coarse grained FPGA overlay for rapid just-in-time accelerator compilation. </w:t>
      </w:r>
      <w:r>
        <w:rPr>
          <w:rStyle w:val="Emphasis"/>
        </w:rPr>
        <w:t>IEEE Transactions on Parallel and Distributed Systems, 33</w:t>
      </w:r>
      <w:r>
        <w:t xml:space="preserve">(6), 1478–1490. </w:t>
      </w:r>
      <w:hyperlink r:id="rId39" w:history="1">
        <w:r>
          <w:rPr>
            <w:rStyle w:val="Hyperlink"/>
          </w:rPr>
          <w:t>https://doi.org/10.1109/tpds.2021.3116859</w:t>
        </w:r>
      </w:hyperlink>
    </w:p>
    <w:p w14:paraId="49024726" w14:textId="77777777" w:rsidR="00C94039" w:rsidRDefault="00C94039" w:rsidP="00C94039">
      <w:pPr>
        <w:pStyle w:val="isselectedend"/>
        <w:ind w:left="540" w:hanging="540"/>
        <w:jc w:val="both"/>
      </w:pPr>
      <w:r w:rsidRPr="00C94039">
        <w:rPr>
          <w:lang w:val="nl-BE"/>
        </w:rPr>
        <w:t xml:space="preserve">Jezernik, K., Korelic, J., &amp; Horvat, R. (2013). </w:t>
      </w:r>
      <w:r>
        <w:t xml:space="preserve">PMSM sliding mode FPGA-based control for torque ripple reduction. </w:t>
      </w:r>
      <w:r>
        <w:rPr>
          <w:rStyle w:val="Emphasis"/>
        </w:rPr>
        <w:t>IEEE Transactions on Power Electronics, 28</w:t>
      </w:r>
      <w:r>
        <w:t xml:space="preserve">(7), 3549–3556. </w:t>
      </w:r>
      <w:hyperlink r:id="rId40" w:history="1">
        <w:r>
          <w:rPr>
            <w:rStyle w:val="Hyperlink"/>
          </w:rPr>
          <w:t>https://doi.org/10.1109/tpel.2012.2222675</w:t>
        </w:r>
      </w:hyperlink>
    </w:p>
    <w:p w14:paraId="77705717" w14:textId="77777777" w:rsidR="00C94039" w:rsidRDefault="00C94039" w:rsidP="00C94039">
      <w:pPr>
        <w:pStyle w:val="isselectedend"/>
        <w:ind w:left="540" w:hanging="540"/>
        <w:jc w:val="both"/>
      </w:pPr>
      <w:r>
        <w:t xml:space="preserve">Jimenez Gil, S., Bate, I., Lima, G., Santinelli, L., </w:t>
      </w:r>
      <w:proofErr w:type="spellStart"/>
      <w:r>
        <w:t>Gogonel</w:t>
      </w:r>
      <w:proofErr w:type="spellEnd"/>
      <w:r>
        <w:t xml:space="preserve">, A., &amp; Cucu-Grosjean, L. (2017). Open challenges for probabilistic measurement-based worst-case execution time. </w:t>
      </w:r>
      <w:r>
        <w:rPr>
          <w:rStyle w:val="Emphasis"/>
        </w:rPr>
        <w:t>IEEE Embedded Systems Letters, 9</w:t>
      </w:r>
      <w:r>
        <w:t xml:space="preserve">(3), 69–72. </w:t>
      </w:r>
      <w:hyperlink r:id="rId41" w:history="1">
        <w:r>
          <w:rPr>
            <w:rStyle w:val="Hyperlink"/>
          </w:rPr>
          <w:t>https://doi.org/10.1109/les.2017.2712858</w:t>
        </w:r>
      </w:hyperlink>
    </w:p>
    <w:p w14:paraId="2BCA08D7" w14:textId="77777777" w:rsidR="00C94039" w:rsidRDefault="00C94039" w:rsidP="00C94039">
      <w:pPr>
        <w:pStyle w:val="isselectedend"/>
        <w:ind w:left="540" w:hanging="540"/>
        <w:jc w:val="both"/>
      </w:pPr>
      <w:r>
        <w:t xml:space="preserve">Jugade, C., Ingole, D., Sonawane, D. N., </w:t>
      </w:r>
      <w:proofErr w:type="spellStart"/>
      <w:r>
        <w:t>Kvasnica</w:t>
      </w:r>
      <w:proofErr w:type="spellEnd"/>
      <w:r>
        <w:t xml:space="preserve">, M., &amp; Gustafson, J. (2022). A memory efficient FPGA implementation of offset-free explicit model predictive controller. </w:t>
      </w:r>
      <w:r>
        <w:rPr>
          <w:rStyle w:val="Emphasis"/>
        </w:rPr>
        <w:t>IEEE Transactions on Control Systems Technology, 30</w:t>
      </w:r>
      <w:r>
        <w:t xml:space="preserve">(6), 2646–2657. </w:t>
      </w:r>
      <w:hyperlink r:id="rId42" w:history="1">
        <w:r>
          <w:rPr>
            <w:rStyle w:val="Hyperlink"/>
          </w:rPr>
          <w:t>https://doi.org/10.1109/tcst.2022.3168493</w:t>
        </w:r>
      </w:hyperlink>
    </w:p>
    <w:p w14:paraId="00C1E0C6" w14:textId="77777777" w:rsidR="00C94039" w:rsidRDefault="00C94039" w:rsidP="00C94039">
      <w:pPr>
        <w:pStyle w:val="isselectedend"/>
        <w:ind w:left="540" w:hanging="540"/>
        <w:jc w:val="both"/>
      </w:pPr>
      <w:r>
        <w:t xml:space="preserve">Kawser Ahmed, M., Panoff Kealoha, M., </w:t>
      </w:r>
      <w:proofErr w:type="spellStart"/>
      <w:r>
        <w:t>Mandebi</w:t>
      </w:r>
      <w:proofErr w:type="spellEnd"/>
      <w:r>
        <w:t xml:space="preserve"> </w:t>
      </w:r>
      <w:proofErr w:type="spellStart"/>
      <w:r>
        <w:t>Mbongue</w:t>
      </w:r>
      <w:proofErr w:type="spellEnd"/>
      <w:r>
        <w:t xml:space="preserve">, J., Saha, S. K., </w:t>
      </w:r>
      <w:proofErr w:type="spellStart"/>
      <w:r>
        <w:t>Nghonda</w:t>
      </w:r>
      <w:proofErr w:type="spellEnd"/>
      <w:r>
        <w:t xml:space="preserve"> Tchinda, E., </w:t>
      </w:r>
      <w:proofErr w:type="spellStart"/>
      <w:r>
        <w:t>Mbua</w:t>
      </w:r>
      <w:proofErr w:type="spellEnd"/>
      <w:r>
        <w:t xml:space="preserve">, P. E., &amp; </w:t>
      </w:r>
      <w:proofErr w:type="spellStart"/>
      <w:r>
        <w:t>Bobda</w:t>
      </w:r>
      <w:proofErr w:type="spellEnd"/>
      <w:r>
        <w:t xml:space="preserve">, C. (2025). Multi-tenant cloud FPGA: A survey on security, trust, and privacy. </w:t>
      </w:r>
      <w:r>
        <w:rPr>
          <w:rStyle w:val="Emphasis"/>
        </w:rPr>
        <w:t>ACM Transactions on Reconfigurable Technology and Systems, 18</w:t>
      </w:r>
      <w:r>
        <w:t xml:space="preserve">(2), Article 23. </w:t>
      </w:r>
      <w:hyperlink r:id="rId43" w:history="1">
        <w:r>
          <w:rPr>
            <w:rStyle w:val="Hyperlink"/>
          </w:rPr>
          <w:t>https://doi.org/10.1145/3713078</w:t>
        </w:r>
      </w:hyperlink>
    </w:p>
    <w:p w14:paraId="28D8B60B" w14:textId="77777777" w:rsidR="00C94039" w:rsidRDefault="00C94039" w:rsidP="00C94039">
      <w:pPr>
        <w:pStyle w:val="isselectedend"/>
        <w:ind w:left="540" w:hanging="540"/>
        <w:jc w:val="both"/>
      </w:pPr>
      <w:r>
        <w:t xml:space="preserve">Keller, A. M., &amp; Wirthlin, M. J. (2021). Partial TMR for improving the soft error reliability of SRAM-based FPGA designs. </w:t>
      </w:r>
      <w:r>
        <w:rPr>
          <w:rStyle w:val="Emphasis"/>
        </w:rPr>
        <w:t>IEEE Transactions on Nuclear Science, 68</w:t>
      </w:r>
      <w:r>
        <w:t xml:space="preserve">(5), 1023–1031. </w:t>
      </w:r>
      <w:hyperlink r:id="rId44" w:history="1">
        <w:r>
          <w:rPr>
            <w:rStyle w:val="Hyperlink"/>
          </w:rPr>
          <w:t>https://doi.org/10.1109/tns.2021.3070856</w:t>
        </w:r>
      </w:hyperlink>
    </w:p>
    <w:p w14:paraId="1CCC7A9F" w14:textId="77777777" w:rsidR="00C94039" w:rsidRDefault="00C94039" w:rsidP="00C94039">
      <w:pPr>
        <w:pStyle w:val="isselectedend"/>
        <w:ind w:left="540" w:hanging="540"/>
        <w:jc w:val="both"/>
      </w:pPr>
      <w:proofErr w:type="spellStart"/>
      <w:r>
        <w:t>Khoyratee</w:t>
      </w:r>
      <w:proofErr w:type="spellEnd"/>
      <w:r>
        <w:t xml:space="preserve">, F., Grassia, F., Saïghi, S., &amp; Levi, T. (2019). Optimized real-time biomimetic neural network on FPGA for bio-hybridization. </w:t>
      </w:r>
      <w:r>
        <w:rPr>
          <w:rStyle w:val="Emphasis"/>
        </w:rPr>
        <w:t>Frontiers in Neuroscience, 13</w:t>
      </w:r>
      <w:r>
        <w:t xml:space="preserve">, Article 377. </w:t>
      </w:r>
      <w:hyperlink r:id="rId45" w:history="1">
        <w:r>
          <w:rPr>
            <w:rStyle w:val="Hyperlink"/>
          </w:rPr>
          <w:t>https://doi.org/10.3389/fnins.2019.00377</w:t>
        </w:r>
      </w:hyperlink>
    </w:p>
    <w:p w14:paraId="6B88F4B2" w14:textId="77777777" w:rsidR="00C94039" w:rsidRDefault="00C94039" w:rsidP="00C94039">
      <w:pPr>
        <w:pStyle w:val="isselectedend"/>
        <w:ind w:left="540" w:hanging="540"/>
        <w:jc w:val="both"/>
      </w:pPr>
      <w:r>
        <w:t xml:space="preserve">Kirchhoff, M., Kerling, P., Streitferdt, D., &amp; Fengler, W. (2019). A real-time capable dynamic partial reconfiguration system for an application-specific soft-core processor. </w:t>
      </w:r>
      <w:r>
        <w:rPr>
          <w:rStyle w:val="Emphasis"/>
        </w:rPr>
        <w:t>International Journal of Reconfigurable Computing, 2019</w:t>
      </w:r>
      <w:r>
        <w:t xml:space="preserve">, 1–14. </w:t>
      </w:r>
      <w:hyperlink r:id="rId46" w:history="1">
        <w:r>
          <w:rPr>
            <w:rStyle w:val="Hyperlink"/>
          </w:rPr>
          <w:t>https://doi.org/10.1155/2019/4723838</w:t>
        </w:r>
      </w:hyperlink>
    </w:p>
    <w:p w14:paraId="00204B70" w14:textId="77777777" w:rsidR="00C94039" w:rsidRDefault="00C94039" w:rsidP="00C94039">
      <w:pPr>
        <w:pStyle w:val="isselectedend"/>
        <w:ind w:left="540" w:hanging="540"/>
        <w:jc w:val="both"/>
      </w:pPr>
      <w:r>
        <w:lastRenderedPageBreak/>
        <w:t xml:space="preserve">Lauss, G., &amp; Strunz, K. (2019). </w:t>
      </w:r>
      <w:proofErr w:type="spellStart"/>
      <w:r>
        <w:t>Multirate</w:t>
      </w:r>
      <w:proofErr w:type="spellEnd"/>
      <w:r>
        <w:t xml:space="preserve"> partitioning interface for enhanced stability of power hardware-in-the-loop real-time simulation. </w:t>
      </w:r>
      <w:r>
        <w:rPr>
          <w:rStyle w:val="Emphasis"/>
        </w:rPr>
        <w:t>IEEE Transactions on Industrial Electronics, 66</w:t>
      </w:r>
      <w:r>
        <w:t xml:space="preserve">(1), 595–605. </w:t>
      </w:r>
      <w:hyperlink r:id="rId47" w:history="1">
        <w:r>
          <w:rPr>
            <w:rStyle w:val="Hyperlink"/>
          </w:rPr>
          <w:t>https://doi.org/10.1109/tie.2018.2826482</w:t>
        </w:r>
      </w:hyperlink>
    </w:p>
    <w:p w14:paraId="71FABFCE" w14:textId="77777777" w:rsidR="00C94039" w:rsidRDefault="00C94039" w:rsidP="00C94039">
      <w:pPr>
        <w:pStyle w:val="isselectedend"/>
        <w:ind w:left="540" w:hanging="540"/>
        <w:jc w:val="both"/>
      </w:pPr>
      <w:r>
        <w:t xml:space="preserve">Lauss, G., &amp; Strunz, K. (2021). Accurate and stable hardware-in-the-loop (HIL) real-time simulation of integrated power electronics and power systems. </w:t>
      </w:r>
      <w:r>
        <w:rPr>
          <w:rStyle w:val="Emphasis"/>
        </w:rPr>
        <w:t>IEEE Transactions on Power Electronics, 36</w:t>
      </w:r>
      <w:r>
        <w:t xml:space="preserve">(9), 10920–10932. </w:t>
      </w:r>
      <w:hyperlink r:id="rId48" w:history="1">
        <w:r>
          <w:rPr>
            <w:rStyle w:val="Hyperlink"/>
          </w:rPr>
          <w:t>https://doi.org/10.1109/tpel.2020.3040071</w:t>
        </w:r>
      </w:hyperlink>
    </w:p>
    <w:p w14:paraId="3B9D43EA" w14:textId="77777777" w:rsidR="00C94039" w:rsidRDefault="00C94039" w:rsidP="00C94039">
      <w:pPr>
        <w:pStyle w:val="isselectedend"/>
        <w:ind w:left="540" w:hanging="540"/>
        <w:jc w:val="both"/>
      </w:pPr>
      <w:r>
        <w:t xml:space="preserve">Li, J., Cheng, M., Wei, Y., &amp; Dai, Z. (2025). FPGA implementation of edge-side motor fault diagnosis using a Kalman filter-based empirical mode decomposition algorithm. </w:t>
      </w:r>
      <w:r>
        <w:rPr>
          <w:rStyle w:val="Emphasis"/>
        </w:rPr>
        <w:t>Control Engineering Practice, 159</w:t>
      </w:r>
      <w:r>
        <w:t xml:space="preserve">, 106312. </w:t>
      </w:r>
      <w:hyperlink r:id="rId49" w:history="1">
        <w:r>
          <w:rPr>
            <w:rStyle w:val="Hyperlink"/>
          </w:rPr>
          <w:t>https://doi.org/10.1016/j.conengprac.2025.106312</w:t>
        </w:r>
      </w:hyperlink>
    </w:p>
    <w:p w14:paraId="1B433676" w14:textId="77777777" w:rsidR="00C94039" w:rsidRDefault="00C94039" w:rsidP="00C94039">
      <w:pPr>
        <w:pStyle w:val="isselectedend"/>
        <w:ind w:left="540" w:hanging="540"/>
        <w:jc w:val="both"/>
      </w:pPr>
      <w:r>
        <w:t xml:space="preserve">Li, Y., Wang, Z., Fu, X., Li, P., Zhao, L., &amp; Wu, X. (2025). Fine-grained hardware resource optimization and design for FPGA-based real-time simulation of large-scale renewable energy generations. </w:t>
      </w:r>
      <w:r>
        <w:rPr>
          <w:rStyle w:val="Emphasis"/>
        </w:rPr>
        <w:t>International Journal of Electrical Power &amp; Energy Systems, 169</w:t>
      </w:r>
      <w:r>
        <w:t xml:space="preserve">, 110754. </w:t>
      </w:r>
      <w:hyperlink r:id="rId50" w:history="1">
        <w:r>
          <w:rPr>
            <w:rStyle w:val="Hyperlink"/>
          </w:rPr>
          <w:t>https://doi.org/10.1016/j.ijepes.2025.110754</w:t>
        </w:r>
      </w:hyperlink>
    </w:p>
    <w:p w14:paraId="7C8D0728" w14:textId="77777777" w:rsidR="00C94039" w:rsidRDefault="00C94039" w:rsidP="00C94039">
      <w:pPr>
        <w:pStyle w:val="isselectedend"/>
        <w:ind w:left="540" w:hanging="540"/>
        <w:jc w:val="both"/>
      </w:pPr>
      <w:r>
        <w:t>Li, N., Yu, H., Finney, S., &amp; Judge, P. D. (2025). Long-horizon FCS-MPC trained 1-D convolution neural networks for FPGA-based power-electronic converter control with a Si/</w:t>
      </w:r>
      <w:proofErr w:type="spellStart"/>
      <w:r>
        <w:t>SiC</w:t>
      </w:r>
      <w:proofErr w:type="spellEnd"/>
      <w:r>
        <w:t xml:space="preserve"> hybrid converter case study. </w:t>
      </w:r>
      <w:r>
        <w:rPr>
          <w:rStyle w:val="Emphasis"/>
        </w:rPr>
        <w:t>IEEE Transactions on Industrial Electronics, 72</w:t>
      </w:r>
      <w:r>
        <w:t xml:space="preserve">(9), 9486–9496. </w:t>
      </w:r>
      <w:hyperlink r:id="rId51" w:history="1">
        <w:r>
          <w:rPr>
            <w:rStyle w:val="Hyperlink"/>
          </w:rPr>
          <w:t>https://doi.org/10.1109/tie.2025.3536555</w:t>
        </w:r>
      </w:hyperlink>
    </w:p>
    <w:p w14:paraId="495895DF" w14:textId="77777777" w:rsidR="00C94039" w:rsidRDefault="00C94039" w:rsidP="00C94039">
      <w:pPr>
        <w:pStyle w:val="isselectedend"/>
        <w:ind w:left="540" w:hanging="540"/>
        <w:jc w:val="both"/>
      </w:pPr>
      <w:r>
        <w:t xml:space="preserve">Lo Bello, L., &amp; Steiner, W. (2019). A perspective on IEEE time-sensitive networking for industrial communication and automation systems. </w:t>
      </w:r>
      <w:r>
        <w:rPr>
          <w:rStyle w:val="Emphasis"/>
        </w:rPr>
        <w:t>Proceedings of the IEEE, 107</w:t>
      </w:r>
      <w:r>
        <w:t xml:space="preserve">(6), 1094–1120. </w:t>
      </w:r>
      <w:hyperlink r:id="rId52" w:history="1">
        <w:r>
          <w:rPr>
            <w:rStyle w:val="Hyperlink"/>
          </w:rPr>
          <w:t>https://doi.org/10.1109/jproc.2019.2905334</w:t>
        </w:r>
      </w:hyperlink>
    </w:p>
    <w:p w14:paraId="667A6E17" w14:textId="77777777" w:rsidR="00C94039" w:rsidRDefault="00C94039" w:rsidP="00C94039">
      <w:pPr>
        <w:pStyle w:val="isselectedend"/>
        <w:ind w:left="540" w:hanging="540"/>
        <w:jc w:val="both"/>
      </w:pPr>
      <w:r>
        <w:t xml:space="preserve">Lu, X., Chen, H., Gao, B., Zhang, Z., &amp; Jin, W. (2015). Data-driven predictive gearshift control for dual-clutch transmissions and FPGA implementation. </w:t>
      </w:r>
      <w:r>
        <w:rPr>
          <w:rStyle w:val="Emphasis"/>
        </w:rPr>
        <w:t>IEEE Transactions on Industrial Electronics, 62</w:t>
      </w:r>
      <w:r>
        <w:t xml:space="preserve">(1), 599–610. </w:t>
      </w:r>
      <w:hyperlink r:id="rId53" w:history="1">
        <w:r>
          <w:rPr>
            <w:rStyle w:val="Hyperlink"/>
          </w:rPr>
          <w:t>https://doi.org/10.1109/tie.2014.2312312</w:t>
        </w:r>
      </w:hyperlink>
    </w:p>
    <w:p w14:paraId="01DE5FA5" w14:textId="77777777" w:rsidR="00C94039" w:rsidRDefault="00C94039" w:rsidP="00C94039">
      <w:pPr>
        <w:pStyle w:val="isselectedend"/>
        <w:ind w:left="540" w:hanging="540"/>
        <w:jc w:val="both"/>
      </w:pPr>
      <w:r>
        <w:t xml:space="preserve">Lucia, S., Navarro, D., Lucia, O., Zometa, P., &amp; Findeisen, R. (2018). Optimized FPGA implementation of model predictive control for embedded systems using high-level synthesis tool. </w:t>
      </w:r>
      <w:r>
        <w:rPr>
          <w:rStyle w:val="Emphasis"/>
        </w:rPr>
        <w:t>IEEE Transactions on Industrial Informatics, 14</w:t>
      </w:r>
      <w:r>
        <w:t xml:space="preserve">(1), 137–145. </w:t>
      </w:r>
      <w:hyperlink r:id="rId54" w:history="1">
        <w:r>
          <w:rPr>
            <w:rStyle w:val="Hyperlink"/>
          </w:rPr>
          <w:t>https://doi.org/10.1109/tii.2017.2719940</w:t>
        </w:r>
      </w:hyperlink>
    </w:p>
    <w:p w14:paraId="4B07F703" w14:textId="77777777" w:rsidR="00C94039" w:rsidRDefault="00C94039" w:rsidP="00C94039">
      <w:pPr>
        <w:pStyle w:val="isselectedend"/>
        <w:ind w:left="540" w:hanging="540"/>
        <w:jc w:val="both"/>
      </w:pPr>
      <w:r>
        <w:t xml:space="preserve">Ma, Z., Saeidi, S., &amp; Kennel, R. (2014). FPGA implementation of model predictive control with constant switching frequency for PMSM drives. </w:t>
      </w:r>
      <w:r>
        <w:rPr>
          <w:rStyle w:val="Emphasis"/>
        </w:rPr>
        <w:t>IEEE Transactions on Industrial Informatics, 10</w:t>
      </w:r>
      <w:r>
        <w:t xml:space="preserve">(4), 2055–2063. </w:t>
      </w:r>
      <w:hyperlink r:id="rId55" w:history="1">
        <w:r>
          <w:rPr>
            <w:rStyle w:val="Hyperlink"/>
          </w:rPr>
          <w:t>https://doi.org/10.1109/tii.2014.2344432</w:t>
        </w:r>
      </w:hyperlink>
    </w:p>
    <w:p w14:paraId="0B9BFF2B" w14:textId="77777777" w:rsidR="00C94039" w:rsidRDefault="00C94039" w:rsidP="00C94039">
      <w:pPr>
        <w:pStyle w:val="isselectedend"/>
        <w:ind w:left="540" w:hanging="540"/>
        <w:jc w:val="both"/>
      </w:pPr>
      <w:r>
        <w:t xml:space="preserve">Mal-Sarkar, S., Karam, R., Narasimhan, S., Ghosh, A., Krishna, A., &amp; Bhunia, S. (2016). Design and validation for FPGA trust under hardware Trojan attacks. </w:t>
      </w:r>
      <w:r>
        <w:rPr>
          <w:rStyle w:val="Emphasis"/>
        </w:rPr>
        <w:t>IEEE Transactions on Multi-Scale Computing Systems, 2</w:t>
      </w:r>
      <w:r>
        <w:t xml:space="preserve">(3), 186–198. </w:t>
      </w:r>
      <w:hyperlink r:id="rId56" w:history="1">
        <w:r>
          <w:rPr>
            <w:rStyle w:val="Hyperlink"/>
          </w:rPr>
          <w:t>https://doi.org/10.1109/tmscs.2016.2584052</w:t>
        </w:r>
      </w:hyperlink>
    </w:p>
    <w:p w14:paraId="7A98CD43" w14:textId="77777777" w:rsidR="00C94039" w:rsidRDefault="00C94039" w:rsidP="00C94039">
      <w:pPr>
        <w:pStyle w:val="isselectedend"/>
        <w:ind w:left="540" w:hanging="540"/>
        <w:jc w:val="both"/>
      </w:pPr>
      <w:proofErr w:type="spellStart"/>
      <w:r>
        <w:t>Mirzahosseini</w:t>
      </w:r>
      <w:proofErr w:type="spellEnd"/>
      <w:r>
        <w:t xml:space="preserve">, R., &amp; Iravani, R. (2019). Small time-step FPGA-based real-time simulation of power systems including multiple converters. </w:t>
      </w:r>
      <w:r>
        <w:rPr>
          <w:rStyle w:val="Emphasis"/>
        </w:rPr>
        <w:t>IEEE Transactions on Power Delivery, 34</w:t>
      </w:r>
      <w:r>
        <w:t xml:space="preserve">(6), 2089–2099. </w:t>
      </w:r>
      <w:hyperlink r:id="rId57" w:history="1">
        <w:r>
          <w:rPr>
            <w:rStyle w:val="Hyperlink"/>
          </w:rPr>
          <w:t>https://doi.org/10.1109/tpwrd.2019.2933610</w:t>
        </w:r>
      </w:hyperlink>
    </w:p>
    <w:p w14:paraId="53078FD4" w14:textId="77777777" w:rsidR="00C94039" w:rsidRDefault="00C94039" w:rsidP="00C94039">
      <w:pPr>
        <w:pStyle w:val="isselectedend"/>
        <w:ind w:left="540" w:hanging="540"/>
        <w:jc w:val="both"/>
      </w:pPr>
      <w:proofErr w:type="spellStart"/>
      <w:r>
        <w:lastRenderedPageBreak/>
        <w:t>Mirzahosseini</w:t>
      </w:r>
      <w:proofErr w:type="spellEnd"/>
      <w:r>
        <w:t xml:space="preserve">, R., Iravani, R., &amp; Zhang, Y. (2020). An FPGA-based digital real-time simulator for hardware-in-the-loop testing of traveling-wave relays. </w:t>
      </w:r>
      <w:r>
        <w:rPr>
          <w:rStyle w:val="Emphasis"/>
        </w:rPr>
        <w:t>IEEE Transactions on Power Delivery, 35</w:t>
      </w:r>
      <w:r>
        <w:t xml:space="preserve">(6), 2621–2629. </w:t>
      </w:r>
      <w:hyperlink r:id="rId58" w:history="1">
        <w:r>
          <w:rPr>
            <w:rStyle w:val="Hyperlink"/>
          </w:rPr>
          <w:t>https://doi.org/10.1109/tpwrd.2020.2972737</w:t>
        </w:r>
      </w:hyperlink>
    </w:p>
    <w:p w14:paraId="6425A808" w14:textId="77777777" w:rsidR="00C94039" w:rsidRDefault="00C94039" w:rsidP="00C94039">
      <w:pPr>
        <w:pStyle w:val="isselectedend"/>
        <w:ind w:left="540" w:hanging="540"/>
        <w:jc w:val="both"/>
      </w:pPr>
      <w:r>
        <w:t xml:space="preserve">Mitra, S., &amp; Chattopadhyay, P. (2019). Design and implementation of flexible numerical overcurrent relay on FPGA. </w:t>
      </w:r>
      <w:r>
        <w:rPr>
          <w:rStyle w:val="Emphasis"/>
        </w:rPr>
        <w:t>International Journal of Electrical Power &amp; Energy Systems, 104</w:t>
      </w:r>
      <w:r>
        <w:t xml:space="preserve">, 797–806. </w:t>
      </w:r>
      <w:hyperlink r:id="rId59" w:history="1">
        <w:r>
          <w:rPr>
            <w:rStyle w:val="Hyperlink"/>
          </w:rPr>
          <w:t>https://doi.org/10.1016/j.ijepes.2018.07.022</w:t>
        </w:r>
      </w:hyperlink>
    </w:p>
    <w:p w14:paraId="13AC29F4" w14:textId="77777777" w:rsidR="00C94039" w:rsidRDefault="00C94039" w:rsidP="00C94039">
      <w:pPr>
        <w:pStyle w:val="isselectedend"/>
        <w:ind w:left="540" w:hanging="540"/>
        <w:jc w:val="both"/>
      </w:pPr>
      <w:r>
        <w:t xml:space="preserve">Mittal, S. (2020). A survey of FPGA-based accelerators for convolutional neural networks. </w:t>
      </w:r>
      <w:r>
        <w:rPr>
          <w:rStyle w:val="Emphasis"/>
        </w:rPr>
        <w:t>Neural Computing and Applications, 32</w:t>
      </w:r>
      <w:r>
        <w:t xml:space="preserve">(4), 1109–1139. </w:t>
      </w:r>
      <w:hyperlink r:id="rId60" w:history="1">
        <w:r>
          <w:rPr>
            <w:rStyle w:val="Hyperlink"/>
          </w:rPr>
          <w:t>https://doi.org/10.1007/s00521-018-3761-1</w:t>
        </w:r>
      </w:hyperlink>
    </w:p>
    <w:p w14:paraId="7099E8E5" w14:textId="77777777" w:rsidR="00C94039" w:rsidRDefault="00C94039" w:rsidP="00C94039">
      <w:pPr>
        <w:pStyle w:val="isselectedend"/>
        <w:ind w:left="540" w:hanging="540"/>
        <w:jc w:val="both"/>
      </w:pPr>
      <w:r>
        <w:t xml:space="preserve">Molina, R. S., Gil-Costa, V., Crespo, M. L., &amp; Ramponi, G. (2022). High-level synthesis hardware design for FPGA-based accelerators: Models, methodologies, and frameworks. </w:t>
      </w:r>
      <w:r>
        <w:rPr>
          <w:rStyle w:val="Emphasis"/>
        </w:rPr>
        <w:t>IEEE Access, 10</w:t>
      </w:r>
      <w:r>
        <w:t xml:space="preserve">, 90429–90455. </w:t>
      </w:r>
      <w:hyperlink r:id="rId61" w:history="1">
        <w:r>
          <w:rPr>
            <w:rStyle w:val="Hyperlink"/>
          </w:rPr>
          <w:t>https://doi.org/10.1109/access.2022.3201107</w:t>
        </w:r>
      </w:hyperlink>
    </w:p>
    <w:p w14:paraId="5B8884B6" w14:textId="77777777" w:rsidR="00C94039" w:rsidRDefault="00C94039" w:rsidP="00C94039">
      <w:pPr>
        <w:pStyle w:val="isselectedend"/>
        <w:ind w:left="540" w:hanging="540"/>
        <w:jc w:val="both"/>
      </w:pPr>
      <w:proofErr w:type="spellStart"/>
      <w:r>
        <w:t>Monmasson</w:t>
      </w:r>
      <w:proofErr w:type="spellEnd"/>
      <w:r>
        <w:t xml:space="preserve">, E., &amp; Cirstea, M. N. (2007). FPGA design methodology for industrial control systems—A review. </w:t>
      </w:r>
      <w:r>
        <w:rPr>
          <w:rStyle w:val="Emphasis"/>
        </w:rPr>
        <w:t>IEEE Transactions on Industrial Electronics, 54</w:t>
      </w:r>
      <w:r>
        <w:t xml:space="preserve">(4), 1824–1842. </w:t>
      </w:r>
      <w:hyperlink r:id="rId62" w:history="1">
        <w:r>
          <w:rPr>
            <w:rStyle w:val="Hyperlink"/>
          </w:rPr>
          <w:t>https://doi.org/10.1109/tie.2007.898281</w:t>
        </w:r>
      </w:hyperlink>
    </w:p>
    <w:p w14:paraId="1F582D22" w14:textId="77777777" w:rsidR="00C94039" w:rsidRDefault="00C94039" w:rsidP="00C94039">
      <w:pPr>
        <w:pStyle w:val="isselectedend"/>
        <w:ind w:left="540" w:hanging="540"/>
        <w:jc w:val="both"/>
      </w:pPr>
      <w:proofErr w:type="spellStart"/>
      <w:r>
        <w:t>Monmasson</w:t>
      </w:r>
      <w:proofErr w:type="spellEnd"/>
      <w:r>
        <w:t xml:space="preserve">, E., </w:t>
      </w:r>
      <w:proofErr w:type="spellStart"/>
      <w:r>
        <w:t>Idkhajine</w:t>
      </w:r>
      <w:proofErr w:type="spellEnd"/>
      <w:r>
        <w:t xml:space="preserve">, L., Cirstea, M. N., Bahri, I., </w:t>
      </w:r>
      <w:proofErr w:type="spellStart"/>
      <w:r>
        <w:t>Tisan</w:t>
      </w:r>
      <w:proofErr w:type="spellEnd"/>
      <w:r>
        <w:t xml:space="preserve">, A., &amp; </w:t>
      </w:r>
      <w:proofErr w:type="spellStart"/>
      <w:r>
        <w:t>Naouar</w:t>
      </w:r>
      <w:proofErr w:type="spellEnd"/>
      <w:r>
        <w:t xml:space="preserve">, M. W. (2011). FPGAs in industrial control applications. </w:t>
      </w:r>
      <w:r>
        <w:rPr>
          <w:rStyle w:val="Emphasis"/>
        </w:rPr>
        <w:t>IEEE Transactions on Industrial Informatics, 7</w:t>
      </w:r>
      <w:r>
        <w:t xml:space="preserve">(2), 224–243. </w:t>
      </w:r>
      <w:hyperlink r:id="rId63" w:history="1">
        <w:r>
          <w:rPr>
            <w:rStyle w:val="Hyperlink"/>
          </w:rPr>
          <w:t>https://doi.org/10.1109/tii.2011.2123908</w:t>
        </w:r>
      </w:hyperlink>
    </w:p>
    <w:p w14:paraId="14C8443A" w14:textId="77777777" w:rsidR="00C94039" w:rsidRDefault="00C94039" w:rsidP="00C94039">
      <w:pPr>
        <w:pStyle w:val="isselectedend"/>
        <w:ind w:left="540" w:hanging="540"/>
        <w:jc w:val="both"/>
      </w:pPr>
      <w:proofErr w:type="spellStart"/>
      <w:r>
        <w:t>Monmasson</w:t>
      </w:r>
      <w:proofErr w:type="spellEnd"/>
      <w:r>
        <w:t xml:space="preserve">, E., </w:t>
      </w:r>
      <w:proofErr w:type="spellStart"/>
      <w:r>
        <w:t>Hilairet</w:t>
      </w:r>
      <w:proofErr w:type="spellEnd"/>
      <w:r>
        <w:t xml:space="preserve">, M., Spagnuolo, G., &amp; Cirstea, M. N. (2022). System-on-chip FPGA devices for complex electrical energy systems control. </w:t>
      </w:r>
      <w:r>
        <w:rPr>
          <w:rStyle w:val="Emphasis"/>
        </w:rPr>
        <w:t>IEEE Industrial Electronics Magazine, 16</w:t>
      </w:r>
      <w:r>
        <w:t xml:space="preserve">(2), 53–64. </w:t>
      </w:r>
      <w:hyperlink r:id="rId64" w:history="1">
        <w:r>
          <w:rPr>
            <w:rStyle w:val="Hyperlink"/>
          </w:rPr>
          <w:t>https://doi.org/10.1109/mie.2021.3052179</w:t>
        </w:r>
      </w:hyperlink>
    </w:p>
    <w:p w14:paraId="61EE1480" w14:textId="77777777" w:rsidR="00C94039" w:rsidRDefault="00C94039" w:rsidP="00C94039">
      <w:pPr>
        <w:pStyle w:val="isselectedend"/>
        <w:ind w:left="540" w:hanging="540"/>
        <w:jc w:val="both"/>
      </w:pPr>
      <w:r>
        <w:t xml:space="preserve">Moraitis, M. (2023). FPGA bitstream modification: Attacks and countermeasures. </w:t>
      </w:r>
      <w:r>
        <w:rPr>
          <w:rStyle w:val="Emphasis"/>
        </w:rPr>
        <w:t>IEEE Access, 11</w:t>
      </w:r>
      <w:r>
        <w:t xml:space="preserve">, 127931–127955. </w:t>
      </w:r>
      <w:hyperlink r:id="rId65" w:history="1">
        <w:r>
          <w:rPr>
            <w:rStyle w:val="Hyperlink"/>
          </w:rPr>
          <w:t>https://doi.org/10.1109/access.2023.3331507</w:t>
        </w:r>
      </w:hyperlink>
    </w:p>
    <w:p w14:paraId="05954B85" w14:textId="77777777" w:rsidR="00C94039" w:rsidRDefault="00C94039" w:rsidP="00C94039">
      <w:pPr>
        <w:pStyle w:val="isselectedend"/>
        <w:ind w:left="540" w:hanging="540"/>
        <w:jc w:val="both"/>
      </w:pPr>
      <w:r>
        <w:t xml:space="preserve">Mukherjee, R., &amp; Chakraborty, R. S. (2022). Novel hardware Trojan attack on activation parameters of FPGA-based DNN accelerators. </w:t>
      </w:r>
      <w:r>
        <w:rPr>
          <w:rStyle w:val="Emphasis"/>
        </w:rPr>
        <w:t>IEEE Embedded Systems Letters, 14</w:t>
      </w:r>
      <w:r>
        <w:t xml:space="preserve">(3), 131–134. </w:t>
      </w:r>
      <w:hyperlink r:id="rId66" w:history="1">
        <w:r>
          <w:rPr>
            <w:rStyle w:val="Hyperlink"/>
          </w:rPr>
          <w:t>https://doi.org/10.1109/les.2022.3159541</w:t>
        </w:r>
      </w:hyperlink>
    </w:p>
    <w:p w14:paraId="4B7ED8B3" w14:textId="77777777" w:rsidR="00C94039" w:rsidRDefault="00C94039" w:rsidP="00C94039">
      <w:pPr>
        <w:pStyle w:val="isselectedend"/>
        <w:ind w:left="540" w:hanging="540"/>
        <w:jc w:val="both"/>
      </w:pPr>
      <w:r>
        <w:t xml:space="preserve">Muslim, F. B., Ma, L., </w:t>
      </w:r>
      <w:proofErr w:type="spellStart"/>
      <w:r>
        <w:t>Roozmeh</w:t>
      </w:r>
      <w:proofErr w:type="spellEnd"/>
      <w:r>
        <w:t xml:space="preserve">, M., &amp; </w:t>
      </w:r>
      <w:proofErr w:type="spellStart"/>
      <w:r>
        <w:t>Lavagno</w:t>
      </w:r>
      <w:proofErr w:type="spellEnd"/>
      <w:r>
        <w:t xml:space="preserve">, L. (2017). Efficient FPGA implementation of OpenCL high-performance computing applications via high-level synthesis. </w:t>
      </w:r>
      <w:r>
        <w:rPr>
          <w:rStyle w:val="Emphasis"/>
        </w:rPr>
        <w:t>IEEE Access, 5</w:t>
      </w:r>
      <w:r>
        <w:t xml:space="preserve">, 2747–2762. </w:t>
      </w:r>
      <w:hyperlink r:id="rId67" w:history="1">
        <w:r>
          <w:rPr>
            <w:rStyle w:val="Hyperlink"/>
          </w:rPr>
          <w:t>https://doi.org/10.1109/access.2017.2671881</w:t>
        </w:r>
      </w:hyperlink>
    </w:p>
    <w:p w14:paraId="5C4C2B62" w14:textId="77777777" w:rsidR="00C94039" w:rsidRDefault="00C94039" w:rsidP="00C94039">
      <w:pPr>
        <w:pStyle w:val="isselectedend"/>
        <w:ind w:left="540" w:hanging="540"/>
        <w:jc w:val="both"/>
      </w:pPr>
      <w:r>
        <w:t xml:space="preserve">Nada, A. A., &amp; Bayoumi, M. A. (2024). Development of embedded fuzzy control using reconfigurable FPGA technology. </w:t>
      </w:r>
      <w:proofErr w:type="spellStart"/>
      <w:r>
        <w:rPr>
          <w:rStyle w:val="Emphasis"/>
        </w:rPr>
        <w:t>Automatika</w:t>
      </w:r>
      <w:proofErr w:type="spellEnd"/>
      <w:r>
        <w:rPr>
          <w:rStyle w:val="Emphasis"/>
        </w:rPr>
        <w:t>, 65</w:t>
      </w:r>
      <w:r>
        <w:t xml:space="preserve">(2), 609–626. </w:t>
      </w:r>
      <w:hyperlink r:id="rId68" w:history="1">
        <w:r>
          <w:rPr>
            <w:rStyle w:val="Hyperlink"/>
          </w:rPr>
          <w:t>https://doi.org/10.1080/00051144.2024.2313904</w:t>
        </w:r>
      </w:hyperlink>
    </w:p>
    <w:p w14:paraId="71293F11" w14:textId="77777777" w:rsidR="00C94039" w:rsidRDefault="00C94039" w:rsidP="00C94039">
      <w:pPr>
        <w:pStyle w:val="isselectedend"/>
        <w:ind w:left="540" w:hanging="540"/>
        <w:jc w:val="both"/>
      </w:pPr>
      <w:r>
        <w:t xml:space="preserve">Navarro, D., Lucia, O., Barragan, L. A., </w:t>
      </w:r>
      <w:proofErr w:type="spellStart"/>
      <w:r>
        <w:t>Urriza</w:t>
      </w:r>
      <w:proofErr w:type="spellEnd"/>
      <w:r>
        <w:t xml:space="preserve">, I., &amp; Jimenez, O. (2013). High-level synthesis for accelerating the FPGA implementation of computationally demanding control algorithms </w:t>
      </w:r>
      <w:r>
        <w:lastRenderedPageBreak/>
        <w:t xml:space="preserve">for power converters. </w:t>
      </w:r>
      <w:r>
        <w:rPr>
          <w:rStyle w:val="Emphasis"/>
        </w:rPr>
        <w:t>IEEE Transactions on Industrial Informatics, 9</w:t>
      </w:r>
      <w:r>
        <w:t xml:space="preserve">(3), 1371–1379. </w:t>
      </w:r>
      <w:hyperlink r:id="rId69" w:history="1">
        <w:r>
          <w:rPr>
            <w:rStyle w:val="Hyperlink"/>
          </w:rPr>
          <w:t>https://doi.org/10.1109/tii.2013.2239302</w:t>
        </w:r>
      </w:hyperlink>
    </w:p>
    <w:p w14:paraId="566561AA" w14:textId="77777777" w:rsidR="00C94039" w:rsidRDefault="00C94039" w:rsidP="00C94039">
      <w:pPr>
        <w:pStyle w:val="isselectedend"/>
        <w:ind w:left="540" w:hanging="540"/>
        <w:jc w:val="both"/>
      </w:pPr>
      <w:r>
        <w:t xml:space="preserve">Pagani, M., Biondi, A., Marinoni, M., Molinari, L., Lipari, G., &amp; </w:t>
      </w:r>
      <w:proofErr w:type="spellStart"/>
      <w:r>
        <w:t>Buttazzo</w:t>
      </w:r>
      <w:proofErr w:type="spellEnd"/>
      <w:r>
        <w:t xml:space="preserve">, G. (2022). A Linux-based support for developing real-time applications on heterogeneous platforms with dynamic FPGA reconfiguration. </w:t>
      </w:r>
      <w:r>
        <w:rPr>
          <w:rStyle w:val="Emphasis"/>
        </w:rPr>
        <w:t>Future Generation Computer Systems, 129</w:t>
      </w:r>
      <w:r>
        <w:t xml:space="preserve">, 125–140. </w:t>
      </w:r>
      <w:hyperlink r:id="rId70" w:history="1">
        <w:r>
          <w:rPr>
            <w:rStyle w:val="Hyperlink"/>
          </w:rPr>
          <w:t>https://doi.org/10.1016/j.future.2021.11.007</w:t>
        </w:r>
      </w:hyperlink>
    </w:p>
    <w:p w14:paraId="0A60A595" w14:textId="77777777" w:rsidR="00C94039" w:rsidRDefault="00C94039" w:rsidP="00C94039">
      <w:pPr>
        <w:pStyle w:val="isselectedend"/>
        <w:ind w:left="540" w:hanging="540"/>
        <w:jc w:val="both"/>
      </w:pPr>
      <w:r>
        <w:t xml:space="preserve">Palumbo, A., Cassano, L., Luzzi, B., Hernández, J. A., </w:t>
      </w:r>
      <w:proofErr w:type="spellStart"/>
      <w:r>
        <w:t>Reviriego</w:t>
      </w:r>
      <w:proofErr w:type="spellEnd"/>
      <w:r>
        <w:t xml:space="preserve">, P., Bianchi, G., &amp; </w:t>
      </w:r>
      <w:proofErr w:type="spellStart"/>
      <w:r>
        <w:t>Ottavi</w:t>
      </w:r>
      <w:proofErr w:type="spellEnd"/>
      <w:r>
        <w:t xml:space="preserve">, M. (2022). Is your FPGA bitstream hardware Trojan-free? Machine learning can provide an answer. </w:t>
      </w:r>
      <w:r>
        <w:rPr>
          <w:rStyle w:val="Emphasis"/>
        </w:rPr>
        <w:t>Journal of Systems Architecture, 128</w:t>
      </w:r>
      <w:r>
        <w:t xml:space="preserve">, 102543. </w:t>
      </w:r>
      <w:hyperlink r:id="rId71" w:history="1">
        <w:r>
          <w:rPr>
            <w:rStyle w:val="Hyperlink"/>
          </w:rPr>
          <w:t>https://doi.org/10.1016/j.sysarc.2022.102543</w:t>
        </w:r>
      </w:hyperlink>
    </w:p>
    <w:p w14:paraId="38BCEB0B" w14:textId="77777777" w:rsidR="00C94039" w:rsidRDefault="00C94039" w:rsidP="00C94039">
      <w:pPr>
        <w:pStyle w:val="isselectedend"/>
        <w:ind w:left="540" w:hanging="540"/>
        <w:jc w:val="both"/>
      </w:pPr>
      <w:proofErr w:type="spellStart"/>
      <w:r>
        <w:t>Panousopoulos</w:t>
      </w:r>
      <w:proofErr w:type="spellEnd"/>
      <w:r>
        <w:t xml:space="preserve">, V., Papaloukas, E., Leon, V., </w:t>
      </w:r>
      <w:proofErr w:type="spellStart"/>
      <w:r>
        <w:t>Soudris</w:t>
      </w:r>
      <w:proofErr w:type="spellEnd"/>
      <w:r>
        <w:t xml:space="preserve">, D., </w:t>
      </w:r>
      <w:proofErr w:type="spellStart"/>
      <w:r>
        <w:t>Koumandakis</w:t>
      </w:r>
      <w:proofErr w:type="spellEnd"/>
      <w:r>
        <w:t xml:space="preserve">, E., &amp; </w:t>
      </w:r>
      <w:proofErr w:type="spellStart"/>
      <w:r>
        <w:t>Lentaris</w:t>
      </w:r>
      <w:proofErr w:type="spellEnd"/>
      <w:r>
        <w:t xml:space="preserve">, G. (2024). HW/SW co-design on embedded SoC FPGA for star tracking optimization in space applications. </w:t>
      </w:r>
      <w:r>
        <w:rPr>
          <w:rStyle w:val="Emphasis"/>
        </w:rPr>
        <w:t>Journal of Real-Time Image Processing, 21</w:t>
      </w:r>
      <w:r>
        <w:t xml:space="preserve">, Article 16. </w:t>
      </w:r>
      <w:hyperlink r:id="rId72" w:history="1">
        <w:r>
          <w:rPr>
            <w:rStyle w:val="Hyperlink"/>
          </w:rPr>
          <w:t>https://doi.org/10.1007/s11554-023-01391-8</w:t>
        </w:r>
      </w:hyperlink>
    </w:p>
    <w:p w14:paraId="4291DB63" w14:textId="77777777" w:rsidR="00C94039" w:rsidRDefault="00C94039" w:rsidP="00C94039">
      <w:pPr>
        <w:pStyle w:val="isselectedend"/>
        <w:ind w:left="540" w:hanging="540"/>
        <w:jc w:val="both"/>
      </w:pPr>
      <w:r>
        <w:t xml:space="preserve">Parameswaran, A. P., Ananthakrishnan, B., &amp; Gangadharan, K. V. (2015). Modeling and design of field programmable gate array based real time robust controller for active control of vibrating smart system. </w:t>
      </w:r>
      <w:r>
        <w:rPr>
          <w:rStyle w:val="Emphasis"/>
        </w:rPr>
        <w:t>Journal of Sound and Vibration, 345</w:t>
      </w:r>
      <w:r>
        <w:t xml:space="preserve">, 18–33. </w:t>
      </w:r>
      <w:hyperlink r:id="rId73" w:history="1">
        <w:r>
          <w:rPr>
            <w:rStyle w:val="Hyperlink"/>
          </w:rPr>
          <w:t>https://doi.org/10.1016/j.jsv.2015.02.002</w:t>
        </w:r>
      </w:hyperlink>
    </w:p>
    <w:p w14:paraId="709A4F5C" w14:textId="77777777" w:rsidR="00C94039" w:rsidRDefault="00C94039" w:rsidP="00C94039">
      <w:pPr>
        <w:pStyle w:val="isselectedend"/>
        <w:ind w:left="540" w:hanging="540"/>
        <w:jc w:val="both"/>
      </w:pPr>
      <w:r w:rsidRPr="00C94039">
        <w:rPr>
          <w:lang w:val="nl-BE"/>
        </w:rPr>
        <w:t xml:space="preserve">Pezzarossa, L., Kristensen, A. T., Schoeberl, M., &amp; Sparsø, J. (2018). </w:t>
      </w:r>
      <w:r>
        <w:t xml:space="preserve">Using dynamic partial reconfiguration of FPGAs in real-time systems. </w:t>
      </w:r>
      <w:r>
        <w:rPr>
          <w:rStyle w:val="Emphasis"/>
        </w:rPr>
        <w:t>Microprocessors and Microsystems, 61</w:t>
      </w:r>
      <w:r>
        <w:t xml:space="preserve">, 198–206. </w:t>
      </w:r>
      <w:hyperlink r:id="rId74" w:history="1">
        <w:r>
          <w:rPr>
            <w:rStyle w:val="Hyperlink"/>
          </w:rPr>
          <w:t>https://doi.org/10.1016/j.micpro.2018.05.017</w:t>
        </w:r>
      </w:hyperlink>
    </w:p>
    <w:p w14:paraId="6AE379ED" w14:textId="77777777" w:rsidR="00C94039" w:rsidRDefault="00C94039" w:rsidP="00C94039">
      <w:pPr>
        <w:pStyle w:val="isselectedend"/>
        <w:ind w:left="540" w:hanging="540"/>
        <w:jc w:val="both"/>
      </w:pPr>
      <w:r>
        <w:t xml:space="preserve">Pilato, C., Garg, S., Wu, K., Karri, R., &amp; </w:t>
      </w:r>
      <w:proofErr w:type="spellStart"/>
      <w:r>
        <w:t>Regazzoni</w:t>
      </w:r>
      <w:proofErr w:type="spellEnd"/>
      <w:r>
        <w:t xml:space="preserve">, F. (2018). Securing hardware accelerators: A new challenge for high-level synthesis. </w:t>
      </w:r>
      <w:r>
        <w:rPr>
          <w:rStyle w:val="Emphasis"/>
        </w:rPr>
        <w:t>IEEE Embedded Systems Letters, 10</w:t>
      </w:r>
      <w:r>
        <w:t xml:space="preserve">(3), 77–80. </w:t>
      </w:r>
      <w:hyperlink r:id="rId75" w:history="1">
        <w:r>
          <w:rPr>
            <w:rStyle w:val="Hyperlink"/>
          </w:rPr>
          <w:t>https://doi.org/10.1109/les.2017.2774800</w:t>
        </w:r>
      </w:hyperlink>
    </w:p>
    <w:p w14:paraId="33C95C87" w14:textId="77777777" w:rsidR="00C94039" w:rsidRDefault="00C94039" w:rsidP="00C94039">
      <w:pPr>
        <w:pStyle w:val="isselectedend"/>
        <w:ind w:left="540" w:hanging="540"/>
        <w:jc w:val="both"/>
      </w:pPr>
      <w:proofErr w:type="spellStart"/>
      <w:r>
        <w:t>Purraji</w:t>
      </w:r>
      <w:proofErr w:type="spellEnd"/>
      <w:r>
        <w:t xml:space="preserve">, M., </w:t>
      </w:r>
      <w:proofErr w:type="spellStart"/>
      <w:r>
        <w:t>Zamiri</w:t>
      </w:r>
      <w:proofErr w:type="spellEnd"/>
      <w:r>
        <w:t xml:space="preserve">, E., &amp; de Castro, A. (2025). Easy and straightforward FPGA implementation of model predictive control using HDL Coder. </w:t>
      </w:r>
      <w:r>
        <w:rPr>
          <w:rStyle w:val="Emphasis"/>
        </w:rPr>
        <w:t>Electronics, 14</w:t>
      </w:r>
      <w:r>
        <w:t xml:space="preserve">(3), 419. </w:t>
      </w:r>
      <w:hyperlink r:id="rId76" w:history="1">
        <w:r>
          <w:rPr>
            <w:rStyle w:val="Hyperlink"/>
          </w:rPr>
          <w:t>https://doi.org/10.3390/electronics14030419</w:t>
        </w:r>
      </w:hyperlink>
    </w:p>
    <w:p w14:paraId="4EEF8261" w14:textId="77777777" w:rsidR="00C94039" w:rsidRDefault="00C94039" w:rsidP="00C94039">
      <w:pPr>
        <w:pStyle w:val="isselectedend"/>
        <w:ind w:left="540" w:hanging="540"/>
        <w:jc w:val="both"/>
      </w:pPr>
      <w:r>
        <w:t xml:space="preserve">Ramos, A., Maestro, J. A., &amp; </w:t>
      </w:r>
      <w:proofErr w:type="spellStart"/>
      <w:r>
        <w:t>Reviriego</w:t>
      </w:r>
      <w:proofErr w:type="spellEnd"/>
      <w:r>
        <w:t xml:space="preserve">, P. (2017). Characterizing a RISC-V SRAM-based FPGA implementation against single event upsets using fault injection. </w:t>
      </w:r>
      <w:r>
        <w:rPr>
          <w:rStyle w:val="Emphasis"/>
        </w:rPr>
        <w:t>Microelectronics Reliability, 78</w:t>
      </w:r>
      <w:r>
        <w:t xml:space="preserve">, 205–211. </w:t>
      </w:r>
      <w:hyperlink r:id="rId77" w:history="1">
        <w:r>
          <w:rPr>
            <w:rStyle w:val="Hyperlink"/>
          </w:rPr>
          <w:t>https://doi.org/10.1016/j.microrel.2017.09.007</w:t>
        </w:r>
      </w:hyperlink>
    </w:p>
    <w:p w14:paraId="5569AD30" w14:textId="77777777" w:rsidR="00C94039" w:rsidRDefault="00C94039" w:rsidP="00C94039">
      <w:pPr>
        <w:pStyle w:val="isselectedend"/>
        <w:ind w:left="540" w:hanging="540"/>
        <w:jc w:val="both"/>
      </w:pPr>
      <w:r>
        <w:t xml:space="preserve">Ratti, F., </w:t>
      </w:r>
      <w:proofErr w:type="spellStart"/>
      <w:r>
        <w:t>Knödtel</w:t>
      </w:r>
      <w:proofErr w:type="spellEnd"/>
      <w:r>
        <w:t xml:space="preserve">, J., &amp; Reichenbach, M. (2025). </w:t>
      </w:r>
      <w:proofErr w:type="spellStart"/>
      <w:r>
        <w:t>HeterogeneousRTOS</w:t>
      </w:r>
      <w:proofErr w:type="spellEnd"/>
      <w:r>
        <w:t xml:space="preserve">: A CPU-FPGA real-time OS for fault tolerance on COTS at near-zero timing cost. </w:t>
      </w:r>
      <w:r>
        <w:rPr>
          <w:rStyle w:val="Emphasis"/>
        </w:rPr>
        <w:t>ACM Transactions on Embedded Computing Systems, 24</w:t>
      </w:r>
      <w:r>
        <w:t xml:space="preserve">(2), Article 31. </w:t>
      </w:r>
      <w:hyperlink r:id="rId78" w:history="1">
        <w:r>
          <w:rPr>
            <w:rStyle w:val="Hyperlink"/>
          </w:rPr>
          <w:t>https://doi.org/10.1145/3712062</w:t>
        </w:r>
      </w:hyperlink>
    </w:p>
    <w:p w14:paraId="5225DE22" w14:textId="77777777" w:rsidR="00C94039" w:rsidRDefault="00C94039" w:rsidP="00C94039">
      <w:pPr>
        <w:pStyle w:val="isselectedend"/>
        <w:ind w:left="540" w:hanging="540"/>
        <w:jc w:val="both"/>
      </w:pPr>
      <w:r>
        <w:t xml:space="preserve">Ravera, A., Oliveri, A., Lodi, M., &amp; Storace, M. (2025). FPGA implementation of nonlinear model predictive control for a boost converter with a partially saturating inductor. </w:t>
      </w:r>
      <w:r>
        <w:rPr>
          <w:rStyle w:val="Emphasis"/>
        </w:rPr>
        <w:t>Electronics, 14</w:t>
      </w:r>
      <w:r>
        <w:t xml:space="preserve">(5), 941. </w:t>
      </w:r>
      <w:hyperlink r:id="rId79" w:history="1">
        <w:r>
          <w:rPr>
            <w:rStyle w:val="Hyperlink"/>
          </w:rPr>
          <w:t>https://doi.org/10.3390/electronics14050941</w:t>
        </w:r>
      </w:hyperlink>
    </w:p>
    <w:p w14:paraId="11C79413" w14:textId="77777777" w:rsidR="00C94039" w:rsidRDefault="00C94039" w:rsidP="00C94039">
      <w:pPr>
        <w:pStyle w:val="isselectedend"/>
        <w:ind w:left="540" w:hanging="540"/>
        <w:jc w:val="both"/>
      </w:pPr>
      <w:r>
        <w:lastRenderedPageBreak/>
        <w:t xml:space="preserve">Richter, S., Geyer, T., &amp; Morari, M. (2017). Resource-efficient gradient methods for model predictive pulse pattern control on an FPGA. </w:t>
      </w:r>
      <w:r>
        <w:rPr>
          <w:rStyle w:val="Emphasis"/>
        </w:rPr>
        <w:t>IEEE Transactions on Control Systems Technology, 25</w:t>
      </w:r>
      <w:r>
        <w:t xml:space="preserve">(3), 828–841. </w:t>
      </w:r>
      <w:hyperlink r:id="rId80" w:history="1">
        <w:r>
          <w:rPr>
            <w:rStyle w:val="Hyperlink"/>
          </w:rPr>
          <w:t>https://doi.org/10.1109/tcst.2016.2577000</w:t>
        </w:r>
      </w:hyperlink>
    </w:p>
    <w:p w14:paraId="30884896" w14:textId="77777777" w:rsidR="00C94039" w:rsidRDefault="00C94039" w:rsidP="00C94039">
      <w:pPr>
        <w:pStyle w:val="isselectedend"/>
        <w:ind w:left="540" w:hanging="540"/>
        <w:jc w:val="both"/>
      </w:pPr>
      <w:r>
        <w:t xml:space="preserve">Rodriguez-Andina, J. J., Moure, M. J., &amp; Valdes, M. D. (2007). Features, design tools, and application domains of FPGAs. </w:t>
      </w:r>
      <w:r>
        <w:rPr>
          <w:rStyle w:val="Emphasis"/>
        </w:rPr>
        <w:t>IEEE Transactions on Industrial Electronics, 54</w:t>
      </w:r>
      <w:r>
        <w:t xml:space="preserve">(4), 1810–1823. </w:t>
      </w:r>
      <w:hyperlink r:id="rId81" w:history="1">
        <w:r>
          <w:rPr>
            <w:rStyle w:val="Hyperlink"/>
          </w:rPr>
          <w:t>https://doi.org/10.1109/tie.2007.898279</w:t>
        </w:r>
      </w:hyperlink>
    </w:p>
    <w:p w14:paraId="7755785B" w14:textId="77777777" w:rsidR="00C94039" w:rsidRDefault="00C94039" w:rsidP="00C94039">
      <w:pPr>
        <w:pStyle w:val="isselectedend"/>
        <w:ind w:left="540" w:hanging="540"/>
        <w:jc w:val="both"/>
      </w:pPr>
      <w:r>
        <w:t xml:space="preserve">Rodriguez-Andina, J. J., Valdes-Pena, M. D., &amp; Moure, M. J. (2015). Advanced features and industrial applications of FPGAs—A review. </w:t>
      </w:r>
      <w:r>
        <w:rPr>
          <w:rStyle w:val="Emphasis"/>
        </w:rPr>
        <w:t>IEEE Transactions on Industrial Informatics, 11</w:t>
      </w:r>
      <w:r>
        <w:t xml:space="preserve">(4), 853–864. </w:t>
      </w:r>
      <w:hyperlink r:id="rId82" w:history="1">
        <w:r>
          <w:rPr>
            <w:rStyle w:val="Hyperlink"/>
          </w:rPr>
          <w:t>https://doi.org/10.1109/tii.2015.2431223</w:t>
        </w:r>
      </w:hyperlink>
    </w:p>
    <w:p w14:paraId="24F74168" w14:textId="77777777" w:rsidR="00C94039" w:rsidRDefault="00C94039" w:rsidP="00C94039">
      <w:pPr>
        <w:pStyle w:val="isselectedend"/>
        <w:ind w:left="540" w:hanging="540"/>
        <w:jc w:val="both"/>
      </w:pPr>
      <w:r>
        <w:t xml:space="preserve">Rodriguez-Araujo, J., Rodriguez-Andina, J. J., Farina, J., Vidal, F., Mato, J. L., &amp; Montealegre, M. A. (2012). Industrial laser cladding systems: FPGA-based adaptive control. </w:t>
      </w:r>
      <w:r>
        <w:rPr>
          <w:rStyle w:val="Emphasis"/>
        </w:rPr>
        <w:t>IEEE Industrial Electronics Magazine, 6</w:t>
      </w:r>
      <w:r>
        <w:t xml:space="preserve">(4), 35–46. </w:t>
      </w:r>
      <w:hyperlink r:id="rId83" w:history="1">
        <w:r>
          <w:rPr>
            <w:rStyle w:val="Hyperlink"/>
          </w:rPr>
          <w:t>https://doi.org/10.1109/mie.2012.2221356</w:t>
        </w:r>
      </w:hyperlink>
    </w:p>
    <w:p w14:paraId="3C95007C" w14:textId="77777777" w:rsidR="00C94039" w:rsidRDefault="00C94039" w:rsidP="00C94039">
      <w:pPr>
        <w:pStyle w:val="isselectedend"/>
        <w:ind w:left="540" w:hanging="540"/>
        <w:jc w:val="both"/>
      </w:pPr>
      <w:proofErr w:type="spellStart"/>
      <w:r>
        <w:t>Rubattu</w:t>
      </w:r>
      <w:proofErr w:type="spellEnd"/>
      <w:r>
        <w:t xml:space="preserve">, C., Ledda, A., Ratto, F., Jugade, C., Goswami, D., &amp; Palumbo, F. (2025). Integrating FPGA-based acceleration in industrial motion control system. </w:t>
      </w:r>
      <w:r>
        <w:rPr>
          <w:rStyle w:val="Emphasis"/>
        </w:rPr>
        <w:t>IEEE Open Journal of the Industrial Electronics Society, 6</w:t>
      </w:r>
      <w:r>
        <w:t xml:space="preserve">, 898–914. </w:t>
      </w:r>
      <w:hyperlink r:id="rId84" w:history="1">
        <w:r>
          <w:rPr>
            <w:rStyle w:val="Hyperlink"/>
          </w:rPr>
          <w:t>https://doi.org/10.1109/OJIES.2025.3571218</w:t>
        </w:r>
      </w:hyperlink>
    </w:p>
    <w:p w14:paraId="3B405663" w14:textId="77777777" w:rsidR="00C94039" w:rsidRDefault="00C94039" w:rsidP="00C94039">
      <w:pPr>
        <w:pStyle w:val="isselectedend"/>
        <w:ind w:left="540" w:hanging="540"/>
        <w:jc w:val="both"/>
      </w:pPr>
      <w:r>
        <w:t xml:space="preserve">Ruiz-Rosero, J., Ramirez-Gonzalez, G., &amp; Khanna, R. (2019). Field programmable gate array applications—A </w:t>
      </w:r>
      <w:proofErr w:type="spellStart"/>
      <w:r>
        <w:t>scientometric</w:t>
      </w:r>
      <w:proofErr w:type="spellEnd"/>
      <w:r>
        <w:t xml:space="preserve"> review. </w:t>
      </w:r>
      <w:r>
        <w:rPr>
          <w:rStyle w:val="Emphasis"/>
        </w:rPr>
        <w:t>Computation, 7</w:t>
      </w:r>
      <w:r>
        <w:t xml:space="preserve">(4), 63. </w:t>
      </w:r>
      <w:hyperlink r:id="rId85" w:history="1">
        <w:r>
          <w:rPr>
            <w:rStyle w:val="Hyperlink"/>
          </w:rPr>
          <w:t>https://doi.org/10.3390/computation7040063</w:t>
        </w:r>
      </w:hyperlink>
    </w:p>
    <w:p w14:paraId="2E3ED66D" w14:textId="77777777" w:rsidR="00C94039" w:rsidRDefault="00C94039" w:rsidP="00C94039">
      <w:pPr>
        <w:pStyle w:val="isselectedend"/>
        <w:ind w:left="540" w:hanging="540"/>
        <w:jc w:val="both"/>
      </w:pPr>
      <w:r>
        <w:t xml:space="preserve">Sarac, M. R., &amp; </w:t>
      </w:r>
      <w:proofErr w:type="spellStart"/>
      <w:r>
        <w:t>Aydogmus</w:t>
      </w:r>
      <w:proofErr w:type="spellEnd"/>
      <w:r>
        <w:t xml:space="preserve">, O. (2025). Development and implementation of an FPGA-based embedded real-time digital simulator. </w:t>
      </w:r>
      <w:r>
        <w:rPr>
          <w:rStyle w:val="Emphasis"/>
        </w:rPr>
        <w:t>Measurement, 254</w:t>
      </w:r>
      <w:r>
        <w:t xml:space="preserve">, 117786. </w:t>
      </w:r>
      <w:hyperlink r:id="rId86" w:history="1">
        <w:r>
          <w:rPr>
            <w:rStyle w:val="Hyperlink"/>
          </w:rPr>
          <w:t>https://doi.org/10.1016/j.measurement.2025.117786</w:t>
        </w:r>
      </w:hyperlink>
    </w:p>
    <w:p w14:paraId="3BB4F1DC" w14:textId="77777777" w:rsidR="00C94039" w:rsidRDefault="00C94039" w:rsidP="00C94039">
      <w:pPr>
        <w:pStyle w:val="isselectedend"/>
        <w:ind w:left="540" w:hanging="540"/>
        <w:jc w:val="both"/>
      </w:pPr>
      <w:r>
        <w:t xml:space="preserve">Seol, Y., Hyeon, D., Min, J., Kim, M., &amp; Paek, J. (2021). Timely survey of time-sensitive networking: Past and future directions. </w:t>
      </w:r>
      <w:r>
        <w:rPr>
          <w:rStyle w:val="Emphasis"/>
        </w:rPr>
        <w:t>IEEE Access, 9</w:t>
      </w:r>
      <w:r>
        <w:t xml:space="preserve">, 142506–142527. </w:t>
      </w:r>
      <w:hyperlink r:id="rId87" w:history="1">
        <w:r>
          <w:rPr>
            <w:rStyle w:val="Hyperlink"/>
          </w:rPr>
          <w:t>https://doi.org/10.1109/access.2021.3120769</w:t>
        </w:r>
      </w:hyperlink>
    </w:p>
    <w:p w14:paraId="27AF4BBB" w14:textId="77777777" w:rsidR="00C94039" w:rsidRDefault="00C94039" w:rsidP="00C94039">
      <w:pPr>
        <w:pStyle w:val="isselectedend"/>
        <w:ind w:left="540" w:hanging="540"/>
        <w:jc w:val="both"/>
      </w:pPr>
      <w:r>
        <w:t xml:space="preserve">Sepulveda, C. A., Munoz, J. A., Espinoza, J. R., Figueroa, M. E., &amp; Baier, C. R. (2013). FPGA v/s DSP performance comparison for a VSC-based STATCOM control application. </w:t>
      </w:r>
      <w:r>
        <w:rPr>
          <w:rStyle w:val="Emphasis"/>
        </w:rPr>
        <w:t>IEEE Transactions on Industrial Informatics, 9</w:t>
      </w:r>
      <w:r>
        <w:t xml:space="preserve">(3), 1351–1360. </w:t>
      </w:r>
      <w:hyperlink r:id="rId88" w:history="1">
        <w:r>
          <w:rPr>
            <w:rStyle w:val="Hyperlink"/>
          </w:rPr>
          <w:t>https://doi.org/10.1109/tii.2012.2222419</w:t>
        </w:r>
      </w:hyperlink>
    </w:p>
    <w:p w14:paraId="0AF9115D" w14:textId="77777777" w:rsidR="00C94039" w:rsidRDefault="00C94039" w:rsidP="00C94039">
      <w:pPr>
        <w:pStyle w:val="isselectedend"/>
        <w:ind w:left="540" w:hanging="540"/>
        <w:jc w:val="both"/>
      </w:pPr>
      <w:r>
        <w:t xml:space="preserve">Shawahna, A., Sait, S. M., &amp; El-Maleh, A. (2019). FPGA-based accelerators of deep learning networks for learning and classification: A review. </w:t>
      </w:r>
      <w:r>
        <w:rPr>
          <w:rStyle w:val="Emphasis"/>
        </w:rPr>
        <w:t>IEEE Access, 7</w:t>
      </w:r>
      <w:r>
        <w:t xml:space="preserve">, 7823–7859. </w:t>
      </w:r>
      <w:hyperlink r:id="rId89" w:history="1">
        <w:r>
          <w:rPr>
            <w:rStyle w:val="Hyperlink"/>
          </w:rPr>
          <w:t>https://doi.org/10.1109/access.2018.2890150</w:t>
        </w:r>
      </w:hyperlink>
    </w:p>
    <w:p w14:paraId="101BDAC1" w14:textId="77777777" w:rsidR="00C94039" w:rsidRDefault="00C94039" w:rsidP="00C94039">
      <w:pPr>
        <w:pStyle w:val="isselectedend"/>
        <w:ind w:left="540" w:hanging="540"/>
        <w:jc w:val="both"/>
      </w:pPr>
      <w:r>
        <w:t xml:space="preserve">Shen, Z., &amp; </w:t>
      </w:r>
      <w:proofErr w:type="spellStart"/>
      <w:r>
        <w:t>Dinavahi</w:t>
      </w:r>
      <w:proofErr w:type="spellEnd"/>
      <w:r>
        <w:t xml:space="preserve">, V. (2016). Real-time device-level transient electrothermal model for modular multilevel converter on FPGA. </w:t>
      </w:r>
      <w:r>
        <w:rPr>
          <w:rStyle w:val="Emphasis"/>
        </w:rPr>
        <w:t>IEEE Transactions on Power Electronics, 31</w:t>
      </w:r>
      <w:r>
        <w:t xml:space="preserve">(9), 6155–6168. </w:t>
      </w:r>
      <w:hyperlink r:id="rId90" w:history="1">
        <w:r>
          <w:rPr>
            <w:rStyle w:val="Hyperlink"/>
          </w:rPr>
          <w:t>https://doi.org/10.1109/tpel.2015.2503281</w:t>
        </w:r>
      </w:hyperlink>
    </w:p>
    <w:p w14:paraId="17A3D9E9" w14:textId="77777777" w:rsidR="00C94039" w:rsidRDefault="00C94039" w:rsidP="00C94039">
      <w:pPr>
        <w:pStyle w:val="isselectedend"/>
        <w:ind w:left="540" w:hanging="540"/>
        <w:jc w:val="both"/>
      </w:pPr>
      <w:proofErr w:type="spellStart"/>
      <w:r>
        <w:lastRenderedPageBreak/>
        <w:t>Siecha</w:t>
      </w:r>
      <w:proofErr w:type="spellEnd"/>
      <w:r>
        <w:t xml:space="preserve">, R. T., Alemu, G., </w:t>
      </w:r>
      <w:proofErr w:type="spellStart"/>
      <w:r>
        <w:t>Prinzie</w:t>
      </w:r>
      <w:proofErr w:type="spellEnd"/>
      <w:r>
        <w:t xml:space="preserve">, J., &amp; Leroux, P. (2025). Analysis of the SEU tolerance of an FPGA-based time-to-digital converter using emulation-based fault injection. </w:t>
      </w:r>
      <w:r>
        <w:rPr>
          <w:rStyle w:val="Emphasis"/>
        </w:rPr>
        <w:t>Electronics, 14</w:t>
      </w:r>
      <w:r>
        <w:t xml:space="preserve">(11), 2176. </w:t>
      </w:r>
      <w:hyperlink r:id="rId91" w:history="1">
        <w:r>
          <w:rPr>
            <w:rStyle w:val="Hyperlink"/>
          </w:rPr>
          <w:t>https://doi.org/10.3390/electronics14112176</w:t>
        </w:r>
      </w:hyperlink>
    </w:p>
    <w:p w14:paraId="03EB712D" w14:textId="77777777" w:rsidR="00C94039" w:rsidRDefault="00C94039" w:rsidP="00C94039">
      <w:pPr>
        <w:pStyle w:val="isselectedend"/>
        <w:ind w:left="540" w:hanging="540"/>
        <w:jc w:val="both"/>
      </w:pPr>
      <w:r>
        <w:t xml:space="preserve">Silva, J., Sklyarov, V., &amp; </w:t>
      </w:r>
      <w:proofErr w:type="spellStart"/>
      <w:r>
        <w:t>Skliarova</w:t>
      </w:r>
      <w:proofErr w:type="spellEnd"/>
      <w:r>
        <w:t xml:space="preserve">, I. (2015). Comparison of on-chip communications in Zynq-7000 all programmable systems-on-chip. </w:t>
      </w:r>
      <w:r>
        <w:rPr>
          <w:rStyle w:val="Emphasis"/>
        </w:rPr>
        <w:t>IEEE Embedded Systems Letters, 7</w:t>
      </w:r>
      <w:r>
        <w:t xml:space="preserve">(1), 31–34. </w:t>
      </w:r>
      <w:hyperlink r:id="rId92" w:history="1">
        <w:r>
          <w:rPr>
            <w:rStyle w:val="Hyperlink"/>
          </w:rPr>
          <w:t>https://doi.org/10.1109/les.2015.2399656</w:t>
        </w:r>
      </w:hyperlink>
    </w:p>
    <w:p w14:paraId="7A61814B" w14:textId="77777777" w:rsidR="00C94039" w:rsidRDefault="00C94039" w:rsidP="00C94039">
      <w:pPr>
        <w:pStyle w:val="isselectedend"/>
        <w:ind w:left="540" w:hanging="540"/>
        <w:jc w:val="both"/>
      </w:pPr>
      <w:r>
        <w:t xml:space="preserve">Silva Júnior, D. C., Oliveira, J. G., de Almeida, P. M., &amp; Boström, C. (2019). Control of a multi-functional inverter in an AC microgrid – Real-time simulation with control hardware in the loop. </w:t>
      </w:r>
      <w:r>
        <w:rPr>
          <w:rStyle w:val="Emphasis"/>
        </w:rPr>
        <w:t>Electric Power Systems Research, 172</w:t>
      </w:r>
      <w:r>
        <w:t xml:space="preserve">, 201–212. </w:t>
      </w:r>
      <w:hyperlink r:id="rId93" w:history="1">
        <w:r>
          <w:rPr>
            <w:rStyle w:val="Hyperlink"/>
          </w:rPr>
          <w:t>https://doi.org/10.1016/j.epsr.2019.03.016</w:t>
        </w:r>
      </w:hyperlink>
    </w:p>
    <w:p w14:paraId="09AA120F" w14:textId="77777777" w:rsidR="00C94039" w:rsidRDefault="00C94039" w:rsidP="00C94039">
      <w:pPr>
        <w:pStyle w:val="isselectedend"/>
        <w:ind w:left="540" w:hanging="540"/>
        <w:jc w:val="both"/>
      </w:pPr>
      <w:r>
        <w:t xml:space="preserve">Simonetti, F., D'Innocenzo, A., &amp; </w:t>
      </w:r>
      <w:proofErr w:type="spellStart"/>
      <w:r>
        <w:t>Cecati</w:t>
      </w:r>
      <w:proofErr w:type="spellEnd"/>
      <w:r>
        <w:t xml:space="preserve">, C. (2023). Neural network model-predictive control for CHB converters with FPGA implementation. </w:t>
      </w:r>
      <w:r>
        <w:rPr>
          <w:rStyle w:val="Emphasis"/>
        </w:rPr>
        <w:t>IEEE Transactions on Industrial Informatics, 19</w:t>
      </w:r>
      <w:r>
        <w:t xml:space="preserve">(9), 9691–9702. </w:t>
      </w:r>
      <w:hyperlink r:id="rId94" w:history="1">
        <w:r>
          <w:rPr>
            <w:rStyle w:val="Hyperlink"/>
          </w:rPr>
          <w:t>https://doi.org/10.1109/tii.2023.3233973</w:t>
        </w:r>
      </w:hyperlink>
    </w:p>
    <w:p w14:paraId="5C838E02" w14:textId="77777777" w:rsidR="00C94039" w:rsidRDefault="00C94039" w:rsidP="00C94039">
      <w:pPr>
        <w:pStyle w:val="isselectedend"/>
        <w:ind w:left="540" w:hanging="540"/>
        <w:jc w:val="both"/>
      </w:pPr>
      <w:r>
        <w:t xml:space="preserve">Spano, S., </w:t>
      </w:r>
      <w:proofErr w:type="spellStart"/>
      <w:r>
        <w:t>Cardarilli</w:t>
      </w:r>
      <w:proofErr w:type="spellEnd"/>
      <w:r>
        <w:t xml:space="preserve">, G. C., Di Nunzio, L., Fazzolari, R., Giardino, D., Matta, M., Nannarelli, A., &amp; Re, M. (2019). An efficient hardware implementation of reinforcement learning: The Q-learning algorithm. </w:t>
      </w:r>
      <w:r>
        <w:rPr>
          <w:rStyle w:val="Emphasis"/>
        </w:rPr>
        <w:t>IEEE Access, 7</w:t>
      </w:r>
      <w:r>
        <w:t xml:space="preserve">, 186340–186351. </w:t>
      </w:r>
      <w:hyperlink r:id="rId95" w:history="1">
        <w:r>
          <w:rPr>
            <w:rStyle w:val="Hyperlink"/>
          </w:rPr>
          <w:t>https://doi.org/10.1109/access.2019.2961174</w:t>
        </w:r>
      </w:hyperlink>
    </w:p>
    <w:p w14:paraId="3DEBC449" w14:textId="77777777" w:rsidR="00C94039" w:rsidRDefault="00C94039" w:rsidP="00C94039">
      <w:pPr>
        <w:pStyle w:val="isselectedend"/>
        <w:ind w:left="540" w:hanging="540"/>
        <w:jc w:val="both"/>
      </w:pPr>
      <w:r>
        <w:t xml:space="preserve">Sripad, A., Sanchez, G., Zapata, M., Pirrone, V., Dorta, T., Cambria, S., Marti, A., </w:t>
      </w:r>
      <w:proofErr w:type="spellStart"/>
      <w:r>
        <w:t>Krishnamourthy</w:t>
      </w:r>
      <w:proofErr w:type="spellEnd"/>
      <w:r>
        <w:t xml:space="preserve">, K., &amp; </w:t>
      </w:r>
      <w:proofErr w:type="spellStart"/>
      <w:r>
        <w:t>Madrenas</w:t>
      </w:r>
      <w:proofErr w:type="spellEnd"/>
      <w:r>
        <w:t xml:space="preserve">, J. (2018). SNAVA—A real-time multi-FPGA multi-model spiking neural network simulation architecture. </w:t>
      </w:r>
      <w:r>
        <w:rPr>
          <w:rStyle w:val="Emphasis"/>
        </w:rPr>
        <w:t>Neural Networks, 97</w:t>
      </w:r>
      <w:r>
        <w:t xml:space="preserve">, 28–45. </w:t>
      </w:r>
      <w:hyperlink r:id="rId96" w:history="1">
        <w:r>
          <w:rPr>
            <w:rStyle w:val="Hyperlink"/>
          </w:rPr>
          <w:t>https://doi.org/10.1016/j.neunet.2017.09.011</w:t>
        </w:r>
      </w:hyperlink>
    </w:p>
    <w:p w14:paraId="18D5EB08" w14:textId="77777777" w:rsidR="00C94039" w:rsidRDefault="00C94039" w:rsidP="00C94039">
      <w:pPr>
        <w:pStyle w:val="isselectedend"/>
        <w:ind w:left="540" w:hanging="540"/>
        <w:jc w:val="both"/>
      </w:pPr>
      <w:r>
        <w:t xml:space="preserve">Steckert, J., &amp; Skoczen, A. (2017). Design of FPGA-based radiation tolerant quench detectors for LHC. </w:t>
      </w:r>
      <w:r>
        <w:rPr>
          <w:rStyle w:val="Emphasis"/>
        </w:rPr>
        <w:t>Journal of Instrumentation, 12</w:t>
      </w:r>
      <w:r>
        <w:t xml:space="preserve">(4), T04005. </w:t>
      </w:r>
      <w:hyperlink r:id="rId97" w:history="1">
        <w:r>
          <w:rPr>
            <w:rStyle w:val="Hyperlink"/>
          </w:rPr>
          <w:t>https://doi.org/10.1088/1748-0221/12/04/t04005</w:t>
        </w:r>
      </w:hyperlink>
    </w:p>
    <w:p w14:paraId="61A64275" w14:textId="77777777" w:rsidR="00C94039" w:rsidRDefault="00C94039" w:rsidP="00C94039">
      <w:pPr>
        <w:pStyle w:val="isselectedend"/>
        <w:ind w:left="540" w:hanging="540"/>
        <w:jc w:val="both"/>
      </w:pPr>
      <w:proofErr w:type="spellStart"/>
      <w:r>
        <w:t>Stój</w:t>
      </w:r>
      <w:proofErr w:type="spellEnd"/>
      <w:r>
        <w:t xml:space="preserve">, J., </w:t>
      </w:r>
      <w:proofErr w:type="spellStart"/>
      <w:r>
        <w:t>Ziębiński</w:t>
      </w:r>
      <w:proofErr w:type="spellEnd"/>
      <w:r>
        <w:t xml:space="preserve">, A., &amp; Cupek, R. (2022). FPGA based industrial Ethernet network </w:t>
      </w:r>
      <w:proofErr w:type="spellStart"/>
      <w:r>
        <w:t>analyser</w:t>
      </w:r>
      <w:proofErr w:type="spellEnd"/>
      <w:r>
        <w:t xml:space="preserve"> for real-time systems providing openness for Industry 4.0. </w:t>
      </w:r>
      <w:r>
        <w:rPr>
          <w:rStyle w:val="Emphasis"/>
        </w:rPr>
        <w:t>Enterprise Information Systems, 16</w:t>
      </w:r>
      <w:r>
        <w:t xml:space="preserve">(10–11), 1711–1731. </w:t>
      </w:r>
      <w:hyperlink r:id="rId98" w:history="1">
        <w:r>
          <w:rPr>
            <w:rStyle w:val="Hyperlink"/>
          </w:rPr>
          <w:t>https://doi.org/10.1080/17517575.2021.1948613</w:t>
        </w:r>
      </w:hyperlink>
    </w:p>
    <w:p w14:paraId="23FE3F16" w14:textId="77777777" w:rsidR="00C94039" w:rsidRDefault="00C94039" w:rsidP="00C94039">
      <w:pPr>
        <w:pStyle w:val="isselectedend"/>
        <w:ind w:left="540" w:hanging="540"/>
        <w:jc w:val="both"/>
      </w:pPr>
      <w:proofErr w:type="spellStart"/>
      <w:r>
        <w:t>Szentimrey</w:t>
      </w:r>
      <w:proofErr w:type="spellEnd"/>
      <w:r>
        <w:t>, H., Al-</w:t>
      </w:r>
      <w:proofErr w:type="spellStart"/>
      <w:r>
        <w:t>Hyari</w:t>
      </w:r>
      <w:proofErr w:type="spellEnd"/>
      <w:r>
        <w:t xml:space="preserve">, A., Foxcroft, J., Martin, T., Noel, D., Grewal, G., &amp; </w:t>
      </w:r>
      <w:proofErr w:type="spellStart"/>
      <w:r>
        <w:t>Areibi</w:t>
      </w:r>
      <w:proofErr w:type="spellEnd"/>
      <w:r>
        <w:t xml:space="preserve">, S. (2020). Machine learning for congestion management and </w:t>
      </w:r>
      <w:proofErr w:type="spellStart"/>
      <w:r>
        <w:t>routability</w:t>
      </w:r>
      <w:proofErr w:type="spellEnd"/>
      <w:r>
        <w:t xml:space="preserve"> prediction within FPGA placement. </w:t>
      </w:r>
      <w:r>
        <w:rPr>
          <w:rStyle w:val="Emphasis"/>
        </w:rPr>
        <w:t>ACM Transactions on Design Automation of Electronic Systems, 25</w:t>
      </w:r>
      <w:r>
        <w:t xml:space="preserve">(5), Article 37. </w:t>
      </w:r>
      <w:hyperlink r:id="rId99" w:history="1">
        <w:r>
          <w:rPr>
            <w:rStyle w:val="Hyperlink"/>
          </w:rPr>
          <w:t>https://doi.org/10.1145/3373269</w:t>
        </w:r>
      </w:hyperlink>
    </w:p>
    <w:p w14:paraId="6BC6EE9B" w14:textId="77777777" w:rsidR="00C94039" w:rsidRDefault="00C94039" w:rsidP="00C94039">
      <w:pPr>
        <w:pStyle w:val="isselectedend"/>
        <w:ind w:left="540" w:hanging="540"/>
        <w:jc w:val="both"/>
      </w:pPr>
      <w:r>
        <w:t xml:space="preserve">Tavana, N. R., &amp; </w:t>
      </w:r>
      <w:proofErr w:type="spellStart"/>
      <w:r>
        <w:t>Dinavahi</w:t>
      </w:r>
      <w:proofErr w:type="spellEnd"/>
      <w:r>
        <w:t xml:space="preserve">, V. (2016). Real-time nonlinear magnetic equivalent circuit model of induction machine on FPGA for hardware-in-the-loop simulation. </w:t>
      </w:r>
      <w:r>
        <w:rPr>
          <w:rStyle w:val="Emphasis"/>
        </w:rPr>
        <w:t>IEEE Transactions on Energy Conversion, 31</w:t>
      </w:r>
      <w:r>
        <w:t xml:space="preserve">(2), 520–530. </w:t>
      </w:r>
      <w:hyperlink r:id="rId100" w:history="1">
        <w:r>
          <w:rPr>
            <w:rStyle w:val="Hyperlink"/>
          </w:rPr>
          <w:t>https://doi.org/10.1109/tec.2015.2514099</w:t>
        </w:r>
      </w:hyperlink>
    </w:p>
    <w:p w14:paraId="49BC9251" w14:textId="77777777" w:rsidR="00C94039" w:rsidRDefault="00C94039" w:rsidP="00C94039">
      <w:pPr>
        <w:pStyle w:val="isselectedend"/>
        <w:ind w:left="540" w:hanging="540"/>
        <w:jc w:val="both"/>
      </w:pPr>
      <w:r>
        <w:lastRenderedPageBreak/>
        <w:t xml:space="preserve">Tripathi, A. N., &amp; Rajawat, A. (2020). An accurate and quick ANN-based system-level dynamic power estimation model using LLVM IR profiling for FPGA designs. </w:t>
      </w:r>
      <w:r>
        <w:rPr>
          <w:rStyle w:val="Emphasis"/>
        </w:rPr>
        <w:t>IEEE Embedded Systems Letters, 12</w:t>
      </w:r>
      <w:r>
        <w:t xml:space="preserve">(2), 58–61. </w:t>
      </w:r>
      <w:hyperlink r:id="rId101" w:history="1">
        <w:r>
          <w:rPr>
            <w:rStyle w:val="Hyperlink"/>
          </w:rPr>
          <w:t>https://doi.org/10.1109/les.2019.2935052</w:t>
        </w:r>
      </w:hyperlink>
    </w:p>
    <w:p w14:paraId="6245F761" w14:textId="77777777" w:rsidR="00C94039" w:rsidRDefault="00C94039" w:rsidP="00C94039">
      <w:pPr>
        <w:pStyle w:val="isselectedend"/>
        <w:ind w:left="540" w:hanging="540"/>
        <w:jc w:val="both"/>
      </w:pPr>
      <w:proofErr w:type="spellStart"/>
      <w:r>
        <w:t>Vavousis</w:t>
      </w:r>
      <w:proofErr w:type="spellEnd"/>
      <w:r>
        <w:t xml:space="preserve">, A., Apostolakis, A., &amp; </w:t>
      </w:r>
      <w:proofErr w:type="spellStart"/>
      <w:r>
        <w:t>Psarakis</w:t>
      </w:r>
      <w:proofErr w:type="spellEnd"/>
      <w:r>
        <w:t xml:space="preserve">, M. (2013). A fault tolerant approach for FPGA embedded processors based on runtime partial reconfiguration. </w:t>
      </w:r>
      <w:r>
        <w:rPr>
          <w:rStyle w:val="Emphasis"/>
        </w:rPr>
        <w:t>Journal of Electronic Testing, 29</w:t>
      </w:r>
      <w:r>
        <w:t xml:space="preserve">(6), 805–823. </w:t>
      </w:r>
      <w:hyperlink r:id="rId102" w:history="1">
        <w:r>
          <w:rPr>
            <w:rStyle w:val="Hyperlink"/>
          </w:rPr>
          <w:t>https://doi.org/10.1007/s10836-013-5420-x</w:t>
        </w:r>
      </w:hyperlink>
    </w:p>
    <w:p w14:paraId="313028CB" w14:textId="77777777" w:rsidR="00C94039" w:rsidRDefault="00C94039" w:rsidP="00C94039">
      <w:pPr>
        <w:pStyle w:val="isselectedend"/>
        <w:ind w:left="540" w:hanging="540"/>
        <w:jc w:val="both"/>
      </w:pPr>
      <w:r>
        <w:t xml:space="preserve">Vipin, K., &amp; Fahmy, S. A. (2018). FPGA dynamic and partial reconfiguration: A survey of architectures, methods, and applications. </w:t>
      </w:r>
      <w:r>
        <w:rPr>
          <w:rStyle w:val="Emphasis"/>
        </w:rPr>
        <w:t>ACM Computing Surveys, 51</w:t>
      </w:r>
      <w:r>
        <w:t xml:space="preserve">(4), Article 72. </w:t>
      </w:r>
      <w:hyperlink r:id="rId103" w:history="1">
        <w:r>
          <w:rPr>
            <w:rStyle w:val="Hyperlink"/>
          </w:rPr>
          <w:t>https://doi.org/10.1145/3193827</w:t>
        </w:r>
      </w:hyperlink>
    </w:p>
    <w:p w14:paraId="1F99C472" w14:textId="77777777" w:rsidR="00C94039" w:rsidRDefault="00C94039" w:rsidP="00C94039">
      <w:pPr>
        <w:pStyle w:val="isselectedend"/>
        <w:ind w:left="540" w:hanging="540"/>
        <w:jc w:val="both"/>
      </w:pPr>
      <w:r>
        <w:t xml:space="preserve">Vyas, S., Chetan Kumar, N. G., </w:t>
      </w:r>
      <w:proofErr w:type="spellStart"/>
      <w:r>
        <w:t>Zambreno</w:t>
      </w:r>
      <w:proofErr w:type="spellEnd"/>
      <w:r>
        <w:t xml:space="preserve">, J., Gill, C., </w:t>
      </w:r>
      <w:proofErr w:type="spellStart"/>
      <w:r>
        <w:t>Cytron</w:t>
      </w:r>
      <w:proofErr w:type="spellEnd"/>
      <w:r>
        <w:t xml:space="preserve">, R., &amp; Jones, P. (2014). An FPGA-based plant-on-chip platform for cyber-physical system analysis. </w:t>
      </w:r>
      <w:r>
        <w:rPr>
          <w:rStyle w:val="Emphasis"/>
        </w:rPr>
        <w:t>IEEE Embedded Systems Letters, 6</w:t>
      </w:r>
      <w:r>
        <w:t xml:space="preserve">(1), 4–7. </w:t>
      </w:r>
      <w:hyperlink r:id="rId104" w:history="1">
        <w:r>
          <w:rPr>
            <w:rStyle w:val="Hyperlink"/>
          </w:rPr>
          <w:t>https://doi.org/10.1109/les.2013.2262107</w:t>
        </w:r>
      </w:hyperlink>
    </w:p>
    <w:p w14:paraId="691214F1" w14:textId="77777777" w:rsidR="00C94039" w:rsidRDefault="00C94039" w:rsidP="00C94039">
      <w:pPr>
        <w:pStyle w:val="isselectedend"/>
        <w:ind w:left="540" w:hanging="540"/>
        <w:jc w:val="both"/>
      </w:pPr>
      <w:r>
        <w:t xml:space="preserve">Vyncke, T. J., Thielemans, S., &amp; </w:t>
      </w:r>
      <w:proofErr w:type="spellStart"/>
      <w:r>
        <w:t>Melkebeek</w:t>
      </w:r>
      <w:proofErr w:type="spellEnd"/>
      <w:r>
        <w:t xml:space="preserve">, J. A. (2013). Finite-set model-based predictive control for flying-capacitor converters: Cost function design and efficient FPGA implementation. </w:t>
      </w:r>
      <w:r>
        <w:rPr>
          <w:rStyle w:val="Emphasis"/>
        </w:rPr>
        <w:t>IEEE Transactions on Industrial Informatics, 9</w:t>
      </w:r>
      <w:r>
        <w:t xml:space="preserve">(2), 1113–1121. </w:t>
      </w:r>
      <w:hyperlink r:id="rId105" w:history="1">
        <w:r>
          <w:rPr>
            <w:rStyle w:val="Hyperlink"/>
          </w:rPr>
          <w:t>https://doi.org/10.1109/tii.2012.2223707</w:t>
        </w:r>
      </w:hyperlink>
    </w:p>
    <w:p w14:paraId="75BA3EFC" w14:textId="77777777" w:rsidR="00C94039" w:rsidRDefault="00C94039" w:rsidP="00C94039">
      <w:pPr>
        <w:pStyle w:val="isselectedend"/>
        <w:ind w:left="540" w:hanging="540"/>
        <w:jc w:val="both"/>
      </w:pPr>
      <w:r>
        <w:t xml:space="preserve">Wang, Z., Xu, K., Wu, S., Liu, L., Liu, L., &amp; Wang, D. (2020). Sparse-YOLO: Hardware/Software co-design of an FPGA accelerator for YOLOv2. </w:t>
      </w:r>
      <w:r>
        <w:rPr>
          <w:rStyle w:val="Emphasis"/>
        </w:rPr>
        <w:t>IEEE Access, 8</w:t>
      </w:r>
      <w:r>
        <w:t xml:space="preserve">, 116569–116585. </w:t>
      </w:r>
      <w:hyperlink r:id="rId106" w:history="1">
        <w:r>
          <w:rPr>
            <w:rStyle w:val="Hyperlink"/>
          </w:rPr>
          <w:t>https://doi.org/10.1109/access.2020.3004198</w:t>
        </w:r>
      </w:hyperlink>
    </w:p>
    <w:p w14:paraId="050F36CC" w14:textId="77777777" w:rsidR="00C94039" w:rsidRDefault="00C94039" w:rsidP="00C94039">
      <w:pPr>
        <w:pStyle w:val="isselectedend"/>
        <w:ind w:left="540" w:hanging="540"/>
        <w:jc w:val="both"/>
      </w:pPr>
      <w:r>
        <w:t xml:space="preserve">Wang, F., He, L., &amp; Rodriguez, J. (2020). FPGA-based continuous control set model predictive current control for PMSM system using multistep error tracking technique. </w:t>
      </w:r>
      <w:r>
        <w:rPr>
          <w:rStyle w:val="Emphasis"/>
        </w:rPr>
        <w:t>IEEE Transactions on Power Electronics, 35</w:t>
      </w:r>
      <w:r>
        <w:t xml:space="preserve">(12), 13455–13464. </w:t>
      </w:r>
      <w:hyperlink r:id="rId107" w:history="1">
        <w:r>
          <w:rPr>
            <w:rStyle w:val="Hyperlink"/>
          </w:rPr>
          <w:t>https://doi.org/10.1109/tpel.2020.2984336</w:t>
        </w:r>
      </w:hyperlink>
    </w:p>
    <w:p w14:paraId="33B5DD4B" w14:textId="77777777" w:rsidR="00C94039" w:rsidRDefault="00C94039" w:rsidP="00C94039">
      <w:pPr>
        <w:pStyle w:val="isselectedend"/>
        <w:ind w:left="540" w:hanging="540"/>
        <w:jc w:val="both"/>
      </w:pPr>
      <w:r>
        <w:t xml:space="preserve">Wirthlin, M. J. (2013). FPGAs operating in a radiation environment: Lessons learned from FPGAs in space. </w:t>
      </w:r>
      <w:r>
        <w:rPr>
          <w:rStyle w:val="Emphasis"/>
        </w:rPr>
        <w:t>Journal of Instrumentation, 8</w:t>
      </w:r>
      <w:r>
        <w:t xml:space="preserve">(2), C02020. </w:t>
      </w:r>
      <w:hyperlink r:id="rId108" w:history="1">
        <w:r>
          <w:rPr>
            <w:rStyle w:val="Hyperlink"/>
          </w:rPr>
          <w:t>https://doi.org/10.1088/1748-0221/8/02/c02020</w:t>
        </w:r>
      </w:hyperlink>
    </w:p>
    <w:p w14:paraId="62F74E07" w14:textId="77777777" w:rsidR="00C94039" w:rsidRDefault="00C94039" w:rsidP="00C94039">
      <w:pPr>
        <w:pStyle w:val="isselectedend"/>
        <w:ind w:left="540" w:hanging="540"/>
        <w:jc w:val="both"/>
      </w:pPr>
      <w:r>
        <w:t xml:space="preserve">Wisniewski, R., Bazydlo, G., Gomes, L., &amp; Costa, A. (2017). Dynamic partial reconfiguration of concurrent control systems implemented in FPGA devices. </w:t>
      </w:r>
      <w:r>
        <w:rPr>
          <w:rStyle w:val="Emphasis"/>
        </w:rPr>
        <w:t>IEEE Transactions on Industrial Informatics, 13</w:t>
      </w:r>
      <w:r>
        <w:t xml:space="preserve">(4), 1734–1741. </w:t>
      </w:r>
      <w:hyperlink r:id="rId109" w:history="1">
        <w:r>
          <w:rPr>
            <w:rStyle w:val="Hyperlink"/>
          </w:rPr>
          <w:t>https://doi.org/10.1109/tii.2017.2702564</w:t>
        </w:r>
      </w:hyperlink>
    </w:p>
    <w:p w14:paraId="44793CD5" w14:textId="77777777" w:rsidR="00C94039" w:rsidRPr="00C94039" w:rsidRDefault="00C94039" w:rsidP="00C94039">
      <w:pPr>
        <w:pStyle w:val="isselectedend"/>
        <w:ind w:left="540" w:hanging="540"/>
        <w:jc w:val="both"/>
        <w:rPr>
          <w:lang w:val="nl-BE"/>
        </w:rPr>
      </w:pPr>
      <w:r>
        <w:t xml:space="preserve">Wisniewski, R. (2018). Dynamic partial reconfiguration of concurrent control systems specified by Petri nets and implemented in Xilinx FPGA devices. </w:t>
      </w:r>
      <w:r w:rsidRPr="00C94039">
        <w:rPr>
          <w:rStyle w:val="Emphasis"/>
          <w:lang w:val="nl-BE"/>
        </w:rPr>
        <w:t>IEEE Access, 6</w:t>
      </w:r>
      <w:r w:rsidRPr="00C94039">
        <w:rPr>
          <w:lang w:val="nl-BE"/>
        </w:rPr>
        <w:t xml:space="preserve">, 32376–32391. </w:t>
      </w:r>
      <w:hyperlink r:id="rId110" w:history="1">
        <w:r w:rsidRPr="00C94039">
          <w:rPr>
            <w:rStyle w:val="Hyperlink"/>
            <w:lang w:val="nl-BE"/>
          </w:rPr>
          <w:t>https://doi.org/10.1109/access.2018.2836858</w:t>
        </w:r>
      </w:hyperlink>
    </w:p>
    <w:p w14:paraId="7A1F8C7F" w14:textId="77777777" w:rsidR="00C94039" w:rsidRPr="00C94039" w:rsidRDefault="00C94039" w:rsidP="00C94039">
      <w:pPr>
        <w:pStyle w:val="isselectedend"/>
        <w:ind w:left="540" w:hanging="540"/>
        <w:jc w:val="both"/>
        <w:rPr>
          <w:lang w:val="nl-BE"/>
        </w:rPr>
      </w:pPr>
      <w:r w:rsidRPr="00C94039">
        <w:rPr>
          <w:lang w:val="nl-BE"/>
        </w:rPr>
        <w:t xml:space="preserve">Yan, Z., Zhang, B., &amp; Wang, D. (2024). </w:t>
      </w:r>
      <w:r>
        <w:t xml:space="preserve">An FPGA-based YOLOv5 accelerator for real-time industrial vision applications. </w:t>
      </w:r>
      <w:r w:rsidRPr="00C94039">
        <w:rPr>
          <w:rStyle w:val="Emphasis"/>
          <w:lang w:val="nl-BE"/>
        </w:rPr>
        <w:t>Micromachines, 15</w:t>
      </w:r>
      <w:r w:rsidRPr="00C94039">
        <w:rPr>
          <w:lang w:val="nl-BE"/>
        </w:rPr>
        <w:t xml:space="preserve">(9), 1164. </w:t>
      </w:r>
      <w:hyperlink r:id="rId111" w:history="1">
        <w:r w:rsidRPr="00C94039">
          <w:rPr>
            <w:rStyle w:val="Hyperlink"/>
            <w:lang w:val="nl-BE"/>
          </w:rPr>
          <w:t>https://doi.org/10.3390/mi15091164</w:t>
        </w:r>
      </w:hyperlink>
    </w:p>
    <w:p w14:paraId="275DCB2A" w14:textId="77777777" w:rsidR="00C94039" w:rsidRDefault="00C94039" w:rsidP="00C94039">
      <w:pPr>
        <w:pStyle w:val="isselectedend"/>
        <w:ind w:left="540" w:hanging="540"/>
        <w:jc w:val="both"/>
      </w:pPr>
      <w:r w:rsidRPr="00C94039">
        <w:rPr>
          <w:lang w:val="nl-BE"/>
        </w:rPr>
        <w:lastRenderedPageBreak/>
        <w:t xml:space="preserve">Yang, N., Li, D., Zhang, J., &amp; Xi, Y. (2012). </w:t>
      </w:r>
      <w:r>
        <w:t xml:space="preserve">Model predictive controller design and implementation on FPGA with application to motor servo system. </w:t>
      </w:r>
      <w:r>
        <w:rPr>
          <w:rStyle w:val="Emphasis"/>
        </w:rPr>
        <w:t>Control Engineering Practice, 20</w:t>
      </w:r>
      <w:r>
        <w:t xml:space="preserve">(11), 1229–1235. </w:t>
      </w:r>
      <w:hyperlink r:id="rId112" w:history="1">
        <w:r>
          <w:rPr>
            <w:rStyle w:val="Hyperlink"/>
          </w:rPr>
          <w:t>https://doi.org/10.1016/j.conengprac.2012.06.012</w:t>
        </w:r>
      </w:hyperlink>
    </w:p>
    <w:p w14:paraId="5447DACE" w14:textId="77777777" w:rsidR="00C94039" w:rsidRDefault="00C94039" w:rsidP="00C94039">
      <w:pPr>
        <w:pStyle w:val="isselectedend"/>
        <w:ind w:left="540" w:hanging="540"/>
        <w:jc w:val="both"/>
      </w:pPr>
      <w:r>
        <w:t xml:space="preserve">Yang, Y., Shen, Z., Zhu, X., Wang, Z., Zhang, G., Zhou, J., Jiang, X., Deng, C., &amp; Liu, S. (2022). FPGA-based electronic system for the control and readout of superconducting quantum processors. </w:t>
      </w:r>
      <w:r>
        <w:rPr>
          <w:rStyle w:val="Emphasis"/>
        </w:rPr>
        <w:t>Review of Scientific Instruments, 93</w:t>
      </w:r>
      <w:r>
        <w:t xml:space="preserve">(7), Article 074701. </w:t>
      </w:r>
      <w:hyperlink r:id="rId113" w:history="1">
        <w:r>
          <w:rPr>
            <w:rStyle w:val="Hyperlink"/>
          </w:rPr>
          <w:t>https://doi.org/10.1063/5.0085467</w:t>
        </w:r>
      </w:hyperlink>
    </w:p>
    <w:p w14:paraId="63A1F4CA" w14:textId="77777777" w:rsidR="00C94039" w:rsidRDefault="00C94039" w:rsidP="00C94039">
      <w:pPr>
        <w:pStyle w:val="isselectedend"/>
        <w:ind w:left="540" w:hanging="540"/>
        <w:jc w:val="both"/>
      </w:pPr>
      <w:proofErr w:type="spellStart"/>
      <w:r>
        <w:t>Zacchigna</w:t>
      </w:r>
      <w:proofErr w:type="spellEnd"/>
      <w:r>
        <w:t xml:space="preserve">, F. G. (2023). Methodology for CNN implementation in FPGA-based embedded systems. </w:t>
      </w:r>
      <w:r>
        <w:rPr>
          <w:rStyle w:val="Emphasis"/>
        </w:rPr>
        <w:t>IEEE Embedded Systems Letters, 15</w:t>
      </w:r>
      <w:r>
        <w:t xml:space="preserve">(2), 85–88. </w:t>
      </w:r>
      <w:hyperlink r:id="rId114" w:history="1">
        <w:r>
          <w:rPr>
            <w:rStyle w:val="Hyperlink"/>
          </w:rPr>
          <w:t>https://doi.org/10.1109/les.2022.3187382</w:t>
        </w:r>
      </w:hyperlink>
    </w:p>
    <w:p w14:paraId="5738CF0F" w14:textId="77777777" w:rsidR="00C94039" w:rsidRDefault="00C94039" w:rsidP="00C94039">
      <w:pPr>
        <w:pStyle w:val="isselectedend"/>
        <w:ind w:left="540" w:hanging="540"/>
        <w:jc w:val="both"/>
      </w:pPr>
      <w:r>
        <w:t xml:space="preserve">Zhang, Y., </w:t>
      </w:r>
      <w:proofErr w:type="spellStart"/>
      <w:r>
        <w:t>Yasaei</w:t>
      </w:r>
      <w:proofErr w:type="spellEnd"/>
      <w:r>
        <w:t xml:space="preserve">, R., Chen, H., Li, Z., &amp; Faruque, M. A. A. (2021). Stealing neural network structure through remote FPGA side-channel analysis. </w:t>
      </w:r>
      <w:r>
        <w:rPr>
          <w:rStyle w:val="Emphasis"/>
        </w:rPr>
        <w:t>IEEE Transactions on Information Forensics and Security, 16</w:t>
      </w:r>
      <w:r>
        <w:t xml:space="preserve">, 4377–4388. </w:t>
      </w:r>
      <w:hyperlink r:id="rId115" w:history="1">
        <w:r>
          <w:rPr>
            <w:rStyle w:val="Hyperlink"/>
          </w:rPr>
          <w:t>https://doi.org/10.1109/tifs.2021.3106169</w:t>
        </w:r>
      </w:hyperlink>
    </w:p>
    <w:p w14:paraId="396C5EF2" w14:textId="77777777" w:rsidR="00C94039" w:rsidRDefault="00C94039" w:rsidP="00C94039">
      <w:pPr>
        <w:pStyle w:val="NormalWeb"/>
        <w:ind w:left="540" w:hanging="540"/>
        <w:jc w:val="both"/>
      </w:pPr>
      <w:r w:rsidRPr="00C94039">
        <w:rPr>
          <w:lang w:val="nl-BE"/>
        </w:rPr>
        <w:t xml:space="preserve">Zheng, J., Zeng, Y., Xu, H., Chen, K., Liu, W., Gu, Y., &amp; Zhao, Z. (2025). </w:t>
      </w:r>
      <w:r>
        <w:t xml:space="preserve">FPGA-based real-time X-in-the-loop simulation testbench for dynamic wireless power transfer system with stochastic and nonlinear inductance. </w:t>
      </w:r>
      <w:r>
        <w:rPr>
          <w:rStyle w:val="Emphasis"/>
        </w:rPr>
        <w:t>IEEE Transactions on Transportation Electrification, 11</w:t>
      </w:r>
      <w:r>
        <w:t xml:space="preserve">(1), 1779–1790. </w:t>
      </w:r>
      <w:hyperlink r:id="rId116" w:history="1">
        <w:r>
          <w:rPr>
            <w:rStyle w:val="Hyperlink"/>
          </w:rPr>
          <w:t>https://doi.org/10.1109/tte.2024.3410683</w:t>
        </w:r>
      </w:hyperlink>
    </w:p>
    <w:p w14:paraId="175851D7" w14:textId="388CD771" w:rsidR="00B12319" w:rsidRDefault="00B12319" w:rsidP="00C94039">
      <w:pPr>
        <w:ind w:left="720" w:hanging="720"/>
        <w:jc w:val="left"/>
      </w:pPr>
    </w:p>
    <w:sectPr w:rsidR="00B12319" w:rsidSect="00034616">
      <w:headerReference w:type="even" r:id="rId117"/>
      <w:headerReference w:type="default" r:id="rId118"/>
      <w:footerReference w:type="even" r:id="rId119"/>
      <w:footerReference w:type="default" r:id="rId120"/>
      <w:headerReference w:type="first" r:id="rId121"/>
      <w:footerReference w:type="first" r:id="rId122"/>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21FF0" w14:textId="77777777" w:rsidR="008F4565" w:rsidRDefault="008F4565" w:rsidP="00916BFE">
      <w:pPr>
        <w:spacing w:after="0" w:line="240" w:lineRule="auto"/>
      </w:pPr>
      <w:r>
        <w:separator/>
      </w:r>
    </w:p>
  </w:endnote>
  <w:endnote w:type="continuationSeparator" w:id="0">
    <w:p w14:paraId="7172D78D" w14:textId="77777777" w:rsidR="008F4565" w:rsidRDefault="008F4565" w:rsidP="00916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EB40" w14:textId="77777777" w:rsidR="00916BFE" w:rsidRDefault="00916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76C0" w14:textId="77777777" w:rsidR="00916BFE" w:rsidRDefault="00916B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2600" w14:textId="77777777" w:rsidR="00916BFE" w:rsidRDefault="00916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7ADA" w14:textId="77777777" w:rsidR="008F4565" w:rsidRDefault="008F4565" w:rsidP="00916BFE">
      <w:pPr>
        <w:spacing w:after="0" w:line="240" w:lineRule="auto"/>
      </w:pPr>
      <w:r>
        <w:separator/>
      </w:r>
    </w:p>
  </w:footnote>
  <w:footnote w:type="continuationSeparator" w:id="0">
    <w:p w14:paraId="40C9BBF1" w14:textId="77777777" w:rsidR="008F4565" w:rsidRDefault="008F4565" w:rsidP="00916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5892" w14:textId="77777777" w:rsidR="00916BFE" w:rsidRDefault="00000000">
    <w:pPr>
      <w:pStyle w:val="Header"/>
    </w:pPr>
    <w:r>
      <w:rPr>
        <w:noProof/>
      </w:rPr>
      <w:pict w14:anchorId="4756F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095860" o:spid="_x0000_s1026" type="#_x0000_t136" style="position:absolute;left:0;text-align:left;margin-left:0;margin-top:0;width:596.7pt;height:66.3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1655" w14:textId="77777777" w:rsidR="00916BFE" w:rsidRDefault="00000000">
    <w:pPr>
      <w:pStyle w:val="Header"/>
    </w:pPr>
    <w:r>
      <w:rPr>
        <w:noProof/>
      </w:rPr>
      <w:pict w14:anchorId="35DAB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095861" o:spid="_x0000_s1027" type="#_x0000_t136" style="position:absolute;left:0;text-align:left;margin-left:0;margin-top:0;width:596.7pt;height:66.3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33B2" w14:textId="77777777" w:rsidR="00916BFE" w:rsidRDefault="00000000">
    <w:pPr>
      <w:pStyle w:val="Header"/>
    </w:pPr>
    <w:r>
      <w:rPr>
        <w:noProof/>
      </w:rPr>
      <w:pict w14:anchorId="4EF3D9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095859" o:spid="_x0000_s1025" type="#_x0000_t136" style="position:absolute;left:0;text-align:left;margin-left:0;margin-top:0;width:596.7pt;height:66.3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7528741">
    <w:abstractNumId w:val="8"/>
  </w:num>
  <w:num w:numId="2" w16cid:durableId="9378353">
    <w:abstractNumId w:val="6"/>
  </w:num>
  <w:num w:numId="3" w16cid:durableId="1911188959">
    <w:abstractNumId w:val="5"/>
  </w:num>
  <w:num w:numId="4" w16cid:durableId="1389303392">
    <w:abstractNumId w:val="4"/>
  </w:num>
  <w:num w:numId="5" w16cid:durableId="399988397">
    <w:abstractNumId w:val="7"/>
  </w:num>
  <w:num w:numId="6" w16cid:durableId="1856963078">
    <w:abstractNumId w:val="3"/>
  </w:num>
  <w:num w:numId="7" w16cid:durableId="1203248789">
    <w:abstractNumId w:val="2"/>
  </w:num>
  <w:num w:numId="8" w16cid:durableId="140004356">
    <w:abstractNumId w:val="1"/>
  </w:num>
  <w:num w:numId="9" w16cid:durableId="1574316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9D7"/>
    <w:rsid w:val="0015074B"/>
    <w:rsid w:val="0029639D"/>
    <w:rsid w:val="00326F90"/>
    <w:rsid w:val="003C48D2"/>
    <w:rsid w:val="005729F5"/>
    <w:rsid w:val="005A7F6D"/>
    <w:rsid w:val="006530EA"/>
    <w:rsid w:val="007B1488"/>
    <w:rsid w:val="00812C88"/>
    <w:rsid w:val="008F4565"/>
    <w:rsid w:val="00916BFE"/>
    <w:rsid w:val="00A126E4"/>
    <w:rsid w:val="00AA1D8D"/>
    <w:rsid w:val="00B12319"/>
    <w:rsid w:val="00B47730"/>
    <w:rsid w:val="00C9403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E12934"/>
  <w14:defaultImageDpi w14:val="300"/>
  <w15:docId w15:val="{4AB23A8A-EEB5-44F8-B4E8-6249ADFBB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C94039"/>
    <w:pPr>
      <w:spacing w:before="100" w:beforeAutospacing="1" w:after="100" w:afterAutospacing="1" w:line="240" w:lineRule="auto"/>
      <w:jc w:val="left"/>
    </w:pPr>
    <w:rPr>
      <w:rFonts w:cs="Times New Roman"/>
      <w:szCs w:val="24"/>
    </w:rPr>
  </w:style>
  <w:style w:type="character" w:styleId="Hyperlink">
    <w:name w:val="Hyperlink"/>
    <w:basedOn w:val="DefaultParagraphFont"/>
    <w:uiPriority w:val="99"/>
    <w:semiHidden/>
    <w:unhideWhenUsed/>
    <w:rsid w:val="00C94039"/>
    <w:rPr>
      <w:color w:val="0000FF"/>
      <w:u w:val="single"/>
    </w:rPr>
  </w:style>
  <w:style w:type="character" w:customStyle="1" w:styleId="text-token-text-primary">
    <w:name w:val="text-token-text-primary"/>
    <w:basedOn w:val="DefaultParagraphFont"/>
    <w:rsid w:val="00C94039"/>
  </w:style>
  <w:style w:type="paragraph" w:styleId="NormalWeb">
    <w:name w:val="Normal (Web)"/>
    <w:basedOn w:val="Normal"/>
    <w:uiPriority w:val="99"/>
    <w:semiHidden/>
    <w:unhideWhenUsed/>
    <w:rsid w:val="00C94039"/>
    <w:pPr>
      <w:spacing w:before="100" w:beforeAutospacing="1" w:after="100" w:afterAutospacing="1" w:line="240" w:lineRule="auto"/>
      <w:jc w:val="left"/>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45/3734798" TargetMode="External"/><Relationship Id="rId117" Type="http://schemas.openxmlformats.org/officeDocument/2006/relationships/header" Target="header1.xml"/><Relationship Id="rId21" Type="http://schemas.openxmlformats.org/officeDocument/2006/relationships/hyperlink" Target="https://doi.org/10.1109/tns.2020.2995729" TargetMode="External"/><Relationship Id="rId42" Type="http://schemas.openxmlformats.org/officeDocument/2006/relationships/hyperlink" Target="https://doi.org/10.1109/tcst.2022.3168493" TargetMode="External"/><Relationship Id="rId47" Type="http://schemas.openxmlformats.org/officeDocument/2006/relationships/hyperlink" Target="https://doi.org/10.1109/tie.2018.2826482" TargetMode="External"/><Relationship Id="rId63" Type="http://schemas.openxmlformats.org/officeDocument/2006/relationships/hyperlink" Target="https://doi.org/10.1109/tii.2011.2123908" TargetMode="External"/><Relationship Id="rId68" Type="http://schemas.openxmlformats.org/officeDocument/2006/relationships/hyperlink" Target="https://doi.org/10.1080/00051144.2024.2313904" TargetMode="External"/><Relationship Id="rId84" Type="http://schemas.openxmlformats.org/officeDocument/2006/relationships/hyperlink" Target="https://doi.org/10.1109/OJIES.2025.3571218" TargetMode="External"/><Relationship Id="rId89" Type="http://schemas.openxmlformats.org/officeDocument/2006/relationships/hyperlink" Target="https://doi.org/10.1109/access.2018.2890150" TargetMode="External"/><Relationship Id="rId112" Type="http://schemas.openxmlformats.org/officeDocument/2006/relationships/hyperlink" Target="https://doi.org/10.1016/j.conengprac.2012.06.012" TargetMode="External"/><Relationship Id="rId16" Type="http://schemas.openxmlformats.org/officeDocument/2006/relationships/hyperlink" Target="https://doi.org/10.1016/j.future.2025.107777" TargetMode="External"/><Relationship Id="rId107" Type="http://schemas.openxmlformats.org/officeDocument/2006/relationships/hyperlink" Target="https://doi.org/10.1109/tpel.2020.2984336" TargetMode="External"/><Relationship Id="rId11" Type="http://schemas.openxmlformats.org/officeDocument/2006/relationships/hyperlink" Target="https://doi.org/10.1186/s41073-019-0064-8" TargetMode="External"/><Relationship Id="rId32" Type="http://schemas.openxmlformats.org/officeDocument/2006/relationships/hyperlink" Target="https://doi.org/10.1007/s11554-024-01442-8" TargetMode="External"/><Relationship Id="rId37" Type="http://schemas.openxmlformats.org/officeDocument/2006/relationships/hyperlink" Target="https://doi.org/10.1109/tie.2012.2189533" TargetMode="External"/><Relationship Id="rId53" Type="http://schemas.openxmlformats.org/officeDocument/2006/relationships/hyperlink" Target="https://doi.org/10.1109/tie.2014.2312312" TargetMode="External"/><Relationship Id="rId58" Type="http://schemas.openxmlformats.org/officeDocument/2006/relationships/hyperlink" Target="https://doi.org/10.1109/tpwrd.2020.2972737" TargetMode="External"/><Relationship Id="rId74" Type="http://schemas.openxmlformats.org/officeDocument/2006/relationships/hyperlink" Target="https://doi.org/10.1016/j.micpro.2018.05.017" TargetMode="External"/><Relationship Id="rId79" Type="http://schemas.openxmlformats.org/officeDocument/2006/relationships/hyperlink" Target="https://doi.org/10.3390/electronics14050941" TargetMode="External"/><Relationship Id="rId102" Type="http://schemas.openxmlformats.org/officeDocument/2006/relationships/hyperlink" Target="https://doi.org/10.1007/s10836-013-5420-x"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doi.org/10.1109/tpel.2015.2503281" TargetMode="External"/><Relationship Id="rId95" Type="http://schemas.openxmlformats.org/officeDocument/2006/relationships/hyperlink" Target="https://doi.org/10.1109/access.2019.2961174" TargetMode="External"/><Relationship Id="rId22" Type="http://schemas.openxmlformats.org/officeDocument/2006/relationships/hyperlink" Target="https://doi.org/10.1109/tpel.2017.2707639" TargetMode="External"/><Relationship Id="rId27" Type="http://schemas.openxmlformats.org/officeDocument/2006/relationships/hyperlink" Target="https://doi.org/10.1007/s11241-018-9308-9" TargetMode="External"/><Relationship Id="rId43" Type="http://schemas.openxmlformats.org/officeDocument/2006/relationships/hyperlink" Target="https://doi.org/10.1145/3713078" TargetMode="External"/><Relationship Id="rId48" Type="http://schemas.openxmlformats.org/officeDocument/2006/relationships/hyperlink" Target="https://doi.org/10.1109/tpel.2020.3040071" TargetMode="External"/><Relationship Id="rId64" Type="http://schemas.openxmlformats.org/officeDocument/2006/relationships/hyperlink" Target="https://doi.org/10.1109/mie.2021.3052179" TargetMode="External"/><Relationship Id="rId69" Type="http://schemas.openxmlformats.org/officeDocument/2006/relationships/hyperlink" Target="https://doi.org/10.1109/tii.2013.2239302" TargetMode="External"/><Relationship Id="rId113" Type="http://schemas.openxmlformats.org/officeDocument/2006/relationships/hyperlink" Target="https://doi.org/10.1063/5.0085467" TargetMode="External"/><Relationship Id="rId118" Type="http://schemas.openxmlformats.org/officeDocument/2006/relationships/header" Target="header2.xml"/><Relationship Id="rId80" Type="http://schemas.openxmlformats.org/officeDocument/2006/relationships/hyperlink" Target="https://doi.org/10.1109/tcst.2016.2577000" TargetMode="External"/><Relationship Id="rId85" Type="http://schemas.openxmlformats.org/officeDocument/2006/relationships/hyperlink" Target="https://doi.org/10.3390/computation7040063" TargetMode="External"/><Relationship Id="rId12" Type="http://schemas.openxmlformats.org/officeDocument/2006/relationships/hyperlink" Target="https://doi.org/10.1109/access.2024.3451448" TargetMode="External"/><Relationship Id="rId17" Type="http://schemas.openxmlformats.org/officeDocument/2006/relationships/hyperlink" Target="https://doi.org/10.1109/mdt.2013.2247460" TargetMode="External"/><Relationship Id="rId33" Type="http://schemas.openxmlformats.org/officeDocument/2006/relationships/hyperlink" Target="https://doi.org/10.1016/j.ress.2018.10.011" TargetMode="External"/><Relationship Id="rId38" Type="http://schemas.openxmlformats.org/officeDocument/2006/relationships/hyperlink" Target="https://doi.org/10.1109/les.2015.2450677" TargetMode="External"/><Relationship Id="rId59" Type="http://schemas.openxmlformats.org/officeDocument/2006/relationships/hyperlink" Target="https://doi.org/10.1016/j.ijepes.2018.07.022" TargetMode="External"/><Relationship Id="rId103" Type="http://schemas.openxmlformats.org/officeDocument/2006/relationships/hyperlink" Target="https://doi.org/10.1145/3193827" TargetMode="External"/><Relationship Id="rId108" Type="http://schemas.openxmlformats.org/officeDocument/2006/relationships/hyperlink" Target="https://doi.org/10.1088/1748-0221/8/02/c02020" TargetMode="External"/><Relationship Id="rId124" Type="http://schemas.openxmlformats.org/officeDocument/2006/relationships/theme" Target="theme/theme1.xml"/><Relationship Id="rId54" Type="http://schemas.openxmlformats.org/officeDocument/2006/relationships/hyperlink" Target="https://doi.org/10.1109/tii.2017.2719940" TargetMode="External"/><Relationship Id="rId70" Type="http://schemas.openxmlformats.org/officeDocument/2006/relationships/hyperlink" Target="https://doi.org/10.1016/j.future.2021.11.007" TargetMode="External"/><Relationship Id="rId75" Type="http://schemas.openxmlformats.org/officeDocument/2006/relationships/hyperlink" Target="https://doi.org/10.1109/les.2017.2774800" TargetMode="External"/><Relationship Id="rId91" Type="http://schemas.openxmlformats.org/officeDocument/2006/relationships/hyperlink" Target="https://doi.org/10.3390/electronics14112176" TargetMode="External"/><Relationship Id="rId96" Type="http://schemas.openxmlformats.org/officeDocument/2006/relationships/hyperlink" Target="https://doi.org/10.1016/j.neunet.2017.09.01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16/j.rineng.2022.100639" TargetMode="External"/><Relationship Id="rId28" Type="http://schemas.openxmlformats.org/officeDocument/2006/relationships/hyperlink" Target="https://doi.org/10.3390/en13020373" TargetMode="External"/><Relationship Id="rId49" Type="http://schemas.openxmlformats.org/officeDocument/2006/relationships/hyperlink" Target="https://doi.org/10.1016/j.conengprac.2025.106312" TargetMode="External"/><Relationship Id="rId114" Type="http://schemas.openxmlformats.org/officeDocument/2006/relationships/hyperlink" Target="https://doi.org/10.1109/les.2022.3187382" TargetMode="External"/><Relationship Id="rId119" Type="http://schemas.openxmlformats.org/officeDocument/2006/relationships/footer" Target="footer1.xml"/><Relationship Id="rId44" Type="http://schemas.openxmlformats.org/officeDocument/2006/relationships/hyperlink" Target="https://doi.org/10.1109/tns.2021.3070856" TargetMode="External"/><Relationship Id="rId60" Type="http://schemas.openxmlformats.org/officeDocument/2006/relationships/hyperlink" Target="https://doi.org/10.1007/s00521-018-3761-1" TargetMode="External"/><Relationship Id="rId65" Type="http://schemas.openxmlformats.org/officeDocument/2006/relationships/hyperlink" Target="https://doi.org/10.1109/access.2023.3331507" TargetMode="External"/><Relationship Id="rId81" Type="http://schemas.openxmlformats.org/officeDocument/2006/relationships/hyperlink" Target="https://doi.org/10.1109/tie.2007.898279" TargetMode="External"/><Relationship Id="rId86" Type="http://schemas.openxmlformats.org/officeDocument/2006/relationships/hyperlink" Target="https://doi.org/10.1016/j.measurement.2025.117786" TargetMode="External"/><Relationship Id="rId4" Type="http://schemas.openxmlformats.org/officeDocument/2006/relationships/settings" Target="settings.xml"/><Relationship Id="rId9" Type="http://schemas.openxmlformats.org/officeDocument/2006/relationships/hyperlink" Target="https://doi.org/10.1109/access.2020.3012673" TargetMode="External"/><Relationship Id="rId13" Type="http://schemas.openxmlformats.org/officeDocument/2006/relationships/hyperlink" Target="https://doi.org/10.3390/electronics9010089" TargetMode="External"/><Relationship Id="rId18" Type="http://schemas.openxmlformats.org/officeDocument/2006/relationships/hyperlink" Target="https://doi.org/10.1016/j.measurement.2014.02.018" TargetMode="External"/><Relationship Id="rId39" Type="http://schemas.openxmlformats.org/officeDocument/2006/relationships/hyperlink" Target="https://doi.org/10.1109/tpds.2021.3116859" TargetMode="External"/><Relationship Id="rId109" Type="http://schemas.openxmlformats.org/officeDocument/2006/relationships/hyperlink" Target="https://doi.org/10.1109/tii.2017.2702564" TargetMode="External"/><Relationship Id="rId34" Type="http://schemas.openxmlformats.org/officeDocument/2006/relationships/hyperlink" Target="https://doi.org/10.1145/3182172" TargetMode="External"/><Relationship Id="rId50" Type="http://schemas.openxmlformats.org/officeDocument/2006/relationships/hyperlink" Target="https://doi.org/10.1016/j.ijepes.2025.110754" TargetMode="External"/><Relationship Id="rId55" Type="http://schemas.openxmlformats.org/officeDocument/2006/relationships/hyperlink" Target="https://doi.org/10.1109/tii.2014.2344432" TargetMode="External"/><Relationship Id="rId76" Type="http://schemas.openxmlformats.org/officeDocument/2006/relationships/hyperlink" Target="https://doi.org/10.3390/electronics14030419" TargetMode="External"/><Relationship Id="rId97" Type="http://schemas.openxmlformats.org/officeDocument/2006/relationships/hyperlink" Target="https://doi.org/10.1088/1748-0221/12/04/t04005" TargetMode="External"/><Relationship Id="rId104" Type="http://schemas.openxmlformats.org/officeDocument/2006/relationships/hyperlink" Target="https://doi.org/10.1109/les.2013.2262107" TargetMode="External"/><Relationship Id="rId120"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doi.org/10.1016/j.sysarc.2022.102543" TargetMode="External"/><Relationship Id="rId92" Type="http://schemas.openxmlformats.org/officeDocument/2006/relationships/hyperlink" Target="https://doi.org/10.1109/les.2015.2399656" TargetMode="External"/><Relationship Id="rId2" Type="http://schemas.openxmlformats.org/officeDocument/2006/relationships/numbering" Target="numbering.xml"/><Relationship Id="rId29" Type="http://schemas.openxmlformats.org/officeDocument/2006/relationships/hyperlink" Target="https://doi.org/10.1109/tetci.2025.3551934" TargetMode="External"/><Relationship Id="rId24" Type="http://schemas.openxmlformats.org/officeDocument/2006/relationships/hyperlink" Target="https://doi.org/10.1109/tpel.2019.2956213" TargetMode="External"/><Relationship Id="rId40" Type="http://schemas.openxmlformats.org/officeDocument/2006/relationships/hyperlink" Target="https://doi.org/10.1109/tpel.2012.2222675" TargetMode="External"/><Relationship Id="rId45" Type="http://schemas.openxmlformats.org/officeDocument/2006/relationships/hyperlink" Target="https://doi.org/10.3389/fnins.2019.00377" TargetMode="External"/><Relationship Id="rId66" Type="http://schemas.openxmlformats.org/officeDocument/2006/relationships/hyperlink" Target="https://doi.org/10.1109/les.2022.3159541" TargetMode="External"/><Relationship Id="rId87" Type="http://schemas.openxmlformats.org/officeDocument/2006/relationships/hyperlink" Target="https://doi.org/10.1109/access.2021.3120769" TargetMode="External"/><Relationship Id="rId110" Type="http://schemas.openxmlformats.org/officeDocument/2006/relationships/hyperlink" Target="https://doi.org/10.1109/access.2018.2836858" TargetMode="External"/><Relationship Id="rId115" Type="http://schemas.openxmlformats.org/officeDocument/2006/relationships/hyperlink" Target="https://doi.org/10.1109/tifs.2021.3106169" TargetMode="External"/><Relationship Id="rId61" Type="http://schemas.openxmlformats.org/officeDocument/2006/relationships/hyperlink" Target="https://doi.org/10.1109/access.2022.3201107" TargetMode="External"/><Relationship Id="rId82" Type="http://schemas.openxmlformats.org/officeDocument/2006/relationships/hyperlink" Target="https://doi.org/10.1109/tii.2015.2431223" TargetMode="External"/><Relationship Id="rId19" Type="http://schemas.openxmlformats.org/officeDocument/2006/relationships/hyperlink" Target="https://doi.org/10.1016/j.microrel.2020.113779" TargetMode="External"/><Relationship Id="rId14" Type="http://schemas.openxmlformats.org/officeDocument/2006/relationships/hyperlink" Target="https://doi.org/10.1109/access.2024.3511345" TargetMode="External"/><Relationship Id="rId30" Type="http://schemas.openxmlformats.org/officeDocument/2006/relationships/hyperlink" Target="https://doi.org/10.1109/tvlsi.2013.2271696" TargetMode="External"/><Relationship Id="rId35" Type="http://schemas.openxmlformats.org/officeDocument/2006/relationships/hyperlink" Target="https://doi.org/10.1145/3451179" TargetMode="External"/><Relationship Id="rId56" Type="http://schemas.openxmlformats.org/officeDocument/2006/relationships/hyperlink" Target="https://doi.org/10.1109/tmscs.2016.2584052" TargetMode="External"/><Relationship Id="rId77" Type="http://schemas.openxmlformats.org/officeDocument/2006/relationships/hyperlink" Target="https://doi.org/10.1016/j.microrel.2017.09.007" TargetMode="External"/><Relationship Id="rId100" Type="http://schemas.openxmlformats.org/officeDocument/2006/relationships/hyperlink" Target="https://doi.org/10.1109/tec.2015.2514099" TargetMode="External"/><Relationship Id="rId105" Type="http://schemas.openxmlformats.org/officeDocument/2006/relationships/hyperlink" Target="https://doi.org/10.1109/tii.2012.2223707" TargetMode="External"/><Relationship Id="rId8" Type="http://schemas.openxmlformats.org/officeDocument/2006/relationships/hyperlink" Target="https://doi.org/10.1016/j.aeue.2024.155218" TargetMode="External"/><Relationship Id="rId51" Type="http://schemas.openxmlformats.org/officeDocument/2006/relationships/hyperlink" Target="https://doi.org/10.1109/tie.2025.3536555" TargetMode="External"/><Relationship Id="rId72" Type="http://schemas.openxmlformats.org/officeDocument/2006/relationships/hyperlink" Target="https://doi.org/10.1007/s11554-023-01391-8" TargetMode="External"/><Relationship Id="rId93" Type="http://schemas.openxmlformats.org/officeDocument/2006/relationships/hyperlink" Target="https://doi.org/10.1016/j.epsr.2019.03.016" TargetMode="External"/><Relationship Id="rId98" Type="http://schemas.openxmlformats.org/officeDocument/2006/relationships/hyperlink" Target="https://doi.org/10.1080/17517575.2021.1948613" TargetMode="External"/><Relationship Id="rId121" Type="http://schemas.openxmlformats.org/officeDocument/2006/relationships/header" Target="header3.xml"/><Relationship Id="rId3" Type="http://schemas.openxmlformats.org/officeDocument/2006/relationships/styles" Target="styles.xml"/><Relationship Id="rId25" Type="http://schemas.openxmlformats.org/officeDocument/2006/relationships/hyperlink" Target="https://doi.org/10.1109/tsg.2020.3039259" TargetMode="External"/><Relationship Id="rId46" Type="http://schemas.openxmlformats.org/officeDocument/2006/relationships/hyperlink" Target="https://doi.org/10.1155/2019/4723838" TargetMode="External"/><Relationship Id="rId67" Type="http://schemas.openxmlformats.org/officeDocument/2006/relationships/hyperlink" Target="https://doi.org/10.1109/access.2017.2671881" TargetMode="External"/><Relationship Id="rId116" Type="http://schemas.openxmlformats.org/officeDocument/2006/relationships/hyperlink" Target="https://doi.org/10.1109/tte.2024.3410683" TargetMode="External"/><Relationship Id="rId20" Type="http://schemas.openxmlformats.org/officeDocument/2006/relationships/hyperlink" Target="https://doi.org/10.3390/s120912235" TargetMode="External"/><Relationship Id="rId41" Type="http://schemas.openxmlformats.org/officeDocument/2006/relationships/hyperlink" Target="https://doi.org/10.1109/les.2017.2712858" TargetMode="External"/><Relationship Id="rId62" Type="http://schemas.openxmlformats.org/officeDocument/2006/relationships/hyperlink" Target="https://doi.org/10.1109/tie.2007.898281" TargetMode="External"/><Relationship Id="rId83" Type="http://schemas.openxmlformats.org/officeDocument/2006/relationships/hyperlink" Target="https://doi.org/10.1109/mie.2012.2221356" TargetMode="External"/><Relationship Id="rId88" Type="http://schemas.openxmlformats.org/officeDocument/2006/relationships/hyperlink" Target="https://doi.org/10.1109/tii.2012.2222419" TargetMode="External"/><Relationship Id="rId111" Type="http://schemas.openxmlformats.org/officeDocument/2006/relationships/hyperlink" Target="https://doi.org/10.3390/mi15091164" TargetMode="External"/><Relationship Id="rId15" Type="http://schemas.openxmlformats.org/officeDocument/2006/relationships/hyperlink" Target="https://doi.org/10.1038/s41598-025-98473-3" TargetMode="External"/><Relationship Id="rId36" Type="http://schemas.openxmlformats.org/officeDocument/2006/relationships/hyperlink" Target="https://doi.org/10.1109/tie.2012.2206354" TargetMode="External"/><Relationship Id="rId57" Type="http://schemas.openxmlformats.org/officeDocument/2006/relationships/hyperlink" Target="https://doi.org/10.1109/tpwrd.2019.2933610" TargetMode="External"/><Relationship Id="rId106" Type="http://schemas.openxmlformats.org/officeDocument/2006/relationships/hyperlink" Target="https://doi.org/10.1109/access.2020.3004198" TargetMode="External"/><Relationship Id="rId10" Type="http://schemas.openxmlformats.org/officeDocument/2006/relationships/hyperlink" Target="https://doi.org/10.1016/j.fusengdes.2020.111561" TargetMode="External"/><Relationship Id="rId31" Type="http://schemas.openxmlformats.org/officeDocument/2006/relationships/hyperlink" Target="https://doi.org/10.1109/tie.2014.2362888" TargetMode="External"/><Relationship Id="rId52" Type="http://schemas.openxmlformats.org/officeDocument/2006/relationships/hyperlink" Target="https://doi.org/10.1109/jproc.2019.2905334" TargetMode="External"/><Relationship Id="rId73" Type="http://schemas.openxmlformats.org/officeDocument/2006/relationships/hyperlink" Target="https://doi.org/10.1016/j.jsv.2015.02.002" TargetMode="External"/><Relationship Id="rId78" Type="http://schemas.openxmlformats.org/officeDocument/2006/relationships/hyperlink" Target="https://doi.org/10.1145/3712062" TargetMode="External"/><Relationship Id="rId94" Type="http://schemas.openxmlformats.org/officeDocument/2006/relationships/hyperlink" Target="https://doi.org/10.1109/tii.2023.3233973" TargetMode="External"/><Relationship Id="rId99" Type="http://schemas.openxmlformats.org/officeDocument/2006/relationships/hyperlink" Target="https://doi.org/10.1145/3373269" TargetMode="External"/><Relationship Id="rId101" Type="http://schemas.openxmlformats.org/officeDocument/2006/relationships/hyperlink" Target="https://doi.org/10.1109/les.2019.2935052" TargetMode="External"/><Relationship Id="rId1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52</Pages>
  <Words>21483</Words>
  <Characters>122455</Characters>
  <Application>Microsoft Office Word</Application>
  <DocSecurity>0</DocSecurity>
  <Lines>1020</Lines>
  <Paragraphs>287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5</cp:revision>
  <dcterms:created xsi:type="dcterms:W3CDTF">2013-12-23T23:15:00Z</dcterms:created>
  <dcterms:modified xsi:type="dcterms:W3CDTF">2026-09-24T08:51:00Z</dcterms:modified>
  <cp:category/>
</cp:coreProperties>
</file>