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CA43" w14:textId="77777777" w:rsidR="00390453" w:rsidRDefault="00F57E70" w:rsidP="00390453">
      <w:pPr>
        <w:pStyle w:val="Heading1"/>
        <w:spacing w:line="360" w:lineRule="auto"/>
        <w:jc w:val="center"/>
        <w:rPr>
          <w:rFonts w:ascii="Times New Roman" w:hAnsi="Times New Roman" w:cs="Times New Roman"/>
          <w:color w:val="auto"/>
          <w:sz w:val="28"/>
          <w:szCs w:val="28"/>
        </w:rPr>
      </w:pPr>
      <w:bookmarkStart w:id="0" w:name="Xcd7432dedf2b05b3e3268c33da168957f5ffc0e"/>
      <w:r w:rsidRPr="001A556C">
        <w:rPr>
          <w:rFonts w:ascii="Times New Roman" w:hAnsi="Times New Roman" w:cs="Times New Roman"/>
          <w:color w:val="auto"/>
          <w:sz w:val="28"/>
          <w:szCs w:val="28"/>
        </w:rPr>
        <w:t>Statistical Intelligence for Detecting AI Model Aging and Concept Drift in Adaptive Cybersecurity Systems</w:t>
      </w:r>
    </w:p>
    <w:p w14:paraId="4BF6C73B" w14:textId="77777777" w:rsidR="00427A24" w:rsidRPr="001A556C" w:rsidRDefault="00F57E70">
      <w:pPr>
        <w:pStyle w:val="Heading2"/>
        <w:rPr>
          <w:rFonts w:ascii="Times New Roman" w:hAnsi="Times New Roman" w:cs="Times New Roman"/>
          <w:color w:val="auto"/>
          <w:sz w:val="22"/>
          <w:szCs w:val="22"/>
        </w:rPr>
      </w:pPr>
      <w:bookmarkStart w:id="1" w:name="abstract"/>
      <w:r w:rsidRPr="001A556C">
        <w:rPr>
          <w:rFonts w:ascii="Times New Roman" w:hAnsi="Times New Roman" w:cs="Times New Roman"/>
          <w:color w:val="auto"/>
          <w:sz w:val="22"/>
          <w:szCs w:val="22"/>
        </w:rPr>
        <w:t>Abstract</w:t>
      </w:r>
    </w:p>
    <w:p w14:paraId="5545F827" w14:textId="77777777" w:rsidR="001A556C" w:rsidRPr="001A556C" w:rsidRDefault="001A556C" w:rsidP="001A556C">
      <w:pPr>
        <w:pStyle w:val="BodyText"/>
        <w:spacing w:line="360" w:lineRule="auto"/>
        <w:jc w:val="both"/>
        <w:rPr>
          <w:rFonts w:ascii="Times New Roman" w:hAnsi="Times New Roman" w:cs="Times New Roman"/>
          <w:sz w:val="22"/>
          <w:szCs w:val="22"/>
          <w:lang w:val="en-IN"/>
        </w:rPr>
      </w:pPr>
      <w:r w:rsidRPr="001A556C">
        <w:rPr>
          <w:rFonts w:ascii="Times New Roman" w:hAnsi="Times New Roman" w:cs="Times New Roman"/>
          <w:sz w:val="22"/>
          <w:szCs w:val="22"/>
          <w:lang w:val="en-IN"/>
        </w:rPr>
        <w:t xml:space="preserve">Machine-learning intrusion detectors are typically validated once at deployment and then trusted indefinitely. This is unsafe because the traffic distribution used for training differs from what deployed detectors encounter, with the gap widening as adversaries introduce unseen techniques. We formalise this degradation as </w:t>
      </w:r>
      <w:r w:rsidRPr="001A556C">
        <w:rPr>
          <w:rFonts w:ascii="Times New Roman" w:hAnsi="Times New Roman" w:cs="Times New Roman"/>
          <w:i/>
          <w:iCs/>
          <w:sz w:val="22"/>
          <w:szCs w:val="22"/>
          <w:lang w:val="en-IN"/>
        </w:rPr>
        <w:t>model aging</w:t>
      </w:r>
      <w:r w:rsidRPr="001A556C">
        <w:rPr>
          <w:rFonts w:ascii="Times New Roman" w:hAnsi="Times New Roman" w:cs="Times New Roman"/>
          <w:sz w:val="22"/>
          <w:szCs w:val="22"/>
          <w:lang w:val="en-IN"/>
        </w:rPr>
        <w:t xml:space="preserve"> and develop a statistical decision framework that identifies, without ground-truth labels, when a cybersecurity model becomes unreliable and when retraining is economically justified.</w:t>
      </w:r>
    </w:p>
    <w:p w14:paraId="784DC236" w14:textId="77777777" w:rsidR="001A556C" w:rsidRPr="001A556C" w:rsidRDefault="001A556C" w:rsidP="001A556C">
      <w:pPr>
        <w:pStyle w:val="BodyText"/>
        <w:spacing w:line="360" w:lineRule="auto"/>
        <w:jc w:val="both"/>
        <w:rPr>
          <w:rFonts w:ascii="Times New Roman" w:hAnsi="Times New Roman" w:cs="Times New Roman"/>
          <w:sz w:val="22"/>
          <w:szCs w:val="22"/>
          <w:lang w:val="en-IN"/>
        </w:rPr>
      </w:pPr>
      <w:r w:rsidRPr="001A556C">
        <w:rPr>
          <w:rFonts w:ascii="Times New Roman" w:hAnsi="Times New Roman" w:cs="Times New Roman"/>
          <w:sz w:val="22"/>
          <w:szCs w:val="22"/>
          <w:highlight w:val="yellow"/>
          <w:lang w:val="en-IN"/>
        </w:rPr>
        <w:t>The framework combines the Population Stability Index</w:t>
      </w:r>
      <w:r w:rsidRPr="001A556C">
        <w:rPr>
          <w:rFonts w:ascii="Times New Roman" w:hAnsi="Times New Roman" w:cs="Times New Roman"/>
          <w:sz w:val="22"/>
          <w:szCs w:val="22"/>
          <w:lang w:val="en-IN"/>
        </w:rPr>
        <w:t>, Kullback–Leibler and Jensen–Shannon divergences, Wasserstein-1 distance, the two-sample Kolmogorov–Smirnov statistic, and sequential ADWIN, Page–Hinkley, and CUSUM procedures with two bounded state variables: the Model Aging Index (MAI), which accumulates null-calibrated distributional stress under exponential forgetting, and the Cybersecurity Drift Index (CDI), which incorporates the asymmetric costs of missed intrusions and false alerts. We prove that both indices are bounded, monotone, and Lipschitz, while their stationary exceedance probability admits an explicit bound for certified false-alarm control. The underlying marginal transport statistic also lower-bounds the joint Wasserstein radius, establishing alarm soundness.</w:t>
      </w:r>
    </w:p>
    <w:p w14:paraId="5A208DD9" w14:textId="77777777" w:rsidR="001A556C" w:rsidRPr="001A556C" w:rsidRDefault="001A556C" w:rsidP="001A556C">
      <w:pPr>
        <w:pStyle w:val="BodyText"/>
        <w:spacing w:line="360" w:lineRule="auto"/>
        <w:jc w:val="both"/>
        <w:rPr>
          <w:rFonts w:ascii="Times New Roman" w:hAnsi="Times New Roman" w:cs="Times New Roman"/>
          <w:sz w:val="22"/>
          <w:szCs w:val="22"/>
          <w:lang w:val="en-IN"/>
        </w:rPr>
      </w:pPr>
      <w:r w:rsidRPr="001A556C">
        <w:rPr>
          <w:rFonts w:ascii="Times New Roman" w:hAnsi="Times New Roman" w:cs="Times New Roman"/>
          <w:sz w:val="22"/>
          <w:szCs w:val="22"/>
          <w:lang w:val="en-IN"/>
        </w:rPr>
        <w:t>Retraining is formulated as an optimal-stopping problem, yielding a control-limit policy analogous to an inventory replenishment threshold. Experiments on NSL-KDD introduce 17 genuinely novel attack types across 100 batches, five drift regimes, and seven architectures. Novel-family drift reduces attack recall from 0.99 to 0.57–0.66. The CDI controller cuts expected cost by 44.3% versus no retraining and 17.3% versus periodic retraining, while closing 79% of the oracle gap. Notably, periodic retraining can be harmful under adversarial drift.</w:t>
      </w:r>
    </w:p>
    <w:p w14:paraId="362EE84B" w14:textId="075C9E76" w:rsidR="00427A24" w:rsidRPr="001A556C" w:rsidRDefault="00F57E70" w:rsidP="00E734A3">
      <w:pPr>
        <w:pStyle w:val="BodyText"/>
        <w:jc w:val="both"/>
        <w:rPr>
          <w:rFonts w:ascii="Times New Roman" w:hAnsi="Times New Roman" w:cs="Times New Roman"/>
          <w:sz w:val="22"/>
          <w:szCs w:val="22"/>
        </w:rPr>
      </w:pPr>
      <w:r w:rsidRPr="001A556C">
        <w:rPr>
          <w:rFonts w:ascii="Times New Roman" w:hAnsi="Times New Roman" w:cs="Times New Roman"/>
          <w:b/>
          <w:bCs/>
          <w:sz w:val="22"/>
          <w:szCs w:val="22"/>
        </w:rPr>
        <w:t>Keywords:</w:t>
      </w:r>
      <w:r w:rsidRPr="001A556C">
        <w:rPr>
          <w:rFonts w:ascii="Times New Roman" w:hAnsi="Times New Roman" w:cs="Times New Roman"/>
          <w:sz w:val="22"/>
          <w:szCs w:val="22"/>
        </w:rPr>
        <w:t xml:space="preserve"> </w:t>
      </w:r>
      <w:r w:rsidR="00E734A3">
        <w:t>concept drift; model aging; intrusion detection; cybersecurity analytics; Wasserstein distance; statistical process control; distribution shift; optimal stopping; adaptive retraining; adversarial evasion</w:t>
      </w:r>
    </w:p>
    <w:p w14:paraId="40925DBD" w14:textId="77777777" w:rsidR="00427A24" w:rsidRPr="001A556C" w:rsidRDefault="00F57E70">
      <w:pPr>
        <w:pStyle w:val="Heading2"/>
        <w:rPr>
          <w:rFonts w:ascii="Times New Roman" w:hAnsi="Times New Roman" w:cs="Times New Roman"/>
          <w:color w:val="auto"/>
          <w:sz w:val="22"/>
          <w:szCs w:val="22"/>
        </w:rPr>
      </w:pPr>
      <w:bookmarkStart w:id="2" w:name="introduction"/>
      <w:bookmarkEnd w:id="1"/>
      <w:r w:rsidRPr="001A556C">
        <w:rPr>
          <w:rFonts w:ascii="Times New Roman" w:hAnsi="Times New Roman" w:cs="Times New Roman"/>
          <w:color w:val="auto"/>
          <w:sz w:val="22"/>
          <w:szCs w:val="22"/>
        </w:rPr>
        <w:t>1. Introduction</w:t>
      </w:r>
    </w:p>
    <w:p w14:paraId="4A22E2FE" w14:textId="77777777" w:rsidR="00427A24" w:rsidRPr="001A556C" w:rsidRDefault="00F57E70">
      <w:pPr>
        <w:pStyle w:val="Heading3"/>
        <w:rPr>
          <w:rFonts w:ascii="Times New Roman" w:hAnsi="Times New Roman" w:cs="Times New Roman"/>
          <w:color w:val="auto"/>
          <w:sz w:val="22"/>
          <w:szCs w:val="22"/>
        </w:rPr>
      </w:pPr>
      <w:bookmarkStart w:id="3" w:name="X72d32000f35b2dddeb5259bdd2647e4d64e67d7"/>
      <w:r w:rsidRPr="001A556C">
        <w:rPr>
          <w:rFonts w:ascii="Times New Roman" w:hAnsi="Times New Roman" w:cs="Times New Roman"/>
          <w:color w:val="auto"/>
          <w:sz w:val="22"/>
          <w:szCs w:val="22"/>
        </w:rPr>
        <w:t>1.1 The unstated assumption in deployed security analytics</w:t>
      </w:r>
    </w:p>
    <w:p w14:paraId="376B011E"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Nearly every published machine-learning intrusion detection system reports a single number: </w:t>
      </w:r>
      <w:r w:rsidRPr="001A556C">
        <w:rPr>
          <w:rFonts w:ascii="Times New Roman" w:hAnsi="Times New Roman" w:cs="Times New Roman"/>
          <w:sz w:val="22"/>
          <w:szCs w:val="22"/>
          <w:highlight w:val="yellow"/>
        </w:rPr>
        <w:t>an F1-score, an AUC, or an accuracy</w:t>
      </w:r>
      <w:r w:rsidRPr="001A556C">
        <w:rPr>
          <w:rFonts w:ascii="Times New Roman" w:hAnsi="Times New Roman" w:cs="Times New Roman"/>
          <w:sz w:val="22"/>
          <w:szCs w:val="22"/>
        </w:rPr>
        <w:t xml:space="preserve"> on a held-out partition. That number is a statement about one moment. It says </w:t>
      </w:r>
      <w:r w:rsidRPr="001A556C">
        <w:rPr>
          <w:rFonts w:ascii="Times New Roman" w:hAnsi="Times New Roman" w:cs="Times New Roman"/>
          <w:sz w:val="22"/>
          <w:szCs w:val="22"/>
        </w:rPr>
        <w:lastRenderedPageBreak/>
        <w:t>that on a sample drawn from the same distribution as the training data, the classifier separates malicious from benign traffic well. It says nothing about the classifier’s behaviour six months later, when the protocol mix has shifted, when a scanning campaign that did not exist at training time saturates the perimeter, or when an adversary has learned to shape flows so that they land on the benign side of the decision boundary.</w:t>
      </w:r>
    </w:p>
    <w:p w14:paraId="1F16A362"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assumption underwriting the single number is stationarity: that the joint law </w:t>
      </w:r>
      <m:oMath>
        <m:r>
          <w:rPr>
            <w:rFonts w:ascii="Cambria Math" w:hAnsi="Cambria Math" w:cs="Times New Roman"/>
            <w:sz w:val="22"/>
            <w:szCs w:val="22"/>
          </w:rPr>
          <m:t>P</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Y</m:t>
            </m:r>
          </m:e>
        </m:d>
      </m:oMath>
      <w:r w:rsidRPr="001A556C">
        <w:rPr>
          <w:rFonts w:ascii="Times New Roman" w:hAnsi="Times New Roman" w:cs="Times New Roman"/>
          <w:sz w:val="22"/>
          <w:szCs w:val="22"/>
        </w:rPr>
        <w:t xml:space="preserve"> of features and labels is fixed. In cybersecurity </w:t>
      </w:r>
      <w:r w:rsidRPr="001A556C">
        <w:rPr>
          <w:rFonts w:ascii="Times New Roman" w:hAnsi="Times New Roman" w:cs="Times New Roman"/>
          <w:sz w:val="22"/>
          <w:szCs w:val="22"/>
          <w:highlight w:val="yellow"/>
        </w:rPr>
        <w:t>this assumption is not merely approximate; it is adversarially false</w:t>
      </w:r>
      <w:r w:rsidRPr="001A556C">
        <w:rPr>
          <w:rFonts w:ascii="Times New Roman" w:hAnsi="Times New Roman" w:cs="Times New Roman"/>
          <w:sz w:val="22"/>
          <w:szCs w:val="22"/>
        </w:rPr>
        <w:t xml:space="preserve">. The data-generating process contains an agent whose objective is to move probability mass across the decision boundary. Concept drift is therefore not an environmental nuisance to be smoothed away; it is the medium in which the problem lives </w:t>
      </w:r>
      <w:r w:rsidRPr="001A556C">
        <w:rPr>
          <w:rFonts w:ascii="Times New Roman" w:hAnsi="Times New Roman" w:cs="Times New Roman"/>
          <w:sz w:val="22"/>
          <w:szCs w:val="22"/>
          <w:highlight w:val="yellow"/>
        </w:rPr>
        <w:t>(Pendlebury et al., 2019; Shyaa et al., 2024)</w:t>
      </w:r>
      <w:r w:rsidRPr="001A556C">
        <w:rPr>
          <w:rFonts w:ascii="Times New Roman" w:hAnsi="Times New Roman" w:cs="Times New Roman"/>
          <w:sz w:val="22"/>
          <w:szCs w:val="22"/>
        </w:rPr>
        <w:t>.</w:t>
      </w:r>
    </w:p>
    <w:p w14:paraId="4286A504" w14:textId="77777777" w:rsidR="000A58B6" w:rsidRDefault="00000000">
      <w:pPr>
        <w:pStyle w:val="BodyText"/>
        <w:jc w:val="both"/>
      </w:pPr>
      <w:r>
        <w:rPr>
          <w:rFonts w:ascii="Times New Roman" w:eastAsia="Times New Roman" w:hAnsi="Times New Roman"/>
          <w:b/>
          <w:sz w:val="22"/>
          <w:highlight w:val="yellow"/>
        </w:rPr>
        <w:t>Recent work on IoT intrusion detection also shows that rare attack classes can remain substantially harder to identify than dominant classes, underscoring the importance of class-specific evaluation alongside aggregate performance measures (Bankole, 2026).</w:t>
      </w:r>
    </w:p>
    <w:p w14:paraId="4275700E" w14:textId="77777777" w:rsidR="000A58B6" w:rsidRDefault="00000000">
      <w:pPr>
        <w:pStyle w:val="BodyText"/>
        <w:jc w:val="both"/>
      </w:pPr>
      <w:r>
        <w:rPr>
          <w:rFonts w:ascii="Times New Roman" w:eastAsia="Times New Roman" w:hAnsi="Times New Roman"/>
          <w:b/>
          <w:sz w:val="22"/>
          <w:highlight w:val="yellow"/>
        </w:rPr>
        <w:t>At the organisational level, recent cybersecurity-governance literature likewise frames resilience as an ongoing capability that cannot be reduced to static technical controls (Yirenkyi et al., 2026).</w:t>
      </w:r>
    </w:p>
    <w:p w14:paraId="2E58AE9D"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consequences are quantitative and severe. Pendlebury et al. </w:t>
      </w:r>
      <w:r w:rsidRPr="001A556C">
        <w:rPr>
          <w:rFonts w:ascii="Times New Roman" w:hAnsi="Times New Roman" w:cs="Times New Roman"/>
          <w:sz w:val="22"/>
          <w:szCs w:val="22"/>
          <w:highlight w:val="yellow"/>
        </w:rPr>
        <w:t>(2019)</w:t>
      </w:r>
      <w:r w:rsidRPr="001A556C">
        <w:rPr>
          <w:rFonts w:ascii="Times New Roman" w:hAnsi="Times New Roman" w:cs="Times New Roman"/>
          <w:sz w:val="22"/>
          <w:szCs w:val="22"/>
        </w:rPr>
        <w:t xml:space="preserve"> demonstrated that eliminating temporal bias from evaluation protocols reduces reported malware-detection performance dramatically, and that published figures near 0.99 are largely artefacts of experimental design. Our own measurements, reported in Section 8, reproduce this in the network-intrusion setting: a gradient-boosted detector achieving F1 = 1.000 on its reference window falls to F1 = 0.775 with attack recall of 0.659 once one quarter of the traffic consists of attack families it has never observed. The detector does not announce this. Its confidence scores remain high; its dashboard is green; it is simply wrong about a third of the intrusions it is supposed to catch.</w:t>
      </w:r>
    </w:p>
    <w:p w14:paraId="1B2F9B99" w14:textId="77777777" w:rsidR="00427A24" w:rsidRPr="001A556C" w:rsidRDefault="00F57E70">
      <w:pPr>
        <w:pStyle w:val="Heading3"/>
        <w:rPr>
          <w:rFonts w:ascii="Times New Roman" w:hAnsi="Times New Roman" w:cs="Times New Roman"/>
          <w:color w:val="auto"/>
          <w:sz w:val="22"/>
          <w:szCs w:val="22"/>
        </w:rPr>
      </w:pPr>
      <w:bookmarkStart w:id="4" w:name="from-drift-detection-to-model-aging"/>
      <w:bookmarkEnd w:id="3"/>
      <w:r w:rsidRPr="001A556C">
        <w:rPr>
          <w:rFonts w:ascii="Times New Roman" w:hAnsi="Times New Roman" w:cs="Times New Roman"/>
          <w:color w:val="auto"/>
          <w:sz w:val="22"/>
          <w:szCs w:val="22"/>
        </w:rPr>
        <w:t>1.2 From drift detection to model aging</w:t>
      </w:r>
    </w:p>
    <w:p w14:paraId="0C70F8E7"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 substantial literature addresses drift </w:t>
      </w:r>
      <w:r w:rsidR="003942E3" w:rsidRPr="001A556C">
        <w:rPr>
          <w:rFonts w:ascii="Times New Roman" w:hAnsi="Times New Roman" w:cs="Times New Roman"/>
          <w:i/>
          <w:iCs/>
          <w:sz w:val="22"/>
          <w:szCs w:val="22"/>
        </w:rPr>
        <w:t>detection</w:t>
      </w:r>
      <w:r w:rsidR="003942E3" w:rsidRPr="001A556C">
        <w:rPr>
          <w:rFonts w:ascii="Times New Roman" w:hAnsi="Times New Roman" w:cs="Times New Roman"/>
          <w:sz w:val="22"/>
          <w:szCs w:val="22"/>
          <w:highlight w:val="yellow"/>
        </w:rPr>
        <w:t>—deciding</w:t>
      </w:r>
      <w:r w:rsidRPr="001A556C">
        <w:rPr>
          <w:rFonts w:ascii="Times New Roman" w:hAnsi="Times New Roman" w:cs="Times New Roman"/>
          <w:sz w:val="22"/>
          <w:szCs w:val="22"/>
        </w:rPr>
        <w:t xml:space="preserve"> whether the current data window differs from a reference </w:t>
      </w:r>
      <w:r w:rsidRPr="001A556C">
        <w:rPr>
          <w:rFonts w:ascii="Times New Roman" w:hAnsi="Times New Roman" w:cs="Times New Roman"/>
          <w:sz w:val="22"/>
          <w:szCs w:val="22"/>
          <w:highlight w:val="yellow"/>
        </w:rPr>
        <w:t>(Gama et al., 2014; Lu et al., 2019)</w:t>
      </w:r>
      <w:r w:rsidRPr="001A556C">
        <w:rPr>
          <w:rFonts w:ascii="Times New Roman" w:hAnsi="Times New Roman" w:cs="Times New Roman"/>
          <w:sz w:val="22"/>
          <w:szCs w:val="22"/>
        </w:rPr>
        <w:t>. Rather less addresses the question a security operations centre actually asks, which is not “has the distribution changed?” but “is my model still trustworthy, and is it worth the cost of rebuilding it?”</w:t>
      </w:r>
    </w:p>
    <w:p w14:paraId="650971DC" w14:textId="77777777" w:rsidR="000A58B6" w:rsidRDefault="00000000">
      <w:pPr>
        <w:pStyle w:val="BodyText"/>
        <w:jc w:val="both"/>
      </w:pPr>
      <w:r>
        <w:rPr>
          <w:rFonts w:ascii="Times New Roman" w:eastAsia="Times New Roman" w:hAnsi="Times New Roman"/>
          <w:b/>
          <w:sz w:val="22"/>
          <w:highlight w:val="yellow"/>
        </w:rPr>
        <w:t>Recent online intrusion-detection research has explicitly treated concept drift together with class imbalance in heterogeneous IoT traffic, illustrating the need for adaptive monitoring under changing operational distributions (Nitish et al., 2024).</w:t>
      </w:r>
    </w:p>
    <w:p w14:paraId="3661EAC0"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These are different questions, and conflating them causes two failure modes observed repeatedly in practice. First, drift detectors are binary and memoryless: they fire or they do not, and having fired they </w:t>
      </w:r>
      <w:r w:rsidRPr="001A556C">
        <w:rPr>
          <w:rFonts w:ascii="Times New Roman" w:hAnsi="Times New Roman" w:cs="Times New Roman"/>
          <w:sz w:val="22"/>
          <w:szCs w:val="22"/>
        </w:rPr>
        <w:lastRenderedPageBreak/>
        <w:t xml:space="preserve">discard the accumulated evidence. But model degradation is </w:t>
      </w:r>
      <w:r w:rsidRPr="001A556C">
        <w:rPr>
          <w:rFonts w:ascii="Times New Roman" w:hAnsi="Times New Roman" w:cs="Times New Roman"/>
          <w:i/>
          <w:iCs/>
          <w:sz w:val="22"/>
          <w:szCs w:val="22"/>
        </w:rPr>
        <w:t>cumulative</w:t>
      </w:r>
      <w:r w:rsidRPr="001A556C">
        <w:rPr>
          <w:rFonts w:ascii="Times New Roman" w:hAnsi="Times New Roman" w:cs="Times New Roman"/>
          <w:sz w:val="22"/>
          <w:szCs w:val="22"/>
        </w:rPr>
        <w:t xml:space="preserve">. A detector exposed to a slow, sub-threshold shift for forty batches is meaningfully more degraded than one exposed to the same shift for four, yet a hypothesis test at fixed level treats the two identically. Second, most detectors are supervised: ADWIN, Page–Hinkley and CUSUM monitor an error stream, which presupposes labels. In network security, </w:t>
      </w:r>
      <w:r w:rsidRPr="001A556C">
        <w:rPr>
          <w:rFonts w:ascii="Times New Roman" w:hAnsi="Times New Roman" w:cs="Times New Roman"/>
          <w:sz w:val="22"/>
          <w:szCs w:val="22"/>
          <w:highlight w:val="yellow"/>
        </w:rPr>
        <w:t xml:space="preserve">labels obtained through analyst </w:t>
      </w:r>
      <w:r w:rsidR="003942E3" w:rsidRPr="001A556C">
        <w:rPr>
          <w:rFonts w:ascii="Times New Roman" w:hAnsi="Times New Roman" w:cs="Times New Roman"/>
          <w:sz w:val="22"/>
          <w:szCs w:val="22"/>
          <w:highlight w:val="yellow"/>
        </w:rPr>
        <w:t>triage are expensive</w:t>
      </w:r>
      <w:r w:rsidRPr="001A556C">
        <w:rPr>
          <w:rFonts w:ascii="Times New Roman" w:hAnsi="Times New Roman" w:cs="Times New Roman"/>
          <w:sz w:val="22"/>
          <w:szCs w:val="22"/>
        </w:rPr>
        <w:t>, partial, and delayed by days. A monitoring apparatus that requires the very labels whose scarcity motivates automation is of limited operational value.</w:t>
      </w:r>
    </w:p>
    <w:p w14:paraId="65779BD1" w14:textId="77777777" w:rsidR="000A58B6" w:rsidRDefault="00000000">
      <w:pPr>
        <w:pStyle w:val="BodyText"/>
        <w:jc w:val="both"/>
      </w:pPr>
      <w:r>
        <w:rPr>
          <w:rFonts w:ascii="Times New Roman" w:eastAsia="Times New Roman" w:hAnsi="Times New Roman"/>
          <w:b/>
          <w:sz w:val="22"/>
          <w:highlight w:val="yellow"/>
        </w:rPr>
        <w:t>Recent cybersecurity research on conformal pseudo-labelling similarly identifies scarce, costly, and delayed ground-truth labels as a central obstacle to updating online models under concept drift (Escudero García &amp; DeCastro-García, 2025).</w:t>
      </w:r>
    </w:p>
    <w:p w14:paraId="38A1997C" w14:textId="77777777" w:rsidR="000A58B6" w:rsidRDefault="00000000">
      <w:pPr>
        <w:pStyle w:val="BodyText"/>
        <w:jc w:val="both"/>
      </w:pPr>
      <w:r>
        <w:rPr>
          <w:rFonts w:ascii="Times New Roman" w:eastAsia="Times New Roman" w:hAnsi="Times New Roman"/>
          <w:b/>
          <w:sz w:val="22"/>
          <w:highlight w:val="yellow"/>
        </w:rPr>
        <w:t>Self-supervised adaptation has also been proposed to reduce dependence on labelled drifting samples while improving robustness to concept drift in network intrusion detection (Yang et al., 2025).</w:t>
      </w:r>
    </w:p>
    <w:p w14:paraId="2A8A0DDA"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therefore reframe the problem around </w:t>
      </w:r>
      <w:r w:rsidRPr="001A556C">
        <w:rPr>
          <w:rFonts w:ascii="Times New Roman" w:hAnsi="Times New Roman" w:cs="Times New Roman"/>
          <w:i/>
          <w:iCs/>
          <w:sz w:val="22"/>
          <w:szCs w:val="22"/>
        </w:rPr>
        <w:t>model aging</w:t>
      </w:r>
      <w:r w:rsidRPr="001A556C">
        <w:rPr>
          <w:rFonts w:ascii="Times New Roman" w:hAnsi="Times New Roman" w:cs="Times New Roman"/>
          <w:sz w:val="22"/>
          <w:szCs w:val="22"/>
        </w:rPr>
        <w:t xml:space="preserve">: the monotone accumulation of distributional stress that erodes the validity of a fitted decision rule. Aging is a continuous latent state, not an event. What an operator needs is an estimate of that </w:t>
      </w:r>
      <w:r w:rsidR="003942E3" w:rsidRPr="001A556C">
        <w:rPr>
          <w:rFonts w:ascii="Times New Roman" w:hAnsi="Times New Roman" w:cs="Times New Roman"/>
          <w:sz w:val="22"/>
          <w:szCs w:val="22"/>
          <w:highlight w:val="yellow"/>
        </w:rPr>
        <w:t>state that is bounded</w:t>
      </w:r>
      <w:r w:rsidRPr="001A556C">
        <w:rPr>
          <w:rFonts w:ascii="Times New Roman" w:hAnsi="Times New Roman" w:cs="Times New Roman"/>
          <w:sz w:val="22"/>
          <w:szCs w:val="22"/>
          <w:highlight w:val="yellow"/>
        </w:rPr>
        <w:t xml:space="preserve">, interpretable, and computable without </w:t>
      </w:r>
      <w:r w:rsidR="003942E3" w:rsidRPr="001A556C">
        <w:rPr>
          <w:rFonts w:ascii="Times New Roman" w:hAnsi="Times New Roman" w:cs="Times New Roman"/>
          <w:sz w:val="22"/>
          <w:szCs w:val="22"/>
          <w:highlight w:val="yellow"/>
        </w:rPr>
        <w:t>labels, together</w:t>
      </w:r>
      <w:r w:rsidRPr="001A556C">
        <w:rPr>
          <w:rFonts w:ascii="Times New Roman" w:hAnsi="Times New Roman" w:cs="Times New Roman"/>
          <w:sz w:val="22"/>
          <w:szCs w:val="22"/>
        </w:rPr>
        <w:t xml:space="preserve"> with a decision rule that converts the estimate into an action under an explicit cost model.</w:t>
      </w:r>
    </w:p>
    <w:p w14:paraId="0D423BF1" w14:textId="77777777" w:rsidR="00427A24" w:rsidRPr="001A556C" w:rsidRDefault="00F57E70">
      <w:pPr>
        <w:pStyle w:val="Heading3"/>
        <w:rPr>
          <w:rFonts w:ascii="Times New Roman" w:hAnsi="Times New Roman" w:cs="Times New Roman"/>
          <w:color w:val="auto"/>
          <w:sz w:val="22"/>
          <w:szCs w:val="22"/>
        </w:rPr>
      </w:pPr>
      <w:bookmarkStart w:id="5" w:name="contributions"/>
      <w:bookmarkEnd w:id="4"/>
      <w:r w:rsidRPr="001A556C">
        <w:rPr>
          <w:rFonts w:ascii="Times New Roman" w:hAnsi="Times New Roman" w:cs="Times New Roman"/>
          <w:color w:val="auto"/>
          <w:sz w:val="22"/>
          <w:szCs w:val="22"/>
        </w:rPr>
        <w:t>1.3 Contributions</w:t>
      </w:r>
    </w:p>
    <w:p w14:paraId="41023490" w14:textId="77777777" w:rsidR="00427A24" w:rsidRPr="001A556C" w:rsidRDefault="00F57E70">
      <w:pPr>
        <w:pStyle w:val="FirstParagraph"/>
        <w:rPr>
          <w:rFonts w:ascii="Times New Roman" w:hAnsi="Times New Roman" w:cs="Times New Roman"/>
          <w:sz w:val="22"/>
          <w:szCs w:val="22"/>
        </w:rPr>
      </w:pPr>
      <w:r w:rsidRPr="001A556C">
        <w:rPr>
          <w:rFonts w:ascii="Times New Roman" w:hAnsi="Times New Roman" w:cs="Times New Roman"/>
          <w:sz w:val="22"/>
          <w:szCs w:val="22"/>
        </w:rPr>
        <w:t>This paper makes five contributions.</w:t>
      </w:r>
    </w:p>
    <w:p w14:paraId="0CA75201"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(i) A unified statistical monitoring battery</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We place eight drift statistics on a common footing by Monte-Carlo calibration of each against a bootstrap null constructed from the reference window, so that every detector operates at a matched nominal false-alarm rate and comparisons of detection delay are meaningful rather than artefacts of arbitrary thresholds (Section 4).</w:t>
      </w:r>
    </w:p>
    <w:p w14:paraId="0A01B41A"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(ii) The Model Aging Index</w:t>
      </w:r>
      <w:r w:rsidR="003942E3" w:rsidRPr="001A556C">
        <w:rPr>
          <w:rFonts w:ascii="Times New Roman" w:hAnsi="Times New Roman" w:cs="Times New Roman"/>
          <w:b/>
          <w:bCs/>
          <w:sz w:val="22"/>
          <w:szCs w:val="22"/>
        </w:rPr>
        <w:t xml:space="preserve">: </w:t>
      </w:r>
      <w:r w:rsidRPr="001A556C">
        <w:rPr>
          <w:rFonts w:ascii="Times New Roman" w:hAnsi="Times New Roman" w:cs="Times New Roman"/>
          <w:sz w:val="22"/>
          <w:szCs w:val="22"/>
        </w:rPr>
        <w:t xml:space="preserve">MAI accumulates null-calibrated, hinge-transformed drift signals under exponential forgetting and maps the accumulator into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through a saturating link. We prove boundedness and normalisation (Proposition 1), monotonicity and Lipschitz continuity (Proposition 2), an explicit stationary exceedance bound that converts a target false-alarm rate into a threshold (Proposition 3), soundness via the marginal-transport inequality (Proposition 4), and asymptotic detection power for location-shift families (Proposition 5) (Section 5).</w:t>
      </w:r>
    </w:p>
    <w:p w14:paraId="7E6704B6"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(iii) The Cybersecurity Drift Index</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CDI reweights the aging signal </w:t>
      </w:r>
      <w:r w:rsidRPr="001A556C">
        <w:rPr>
          <w:rFonts w:ascii="Times New Roman" w:hAnsi="Times New Roman" w:cs="Times New Roman"/>
          <w:sz w:val="22"/>
          <w:szCs w:val="22"/>
          <w:highlight w:val="yellow"/>
        </w:rPr>
        <w:t>along two channels: an evasion channel</w:t>
      </w:r>
      <w:r w:rsidRPr="001A556C">
        <w:rPr>
          <w:rFonts w:ascii="Times New Roman" w:hAnsi="Times New Roman" w:cs="Times New Roman"/>
          <w:sz w:val="22"/>
          <w:szCs w:val="22"/>
        </w:rPr>
        <w:t xml:space="preserve"> measuring probability mass migrating below the alert threshold, and an alert-load channel with weights derived from the cost asymmetry between missed intrusions and false alarms. Unlike MAI, CDI is explicitly a security state variable, not a statistical one (Section 5.4).</w:t>
      </w:r>
    </w:p>
    <w:p w14:paraId="512CADF5"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lastRenderedPageBreak/>
        <w:t>(iv) Retraining as optimal stopping</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We formulate the retrain/keep decision as a Markov decision process on the aging state and prove that the cost-minimising rule is a control-limit policy (Theorem 1) structurally the same object as a replenishment threshold in inventory control </w:t>
      </w:r>
      <w:r w:rsidRPr="001A556C">
        <w:rPr>
          <w:rFonts w:ascii="Times New Roman" w:hAnsi="Times New Roman" w:cs="Times New Roman"/>
          <w:sz w:val="22"/>
          <w:szCs w:val="22"/>
          <w:highlight w:val="yellow"/>
        </w:rPr>
        <w:t>(Dehury et al., 2026; Routray et al., 2026b)</w:t>
      </w:r>
      <w:r w:rsidRPr="001A556C">
        <w:rPr>
          <w:rFonts w:ascii="Times New Roman" w:hAnsi="Times New Roman" w:cs="Times New Roman"/>
          <w:sz w:val="22"/>
          <w:szCs w:val="22"/>
        </w:rPr>
        <w:t xml:space="preserve">, which permits the transfer of a mature body of </w:t>
      </w:r>
      <w:r w:rsidRPr="001A556C">
        <w:rPr>
          <w:rFonts w:ascii="Times New Roman" w:hAnsi="Times New Roman" w:cs="Times New Roman"/>
          <w:sz w:val="22"/>
          <w:szCs w:val="22"/>
          <w:highlight w:val="yellow"/>
        </w:rPr>
        <w:t>operations-research techniques</w:t>
      </w:r>
      <w:r w:rsidRPr="001A556C">
        <w:rPr>
          <w:rFonts w:ascii="Times New Roman" w:hAnsi="Times New Roman" w:cs="Times New Roman"/>
          <w:sz w:val="22"/>
          <w:szCs w:val="22"/>
        </w:rPr>
        <w:t xml:space="preserve"> into model lifecycle management (Section 6).</w:t>
      </w:r>
    </w:p>
    <w:p w14:paraId="3A1A62F3"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(v) A controlled empirical study with an authentic novelty channel</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Rather than simulating drift by </w:t>
      </w:r>
      <w:r w:rsidRPr="001A556C">
        <w:rPr>
          <w:rFonts w:ascii="Times New Roman" w:hAnsi="Times New Roman" w:cs="Times New Roman"/>
          <w:sz w:val="22"/>
          <w:szCs w:val="22"/>
          <w:highlight w:val="yellow"/>
        </w:rPr>
        <w:t>reweighting attack families that the model already knows—a procedure that produces virtual drift and correspondingly mild degradation</w:t>
      </w:r>
      <w:r w:rsidR="003942E3" w:rsidRPr="001A556C">
        <w:rPr>
          <w:rFonts w:ascii="Times New Roman" w:hAnsi="Times New Roman" w:cs="Times New Roman"/>
          <w:sz w:val="22"/>
          <w:szCs w:val="22"/>
        </w:rPr>
        <w:t xml:space="preserve">, </w:t>
      </w:r>
      <w:r w:rsidRPr="001A556C">
        <w:rPr>
          <w:rFonts w:ascii="Times New Roman" w:hAnsi="Times New Roman" w:cs="Times New Roman"/>
          <w:sz w:val="22"/>
          <w:szCs w:val="22"/>
        </w:rPr>
        <w:t>we exploit the fact that KDDTest+ contains 17 attack types entirely absent from KDDTrain+, giving 3,750 records of genuinely unseen threat behaviour. Five drift regimes, seven architectures, and eleven detectors are evaluated over 100 batches, with retraining-policy comparisons computed exactly from precomputed lookup tables rather than approximated (Sections 7–8).</w:t>
      </w:r>
    </w:p>
    <w:p w14:paraId="2152E10A" w14:textId="77777777" w:rsidR="00427A24" w:rsidRPr="001A556C" w:rsidRDefault="00F57E70">
      <w:pPr>
        <w:pStyle w:val="Heading3"/>
        <w:rPr>
          <w:rFonts w:ascii="Times New Roman" w:hAnsi="Times New Roman" w:cs="Times New Roman"/>
          <w:color w:val="auto"/>
          <w:sz w:val="22"/>
          <w:szCs w:val="22"/>
        </w:rPr>
      </w:pPr>
      <w:bookmarkStart w:id="6" w:name="organisation"/>
      <w:bookmarkEnd w:id="5"/>
      <w:r w:rsidRPr="001A556C">
        <w:rPr>
          <w:rFonts w:ascii="Times New Roman" w:hAnsi="Times New Roman" w:cs="Times New Roman"/>
          <w:color w:val="auto"/>
          <w:sz w:val="22"/>
          <w:szCs w:val="22"/>
        </w:rPr>
        <w:t>1.4 Organisation</w:t>
      </w:r>
    </w:p>
    <w:p w14:paraId="03901188"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Section 2 reviews related work. Section 3 formalises the streaming problem and the drift taxonomy. Section 4 defines the monitoring battery. Section 5 develops MAI and CDI with proofs. Section 6 establishes the control-limit result. Section 7 describes the experimental design; Section 8 reports results. Sections 9–11 discuss implications, limitations and conclusions.</w:t>
      </w:r>
    </w:p>
    <w:p w14:paraId="48FD3A2A" w14:textId="77777777" w:rsidR="000A58B6" w:rsidRDefault="00000000">
      <w:pPr>
        <w:pStyle w:val="FirstParagraph"/>
        <w:spacing w:line="360" w:lineRule="auto"/>
        <w:jc w:val="both"/>
        <w:rPr>
          <w:rFonts w:ascii="Times New Roman" w:hAnsi="Times New Roman" w:cs="Times New Roman"/>
          <w:sz w:val="22"/>
          <w:szCs w:val="22"/>
        </w:rPr>
      </w:pPr>
      <w:r>
        <w:rPr>
          <w:highlight w:val="yellow"/>
        </w:rPr>
        <w:t>Despite extensive work on concept-drift detection and adaptive intrusion detection, existing approaches do not jointly provide a label-free, bounded measure of cumulative model degradation and a cost-aware rule for deciding when retraining is warranted. This study addresses that gap by linking calibrated distributional monitoring to an interpretable aging state and an explicit retraining decision framework.</w:t>
      </w:r>
    </w:p>
    <w:p w14:paraId="35AD3A18" w14:textId="77777777" w:rsidR="000A58B6" w:rsidRDefault="00000000">
      <w:pPr>
        <w:pStyle w:val="Heading3"/>
      </w:pPr>
      <w:r>
        <w:rPr>
          <w:rFonts w:ascii="Times New Roman" w:eastAsia="Times New Roman" w:hAnsi="Times New Roman"/>
          <w:sz w:val="22"/>
          <w:highlight w:val="yellow"/>
        </w:rPr>
        <w:t>1.5 Objective</w:t>
      </w:r>
    </w:p>
    <w:p w14:paraId="519A8695" w14:textId="77777777" w:rsidR="000A58B6" w:rsidRDefault="00000000">
      <w:pPr>
        <w:pStyle w:val="FirstParagraph"/>
        <w:jc w:val="both"/>
      </w:pPr>
      <w:r>
        <w:rPr>
          <w:rFonts w:ascii="Times New Roman" w:eastAsia="Times New Roman" w:hAnsi="Times New Roman"/>
          <w:b/>
          <w:sz w:val="22"/>
          <w:highlight w:val="yellow"/>
        </w:rPr>
        <w:t>The objective of this study is to develop and evaluate a label-free statistical framework for quantifying model aging in machine-learning intrusion detection systems and converting that state into a cost-aware retraining decision. Specifically, the study aims to integrate complementary drift statistics into bounded aging indices, establish their formal properties, and assess retraining policies across the model architectures and drift regimes defined in the experimental design.</w:t>
      </w:r>
    </w:p>
    <w:p w14:paraId="3029D021" w14:textId="77777777" w:rsidR="00427A24" w:rsidRPr="001A556C" w:rsidRDefault="00427A24">
      <w:pPr>
        <w:rPr>
          <w:rFonts w:ascii="Times New Roman" w:hAnsi="Times New Roman" w:cs="Times New Roman"/>
          <w:sz w:val="22"/>
          <w:szCs w:val="22"/>
        </w:rPr>
      </w:pPr>
    </w:p>
    <w:p w14:paraId="4F225F33" w14:textId="77777777" w:rsidR="00427A24" w:rsidRPr="001A556C" w:rsidRDefault="00F57E70">
      <w:pPr>
        <w:pStyle w:val="Heading2"/>
        <w:rPr>
          <w:rFonts w:ascii="Times New Roman" w:hAnsi="Times New Roman" w:cs="Times New Roman"/>
          <w:color w:val="auto"/>
          <w:sz w:val="22"/>
          <w:szCs w:val="22"/>
        </w:rPr>
      </w:pPr>
      <w:bookmarkStart w:id="7" w:name="related-work"/>
      <w:bookmarkEnd w:id="2"/>
      <w:bookmarkEnd w:id="6"/>
      <w:r w:rsidRPr="001A556C">
        <w:rPr>
          <w:rFonts w:ascii="Times New Roman" w:hAnsi="Times New Roman" w:cs="Times New Roman"/>
          <w:color w:val="auto"/>
          <w:sz w:val="22"/>
          <w:szCs w:val="22"/>
        </w:rPr>
        <w:t>2. Related Work</w:t>
      </w:r>
    </w:p>
    <w:p w14:paraId="74AAFFDD" w14:textId="77777777" w:rsidR="00427A24" w:rsidRPr="001A556C" w:rsidRDefault="00F57E70">
      <w:pPr>
        <w:pStyle w:val="Heading3"/>
        <w:rPr>
          <w:rFonts w:ascii="Times New Roman" w:hAnsi="Times New Roman" w:cs="Times New Roman"/>
          <w:color w:val="auto"/>
          <w:sz w:val="22"/>
          <w:szCs w:val="22"/>
        </w:rPr>
      </w:pPr>
      <w:bookmarkStart w:id="8" w:name="concept-drift-in-data-streams"/>
      <w:r w:rsidRPr="001A556C">
        <w:rPr>
          <w:rFonts w:ascii="Times New Roman" w:hAnsi="Times New Roman" w:cs="Times New Roman"/>
          <w:color w:val="auto"/>
          <w:sz w:val="22"/>
          <w:szCs w:val="22"/>
        </w:rPr>
        <w:t>2.1 Concept drift in data streams</w:t>
      </w:r>
    </w:p>
    <w:p w14:paraId="5F26C768"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general theory of learning under drift is surveyed by Gama et al. </w:t>
      </w:r>
      <w:r w:rsidRPr="001A556C">
        <w:rPr>
          <w:rFonts w:ascii="Times New Roman" w:hAnsi="Times New Roman" w:cs="Times New Roman"/>
          <w:sz w:val="22"/>
          <w:szCs w:val="22"/>
          <w:highlight w:val="yellow"/>
        </w:rPr>
        <w:t>(2014)</w:t>
      </w:r>
      <w:r w:rsidRPr="001A556C">
        <w:rPr>
          <w:rFonts w:ascii="Times New Roman" w:hAnsi="Times New Roman" w:cs="Times New Roman"/>
          <w:sz w:val="22"/>
          <w:szCs w:val="22"/>
        </w:rPr>
        <w:t xml:space="preserve"> and Lu et al. </w:t>
      </w:r>
      <w:r w:rsidRPr="001A556C">
        <w:rPr>
          <w:rFonts w:ascii="Times New Roman" w:hAnsi="Times New Roman" w:cs="Times New Roman"/>
          <w:sz w:val="22"/>
          <w:szCs w:val="22"/>
          <w:highlight w:val="yellow"/>
        </w:rPr>
        <w:t>(2019)</w:t>
      </w:r>
      <w:r w:rsidRPr="001A556C">
        <w:rPr>
          <w:rFonts w:ascii="Times New Roman" w:hAnsi="Times New Roman" w:cs="Times New Roman"/>
          <w:sz w:val="22"/>
          <w:szCs w:val="22"/>
        </w:rPr>
        <w:t xml:space="preserve">, who distinguish </w:t>
      </w:r>
      <w:r w:rsidRPr="001A556C">
        <w:rPr>
          <w:rFonts w:ascii="Times New Roman" w:hAnsi="Times New Roman" w:cs="Times New Roman"/>
          <w:i/>
          <w:iCs/>
          <w:sz w:val="22"/>
          <w:szCs w:val="22"/>
        </w:rPr>
        <w:t>real</w:t>
      </w:r>
      <w:r w:rsidRPr="001A556C">
        <w:rPr>
          <w:rFonts w:ascii="Times New Roman" w:hAnsi="Times New Roman" w:cs="Times New Roman"/>
          <w:sz w:val="22"/>
          <w:szCs w:val="22"/>
        </w:rPr>
        <w:t xml:space="preserve"> drift (a change in </w:t>
      </w:r>
      <m:oMath>
        <m:r>
          <w:rPr>
            <w:rFonts w:ascii="Cambria Math" w:hAnsi="Cambria Math" w:cs="Times New Roman"/>
            <w:sz w:val="22"/>
            <w:szCs w:val="22"/>
          </w:rPr>
          <m:t>P</m:t>
        </m:r>
        <m:d>
          <m:dPr>
            <m:ctrlPr>
              <w:rPr>
                <w:rFonts w:ascii="Cambria Math" w:hAnsi="Cambria Math" w:cs="Times New Roman"/>
                <w:sz w:val="22"/>
                <w:szCs w:val="22"/>
              </w:rPr>
            </m:ctrlPr>
          </m:dPr>
          <m:e>
            <m:r>
              <w:rPr>
                <w:rFonts w:ascii="Cambria Math" w:hAnsi="Cambria Math" w:cs="Times New Roman"/>
                <w:sz w:val="22"/>
                <w:szCs w:val="22"/>
              </w:rPr>
              <m:t>Y</m:t>
            </m:r>
            <m:r>
              <m:rPr>
                <m:sty m:val="p"/>
              </m:rPr>
              <w:rPr>
                <w:rFonts w:ascii="Cambria Math" w:hAnsi="Cambria Math" w:cs="Times New Roman"/>
                <w:sz w:val="22"/>
                <w:szCs w:val="22"/>
              </w:rPr>
              <m:t>∣</m:t>
            </m:r>
            <m:r>
              <w:rPr>
                <w:rFonts w:ascii="Cambria Math" w:hAnsi="Cambria Math" w:cs="Times New Roman"/>
                <w:sz w:val="22"/>
                <w:szCs w:val="22"/>
              </w:rPr>
              <m:t>X</m:t>
            </m:r>
          </m:e>
        </m:d>
      </m:oMath>
      <w:r w:rsidRPr="001A556C">
        <w:rPr>
          <w:rFonts w:ascii="Times New Roman" w:hAnsi="Times New Roman" w:cs="Times New Roman"/>
          <w:sz w:val="22"/>
          <w:szCs w:val="22"/>
        </w:rPr>
        <w:t xml:space="preserve">, which moves the Bayes-optimal boundary) from </w:t>
      </w:r>
      <w:r w:rsidRPr="001A556C">
        <w:rPr>
          <w:rFonts w:ascii="Times New Roman" w:hAnsi="Times New Roman" w:cs="Times New Roman"/>
          <w:i/>
          <w:iCs/>
          <w:sz w:val="22"/>
          <w:szCs w:val="22"/>
        </w:rPr>
        <w:t>virtual</w:t>
      </w:r>
      <w:r w:rsidRPr="001A556C">
        <w:rPr>
          <w:rFonts w:ascii="Times New Roman" w:hAnsi="Times New Roman" w:cs="Times New Roman"/>
          <w:sz w:val="22"/>
          <w:szCs w:val="22"/>
        </w:rPr>
        <w:t xml:space="preserve"> drift </w:t>
      </w:r>
      <w:r w:rsidRPr="001A556C">
        <w:rPr>
          <w:rFonts w:ascii="Times New Roman" w:hAnsi="Times New Roman" w:cs="Times New Roman"/>
          <w:sz w:val="22"/>
          <w:szCs w:val="22"/>
        </w:rPr>
        <w:lastRenderedPageBreak/>
        <w:t xml:space="preserve">(a change in </w:t>
      </w:r>
      <m:oMath>
        <m:r>
          <w:rPr>
            <w:rFonts w:ascii="Cambria Math" w:hAnsi="Cambria Math" w:cs="Times New Roman"/>
            <w:sz w:val="22"/>
            <w:szCs w:val="22"/>
          </w:rPr>
          <m:t>P</m:t>
        </m:r>
        <m:d>
          <m:dPr>
            <m:ctrlPr>
              <w:rPr>
                <w:rFonts w:ascii="Cambria Math" w:hAnsi="Cambria Math" w:cs="Times New Roman"/>
                <w:sz w:val="22"/>
                <w:szCs w:val="22"/>
              </w:rPr>
            </m:ctrlPr>
          </m:dPr>
          <m:e>
            <m:r>
              <w:rPr>
                <w:rFonts w:ascii="Cambria Math" w:hAnsi="Cambria Math" w:cs="Times New Roman"/>
                <w:sz w:val="22"/>
                <w:szCs w:val="22"/>
              </w:rPr>
              <m:t>X</m:t>
            </m:r>
          </m:e>
        </m:d>
      </m:oMath>
      <w:r w:rsidRPr="001A556C">
        <w:rPr>
          <w:rFonts w:ascii="Times New Roman" w:hAnsi="Times New Roman" w:cs="Times New Roman"/>
          <w:sz w:val="22"/>
          <w:szCs w:val="22"/>
        </w:rPr>
        <w:t xml:space="preserve"> alone). The distinction matters for our purposes because unsupervised monitors observe only the covariate and score distributions and therefore cannot, in principle, separate the two without labels. Our position is that this is acceptable in the security setting: virtual drift in network traffic is rarely benign, and a covariate shift large enough to be detected is itself actionable evidence about the operating environment.</w:t>
      </w:r>
    </w:p>
    <w:p w14:paraId="6DBCC003"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Detection methods fall into three families. Window-comparison methods contrast a reference and a detection window </w:t>
      </w:r>
      <w:r w:rsidRPr="001A556C">
        <w:rPr>
          <w:rFonts w:ascii="Times New Roman" w:hAnsi="Times New Roman" w:cs="Times New Roman"/>
          <w:sz w:val="22"/>
          <w:szCs w:val="22"/>
          <w:highlight w:val="yellow"/>
        </w:rPr>
        <w:t>under a two-sample test: the Kolmogorov</w:t>
      </w:r>
      <w:r w:rsidRPr="001A556C">
        <w:rPr>
          <w:rFonts w:ascii="Times New Roman" w:hAnsi="Times New Roman" w:cs="Times New Roman"/>
          <w:sz w:val="22"/>
          <w:szCs w:val="22"/>
        </w:rPr>
        <w:t xml:space="preserve">–Smirnov statistic, the Population Stability Index inherited from credit-risk monitoring, and information-theoretic divergences. Sequential methods monitor a scalar stream for a change point: CUSUM </w:t>
      </w:r>
      <w:r w:rsidRPr="001A556C">
        <w:rPr>
          <w:rFonts w:ascii="Times New Roman" w:hAnsi="Times New Roman" w:cs="Times New Roman"/>
          <w:sz w:val="22"/>
          <w:szCs w:val="22"/>
          <w:highlight w:val="yellow"/>
        </w:rPr>
        <w:t>(Page, 1954)</w:t>
      </w:r>
      <w:r w:rsidRPr="001A556C">
        <w:rPr>
          <w:rFonts w:ascii="Times New Roman" w:hAnsi="Times New Roman" w:cs="Times New Roman"/>
          <w:sz w:val="22"/>
          <w:szCs w:val="22"/>
        </w:rPr>
        <w:t xml:space="preserve">, Page–Hinkley </w:t>
      </w:r>
      <w:r w:rsidRPr="001A556C">
        <w:rPr>
          <w:rFonts w:ascii="Times New Roman" w:hAnsi="Times New Roman" w:cs="Times New Roman"/>
          <w:sz w:val="22"/>
          <w:szCs w:val="22"/>
          <w:highlight w:val="yellow"/>
        </w:rPr>
        <w:t>(Hinkley, 1971)</w:t>
      </w:r>
      <w:r w:rsidRPr="001A556C">
        <w:rPr>
          <w:rFonts w:ascii="Times New Roman" w:hAnsi="Times New Roman" w:cs="Times New Roman"/>
          <w:sz w:val="22"/>
          <w:szCs w:val="22"/>
        </w:rPr>
        <w:t xml:space="preserve">, and ADWIN </w:t>
      </w:r>
      <w:r w:rsidRPr="001A556C">
        <w:rPr>
          <w:rFonts w:ascii="Times New Roman" w:hAnsi="Times New Roman" w:cs="Times New Roman"/>
          <w:sz w:val="22"/>
          <w:szCs w:val="22"/>
          <w:highlight w:val="yellow"/>
        </w:rPr>
        <w:t>(Bifet &amp; Gavaldà, 2007)</w:t>
      </w:r>
      <w:r w:rsidRPr="001A556C">
        <w:rPr>
          <w:rFonts w:ascii="Times New Roman" w:hAnsi="Times New Roman" w:cs="Times New Roman"/>
          <w:sz w:val="22"/>
          <w:szCs w:val="22"/>
        </w:rPr>
        <w:t xml:space="preserve">, which maintains an adaptive window and cuts it when two sub-windows differ beyond a Hoeffding bound. Learner-based and ensemble methods adapt the model rather than signalling, including adaptive random forests </w:t>
      </w:r>
      <w:r w:rsidRPr="001A556C">
        <w:rPr>
          <w:rFonts w:ascii="Times New Roman" w:hAnsi="Times New Roman" w:cs="Times New Roman"/>
          <w:sz w:val="22"/>
          <w:szCs w:val="22"/>
          <w:highlight w:val="yellow"/>
        </w:rPr>
        <w:t>(Gomes et al., 2017)</w:t>
      </w:r>
      <w:r w:rsidRPr="001A556C">
        <w:rPr>
          <w:rFonts w:ascii="Times New Roman" w:hAnsi="Times New Roman" w:cs="Times New Roman"/>
          <w:sz w:val="22"/>
          <w:szCs w:val="22"/>
        </w:rPr>
        <w:t xml:space="preserve"> and adaptive gradient boosting </w:t>
      </w:r>
      <w:r w:rsidRPr="001A556C">
        <w:rPr>
          <w:rFonts w:ascii="Times New Roman" w:hAnsi="Times New Roman" w:cs="Times New Roman"/>
          <w:sz w:val="22"/>
          <w:szCs w:val="22"/>
          <w:highlight w:val="yellow"/>
        </w:rPr>
        <w:t>(Montiel et al., 2020)</w:t>
      </w:r>
      <w:r w:rsidRPr="001A556C">
        <w:rPr>
          <w:rFonts w:ascii="Times New Roman" w:hAnsi="Times New Roman" w:cs="Times New Roman"/>
          <w:sz w:val="22"/>
          <w:szCs w:val="22"/>
        </w:rPr>
        <w:t xml:space="preserve">; recurring-concept streams have their own literature </w:t>
      </w:r>
      <w:r w:rsidRPr="001A556C">
        <w:rPr>
          <w:rFonts w:ascii="Times New Roman" w:hAnsi="Times New Roman" w:cs="Times New Roman"/>
          <w:sz w:val="22"/>
          <w:szCs w:val="22"/>
          <w:highlight w:val="yellow"/>
        </w:rPr>
        <w:t>(Suárez-Cetrulo et al., 2023)</w:t>
      </w:r>
      <w:r w:rsidRPr="001A556C">
        <w:rPr>
          <w:rFonts w:ascii="Times New Roman" w:hAnsi="Times New Roman" w:cs="Times New Roman"/>
          <w:sz w:val="22"/>
          <w:szCs w:val="22"/>
        </w:rPr>
        <w:t xml:space="preserve">, and the broader methodological challenges of streaming under drift </w:t>
      </w:r>
      <w:r w:rsidRPr="001A556C">
        <w:rPr>
          <w:rFonts w:ascii="Times New Roman" w:hAnsi="Times New Roman" w:cs="Times New Roman"/>
          <w:sz w:val="22"/>
          <w:szCs w:val="22"/>
          <w:highlight w:val="yellow"/>
        </w:rPr>
        <w:t>are surveyed by Wares et al. (2019)</w:t>
      </w:r>
      <w:r w:rsidRPr="001A556C">
        <w:rPr>
          <w:rFonts w:ascii="Times New Roman" w:hAnsi="Times New Roman" w:cs="Times New Roman"/>
          <w:sz w:val="22"/>
          <w:szCs w:val="22"/>
        </w:rPr>
        <w:t xml:space="preserve">. Statistical drift-detection ensembles that combine several tests for batch streams </w:t>
      </w:r>
      <w:r w:rsidRPr="001A556C">
        <w:rPr>
          <w:rFonts w:ascii="Times New Roman" w:hAnsi="Times New Roman" w:cs="Times New Roman"/>
          <w:sz w:val="22"/>
          <w:szCs w:val="22"/>
          <w:highlight w:val="yellow"/>
        </w:rPr>
        <w:t>(Komorniczak et al., 2022)</w:t>
      </w:r>
      <w:r w:rsidRPr="001A556C">
        <w:rPr>
          <w:rFonts w:ascii="Times New Roman" w:hAnsi="Times New Roman" w:cs="Times New Roman"/>
          <w:sz w:val="22"/>
          <w:szCs w:val="22"/>
        </w:rPr>
        <w:t xml:space="preserve"> are close in spirit to our battery, though they aggregate for detection rather than accumulating for state estimation.</w:t>
      </w:r>
    </w:p>
    <w:p w14:paraId="7D1F2E1E" w14:textId="27DDE102"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Transport-based monitoring has grown rapidly. DriftLens </w:t>
      </w:r>
      <w:r w:rsidRPr="001A556C">
        <w:rPr>
          <w:rFonts w:ascii="Times New Roman" w:hAnsi="Times New Roman" w:cs="Times New Roman"/>
          <w:sz w:val="22"/>
          <w:szCs w:val="22"/>
          <w:highlight w:val="yellow"/>
        </w:rPr>
        <w:t>(Greco et al., 202</w:t>
      </w:r>
      <w:r w:rsidR="00534D71">
        <w:rPr>
          <w:rFonts w:ascii="Times New Roman" w:hAnsi="Times New Roman" w:cs="Times New Roman"/>
          <w:sz w:val="22"/>
          <w:szCs w:val="22"/>
          <w:highlight w:val="yellow"/>
        </w:rPr>
        <w:t>5</w:t>
      </w:r>
      <w:r w:rsidRPr="001A556C">
        <w:rPr>
          <w:rFonts w:ascii="Times New Roman" w:hAnsi="Times New Roman" w:cs="Times New Roman"/>
          <w:sz w:val="22"/>
          <w:szCs w:val="22"/>
          <w:highlight w:val="yellow"/>
        </w:rPr>
        <w:t>)</w:t>
      </w:r>
      <w:r w:rsidRPr="001A556C">
        <w:rPr>
          <w:rFonts w:ascii="Times New Roman" w:hAnsi="Times New Roman" w:cs="Times New Roman"/>
          <w:sz w:val="22"/>
          <w:szCs w:val="22"/>
        </w:rPr>
        <w:t xml:space="preserve"> compares deep-embedding distributions under a Fréchet (Wasserstein-2) distance, and feature-level drift description using Wasserstein and energy distances predates it. Our use of the Wasserstein-1 distance is motivated less by empirical performance than by the Kantorovich–Rubinstein duality, which is what allows Proposition 4 to connect the monitored statistic to a risk envelope </w:t>
      </w:r>
      <w:r w:rsidRPr="001A556C">
        <w:rPr>
          <w:rFonts w:ascii="Times New Roman" w:hAnsi="Times New Roman" w:cs="Times New Roman"/>
          <w:sz w:val="22"/>
          <w:szCs w:val="22"/>
          <w:highlight w:val="yellow"/>
        </w:rPr>
        <w:t>(Villani, 200</w:t>
      </w:r>
      <w:r w:rsidR="00534D71">
        <w:rPr>
          <w:rFonts w:ascii="Times New Roman" w:hAnsi="Times New Roman" w:cs="Times New Roman"/>
          <w:sz w:val="22"/>
          <w:szCs w:val="22"/>
          <w:highlight w:val="yellow"/>
        </w:rPr>
        <w:t>9</w:t>
      </w:r>
      <w:r w:rsidRPr="001A556C">
        <w:rPr>
          <w:rFonts w:ascii="Times New Roman" w:hAnsi="Times New Roman" w:cs="Times New Roman"/>
          <w:sz w:val="22"/>
          <w:szCs w:val="22"/>
          <w:highlight w:val="yellow"/>
        </w:rPr>
        <w:t>)</w:t>
      </w:r>
      <w:r w:rsidRPr="001A556C">
        <w:rPr>
          <w:rFonts w:ascii="Times New Roman" w:hAnsi="Times New Roman" w:cs="Times New Roman"/>
          <w:sz w:val="22"/>
          <w:szCs w:val="22"/>
        </w:rPr>
        <w:t>.</w:t>
      </w:r>
    </w:p>
    <w:p w14:paraId="30393EFE" w14:textId="77777777" w:rsidR="00427A24" w:rsidRPr="001A556C" w:rsidRDefault="00F57E70">
      <w:pPr>
        <w:pStyle w:val="Heading3"/>
        <w:rPr>
          <w:rFonts w:ascii="Times New Roman" w:hAnsi="Times New Roman" w:cs="Times New Roman"/>
          <w:color w:val="auto"/>
          <w:sz w:val="22"/>
          <w:szCs w:val="22"/>
        </w:rPr>
      </w:pPr>
      <w:bookmarkStart w:id="9" w:name="drift-in-security-applications"/>
      <w:bookmarkEnd w:id="8"/>
      <w:r w:rsidRPr="001A556C">
        <w:rPr>
          <w:rFonts w:ascii="Times New Roman" w:hAnsi="Times New Roman" w:cs="Times New Roman"/>
          <w:color w:val="auto"/>
          <w:sz w:val="22"/>
          <w:szCs w:val="22"/>
        </w:rPr>
        <w:t>2.2 Drift in security applications</w:t>
      </w:r>
    </w:p>
    <w:p w14:paraId="1F326720"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Security-specific work has concentrated on malware classification. Transcend </w:t>
      </w:r>
      <w:r w:rsidRPr="001A556C">
        <w:rPr>
          <w:rFonts w:ascii="Times New Roman" w:hAnsi="Times New Roman" w:cs="Times New Roman"/>
          <w:sz w:val="22"/>
          <w:szCs w:val="22"/>
          <w:highlight w:val="yellow"/>
        </w:rPr>
        <w:t>(Jordaney et al., 2017)</w:t>
      </w:r>
      <w:r w:rsidRPr="001A556C">
        <w:rPr>
          <w:rFonts w:ascii="Times New Roman" w:hAnsi="Times New Roman" w:cs="Times New Roman"/>
          <w:sz w:val="22"/>
          <w:szCs w:val="22"/>
        </w:rPr>
        <w:t xml:space="preserve"> and its successor </w:t>
      </w:r>
      <w:r w:rsidRPr="001A556C">
        <w:rPr>
          <w:rFonts w:ascii="Times New Roman" w:hAnsi="Times New Roman" w:cs="Times New Roman"/>
          <w:sz w:val="22"/>
          <w:szCs w:val="22"/>
          <w:highlight w:val="yellow"/>
        </w:rPr>
        <w:t>(Barbero et al., 2022)</w:t>
      </w:r>
      <w:r w:rsidRPr="001A556C">
        <w:rPr>
          <w:rFonts w:ascii="Times New Roman" w:hAnsi="Times New Roman" w:cs="Times New Roman"/>
          <w:sz w:val="22"/>
          <w:szCs w:val="22"/>
        </w:rPr>
        <w:t xml:space="preserve"> use conformal prediction to reject drifted samples at inference. CADE </w:t>
      </w:r>
      <w:r w:rsidRPr="001A556C">
        <w:rPr>
          <w:rFonts w:ascii="Times New Roman" w:hAnsi="Times New Roman" w:cs="Times New Roman"/>
          <w:sz w:val="22"/>
          <w:szCs w:val="22"/>
          <w:highlight w:val="yellow"/>
        </w:rPr>
        <w:t>(Yang et al., 2021)</w:t>
      </w:r>
      <w:r w:rsidRPr="001A556C">
        <w:rPr>
          <w:rFonts w:ascii="Times New Roman" w:hAnsi="Times New Roman" w:cs="Times New Roman"/>
          <w:sz w:val="22"/>
          <w:szCs w:val="22"/>
        </w:rPr>
        <w:t xml:space="preserve"> detects and explains drifting samples through contrastive embedding distances. TESSERACT </w:t>
      </w:r>
      <w:r w:rsidRPr="001A556C">
        <w:rPr>
          <w:rFonts w:ascii="Times New Roman" w:hAnsi="Times New Roman" w:cs="Times New Roman"/>
          <w:sz w:val="22"/>
          <w:szCs w:val="22"/>
          <w:highlight w:val="yellow"/>
        </w:rPr>
        <w:t>(Kan et al., 2024; Pendlebury et al., 2019)</w:t>
      </w:r>
      <w:r w:rsidRPr="001A556C">
        <w:rPr>
          <w:rFonts w:ascii="Times New Roman" w:hAnsi="Times New Roman" w:cs="Times New Roman"/>
          <w:sz w:val="22"/>
          <w:szCs w:val="22"/>
        </w:rPr>
        <w:t xml:space="preserve"> is methodological rather than algorithmic, establishing the temporal and spatial constraints an honest evaluation must satisfy; we adopt its discipline by never allowing information from post-drift batches to influence the reference window or any preprocessing transform. Continuous-learning approaches </w:t>
      </w:r>
      <w:r w:rsidRPr="001A556C">
        <w:rPr>
          <w:rFonts w:ascii="Times New Roman" w:hAnsi="Times New Roman" w:cs="Times New Roman"/>
          <w:sz w:val="22"/>
          <w:szCs w:val="22"/>
          <w:highlight w:val="yellow"/>
        </w:rPr>
        <w:t>(Chen et al., 2023)</w:t>
      </w:r>
      <w:r w:rsidRPr="001A556C">
        <w:rPr>
          <w:rFonts w:ascii="Times New Roman" w:hAnsi="Times New Roman" w:cs="Times New Roman"/>
          <w:sz w:val="22"/>
          <w:szCs w:val="22"/>
        </w:rPr>
        <w:t xml:space="preserve"> and drift-robust network detectors such as INSOMNIA </w:t>
      </w:r>
      <w:r w:rsidRPr="001A556C">
        <w:rPr>
          <w:rFonts w:ascii="Times New Roman" w:hAnsi="Times New Roman" w:cs="Times New Roman"/>
          <w:sz w:val="22"/>
          <w:szCs w:val="22"/>
          <w:highlight w:val="yellow"/>
        </w:rPr>
        <w:t>(Andresini et al., 2021)</w:t>
      </w:r>
      <w:r w:rsidRPr="001A556C">
        <w:rPr>
          <w:rFonts w:ascii="Times New Roman" w:hAnsi="Times New Roman" w:cs="Times New Roman"/>
          <w:sz w:val="22"/>
          <w:szCs w:val="22"/>
        </w:rPr>
        <w:t xml:space="preserve"> address adaptation.</w:t>
      </w:r>
    </w:p>
    <w:p w14:paraId="6BAAE9B9"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Shyaa et al. </w:t>
      </w:r>
      <w:r w:rsidRPr="001A556C">
        <w:rPr>
          <w:rFonts w:ascii="Times New Roman" w:hAnsi="Times New Roman" w:cs="Times New Roman"/>
          <w:sz w:val="22"/>
          <w:szCs w:val="22"/>
          <w:highlight w:val="yellow"/>
        </w:rPr>
        <w:t>(2024)</w:t>
      </w:r>
      <w:r w:rsidRPr="001A556C">
        <w:rPr>
          <w:rFonts w:ascii="Times New Roman" w:hAnsi="Times New Roman" w:cs="Times New Roman"/>
          <w:sz w:val="22"/>
          <w:szCs w:val="22"/>
        </w:rPr>
        <w:t xml:space="preserve"> survey drift-aware intrusion detection specifically and conclude that the integration of concept and feature drift within IDS </w:t>
      </w:r>
      <w:r w:rsidRPr="001A556C">
        <w:rPr>
          <w:rFonts w:ascii="Times New Roman" w:hAnsi="Times New Roman" w:cs="Times New Roman"/>
          <w:sz w:val="22"/>
          <w:szCs w:val="22"/>
          <w:highlight w:val="yellow"/>
        </w:rPr>
        <w:t>remains underexplored and that most work</w:t>
      </w:r>
      <w:r w:rsidRPr="001A556C">
        <w:rPr>
          <w:rFonts w:ascii="Times New Roman" w:hAnsi="Times New Roman" w:cs="Times New Roman"/>
          <w:sz w:val="22"/>
          <w:szCs w:val="22"/>
        </w:rPr>
        <w:t xml:space="preserve"> treats drift generically or treats IDS without dynamics. The present paper is a direct response to that gap, with the addition that we treat the </w:t>
      </w:r>
      <w:r w:rsidRPr="001A556C">
        <w:rPr>
          <w:rFonts w:ascii="Times New Roman" w:hAnsi="Times New Roman" w:cs="Times New Roman"/>
          <w:i/>
          <w:iCs/>
          <w:sz w:val="22"/>
          <w:szCs w:val="22"/>
        </w:rPr>
        <w:t>decision</w:t>
      </w:r>
      <w:r w:rsidRPr="001A556C">
        <w:rPr>
          <w:rFonts w:ascii="Times New Roman" w:hAnsi="Times New Roman" w:cs="Times New Roman"/>
          <w:sz w:val="22"/>
          <w:szCs w:val="22"/>
        </w:rPr>
        <w:t xml:space="preserve"> about retraining, not only its detection. Adversarial machine learning for network intrusion detection </w:t>
      </w:r>
      <w:r w:rsidRPr="001A556C">
        <w:rPr>
          <w:rFonts w:ascii="Times New Roman" w:hAnsi="Times New Roman" w:cs="Times New Roman"/>
          <w:sz w:val="22"/>
          <w:szCs w:val="22"/>
          <w:highlight w:val="yellow"/>
        </w:rPr>
        <w:t>(Alotaibi &amp; Rassam, 2023)</w:t>
      </w:r>
      <w:r w:rsidRPr="001A556C">
        <w:rPr>
          <w:rFonts w:ascii="Times New Roman" w:hAnsi="Times New Roman" w:cs="Times New Roman"/>
          <w:sz w:val="22"/>
          <w:szCs w:val="22"/>
        </w:rPr>
        <w:t xml:space="preserve"> intersects our fifth drift regime: evasive perturbation is drift with an optimising agent behind it, and, as Section 8.5 shows, it interacts with retraining policy in a way that ordinary distributional drift does not.</w:t>
      </w:r>
    </w:p>
    <w:p w14:paraId="16D559C4" w14:textId="77777777" w:rsidR="00427A24" w:rsidRPr="001A556C" w:rsidRDefault="00F57E70">
      <w:pPr>
        <w:pStyle w:val="Heading3"/>
        <w:rPr>
          <w:rFonts w:ascii="Times New Roman" w:hAnsi="Times New Roman" w:cs="Times New Roman"/>
          <w:color w:val="auto"/>
          <w:sz w:val="22"/>
          <w:szCs w:val="22"/>
        </w:rPr>
      </w:pPr>
      <w:bookmarkStart w:id="10" w:name="when-to-retrain"/>
      <w:bookmarkEnd w:id="9"/>
      <w:r w:rsidRPr="001A556C">
        <w:rPr>
          <w:rFonts w:ascii="Times New Roman" w:hAnsi="Times New Roman" w:cs="Times New Roman"/>
          <w:color w:val="auto"/>
          <w:sz w:val="22"/>
          <w:szCs w:val="22"/>
        </w:rPr>
        <w:t>2.3 When to retrain</w:t>
      </w:r>
    </w:p>
    <w:p w14:paraId="11E17BEA"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economics of retraining have received attention only recently. </w:t>
      </w:r>
      <w:r w:rsidRPr="001A556C">
        <w:rPr>
          <w:rFonts w:ascii="Times New Roman" w:hAnsi="Times New Roman" w:cs="Times New Roman"/>
          <w:sz w:val="22"/>
          <w:szCs w:val="22"/>
          <w:highlight w:val="yellow"/>
        </w:rPr>
        <w:t>Mahadevan and Mathioudakis (2024)</w:t>
      </w:r>
      <w:r w:rsidRPr="001A556C">
        <w:rPr>
          <w:rFonts w:ascii="Times New Roman" w:hAnsi="Times New Roman" w:cs="Times New Roman"/>
          <w:sz w:val="22"/>
          <w:szCs w:val="22"/>
        </w:rPr>
        <w:t xml:space="preserve"> formulate cost-aware retraining as an explicit trade-off between staleness cost and retraining cost and propose CARA, which </w:t>
      </w:r>
      <w:r w:rsidRPr="001A556C">
        <w:rPr>
          <w:rFonts w:ascii="Times New Roman" w:hAnsi="Times New Roman" w:cs="Times New Roman"/>
          <w:sz w:val="22"/>
          <w:szCs w:val="22"/>
          <w:highlight w:val="yellow"/>
        </w:rPr>
        <w:t>approximates post-retraining performance to support the decision</w:t>
      </w:r>
      <w:r w:rsidRPr="001A556C">
        <w:rPr>
          <w:rFonts w:ascii="Times New Roman" w:hAnsi="Times New Roman" w:cs="Times New Roman"/>
          <w:sz w:val="22"/>
          <w:szCs w:val="22"/>
        </w:rPr>
        <w:t>. Regol et al. </w:t>
      </w:r>
      <w:r w:rsidRPr="001A556C">
        <w:rPr>
          <w:rFonts w:ascii="Times New Roman" w:hAnsi="Times New Roman" w:cs="Times New Roman"/>
          <w:sz w:val="22"/>
          <w:szCs w:val="22"/>
          <w:highlight w:val="yellow"/>
        </w:rPr>
        <w:t>(2025)</w:t>
      </w:r>
      <w:r w:rsidRPr="001A556C">
        <w:rPr>
          <w:rFonts w:ascii="Times New Roman" w:hAnsi="Times New Roman" w:cs="Times New Roman"/>
          <w:sz w:val="22"/>
          <w:szCs w:val="22"/>
        </w:rPr>
        <w:t xml:space="preserve"> argue that shift detection alone cannot account for the cost trade-off and propose forecasting the evolution of a bounded performance metric. Our formulation differs in three respects: the decision state is an explicitly constructed, provably bounded aging index rather than a forecast of accuracy; the cost model is asymmetric in a way specific to security (a missed intrusion is not a false alert); and we prove structural optimality of the threshold form rather than proposing a heuristic. The connection we draw to control-limit policies in inventory replenishment </w:t>
      </w:r>
      <w:r w:rsidRPr="001A556C">
        <w:rPr>
          <w:rFonts w:ascii="Times New Roman" w:hAnsi="Times New Roman" w:cs="Times New Roman"/>
          <w:sz w:val="22"/>
          <w:szCs w:val="22"/>
          <w:highlight w:val="yellow"/>
        </w:rPr>
        <w:t>(Dehury et al., 2026; Routray et al., 2026b)</w:t>
      </w:r>
      <w:r w:rsidRPr="001A556C">
        <w:rPr>
          <w:rFonts w:ascii="Times New Roman" w:hAnsi="Times New Roman" w:cs="Times New Roman"/>
          <w:sz w:val="22"/>
          <w:szCs w:val="22"/>
        </w:rPr>
        <w:t xml:space="preserve"> appears not to have been made previously, though it is, in retrospect, immediate: a model is an asset that depreciates stochastically and is replaced at a fixed setup cost.</w:t>
      </w:r>
    </w:p>
    <w:p w14:paraId="125B6CF8" w14:textId="77777777" w:rsidR="00427A24" w:rsidRPr="001A556C" w:rsidRDefault="00F57E70">
      <w:pPr>
        <w:pStyle w:val="Heading2"/>
        <w:rPr>
          <w:rFonts w:ascii="Times New Roman" w:hAnsi="Times New Roman" w:cs="Times New Roman"/>
          <w:color w:val="auto"/>
          <w:sz w:val="22"/>
          <w:szCs w:val="22"/>
        </w:rPr>
      </w:pPr>
      <w:bookmarkStart w:id="11" w:name="problem-formulation"/>
      <w:bookmarkEnd w:id="7"/>
      <w:bookmarkEnd w:id="10"/>
      <w:r w:rsidRPr="001A556C">
        <w:rPr>
          <w:rFonts w:ascii="Times New Roman" w:hAnsi="Times New Roman" w:cs="Times New Roman"/>
          <w:color w:val="auto"/>
          <w:sz w:val="22"/>
          <w:szCs w:val="22"/>
        </w:rPr>
        <w:t>3. Problem Formulation</w:t>
      </w:r>
    </w:p>
    <w:p w14:paraId="587018F8" w14:textId="77777777" w:rsidR="00427A24" w:rsidRPr="001A556C" w:rsidRDefault="00F57E70">
      <w:pPr>
        <w:pStyle w:val="Heading3"/>
        <w:rPr>
          <w:rFonts w:ascii="Times New Roman" w:hAnsi="Times New Roman" w:cs="Times New Roman"/>
          <w:color w:val="auto"/>
          <w:sz w:val="22"/>
          <w:szCs w:val="22"/>
        </w:rPr>
      </w:pPr>
      <w:bookmarkStart w:id="12" w:name="the-monitored-stream"/>
      <w:r w:rsidRPr="001A556C">
        <w:rPr>
          <w:rFonts w:ascii="Times New Roman" w:hAnsi="Times New Roman" w:cs="Times New Roman"/>
          <w:color w:val="auto"/>
          <w:sz w:val="22"/>
          <w:szCs w:val="22"/>
        </w:rPr>
        <w:t>3.1 The monitored stream</w:t>
      </w:r>
    </w:p>
    <w:p w14:paraId="5F7AC8BE"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Let </w:t>
      </w:r>
      <m:oMath>
        <m:r>
          <m:rPr>
            <m:scr m:val="script"/>
            <m:sty m:val="p"/>
          </m:rPr>
          <w:rPr>
            <w:rFonts w:ascii="Cambria Math" w:hAnsi="Cambria Math" w:cs="Times New Roman"/>
            <w:sz w:val="22"/>
            <w:szCs w:val="22"/>
          </w:rPr>
          <m:t>X⊆</m:t>
        </m:r>
        <m:sSup>
          <m:sSupPr>
            <m:ctrlPr>
              <w:rPr>
                <w:rFonts w:ascii="Cambria Math" w:hAnsi="Cambria Math" w:cs="Times New Roman"/>
                <w:sz w:val="22"/>
                <w:szCs w:val="22"/>
              </w:rPr>
            </m:ctrlPr>
          </m:sSupPr>
          <m:e>
            <m:r>
              <m:rPr>
                <m:scr m:val="double-struck"/>
                <m:sty m:val="p"/>
              </m:rPr>
              <w:rPr>
                <w:rFonts w:ascii="Cambria Math" w:hAnsi="Cambria Math" w:cs="Times New Roman"/>
                <w:sz w:val="22"/>
                <w:szCs w:val="22"/>
              </w:rPr>
              <m:t>R</m:t>
            </m:r>
          </m:e>
          <m:sup>
            <m:r>
              <w:rPr>
                <w:rFonts w:ascii="Cambria Math" w:hAnsi="Cambria Math" w:cs="Times New Roman"/>
                <w:sz w:val="22"/>
                <w:szCs w:val="22"/>
              </w:rPr>
              <m:t>d</m:t>
            </m:r>
          </m:sup>
        </m:sSup>
      </m:oMath>
      <w:r w:rsidRPr="001A556C">
        <w:rPr>
          <w:rFonts w:ascii="Times New Roman" w:hAnsi="Times New Roman" w:cs="Times New Roman"/>
          <w:sz w:val="22"/>
          <w:szCs w:val="22"/>
        </w:rPr>
        <w:t xml:space="preserve"> be a feature space of network-flow descriptors and </w:t>
      </w:r>
      <m:oMath>
        <m:r>
          <m:rPr>
            <m:scr m:val="script"/>
            <m:sty m:val="p"/>
          </m:rPr>
          <w:rPr>
            <w:rFonts w:ascii="Cambria Math" w:hAnsi="Cambria Math" w:cs="Times New Roman"/>
            <w:sz w:val="22"/>
            <w:szCs w:val="22"/>
          </w:rPr>
          <m:t>Y={</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t>
      </w:r>
      <m:oMath>
        <m:r>
          <w:rPr>
            <w:rFonts w:ascii="Cambria Math" w:hAnsi="Cambria Math" w:cs="Times New Roman"/>
            <w:sz w:val="22"/>
            <w:szCs w:val="22"/>
          </w:rPr>
          <m:t>Y</m:t>
        </m:r>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denoting an intrusion. A detector </w:t>
      </w:r>
      <m:oMath>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r>
          <m:rPr>
            <m:scr m:val="script"/>
            <m:sty m:val="p"/>
          </m:rPr>
          <w:rPr>
            <w:rFonts w:ascii="Cambria Math" w:hAnsi="Cambria Math" w:cs="Times New Roman"/>
            <w:sz w:val="22"/>
            <w:szCs w:val="22"/>
          </w:rPr>
          <m:t>:X→</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is fitted on a reference window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0</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i</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y</m:t>
                </m:r>
              </m:e>
              <m:sub>
                <m:r>
                  <w:rPr>
                    <w:rFonts w:ascii="Cambria Math" w:hAnsi="Cambria Math" w:cs="Times New Roman"/>
                    <w:sz w:val="22"/>
                    <w:szCs w:val="22"/>
                  </w:rPr>
                  <m:t>i</m:t>
                </m:r>
              </m:sub>
            </m:sSub>
          </m:e>
        </m:d>
        <m:sSubSup>
          <m:sSubSupPr>
            <m:ctrlPr>
              <w:rPr>
                <w:rFonts w:ascii="Cambria Math" w:hAnsi="Cambria Math" w:cs="Times New Roman"/>
                <w:sz w:val="22"/>
                <w:szCs w:val="22"/>
              </w:rPr>
            </m:ctrlPr>
          </m:sSubSupPr>
          <m:e>
            <m:r>
              <m:rPr>
                <m:sty m:val="p"/>
              </m:rPr>
              <w:rPr>
                <w:rFonts w:ascii="Cambria Math" w:hAnsi="Cambria Math" w:cs="Times New Roman"/>
                <w:sz w:val="22"/>
                <w:szCs w:val="22"/>
              </w:rPr>
              <m:t>}</m:t>
            </m:r>
          </m:e>
          <m:sub>
            <m:r>
              <w:rPr>
                <w:rFonts w:ascii="Cambria Math" w:hAnsi="Cambria Math" w:cs="Times New Roman"/>
                <w:sz w:val="22"/>
                <w:szCs w:val="22"/>
              </w:rPr>
              <m:t>i</m:t>
            </m:r>
            <m:r>
              <m:rPr>
                <m:sty m:val="p"/>
              </m:rPr>
              <w:rPr>
                <w:rFonts w:ascii="Cambria Math" w:hAnsi="Cambria Math" w:cs="Times New Roman"/>
                <w:sz w:val="22"/>
                <w:szCs w:val="22"/>
              </w:rPr>
              <m:t>=</m:t>
            </m:r>
            <m:r>
              <w:rPr>
                <w:rFonts w:ascii="Cambria Math" w:hAnsi="Cambria Math" w:cs="Times New Roman"/>
                <w:sz w:val="22"/>
                <w:szCs w:val="22"/>
              </w:rPr>
              <m:t>1</m:t>
            </m:r>
          </m:sub>
          <m:sup>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0</m:t>
                </m:r>
              </m:sub>
            </m:sSub>
          </m:sup>
        </m:sSubSup>
      </m:oMath>
      <w:r w:rsidRPr="001A556C">
        <w:rPr>
          <w:rFonts w:ascii="Times New Roman" w:hAnsi="Times New Roman" w:cs="Times New Roman"/>
          <w:sz w:val="22"/>
          <w:szCs w:val="22"/>
        </w:rPr>
        <w:t xml:space="preserve"> drawn from a reference law </w:t>
      </w:r>
      <m:oMath>
        <m:r>
          <w:rPr>
            <w:rFonts w:ascii="Cambria Math" w:hAnsi="Cambria Math" w:cs="Times New Roman"/>
            <w:sz w:val="22"/>
            <w:szCs w:val="22"/>
          </w:rPr>
          <m:t>P</m:t>
        </m:r>
      </m:oMath>
      <w:r w:rsidRPr="001A556C">
        <w:rPr>
          <w:rFonts w:ascii="Times New Roman" w:hAnsi="Times New Roman" w:cs="Times New Roman"/>
          <w:sz w:val="22"/>
          <w:szCs w:val="22"/>
        </w:rPr>
        <w:t xml:space="preserve">, and issues an alert when </w:t>
      </w:r>
      <m:oMath>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&gt;</m:t>
        </m:r>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oMath>
      <w:r w:rsidRPr="001A556C">
        <w:rPr>
          <w:rFonts w:ascii="Times New Roman" w:hAnsi="Times New Roman" w:cs="Times New Roman"/>
          <w:sz w:val="22"/>
          <w:szCs w:val="22"/>
        </w:rPr>
        <w:t>.</w:t>
      </w:r>
    </w:p>
    <w:p w14:paraId="04741B63"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After deployment the system observes an unlabelled stream partitioned into batches </w:t>
      </w:r>
      <m:oMath>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n</m:t>
            </m:r>
          </m:sub>
        </m:sSub>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2</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t>
      </w:r>
      <m:oMath>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Ground truth </w:t>
      </w:r>
      <m:oMath>
        <m:sSub>
          <m:sSubPr>
            <m:ctrlPr>
              <w:rPr>
                <w:rFonts w:ascii="Cambria Math" w:hAnsi="Cambria Math" w:cs="Times New Roman"/>
                <w:sz w:val="22"/>
                <w:szCs w:val="22"/>
              </w:rPr>
            </m:ctrlPr>
          </m:sSubPr>
          <m:e>
            <m:r>
              <w:rPr>
                <w:rFonts w:ascii="Cambria Math" w:hAnsi="Cambria Math" w:cs="Times New Roman"/>
                <w:sz w:val="22"/>
                <w:szCs w:val="22"/>
              </w:rPr>
              <m:t>y</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i</m:t>
            </m:r>
          </m:sub>
        </m:sSub>
      </m:oMath>
      <w:r w:rsidRPr="001A556C">
        <w:rPr>
          <w:rFonts w:ascii="Times New Roman" w:hAnsi="Times New Roman" w:cs="Times New Roman"/>
          <w:sz w:val="22"/>
          <w:szCs w:val="22"/>
        </w:rPr>
        <w:t xml:space="preserve"> becomes available only for an audited subsample of rate </w:t>
      </w:r>
      <m:oMath>
        <m:sSub>
          <m:sSubPr>
            <m:ctrlPr>
              <w:rPr>
                <w:rFonts w:ascii="Cambria Math" w:hAnsi="Cambria Math" w:cs="Times New Roman"/>
                <w:sz w:val="22"/>
                <w:szCs w:val="22"/>
              </w:rPr>
            </m:ctrlPr>
          </m:sSubPr>
          <m:e>
            <m:r>
              <w:rPr>
                <w:rFonts w:ascii="Cambria Math" w:hAnsi="Cambria Math" w:cs="Times New Roman"/>
                <w:sz w:val="22"/>
                <w:szCs w:val="22"/>
              </w:rPr>
              <m:t>π</m:t>
            </m:r>
          </m:e>
          <m:sub>
            <m:r>
              <m:rPr>
                <m:nor/>
              </m:rPr>
              <w:rPr>
                <w:rFonts w:ascii="Times New Roman" w:hAnsi="Times New Roman" w:cs="Times New Roman"/>
                <w:sz w:val="22"/>
                <w:szCs w:val="22"/>
              </w:rPr>
              <m:t>aud</m:t>
            </m:r>
          </m:sub>
        </m:sSub>
      </m:oMath>
      <w:r w:rsidRPr="001A556C">
        <w:rPr>
          <w:rFonts w:ascii="Times New Roman" w:hAnsi="Times New Roman" w:cs="Times New Roman"/>
          <w:sz w:val="22"/>
          <w:szCs w:val="22"/>
        </w:rPr>
        <w:t xml:space="preserve"> after a latency of </w:t>
      </w:r>
      <m:oMath>
        <m:r>
          <m:rPr>
            <m:scr m:val="script"/>
            <m:sty m:val="p"/>
          </m:rPr>
          <w:rPr>
            <w:rFonts w:ascii="Cambria Math" w:hAnsi="Cambria Math" w:cs="Times New Roman"/>
            <w:sz w:val="22"/>
            <w:szCs w:val="22"/>
          </w:rPr>
          <m:t>l</m:t>
        </m:r>
      </m:oMath>
      <w:r w:rsidRPr="001A556C">
        <w:rPr>
          <w:rFonts w:ascii="Times New Roman" w:hAnsi="Times New Roman" w:cs="Times New Roman"/>
          <w:sz w:val="22"/>
          <w:szCs w:val="22"/>
        </w:rPr>
        <w:t xml:space="preserve"> batches; in our experiments </w:t>
      </w:r>
      <m:oMath>
        <m:sSub>
          <m:sSubPr>
            <m:ctrlPr>
              <w:rPr>
                <w:rFonts w:ascii="Cambria Math" w:hAnsi="Cambria Math" w:cs="Times New Roman"/>
                <w:sz w:val="22"/>
                <w:szCs w:val="22"/>
              </w:rPr>
            </m:ctrlPr>
          </m:sSubPr>
          <m:e>
            <m:r>
              <w:rPr>
                <w:rFonts w:ascii="Cambria Math" w:hAnsi="Cambria Math" w:cs="Times New Roman"/>
                <w:sz w:val="22"/>
                <w:szCs w:val="22"/>
              </w:rPr>
              <m:t>π</m:t>
            </m:r>
          </m:e>
          <m:sub>
            <m:r>
              <m:rPr>
                <m:nor/>
              </m:rPr>
              <w:rPr>
                <w:rFonts w:ascii="Times New Roman" w:hAnsi="Times New Roman" w:cs="Times New Roman"/>
                <w:sz w:val="22"/>
                <w:szCs w:val="22"/>
              </w:rPr>
              <m:t>aud</m:t>
            </m:r>
          </m:sub>
        </m:sSub>
        <m:r>
          <m:rPr>
            <m:sty m:val="p"/>
          </m:rPr>
          <w:rPr>
            <w:rFonts w:ascii="Cambria Math" w:hAnsi="Cambria Math" w:cs="Times New Roman"/>
            <w:sz w:val="22"/>
            <w:szCs w:val="22"/>
          </w:rPr>
          <m:t>=</m:t>
        </m:r>
        <m:r>
          <w:rPr>
            <w:rFonts w:ascii="Cambria Math" w:hAnsi="Cambria Math" w:cs="Times New Roman"/>
            <w:sz w:val="22"/>
            <w:szCs w:val="22"/>
          </w:rPr>
          <m:t>5</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and </w:t>
      </w:r>
      <m:oMath>
        <m:r>
          <m:rPr>
            <m:scr m:val="script"/>
            <m:sty m:val="p"/>
          </m:rPr>
          <w:rPr>
            <w:rFonts w:ascii="Cambria Math" w:hAnsi="Cambria Math" w:cs="Times New Roman"/>
            <w:sz w:val="22"/>
            <w:szCs w:val="22"/>
          </w:rPr>
          <m:t>l=</m:t>
        </m:r>
        <m:r>
          <w:rPr>
            <w:rFonts w:ascii="Cambria Math" w:hAnsi="Cambria Math" w:cs="Times New Roman"/>
            <w:sz w:val="22"/>
            <w:szCs w:val="22"/>
          </w:rPr>
          <m:t>3</m:t>
        </m:r>
      </m:oMath>
      <w:r w:rsidRPr="001A556C">
        <w:rPr>
          <w:rFonts w:ascii="Times New Roman" w:hAnsi="Times New Roman" w:cs="Times New Roman"/>
          <w:sz w:val="22"/>
          <w:szCs w:val="22"/>
        </w:rPr>
        <w:t xml:space="preserve">. All statistics used by MAI and CDI are functions of </w:t>
      </w:r>
      <m:oMath>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oMath>
      <w:r w:rsidRPr="001A556C">
        <w:rPr>
          <w:rFonts w:ascii="Times New Roman" w:hAnsi="Times New Roman" w:cs="Times New Roman"/>
          <w:sz w:val="22"/>
          <w:szCs w:val="22"/>
        </w:rPr>
        <w:t xml:space="preserve"> alone and use no labels whatsoever.</w:t>
      </w:r>
    </w:p>
    <w:p w14:paraId="754B49D4" w14:textId="77777777" w:rsidR="00427A24" w:rsidRPr="001A556C" w:rsidRDefault="00F57E70">
      <w:pPr>
        <w:pStyle w:val="Heading3"/>
        <w:rPr>
          <w:rFonts w:ascii="Times New Roman" w:hAnsi="Times New Roman" w:cs="Times New Roman"/>
          <w:color w:val="auto"/>
          <w:sz w:val="22"/>
          <w:szCs w:val="22"/>
        </w:rPr>
      </w:pPr>
      <w:bookmarkStart w:id="13" w:name="aging-formally"/>
      <w:bookmarkEnd w:id="12"/>
      <w:r w:rsidRPr="001A556C">
        <w:rPr>
          <w:rFonts w:ascii="Times New Roman" w:hAnsi="Times New Roman" w:cs="Times New Roman"/>
          <w:color w:val="auto"/>
          <w:sz w:val="22"/>
          <w:szCs w:val="22"/>
        </w:rPr>
        <w:t>3.2 Aging, formally</w:t>
      </w:r>
    </w:p>
    <w:p w14:paraId="645C31F0"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Write </w:t>
      </w:r>
      <m:oMath>
        <m:sSub>
          <m:sSubPr>
            <m:ctrlPr>
              <w:rPr>
                <w:rFonts w:ascii="Cambria Math" w:hAnsi="Cambria Math" w:cs="Times New Roman"/>
                <w:sz w:val="22"/>
                <w:szCs w:val="22"/>
              </w:rPr>
            </m:ctrlPr>
          </m:sSubPr>
          <m:e>
            <m:r>
              <w:rPr>
                <w:rFonts w:ascii="Cambria Math" w:hAnsi="Cambria Math" w:cs="Times New Roman"/>
                <w:sz w:val="22"/>
                <w:szCs w:val="22"/>
              </w:rPr>
              <m:t>R</m:t>
            </m:r>
          </m:e>
          <m:sub>
            <m:r>
              <w:rPr>
                <w:rFonts w:ascii="Cambria Math" w:hAnsi="Cambria Math" w:cs="Times New Roman"/>
                <w:sz w:val="22"/>
                <w:szCs w:val="22"/>
              </w:rPr>
              <m:t>Q</m:t>
            </m:r>
          </m:sub>
        </m:sSub>
        <m:d>
          <m:dPr>
            <m:ctrlPr>
              <w:rPr>
                <w:rFonts w:ascii="Cambria Math" w:hAnsi="Cambria Math" w:cs="Times New Roman"/>
                <w:sz w:val="22"/>
                <w:szCs w:val="22"/>
              </w:rPr>
            </m:ctrlPr>
          </m:dPr>
          <m:e>
            <m:r>
              <w:rPr>
                <w:rFonts w:ascii="Cambria Math" w:hAnsi="Cambria Math" w:cs="Times New Roman"/>
                <w:sz w:val="22"/>
                <w:szCs w:val="22"/>
              </w:rPr>
              <m:t>f</m:t>
            </m:r>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double-struck"/>
                <m:sty m:val="p"/>
              </m:rPr>
              <w:rPr>
                <w:rFonts w:ascii="Cambria Math" w:hAnsi="Cambria Math" w:cs="Times New Roman"/>
                <w:sz w:val="22"/>
                <w:szCs w:val="22"/>
              </w:rPr>
              <m:t>E</m:t>
            </m:r>
          </m:e>
          <m:sub>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Y</m:t>
                </m:r>
              </m:e>
            </m:d>
            <m:r>
              <m:rPr>
                <m:sty m:val="p"/>
              </m:rPr>
              <w:rPr>
                <w:rFonts w:ascii="Cambria Math" w:hAnsi="Cambria Math" w:cs="Times New Roman"/>
                <w:sz w:val="22"/>
                <w:szCs w:val="22"/>
              </w:rPr>
              <m:t>∼</m:t>
            </m:r>
            <m:r>
              <w:rPr>
                <w:rFonts w:ascii="Cambria Math" w:hAnsi="Cambria Math" w:cs="Times New Roman"/>
                <w:sz w:val="22"/>
                <w:szCs w:val="22"/>
              </w:rPr>
              <m:t>Q</m:t>
            </m:r>
          </m:sub>
        </m:sSub>
        <m:d>
          <m:dPr>
            <m:begChr m:val="["/>
            <m:endChr m:val="]"/>
            <m:ctrlPr>
              <w:rPr>
                <w:rFonts w:ascii="Cambria Math" w:hAnsi="Cambria Math" w:cs="Times New Roman"/>
                <w:sz w:val="22"/>
                <w:szCs w:val="22"/>
              </w:rPr>
            </m:ctrlPr>
          </m:dPr>
          <m:e>
            <m:r>
              <m:rPr>
                <m:scr m:val="script"/>
                <m:sty m:val="p"/>
              </m:rPr>
              <w:rPr>
                <w:rFonts w:ascii="Cambria Math" w:hAnsi="Cambria Math" w:cs="Times New Roman"/>
                <w:sz w:val="22"/>
                <w:szCs w:val="22"/>
              </w:rPr>
              <m:t>l</m:t>
            </m:r>
            <m:d>
              <m:dPr>
                <m:ctrlPr>
                  <w:rPr>
                    <w:rFonts w:ascii="Cambria Math" w:hAnsi="Cambria Math" w:cs="Times New Roman"/>
                    <w:sz w:val="22"/>
                    <w:szCs w:val="22"/>
                  </w:rPr>
                </m:ctrlPr>
              </m:dPr>
              <m:e>
                <m:r>
                  <w:rPr>
                    <w:rFonts w:ascii="Cambria Math" w:hAnsi="Cambria Math" w:cs="Times New Roman"/>
                    <w:sz w:val="22"/>
                    <w:szCs w:val="22"/>
                  </w:rPr>
                  <m:t>f</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Y</m:t>
                </m:r>
              </m:e>
            </m:d>
          </m:e>
        </m:d>
      </m:oMath>
      <w:r w:rsidRPr="001A556C">
        <w:rPr>
          <w:rFonts w:ascii="Times New Roman" w:hAnsi="Times New Roman" w:cs="Times New Roman"/>
          <w:sz w:val="22"/>
          <w:szCs w:val="22"/>
        </w:rPr>
        <w:t xml:space="preserve"> for the risk of </w:t>
      </w:r>
      <m:oMath>
        <m:r>
          <w:rPr>
            <w:rFonts w:ascii="Cambria Math" w:hAnsi="Cambria Math" w:cs="Times New Roman"/>
            <w:sz w:val="22"/>
            <w:szCs w:val="22"/>
          </w:rPr>
          <m:t>f</m:t>
        </m:r>
      </m:oMath>
      <w:r w:rsidRPr="001A556C">
        <w:rPr>
          <w:rFonts w:ascii="Times New Roman" w:hAnsi="Times New Roman" w:cs="Times New Roman"/>
          <w:sz w:val="22"/>
          <w:szCs w:val="22"/>
        </w:rPr>
        <w:t xml:space="preserve"> under law </w:t>
      </w:r>
      <m:oMath>
        <m:r>
          <w:rPr>
            <w:rFonts w:ascii="Cambria Math" w:hAnsi="Cambria Math" w:cs="Times New Roman"/>
            <w:sz w:val="22"/>
            <w:szCs w:val="22"/>
          </w:rPr>
          <m:t>Q</m:t>
        </m:r>
      </m:oMath>
      <w:r w:rsidRPr="001A556C">
        <w:rPr>
          <w:rFonts w:ascii="Times New Roman" w:hAnsi="Times New Roman" w:cs="Times New Roman"/>
          <w:sz w:val="22"/>
          <w:szCs w:val="22"/>
        </w:rPr>
        <w:t xml:space="preserve"> and define the aging gap at batch </w:t>
      </w:r>
      <m:oMath>
        <m:r>
          <w:rPr>
            <w:rFonts w:ascii="Cambria Math" w:hAnsi="Cambria Math" w:cs="Times New Roman"/>
            <w:sz w:val="22"/>
            <w:szCs w:val="22"/>
          </w:rPr>
          <m:t>t</m:t>
        </m:r>
      </m:oMath>
      <w:r w:rsidRPr="001A556C">
        <w:rPr>
          <w:rFonts w:ascii="Times New Roman" w:hAnsi="Times New Roman" w:cs="Times New Roman"/>
          <w:sz w:val="22"/>
          <w:szCs w:val="22"/>
        </w:rPr>
        <w:t xml:space="preserve"> as</w:t>
      </w:r>
    </w:p>
    <w:p w14:paraId="3FF4C1FE"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Δ</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R</m:t>
              </m:r>
            </m:e>
            <m:sub>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R</m:t>
              </m:r>
            </m:e>
            <m:sub>
              <m:r>
                <w:rPr>
                  <w:rFonts w:ascii="Cambria Math" w:hAnsi="Cambria Math" w:cs="Times New Roman"/>
                  <w:sz w:val="22"/>
                  <w:szCs w:val="22"/>
                </w:rPr>
                <m:t>P</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r>
            <m:rPr>
              <m:sty m:val="p"/>
            </m:rPr>
            <w:rPr>
              <w:rFonts w:ascii="Cambria Math" w:hAnsi="Cambria Math" w:cs="Times New Roman"/>
              <w:sz w:val="22"/>
              <w:szCs w:val="22"/>
            </w:rPr>
            <m:t>.</m:t>
          </m:r>
        </m:oMath>
      </m:oMathPara>
    </w:p>
    <w:p w14:paraId="2BC30624" w14:textId="77777777" w:rsidR="00427A24" w:rsidRPr="001A556C" w:rsidRDefault="00000000" w:rsidP="003942E3">
      <w:pPr>
        <w:pStyle w:val="FirstParagraph"/>
        <w:spacing w:line="360" w:lineRule="auto"/>
        <w:jc w:val="both"/>
        <w:rPr>
          <w:rFonts w:ascii="Times New Roman" w:hAnsi="Times New Roman" w:cs="Times New Roman"/>
          <w:sz w:val="22"/>
          <w:szCs w:val="22"/>
        </w:rPr>
      </w:pPr>
      <m:oMath>
        <m:sSub>
          <m:sSubPr>
            <m:ctrlPr>
              <w:rPr>
                <w:rFonts w:ascii="Cambria Math" w:hAnsi="Cambria Math" w:cs="Times New Roman"/>
                <w:sz w:val="22"/>
                <w:szCs w:val="22"/>
              </w:rPr>
            </m:ctrlPr>
          </m:sSubPr>
          <m:e>
            <m:r>
              <w:rPr>
                <w:rFonts w:ascii="Cambria Math" w:hAnsi="Cambria Math" w:cs="Times New Roman"/>
                <w:sz w:val="22"/>
                <w:szCs w:val="22"/>
              </w:rPr>
              <m:t>Δ</m:t>
            </m:r>
          </m:e>
          <m:sub>
            <m:r>
              <w:rPr>
                <w:rFonts w:ascii="Cambria Math" w:hAnsi="Cambria Math" w:cs="Times New Roman"/>
                <w:sz w:val="22"/>
                <w:szCs w:val="22"/>
              </w:rPr>
              <m:t>t</m:t>
            </m:r>
          </m:sub>
        </m:sSub>
      </m:oMath>
      <w:r w:rsidR="00F57E70" w:rsidRPr="001A556C">
        <w:rPr>
          <w:rFonts w:ascii="Times New Roman" w:hAnsi="Times New Roman" w:cs="Times New Roman"/>
          <w:sz w:val="22"/>
          <w:szCs w:val="22"/>
        </w:rPr>
        <w:t xml:space="preserve"> is what an operator would like to know and cannot observe without labels. The programme of this paper is to construct an observable, bounded surrogate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oMath>
      <w:r w:rsidR="00F57E70" w:rsidRPr="001A556C">
        <w:rPr>
          <w:rFonts w:ascii="Times New Roman" w:hAnsi="Times New Roman" w:cs="Times New Roman"/>
          <w:sz w:val="22"/>
          <w:szCs w:val="22"/>
        </w:rPr>
        <w:t xml:space="preserve"> that (a) is provably small when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P</m:t>
        </m:r>
      </m:oMath>
      <w:r w:rsidR="00F57E70" w:rsidRPr="001A556C">
        <w:rPr>
          <w:rFonts w:ascii="Times New Roman" w:hAnsi="Times New Roman" w:cs="Times New Roman"/>
          <w:sz w:val="22"/>
          <w:szCs w:val="22"/>
        </w:rPr>
        <w:t xml:space="preserve">, (b) increases monotonically with accumulated distributional stress, and (c) supports a decision rule with certified false-alarm behaviour. We are explicit that MAI is not an estimator of </w:t>
      </w:r>
      <m:oMath>
        <m:sSub>
          <m:sSubPr>
            <m:ctrlPr>
              <w:rPr>
                <w:rFonts w:ascii="Cambria Math" w:hAnsi="Cambria Math" w:cs="Times New Roman"/>
                <w:sz w:val="22"/>
                <w:szCs w:val="22"/>
              </w:rPr>
            </m:ctrlPr>
          </m:sSubPr>
          <m:e>
            <m:r>
              <w:rPr>
                <w:rFonts w:ascii="Cambria Math" w:hAnsi="Cambria Math" w:cs="Times New Roman"/>
                <w:sz w:val="22"/>
                <w:szCs w:val="22"/>
              </w:rPr>
              <m:t>Δ</m:t>
            </m:r>
          </m:e>
          <m:sub>
            <m:r>
              <w:rPr>
                <w:rFonts w:ascii="Cambria Math" w:hAnsi="Cambria Math" w:cs="Times New Roman"/>
                <w:sz w:val="22"/>
                <w:szCs w:val="22"/>
              </w:rPr>
              <m:t>t</m:t>
            </m:r>
          </m:sub>
        </m:sSub>
      </m:oMath>
      <w:r w:rsidR="00F57E70" w:rsidRPr="001A556C">
        <w:rPr>
          <w:rFonts w:ascii="Times New Roman" w:hAnsi="Times New Roman" w:cs="Times New Roman"/>
          <w:sz w:val="22"/>
          <w:szCs w:val="22"/>
        </w:rPr>
        <w:t xml:space="preserve"> and does not upper-bound it (see the discussion after Proposition 4); it is a state variable for a control problem.</w:t>
      </w:r>
    </w:p>
    <w:p w14:paraId="73CF56E3" w14:textId="77777777" w:rsidR="00427A24" w:rsidRPr="001A556C" w:rsidRDefault="00F57E70">
      <w:pPr>
        <w:pStyle w:val="Heading3"/>
        <w:rPr>
          <w:rFonts w:ascii="Times New Roman" w:hAnsi="Times New Roman" w:cs="Times New Roman"/>
          <w:color w:val="auto"/>
          <w:sz w:val="22"/>
          <w:szCs w:val="22"/>
        </w:rPr>
      </w:pPr>
      <w:bookmarkStart w:id="14" w:name="a-five-regime-drift-taxonomy"/>
      <w:bookmarkEnd w:id="13"/>
      <w:r w:rsidRPr="001A556C">
        <w:rPr>
          <w:rFonts w:ascii="Times New Roman" w:hAnsi="Times New Roman" w:cs="Times New Roman"/>
          <w:color w:val="auto"/>
          <w:sz w:val="22"/>
          <w:szCs w:val="22"/>
        </w:rPr>
        <w:t>3.3 A five-regime drift taxonomy</w:t>
      </w:r>
    </w:p>
    <w:p w14:paraId="74452B10"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evaluate against five regimes, parameterised by a mixing weight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between a pre-drift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A</m:t>
            </m:r>
          </m:sub>
        </m:sSub>
      </m:oMath>
      <w:r w:rsidRPr="001A556C">
        <w:rPr>
          <w:rFonts w:ascii="Times New Roman" w:hAnsi="Times New Roman" w:cs="Times New Roman"/>
          <w:sz w:val="22"/>
          <w:szCs w:val="22"/>
        </w:rPr>
        <w:t xml:space="preserve"> and a post-drift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B</m:t>
            </m:r>
          </m:sub>
        </m:sSub>
      </m:oMath>
      <w:r w:rsidRPr="001A556C">
        <w:rPr>
          <w:rFonts w:ascii="Times New Roman" w:hAnsi="Times New Roman" w:cs="Times New Roman"/>
          <w:sz w:val="22"/>
          <w:szCs w:val="22"/>
        </w:rPr>
        <w:t xml:space="preserve">, and an evasion intensity </w:t>
      </w:r>
      <m:oMath>
        <m:r>
          <w:rPr>
            <w:rFonts w:ascii="Cambria Math" w:hAnsi="Cambria Math" w:cs="Times New Roman"/>
            <w:sz w:val="22"/>
            <w:szCs w:val="22"/>
          </w:rPr>
          <m:t>ϕ</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w:t>
      </w:r>
    </w:p>
    <w:p w14:paraId="1C91F488" w14:textId="77777777" w:rsidR="00427A24" w:rsidRPr="001A556C" w:rsidRDefault="00F57E7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No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1</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Establishes the false-alarm baseline.</w:t>
      </w:r>
    </w:p>
    <w:p w14:paraId="265ED8A7" w14:textId="77777777" w:rsidR="00427A24" w:rsidRPr="001A556C" w:rsidRDefault="00F57E7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Gradual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2</m:t>
            </m:r>
          </m:sub>
        </m:sSub>
      </m:oMath>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ramps linearly from 0 to 1 over </w:t>
      </w:r>
      <m:oMath>
        <m:r>
          <w:rPr>
            <w:rFonts w:ascii="Cambria Math" w:hAnsi="Cambria Math" w:cs="Times New Roman"/>
            <w:sz w:val="22"/>
            <w:szCs w:val="22"/>
          </w:rPr>
          <m:t>t</m:t>
        </m:r>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40</m:t>
            </m:r>
            <m:r>
              <m:rPr>
                <m:sty m:val="p"/>
              </m:rPr>
              <w:rPr>
                <w:rFonts w:ascii="Cambria Math" w:hAnsi="Cambria Math" w:cs="Times New Roman"/>
                <w:sz w:val="22"/>
                <w:szCs w:val="22"/>
              </w:rPr>
              <m:t>,</m:t>
            </m:r>
            <m:r>
              <w:rPr>
                <w:rFonts w:ascii="Cambria Math" w:hAnsi="Cambria Math" w:cs="Times New Roman"/>
                <w:sz w:val="22"/>
                <w:szCs w:val="22"/>
              </w:rPr>
              <m:t>80</m:t>
            </m:r>
          </m:e>
        </m:d>
      </m:oMath>
      <w:r w:rsidRPr="001A556C">
        <w:rPr>
          <w:rFonts w:ascii="Times New Roman" w:hAnsi="Times New Roman" w:cs="Times New Roman"/>
          <w:sz w:val="22"/>
          <w:szCs w:val="22"/>
        </w:rPr>
        <w:t>.</w:t>
      </w:r>
    </w:p>
    <w:p w14:paraId="1FAA50F1" w14:textId="77777777" w:rsidR="00427A24" w:rsidRPr="001A556C" w:rsidRDefault="00F57E7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Abrupt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3</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cr m:val="double-struck"/>
            <m:sty m:val="p"/>
          </m:rPr>
          <w:rPr>
            <w:rFonts w:ascii="Cambria Math" w:hAnsi="Cambria Math" w:cs="Times New Roman"/>
            <w:sz w:val="22"/>
            <w:szCs w:val="22"/>
          </w:rPr>
          <m:t>=1</m:t>
        </m:r>
        <m:d>
          <m:dPr>
            <m:begChr m:val="["/>
            <m:endChr m:val="]"/>
            <m:ctrlPr>
              <w:rPr>
                <w:rFonts w:ascii="Cambria Math" w:hAnsi="Cambria Math" w:cs="Times New Roman"/>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50</m:t>
            </m:r>
          </m:e>
        </m:d>
      </m:oMath>
      <w:r w:rsidRPr="001A556C">
        <w:rPr>
          <w:rFonts w:ascii="Times New Roman" w:hAnsi="Times New Roman" w:cs="Times New Roman"/>
          <w:sz w:val="22"/>
          <w:szCs w:val="22"/>
        </w:rPr>
        <w:t>.</w:t>
      </w:r>
    </w:p>
    <w:p w14:paraId="63EFF1F5" w14:textId="77777777" w:rsidR="00427A24" w:rsidRPr="001A556C" w:rsidRDefault="00F57E7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Recurring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alternates between 0 and 1 on a 25-batch square wave from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20</m:t>
        </m:r>
      </m:oMath>
      <w:r w:rsidRPr="001A556C">
        <w:rPr>
          <w:rFonts w:ascii="Times New Roman" w:hAnsi="Times New Roman" w:cs="Times New Roman"/>
          <w:sz w:val="22"/>
          <w:szCs w:val="22"/>
        </w:rPr>
        <w:t xml:space="preserve">, so that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A</m:t>
            </m:r>
          </m:sub>
        </m:sSub>
      </m:oMath>
      <w:r w:rsidRPr="001A556C">
        <w:rPr>
          <w:rFonts w:ascii="Times New Roman" w:hAnsi="Times New Roman" w:cs="Times New Roman"/>
          <w:sz w:val="22"/>
          <w:szCs w:val="22"/>
        </w:rPr>
        <w:t xml:space="preserve"> periodically returns.</w:t>
      </w:r>
    </w:p>
    <w:p w14:paraId="07223DFE" w14:textId="77777777" w:rsidR="00427A24" w:rsidRPr="001A556C" w:rsidRDefault="00F57E7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Adversarial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but a fraction </w:t>
      </w:r>
      <m:oMath>
        <m:r>
          <w:rPr>
            <w:rFonts w:ascii="Cambria Math" w:hAnsi="Cambria Math" w:cs="Times New Roman"/>
            <w:sz w:val="22"/>
            <w:szCs w:val="22"/>
          </w:rPr>
          <m:t>ϕ</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of attack flows rising from 0 at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40</m:t>
        </m:r>
      </m:oMath>
      <w:r w:rsidRPr="001A556C">
        <w:rPr>
          <w:rFonts w:ascii="Times New Roman" w:hAnsi="Times New Roman" w:cs="Times New Roman"/>
          <w:sz w:val="22"/>
          <w:szCs w:val="22"/>
        </w:rPr>
        <w:t xml:space="preserve"> to 0.70 is transported toward the benign centroid </w:t>
      </w:r>
      <m:oMath>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x</m:t>
                </m:r>
              </m:e>
            </m:acc>
          </m:e>
          <m:sub>
            <m:r>
              <m:rPr>
                <m:sty m:val="p"/>
              </m:rPr>
              <w:rPr>
                <w:rFonts w:ascii="Cambria Math" w:hAnsi="Cambria Math" w:cs="Times New Roman"/>
                <w:sz w:val="22"/>
                <w:szCs w:val="22"/>
              </w:rPr>
              <m:t>ben</m:t>
            </m:r>
          </m:sub>
        </m:sSub>
      </m:oMath>
      <w:r w:rsidRPr="001A556C">
        <w:rPr>
          <w:rFonts w:ascii="Times New Roman" w:hAnsi="Times New Roman" w:cs="Times New Roman"/>
          <w:sz w:val="22"/>
          <w:szCs w:val="22"/>
        </w:rPr>
        <w:t xml:space="preserve"> by the mimicry map </w:t>
      </w:r>
      <m:oMath>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0.6x</m:t>
        </m:r>
        <m:r>
          <m:rPr>
            <m:sty m:val="p"/>
          </m:rPr>
          <w:rPr>
            <w:rFonts w:ascii="Cambria Math" w:hAnsi="Cambria Math" w:cs="Times New Roman"/>
            <w:sz w:val="22"/>
            <w:szCs w:val="22"/>
          </w:rPr>
          <m:t>+</m:t>
        </m:r>
        <m:r>
          <w:rPr>
            <w:rFonts w:ascii="Cambria Math" w:hAnsi="Cambria Math" w:cs="Times New Roman"/>
            <w:sz w:val="22"/>
            <w:szCs w:val="22"/>
          </w:rPr>
          <m:t>0.4</m:t>
        </m:r>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x</m:t>
                </m:r>
              </m:e>
            </m:acc>
          </m:e>
          <m:sub>
            <m:r>
              <m:rPr>
                <m:sty m:val="p"/>
              </m:rPr>
              <w:rPr>
                <w:rFonts w:ascii="Cambria Math" w:hAnsi="Cambria Math" w:cs="Times New Roman"/>
                <w:sz w:val="22"/>
                <w:szCs w:val="22"/>
              </w:rPr>
              <m:t>ben</m:t>
            </m:r>
          </m:sub>
        </m:sSub>
        <m:r>
          <m:rPr>
            <m:sty m:val="p"/>
          </m:rPr>
          <w:rPr>
            <w:rFonts w:ascii="Cambria Math" w:hAnsi="Cambria Math" w:cs="Times New Roman"/>
            <w:sz w:val="22"/>
            <w:szCs w:val="22"/>
          </w:rPr>
          <m:t>+</m:t>
        </m:r>
        <m:r>
          <w:rPr>
            <w:rFonts w:ascii="Cambria Math" w:hAnsi="Cambria Math" w:cs="Times New Roman"/>
            <w:sz w:val="22"/>
            <w:szCs w:val="22"/>
          </w:rPr>
          <m:t>ε</m:t>
        </m:r>
      </m:oMath>
      <w:r w:rsidRPr="001A556C">
        <w:rPr>
          <w:rFonts w:ascii="Times New Roman" w:hAnsi="Times New Roman" w:cs="Times New Roman"/>
          <w:sz w:val="22"/>
          <w:szCs w:val="22"/>
        </w:rPr>
        <w:t xml:space="preserve">, </w:t>
      </w:r>
      <m:oMath>
        <m:r>
          <w:rPr>
            <w:rFonts w:ascii="Cambria Math" w:hAnsi="Cambria Math" w:cs="Times New Roman"/>
            <w:sz w:val="22"/>
            <w:szCs w:val="22"/>
          </w:rPr>
          <m:t>ε</m:t>
        </m:r>
        <m:r>
          <m:rPr>
            <m:scr m:val="script"/>
            <m:sty m:val="p"/>
          </m:rPr>
          <w:rPr>
            <w:rFonts w:ascii="Cambria Math" w:hAnsi="Cambria Math" w:cs="Times New Roman"/>
            <w:sz w:val="22"/>
            <w:szCs w:val="22"/>
          </w:rPr>
          <m:t>∼N</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0.02</m:t>
                </m:r>
              </m:e>
              <m:sup>
                <m:r>
                  <w:rPr>
                    <w:rFonts w:ascii="Cambria Math" w:hAnsi="Cambria Math" w:cs="Times New Roman"/>
                    <w:sz w:val="22"/>
                    <w:szCs w:val="22"/>
                  </w:rPr>
                  <m:t>2</m:t>
                </m:r>
              </m:sup>
            </m:sSup>
            <m:r>
              <w:rPr>
                <w:rFonts w:ascii="Cambria Math" w:hAnsi="Cambria Math" w:cs="Times New Roman"/>
                <w:sz w:val="22"/>
                <w:szCs w:val="22"/>
              </w:rPr>
              <m:t>I</m:t>
            </m:r>
          </m:e>
        </m:d>
      </m:oMath>
      <w:r w:rsidRPr="001A556C">
        <w:rPr>
          <w:rFonts w:ascii="Times New Roman" w:hAnsi="Times New Roman" w:cs="Times New Roman"/>
          <w:sz w:val="22"/>
          <w:szCs w:val="22"/>
        </w:rPr>
        <w:t>, with labels unchanged.</w:t>
      </w:r>
    </w:p>
    <w:p w14:paraId="47B0E1A9"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xml:space="preserve"> is qualitatively distinct: it is drift with an optimiser behind it, and it violates the exchangeability that justifies retraining on recent data.</w:t>
      </w:r>
    </w:p>
    <w:p w14:paraId="67CDE68F" w14:textId="77777777" w:rsidR="00427A24" w:rsidRPr="001A556C" w:rsidRDefault="00427A24">
      <w:pPr>
        <w:rPr>
          <w:rFonts w:ascii="Times New Roman" w:hAnsi="Times New Roman" w:cs="Times New Roman"/>
          <w:sz w:val="22"/>
          <w:szCs w:val="22"/>
        </w:rPr>
      </w:pPr>
    </w:p>
    <w:p w14:paraId="6112F7CE" w14:textId="77777777" w:rsidR="00427A24" w:rsidRPr="001A556C" w:rsidRDefault="00F57E70">
      <w:pPr>
        <w:pStyle w:val="Heading2"/>
        <w:rPr>
          <w:rFonts w:ascii="Times New Roman" w:hAnsi="Times New Roman" w:cs="Times New Roman"/>
          <w:color w:val="auto"/>
          <w:sz w:val="22"/>
          <w:szCs w:val="22"/>
        </w:rPr>
      </w:pPr>
      <w:bookmarkStart w:id="15" w:name="the-statistical-monitoring-battery"/>
      <w:bookmarkEnd w:id="11"/>
      <w:bookmarkEnd w:id="14"/>
      <w:r w:rsidRPr="001A556C">
        <w:rPr>
          <w:rFonts w:ascii="Times New Roman" w:hAnsi="Times New Roman" w:cs="Times New Roman"/>
          <w:color w:val="auto"/>
          <w:sz w:val="22"/>
          <w:szCs w:val="22"/>
        </w:rPr>
        <w:t>4. The Statistical Monitoring Battery</w:t>
      </w:r>
    </w:p>
    <w:p w14:paraId="2FB97D58" w14:textId="77777777" w:rsidR="00427A24" w:rsidRPr="001A556C" w:rsidRDefault="00F57E70">
      <w:pPr>
        <w:pStyle w:val="Heading3"/>
        <w:rPr>
          <w:rFonts w:ascii="Times New Roman" w:hAnsi="Times New Roman" w:cs="Times New Roman"/>
          <w:color w:val="auto"/>
          <w:sz w:val="22"/>
          <w:szCs w:val="22"/>
        </w:rPr>
      </w:pPr>
      <w:bookmarkStart w:id="16" w:name="batch-divergence-statistics"/>
      <w:r w:rsidRPr="001A556C">
        <w:rPr>
          <w:rFonts w:ascii="Times New Roman" w:hAnsi="Times New Roman" w:cs="Times New Roman"/>
          <w:color w:val="auto"/>
          <w:sz w:val="22"/>
          <w:szCs w:val="22"/>
        </w:rPr>
        <w:t>4.1 Batch divergence statistics</w:t>
      </w:r>
    </w:p>
    <w:p w14:paraId="7A0A54D5"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Let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denote the batch score set and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oMath>
      <w:r w:rsidRPr="001A556C">
        <w:rPr>
          <w:rFonts w:ascii="Times New Roman" w:hAnsi="Times New Roman" w:cs="Times New Roman"/>
          <w:sz w:val="22"/>
          <w:szCs w:val="22"/>
        </w:rPr>
        <w:t xml:space="preserve"> the reference score set. Bin the score axis at reference deciles to obtain reference and current histograms </w:t>
      </w:r>
      <m:oMath>
        <m:sSup>
          <m:sSupPr>
            <m:ctrlPr>
              <w:rPr>
                <w:rFonts w:ascii="Cambria Math" w:hAnsi="Cambria Math" w:cs="Times New Roman"/>
                <w:sz w:val="22"/>
                <w:szCs w:val="22"/>
              </w:rPr>
            </m:ctrlPr>
          </m:sSupPr>
          <m:e>
            <m:r>
              <w:rPr>
                <w:rFonts w:ascii="Cambria Math" w:hAnsi="Cambria Math" w:cs="Times New Roman"/>
                <w:sz w:val="22"/>
                <w:szCs w:val="22"/>
              </w:rPr>
              <m:t>p</m:t>
            </m:r>
          </m:e>
          <m:sup>
            <m:r>
              <m:rPr>
                <m:sty m:val="p"/>
              </m:rPr>
              <w:rPr>
                <w:rFonts w:ascii="Cambria Math" w:hAnsi="Cambria Math" w:cs="Times New Roman"/>
                <w:sz w:val="22"/>
                <w:szCs w:val="22"/>
              </w:rPr>
              <m:t>ref</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p</m:t>
            </m:r>
          </m:e>
          <m:sup>
            <m:r>
              <w:rPr>
                <w:rFonts w:ascii="Cambria Math" w:hAnsi="Cambria Math" w:cs="Times New Roman"/>
                <w:sz w:val="22"/>
                <w:szCs w:val="22"/>
              </w:rPr>
              <m:t>t</m:t>
            </m:r>
          </m:sup>
        </m:sSup>
      </m:oMath>
      <w:r w:rsidRPr="001A556C">
        <w:rPr>
          <w:rFonts w:ascii="Times New Roman" w:hAnsi="Times New Roman" w:cs="Times New Roman"/>
          <w:sz w:val="22"/>
          <w:szCs w:val="22"/>
        </w:rPr>
        <w:t xml:space="preserve"> over </w:t>
      </w:r>
      <m:oMath>
        <m:r>
          <w:rPr>
            <w:rFonts w:ascii="Cambria Math" w:hAnsi="Cambria Math" w:cs="Times New Roman"/>
            <w:sz w:val="22"/>
            <w:szCs w:val="22"/>
          </w:rPr>
          <m:t>m</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bins with additive smoothing </w:t>
      </w:r>
      <m:oMath>
        <m:r>
          <w:rPr>
            <w:rFonts w:ascii="Cambria Math" w:hAnsi="Cambria Math" w:cs="Times New Roman"/>
            <w:sz w:val="22"/>
            <w:szCs w:val="22"/>
          </w:rPr>
          <m:t>ϵ</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10</m:t>
            </m:r>
          </m:e>
          <m:sup>
            <m:r>
              <m:rPr>
                <m:sty m:val="p"/>
              </m:rPr>
              <w:rPr>
                <w:rFonts w:ascii="Cambria Math" w:hAnsi="Cambria Math" w:cs="Times New Roman"/>
                <w:sz w:val="22"/>
                <w:szCs w:val="22"/>
              </w:rPr>
              <m:t>-</m:t>
            </m:r>
            <m:r>
              <w:rPr>
                <w:rFonts w:ascii="Cambria Math" w:hAnsi="Cambria Math" w:cs="Times New Roman"/>
                <w:sz w:val="22"/>
                <w:szCs w:val="22"/>
              </w:rPr>
              <m:t>6</m:t>
            </m:r>
          </m:sup>
        </m:sSup>
      </m:oMath>
      <w:r w:rsidRPr="001A556C">
        <w:rPr>
          <w:rFonts w:ascii="Times New Roman" w:hAnsi="Times New Roman" w:cs="Times New Roman"/>
          <w:sz w:val="22"/>
          <w:szCs w:val="22"/>
        </w:rPr>
        <w:t>. We compute:</w:t>
      </w:r>
    </w:p>
    <w:p w14:paraId="79657499"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m:rPr>
                  <m:sty m:val="p"/>
                </m:rPr>
                <w:rPr>
                  <w:rFonts w:ascii="Cambria Math" w:hAnsi="Cambria Math" w:cs="Times New Roman"/>
                  <w:sz w:val="22"/>
                  <w:szCs w:val="22"/>
                </w:rPr>
                <m:t>PSI</m:t>
              </m:r>
            </m:e>
            <m:sub>
              <m:r>
                <w:rPr>
                  <w:rFonts w:ascii="Cambria Math" w:hAnsi="Cambria Math" w:cs="Times New Roman"/>
                  <w:sz w:val="22"/>
                  <w:szCs w:val="22"/>
                </w:rPr>
                <m:t>t</m:t>
              </m:r>
            </m:sub>
          </m:sSub>
          <m:r>
            <m:rPr>
              <m:sty m:val="p"/>
            </m:rPr>
            <w:rPr>
              <w:rFonts w:ascii="Cambria Math" w:hAnsi="Cambria Math" w:cs="Times New Roman"/>
              <w:sz w:val="22"/>
              <w:szCs w:val="22"/>
            </w:rPr>
            <m:t>=</m:t>
          </m:r>
          <m:nary>
            <m:naryPr>
              <m:chr m:val="∑"/>
              <m:limLoc m:val="undOvr"/>
              <m:ctrlPr>
                <w:rPr>
                  <w:rFonts w:ascii="Cambria Math" w:hAnsi="Cambria Math" w:cs="Times New Roman"/>
                  <w:sz w:val="22"/>
                  <w:szCs w:val="22"/>
                </w:rPr>
              </m:ctrlPr>
            </m:naryPr>
            <m:sub>
              <m:r>
                <w:rPr>
                  <w:rFonts w:ascii="Cambria Math" w:hAnsi="Cambria Math" w:cs="Times New Roman"/>
                  <w:sz w:val="22"/>
                  <w:szCs w:val="22"/>
                </w:rPr>
                <m:t>b</m:t>
              </m:r>
              <m:r>
                <m:rPr>
                  <m:sty m:val="p"/>
                </m:rPr>
                <w:rPr>
                  <w:rFonts w:ascii="Cambria Math" w:hAnsi="Cambria Math" w:cs="Times New Roman"/>
                  <w:sz w:val="22"/>
                  <w:szCs w:val="22"/>
                </w:rPr>
                <m:t>=</m:t>
              </m:r>
              <m:r>
                <w:rPr>
                  <w:rFonts w:ascii="Cambria Math" w:hAnsi="Cambria Math" w:cs="Times New Roman"/>
                  <w:sz w:val="22"/>
                  <w:szCs w:val="22"/>
                </w:rPr>
                <m:t>1</m:t>
              </m:r>
            </m:sub>
            <m:sup>
              <m:r>
                <w:rPr>
                  <w:rFonts w:ascii="Cambria Math" w:hAnsi="Cambria Math" w:cs="Times New Roman"/>
                  <w:sz w:val="22"/>
                  <w:szCs w:val="22"/>
                </w:rPr>
                <m:t>m</m:t>
              </m:r>
            </m:sup>
            <m:e>
              <m:d>
                <m:dPr>
                  <m:ctrlPr>
                    <w:rPr>
                      <w:rFonts w:ascii="Cambria Math" w:hAnsi="Cambria Math" w:cs="Times New Roman"/>
                      <w:sz w:val="22"/>
                      <w:szCs w:val="22"/>
                    </w:rPr>
                  </m:ctrlPr>
                </m:dPr>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e>
              </m:d>
            </m:e>
          </m:nary>
          <m:r>
            <m:rPr>
              <m:sty m:val="p"/>
            </m:rPr>
            <w:rPr>
              <w:rFonts w:ascii="Cambria Math" w:hAnsi="Cambria Math" w:cs="Times New Roman"/>
              <w:sz w:val="22"/>
              <w:szCs w:val="22"/>
            </w:rPr>
            <m:t>ln</m:t>
          </m:r>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num>
            <m:den>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den>
          </m:f>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m:rPr>
                  <m:sty m:val="p"/>
                </m:rPr>
                <w:rPr>
                  <w:rFonts w:ascii="Cambria Math" w:hAnsi="Cambria Math" w:cs="Times New Roman"/>
                  <w:sz w:val="22"/>
                  <w:szCs w:val="22"/>
                </w:rPr>
                <m:t>KL</m:t>
              </m:r>
            </m:e>
            <m:sub>
              <m:r>
                <w:rPr>
                  <w:rFonts w:ascii="Cambria Math" w:hAnsi="Cambria Math" w:cs="Times New Roman"/>
                  <w:sz w:val="22"/>
                  <w:szCs w:val="22"/>
                </w:rPr>
                <m:t>t</m:t>
              </m:r>
            </m:sub>
          </m:sSub>
          <m:r>
            <m:rPr>
              <m:sty m:val="p"/>
            </m:rPr>
            <w:rPr>
              <w:rFonts w:ascii="Cambria Math" w:hAnsi="Cambria Math" w:cs="Times New Roman"/>
              <w:sz w:val="22"/>
              <w:szCs w:val="22"/>
            </w:rPr>
            <m:t>=</m:t>
          </m:r>
          <m:nary>
            <m:naryPr>
              <m:chr m:val="∑"/>
              <m:limLoc m:val="undOvr"/>
              <m:ctrlPr>
                <w:rPr>
                  <w:rFonts w:ascii="Cambria Math" w:hAnsi="Cambria Math" w:cs="Times New Roman"/>
                  <w:sz w:val="22"/>
                  <w:szCs w:val="22"/>
                </w:rPr>
              </m:ctrlPr>
            </m:naryPr>
            <m:sub>
              <m:r>
                <w:rPr>
                  <w:rFonts w:ascii="Cambria Math" w:hAnsi="Cambria Math" w:cs="Times New Roman"/>
                  <w:sz w:val="22"/>
                  <w:szCs w:val="22"/>
                </w:rPr>
                <m:t>b</m:t>
              </m:r>
              <m:r>
                <m:rPr>
                  <m:sty m:val="p"/>
                </m:rPr>
                <w:rPr>
                  <w:rFonts w:ascii="Cambria Math" w:hAnsi="Cambria Math" w:cs="Times New Roman"/>
                  <w:sz w:val="22"/>
                  <w:szCs w:val="22"/>
                </w:rPr>
                <m:t>=</m:t>
              </m:r>
              <m:r>
                <w:rPr>
                  <w:rFonts w:ascii="Cambria Math" w:hAnsi="Cambria Math" w:cs="Times New Roman"/>
                  <w:sz w:val="22"/>
                  <w:szCs w:val="22"/>
                </w:rPr>
                <m:t>1</m:t>
              </m:r>
            </m:sub>
            <m:sup>
              <m:r>
                <w:rPr>
                  <w:rFonts w:ascii="Cambria Math" w:hAnsi="Cambria Math" w:cs="Times New Roman"/>
                  <w:sz w:val="22"/>
                  <w:szCs w:val="22"/>
                </w:rPr>
                <m:t>m</m:t>
              </m:r>
            </m:sup>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e>
          </m:nary>
          <m:r>
            <m:rPr>
              <m:sty m:val="p"/>
            </m:rPr>
            <w:rPr>
              <w:rFonts w:ascii="Cambria Math" w:hAnsi="Cambria Math" w:cs="Times New Roman"/>
              <w:sz w:val="22"/>
              <w:szCs w:val="22"/>
            </w:rPr>
            <m:t>ln</m:t>
          </m:r>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num>
            <m:den>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den>
          </m:f>
          <m:r>
            <m:rPr>
              <m:sty m:val="p"/>
            </m:rPr>
            <w:rPr>
              <w:rFonts w:ascii="Cambria Math" w:hAnsi="Cambria Math" w:cs="Times New Roman"/>
              <w:sz w:val="22"/>
              <w:szCs w:val="22"/>
            </w:rPr>
            <m:t>,</m:t>
          </m:r>
        </m:oMath>
      </m:oMathPara>
    </w:p>
    <w:p w14:paraId="44371049" w14:textId="77777777" w:rsidR="00427A24" w:rsidRPr="001A556C" w:rsidRDefault="00000000" w:rsidP="003942E3">
      <w:pPr>
        <w:pStyle w:val="FirstParagraph"/>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m:rPr>
                  <m:sty m:val="p"/>
                </m:rPr>
                <w:rPr>
                  <w:rFonts w:ascii="Cambria Math" w:hAnsi="Cambria Math" w:cs="Times New Roman"/>
                  <w:sz w:val="22"/>
                  <w:szCs w:val="22"/>
                </w:rPr>
                <m:t>JS</m:t>
              </m:r>
            </m:e>
            <m:sub>
              <m:r>
                <w:rPr>
                  <w:rFonts w:ascii="Cambria Math" w:hAnsi="Cambria Math" w:cs="Times New Roman"/>
                  <w:sz w:val="22"/>
                  <w:szCs w:val="22"/>
                </w:rPr>
                <m:t>t</m:t>
              </m:r>
            </m:sub>
          </m:sSub>
          <m:r>
            <m:rPr>
              <m:sty m:val="p"/>
            </m:rPr>
            <w:rPr>
              <w:rFonts w:ascii="Cambria Math" w:hAnsi="Cambria Math" w:cs="Times New Roman"/>
              <w:sz w:val="22"/>
              <w:szCs w:val="22"/>
            </w:rPr>
            <m:t>=</m:t>
          </m:r>
          <m:f>
            <m:fPr>
              <m:type m:val="lin"/>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b</m:t>
              </m:r>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e>
          </m:nary>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num>
            <m:den>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p</m:t>
                      </m:r>
                    </m:e>
                  </m:acc>
                </m:e>
                <m:sub>
                  <m:r>
                    <w:rPr>
                      <w:rFonts w:ascii="Cambria Math" w:hAnsi="Cambria Math" w:cs="Times New Roman"/>
                      <w:sz w:val="22"/>
                      <w:szCs w:val="22"/>
                    </w:rPr>
                    <m:t>b</m:t>
                  </m:r>
                </m:sub>
              </m:sSub>
            </m:den>
          </m:f>
          <m:r>
            <m:rPr>
              <m:sty m:val="p"/>
            </m:rPr>
            <w:rPr>
              <w:rFonts w:ascii="Cambria Math" w:hAnsi="Cambria Math" w:cs="Times New Roman"/>
              <w:sz w:val="22"/>
              <w:szCs w:val="22"/>
            </w:rPr>
            <m:t>+</m:t>
          </m:r>
          <m:f>
            <m:fPr>
              <m:type m:val="lin"/>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b</m:t>
              </m:r>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e>
          </m:nary>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num>
            <m:den>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p</m:t>
                      </m:r>
                    </m:e>
                  </m:acc>
                </m:e>
                <m:sub>
                  <m:r>
                    <w:rPr>
                      <w:rFonts w:ascii="Cambria Math" w:hAnsi="Cambria Math" w:cs="Times New Roman"/>
                      <w:sz w:val="22"/>
                      <w:szCs w:val="22"/>
                    </w:rPr>
                    <m:t>b</m:t>
                  </m:r>
                </m:sub>
              </m:sSub>
            </m:den>
          </m:f>
          <m:r>
            <m:rPr>
              <m:sty m:val="p"/>
            </m:rPr>
            <w:rPr>
              <w:rFonts w:ascii="Cambria Math" w:hAnsi="Cambria Math" w:cs="Times New Roman"/>
              <w:sz w:val="22"/>
              <w:szCs w:val="22"/>
            </w:rPr>
            <m:t>,</m:t>
          </m:r>
          <m:r>
            <w:rPr>
              <w:rFonts w:ascii="Cambria Math" w:hAnsi="Cambria Math" w:cs="Times New Roman"/>
              <w:sz w:val="22"/>
              <w:szCs w:val="22"/>
            </w:rPr>
            <m:t> </m:t>
          </m:r>
          <m:acc>
            <m:accPr>
              <m:chr m:val="‾"/>
              <m:ctrlPr>
                <w:rPr>
                  <w:rFonts w:ascii="Cambria Math" w:hAnsi="Cambria Math" w:cs="Times New Roman"/>
                  <w:sz w:val="22"/>
                  <w:szCs w:val="22"/>
                </w:rPr>
              </m:ctrlPr>
            </m:accPr>
            <m:e>
              <m:r>
                <w:rPr>
                  <w:rFonts w:ascii="Cambria Math" w:hAnsi="Cambria Math" w:cs="Times New Roman"/>
                  <w:sz w:val="22"/>
                  <w:szCs w:val="22"/>
                </w:rPr>
                <m:t>p</m:t>
              </m:r>
            </m:e>
          </m:acc>
          <m:r>
            <m:rPr>
              <m:sty m:val="p"/>
            </m:rPr>
            <w:rPr>
              <w:rFonts w:ascii="Cambria Math" w:hAnsi="Cambria Math" w:cs="Times New Roman"/>
              <w:sz w:val="22"/>
              <w:szCs w:val="22"/>
            </w:rPr>
            <m:t>=</m:t>
          </m:r>
          <m:f>
            <m:fPr>
              <m:type m:val="lin"/>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d>
            <m:dPr>
              <m:ctrlPr>
                <w:rPr>
                  <w:rFonts w:ascii="Cambria Math" w:hAnsi="Cambria Math" w:cs="Times New Roman"/>
                  <w:sz w:val="22"/>
                  <w:szCs w:val="22"/>
                </w:rPr>
              </m:ctrlPr>
            </m:dPr>
            <m:e>
              <m:sSup>
                <m:sSupPr>
                  <m:ctrlPr>
                    <w:rPr>
                      <w:rFonts w:ascii="Cambria Math" w:hAnsi="Cambria Math" w:cs="Times New Roman"/>
                      <w:sz w:val="22"/>
                      <w:szCs w:val="22"/>
                    </w:rPr>
                  </m:ctrlPr>
                </m:sSupPr>
                <m:e>
                  <m:r>
                    <w:rPr>
                      <w:rFonts w:ascii="Cambria Math" w:hAnsi="Cambria Math" w:cs="Times New Roman"/>
                      <w:sz w:val="22"/>
                      <w:szCs w:val="22"/>
                    </w:rPr>
                    <m:t>p</m:t>
                  </m:r>
                </m:e>
                <m:sup>
                  <m:r>
                    <m:rPr>
                      <m:sty m:val="p"/>
                    </m:rPr>
                    <w:rPr>
                      <w:rFonts w:ascii="Cambria Math" w:hAnsi="Cambria Math" w:cs="Times New Roman"/>
                      <w:sz w:val="22"/>
                      <w:szCs w:val="22"/>
                    </w:rPr>
                    <m:t>ref</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p</m:t>
                  </m:r>
                </m:e>
                <m:sup>
                  <m:r>
                    <w:rPr>
                      <w:rFonts w:ascii="Cambria Math" w:hAnsi="Cambria Math" w:cs="Times New Roman"/>
                      <w:sz w:val="22"/>
                      <w:szCs w:val="22"/>
                    </w:rPr>
                    <m:t>t</m:t>
                  </m:r>
                </m:sup>
              </m:sSup>
            </m:e>
          </m:d>
          <m:r>
            <m:rPr>
              <m:sty m:val="p"/>
            </m:rPr>
            <w:rPr>
              <w:rFonts w:ascii="Cambria Math" w:hAnsi="Cambria Math" w:cs="Times New Roman"/>
              <w:sz w:val="22"/>
              <w:szCs w:val="22"/>
            </w:rPr>
            <m:t>,</m:t>
          </m:r>
        </m:oMath>
      </m:oMathPara>
    </w:p>
    <w:p w14:paraId="0F78A05B"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together with the Wasserstein-1 distance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nary>
          <m:naryPr>
            <m:limLoc m:val="subSup"/>
            <m:ctrlPr>
              <w:rPr>
                <w:rFonts w:ascii="Cambria Math" w:hAnsi="Cambria Math" w:cs="Times New Roman"/>
                <w:sz w:val="22"/>
                <w:szCs w:val="22"/>
              </w:rPr>
            </m:ctrlPr>
          </m:naryPr>
          <m:sub>
            <m:r>
              <w:rPr>
                <w:rFonts w:ascii="Cambria Math" w:hAnsi="Cambria Math" w:cs="Times New Roman"/>
                <w:sz w:val="22"/>
                <w:szCs w:val="22"/>
              </w:rPr>
              <m:t>0</m:t>
            </m:r>
          </m:sub>
          <m:sup>
            <m:r>
              <w:rPr>
                <w:rFonts w:ascii="Cambria Math" w:hAnsi="Cambria Math" w:cs="Times New Roman"/>
                <w:sz w:val="22"/>
                <w:szCs w:val="22"/>
              </w:rPr>
              <m:t>1</m:t>
            </m:r>
          </m:sup>
          <m:e>
            <m:d>
              <m:dPr>
                <m:begChr m:val="|"/>
                <m:endChr m:val="|"/>
                <m:ctrlPr>
                  <w:rPr>
                    <w:rFonts w:ascii="Cambria Math" w:hAnsi="Cambria Math" w:cs="Times New Roman"/>
                    <w:sz w:val="22"/>
                    <w:szCs w:val="22"/>
                  </w:rPr>
                </m:ctrlPr>
              </m:dPr>
              <m:e>
                <m:sSubSup>
                  <m:sSubSupPr>
                    <m:ctrlPr>
                      <w:rPr>
                        <w:rFonts w:ascii="Cambria Math" w:hAnsi="Cambria Math" w:cs="Times New Roman"/>
                        <w:sz w:val="22"/>
                        <w:szCs w:val="22"/>
                      </w:rPr>
                    </m:ctrlPr>
                  </m:sSubSup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sub>
                  <m:sup>
                    <m:r>
                      <m:rPr>
                        <m:sty m:val="p"/>
                      </m:rPr>
                      <w:rPr>
                        <w:rFonts w:ascii="Cambria Math" w:hAnsi="Cambria Math" w:cs="Times New Roman"/>
                        <w:sz w:val="22"/>
                        <w:szCs w:val="22"/>
                      </w:rPr>
                      <m:t>-</m:t>
                    </m:r>
                    <m:r>
                      <w:rPr>
                        <w:rFonts w:ascii="Cambria Math" w:hAnsi="Cambria Math" w:cs="Times New Roman"/>
                        <w:sz w:val="22"/>
                        <w:szCs w:val="22"/>
                      </w:rPr>
                      <m:t>1</m:t>
                    </m:r>
                  </m:sup>
                </m:sSubSup>
                <m:d>
                  <m:dPr>
                    <m:ctrlPr>
                      <w:rPr>
                        <w:rFonts w:ascii="Cambria Math" w:hAnsi="Cambria Math" w:cs="Times New Roman"/>
                        <w:sz w:val="22"/>
                        <w:szCs w:val="22"/>
                      </w:rPr>
                    </m:ctrlPr>
                  </m:dPr>
                  <m:e>
                    <m:r>
                      <w:rPr>
                        <w:rFonts w:ascii="Cambria Math" w:hAnsi="Cambria Math" w:cs="Times New Roman"/>
                        <w:sz w:val="22"/>
                        <w:szCs w:val="22"/>
                      </w:rPr>
                      <m:t>u</m:t>
                    </m:r>
                  </m:e>
                </m:d>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r>
                      <m:rPr>
                        <m:sty m:val="p"/>
                      </m:rPr>
                      <w:rPr>
                        <w:rFonts w:ascii="Cambria Math" w:hAnsi="Cambria Math" w:cs="Times New Roman"/>
                        <w:sz w:val="22"/>
                        <w:szCs w:val="22"/>
                      </w:rPr>
                      <m:t>-</m:t>
                    </m:r>
                    <m:r>
                      <w:rPr>
                        <w:rFonts w:ascii="Cambria Math" w:hAnsi="Cambria Math" w:cs="Times New Roman"/>
                        <w:sz w:val="22"/>
                        <w:szCs w:val="22"/>
                      </w:rPr>
                      <m:t>1</m:t>
                    </m:r>
                  </m:sup>
                </m:sSubSup>
                <m:d>
                  <m:dPr>
                    <m:ctrlPr>
                      <w:rPr>
                        <w:rFonts w:ascii="Cambria Math" w:hAnsi="Cambria Math" w:cs="Times New Roman"/>
                        <w:sz w:val="22"/>
                        <w:szCs w:val="22"/>
                      </w:rPr>
                    </m:ctrlPr>
                  </m:dPr>
                  <m:e>
                    <m:r>
                      <w:rPr>
                        <w:rFonts w:ascii="Cambria Math" w:hAnsi="Cambria Math" w:cs="Times New Roman"/>
                        <w:sz w:val="22"/>
                        <w:szCs w:val="22"/>
                      </w:rPr>
                      <m:t>u</m:t>
                    </m:r>
                  </m:e>
                </m:d>
              </m:e>
            </m:d>
          </m:e>
        </m:nary>
        <m:r>
          <w:rPr>
            <w:rFonts w:ascii="Cambria Math" w:hAnsi="Cambria Math" w:cs="Times New Roman"/>
            <w:sz w:val="22"/>
            <w:szCs w:val="22"/>
          </w:rPr>
          <m:t> du</m:t>
        </m:r>
      </m:oMath>
      <w:r w:rsidRPr="001A556C">
        <w:rPr>
          <w:rFonts w:ascii="Times New Roman" w:hAnsi="Times New Roman" w:cs="Times New Roman"/>
          <w:sz w:val="22"/>
          <w:szCs w:val="22"/>
        </w:rPr>
        <w:t xml:space="preserve"> and the two-sample Kolmogorov–Smirnov statistic </w:t>
      </w:r>
      <m:oMath>
        <m:sSub>
          <m:sSubPr>
            <m:ctrlPr>
              <w:rPr>
                <w:rFonts w:ascii="Cambria Math" w:hAnsi="Cambria Math" w:cs="Times New Roman"/>
                <w:sz w:val="22"/>
                <w:szCs w:val="22"/>
              </w:rPr>
            </m:ctrlPr>
          </m:sSubPr>
          <m:e>
            <m:r>
              <m:rPr>
                <m:sty m:val="p"/>
              </m:rPr>
              <w:rPr>
                <w:rFonts w:ascii="Cambria Math" w:hAnsi="Cambria Math" w:cs="Times New Roman"/>
                <w:sz w:val="22"/>
                <w:szCs w:val="22"/>
              </w:rPr>
              <m:t>KS</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rPr>
              <m:t>sup</m:t>
            </m:r>
          </m:e>
          <m:sub>
            <m:r>
              <w:rPr>
                <w:rFonts w:ascii="Cambria Math" w:hAnsi="Cambria Math" w:cs="Times New Roman"/>
                <w:sz w:val="22"/>
                <w:szCs w:val="22"/>
              </w:rPr>
              <m:t>z</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sub>
            </m:sSub>
            <m:d>
              <m:dPr>
                <m:ctrlPr>
                  <w:rPr>
                    <w:rFonts w:ascii="Cambria Math" w:hAnsi="Cambria Math" w:cs="Times New Roman"/>
                    <w:sz w:val="22"/>
                    <w:szCs w:val="22"/>
                  </w:rPr>
                </m:ctrlPr>
              </m:dPr>
              <m:e>
                <m:r>
                  <w:rPr>
                    <w:rFonts w:ascii="Cambria Math" w:hAnsi="Cambria Math" w:cs="Times New Roman"/>
                    <w:sz w:val="22"/>
                    <w:szCs w:val="22"/>
                  </w:rPr>
                  <m:t>z</m:t>
                </m:r>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Sub>
            <m:d>
              <m:dPr>
                <m:ctrlPr>
                  <w:rPr>
                    <w:rFonts w:ascii="Cambria Math" w:hAnsi="Cambria Math" w:cs="Times New Roman"/>
                    <w:sz w:val="22"/>
                    <w:szCs w:val="22"/>
                  </w:rPr>
                </m:ctrlPr>
              </m:dPr>
              <m:e>
                <m:r>
                  <w:rPr>
                    <w:rFonts w:ascii="Cambria Math" w:hAnsi="Cambria Math" w:cs="Times New Roman"/>
                    <w:sz w:val="22"/>
                    <w:szCs w:val="22"/>
                  </w:rPr>
                  <m:t>z</m:t>
                </m:r>
              </m:e>
            </m:d>
          </m:e>
        </m:d>
      </m:oMath>
      <w:r w:rsidRPr="001A556C">
        <w:rPr>
          <w:rFonts w:ascii="Times New Roman" w:hAnsi="Times New Roman" w:cs="Times New Roman"/>
          <w:sz w:val="22"/>
          <w:szCs w:val="22"/>
        </w:rPr>
        <w:t xml:space="preserve">. </w:t>
      </w:r>
      <w:r w:rsidRPr="001A556C">
        <w:rPr>
          <w:rFonts w:ascii="Times New Roman" w:hAnsi="Times New Roman" w:cs="Times New Roman"/>
          <w:sz w:val="22"/>
          <w:szCs w:val="22"/>
          <w:highlight w:val="yellow"/>
        </w:rPr>
        <w:t xml:space="preserve">PSI is symmetric and unbounded, KL is asymmetric and unbounded, and JS is bounded in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under base-2 logarithms,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highlight w:val="yellow"/>
        </w:rPr>
        <w:t xml:space="preserve"> is a true metric sensitive to the </w:t>
      </w:r>
      <w:r w:rsidRPr="001A556C">
        <w:rPr>
          <w:rFonts w:ascii="Times New Roman" w:hAnsi="Times New Roman" w:cs="Times New Roman"/>
          <w:i/>
          <w:iCs/>
          <w:sz w:val="22"/>
          <w:szCs w:val="22"/>
        </w:rPr>
        <w:t>magnitude</w:t>
      </w:r>
      <w:r w:rsidRPr="001A556C">
        <w:rPr>
          <w:rFonts w:ascii="Times New Roman" w:hAnsi="Times New Roman" w:cs="Times New Roman"/>
          <w:sz w:val="22"/>
          <w:szCs w:val="22"/>
        </w:rPr>
        <w:t xml:space="preserve"> of displacement rather than only its presence, </w:t>
      </w:r>
      <w:r w:rsidRPr="001A556C">
        <w:rPr>
          <w:rFonts w:ascii="Times New Roman" w:hAnsi="Times New Roman" w:cs="Times New Roman"/>
          <w:sz w:val="22"/>
          <w:szCs w:val="22"/>
          <w:highlight w:val="yellow"/>
        </w:rPr>
        <w:t>and KS is sensitive to the largest single CDF gap</w:t>
      </w:r>
      <w:r w:rsidRPr="001A556C">
        <w:rPr>
          <w:rFonts w:ascii="Times New Roman" w:hAnsi="Times New Roman" w:cs="Times New Roman"/>
          <w:sz w:val="22"/>
          <w:szCs w:val="22"/>
        </w:rPr>
        <w:t>.</w:t>
      </w:r>
    </w:p>
    <w:p w14:paraId="21AC82C0" w14:textId="77777777" w:rsidR="00427A24" w:rsidRPr="001A556C" w:rsidRDefault="00F57E70">
      <w:pPr>
        <w:pStyle w:val="Heading3"/>
        <w:rPr>
          <w:rFonts w:ascii="Times New Roman" w:hAnsi="Times New Roman" w:cs="Times New Roman"/>
          <w:color w:val="auto"/>
          <w:sz w:val="22"/>
          <w:szCs w:val="22"/>
        </w:rPr>
      </w:pPr>
      <w:bookmarkStart w:id="17" w:name="X601ffe06fb867e09ffc2395f946b856fcfe770a"/>
      <w:bookmarkEnd w:id="16"/>
      <w:r w:rsidRPr="001A556C">
        <w:rPr>
          <w:rFonts w:ascii="Times New Roman" w:hAnsi="Times New Roman" w:cs="Times New Roman"/>
          <w:color w:val="auto"/>
          <w:sz w:val="22"/>
          <w:szCs w:val="22"/>
        </w:rPr>
        <w:t>4.2 Covariate transport in the model’s own geometry</w:t>
      </w:r>
    </w:p>
    <w:p w14:paraId="7220C25C"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Score-space statistics are blind to covariate shifts that the model happens to map to similar scores. We therefore add an importance-weighted marginal transport statistic. Let </w:t>
      </w:r>
      <m:oMath>
        <m:r>
          <m:rPr>
            <m:scr m:val="script"/>
            <m:sty m:val="p"/>
          </m:rPr>
          <w:rPr>
            <w:rFonts w:ascii="Cambria Math" w:hAnsi="Cambria Math" w:cs="Times New Roman"/>
            <w:sz w:val="22"/>
            <w:szCs w:val="22"/>
          </w:rPr>
          <m:t>J</m:t>
        </m:r>
      </m:oMath>
      <w:r w:rsidRPr="001A556C">
        <w:rPr>
          <w:rFonts w:ascii="Times New Roman" w:hAnsi="Times New Roman" w:cs="Times New Roman"/>
          <w:sz w:val="22"/>
          <w:szCs w:val="22"/>
        </w:rPr>
        <w:t xml:space="preserve"> index the 30 highest-importance features under a surrogate random forest fitted on the same window, with normalised weights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oMath>
      <w:r w:rsidRPr="001A556C">
        <w:rPr>
          <w:rFonts w:ascii="Times New Roman" w:hAnsi="Times New Roman" w:cs="Times New Roman"/>
          <w:sz w:val="22"/>
          <w:szCs w:val="22"/>
        </w:rPr>
        <w:t xml:space="preserve">, </w:t>
      </w:r>
      <m:oMath>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cr m:val="script"/>
                <m:sty m:val="p"/>
              </m:rPr>
              <w:rPr>
                <w:rFonts w:ascii="Cambria Math" w:hAnsi="Cambria Math" w:cs="Times New Roman"/>
                <w:sz w:val="22"/>
                <w:szCs w:val="22"/>
              </w:rPr>
              <m:t>∈J</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e>
        </m:nary>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Then</w:t>
      </w:r>
    </w:p>
    <w:p w14:paraId="6DCD2F9E"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cr m:val="script"/>
                  <m:sty m:val="p"/>
                </m:rPr>
                <w:rPr>
                  <w:rFonts w:ascii="Cambria Math" w:hAnsi="Cambria Math" w:cs="Times New Roman"/>
                  <w:sz w:val="22"/>
                  <w:szCs w:val="22"/>
                </w:rPr>
                <m:t>∈J</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e>
          </m:nary>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e>
          </m:d>
          <m:r>
            <m:rPr>
              <m:sty m:val="p"/>
            </m:rPr>
            <w:rPr>
              <w:rFonts w:ascii="Cambria Math" w:hAnsi="Cambria Math" w:cs="Times New Roman"/>
              <w:sz w:val="22"/>
              <w:szCs w:val="22"/>
            </w:rPr>
            <m:t>,</m:t>
          </m:r>
        </m:oMath>
      </m:oMathPara>
    </w:p>
    <w:p w14:paraId="73A8A553"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where </w:t>
      </w:r>
      <m:oMath>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oMath>
      <w:r w:rsidRPr="001A556C">
        <w:rPr>
          <w:rFonts w:ascii="Times New Roman" w:hAnsi="Times New Roman" w:cs="Times New Roman"/>
          <w:sz w:val="22"/>
          <w:szCs w:val="22"/>
        </w:rPr>
        <w:t xml:space="preserve"> are the </w:t>
      </w:r>
      <m:oMath>
        <m:r>
          <w:rPr>
            <w:rFonts w:ascii="Cambria Math" w:hAnsi="Cambria Math" w:cs="Times New Roman"/>
            <w:sz w:val="22"/>
            <w:szCs w:val="22"/>
          </w:rPr>
          <m:t>j</m:t>
        </m:r>
      </m:oMath>
      <w:r w:rsidRPr="001A556C">
        <w:rPr>
          <w:rFonts w:ascii="Times New Roman" w:hAnsi="Times New Roman" w:cs="Times New Roman"/>
          <w:sz w:val="22"/>
          <w:szCs w:val="22"/>
        </w:rPr>
        <w:t xml:space="preserve">-th marginals. Weighting by importance directs statistical attention to the subspace on which the decision rule actually depends. Because all features are quantile-transformed to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using a transform fitted on the reference window only, the marginals share a common bounded support and the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values are commensurable across features.</w:t>
      </w:r>
    </w:p>
    <w:p w14:paraId="27DB54C5" w14:textId="77777777" w:rsidR="00427A24" w:rsidRPr="001A556C" w:rsidRDefault="00F57E70">
      <w:pPr>
        <w:pStyle w:val="Heading3"/>
        <w:rPr>
          <w:rFonts w:ascii="Times New Roman" w:hAnsi="Times New Roman" w:cs="Times New Roman"/>
          <w:color w:val="auto"/>
          <w:sz w:val="22"/>
          <w:szCs w:val="22"/>
        </w:rPr>
      </w:pPr>
      <w:bookmarkStart w:id="18" w:name="uncertainty-prior-and-evasion-statistics"/>
      <w:bookmarkEnd w:id="17"/>
      <w:r w:rsidRPr="001A556C">
        <w:rPr>
          <w:rFonts w:ascii="Times New Roman" w:hAnsi="Times New Roman" w:cs="Times New Roman"/>
          <w:color w:val="auto"/>
          <w:sz w:val="22"/>
          <w:szCs w:val="22"/>
        </w:rPr>
        <w:t>4.3 Uncertainty, prior and evasion statistics</w:t>
      </w:r>
    </w:p>
    <w:p w14:paraId="244FC789"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Three further scalars complete the battery. The </w:t>
      </w:r>
      <w:r w:rsidRPr="001A556C">
        <w:rPr>
          <w:rFonts w:ascii="Times New Roman" w:hAnsi="Times New Roman" w:cs="Times New Roman"/>
          <w:b/>
          <w:bCs/>
          <w:sz w:val="22"/>
          <w:szCs w:val="22"/>
        </w:rPr>
        <w:t>confidence statistic</w:t>
      </w:r>
      <w:r w:rsidRPr="001A556C">
        <w:rPr>
          <w:rFonts w:ascii="Times New Roman" w:hAnsi="Times New Roman" w:cs="Times New Roman"/>
          <w:sz w:val="22"/>
          <w:szCs w:val="22"/>
        </w:rPr>
        <w:t xml:space="preserv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cnf</m:t>
            </m:r>
          </m:sup>
        </m:sSubSup>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H</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H</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e>
            </m:d>
          </m:e>
        </m:d>
      </m:oMath>
      <w:r w:rsidRPr="001A556C">
        <w:rPr>
          <w:rFonts w:ascii="Times New Roman" w:hAnsi="Times New Roman" w:cs="Times New Roman"/>
          <w:sz w:val="22"/>
          <w:szCs w:val="22"/>
        </w:rPr>
        <w:t xml:space="preserve">, where </w:t>
      </w:r>
      <m:oMath>
        <m:r>
          <w:rPr>
            <w:rFonts w:ascii="Cambria Math" w:hAnsi="Cambria Math" w:cs="Times New Roman"/>
            <w:sz w:val="22"/>
            <w:szCs w:val="22"/>
          </w:rPr>
          <m:t>H</m:t>
        </m:r>
        <m:d>
          <m:dPr>
            <m:ctrlPr>
              <w:rPr>
                <w:rFonts w:ascii="Cambria Math" w:hAnsi="Cambria Math" w:cs="Times New Roman"/>
                <w:sz w:val="22"/>
                <w:szCs w:val="22"/>
              </w:rPr>
            </m:ctrlPr>
          </m:dPr>
          <m:e>
            <m:r>
              <w:rPr>
                <w:rFonts w:ascii="Cambria Math" w:hAnsi="Cambria Math" w:cs="Times New Roman"/>
                <w:sz w:val="22"/>
                <w:szCs w:val="22"/>
              </w:rPr>
              <m:t>s</m:t>
            </m:r>
          </m:e>
        </m:d>
        <m:r>
          <m:rPr>
            <m:sty m:val="p"/>
          </m:rPr>
          <w:rPr>
            <w:rFonts w:ascii="Cambria Math" w:hAns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rPr>
              <m:t>1</m:t>
            </m:r>
          </m:num>
          <m:den>
            <m:d>
              <m:dPr>
                <m:begChr m:val="|"/>
                <m:endChr m:val="|"/>
                <m:ctrlPr>
                  <w:rPr>
                    <w:rFonts w:ascii="Cambria Math" w:hAnsi="Cambria Math" w:cs="Times New Roman"/>
                    <w:sz w:val="22"/>
                    <w:szCs w:val="22"/>
                  </w:rPr>
                </m:ctrlPr>
              </m:dPr>
              <m:e>
                <m:r>
                  <w:rPr>
                    <w:rFonts w:ascii="Cambria Math" w:hAnsi="Cambria Math" w:cs="Times New Roman"/>
                    <w:sz w:val="22"/>
                    <w:szCs w:val="22"/>
                  </w:rPr>
                  <m:t>s</m:t>
                </m:r>
              </m:e>
            </m:d>
          </m:den>
        </m:f>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i</m:t>
            </m:r>
          </m:sub>
          <m:sup>
            <m:r>
              <w:rPr>
                <w:rFonts w:ascii="Cambria Math" w:hAnsi="Cambria Math" w:cs="Times New Roman"/>
                <w:sz w:val="22"/>
                <w:szCs w:val="22"/>
              </w:rPr>
              <m:t>​</m:t>
            </m:r>
          </m:sup>
          <m:e>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e>
                </m:d>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e>
                </m:d>
              </m:e>
            </m:d>
          </m:e>
        </m:nary>
      </m:oMath>
      <w:r w:rsidRPr="001A556C">
        <w:rPr>
          <w:rFonts w:ascii="Times New Roman" w:hAnsi="Times New Roman" w:cs="Times New Roman"/>
          <w:sz w:val="22"/>
          <w:szCs w:val="22"/>
        </w:rPr>
        <w:t xml:space="preserve"> is mean binary predictive entropy, captures the inflation of predictive uncertainty characteristic of out-of-distribution input. The </w:t>
      </w:r>
      <w:r w:rsidRPr="001A556C">
        <w:rPr>
          <w:rFonts w:ascii="Times New Roman" w:hAnsi="Times New Roman" w:cs="Times New Roman"/>
          <w:b/>
          <w:bCs/>
          <w:sz w:val="22"/>
          <w:szCs w:val="22"/>
        </w:rPr>
        <w:t>prior statistic</w:t>
      </w:r>
      <w:r w:rsidRPr="001A556C">
        <w:rPr>
          <w:rFonts w:ascii="Times New Roman" w:hAnsi="Times New Roman" w:cs="Times New Roman"/>
          <w:sz w:val="22"/>
          <w:szCs w:val="22"/>
        </w:rPr>
        <w:t xml:space="preserv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pri</m:t>
            </m:r>
          </m:sup>
        </m:sSubSup>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π</m:t>
                    </m:r>
                  </m:e>
                </m:acc>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π</m:t>
                    </m:r>
                  </m:e>
                </m:acc>
              </m:e>
              <m:sub>
                <m:r>
                  <w:rPr>
                    <w:rFonts w:ascii="Cambria Math" w:hAnsi="Cambria Math" w:cs="Times New Roman"/>
                    <w:sz w:val="22"/>
                    <w:szCs w:val="22"/>
                  </w:rPr>
                  <m:t>0</m:t>
                </m:r>
              </m:sub>
            </m:sSub>
          </m:e>
        </m:d>
      </m:oMath>
      <w:r w:rsidRPr="001A556C">
        <w:rPr>
          <w:rFonts w:ascii="Times New Roman" w:hAnsi="Times New Roman" w:cs="Times New Roman"/>
          <w:sz w:val="22"/>
          <w:szCs w:val="22"/>
        </w:rPr>
        <w:t xml:space="preserve"> with </w:t>
      </w:r>
      <m:oMath>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π</m:t>
                </m:r>
              </m:e>
            </m:acc>
          </m:e>
          <m:sub>
            <m:r>
              <w:rPr>
                <w:rFonts w:ascii="Cambria Math" w:hAnsi="Cambria Math" w:cs="Times New Roman"/>
                <w:sz w:val="22"/>
                <w:szCs w:val="22"/>
              </w:rPr>
              <m:t>t</m:t>
            </m:r>
          </m:sub>
        </m:sSub>
        <m:r>
          <m:rPr>
            <m:sty m:val="p"/>
          </m:rPr>
          <w:rPr>
            <w:rFonts w:ascii="Cambria Math" w:hAns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n</m:t>
            </m:r>
          </m:den>
        </m:f>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i</m:t>
            </m:r>
          </m:sub>
          <m:sup>
            <m:r>
              <w:rPr>
                <w:rFonts w:ascii="Cambria Math" w:hAnsi="Cambria Math" w:cs="Times New Roman"/>
                <w:sz w:val="22"/>
                <w:szCs w:val="22"/>
              </w:rPr>
              <m:t>​</m:t>
            </m:r>
          </m:sup>
          <m:e>
            <m:r>
              <m:rPr>
                <m:scr m:val="double-struck"/>
                <m:sty m:val="p"/>
              </m:rPr>
              <w:rPr>
                <w:rFonts w:ascii="Cambria Math" w:hAnsi="Cambria Math" w:cs="Times New Roman"/>
                <w:sz w:val="22"/>
                <w:szCs w:val="22"/>
              </w:rPr>
              <m:t>1</m:t>
            </m:r>
          </m:e>
        </m:nary>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i</m:t>
                    </m:r>
                  </m:sub>
                </m:sSub>
              </m:e>
            </m:d>
            <m:r>
              <m:rPr>
                <m:sty m:val="p"/>
              </m:rPr>
              <w:rPr>
                <w:rFonts w:ascii="Cambria Math" w:hAnsi="Cambria Math" w:cs="Times New Roman"/>
                <w:sz w:val="22"/>
                <w:szCs w:val="22"/>
              </w:rPr>
              <m:t>&gt;</m:t>
            </m:r>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e>
        </m:d>
      </m:oMath>
      <w:r w:rsidRPr="001A556C">
        <w:rPr>
          <w:rFonts w:ascii="Times New Roman" w:hAnsi="Times New Roman" w:cs="Times New Roman"/>
          <w:sz w:val="22"/>
          <w:szCs w:val="22"/>
        </w:rPr>
        <w:t xml:space="preserve"> tracks alert-rate shift. The </w:t>
      </w:r>
      <w:r w:rsidRPr="001A556C">
        <w:rPr>
          <w:rFonts w:ascii="Times New Roman" w:hAnsi="Times New Roman" w:cs="Times New Roman"/>
          <w:b/>
          <w:bCs/>
          <w:sz w:val="22"/>
          <w:szCs w:val="22"/>
        </w:rPr>
        <w:t>evasion statistic</w:t>
      </w:r>
    </w:p>
    <w:p w14:paraId="23A68E90"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eva</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r>
            <m:rPr>
              <m:sty m:val="p"/>
            </m:rPr>
            <w:rPr>
              <w:rFonts w:ascii="Cambria Math" w:hAnsi="Cambria Math" w:cs="Times New Roman"/>
              <w:sz w:val="22"/>
              <w:szCs w:val="22"/>
            </w:rPr>
            <m:t>max</m:t>
          </m:r>
          <m: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F</m:t>
                      </m:r>
                    </m:e>
                  </m:acc>
                </m:e>
                <m:sub>
                  <m:r>
                    <w:rPr>
                      <w:rFonts w:ascii="Cambria Math" w:hAnsi="Cambria Math" w:cs="Times New Roman"/>
                      <w:sz w:val="22"/>
                      <w:szCs w:val="22"/>
                    </w:rPr>
                    <m:t>t</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F</m:t>
                      </m:r>
                    </m:e>
                  </m:acc>
                </m:e>
                <m:sub>
                  <m:r>
                    <w:rPr>
                      <w:rFonts w:ascii="Cambria Math" w:hAnsi="Cambria Math" w:cs="Times New Roman"/>
                      <w:sz w:val="22"/>
                      <w:szCs w:val="22"/>
                    </w:rPr>
                    <m:t>0</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e>
              </m:d>
            </m:e>
          </m:d>
        </m:oMath>
      </m:oMathPara>
    </w:p>
    <w:p w14:paraId="47B80234"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is the one-sided increase in probability mass </w:t>
      </w:r>
      <w:r w:rsidRPr="001A556C">
        <w:rPr>
          <w:rFonts w:ascii="Times New Roman" w:hAnsi="Times New Roman" w:cs="Times New Roman"/>
          <w:i/>
          <w:iCs/>
          <w:sz w:val="22"/>
          <w:szCs w:val="22"/>
        </w:rPr>
        <w:t>below</w:t>
      </w:r>
      <w:r w:rsidRPr="001A556C">
        <w:rPr>
          <w:rFonts w:ascii="Times New Roman" w:hAnsi="Times New Roman" w:cs="Times New Roman"/>
          <w:sz w:val="22"/>
          <w:szCs w:val="22"/>
        </w:rPr>
        <w:t xml:space="preserve"> the alert threshold. It is deliberately asymmetric: mass moving downward across the boundary is the signature of evasion, whereas mass moving upward merely inflates analyst workload.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eva</m:t>
            </m:r>
          </m:sup>
        </m:sSup>
      </m:oMath>
      <w:r w:rsidRPr="001A556C">
        <w:rPr>
          <w:rFonts w:ascii="Times New Roman" w:hAnsi="Times New Roman" w:cs="Times New Roman"/>
          <w:sz w:val="22"/>
          <w:szCs w:val="22"/>
        </w:rPr>
        <w:t xml:space="preserve"> carries the security semantics that a symmetric divergence discards.</w:t>
      </w:r>
    </w:p>
    <w:p w14:paraId="79396133" w14:textId="77777777" w:rsidR="00427A24" w:rsidRPr="001A556C" w:rsidRDefault="00F57E70">
      <w:pPr>
        <w:pStyle w:val="Heading3"/>
        <w:rPr>
          <w:rFonts w:ascii="Times New Roman" w:hAnsi="Times New Roman" w:cs="Times New Roman"/>
          <w:color w:val="auto"/>
          <w:sz w:val="22"/>
          <w:szCs w:val="22"/>
        </w:rPr>
      </w:pPr>
      <w:bookmarkStart w:id="19" w:name="X3658cf438eff23661fdc467644bb2bc83a1a5ec"/>
      <w:bookmarkEnd w:id="18"/>
      <w:r w:rsidRPr="001A556C">
        <w:rPr>
          <w:rFonts w:ascii="Times New Roman" w:hAnsi="Times New Roman" w:cs="Times New Roman"/>
          <w:color w:val="auto"/>
          <w:sz w:val="22"/>
          <w:szCs w:val="22"/>
        </w:rPr>
        <w:t>4.4 Sequential detectors on the audited error stream</w:t>
      </w:r>
    </w:p>
    <w:p w14:paraId="2952D957"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For comparison we run three supervised sequential detectors on the instance-level audited error stream. CUSUM accumulates </w:t>
      </w:r>
      <m:oMath>
        <m:sSub>
          <m:sSubPr>
            <m:ctrlPr>
              <w:rPr>
                <w:rFonts w:ascii="Cambria Math" w:hAnsi="Cambria Math" w:cs="Times New Roman"/>
                <w:sz w:val="22"/>
                <w:szCs w:val="22"/>
              </w:rPr>
            </m:ctrlPr>
          </m:sSubPr>
          <m:e>
            <m:r>
              <w:rPr>
                <w:rFonts w:ascii="Cambria Math" w:hAnsi="Cambria Math" w:cs="Times New Roman"/>
                <w:sz w:val="22"/>
                <w:szCs w:val="22"/>
              </w:rPr>
              <m:t>g</m:t>
            </m:r>
          </m:e>
          <m:sub>
            <m:r>
              <w:rPr>
                <w:rFonts w:ascii="Cambria Math" w:hAnsi="Cambria Math" w:cs="Times New Roman"/>
                <w:sz w:val="22"/>
                <w:szCs w:val="22"/>
              </w:rPr>
              <m:t>k</m:t>
            </m:r>
          </m:sub>
        </m:sSub>
        <m:r>
          <m:rPr>
            <m:sty m:val="p"/>
          </m:rPr>
          <w:rPr>
            <w:rFonts w:ascii="Cambria Math" w:hAnsi="Cambria Math" w:cs="Times New Roman"/>
            <w:sz w:val="22"/>
            <w:szCs w:val="22"/>
          </w:rPr>
          <m:t>=max{</m:t>
        </m:r>
        <m:r>
          <w:rPr>
            <w:rFonts w:ascii="Cambria Math" w:hAnsi="Cambria Math" w:cs="Times New Roman"/>
            <w:sz w:val="22"/>
            <w:szCs w:val="22"/>
          </w:rPr>
          <m:t>0</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g</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1</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e</m:t>
                </m:r>
              </m:e>
              <m:sub>
                <m:r>
                  <w:rPr>
                    <w:rFonts w:ascii="Cambria Math" w:hAnsi="Cambria Math" w:cs="Times New Roman"/>
                    <w:sz w:val="22"/>
                    <w:szCs w:val="22"/>
                  </w:rPr>
                  <m:t>k</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0</m:t>
                </m:r>
              </m:sub>
            </m:sSub>
            <m:r>
              <m:rPr>
                <m:sty m:val="p"/>
              </m:rPr>
              <w:rPr>
                <w:rFonts w:ascii="Cambria Math" w:hAnsi="Cambria Math" w:cs="Times New Roman"/>
                <w:sz w:val="22"/>
                <w:szCs w:val="22"/>
              </w:rPr>
              <m:t>-</m:t>
            </m:r>
            <m:r>
              <w:rPr>
                <w:rFonts w:ascii="Cambria Math" w:hAnsi="Cambria Math" w:cs="Times New Roman"/>
                <w:sz w:val="22"/>
                <w:szCs w:val="22"/>
              </w:rPr>
              <m:t>δ</m:t>
            </m:r>
          </m:e>
        </m:d>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and signals when </w:t>
      </w:r>
      <m:oMath>
        <m:sSub>
          <m:sSubPr>
            <m:ctrlPr>
              <w:rPr>
                <w:rFonts w:ascii="Cambria Math" w:hAnsi="Cambria Math" w:cs="Times New Roman"/>
                <w:sz w:val="22"/>
                <w:szCs w:val="22"/>
              </w:rPr>
            </m:ctrlPr>
          </m:sSubPr>
          <m:e>
            <m:r>
              <w:rPr>
                <w:rFonts w:ascii="Cambria Math" w:hAnsi="Cambria Math" w:cs="Times New Roman"/>
                <w:sz w:val="22"/>
                <w:szCs w:val="22"/>
              </w:rPr>
              <m:t>g</m:t>
            </m:r>
          </m:e>
          <m:sub>
            <m:r>
              <w:rPr>
                <w:rFonts w:ascii="Cambria Math" w:hAnsi="Cambria Math" w:cs="Times New Roman"/>
                <w:sz w:val="22"/>
                <w:szCs w:val="22"/>
              </w:rPr>
              <m:t>k</m:t>
            </m:r>
          </m:sub>
        </m:sSub>
        <m:r>
          <m:rPr>
            <m:sty m:val="p"/>
          </m:rPr>
          <w:rPr>
            <w:rFonts w:ascii="Cambria Math" w:hAnsi="Cambria Math" w:cs="Times New Roman"/>
            <w:sz w:val="22"/>
            <w:szCs w:val="22"/>
          </w:rPr>
          <m:t>&gt;</m:t>
        </m:r>
        <m:r>
          <w:rPr>
            <w:rFonts w:ascii="Cambria Math" w:hAnsi="Cambria Math" w:cs="Times New Roman"/>
            <w:sz w:val="22"/>
            <w:szCs w:val="22"/>
          </w:rPr>
          <m:t>h</m:t>
        </m:r>
      </m:oMath>
      <w:r w:rsidRPr="001A556C">
        <w:rPr>
          <w:rFonts w:ascii="Times New Roman" w:hAnsi="Times New Roman" w:cs="Times New Roman"/>
          <w:sz w:val="22"/>
          <w:szCs w:val="22"/>
        </w:rPr>
        <w:t xml:space="preserve">; Page–Hinkley </w:t>
      </w:r>
      <w:r w:rsidRPr="001A556C">
        <w:rPr>
          <w:rFonts w:ascii="Times New Roman" w:hAnsi="Times New Roman" w:cs="Times New Roman"/>
          <w:sz w:val="22"/>
          <w:szCs w:val="22"/>
        </w:rPr>
        <w:lastRenderedPageBreak/>
        <w:t xml:space="preserve">tracks the deviation of the running mean from its minimum; ADWIN maintains an adaptive window and cuts when two sub-windows differ beyond a Hoeffding bound. All three receive the same </w:t>
      </w:r>
      <m:oMath>
        <m:r>
          <w:rPr>
            <w:rFonts w:ascii="Cambria Math" w:hAnsi="Cambria Math" w:cs="Times New Roman"/>
            <w:sz w:val="22"/>
            <w:szCs w:val="22"/>
          </w:rPr>
          <m:t>5</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audited sample at a 3-batch latency.</w:t>
      </w:r>
    </w:p>
    <w:p w14:paraId="6A68A32A" w14:textId="77777777" w:rsidR="00427A24" w:rsidRPr="001A556C" w:rsidRDefault="00F57E70">
      <w:pPr>
        <w:pStyle w:val="Heading3"/>
        <w:rPr>
          <w:rFonts w:ascii="Times New Roman" w:hAnsi="Times New Roman" w:cs="Times New Roman"/>
          <w:color w:val="auto"/>
          <w:sz w:val="22"/>
          <w:szCs w:val="22"/>
        </w:rPr>
      </w:pPr>
      <w:bookmarkStart w:id="20" w:name="common-null-calibration"/>
      <w:bookmarkEnd w:id="19"/>
      <w:r w:rsidRPr="001A556C">
        <w:rPr>
          <w:rFonts w:ascii="Times New Roman" w:hAnsi="Times New Roman" w:cs="Times New Roman"/>
          <w:color w:val="auto"/>
          <w:sz w:val="22"/>
          <w:szCs w:val="22"/>
        </w:rPr>
        <w:t>4.5 Common null calibration</w:t>
      </w:r>
    </w:p>
    <w:p w14:paraId="4B4863D0"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Comparisons of detection delay across detectors are meaningless unless the detectors are matched on false alarms. We therefore calibrate every batch statistic against a bootstrap null: 150 pseudo-batches of size </w:t>
      </w:r>
      <m:oMath>
        <m:r>
          <w:rPr>
            <w:rFonts w:ascii="Cambria Math" w:hAnsi="Cambria Math" w:cs="Times New Roman"/>
            <w:sz w:val="22"/>
            <w:szCs w:val="22"/>
          </w:rPr>
          <m:t>n</m:t>
        </m:r>
      </m:oMath>
      <w:r w:rsidRPr="001A556C">
        <w:rPr>
          <w:rFonts w:ascii="Times New Roman" w:hAnsi="Times New Roman" w:cs="Times New Roman"/>
          <w:sz w:val="22"/>
          <w:szCs w:val="22"/>
        </w:rPr>
        <w:t xml:space="preserve"> are resampled from the reference window, each statistic is recomputed, and its null mean </w:t>
      </w:r>
      <m:oMath>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k</m:t>
            </m:r>
          </m:sub>
        </m:sSub>
      </m:oMath>
      <w:r w:rsidRPr="001A556C">
        <w:rPr>
          <w:rFonts w:ascii="Times New Roman" w:hAnsi="Times New Roman" w:cs="Times New Roman"/>
          <w:sz w:val="22"/>
          <w:szCs w:val="22"/>
        </w:rPr>
        <w:t xml:space="preserve">, standard deviation </w:t>
      </w:r>
      <m:oMath>
        <m:sSub>
          <m:sSubPr>
            <m:ctrlPr>
              <w:rPr>
                <w:rFonts w:ascii="Cambria Math" w:hAnsi="Cambria Math" w:cs="Times New Roman"/>
                <w:sz w:val="22"/>
                <w:szCs w:val="22"/>
              </w:rPr>
            </m:ctrlPr>
          </m:sSubPr>
          <m:e>
            <m:r>
              <w:rPr>
                <w:rFonts w:ascii="Cambria Math" w:hAnsi="Cambria Math" w:cs="Times New Roman"/>
                <w:sz w:val="22"/>
                <w:szCs w:val="22"/>
              </w:rPr>
              <m:t>σ</m:t>
            </m:r>
          </m:e>
          <m:sub>
            <m:r>
              <w:rPr>
                <w:rFonts w:ascii="Cambria Math" w:hAnsi="Cambria Math" w:cs="Times New Roman"/>
                <w:sz w:val="22"/>
                <w:szCs w:val="22"/>
              </w:rPr>
              <m:t>k</m:t>
            </m:r>
          </m:sub>
        </m:sSub>
      </m:oMath>
      <w:r w:rsidRPr="001A556C">
        <w:rPr>
          <w:rFonts w:ascii="Times New Roman" w:hAnsi="Times New Roman" w:cs="Times New Roman"/>
          <w:sz w:val="22"/>
          <w:szCs w:val="22"/>
        </w:rPr>
        <w:t xml:space="preserve"> and upper quantiles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r>
              <m:rPr>
                <m:sty m:val="p"/>
              </m:rPr>
              <w:rPr>
                <w:rFonts w:ascii="Cambria Math" w:hAnsi="Cambria Math" w:cs="Times New Roman"/>
                <w:sz w:val="22"/>
                <w:szCs w:val="22"/>
              </w:rPr>
              <m:t>,</m:t>
            </m:r>
            <m:r>
              <w:rPr>
                <w:rFonts w:ascii="Cambria Math" w:hAnsi="Cambria Math" w:cs="Times New Roman"/>
                <w:sz w:val="22"/>
                <w:szCs w:val="22"/>
              </w:rPr>
              <m:t>k</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0.999</m:t>
            </m:r>
            <m:r>
              <m:rPr>
                <m:sty m:val="p"/>
              </m:rPr>
              <w:rPr>
                <w:rFonts w:ascii="Cambria Math" w:hAnsi="Cambria Math" w:cs="Times New Roman"/>
                <w:sz w:val="22"/>
                <w:szCs w:val="22"/>
              </w:rPr>
              <m:t>,</m:t>
            </m:r>
            <m:r>
              <w:rPr>
                <w:rFonts w:ascii="Cambria Math" w:hAnsi="Cambria Math" w:cs="Times New Roman"/>
                <w:sz w:val="22"/>
                <w:szCs w:val="22"/>
              </w:rPr>
              <m:t>k</m:t>
            </m:r>
          </m:sub>
        </m:sSub>
      </m:oMath>
      <w:r w:rsidRPr="001A556C">
        <w:rPr>
          <w:rFonts w:ascii="Times New Roman" w:hAnsi="Times New Roman" w:cs="Times New Roman"/>
          <w:sz w:val="22"/>
          <w:szCs w:val="22"/>
        </w:rPr>
        <w:t xml:space="preserve"> are recorded. A batch statistic raises an alarm when it exceeds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r>
              <m:rPr>
                <m:sty m:val="p"/>
              </m:rPr>
              <w:rPr>
                <w:rFonts w:ascii="Cambria Math" w:hAnsi="Cambria Math" w:cs="Times New Roman"/>
                <w:sz w:val="22"/>
                <w:szCs w:val="22"/>
              </w:rPr>
              <m:t>,</m:t>
            </m:r>
            <m:r>
              <w:rPr>
                <w:rFonts w:ascii="Cambria Math" w:hAnsi="Cambria Math" w:cs="Times New Roman"/>
                <w:sz w:val="22"/>
                <w:szCs w:val="22"/>
              </w:rPr>
              <m:t>k</m:t>
            </m:r>
          </m:sub>
        </m:sSub>
      </m:oMath>
      <w:r w:rsidRPr="001A556C">
        <w:rPr>
          <w:rFonts w:ascii="Times New Roman" w:hAnsi="Times New Roman" w:cs="Times New Roman"/>
          <w:sz w:val="22"/>
          <w:szCs w:val="22"/>
        </w:rPr>
        <w:t xml:space="preserve">, giving a nominal per-batch false-alarm rate of </w:t>
      </w:r>
      <m:oMath>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for all six batch detectors. The sequential detectors were tuned by grid search to a comparable stationary operating point (</w:t>
      </w:r>
      <m:oMath>
        <m:r>
          <m:rPr>
            <m:sty m:val="p"/>
          </m:rPr>
          <w:rPr>
            <w:rFonts w:ascii="Cambria Math" w:hAnsi="Cambria Math" w:cs="Times New Roman"/>
            <w:sz w:val="22"/>
            <w:szCs w:val="22"/>
          </w:rPr>
          <m:t>PH:</m:t>
        </m:r>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4.0</m:t>
        </m:r>
      </m:oMath>
      <w:r w:rsidRPr="001A556C">
        <w:rPr>
          <w:rFonts w:ascii="Times New Roman" w:hAnsi="Times New Roman" w:cs="Times New Roman"/>
          <w:sz w:val="22"/>
          <w:szCs w:val="22"/>
        </w:rPr>
        <w:t xml:space="preserve">; </w:t>
      </w:r>
      <m:oMath>
        <m:r>
          <m:rPr>
            <m:sty m:val="p"/>
          </m:rPr>
          <w:rPr>
            <w:rFonts w:ascii="Cambria Math" w:hAnsi="Cambria Math" w:cs="Times New Roman"/>
            <w:sz w:val="22"/>
            <w:szCs w:val="22"/>
          </w:rPr>
          <m:t>CUSUM:</m:t>
        </m:r>
        <m:r>
          <w:rPr>
            <w:rFonts w:ascii="Cambria Math" w:hAnsi="Cambria Math" w:cs="Times New Roman"/>
            <w:sz w:val="22"/>
            <w:szCs w:val="22"/>
          </w:rPr>
          <m:t>h</m:t>
        </m:r>
        <m:r>
          <m:rPr>
            <m:sty m:val="p"/>
          </m:rPr>
          <w:rPr>
            <w:rFonts w:ascii="Cambria Math" w:hAnsi="Cambria Math" w:cs="Times New Roman"/>
            <w:sz w:val="22"/>
            <w:szCs w:val="22"/>
          </w:rPr>
          <m:t>=</m:t>
        </m:r>
        <m:r>
          <w:rPr>
            <w:rFonts w:ascii="Cambria Math" w:hAnsi="Cambria Math" w:cs="Times New Roman"/>
            <w:sz w:val="22"/>
            <w:szCs w:val="22"/>
          </w:rPr>
          <m:t>4.0</m:t>
        </m:r>
      </m:oMath>
      <w:r w:rsidRPr="001A556C">
        <w:rPr>
          <w:rFonts w:ascii="Times New Roman" w:hAnsi="Times New Roman" w:cs="Times New Roman"/>
          <w:sz w:val="22"/>
          <w:szCs w:val="22"/>
        </w:rPr>
        <w:t xml:space="preserve">; both </w:t>
      </w:r>
      <m:oMath>
        <m:r>
          <w:rPr>
            <w:rFonts w:ascii="Cambria Math" w:hAnsi="Cambria Math" w:cs="Times New Roman"/>
            <w:sz w:val="22"/>
            <w:szCs w:val="22"/>
          </w:rPr>
          <m:t>δ</m:t>
        </m:r>
        <m:r>
          <m:rPr>
            <m:sty m:val="p"/>
          </m:rPr>
          <w:rPr>
            <w:rFonts w:ascii="Cambria Math" w:hAnsi="Cambria Math" w:cs="Times New Roman"/>
            <w:sz w:val="22"/>
            <w:szCs w:val="22"/>
          </w:rPr>
          <m:t>=</m:t>
        </m:r>
        <m:r>
          <w:rPr>
            <w:rFonts w:ascii="Cambria Math" w:hAnsi="Cambria Math" w:cs="Times New Roman"/>
            <w:sz w:val="22"/>
            <w:szCs w:val="22"/>
          </w:rPr>
          <m:t>0.01</m:t>
        </m:r>
      </m:oMath>
      <w:r w:rsidRPr="001A556C">
        <w:rPr>
          <w:rFonts w:ascii="Times New Roman" w:hAnsi="Times New Roman" w:cs="Times New Roman"/>
          <w:sz w:val="22"/>
          <w:szCs w:val="22"/>
        </w:rPr>
        <w:t xml:space="preserve">), and we report the empirical false-alarm rates achieved rather than the </w:t>
      </w:r>
      <w:r w:rsidRPr="001A556C">
        <w:rPr>
          <w:rFonts w:ascii="Times New Roman" w:hAnsi="Times New Roman" w:cs="Times New Roman"/>
          <w:sz w:val="22"/>
          <w:szCs w:val="22"/>
          <w:highlight w:val="yellow"/>
        </w:rPr>
        <w:t>nominal ones—a distinction</w:t>
      </w:r>
      <w:r w:rsidRPr="001A556C">
        <w:rPr>
          <w:rFonts w:ascii="Times New Roman" w:hAnsi="Times New Roman" w:cs="Times New Roman"/>
          <w:sz w:val="22"/>
          <w:szCs w:val="22"/>
        </w:rPr>
        <w:t xml:space="preserve"> that turns out to matter (Section 8.3).</w:t>
      </w:r>
    </w:p>
    <w:p w14:paraId="332A0F6F" w14:textId="77777777" w:rsidR="00427A24" w:rsidRPr="001A556C" w:rsidRDefault="00F57E7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also record the standardised null quantile </w:t>
      </w:r>
      <m:oMath>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r>
                  <m:rPr>
                    <m:sty m:val="p"/>
                  </m:rPr>
                  <w:rPr>
                    <w:rFonts w:ascii="Cambria Math" w:hAnsi="Cambria Math" w:cs="Times New Roman"/>
                    <w:sz w:val="22"/>
                    <w:szCs w:val="22"/>
                  </w:rPr>
                  <m:t>,</m:t>
                </m:r>
                <m:r>
                  <w:rPr>
                    <w:rFonts w:ascii="Cambria Math" w:hAnsi="Cambria Math" w:cs="Times New Roman"/>
                    <w:sz w:val="22"/>
                    <w:szCs w:val="22"/>
                  </w:rPr>
                  <m:t>k</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k</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σ</m:t>
            </m:r>
          </m:e>
          <m:sub>
            <m:r>
              <w:rPr>
                <w:rFonts w:ascii="Cambria Math" w:hAnsi="Cambria Math" w:cs="Times New Roman"/>
                <w:sz w:val="22"/>
                <w:szCs w:val="22"/>
              </w:rPr>
              <m:t>k</m:t>
            </m:r>
          </m:sub>
        </m:sSub>
      </m:oMath>
      <w:r w:rsidRPr="001A556C">
        <w:rPr>
          <w:rFonts w:ascii="Times New Roman" w:hAnsi="Times New Roman" w:cs="Times New Roman"/>
          <w:sz w:val="22"/>
          <w:szCs w:val="22"/>
        </w:rPr>
        <w:t>, which is the object the aging index uses.</w:t>
      </w:r>
    </w:p>
    <w:p w14:paraId="6F9EEC3D" w14:textId="77777777" w:rsidR="00427A24" w:rsidRPr="001A556C" w:rsidRDefault="00427A24">
      <w:pPr>
        <w:rPr>
          <w:rFonts w:ascii="Times New Roman" w:hAnsi="Times New Roman" w:cs="Times New Roman"/>
          <w:sz w:val="22"/>
          <w:szCs w:val="22"/>
        </w:rPr>
      </w:pPr>
    </w:p>
    <w:p w14:paraId="3ED9D4F9" w14:textId="77777777" w:rsidR="00427A24" w:rsidRPr="001A556C" w:rsidRDefault="00F57E70">
      <w:pPr>
        <w:pStyle w:val="Heading2"/>
        <w:rPr>
          <w:rFonts w:ascii="Times New Roman" w:hAnsi="Times New Roman" w:cs="Times New Roman"/>
          <w:color w:val="auto"/>
          <w:sz w:val="22"/>
          <w:szCs w:val="22"/>
        </w:rPr>
      </w:pPr>
      <w:bookmarkStart w:id="21" w:name="X5769d268d20f92854d8f0abeda31f6734e25b62"/>
      <w:bookmarkEnd w:id="15"/>
      <w:bookmarkEnd w:id="20"/>
      <w:r w:rsidRPr="001A556C">
        <w:rPr>
          <w:rFonts w:ascii="Times New Roman" w:hAnsi="Times New Roman" w:cs="Times New Roman"/>
          <w:color w:val="auto"/>
          <w:sz w:val="22"/>
          <w:szCs w:val="22"/>
        </w:rPr>
        <w:t>5. The Model Aging Index and the Cybersecurity Drift Index</w:t>
      </w:r>
    </w:p>
    <w:p w14:paraId="45CC3530" w14:textId="77777777" w:rsidR="00427A24" w:rsidRPr="001A556C" w:rsidRDefault="00F57E70">
      <w:pPr>
        <w:pStyle w:val="Heading3"/>
        <w:rPr>
          <w:rFonts w:ascii="Times New Roman" w:hAnsi="Times New Roman" w:cs="Times New Roman"/>
          <w:color w:val="auto"/>
          <w:sz w:val="22"/>
          <w:szCs w:val="22"/>
        </w:rPr>
      </w:pPr>
      <w:bookmarkStart w:id="22" w:name="construction"/>
      <w:r w:rsidRPr="001A556C">
        <w:rPr>
          <w:rFonts w:ascii="Times New Roman" w:hAnsi="Times New Roman" w:cs="Times New Roman"/>
          <w:color w:val="auto"/>
          <w:sz w:val="22"/>
          <w:szCs w:val="22"/>
        </w:rPr>
        <w:t>5.1 Construction</w:t>
      </w:r>
    </w:p>
    <w:p w14:paraId="46215F62"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Let </w:t>
      </w:r>
      <m:oMath>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k</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σ</m:t>
            </m:r>
          </m:e>
          <m:sub>
            <m:r>
              <w:rPr>
                <w:rFonts w:ascii="Cambria Math" w:hAnsi="Cambria Math" w:cs="Times New Roman"/>
                <w:sz w:val="22"/>
                <w:szCs w:val="22"/>
              </w:rPr>
              <m:t>k</m:t>
            </m:r>
          </m:sub>
        </m:sSub>
      </m:oMath>
      <w:r w:rsidRPr="001A556C">
        <w:rPr>
          <w:rFonts w:ascii="Times New Roman" w:hAnsi="Times New Roman" w:cs="Times New Roman"/>
          <w:sz w:val="22"/>
          <w:szCs w:val="22"/>
        </w:rPr>
        <w:t xml:space="preserve"> be the standardised value of drift signal </w:t>
      </w:r>
      <m:oMath>
        <m:r>
          <w:rPr>
            <w:rFonts w:ascii="Cambria Math" w:hAnsi="Cambria Math" w:cs="Times New Roman"/>
            <w:sz w:val="22"/>
            <w:szCs w:val="22"/>
          </w:rPr>
          <m:t>k</m:t>
        </m:r>
      </m:oMath>
      <w:r w:rsidRPr="001A556C">
        <w:rPr>
          <w:rFonts w:ascii="Times New Roman" w:hAnsi="Times New Roman" w:cs="Times New Roman"/>
          <w:sz w:val="22"/>
          <w:szCs w:val="22"/>
        </w:rPr>
        <w:t xml:space="preserve"> at batch </w:t>
      </w:r>
      <m:oMath>
        <m:r>
          <w:rPr>
            <w:rFonts w:ascii="Cambria Math" w:hAnsi="Cambria Math" w:cs="Times New Roman"/>
            <w:sz w:val="22"/>
            <w:szCs w:val="22"/>
          </w:rPr>
          <m:t>t</m:t>
        </m:r>
      </m:oMath>
      <w:r w:rsidRPr="001A556C">
        <w:rPr>
          <w:rFonts w:ascii="Times New Roman" w:hAnsi="Times New Roman" w:cs="Times New Roman"/>
          <w:sz w:val="22"/>
          <w:szCs w:val="22"/>
        </w:rPr>
        <w:t xml:space="preserve">. Define the </w:t>
      </w:r>
      <w:r w:rsidRPr="001A556C">
        <w:rPr>
          <w:rFonts w:ascii="Times New Roman" w:hAnsi="Times New Roman" w:cs="Times New Roman"/>
          <w:b/>
          <w:bCs/>
          <w:sz w:val="22"/>
          <w:szCs w:val="22"/>
        </w:rPr>
        <w:t>hinge-squash</w:t>
      </w:r>
      <w:r w:rsidRPr="001A556C">
        <w:rPr>
          <w:rFonts w:ascii="Times New Roman" w:hAnsi="Times New Roman" w:cs="Times New Roman"/>
          <w:sz w:val="22"/>
          <w:szCs w:val="22"/>
        </w:rPr>
        <w:t xml:space="preserve"> transform</w:t>
      </w:r>
    </w:p>
    <w:p w14:paraId="0955107E"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 1</m:t>
          </m:r>
          <m:r>
            <m:rPr>
              <m:sty m:val="p"/>
            </m:rPr>
            <w:rPr>
              <w:rFonts w:ascii="Cambria Math" w:hAnsi="Cambria Math" w:cs="Times New Roman"/>
              <w:sz w:val="22"/>
              <w:szCs w:val="22"/>
            </w:rPr>
            <m:t>-exp</m:t>
          </m:r>
          <m:r>
            <w:rPr>
              <w:rFonts w:ascii="Cambria Math" w:hAnsi="Cambria Math" w:cs="Times New Roman"/>
              <w:sz w:val="22"/>
              <w:szCs w:val="22"/>
            </w:rPr>
            <m:t>​</m:t>
          </m:r>
          <m:d>
            <m:dPr>
              <m:ctrlPr>
                <w:rPr>
                  <w:rFonts w:ascii="Cambria Math" w:hAnsi="Cambria Math" w:cs="Times New Roman"/>
                  <w:sz w:val="22"/>
                  <w:szCs w:val="22"/>
                </w:rPr>
              </m:ctrlPr>
            </m:dPr>
            <m:e>
              <m:r>
                <m:rPr>
                  <m:sty m:val="p"/>
                </m:rPr>
                <w:rPr>
                  <w:rFonts w:ascii="Cambria Math" w:hAnsi="Cambria Math" w:cs="Times New Roman"/>
                  <w:sz w:val="22"/>
                  <w:szCs w:val="22"/>
                </w:rPr>
                <m:t>-</m:t>
              </m:r>
              <m:f>
                <m:fPr>
                  <m:ctrlPr>
                    <w:rPr>
                      <w:rFonts w:ascii="Cambria Math" w:hAnsi="Cambria Math" w:cs="Times New Roman"/>
                      <w:sz w:val="22"/>
                      <w:szCs w:val="22"/>
                    </w:rPr>
                  </m:ctrlPr>
                </m:fPr>
                <m:num>
                  <m:r>
                    <m:rPr>
                      <m:sty m:val="p"/>
                    </m:rPr>
                    <w:rPr>
                      <w:rFonts w:ascii="Cambria Math" w:hAnsi="Cambria Math" w:cs="Times New Roman"/>
                      <w:sz w:val="22"/>
                      <w:szCs w:val="22"/>
                    </w:rPr>
                    <m:t>max{</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r>
                    <m:rPr>
                      <m:sty m:val="p"/>
                    </m:rPr>
                    <w:rPr>
                      <w:rFonts w:ascii="Cambria Math" w:hAnsi="Cambria Math" w:cs="Times New Roman"/>
                      <w:sz w:val="22"/>
                      <w:szCs w:val="22"/>
                    </w:rPr>
                    <m:t>}</m:t>
                  </m:r>
                </m:num>
                <m:den>
                  <m:r>
                    <w:rPr>
                      <w:rFonts w:ascii="Cambria Math" w:hAnsi="Cambria Math" w:cs="Times New Roman"/>
                      <w:sz w:val="22"/>
                      <w:szCs w:val="22"/>
                    </w:rPr>
                    <m:t>κ</m:t>
                  </m:r>
                </m:den>
              </m:f>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m:oMathPara>
    </w:p>
    <w:p w14:paraId="1F6655BE"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with sensitivity </w:t>
      </w:r>
      <m:oMath>
        <m:r>
          <w:rPr>
            <w:rFonts w:ascii="Cambria Math" w:hAnsi="Cambria Math" w:cs="Times New Roman"/>
            <w:sz w:val="22"/>
            <w:szCs w:val="22"/>
          </w:rPr>
          <m:t>κ</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sz w:val="22"/>
          <w:szCs w:val="22"/>
        </w:rPr>
        <w:t xml:space="preserve">. Three properties are deliberate. The hinge at </w:t>
      </w:r>
      <m:oMath>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oMath>
      <w:r w:rsidRPr="001A556C">
        <w:rPr>
          <w:rFonts w:ascii="Times New Roman" w:hAnsi="Times New Roman" w:cs="Times New Roman"/>
          <w:sz w:val="22"/>
          <w:szCs w:val="22"/>
        </w:rPr>
        <w:t xml:space="preserve"> means that statistical fluctuation </w:t>
      </w:r>
      <w:r w:rsidRPr="001A556C">
        <w:rPr>
          <w:rFonts w:ascii="Times New Roman" w:hAnsi="Times New Roman" w:cs="Times New Roman"/>
          <w:i/>
          <w:iCs/>
          <w:sz w:val="22"/>
          <w:szCs w:val="22"/>
        </w:rPr>
        <w:t>within</w:t>
      </w:r>
      <w:r w:rsidRPr="001A556C">
        <w:rPr>
          <w:rFonts w:ascii="Times New Roman" w:hAnsi="Times New Roman" w:cs="Times New Roman"/>
          <w:sz w:val="22"/>
          <w:szCs w:val="22"/>
        </w:rPr>
        <w:t xml:space="preserve"> the calibrated null contributes nothing, which is what prevents the index from accumulating under </w:t>
      </w:r>
      <w:r w:rsidR="003942E3" w:rsidRPr="001A556C">
        <w:rPr>
          <w:rFonts w:ascii="Times New Roman" w:hAnsi="Times New Roman" w:cs="Times New Roman"/>
          <w:sz w:val="22"/>
          <w:szCs w:val="22"/>
          <w:highlight w:val="yellow"/>
        </w:rPr>
        <w:t>stationarity; an</w:t>
      </w:r>
      <w:r w:rsidRPr="001A556C">
        <w:rPr>
          <w:rFonts w:ascii="Times New Roman" w:hAnsi="Times New Roman" w:cs="Times New Roman"/>
          <w:sz w:val="22"/>
          <w:szCs w:val="22"/>
        </w:rPr>
        <w:t xml:space="preserve"> earlier formulation without the hinge accumulated to </w:t>
      </w:r>
      <m:oMath>
        <m:r>
          <m:rPr>
            <m:sty m:val="p"/>
          </m:rPr>
          <w:rPr>
            <w:rFonts w:ascii="Cambria Math" w:hAnsi="Cambria Math" w:cs="Times New Roman"/>
            <w:sz w:val="22"/>
            <w:szCs w:val="22"/>
          </w:rPr>
          <m:t>MAI≈</m:t>
        </m:r>
        <m:r>
          <w:rPr>
            <w:rFonts w:ascii="Cambria Math" w:hAnsi="Cambria Math" w:cs="Times New Roman"/>
            <w:sz w:val="22"/>
            <w:szCs w:val="22"/>
          </w:rPr>
          <m:t>0.45</m:t>
        </m:r>
      </m:oMath>
      <w:r w:rsidRPr="001A556C">
        <w:rPr>
          <w:rFonts w:ascii="Times New Roman" w:hAnsi="Times New Roman" w:cs="Times New Roman"/>
          <w:sz w:val="22"/>
          <w:szCs w:val="22"/>
        </w:rPr>
        <w:t xml:space="preserve"> on a drift-free stream. The exponential squash bounds the contribution of any single extreme batch, conferring robustness to outlying batches. The transform is continuous and nondecreasing, which is what Propositions 1 and 2 require.</w:t>
      </w:r>
    </w:p>
    <w:p w14:paraId="33F414B1" w14:textId="77777777" w:rsidR="00427A24" w:rsidRPr="001A556C" w:rsidRDefault="00F57E70">
      <w:pPr>
        <w:pStyle w:val="BodyText"/>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instantaneous drift stress</w:t>
      </w:r>
      <w:r w:rsidRPr="001A556C">
        <w:rPr>
          <w:rFonts w:ascii="Times New Roman" w:hAnsi="Times New Roman" w:cs="Times New Roman"/>
          <w:sz w:val="22"/>
          <w:szCs w:val="22"/>
        </w:rPr>
        <w:t xml:space="preserve"> is a convex combination over the monitored signals,</w:t>
      </w:r>
    </w:p>
    <w:p w14:paraId="35CAACC2" w14:textId="77777777" w:rsidR="00427A24" w:rsidRPr="001A556C" w:rsidRDefault="00000000">
      <w:pPr>
        <w:pStyle w:val="BodyText"/>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ω</m:t>
                  </m:r>
                </m:e>
                <m:sub>
                  <m:r>
                    <w:rPr>
                      <w:rFonts w:ascii="Cambria Math" w:hAnsi="Cambria Math" w:cs="Times New Roman"/>
                      <w:sz w:val="22"/>
                      <w:szCs w:val="22"/>
                    </w:rPr>
                    <m:t>k</m:t>
                  </m:r>
                </m:sub>
              </m:sSub>
            </m:e>
          </m:nary>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ω</m:t>
              </m:r>
            </m:e>
            <m:sub>
              <m:r>
                <w:rPr>
                  <w:rFonts w:ascii="Cambria Math" w:hAnsi="Cambria Math" w:cs="Times New Roman"/>
                  <w:sz w:val="22"/>
                  <w:szCs w:val="22"/>
                </w:rPr>
                <m:t>k</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ω</m:t>
                  </m:r>
                </m:e>
                <m:sub>
                  <m:r>
                    <w:rPr>
                      <w:rFonts w:ascii="Cambria Math" w:hAnsi="Cambria Math" w:cs="Times New Roman"/>
                      <w:sz w:val="22"/>
                      <w:szCs w:val="22"/>
                    </w:rPr>
                    <m:t>k</m:t>
                  </m:r>
                </m:sub>
              </m:sSub>
            </m:e>
          </m:nary>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m:oMathPara>
    </w:p>
    <w:p w14:paraId="3B525BE1" w14:textId="77777777" w:rsidR="00427A24" w:rsidRPr="001A556C" w:rsidRDefault="00F57E7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with MAI using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m:rPr>
                <m:sty m:val="p"/>
              </m:rPr>
              <w:rPr>
                <w:rFonts w:ascii="Cambria Math" w:hAnsi="Cambria Math" w:cs="Times New Roman"/>
                <w:sz w:val="22"/>
                <w:szCs w:val="22"/>
              </w:rPr>
              <m:t>MAI</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r>
          <m:rPr>
            <m:sty m:val="p"/>
          </m:rPr>
          <w:rPr>
            <w:rFonts w:ascii="Cambria Math" w:hAnsi="Cambria Math" w:cs="Times New Roman"/>
            <w:sz w:val="22"/>
            <w:szCs w:val="22"/>
          </w:rPr>
          <m:t>,JS,</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cnf</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pri</m:t>
            </m:r>
          </m:sup>
        </m:sSup>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and </w:t>
      </w:r>
      <m:oMath>
        <m:r>
          <w:rPr>
            <w:rFonts w:ascii="Cambria Math" w:hAnsi="Cambria Math" w:cs="Times New Roman"/>
            <w:sz w:val="22"/>
            <w:szCs w:val="22"/>
          </w:rPr>
          <m:t>ω</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0.40</m:t>
            </m:r>
            <m:r>
              <m:rPr>
                <m:sty m:val="p"/>
              </m:rPr>
              <w:rPr>
                <w:rFonts w:ascii="Cambria Math" w:hAnsi="Cambria Math" w:cs="Times New Roman"/>
                <w:sz w:val="22"/>
                <w:szCs w:val="22"/>
              </w:rPr>
              <m:t>,</m:t>
            </m:r>
            <m:r>
              <w:rPr>
                <w:rFonts w:ascii="Cambria Math" w:hAnsi="Cambria Math" w:cs="Times New Roman"/>
                <w:sz w:val="22"/>
                <w:szCs w:val="22"/>
              </w:rPr>
              <m:t>0.30</m:t>
            </m:r>
            <m:r>
              <m:rPr>
                <m:sty m:val="p"/>
              </m:rPr>
              <w:rPr>
                <w:rFonts w:ascii="Cambria Math" w:hAnsi="Cambria Math" w:cs="Times New Roman"/>
                <w:sz w:val="22"/>
                <w:szCs w:val="22"/>
              </w:rPr>
              <m:t>,</m:t>
            </m:r>
            <m:r>
              <w:rPr>
                <w:rFonts w:ascii="Cambria Math" w:hAnsi="Cambria Math" w:cs="Times New Roman"/>
                <w:sz w:val="22"/>
                <w:szCs w:val="22"/>
              </w:rPr>
              <m:t>0.15</m:t>
            </m:r>
            <m:r>
              <m:rPr>
                <m:sty m:val="p"/>
              </m:rPr>
              <w:rPr>
                <w:rFonts w:ascii="Cambria Math" w:hAnsi="Cambria Math" w:cs="Times New Roman"/>
                <w:sz w:val="22"/>
                <w:szCs w:val="22"/>
              </w:rPr>
              <m:t>,</m:t>
            </m:r>
            <m:r>
              <w:rPr>
                <w:rFonts w:ascii="Cambria Math" w:hAnsi="Cambria Math" w:cs="Times New Roman"/>
                <w:sz w:val="22"/>
                <w:szCs w:val="22"/>
              </w:rPr>
              <m:t>0.15</m:t>
            </m:r>
          </m:e>
        </m:d>
      </m:oMath>
      <w:r w:rsidRPr="001A556C">
        <w:rPr>
          <w:rFonts w:ascii="Times New Roman" w:hAnsi="Times New Roman" w:cs="Times New Roman"/>
          <w:sz w:val="22"/>
          <w:szCs w:val="22"/>
        </w:rPr>
        <w:t>: transport in the model’s own feature geometry receives the largest weight, score-distribution divergence the next, and the uncertainty and prior statistics act as corroborating channels.</w:t>
      </w:r>
    </w:p>
    <w:p w14:paraId="619B9290" w14:textId="77777777" w:rsidR="00427A24" w:rsidRPr="001A556C" w:rsidRDefault="00F57E70">
      <w:pPr>
        <w:pStyle w:val="BodyText"/>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aging accumulator</w:t>
      </w:r>
      <w:r w:rsidRPr="001A556C">
        <w:rPr>
          <w:rFonts w:ascii="Times New Roman" w:hAnsi="Times New Roman" w:cs="Times New Roman"/>
          <w:sz w:val="22"/>
          <w:szCs w:val="22"/>
        </w:rPr>
        <w:t xml:space="preserve"> and the index itself are</w:t>
      </w:r>
    </w:p>
    <w:p w14:paraId="285297A0" w14:textId="77777777" w:rsidR="00427A24" w:rsidRPr="001A556C" w:rsidRDefault="00000000">
      <w:pPr>
        <w:pStyle w:val="BodyText"/>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 ρ</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0</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borderBox>
            <m:borderBoxPr>
              <m:ctrlPr>
                <w:rPr>
                  <w:rFonts w:ascii="Cambria Math" w:hAnsi="Cambria Math" w:cs="Times New Roman"/>
                  <w:sz w:val="22"/>
                  <w:szCs w:val="22"/>
                </w:rPr>
              </m:ctrlPr>
            </m:borderBoxPr>
            <m:e>
              <m:r>
                <w:rPr>
                  <w:rFonts w:ascii="Cambria Math" w:hAnsi="Cambria Math" w:cs="Times New Roman"/>
                  <w:sz w:val="22"/>
                  <w:szCs w:val="22"/>
                </w:rPr>
                <m:t> </m:t>
              </m:r>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sup>
                  </m:sSup>
                </m:num>
                <m:den>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sup>
                  </m:sSup>
                </m:den>
              </m:f>
              <m:r>
                <w:rPr>
                  <w:rFonts w:ascii="Cambria Math" w:hAnsi="Cambria Math" w:cs="Times New Roman"/>
                  <w:sz w:val="22"/>
                  <w:szCs w:val="22"/>
                </w:rPr>
                <m:t> </m:t>
              </m:r>
            </m:e>
          </m:borderBox>
        </m:oMath>
      </m:oMathPara>
    </w:p>
    <w:p w14:paraId="038F8B87" w14:textId="77777777" w:rsidR="00427A24" w:rsidRPr="001A556C" w:rsidRDefault="00F57E7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with forgetting factor </w:t>
      </w:r>
      <m:oMath>
        <m:r>
          <w:rPr>
            <w:rFonts w:ascii="Cambria Math" w:hAnsi="Cambria Math" w:cs="Times New Roman"/>
            <w:sz w:val="22"/>
            <w:szCs w:val="22"/>
          </w:rPr>
          <m:t>ρ</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and saturation rate </w:t>
      </w:r>
      <m:oMath>
        <m:r>
          <w:rPr>
            <w:rFonts w:ascii="Cambria Math" w:hAnsi="Cambria Math" w:cs="Times New Roman"/>
            <w:sz w:val="22"/>
            <w:szCs w:val="22"/>
          </w:rPr>
          <m:t>λ</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sz w:val="22"/>
          <w:szCs w:val="22"/>
        </w:rPr>
        <w:t xml:space="preserve">. Throughout we use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0.85</m:t>
        </m:r>
      </m:oMath>
      <w:r w:rsidRPr="001A556C">
        <w:rPr>
          <w:rFonts w:ascii="Times New Roman" w:hAnsi="Times New Roman" w:cs="Times New Roman"/>
          <w:sz w:val="22"/>
          <w:szCs w:val="22"/>
        </w:rPr>
        <w:t xml:space="preserve">, </w:t>
      </w:r>
      <m:oMath>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0.35</m:t>
        </m:r>
      </m:oMath>
      <w:r w:rsidRPr="001A556C">
        <w:rPr>
          <w:rFonts w:ascii="Times New Roman" w:hAnsi="Times New Roman" w:cs="Times New Roman"/>
          <w:sz w:val="22"/>
          <w:szCs w:val="22"/>
        </w:rPr>
        <w:t xml:space="preserve">, </w:t>
      </w:r>
      <m:oMath>
        <m:r>
          <w:rPr>
            <w:rFonts w:ascii="Cambria Math" w:hAnsi="Cambria Math" w:cs="Times New Roman"/>
            <w:sz w:val="22"/>
            <w:szCs w:val="22"/>
          </w:rPr>
          <m:t>κ</m:t>
        </m:r>
        <m:r>
          <m:rPr>
            <m:sty m:val="p"/>
          </m:rPr>
          <w:rPr>
            <w:rFonts w:ascii="Cambria Math" w:hAnsi="Cambria Math" w:cs="Times New Roman"/>
            <w:sz w:val="22"/>
            <w:szCs w:val="22"/>
          </w:rPr>
          <m:t>=</m:t>
        </m:r>
        <m:r>
          <w:rPr>
            <w:rFonts w:ascii="Cambria Math" w:hAnsi="Cambria Math" w:cs="Times New Roman"/>
            <w:sz w:val="22"/>
            <w:szCs w:val="22"/>
          </w:rPr>
          <m:t>3</m:t>
        </m:r>
      </m:oMath>
      <w:r w:rsidRPr="001A556C">
        <w:rPr>
          <w:rFonts w:ascii="Times New Roman" w:hAnsi="Times New Roman" w:cs="Times New Roman"/>
          <w:sz w:val="22"/>
          <w:szCs w:val="22"/>
        </w:rPr>
        <w:t xml:space="preserve">. The geometric memory </w:t>
      </w:r>
      <m:oMath>
        <m:r>
          <w:rPr>
            <w:rFonts w:ascii="Cambria Math" w:hAnsi="Cambria Math" w:cs="Times New Roman"/>
            <w:sz w:val="22"/>
            <w:szCs w:val="22"/>
          </w:rPr>
          <m:t>ρ</m:t>
        </m:r>
      </m:oMath>
      <w:r w:rsidRPr="001A556C">
        <w:rPr>
          <w:rFonts w:ascii="Times New Roman" w:hAnsi="Times New Roman" w:cs="Times New Roman"/>
          <w:sz w:val="22"/>
          <w:szCs w:val="22"/>
        </w:rPr>
        <w:t xml:space="preserve"> is what distinguishes aging from detection: a stream under persistent sub-threshold stress accumulates, whereas an isolated anomalous batch decays with half-life </w:t>
      </w:r>
      <m:oMath>
        <m:r>
          <m:rPr>
            <m:sty m:val="p"/>
          </m:rPr>
          <w:rPr>
            <w:rFonts w:ascii="Cambria Math" w:hAnsi="Cambria Math" w:cs="Times New Roman"/>
            <w:sz w:val="22"/>
            <w:szCs w:val="22"/>
          </w:rPr>
          <m:t>ln</m:t>
        </m:r>
        <m:r>
          <w:rPr>
            <w:rFonts w:ascii="Cambria Math" w:hAnsi="Cambria Math" w:cs="Times New Roman"/>
            <w:sz w:val="22"/>
            <w:szCs w:val="22"/>
          </w:rPr>
          <m:t>2</m:t>
        </m:r>
        <m:r>
          <m:rPr>
            <m:sty m:val="p"/>
          </m:rPr>
          <w:rPr>
            <w:rFonts w:ascii="Cambria Math" w:hAnsi="Cambria Math" w:cs="Times New Roman"/>
            <w:sz w:val="22"/>
            <w:szCs w:val="22"/>
          </w:rPr>
          <m:t>/ln</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r>
          <m:rPr>
            <m:sty m:val="p"/>
          </m:rPr>
          <w:rPr>
            <w:rFonts w:ascii="Cambria Math" w:hAnsi="Cambria Math" w:cs="Times New Roman"/>
            <w:sz w:val="22"/>
            <w:szCs w:val="22"/>
          </w:rPr>
          <m:t>≈</m:t>
        </m:r>
        <m:r>
          <w:rPr>
            <w:rFonts w:ascii="Cambria Math" w:hAnsi="Cambria Math" w:cs="Times New Roman"/>
            <w:sz w:val="22"/>
            <w:szCs w:val="22"/>
          </w:rPr>
          <m:t>4.3</m:t>
        </m:r>
      </m:oMath>
      <w:r w:rsidRPr="001A556C">
        <w:rPr>
          <w:rFonts w:ascii="Times New Roman" w:hAnsi="Times New Roman" w:cs="Times New Roman"/>
          <w:sz w:val="22"/>
          <w:szCs w:val="22"/>
        </w:rPr>
        <w:t xml:space="preserve"> batches.</w:t>
      </w:r>
    </w:p>
    <w:p w14:paraId="34E86893" w14:textId="77777777" w:rsidR="00427A24" w:rsidRPr="001A556C" w:rsidRDefault="00F57E70">
      <w:pPr>
        <w:pStyle w:val="Heading3"/>
        <w:rPr>
          <w:rFonts w:ascii="Times New Roman" w:hAnsi="Times New Roman" w:cs="Times New Roman"/>
          <w:color w:val="auto"/>
          <w:sz w:val="22"/>
          <w:szCs w:val="22"/>
        </w:rPr>
      </w:pPr>
      <w:bookmarkStart w:id="23" w:name="properties"/>
      <w:bookmarkEnd w:id="22"/>
      <w:r w:rsidRPr="001A556C">
        <w:rPr>
          <w:rFonts w:ascii="Times New Roman" w:hAnsi="Times New Roman" w:cs="Times New Roman"/>
          <w:color w:val="auto"/>
          <w:sz w:val="22"/>
          <w:szCs w:val="22"/>
        </w:rPr>
        <w:t>5.2 Properties</w:t>
      </w:r>
    </w:p>
    <w:p w14:paraId="5300A186" w14:textId="77777777" w:rsidR="00427A24" w:rsidRPr="001A556C" w:rsidRDefault="00F57E7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1 (Boundedness and normalisation)</w:t>
      </w:r>
      <w:r w:rsidR="000A1E46"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For </w:t>
      </w:r>
      <m:oMath>
        <m:r>
          <w:rPr>
            <w:rFonts w:ascii="Cambria Math" w:hAnsi="Cambria Math" w:cs="Times New Roman"/>
            <w:sz w:val="22"/>
            <w:szCs w:val="22"/>
          </w:rPr>
          <m:t>ρ</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w:t>
      </w:r>
      <m:oMath>
        <m:r>
          <w:rPr>
            <w:rFonts w:ascii="Cambria Math" w:hAnsi="Cambria Math" w:cs="Times New Roman"/>
            <w:sz w:val="22"/>
            <w:szCs w:val="22"/>
          </w:rPr>
          <m:t>λ</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w:t>
      </w:r>
      <m:oMath>
        <m:r>
          <w:rPr>
            <w:rFonts w:ascii="Cambria Math" w:hAnsi="Cambria Math" w:cs="Times New Roman"/>
            <w:sz w:val="22"/>
            <w:szCs w:val="22"/>
          </w:rPr>
          <m:t>κ</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e>
        </m:d>
      </m:oMath>
      <w:r w:rsidRPr="001A556C">
        <w:rPr>
          <w:rFonts w:ascii="Times New Roman" w:hAnsi="Times New Roman" w:cs="Times New Roman"/>
          <w:i/>
          <w:iCs/>
          <w:sz w:val="22"/>
          <w:szCs w:val="22"/>
        </w:rPr>
        <w:t xml:space="preserve">, and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with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i/>
          <w:iCs/>
          <w:sz w:val="22"/>
          <w:szCs w:val="22"/>
        </w:rPr>
        <w:t xml:space="preserve"> if and only if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i/>
          <w:iCs/>
          <w:sz w:val="22"/>
          <w:szCs w:val="22"/>
        </w:rPr>
        <w:t xml:space="preserve"> for all </w:t>
      </w:r>
      <m:oMath>
        <m:r>
          <w:rPr>
            <w:rFonts w:ascii="Cambria Math" w:hAnsi="Cambria Math" w:cs="Times New Roman"/>
            <w:sz w:val="22"/>
            <w:szCs w:val="22"/>
          </w:rPr>
          <m:t>s</m:t>
        </m:r>
        <m:r>
          <m:rPr>
            <m:sty m:val="p"/>
          </m:rPr>
          <w:rPr>
            <w:rFonts w:ascii="Cambria Math" w:hAnsi="Cambria Math" w:cs="Times New Roman"/>
            <w:sz w:val="22"/>
            <w:szCs w:val="22"/>
          </w:rPr>
          <m:t>≤</m:t>
        </m:r>
        <m:r>
          <w:rPr>
            <w:rFonts w:ascii="Cambria Math" w:hAnsi="Cambria Math" w:cs="Times New Roman"/>
            <w:sz w:val="22"/>
            <w:szCs w:val="22"/>
          </w:rPr>
          <m:t>t</m:t>
        </m:r>
      </m:oMath>
      <w:r w:rsidRPr="001A556C">
        <w:rPr>
          <w:rFonts w:ascii="Times New Roman" w:hAnsi="Times New Roman" w:cs="Times New Roman"/>
          <w:i/>
          <w:iCs/>
          <w:sz w:val="22"/>
          <w:szCs w:val="22"/>
        </w:rPr>
        <w:t xml:space="preserve">, and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i/>
          <w:iCs/>
          <w:sz w:val="22"/>
          <w:szCs w:val="22"/>
        </w:rPr>
        <w:t xml:space="preserve"> only in the limit of maximal sustained stress.</w:t>
      </w:r>
    </w:p>
    <w:p w14:paraId="5A416E84" w14:textId="77777777" w:rsidR="00427A24" w:rsidRPr="001A556C" w:rsidRDefault="00F57E7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Each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by construction, and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is a convex combination, so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Unrolling the recursion,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nary>
          <m:naryPr>
            <m:chr m:val="∑"/>
            <m:limLoc m:val="undOvr"/>
            <m:ctrlPr>
              <w:rPr>
                <w:rFonts w:ascii="Cambria Math" w:hAnsi="Cambria Math" w:cs="Times New Roman"/>
                <w:sz w:val="22"/>
                <w:szCs w:val="22"/>
              </w:rPr>
            </m:ctrlPr>
          </m:naryPr>
          <m:sub>
            <m:r>
              <w:rPr>
                <w:rFonts w:ascii="Cambria Math" w:hAnsi="Cambria Math" w:cs="Times New Roman"/>
                <w:sz w:val="22"/>
                <w:szCs w:val="22"/>
              </w:rPr>
              <m:t>j</m:t>
            </m:r>
            <m:r>
              <m:rPr>
                <m:sty m:val="p"/>
              </m:rPr>
              <w:rPr>
                <w:rFonts w:ascii="Cambria Math" w:hAnsi="Cambria Math" w:cs="Times New Roman"/>
                <w:sz w:val="22"/>
                <w:szCs w:val="22"/>
              </w:rPr>
              <m:t>=</m:t>
            </m:r>
            <m:r>
              <w:rPr>
                <w:rFonts w:ascii="Cambria Math" w:hAnsi="Cambria Math" w:cs="Times New Roman"/>
                <w:sz w:val="22"/>
                <w:szCs w:val="22"/>
              </w:rPr>
              <m:t>0</m:t>
            </m:r>
          </m:sub>
          <m:sup>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r>
          <m:rPr>
            <m:sty m:val="p"/>
          </m:rP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ty m:val="p"/>
              </m:rPr>
              <w:rPr>
                <w:rFonts w:ascii="Cambria Math" w:hAnsi="Cambria Math" w:cs="Times New Roman"/>
                <w:sz w:val="22"/>
                <w:szCs w:val="22"/>
              </w:rPr>
              <m:t>≥</m:t>
            </m:r>
            <m:r>
              <w:rPr>
                <w:rFonts w:ascii="Cambria Math" w:hAnsi="Cambria Math" w:cs="Times New Roman"/>
                <w:sz w:val="22"/>
                <w:szCs w:val="22"/>
              </w:rPr>
              <m:t>0</m:t>
            </m:r>
          </m:sub>
          <m:sup>
            <m:r>
              <w:rPr>
                <w:rFonts w:ascii="Cambria Math" w:hAnsi="Cambria Math" w:cs="Times New Roman"/>
                <w:sz w:val="22"/>
                <w:szCs w:val="22"/>
              </w:rPr>
              <m:t>​</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oMath>
      <w:r w:rsidRPr="001A556C">
        <w:rPr>
          <w:rFonts w:ascii="Times New Roman" w:hAnsi="Times New Roman" w:cs="Times New Roman"/>
          <w:sz w:val="22"/>
          <w:szCs w:val="22"/>
        </w:rPr>
        <w:t xml:space="preserve">, and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termwise. The map </w:t>
      </w:r>
      <m:oMath>
        <m:r>
          <w:rPr>
            <w:rFonts w:ascii="Cambria Math" w:hAnsi="Cambria Math" w:cs="Times New Roman"/>
            <w:sz w:val="22"/>
            <w:szCs w:val="22"/>
          </w:rPr>
          <m:t>x</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λx</m:t>
                </m:r>
              </m:sup>
            </m:sSup>
          </m:e>
        </m:d>
        <m:r>
          <m:rPr>
            <m:sty m:val="p"/>
          </m:rPr>
          <w:rPr>
            <w:rFonts w:ascii="Cambria Math" w:hAnsi="Cambria Math" w:cs="Times New Roman"/>
            <w:sz w:val="22"/>
            <w:szCs w:val="22"/>
          </w:rPr>
          <m:t>/</m:t>
        </m:r>
        <m:r>
          <w:rPr>
            <w:rFonts w:ascii="Cambria Math" w:hAnsi="Cambria Math" w:cs="Times New Roman"/>
            <w:sz w:val="22"/>
            <w:szCs w:val="22"/>
          </w:rPr>
          <m:t>Z</m:t>
        </m:r>
      </m:oMath>
      <w:r w:rsidRPr="001A556C">
        <w:rPr>
          <w:rFonts w:ascii="Times New Roman" w:hAnsi="Times New Roman" w:cs="Times New Roman"/>
          <w:sz w:val="22"/>
          <w:szCs w:val="22"/>
        </w:rPr>
        <w:t xml:space="preserve"> with </w:t>
      </w:r>
      <m:oMath>
        <m:r>
          <w:rPr>
            <w:rFonts w:ascii="Cambria Math" w:hAnsi="Cambria Math" w:cs="Times New Roman"/>
            <w:sz w:val="22"/>
            <w:szCs w:val="22"/>
          </w:rPr>
          <m:t>Z</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sup>
        </m:sSup>
      </m:oMath>
      <w:r w:rsidRPr="001A556C">
        <w:rPr>
          <w:rFonts w:ascii="Times New Roman" w:hAnsi="Times New Roman" w:cs="Times New Roman"/>
          <w:sz w:val="22"/>
          <w:szCs w:val="22"/>
        </w:rPr>
        <w:t xml:space="preserve"> is strictly increasing, vanishes at </w:t>
      </w:r>
      <m:oMath>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and equals 1 at </w:t>
      </w:r>
      <m:oMath>
        <m:r>
          <w:rPr>
            <w:rFonts w:ascii="Cambria Math" w:hAnsi="Cambria Math" w:cs="Times New Roman"/>
            <w:sz w:val="22"/>
            <w:szCs w:val="22"/>
          </w:rPr>
          <m:t>x</m:t>
        </m:r>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oMath>
      <w:r w:rsidRPr="001A556C">
        <w:rPr>
          <w:rFonts w:ascii="Times New Roman" w:hAnsi="Times New Roman" w:cs="Times New Roman"/>
          <w:sz w:val="22"/>
          <w:szCs w:val="22"/>
        </w:rPr>
        <w:t xml:space="preserve">. Composition gives the claim;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forces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hence every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w:t>
      </w:r>
      <m:oMath>
        <m:r>
          <m:rPr>
            <m:sty m:val="p"/>
          </m:rPr>
          <w:rPr>
            <w:rFonts w:ascii="Cambria Math" w:hAnsi="Cambria Math" w:cs="Times New Roman"/>
            <w:sz w:val="22"/>
            <w:szCs w:val="22"/>
          </w:rPr>
          <m:t>▫</m:t>
        </m:r>
      </m:oMath>
    </w:p>
    <w:p w14:paraId="1B3999D1" w14:textId="77777777" w:rsidR="00427A24" w:rsidRPr="001A556C" w:rsidRDefault="00F57E7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2 (Monotonicity and Lipschitz continuity)</w:t>
      </w:r>
      <w:r w:rsidR="000A1E46"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oMath>
      <w:r w:rsidRPr="001A556C">
        <w:rPr>
          <w:rFonts w:ascii="Times New Roman" w:hAnsi="Times New Roman" w:cs="Times New Roman"/>
          <w:i/>
          <w:iCs/>
          <w:sz w:val="22"/>
          <w:szCs w:val="22"/>
        </w:rPr>
        <w:t xml:space="preserve"> is nondecreasing in each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s</m:t>
            </m:r>
          </m:sub>
        </m:sSub>
      </m:oMath>
      <w:r w:rsidRPr="001A556C">
        <w:rPr>
          <w:rFonts w:ascii="Times New Roman" w:hAnsi="Times New Roman" w:cs="Times New Roman"/>
          <w:i/>
          <w:iCs/>
          <w:sz w:val="22"/>
          <w:szCs w:val="22"/>
        </w:rPr>
        <w:t xml:space="preserve"> for </w:t>
      </w:r>
      <m:oMath>
        <m:r>
          <w:rPr>
            <w:rFonts w:ascii="Cambria Math" w:hAnsi="Cambria Math" w:cs="Times New Roman"/>
            <w:sz w:val="22"/>
            <w:szCs w:val="22"/>
          </w:rPr>
          <m:t>s</m:t>
        </m:r>
        <m:r>
          <m:rPr>
            <m:sty m:val="p"/>
          </m:rPr>
          <w:rPr>
            <w:rFonts w:ascii="Cambria Math" w:hAnsi="Cambria Math" w:cs="Times New Roman"/>
            <w:sz w:val="22"/>
            <w:szCs w:val="22"/>
          </w:rPr>
          <m:t>≤</m:t>
        </m:r>
        <m:r>
          <w:rPr>
            <w:rFonts w:ascii="Cambria Math" w:hAnsi="Cambria Math" w:cs="Times New Roman"/>
            <w:sz w:val="22"/>
            <w:szCs w:val="22"/>
          </w:rPr>
          <m:t>t</m:t>
        </m:r>
      </m:oMath>
      <w:r w:rsidRPr="001A556C">
        <w:rPr>
          <w:rFonts w:ascii="Times New Roman" w:hAnsi="Times New Roman" w:cs="Times New Roman"/>
          <w:i/>
          <w:iCs/>
          <w:sz w:val="22"/>
          <w:szCs w:val="22"/>
        </w:rPr>
        <w:t xml:space="preserve">. Moreover, for two signal paths </w:t>
      </w:r>
      <m:oMath>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r>
          <m:rPr>
            <m:sty m:val="p"/>
          </m:rPr>
          <w:rPr>
            <w:rFonts w:ascii="Cambria Math" w:hAnsi="Cambria Math" w:cs="Times New Roman"/>
            <w:sz w:val="22"/>
            <w:szCs w:val="22"/>
          </w:rPr>
          <m:t>}</m:t>
        </m:r>
      </m:oMath>
      <w:r w:rsidRPr="001A556C">
        <w:rPr>
          <w:rFonts w:ascii="Times New Roman" w:hAnsi="Times New Roman" w:cs="Times New Roman"/>
          <w:i/>
          <w:iCs/>
          <w:sz w:val="22"/>
          <w:szCs w:val="22"/>
        </w:rPr>
        <w:t>,</w:t>
      </w:r>
    </w:p>
    <w:p w14:paraId="0BCEB4EE" w14:textId="77777777" w:rsidR="00427A24" w:rsidRPr="001A556C" w:rsidRDefault="00000000" w:rsidP="000A1E46">
      <w:pPr>
        <w:pStyle w:val="BodyText"/>
        <w:spacing w:line="360" w:lineRule="auto"/>
        <w:jc w:val="both"/>
        <w:rPr>
          <w:rFonts w:ascii="Times New Roman" w:hAnsi="Times New Roman" w:cs="Times New Roman"/>
          <w:sz w:val="22"/>
          <w:szCs w:val="22"/>
        </w:rPr>
      </w:pPr>
      <m:oMathPara>
        <m:oMathParaPr>
          <m:jc m:val="center"/>
        </m:oMathParaP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-MAI</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t</m:t>
                  </m:r>
                </m:sub>
              </m:sSub>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r>
                <w:rPr>
                  <w:rFonts w:ascii="Cambria Math" w:hAnsi="Cambria Math" w:cs="Times New Roman"/>
                  <w:sz w:val="22"/>
                  <w:szCs w:val="22"/>
                </w:rPr>
                <m:t>λ</m:t>
              </m:r>
            </m:num>
            <m:den>
              <m:r>
                <w:rPr>
                  <w:rFonts w:ascii="Cambria Math" w:hAnsi="Cambria Math" w:cs="Times New Roman"/>
                  <w:sz w:val="22"/>
                  <w:szCs w:val="22"/>
                </w:rPr>
                <m:t>Z</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den>
          </m:f>
          <m:limLow>
            <m:limLowPr>
              <m:ctrlPr>
                <w:rPr>
                  <w:rFonts w:ascii="Cambria Math" w:hAnsi="Cambria Math" w:cs="Times New Roman"/>
                  <w:sz w:val="22"/>
                  <w:szCs w:val="22"/>
                </w:rPr>
              </m:ctrlPr>
            </m:limLowPr>
            <m:e>
              <m:r>
                <m:rPr>
                  <m:sty m:val="p"/>
                </m:rPr>
                <w:rPr>
                  <w:rFonts w:ascii="Cambria Math" w:hAnsi="Cambria Math" w:cs="Times New Roman"/>
                  <w:sz w:val="22"/>
                  <w:szCs w:val="22"/>
                </w:rPr>
                <m:t>max</m:t>
              </m:r>
            </m:e>
            <m:lim>
              <m:r>
                <w:rPr>
                  <w:rFonts w:ascii="Cambria Math" w:hAnsi="Cambria Math" w:cs="Times New Roman"/>
                  <w:sz w:val="22"/>
                  <w:szCs w:val="22"/>
                </w:rPr>
                <m:t>s</m:t>
              </m:r>
              <m:r>
                <m:rPr>
                  <m:sty m:val="p"/>
                </m:rPr>
                <w:rPr>
                  <w:rFonts w:ascii="Cambria Math" w:hAnsi="Cambria Math" w:cs="Times New Roman"/>
                  <w:sz w:val="22"/>
                  <w:szCs w:val="22"/>
                </w:rPr>
                <m:t>≤</m:t>
              </m:r>
              <m:r>
                <w:rPr>
                  <w:rFonts w:ascii="Cambria Math" w:hAnsi="Cambria Math" w:cs="Times New Roman"/>
                  <w:sz w:val="22"/>
                  <w:szCs w:val="22"/>
                </w:rPr>
                <m:t>t</m:t>
              </m:r>
            </m:lim>
          </m:limLow>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e>
          </m:d>
          <m:r>
            <m:rPr>
              <m:sty m:val="p"/>
            </m:rPr>
            <w:rPr>
              <w:rFonts w:ascii="Cambria Math" w:hAnsi="Cambria Math" w:cs="Times New Roman"/>
              <w:sz w:val="22"/>
              <w:szCs w:val="22"/>
            </w:rPr>
            <m:t>.</m:t>
          </m:r>
        </m:oMath>
      </m:oMathPara>
    </w:p>
    <w:p w14:paraId="13FFC550" w14:textId="77777777" w:rsidR="00427A24" w:rsidRPr="001A556C" w:rsidRDefault="00F57E7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Monotonicity is immediate from </w:t>
      </w:r>
      <m:oMath>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s</m:t>
            </m:r>
          </m:sup>
        </m:sSup>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and the strict monotonicity of the link. For the Lipschitz bound, </w:t>
      </w: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A</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t</m:t>
                </m:r>
              </m:sub>
            </m:sSub>
          </m:e>
        </m:d>
        <m:r>
          <m:rPr>
            <m:sty m:val="p"/>
          </m:rP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ty m:val="p"/>
              </m:rPr>
              <w:rPr>
                <w:rFonts w:ascii="Cambria Math" w:hAnsi="Cambria Math" w:cs="Times New Roman"/>
                <w:sz w:val="22"/>
                <w:szCs w:val="22"/>
              </w:rPr>
              <m:t>≥</m:t>
            </m:r>
            <m:r>
              <w:rPr>
                <w:rFonts w:ascii="Cambria Math" w:hAnsi="Cambria Math" w:cs="Times New Roman"/>
                <w:sz w:val="22"/>
                <w:szCs w:val="22"/>
              </w:rPr>
              <m:t>0</m:t>
            </m:r>
          </m:sub>
          <m:sup>
            <m:r>
              <w:rPr>
                <w:rFonts w:ascii="Cambria Math" w:hAnsi="Cambria Math" w:cs="Times New Roman"/>
                <w:sz w:val="22"/>
                <w:szCs w:val="22"/>
              </w:rPr>
              <m:t>​</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sSub>
          <m:sSubPr>
            <m:ctrlPr>
              <w:rPr>
                <w:rFonts w:ascii="Cambria Math" w:hAnsi="Cambria Math" w:cs="Times New Roman"/>
                <w:sz w:val="22"/>
                <w:szCs w:val="22"/>
              </w:rPr>
            </m:ctrlPr>
          </m:sSubPr>
          <m:e>
            <m:r>
              <m:rPr>
                <m:sty m:val="p"/>
              </m:rPr>
              <w:rPr>
                <w:rFonts w:ascii="Cambria Math" w:hAnsi="Cambria Math" w:cs="Times New Roman"/>
                <w:sz w:val="22"/>
                <w:szCs w:val="22"/>
              </w:rPr>
              <m:t>max</m:t>
            </m:r>
          </m:e>
          <m:sub>
            <m:r>
              <w:rPr>
                <w:rFonts w:ascii="Cambria Math" w:hAnsi="Cambria Math" w:cs="Times New Roman"/>
                <w:sz w:val="22"/>
                <w:szCs w:val="22"/>
              </w:rPr>
              <m:t>s</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e>
        </m:d>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sSub>
          <m:sSubPr>
            <m:ctrlPr>
              <w:rPr>
                <w:rFonts w:ascii="Cambria Math" w:hAnsi="Cambria Math" w:cs="Times New Roman"/>
                <w:sz w:val="22"/>
                <w:szCs w:val="22"/>
              </w:rPr>
            </m:ctrlPr>
          </m:sSubPr>
          <m:e>
            <m:r>
              <m:rPr>
                <m:sty m:val="p"/>
              </m:rPr>
              <w:rPr>
                <w:rFonts w:ascii="Cambria Math" w:hAnsi="Cambria Math" w:cs="Times New Roman"/>
                <w:sz w:val="22"/>
                <w:szCs w:val="22"/>
              </w:rPr>
              <m:t>max</m:t>
            </m:r>
          </m:e>
          <m:sub>
            <m:r>
              <w:rPr>
                <w:rFonts w:ascii="Cambria Math" w:hAnsi="Cambria Math" w:cs="Times New Roman"/>
                <w:sz w:val="22"/>
                <w:szCs w:val="22"/>
              </w:rPr>
              <m:t>s</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e>
        </m:d>
      </m:oMath>
      <w:r w:rsidRPr="001A556C">
        <w:rPr>
          <w:rFonts w:ascii="Times New Roman" w:hAnsi="Times New Roman" w:cs="Times New Roman"/>
          <w:sz w:val="22"/>
          <w:szCs w:val="22"/>
        </w:rPr>
        <w:t xml:space="preserve">, and the link has derivative </w:t>
      </w:r>
      <m:oMath>
        <m:r>
          <w:rPr>
            <w:rFonts w:ascii="Cambria Math" w:hAnsi="Cambria Math" w:cs="Times New Roman"/>
            <w:sz w:val="22"/>
            <w:szCs w:val="22"/>
          </w:rPr>
          <m:t>λ</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λx</m:t>
            </m:r>
          </m:sup>
        </m:sSup>
        <m:r>
          <m:rPr>
            <m:sty m:val="p"/>
          </m:rPr>
          <w:rPr>
            <w:rFonts w:ascii="Cambria Math" w:hAnsi="Cambria Math" w:cs="Times New Roman"/>
            <w:sz w:val="22"/>
            <w:szCs w:val="22"/>
          </w:rPr>
          <m:t>/</m:t>
        </m:r>
        <m:r>
          <w:rPr>
            <w:rFonts w:ascii="Cambria Math" w:hAnsi="Cambria Math" w:cs="Times New Roman"/>
            <w:sz w:val="22"/>
            <w:szCs w:val="22"/>
          </w:rPr>
          <m:t>Z</m:t>
        </m:r>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Z</m:t>
        </m:r>
      </m:oMath>
      <w:r w:rsidRPr="001A556C">
        <w:rPr>
          <w:rFonts w:ascii="Times New Roman" w:hAnsi="Times New Roman" w:cs="Times New Roman"/>
          <w:sz w:val="22"/>
          <w:szCs w:val="22"/>
        </w:rPr>
        <w:t xml:space="preserve">. </w:t>
      </w:r>
    </w:p>
    <w:p w14:paraId="5641400A" w14:textId="77777777" w:rsidR="00427A24" w:rsidRPr="001A556C" w:rsidRDefault="00F57E7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Proposition 2 is the guarantee that matters operationally: a bounded perturbation of the monitoring </w:t>
      </w:r>
      <w:r w:rsidRPr="001A556C">
        <w:rPr>
          <w:rFonts w:ascii="Times New Roman" w:hAnsi="Times New Roman" w:cs="Times New Roman"/>
          <w:sz w:val="22"/>
          <w:szCs w:val="22"/>
          <w:highlight w:val="yellow"/>
        </w:rPr>
        <w:t xml:space="preserve">statistics arising from sampling noise, a transient batch, or a partially corrupted </w:t>
      </w:r>
      <w:r w:rsidR="000A1E46" w:rsidRPr="001A556C">
        <w:rPr>
          <w:rFonts w:ascii="Times New Roman" w:hAnsi="Times New Roman" w:cs="Times New Roman"/>
          <w:sz w:val="22"/>
          <w:szCs w:val="22"/>
        </w:rPr>
        <w:t>feed produces</w:t>
      </w:r>
      <w:r w:rsidRPr="001A556C">
        <w:rPr>
          <w:rFonts w:ascii="Times New Roman" w:hAnsi="Times New Roman" w:cs="Times New Roman"/>
          <w:sz w:val="22"/>
          <w:szCs w:val="22"/>
        </w:rPr>
        <w:t xml:space="preserve"> a bounded change in the retraining decision variable. Discontinuous triggers do not have this property.</w:t>
      </w:r>
    </w:p>
    <w:p w14:paraId="20429F65" w14:textId="77777777" w:rsidR="00427A24" w:rsidRPr="001A556C" w:rsidRDefault="00F57E7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lastRenderedPageBreak/>
        <w:t>Proposition 3 (Stationary exceedance bound and threshold selection)</w:t>
      </w:r>
      <w:r w:rsidR="000A1E46" w:rsidRPr="001A556C">
        <w:rPr>
          <w:rFonts w:ascii="Times New Roman" w:hAnsi="Times New Roman" w:cs="Times New Roman"/>
          <w:b/>
          <w:bCs/>
          <w:sz w:val="22"/>
          <w:szCs w:val="22"/>
        </w:rPr>
        <w:t xml:space="preserve">: </w:t>
      </w:r>
      <w:r w:rsidRPr="001A556C">
        <w:rPr>
          <w:rFonts w:ascii="Times New Roman" w:hAnsi="Times New Roman" w:cs="Times New Roman"/>
          <w:i/>
          <w:iCs/>
          <w:sz w:val="22"/>
          <w:szCs w:val="22"/>
        </w:rPr>
        <w:t xml:space="preserve">Suppose the stream is stationary,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P</m:t>
        </m:r>
      </m:oMath>
      <w:r w:rsidRPr="001A556C">
        <w:rPr>
          <w:rFonts w:ascii="Times New Roman" w:hAnsi="Times New Roman" w:cs="Times New Roman"/>
          <w:i/>
          <w:iCs/>
          <w:sz w:val="22"/>
          <w:szCs w:val="22"/>
        </w:rPr>
        <w:t xml:space="preserve">, and calibration ensures </w:t>
      </w:r>
      <m:oMath>
        <m:r>
          <m:rPr>
            <m:sty m:val="p"/>
          </m:rPr>
          <w:rPr>
            <w:rFonts w:ascii="Cambria Math" w:hAnsi="Cambria Math" w:cs="Times New Roman"/>
            <w:sz w:val="22"/>
            <w:szCs w:val="22"/>
          </w:rPr>
          <m:t>Pr</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&gt;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i/>
          <w:iCs/>
          <w:sz w:val="22"/>
          <w:szCs w:val="22"/>
        </w:rPr>
        <w:t xml:space="preserve"> for each </w:t>
      </w:r>
      <m:oMath>
        <m:r>
          <w:rPr>
            <w:rFonts w:ascii="Cambria Math" w:hAnsi="Cambria Math" w:cs="Times New Roman"/>
            <w:sz w:val="22"/>
            <w:szCs w:val="22"/>
          </w:rPr>
          <m:t>k</m:t>
        </m:r>
      </m:oMath>
      <w:r w:rsidRPr="001A556C">
        <w:rPr>
          <w:rFonts w:ascii="Times New Roman" w:hAnsi="Times New Roman" w:cs="Times New Roman"/>
          <w:i/>
          <w:iCs/>
          <w:sz w:val="22"/>
          <w:szCs w:val="22"/>
        </w:rPr>
        <w:t xml:space="preserve">. Then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i/>
          <w:iCs/>
          <w:sz w:val="22"/>
          <w:szCs w:val="22"/>
        </w:rPr>
        <w:t xml:space="preserve">,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α</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oMath>
      <w:r w:rsidRPr="001A556C">
        <w:rPr>
          <w:rFonts w:ascii="Times New Roman" w:hAnsi="Times New Roman" w:cs="Times New Roman"/>
          <w:i/>
          <w:iCs/>
          <w:sz w:val="22"/>
          <w:szCs w:val="22"/>
        </w:rPr>
        <w:t xml:space="preserve">, and for any </w:t>
      </w:r>
      <m:oMath>
        <m:r>
          <w:rPr>
            <w:rFonts w:ascii="Cambria Math" w:hAnsi="Cambria Math" w:cs="Times New Roman"/>
            <w:sz w:val="22"/>
            <w:szCs w:val="22"/>
          </w:rPr>
          <m:t>η</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w:t>
      </w:r>
    </w:p>
    <w:p w14:paraId="36E99E6A" w14:textId="77777777" w:rsidR="00427A24" w:rsidRPr="001A556C" w:rsidRDefault="00F57E70" w:rsidP="000A1E46">
      <w:pPr>
        <w:pStyle w:val="BodyText"/>
        <w:spacing w:line="360" w:lineRule="auto"/>
        <w:jc w:val="both"/>
        <w:rPr>
          <w:rFonts w:ascii="Times New Roman" w:hAnsi="Times New Roman" w:cs="Times New Roman"/>
          <w:sz w:val="22"/>
          <w:szCs w:val="22"/>
        </w:rPr>
      </w:pPr>
      <m:oMathPara>
        <m:oMathParaPr>
          <m:jc m:val="center"/>
        </m:oMathParaPr>
        <m:oMath>
          <m:r>
            <m:rPr>
              <m:sty m:val="p"/>
            </m:rPr>
            <w:rPr>
              <w:rFonts w:ascii="Cambria Math" w:hAnsi="Cambria Math" w:cs="Times New Roman"/>
              <w:sz w:val="22"/>
              <w:szCs w:val="22"/>
            </w:rPr>
            <m:t>Pr</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η</m:t>
              </m:r>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r>
                <w:rPr>
                  <w:rFonts w:ascii="Cambria Math" w:hAnsi="Cambria Math" w:cs="Times New Roman"/>
                  <w:sz w:val="22"/>
                  <w:szCs w:val="22"/>
                </w:rPr>
                <m:t>α</m:t>
              </m:r>
            </m:num>
            <m:den>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r>
                <w:rPr>
                  <w:rFonts w:ascii="Cambria Math" w:hAnsi="Cambria Math" w:cs="Times New Roman"/>
                  <w:sz w:val="22"/>
                  <w:szCs w:val="22"/>
                </w:rPr>
                <m:t> a</m:t>
              </m:r>
              <m:d>
                <m:dPr>
                  <m:ctrlPr>
                    <w:rPr>
                      <w:rFonts w:ascii="Cambria Math" w:hAnsi="Cambria Math" w:cs="Times New Roman"/>
                      <w:sz w:val="22"/>
                      <w:szCs w:val="22"/>
                    </w:rPr>
                  </m:ctrlPr>
                </m:dPr>
                <m:e>
                  <m:r>
                    <w:rPr>
                      <w:rFonts w:ascii="Cambria Math" w:hAnsi="Cambria Math" w:cs="Times New Roman"/>
                      <w:sz w:val="22"/>
                      <w:szCs w:val="22"/>
                    </w:rPr>
                    <m:t>η</m:t>
                  </m:r>
                </m:e>
              </m:d>
            </m:den>
          </m:f>
          <m:r>
            <m:rPr>
              <m:sty m:val="p"/>
            </m:rPr>
            <w:rPr>
              <w:rFonts w:ascii="Cambria Math" w:hAnsi="Cambria Math" w:cs="Times New Roman"/>
              <w:sz w:val="22"/>
              <w:szCs w:val="22"/>
            </w:rPr>
            <m:t>,</m:t>
          </m:r>
          <m:r>
            <w:rPr>
              <w:rFonts w:ascii="Cambria Math" w:hAnsi="Cambria Math" w:cs="Times New Roman"/>
              <w:sz w:val="22"/>
              <w:szCs w:val="22"/>
            </w:rPr>
            <m:t>  a</m:t>
          </m:r>
          <m:d>
            <m:dPr>
              <m:ctrlPr>
                <w:rPr>
                  <w:rFonts w:ascii="Cambria Math" w:hAnsi="Cambria Math" w:cs="Times New Roman"/>
                  <w:sz w:val="22"/>
                  <w:szCs w:val="22"/>
                </w:rPr>
              </m:ctrlPr>
            </m:dPr>
            <m:e>
              <m:r>
                <w:rPr>
                  <w:rFonts w:ascii="Cambria Math" w:hAnsi="Cambria Math" w:cs="Times New Roman"/>
                  <w:sz w:val="22"/>
                  <w:szCs w:val="22"/>
                </w:rPr>
                <m:t>η</m:t>
              </m:r>
            </m:e>
          </m:d>
          <m:r>
            <m:rPr>
              <m:sty m:val="p"/>
            </m:rPr>
            <w:rPr>
              <w:rFonts w:ascii="Cambria Math" w:hAns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λ</m:t>
              </m:r>
            </m:den>
          </m:f>
          <m:r>
            <m:rPr>
              <m:sty m:val="p"/>
            </m:rPr>
            <w:rPr>
              <w:rFonts w:ascii="Cambria Math" w:hAnsi="Cambria Math" w:cs="Times New Roman"/>
              <w:sz w:val="22"/>
              <w:szCs w:val="22"/>
            </w:rPr>
            <m:t>ln</m:t>
          </m:r>
          <m: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ηZ</m:t>
              </m:r>
            </m:e>
          </m:d>
          <m:r>
            <m:rPr>
              <m:sty m:val="p"/>
            </m:rPr>
            <w:rPr>
              <w:rFonts w:ascii="Cambria Math" w:hAnsi="Cambria Math" w:cs="Times New Roman"/>
              <w:sz w:val="22"/>
              <w:szCs w:val="22"/>
            </w:rPr>
            <m:t>.</m:t>
          </m:r>
        </m:oMath>
      </m:oMathPara>
    </w:p>
    <w:p w14:paraId="3B6F0F3E" w14:textId="77777777" w:rsidR="00427A24" w:rsidRPr="001A556C" w:rsidRDefault="00F57E7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Since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and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whenever </w:t>
      </w:r>
      <m:oMath>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oMath>
      <w:r w:rsidRPr="001A556C">
        <w:rPr>
          <w:rFonts w:ascii="Times New Roman" w:hAnsi="Times New Roman" w:cs="Times New Roman"/>
          <w:sz w:val="22"/>
          <w:szCs w:val="22"/>
        </w:rPr>
        <w:t xml:space="preserve">, we have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e>
        </m:d>
        <m:r>
          <m:rPr>
            <m:sty m:val="p"/>
          </m:rPr>
          <w:rPr>
            <w:rFonts w:ascii="Cambria Math" w:hAnsi="Cambria Math" w:cs="Times New Roman"/>
            <w:sz w:val="22"/>
            <w:szCs w:val="22"/>
          </w:rPr>
          <m:t>≤Pr</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&gt;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sz w:val="22"/>
          <w:szCs w:val="22"/>
        </w:rPr>
        <w:t xml:space="preserve">; convexity of the weights gives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sz w:val="22"/>
          <w:szCs w:val="22"/>
        </w:rPr>
        <w:t xml:space="preserve">, and linearity of the recursion with </w:t>
      </w:r>
      <m:oMath>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sub>
          <m:sup>
            <m:r>
              <w:rPr>
                <w:rFonts w:ascii="Cambria Math" w:hAnsi="Cambria Math" w:cs="Times New Roman"/>
                <w:sz w:val="22"/>
                <w:szCs w:val="22"/>
              </w:rPr>
              <m:t>​</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oMath>
      <w:r w:rsidRPr="001A556C">
        <w:rPr>
          <w:rFonts w:ascii="Times New Roman" w:hAnsi="Times New Roman" w:cs="Times New Roman"/>
          <w:sz w:val="22"/>
          <w:szCs w:val="22"/>
        </w:rPr>
        <w:t xml:space="preserve"> gives the bound on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The link is invertible, so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η</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a</m:t>
        </m:r>
        <m:d>
          <m:dPr>
            <m:ctrlPr>
              <w:rPr>
                <w:rFonts w:ascii="Cambria Math" w:hAnsi="Cambria Math" w:cs="Times New Roman"/>
                <w:sz w:val="22"/>
                <w:szCs w:val="22"/>
              </w:rPr>
            </m:ctrlPr>
          </m:dPr>
          <m:e>
            <m:r>
              <w:rPr>
                <w:rFonts w:ascii="Cambria Math" w:hAnsi="Cambria Math" w:cs="Times New Roman"/>
                <w:sz w:val="22"/>
                <w:szCs w:val="22"/>
              </w:rPr>
              <m:t>η</m:t>
            </m:r>
          </m:e>
        </m:d>
      </m:oMath>
      <w:r w:rsidRPr="001A556C">
        <w:rPr>
          <w:rFonts w:ascii="Times New Roman" w:hAnsi="Times New Roman" w:cs="Times New Roman"/>
          <w:sz w:val="22"/>
          <w:szCs w:val="22"/>
        </w:rPr>
        <w:t xml:space="preserve">, and Markov’s inequality applied to the nonnegative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completes the argument. </w:t>
      </w:r>
      <m:oMath>
        <m:r>
          <m:rPr>
            <m:sty m:val="p"/>
          </m:rPr>
          <w:rPr>
            <w:rFonts w:ascii="Cambria Math" w:hAnsi="Cambria Math" w:cs="Times New Roman"/>
            <w:sz w:val="22"/>
            <w:szCs w:val="22"/>
          </w:rPr>
          <m:t>▫</m:t>
        </m:r>
      </m:oMath>
    </w:p>
    <w:p w14:paraId="2EA882FC" w14:textId="77777777" w:rsidR="00427A24" w:rsidRPr="001A556C" w:rsidRDefault="00F57E7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Proposition 3 converts a target false-alarm rate into a threshold without simulation. At our operating point (</w:t>
      </w:r>
      <m:oMath>
        <m:r>
          <w:rPr>
            <w:rFonts w:ascii="Cambria Math" w:hAnsi="Cambria Math" w:cs="Times New Roman"/>
            <w:sz w:val="22"/>
            <w:szCs w:val="22"/>
          </w:rPr>
          <m:t>α</m:t>
        </m:r>
        <m:r>
          <m:rPr>
            <m:sty m:val="p"/>
          </m:rPr>
          <w:rPr>
            <w:rFonts w:ascii="Cambria Math" w:hAnsi="Cambria Math" w:cs="Times New Roman"/>
            <w:sz w:val="22"/>
            <w:szCs w:val="22"/>
          </w:rPr>
          <m:t>=</m:t>
        </m:r>
        <m:r>
          <w:rPr>
            <w:rFonts w:ascii="Cambria Math" w:hAnsi="Cambria Math" w:cs="Times New Roman"/>
            <w:sz w:val="22"/>
            <w:szCs w:val="22"/>
          </w:rPr>
          <m:t>0.01</m:t>
        </m:r>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0.85</m:t>
        </m:r>
      </m:oMath>
      <w:r w:rsidRPr="001A556C">
        <w:rPr>
          <w:rFonts w:ascii="Times New Roman" w:hAnsi="Times New Roman" w:cs="Times New Roman"/>
          <w:sz w:val="22"/>
          <w:szCs w:val="22"/>
        </w:rPr>
        <w:t xml:space="preserve">, </w:t>
      </w:r>
      <m:oMath>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0.35</m:t>
        </m:r>
      </m:oMath>
      <w:r w:rsidRPr="001A556C">
        <w:rPr>
          <w:rFonts w:ascii="Times New Roman" w:hAnsi="Times New Roman" w:cs="Times New Roman"/>
          <w:sz w:val="22"/>
          <w:szCs w:val="22"/>
        </w:rPr>
        <w:t xml:space="preserve">, </w:t>
      </w:r>
      <m:oMath>
        <m:r>
          <w:rPr>
            <w:rFonts w:ascii="Cambria Math" w:hAnsi="Cambria Math" w:cs="Times New Roman"/>
            <w:sz w:val="22"/>
            <w:szCs w:val="22"/>
          </w:rPr>
          <m:t>Z</m:t>
        </m:r>
        <m:r>
          <m:rPr>
            <m:sty m:val="p"/>
          </m:rPr>
          <w:rPr>
            <w:rFonts w:ascii="Cambria Math" w:hAnsi="Cambria Math" w:cs="Times New Roman"/>
            <w:sz w:val="22"/>
            <w:szCs w:val="22"/>
          </w:rPr>
          <m:t>=</m:t>
        </m:r>
        <m:r>
          <w:rPr>
            <w:rFonts w:ascii="Cambria Math" w:hAnsi="Cambria Math" w:cs="Times New Roman"/>
            <w:sz w:val="22"/>
            <w:szCs w:val="22"/>
          </w:rPr>
          <m:t>0.9030</m:t>
        </m:r>
      </m:oMath>
      <w:r w:rsidRPr="001A556C">
        <w:rPr>
          <w:rFonts w:ascii="Times New Roman" w:hAnsi="Times New Roman" w:cs="Times New Roman"/>
          <w:sz w:val="22"/>
          <w:szCs w:val="22"/>
        </w:rPr>
        <w:t xml:space="preserve">) a control limit of </w:t>
      </w:r>
      <m:oMath>
        <m:r>
          <w:rPr>
            <w:rFonts w:ascii="Cambria Math" w:hAnsi="Cambria Math" w:cs="Times New Roman"/>
            <w:sz w:val="22"/>
            <w:szCs w:val="22"/>
          </w:rPr>
          <m:t>η</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 xml:space="preserve"> certifies a stationary alarm probability of at most </w:t>
      </w:r>
      <m:oMath>
        <m:r>
          <w:rPr>
            <w:rFonts w:ascii="Cambria Math" w:hAnsi="Cambria Math" w:cs="Times New Roman"/>
            <w:sz w:val="22"/>
            <w:szCs w:val="22"/>
          </w:rPr>
          <m:t>3.9</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the empirical rate observed in Section 8.3 is </w:t>
      </w:r>
      <m:oMath>
        <m:r>
          <w:rPr>
            <w:rFonts w:ascii="Cambria Math" w:hAnsi="Cambria Math" w:cs="Times New Roman"/>
            <w:sz w:val="22"/>
            <w:szCs w:val="22"/>
          </w:rPr>
          <m:t>0.0</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so the bound is </w:t>
      </w:r>
      <w:r w:rsidRPr="001A556C">
        <w:rPr>
          <w:rFonts w:ascii="Times New Roman" w:hAnsi="Times New Roman" w:cs="Times New Roman"/>
          <w:sz w:val="22"/>
          <w:szCs w:val="22"/>
          <w:highlight w:val="yellow"/>
        </w:rPr>
        <w:t>conservative but valid, as expected</w:t>
      </w:r>
      <w:r w:rsidRPr="001A556C">
        <w:rPr>
          <w:rFonts w:ascii="Times New Roman" w:hAnsi="Times New Roman" w:cs="Times New Roman"/>
          <w:sz w:val="22"/>
          <w:szCs w:val="22"/>
        </w:rPr>
        <w:t>, since Markov’s inequality discards all distributional information beyond the mean.</w:t>
      </w:r>
    </w:p>
    <w:p w14:paraId="11B5BFA3" w14:textId="77777777" w:rsidR="00427A24" w:rsidRPr="001A556C" w:rsidRDefault="00F57E7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4 (Soundness of the transport channel)</w:t>
      </w:r>
      <w:r w:rsidR="003D5678"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Let </w:t>
      </w:r>
      <m:oMath>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m:rPr>
                <m:scr m:val="double-struck"/>
                <m:sty m:val="p"/>
              </m:rPr>
              <w:rPr>
                <w:rFonts w:ascii="Cambria Math" w:hAnsi="Cambria Math" w:cs="Times New Roman"/>
                <w:sz w:val="22"/>
                <w:szCs w:val="22"/>
              </w:rPr>
              <m:t>R</m:t>
            </m:r>
          </m:e>
          <m:sup>
            <m:r>
              <w:rPr>
                <w:rFonts w:ascii="Cambria Math" w:hAnsi="Cambria Math" w:cs="Times New Roman"/>
                <w:sz w:val="22"/>
                <w:szCs w:val="22"/>
              </w:rPr>
              <m:t>d</m:t>
            </m:r>
          </m:sup>
        </m:sSup>
        <m:r>
          <m:rPr>
            <m:scr m:val="double-struck"/>
            <m:sty m:val="p"/>
          </m:rPr>
          <w:rPr>
            <w:rFonts w:ascii="Cambria Math" w:hAnsi="Cambria Math" w:cs="Times New Roman"/>
            <w:sz w:val="22"/>
            <w:szCs w:val="22"/>
          </w:rPr>
          <m:t>→R</m:t>
        </m:r>
      </m:oMath>
      <w:r w:rsidRPr="001A556C">
        <w:rPr>
          <w:rFonts w:ascii="Times New Roman" w:hAnsi="Times New Roman" w:cs="Times New Roman"/>
          <w:i/>
          <w:iCs/>
          <w:sz w:val="22"/>
          <w:szCs w:val="22"/>
        </w:rPr>
        <w:t xml:space="preserve"> be coordinate projection. Then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i/>
          <w:iCs/>
          <w:sz w:val="22"/>
          <w:szCs w:val="22"/>
        </w:rPr>
        <w:t xml:space="preserve"> for every </w:t>
      </w:r>
      <m:oMath>
        <m:r>
          <w:rPr>
            <w:rFonts w:ascii="Cambria Math" w:hAnsi="Cambria Math" w:cs="Times New Roman"/>
            <w:sz w:val="22"/>
            <w:szCs w:val="22"/>
          </w:rPr>
          <m:t>j</m:t>
        </m:r>
      </m:oMath>
      <w:r w:rsidRPr="001A556C">
        <w:rPr>
          <w:rFonts w:ascii="Times New Roman" w:hAnsi="Times New Roman" w:cs="Times New Roman"/>
          <w:i/>
          <w:iCs/>
          <w:sz w:val="22"/>
          <w:szCs w:val="22"/>
        </w:rPr>
        <w:t>, and consequently</w:t>
      </w:r>
    </w:p>
    <w:p w14:paraId="04858BA3" w14:textId="77777777" w:rsidR="00427A24" w:rsidRPr="001A556C" w:rsidRDefault="00000000" w:rsidP="003D5678">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cr m:val="script"/>
                  <m:sty m:val="p"/>
                </m:rPr>
                <w:rPr>
                  <w:rFonts w:ascii="Cambria Math" w:hAnsi="Cambria Math" w:cs="Times New Roman"/>
                  <w:sz w:val="22"/>
                  <w:szCs w:val="22"/>
                </w:rPr>
                <m:t>∈J</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e>
          </m:nary>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r>
            <m:rPr>
              <m:sty m:val="p"/>
            </m:rPr>
            <w:rPr>
              <w:rFonts w:ascii="Cambria Math" w:hAnsi="Cambria Math" w:cs="Times New Roman"/>
              <w:sz w:val="22"/>
              <w:szCs w:val="22"/>
            </w:rPr>
            <m:t>.</m:t>
          </m:r>
        </m:oMath>
      </m:oMathPara>
    </w:p>
    <w:p w14:paraId="124AA144" w14:textId="77777777" w:rsidR="00427A24" w:rsidRPr="001A556C" w:rsidRDefault="00F57E70" w:rsidP="003D5678">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 xml:space="preserve">Hence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m:rPr>
            <m:sty m:val="p"/>
          </m:rPr>
          <w:rPr>
            <w:rFonts w:ascii="Cambria Math" w:hAnsi="Cambria Math" w:cs="Times New Roman"/>
            <w:sz w:val="22"/>
            <w:szCs w:val="22"/>
          </w:rPr>
          <m:t>&gt;</m:t>
        </m:r>
        <m:r>
          <w:rPr>
            <w:rFonts w:ascii="Cambria Math" w:hAnsi="Cambria Math" w:cs="Times New Roman"/>
            <w:sz w:val="22"/>
            <w:szCs w:val="22"/>
          </w:rPr>
          <m:t>δ</m:t>
        </m:r>
      </m:oMath>
      <w:r w:rsidRPr="001A556C">
        <w:rPr>
          <w:rFonts w:ascii="Times New Roman" w:hAnsi="Times New Roman" w:cs="Times New Roman"/>
          <w:i/>
          <w:iCs/>
          <w:sz w:val="22"/>
          <w:szCs w:val="22"/>
        </w:rPr>
        <w:t xml:space="preserve"> certifies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r>
          <m:rPr>
            <m:sty m:val="p"/>
          </m:rPr>
          <w:rPr>
            <w:rFonts w:ascii="Cambria Math" w:hAnsi="Cambria Math" w:cs="Times New Roman"/>
            <w:sz w:val="22"/>
            <w:szCs w:val="22"/>
          </w:rPr>
          <m:t>&gt;</m:t>
        </m:r>
        <m:r>
          <w:rPr>
            <w:rFonts w:ascii="Cambria Math" w:hAnsi="Cambria Math" w:cs="Times New Roman"/>
            <w:sz w:val="22"/>
            <w:szCs w:val="22"/>
          </w:rPr>
          <m:t>δ</m:t>
        </m:r>
      </m:oMath>
      <w:r w:rsidRPr="001A556C">
        <w:rPr>
          <w:rFonts w:ascii="Times New Roman" w:hAnsi="Times New Roman" w:cs="Times New Roman"/>
          <w:i/>
          <w:iCs/>
          <w:sz w:val="22"/>
          <w:szCs w:val="22"/>
        </w:rPr>
        <w:t xml:space="preserve"> and therefore </w:t>
      </w:r>
      <m:oMath>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oMath>
      <w:r w:rsidRPr="001A556C">
        <w:rPr>
          <w:rFonts w:ascii="Times New Roman" w:hAnsi="Times New Roman" w:cs="Times New Roman"/>
          <w:i/>
          <w:iCs/>
          <w:sz w:val="22"/>
          <w:szCs w:val="22"/>
        </w:rPr>
        <w:t xml:space="preserve">. If in addition the composed loss </w:t>
      </w:r>
      <m:oMath>
        <m:r>
          <w:rPr>
            <w:rFonts w:ascii="Cambria Math" w:hAnsi="Cambria Math" w:cs="Times New Roman"/>
            <w:sz w:val="22"/>
            <w:szCs w:val="22"/>
          </w:rPr>
          <m:t>x</m:t>
        </m:r>
        <m:r>
          <m:rPr>
            <m:scr m:val="script"/>
            <m:sty m:val="p"/>
          </m:rPr>
          <w:rPr>
            <w:rFonts w:ascii="Cambria Math" w:hAnsi="Cambria Math" w:cs="Times New Roman"/>
            <w:sz w:val="22"/>
            <w:szCs w:val="22"/>
          </w:rPr>
          <m:t>↦l</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y</m:t>
            </m:r>
          </m:e>
        </m:d>
      </m:oMath>
      <w:r w:rsidRPr="001A556C">
        <w:rPr>
          <w:rFonts w:ascii="Times New Roman" w:hAnsi="Times New Roman" w:cs="Times New Roman"/>
          <w:i/>
          <w:iCs/>
          <w:sz w:val="22"/>
          <w:szCs w:val="22"/>
        </w:rPr>
        <w:t xml:space="preserve"> is </w:t>
      </w:r>
      <m:oMath>
        <m:r>
          <w:rPr>
            <w:rFonts w:ascii="Cambria Math" w:hAnsi="Cambria Math" w:cs="Times New Roman"/>
            <w:sz w:val="22"/>
            <w:szCs w:val="22"/>
          </w:rPr>
          <m:t>L</m:t>
        </m:r>
      </m:oMath>
      <w:r w:rsidRPr="001A556C">
        <w:rPr>
          <w:rFonts w:ascii="Times New Roman" w:hAnsi="Times New Roman" w:cs="Times New Roman"/>
          <w:i/>
          <w:iCs/>
          <w:sz w:val="22"/>
          <w:szCs w:val="22"/>
        </w:rPr>
        <w:t xml:space="preserve">-Lipschitz, then </w:t>
      </w: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R</m:t>
                </m:r>
              </m:e>
              <m:sub>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R</m:t>
                </m:r>
              </m:e>
              <m:sub>
                <m:r>
                  <w:rPr>
                    <w:rFonts w:ascii="Cambria Math" w:hAnsi="Cambria Math" w:cs="Times New Roman"/>
                    <w:sz w:val="22"/>
                    <w:szCs w:val="22"/>
                  </w:rPr>
                  <m:t>P</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e>
        </m:d>
        <m:r>
          <m:rPr>
            <m:sty m:val="p"/>
          </m:rPr>
          <w:rPr>
            <w:rFonts w:ascii="Cambria Math" w:hAnsi="Cambria Math" w:cs="Times New Roman"/>
            <w:sz w:val="22"/>
            <w:szCs w:val="22"/>
          </w:rPr>
          <m:t>≤</m:t>
        </m:r>
        <m:r>
          <w:rPr>
            <w:rFonts w:ascii="Cambria Math" w:hAnsi="Cambria Math" w:cs="Times New Roman"/>
            <w:sz w:val="22"/>
            <w:szCs w:val="22"/>
          </w:rPr>
          <m:t>L </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i/>
          <w:iCs/>
          <w:sz w:val="22"/>
          <w:szCs w:val="22"/>
        </w:rPr>
        <w:t>.</w:t>
      </w:r>
    </w:p>
    <w:p w14:paraId="54197842" w14:textId="5928B9AA" w:rsidR="00427A24" w:rsidRPr="001A556C" w:rsidRDefault="00F57E7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Each </w:t>
      </w:r>
      <m:oMath>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oMath>
      <w:r w:rsidRPr="001A556C">
        <w:rPr>
          <w:rFonts w:ascii="Times New Roman" w:hAnsi="Times New Roman" w:cs="Times New Roman"/>
          <w:sz w:val="22"/>
          <w:szCs w:val="22"/>
        </w:rPr>
        <w:t xml:space="preserve"> is 1-Lipschitz, so for any coupling </w:t>
      </w:r>
      <m:oMath>
        <m:r>
          <w:rPr>
            <w:rFonts w:ascii="Cambria Math" w:hAnsi="Cambria Math" w:cs="Times New Roman"/>
            <w:sz w:val="22"/>
            <w:szCs w:val="22"/>
          </w:rPr>
          <m:t>γ</m:t>
        </m:r>
        <m:r>
          <m:rPr>
            <m:sty m:val="p"/>
          </m:rPr>
          <w:rPr>
            <w:rFonts w:ascii="Cambria Math" w:hAnsi="Cambria Math" w:cs="Times New Roman"/>
            <w:sz w:val="22"/>
            <w:szCs w:val="22"/>
          </w:rPr>
          <m:t>∈</m:t>
        </m:r>
        <m:r>
          <w:rPr>
            <w:rFonts w:ascii="Cambria Math" w:hAnsi="Cambria Math" w:cs="Times New Roman"/>
            <w:sz w:val="22"/>
            <w:szCs w:val="22"/>
          </w:rPr>
          <m:t>Γ</m:t>
        </m:r>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cr m:val="double-struck"/>
                <m:sty m:val="p"/>
              </m:rPr>
              <w:rPr>
                <w:rFonts w:ascii="Cambria Math" w:hAnsi="Cambria Math" w:cs="Times New Roman"/>
                <w:sz w:val="22"/>
                <w:szCs w:val="22"/>
              </w:rPr>
              <m:t>E</m:t>
            </m:r>
          </m:e>
          <m:sub>
            <m:r>
              <w:rPr>
                <w:rFonts w:ascii="Cambria Math" w:hAnsi="Cambria Math" w:cs="Times New Roman"/>
                <w:sz w:val="22"/>
                <w:szCs w:val="22"/>
              </w:rPr>
              <m:t>γ</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e>
            </m:d>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double-struck"/>
                <m:sty m:val="p"/>
              </m:rPr>
              <w:rPr>
                <w:rFonts w:ascii="Cambria Math" w:hAnsi="Cambria Math" w:cs="Times New Roman"/>
                <w:sz w:val="22"/>
                <w:szCs w:val="22"/>
              </w:rPr>
              <m:t>E</m:t>
            </m:r>
          </m:e>
          <m:sub>
            <m:r>
              <w:rPr>
                <w:rFonts w:ascii="Cambria Math" w:hAnsi="Cambria Math" w:cs="Times New Roman"/>
                <w:sz w:val="22"/>
                <w:szCs w:val="22"/>
              </w:rPr>
              <m:t>γ</m:t>
            </m:r>
          </m:sub>
        </m:sSub>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taking the infimum over couplings gives the marginal inequality, and a convex combination of quantities each bounded by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is likewise bounded. The risk statement is Kantorovich–Rubinstein duality </w:t>
      </w:r>
      <w:r w:rsidRPr="001A556C">
        <w:rPr>
          <w:rFonts w:ascii="Times New Roman" w:hAnsi="Times New Roman" w:cs="Times New Roman"/>
          <w:sz w:val="22"/>
          <w:szCs w:val="22"/>
          <w:highlight w:val="yellow"/>
        </w:rPr>
        <w:t>(Villani, 200</w:t>
      </w:r>
      <w:r w:rsidR="00534D71">
        <w:rPr>
          <w:rFonts w:ascii="Times New Roman" w:hAnsi="Times New Roman" w:cs="Times New Roman"/>
          <w:sz w:val="22"/>
          <w:szCs w:val="22"/>
          <w:highlight w:val="yellow"/>
        </w:rPr>
        <w:t>9</w:t>
      </w:r>
      <w:r w:rsidRPr="001A556C">
        <w:rPr>
          <w:rFonts w:ascii="Times New Roman" w:hAnsi="Times New Roman" w:cs="Times New Roman"/>
          <w:sz w:val="22"/>
          <w:szCs w:val="22"/>
          <w:highlight w:val="yellow"/>
        </w:rPr>
        <w:t>)</w:t>
      </w:r>
      <w:r w:rsidRPr="001A556C">
        <w:rPr>
          <w:rFonts w:ascii="Times New Roman" w:hAnsi="Times New Roman" w:cs="Times New Roman"/>
          <w:sz w:val="22"/>
          <w:szCs w:val="22"/>
        </w:rPr>
        <w:t xml:space="preserve">. </w:t>
      </w:r>
    </w:p>
    <w:p w14:paraId="70274B8C" w14:textId="77777777" w:rsidR="00427A24" w:rsidRPr="001A556C" w:rsidRDefault="00F57E7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state plainly what Proposition 4 does </w:t>
      </w:r>
      <w:r w:rsidRPr="001A556C">
        <w:rPr>
          <w:rFonts w:ascii="Times New Roman" w:hAnsi="Times New Roman" w:cs="Times New Roman"/>
          <w:i/>
          <w:iCs/>
          <w:sz w:val="22"/>
          <w:szCs w:val="22"/>
        </w:rPr>
        <w:t>not</w:t>
      </w:r>
      <w:r w:rsidRPr="001A556C">
        <w:rPr>
          <w:rFonts w:ascii="Times New Roman" w:hAnsi="Times New Roman" w:cs="Times New Roman"/>
          <w:sz w:val="22"/>
          <w:szCs w:val="22"/>
        </w:rPr>
        <w:t xml:space="preserve"> give. Because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lower-bounds the joint transport cost, a large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w:t>
      </w:r>
      <w:r w:rsidRPr="001A556C">
        <w:rPr>
          <w:rFonts w:ascii="Times New Roman" w:hAnsi="Times New Roman" w:cs="Times New Roman"/>
          <w:sz w:val="22"/>
          <w:szCs w:val="22"/>
          <w:highlight w:val="yellow"/>
        </w:rPr>
        <w:t>certifies genuine distributional change; alarms are sound and never attributable to marginal artefacts, but a small</w:t>
      </w:r>
      <w:r w:rsidRPr="001A556C">
        <w:rPr>
          <w:rFonts w:ascii="Times New Roman" w:hAnsi="Times New Roman" w:cs="Times New Roman"/>
          <w:sz w:val="22"/>
          <w:szCs w:val="22"/>
        </w:rPr>
        <w:t xml:space="preserve">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does not certify the absence of shift, since a copula-only change leaves all marginals fixed. MAI is therefore a monitor of the </w:t>
      </w:r>
      <w:r w:rsidRPr="001A556C">
        <w:rPr>
          <w:rFonts w:ascii="Times New Roman" w:hAnsi="Times New Roman" w:cs="Times New Roman"/>
          <w:i/>
          <w:iCs/>
          <w:sz w:val="22"/>
          <w:szCs w:val="22"/>
        </w:rPr>
        <w:t>certifiable-reliability budget</w:t>
      </w:r>
      <w:r w:rsidRPr="001A556C">
        <w:rPr>
          <w:rFonts w:ascii="Times New Roman" w:hAnsi="Times New Roman" w:cs="Times New Roman"/>
          <w:sz w:val="22"/>
          <w:szCs w:val="22"/>
        </w:rPr>
        <w:t xml:space="preserve"> </w:t>
      </w:r>
      <m:oMath>
        <m:r>
          <w:rPr>
            <w:rFonts w:ascii="Cambria Math" w:hAnsi="Cambria Math" w:cs="Times New Roman"/>
            <w:sz w:val="22"/>
            <w:szCs w:val="22"/>
          </w:rPr>
          <m:t>L</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not an </w:t>
      </w:r>
      <w:r w:rsidRPr="001A556C">
        <w:rPr>
          <w:rFonts w:ascii="Times New Roman" w:hAnsi="Times New Roman" w:cs="Times New Roman"/>
          <w:sz w:val="22"/>
          <w:szCs w:val="22"/>
        </w:rPr>
        <w:lastRenderedPageBreak/>
        <w:t>estimator of realised excess risk. Claiming otherwise would be a mathematical error, and we note that several published drift indices make exactly this claim.</w:t>
      </w:r>
    </w:p>
    <w:p w14:paraId="2E8A3651" w14:textId="77777777" w:rsidR="00427A24" w:rsidRPr="001A556C" w:rsidRDefault="00F57E7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5 (Power against location-shift families)</w:t>
      </w:r>
      <w:r w:rsidR="003D5678"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Suppose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oMath>
      <w:r w:rsidRPr="001A556C">
        <w:rPr>
          <w:rFonts w:ascii="Times New Roman" w:hAnsi="Times New Roman" w:cs="Times New Roman"/>
          <w:i/>
          <w:iCs/>
          <w:sz w:val="22"/>
          <w:szCs w:val="22"/>
        </w:rPr>
        <w:t xml:space="preserve"> is a location shift of </w:t>
      </w:r>
      <m:oMath>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oMath>
      <w:r w:rsidRPr="001A556C">
        <w:rPr>
          <w:rFonts w:ascii="Times New Roman" w:hAnsi="Times New Roman" w:cs="Times New Roman"/>
          <w:i/>
          <w:iCs/>
          <w:sz w:val="22"/>
          <w:szCs w:val="22"/>
        </w:rPr>
        <w:t xml:space="preserve"> by </w:t>
      </w:r>
      <m:oMath>
        <m:r>
          <w:rPr>
            <w:rFonts w:ascii="Cambria Math" w:hAnsi="Cambria Math" w:cs="Times New Roman"/>
            <w:sz w:val="22"/>
            <w:szCs w:val="22"/>
          </w:rPr>
          <m:t>Δ</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in some monitored coordinate </w:t>
      </w:r>
      <m:oMath>
        <m:r>
          <w:rPr>
            <w:rFonts w:ascii="Cambria Math" w:hAnsi="Cambria Math" w:cs="Times New Roman"/>
            <w:sz w:val="22"/>
            <w:szCs w:val="22"/>
          </w:rPr>
          <m:t>j</m:t>
        </m:r>
      </m:oMath>
      <w:r w:rsidRPr="001A556C">
        <w:rPr>
          <w:rFonts w:ascii="Times New Roman" w:hAnsi="Times New Roman" w:cs="Times New Roman"/>
          <w:i/>
          <w:iCs/>
          <w:sz w:val="22"/>
          <w:szCs w:val="22"/>
        </w:rPr>
        <w:t xml:space="preserve"> with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Then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r>
          <w:rPr>
            <w:rFonts w:ascii="Cambria Math" w:hAnsi="Cambria Math" w:cs="Times New Roman"/>
            <w:sz w:val="22"/>
            <w:szCs w:val="22"/>
          </w:rPr>
          <m:t>Δ</m:t>
        </m:r>
      </m:oMath>
      <w:r w:rsidRPr="001A556C">
        <w:rPr>
          <w:rFonts w:ascii="Times New Roman" w:hAnsi="Times New Roman" w:cs="Times New Roman"/>
          <w:i/>
          <w:iCs/>
          <w:sz w:val="22"/>
          <w:szCs w:val="22"/>
        </w:rPr>
        <w:t xml:space="preserve">. Since all marginals are supported on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after quantile transformation, the empirical estimator satisfies </w:t>
      </w: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W</m:t>
                    </m:r>
                  </m:e>
                </m:acc>
              </m:e>
              <m:sub>
                <m:r>
                  <w:rPr>
                    <w:rFonts w:ascii="Cambria Math" w:hAnsi="Cambria Math" w:cs="Times New Roman"/>
                    <w:sz w:val="22"/>
                    <w:szCs w:val="22"/>
                  </w:rPr>
                  <m:t>1</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O</m:t>
            </m:r>
          </m:e>
          <m:sub>
            <m:r>
              <w:rPr>
                <w:rFonts w:ascii="Cambria Math" w:hAnsi="Cambria Math" w:cs="Times New Roman"/>
                <w:sz w:val="22"/>
                <w:szCs w:val="22"/>
              </w:rPr>
              <m:t>p</m:t>
            </m:r>
          </m:sub>
        </m:sSub>
        <m:d>
          <m:dPr>
            <m:ctrlPr>
              <w:rPr>
                <w:rFonts w:ascii="Cambria Math" w:hAnsi="Cambria Math" w:cs="Times New Roman"/>
                <w:sz w:val="22"/>
                <w:szCs w:val="22"/>
              </w:rPr>
            </m:ctrlPr>
          </m:dPr>
          <m:e>
            <m:sSup>
              <m:sSupPr>
                <m:ctrlPr>
                  <w:rPr>
                    <w:rFonts w:ascii="Cambria Math" w:hAnsi="Cambria Math" w:cs="Times New Roman"/>
                    <w:sz w:val="22"/>
                    <w:szCs w:val="22"/>
                  </w:rPr>
                </m:ctrlPr>
              </m:sSupPr>
              <m:e>
                <m:r>
                  <w:rPr>
                    <w:rFonts w:ascii="Cambria Math" w:hAnsi="Cambria Math" w:cs="Times New Roman"/>
                    <w:sz w:val="22"/>
                    <w:szCs w:val="22"/>
                  </w:rPr>
                  <m:t>n</m:t>
                </m:r>
              </m:e>
              <m:sup>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2</m:t>
                </m:r>
              </m:sup>
            </m:sSup>
          </m:e>
        </m:d>
      </m:oMath>
      <w:r w:rsidRPr="001A556C">
        <w:rPr>
          <w:rFonts w:ascii="Times New Roman" w:hAnsi="Times New Roman" w:cs="Times New Roman"/>
          <w:i/>
          <w:iCs/>
          <w:sz w:val="22"/>
          <w:szCs w:val="22"/>
        </w:rPr>
        <w:t xml:space="preserve">, so for </w:t>
      </w:r>
      <m:oMath>
        <m:r>
          <w:rPr>
            <w:rFonts w:ascii="Cambria Math" w:hAnsi="Cambria Math" w:cs="Times New Roman"/>
            <w:sz w:val="22"/>
            <w:szCs w:val="22"/>
          </w:rPr>
          <m:t>Δ</m:t>
        </m:r>
        <m:r>
          <m:rPr>
            <m:sty m:val="p"/>
          </m:rPr>
          <w:rPr>
            <w:rFonts w:ascii="Cambria Math" w:hAnsi="Cambria Math" w:cs="Times New Roman"/>
            <w:sz w:val="22"/>
            <w:szCs w:val="22"/>
          </w:rPr>
          <m:t>&gt;</m:t>
        </m:r>
        <m:r>
          <w:rPr>
            <w:rFonts w:ascii="Cambria Math" w:hAnsi="Cambria Math" w:cs="Times New Roman"/>
            <w:sz w:val="22"/>
            <w:szCs w:val="22"/>
          </w:rPr>
          <m:t>c </m:t>
        </m:r>
        <m:sSup>
          <m:sSupPr>
            <m:ctrlPr>
              <w:rPr>
                <w:rFonts w:ascii="Cambria Math" w:hAnsi="Cambria Math" w:cs="Times New Roman"/>
                <w:sz w:val="22"/>
                <w:szCs w:val="22"/>
              </w:rPr>
            </m:ctrlPr>
          </m:sSupPr>
          <m:e>
            <m:r>
              <w:rPr>
                <w:rFonts w:ascii="Cambria Math" w:hAnsi="Cambria Math" w:cs="Times New Roman"/>
                <w:sz w:val="22"/>
                <w:szCs w:val="22"/>
              </w:rPr>
              <m:t>n</m:t>
            </m:r>
          </m:e>
          <m:sup>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2</m:t>
            </m:r>
          </m:sup>
        </m:sSup>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oMath>
      <w:r w:rsidRPr="001A556C">
        <w:rPr>
          <w:rFonts w:ascii="Times New Roman" w:hAnsi="Times New Roman" w:cs="Times New Roman"/>
          <w:i/>
          <w:iCs/>
          <w:sz w:val="22"/>
          <w:szCs w:val="22"/>
        </w:rPr>
        <w:t xml:space="preserve"> the alarm probability tends to one as </w:t>
      </w:r>
      <m:oMath>
        <m:r>
          <w:rPr>
            <w:rFonts w:ascii="Cambria Math" w:hAnsi="Cambria Math" w:cs="Times New Roman"/>
            <w:sz w:val="22"/>
            <w:szCs w:val="22"/>
          </w:rPr>
          <m:t>n</m:t>
        </m:r>
        <m:r>
          <m:rPr>
            <m:sty m:val="p"/>
          </m:rPr>
          <w:rPr>
            <w:rFonts w:ascii="Cambria Math" w:hAnsi="Cambria Math" w:cs="Times New Roman"/>
            <w:sz w:val="22"/>
            <w:szCs w:val="22"/>
          </w:rPr>
          <m:t>→∞</m:t>
        </m:r>
      </m:oMath>
      <w:r w:rsidRPr="001A556C">
        <w:rPr>
          <w:rFonts w:ascii="Times New Roman" w:hAnsi="Times New Roman" w:cs="Times New Roman"/>
          <w:i/>
          <w:iCs/>
          <w:sz w:val="22"/>
          <w:szCs w:val="22"/>
        </w:rPr>
        <w:t>.</w:t>
      </w:r>
    </w:p>
    <w:p w14:paraId="07529008" w14:textId="77777777" w:rsidR="00427A24" w:rsidRPr="001A556C" w:rsidRDefault="00F57E7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For univariate laws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Δ</m:t>
                </m:r>
              </m:e>
            </m:d>
          </m:e>
        </m:d>
        <m:r>
          <m:rPr>
            <m:sty m:val="p"/>
          </m:rPr>
          <w:rPr>
            <w:rFonts w:ascii="Cambria Math" w:hAnsi="Cambria Math" w:cs="Times New Roman"/>
            <w:sz w:val="22"/>
            <w:szCs w:val="22"/>
          </w:rPr>
          <m:t>=</m:t>
        </m:r>
        <m:r>
          <w:rPr>
            <w:rFonts w:ascii="Cambria Math" w:hAnsi="Cambria Math" w:cs="Times New Roman"/>
            <w:sz w:val="22"/>
            <w:szCs w:val="22"/>
          </w:rPr>
          <m:t>Δ</m:t>
        </m:r>
      </m:oMath>
      <w:r w:rsidRPr="001A556C">
        <w:rPr>
          <w:rFonts w:ascii="Times New Roman" w:hAnsi="Times New Roman" w:cs="Times New Roman"/>
          <w:sz w:val="22"/>
          <w:szCs w:val="22"/>
        </w:rPr>
        <w:t xml:space="preserve">, and the remaining terms of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are nonnegative. The rate follows from the </w:t>
      </w:r>
      <m:oMath>
        <m:sSup>
          <m:sSupPr>
            <m:ctrlPr>
              <w:rPr>
                <w:rFonts w:ascii="Cambria Math" w:hAnsi="Cambria Math" w:cs="Times New Roman"/>
                <w:sz w:val="22"/>
                <w:szCs w:val="22"/>
              </w:rPr>
            </m:ctrlPr>
          </m:sSupPr>
          <m:e>
            <m:r>
              <w:rPr>
                <w:rFonts w:ascii="Cambria Math" w:hAnsi="Cambria Math" w:cs="Times New Roman"/>
                <w:sz w:val="22"/>
                <w:szCs w:val="22"/>
              </w:rPr>
              <m:t>L</m:t>
            </m:r>
          </m:e>
          <m:sup>
            <m:r>
              <w:rPr>
                <w:rFonts w:ascii="Cambria Math" w:hAnsi="Cambria Math" w:cs="Times New Roman"/>
                <w:sz w:val="22"/>
                <w:szCs w:val="22"/>
              </w:rPr>
              <m:t>1</m:t>
            </m:r>
          </m:sup>
        </m:sSup>
      </m:oMath>
      <w:r w:rsidRPr="001A556C">
        <w:rPr>
          <w:rFonts w:ascii="Times New Roman" w:hAnsi="Times New Roman" w:cs="Times New Roman"/>
          <w:sz w:val="22"/>
          <w:szCs w:val="22"/>
        </w:rPr>
        <w:t xml:space="preserve"> convergence of the empirical quantile function on bounded support. </w:t>
      </w:r>
    </w:p>
    <w:p w14:paraId="056C24C7" w14:textId="77777777" w:rsidR="00427A24" w:rsidRPr="001A556C" w:rsidRDefault="00F57E70">
      <w:pPr>
        <w:pStyle w:val="Heading3"/>
        <w:rPr>
          <w:rFonts w:ascii="Times New Roman" w:hAnsi="Times New Roman" w:cs="Times New Roman"/>
          <w:color w:val="auto"/>
          <w:sz w:val="22"/>
          <w:szCs w:val="22"/>
        </w:rPr>
      </w:pPr>
      <w:bookmarkStart w:id="24" w:name="interpretation-of-the-parameters"/>
      <w:bookmarkEnd w:id="23"/>
      <w:r w:rsidRPr="001A556C">
        <w:rPr>
          <w:rFonts w:ascii="Times New Roman" w:hAnsi="Times New Roman" w:cs="Times New Roman"/>
          <w:color w:val="auto"/>
          <w:sz w:val="22"/>
          <w:szCs w:val="22"/>
        </w:rPr>
        <w:t>5.3 Interpretation of the parameters</w:t>
      </w:r>
    </w:p>
    <w:p w14:paraId="20CB9DAB" w14:textId="77777777" w:rsidR="00427A24" w:rsidRPr="001A556C" w:rsidRDefault="00F57E70" w:rsidP="003D5678">
      <w:pPr>
        <w:pStyle w:val="FirstParagraph"/>
        <w:spacing w:line="360" w:lineRule="auto"/>
        <w:jc w:val="both"/>
        <w:rPr>
          <w:rFonts w:ascii="Times New Roman" w:hAnsi="Times New Roman" w:cs="Times New Roman"/>
          <w:sz w:val="22"/>
          <w:szCs w:val="22"/>
        </w:rPr>
      </w:pPr>
      <m:oMath>
        <m:r>
          <w:rPr>
            <w:rFonts w:ascii="Cambria Math" w:hAnsi="Cambria Math" w:cs="Times New Roman"/>
            <w:sz w:val="22"/>
            <w:szCs w:val="22"/>
          </w:rPr>
          <m:t>ρ</m:t>
        </m:r>
      </m:oMath>
      <w:r w:rsidRPr="001A556C">
        <w:rPr>
          <w:rFonts w:ascii="Times New Roman" w:hAnsi="Times New Roman" w:cs="Times New Roman"/>
          <w:sz w:val="22"/>
          <w:szCs w:val="22"/>
        </w:rPr>
        <w:t xml:space="preserve"> sets the aging memory and should be chosen from the operational review cycle: with batches of one hour,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0.85</m:t>
        </m:r>
      </m:oMath>
      <w:r w:rsidRPr="001A556C">
        <w:rPr>
          <w:rFonts w:ascii="Times New Roman" w:hAnsi="Times New Roman" w:cs="Times New Roman"/>
          <w:sz w:val="22"/>
          <w:szCs w:val="22"/>
        </w:rPr>
        <w:t xml:space="preserve"> gives a stress half-life of roughly four hours. </w:t>
      </w:r>
      <m:oMath>
        <m:r>
          <w:rPr>
            <w:rFonts w:ascii="Cambria Math" w:hAnsi="Cambria Math" w:cs="Times New Roman"/>
            <w:sz w:val="22"/>
            <w:szCs w:val="22"/>
          </w:rPr>
          <m:t>λ</m:t>
        </m:r>
      </m:oMath>
      <w:r w:rsidRPr="001A556C">
        <w:rPr>
          <w:rFonts w:ascii="Times New Roman" w:hAnsi="Times New Roman" w:cs="Times New Roman"/>
          <w:sz w:val="22"/>
          <w:szCs w:val="22"/>
        </w:rPr>
        <w:t xml:space="preserve"> controls how quickly the index saturates and therefore how aggressively mid-range evidence is escalated. </w:t>
      </w:r>
      <m:oMath>
        <m:r>
          <w:rPr>
            <w:rFonts w:ascii="Cambria Math" w:hAnsi="Cambria Math" w:cs="Times New Roman"/>
            <w:sz w:val="22"/>
            <w:szCs w:val="22"/>
          </w:rPr>
          <m:t>κ</m:t>
        </m:r>
      </m:oMath>
      <w:r w:rsidRPr="001A556C">
        <w:rPr>
          <w:rFonts w:ascii="Times New Roman" w:hAnsi="Times New Roman" w:cs="Times New Roman"/>
          <w:sz w:val="22"/>
          <w:szCs w:val="22"/>
        </w:rPr>
        <w:t xml:space="preserve"> trades sensitivity against robustness. Proposition 2 guarantees that none of these choices can produce discontinuous behaviour, and Proposition 3 makes the false-alarm consequence of any </w:t>
      </w:r>
      <m:oMath>
        <m:d>
          <m:dPr>
            <m:ctrlPr>
              <w:rPr>
                <w:rFonts w:ascii="Cambria Math" w:hAnsi="Cambria Math" w:cs="Times New Roman"/>
                <w:sz w:val="22"/>
                <w:szCs w:val="22"/>
              </w:rPr>
            </m:ctrlPr>
          </m:dPr>
          <m:e>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η</m:t>
            </m:r>
          </m:e>
        </m:d>
      </m:oMath>
      <w:r w:rsidRPr="001A556C">
        <w:rPr>
          <w:rFonts w:ascii="Times New Roman" w:hAnsi="Times New Roman" w:cs="Times New Roman"/>
          <w:sz w:val="22"/>
          <w:szCs w:val="22"/>
        </w:rPr>
        <w:t xml:space="preserve"> triple explicit.</w:t>
      </w:r>
    </w:p>
    <w:p w14:paraId="3E6C6584" w14:textId="77777777" w:rsidR="00427A24" w:rsidRPr="001A556C" w:rsidRDefault="00F57E70">
      <w:pPr>
        <w:pStyle w:val="Heading3"/>
        <w:rPr>
          <w:rFonts w:ascii="Times New Roman" w:hAnsi="Times New Roman" w:cs="Times New Roman"/>
          <w:color w:val="auto"/>
          <w:sz w:val="22"/>
          <w:szCs w:val="22"/>
        </w:rPr>
      </w:pPr>
      <w:bookmarkStart w:id="25" w:name="the-cybersecurity-drift-index"/>
      <w:bookmarkEnd w:id="24"/>
      <w:r w:rsidRPr="001A556C">
        <w:rPr>
          <w:rFonts w:ascii="Times New Roman" w:hAnsi="Times New Roman" w:cs="Times New Roman"/>
          <w:color w:val="auto"/>
          <w:sz w:val="22"/>
          <w:szCs w:val="22"/>
        </w:rPr>
        <w:t>5.4 The Cybersecurity Drift Index</w:t>
      </w:r>
    </w:p>
    <w:p w14:paraId="5F7F3BDD" w14:textId="77777777" w:rsidR="00427A24" w:rsidRPr="001A556C" w:rsidRDefault="00F57E70" w:rsidP="003D5678">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MAI is a statistically neutral quantity: it treats a shift that generates spurious alerts and a shift that hides intrusions as equally consequential. Security economics do not. Let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oMath>
      <w:r w:rsidRPr="001A556C">
        <w:rPr>
          <w:rFonts w:ascii="Times New Roman" w:hAnsi="Times New Roman" w:cs="Times New Roman"/>
          <w:sz w:val="22"/>
          <w:szCs w:val="22"/>
        </w:rPr>
        <w:t xml:space="preserve"> be the cost of a missed intrusion,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oMath>
      <w:r w:rsidRPr="001A556C">
        <w:rPr>
          <w:rFonts w:ascii="Times New Roman" w:hAnsi="Times New Roman" w:cs="Times New Roman"/>
          <w:sz w:val="22"/>
          <w:szCs w:val="22"/>
        </w:rPr>
        <w:t xml:space="preserve"> the cost of a false alert, and </w:t>
      </w:r>
      <m:oMath>
        <m:r>
          <w:rPr>
            <w:rFonts w:ascii="Cambria Math" w:hAnsi="Cambria Math" w:cs="Times New Roman"/>
            <w:sz w:val="22"/>
            <w:szCs w:val="22"/>
          </w:rPr>
          <m:t>π</m:t>
        </m:r>
      </m:oMath>
      <w:r w:rsidRPr="001A556C">
        <w:rPr>
          <w:rFonts w:ascii="Times New Roman" w:hAnsi="Times New Roman" w:cs="Times New Roman"/>
          <w:sz w:val="22"/>
          <w:szCs w:val="22"/>
        </w:rPr>
        <w:t xml:space="preserve"> the attack prevalence. Define the </w:t>
      </w:r>
      <w:r w:rsidRPr="001A556C">
        <w:rPr>
          <w:rFonts w:ascii="Times New Roman" w:hAnsi="Times New Roman" w:cs="Times New Roman"/>
          <w:b/>
          <w:bCs/>
          <w:sz w:val="22"/>
          <w:szCs w:val="22"/>
        </w:rPr>
        <w:t>cost-asymmetry weight</w:t>
      </w:r>
    </w:p>
    <w:p w14:paraId="2F286EFE" w14:textId="77777777" w:rsidR="00427A24" w:rsidRPr="001A556C" w:rsidRDefault="00F57E70" w:rsidP="003D5678">
      <w:pPr>
        <w:pStyle w:val="BodyText"/>
        <w:spacing w:line="360" w:lineRule="auto"/>
        <w:jc w:val="both"/>
        <w:rPr>
          <w:rFonts w:ascii="Times New Roman" w:hAnsi="Times New Roman" w:cs="Times New Roman"/>
          <w:sz w:val="22"/>
          <w:szCs w:val="22"/>
        </w:rPr>
      </w:pPr>
      <m:oMathPara>
        <m:oMathParaPr>
          <m:jc m:val="center"/>
        </m:oMathParaPr>
        <m:oMath>
          <m:r>
            <w:rPr>
              <w:rFonts w:ascii="Cambria Math" w:hAnsi="Cambria Math" w:cs="Times New Roman"/>
              <w:sz w:val="22"/>
              <w:szCs w:val="22"/>
            </w:rPr>
            <m:t>γ 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w:rPr>
                  <w:rFonts w:ascii="Cambria Math" w:hAnsi="Cambria Math" w:cs="Times New Roman"/>
                  <w:sz w:val="22"/>
                  <w:szCs w:val="22"/>
                </w:rPr>
                <m:t>π</m:t>
              </m:r>
            </m:num>
            <m:den>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w:rPr>
                  <w:rFonts w:ascii="Cambria Math" w:hAnsi="Cambria Math" w:cs="Times New Roman"/>
                  <w:sz w:val="22"/>
                  <w:szCs w:val="22"/>
                </w:rPr>
                <m:t>π</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π</m:t>
                  </m:r>
                </m:e>
              </m:d>
            </m:den>
          </m:f>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r>
            <m:rPr>
              <m:sty m:val="p"/>
            </m:rPr>
            <w:rPr>
              <w:rFonts w:ascii="Cambria Math" w:hAnsi="Cambria Math" w:cs="Times New Roman"/>
              <w:sz w:val="22"/>
              <w:szCs w:val="22"/>
            </w:rPr>
            <m:t>,</m:t>
          </m:r>
        </m:oMath>
      </m:oMathPara>
    </w:p>
    <w:p w14:paraId="3D36DAB8" w14:textId="77777777" w:rsidR="00427A24" w:rsidRPr="001A556C" w:rsidRDefault="00F57E70" w:rsidP="003D5678">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which is the share of expected misclassification cost attributable to false negatives. CDI then splits the stress into an </w:t>
      </w:r>
      <w:r w:rsidRPr="001A556C">
        <w:rPr>
          <w:rFonts w:ascii="Times New Roman" w:hAnsi="Times New Roman" w:cs="Times New Roman"/>
          <w:b/>
          <w:bCs/>
          <w:sz w:val="22"/>
          <w:szCs w:val="22"/>
        </w:rPr>
        <w:t>evasion channel</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a</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eva</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weights </w:t>
      </w:r>
      <m:oMath>
        <m:d>
          <m:dPr>
            <m:ctrlPr>
              <w:rPr>
                <w:rFonts w:ascii="Cambria Math" w:hAnsi="Cambria Math" w:cs="Times New Roman"/>
                <w:sz w:val="22"/>
                <w:szCs w:val="22"/>
              </w:rPr>
            </m:ctrlPr>
          </m:dPr>
          <m:e>
            <m:r>
              <w:rPr>
                <w:rFonts w:ascii="Cambria Math" w:hAnsi="Cambria Math" w:cs="Times New Roman"/>
                <w:sz w:val="22"/>
                <w:szCs w:val="22"/>
              </w:rPr>
              <m:t>0.55</m:t>
            </m:r>
            <m:r>
              <m:rPr>
                <m:sty m:val="p"/>
              </m:rPr>
              <w:rPr>
                <w:rFonts w:ascii="Cambria Math" w:hAnsi="Cambria Math" w:cs="Times New Roman"/>
                <w:sz w:val="22"/>
                <w:szCs w:val="22"/>
              </w:rPr>
              <m:t>,</m:t>
            </m:r>
            <m:r>
              <w:rPr>
                <w:rFonts w:ascii="Cambria Math" w:hAnsi="Cambria Math" w:cs="Times New Roman"/>
                <w:sz w:val="22"/>
                <w:szCs w:val="22"/>
              </w:rPr>
              <m:t>0.45</m:t>
            </m:r>
          </m:e>
        </m:d>
      </m:oMath>
      <w:r w:rsidRPr="001A556C">
        <w:rPr>
          <w:rFonts w:ascii="Times New Roman" w:hAnsi="Times New Roman" w:cs="Times New Roman"/>
          <w:sz w:val="22"/>
          <w:szCs w:val="22"/>
        </w:rPr>
        <w:t xml:space="preserve"> and an </w:t>
      </w:r>
      <w:r w:rsidRPr="001A556C">
        <w:rPr>
          <w:rFonts w:ascii="Times New Roman" w:hAnsi="Times New Roman" w:cs="Times New Roman"/>
          <w:b/>
          <w:bCs/>
          <w:sz w:val="22"/>
          <w:szCs w:val="22"/>
        </w:rPr>
        <w:t>alert-load channel</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b</m:t>
            </m:r>
          </m:sub>
        </m:sSub>
        <m:r>
          <m:rPr>
            <m:sty m:val="p"/>
          </m:rPr>
          <w:rPr>
            <w:rFonts w:ascii="Cambria Math" w:hAnsi="Cambria Math" w:cs="Times New Roman"/>
            <w:sz w:val="22"/>
            <w:szCs w:val="22"/>
          </w:rPr>
          <m:t>={JS,</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pri</m:t>
            </m:r>
          </m:sup>
        </m:sSup>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weights </w:t>
      </w:r>
      <m:oMath>
        <m:d>
          <m:dPr>
            <m:ctrlPr>
              <w:rPr>
                <w:rFonts w:ascii="Cambria Math" w:hAnsi="Cambria Math" w:cs="Times New Roman"/>
                <w:sz w:val="22"/>
                <w:szCs w:val="22"/>
              </w:rPr>
            </m:ctrlPr>
          </m:dPr>
          <m:e>
            <m:r>
              <w:rPr>
                <w:rFonts w:ascii="Cambria Math" w:hAnsi="Cambria Math" w:cs="Times New Roman"/>
                <w:sz w:val="22"/>
                <w:szCs w:val="22"/>
              </w:rPr>
              <m:t>0.50</m:t>
            </m:r>
            <m:r>
              <m:rPr>
                <m:sty m:val="p"/>
              </m:rPr>
              <w:rPr>
                <w:rFonts w:ascii="Cambria Math" w:hAnsi="Cambria Math" w:cs="Times New Roman"/>
                <w:sz w:val="22"/>
                <w:szCs w:val="22"/>
              </w:rPr>
              <m:t>,</m:t>
            </m:r>
            <m:r>
              <w:rPr>
                <w:rFonts w:ascii="Cambria Math" w:hAnsi="Cambria Math" w:cs="Times New Roman"/>
                <w:sz w:val="22"/>
                <w:szCs w:val="22"/>
              </w:rPr>
              <m:t>0.50</m:t>
            </m:r>
          </m:e>
        </m:d>
      </m:oMath>
      <w:r w:rsidRPr="001A556C">
        <w:rPr>
          <w:rFonts w:ascii="Times New Roman" w:hAnsi="Times New Roman" w:cs="Times New Roman"/>
          <w:sz w:val="22"/>
          <w:szCs w:val="22"/>
        </w:rPr>
        <w:t>:</w:t>
      </w:r>
    </w:p>
    <w:p w14:paraId="7C719384" w14:textId="77777777" w:rsidR="00427A24" w:rsidRPr="001A556C" w:rsidRDefault="00000000" w:rsidP="003D5678">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Ψ</m:t>
              </m:r>
            </m:e>
            <m:sub>
              <m:r>
                <w:rPr>
                  <w:rFonts w:ascii="Cambria Math" w:hAnsi="Cambria Math" w:cs="Times New Roman"/>
                  <w:sz w:val="22"/>
                  <w:szCs w:val="22"/>
                </w:rPr>
                <m:t>t</m:t>
              </m:r>
            </m:sub>
            <m:sup>
              <m:r>
                <m:rPr>
                  <m:sty m:val="p"/>
                </m:rPr>
                <w:rPr>
                  <w:rFonts w:ascii="Cambria Math" w:hAnsi="Cambria Math" w:cs="Times New Roman"/>
                  <w:sz w:val="22"/>
                  <w:szCs w:val="22"/>
                </w:rPr>
                <m:t>CDI</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 γ</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a</m:t>
                  </m:r>
                </m:sub>
              </m:sSub>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ω</m:t>
                  </m:r>
                </m:e>
                <m:sub>
                  <m:r>
                    <w:rPr>
                      <w:rFonts w:ascii="Cambria Math" w:hAnsi="Cambria Math" w:cs="Times New Roman"/>
                      <w:sz w:val="22"/>
                      <w:szCs w:val="22"/>
                    </w:rPr>
                    <m:t>k</m:t>
                  </m:r>
                </m:sub>
                <m:sup>
                  <m:r>
                    <w:rPr>
                      <w:rFonts w:ascii="Cambria Math" w:hAnsi="Cambria Math" w:cs="Times New Roman"/>
                      <w:sz w:val="22"/>
                      <w:szCs w:val="22"/>
                    </w:rPr>
                    <m:t>a</m:t>
                  </m:r>
                </m:sup>
              </m:sSubSup>
            </m:e>
          </m:nary>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γ</m:t>
              </m:r>
            </m:e>
          </m:d>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b</m:t>
                  </m:r>
                </m:sub>
              </m:sSub>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ω</m:t>
                  </m:r>
                </m:e>
                <m:sub>
                  <m:r>
                    <w:rPr>
                      <w:rFonts w:ascii="Cambria Math" w:hAnsi="Cambria Math" w:cs="Times New Roman"/>
                      <w:sz w:val="22"/>
                      <w:szCs w:val="22"/>
                    </w:rPr>
                    <m:t>k</m:t>
                  </m:r>
                </m:sub>
                <m:sup>
                  <m:r>
                    <w:rPr>
                      <w:rFonts w:ascii="Cambria Math" w:hAnsi="Cambria Math" w:cs="Times New Roman"/>
                      <w:sz w:val="22"/>
                      <w:szCs w:val="22"/>
                    </w:rPr>
                    <m:t>b</m:t>
                  </m:r>
                </m:sup>
              </m:sSubSup>
            </m:e>
          </m:nary>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oMath>
      </m:oMathPara>
    </w:p>
    <w:p w14:paraId="2C352484"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with </w:t>
      </w:r>
      <m:oMath>
        <m:sSub>
          <m:sSubPr>
            <m:ctrlPr>
              <w:rPr>
                <w:rFonts w:ascii="Cambria Math" w:hAnsi="Cambria Math" w:cs="Times New Roman"/>
                <w:sz w:val="22"/>
                <w:szCs w:val="22"/>
              </w:rPr>
            </m:ctrlPr>
          </m:sSubPr>
          <m:e>
            <m:r>
              <m:rPr>
                <m:sty m:val="p"/>
              </m:rPr>
              <w:rPr>
                <w:rFonts w:ascii="Cambria Math" w:hAnsi="Cambria Math" w:cs="Times New Roman"/>
                <w:sz w:val="22"/>
                <w:szCs w:val="22"/>
              </w:rPr>
              <m:t>CDI</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obtained from </w:t>
      </w:r>
      <m:oMath>
        <m:sSubSup>
          <m:sSubSupPr>
            <m:ctrlPr>
              <w:rPr>
                <w:rFonts w:ascii="Cambria Math" w:hAnsi="Cambria Math" w:cs="Times New Roman"/>
                <w:sz w:val="22"/>
                <w:szCs w:val="22"/>
              </w:rPr>
            </m:ctrlPr>
          </m:sSubSupPr>
          <m:e>
            <m:r>
              <w:rPr>
                <w:rFonts w:ascii="Cambria Math" w:hAnsi="Cambria Math" w:cs="Times New Roman"/>
                <w:sz w:val="22"/>
                <w:szCs w:val="22"/>
              </w:rPr>
              <m:t>Ψ</m:t>
            </m:r>
          </m:e>
          <m:sub>
            <m:r>
              <w:rPr>
                <w:rFonts w:ascii="Cambria Math" w:hAnsi="Cambria Math" w:cs="Times New Roman"/>
                <w:sz w:val="22"/>
                <w:szCs w:val="22"/>
              </w:rPr>
              <m:t>t</m:t>
            </m:r>
          </m:sub>
          <m:sup>
            <m:r>
              <m:rPr>
                <m:sty m:val="p"/>
              </m:rPr>
              <w:rPr>
                <w:rFonts w:ascii="Cambria Math" w:hAnsi="Cambria Math" w:cs="Times New Roman"/>
                <w:sz w:val="22"/>
                <w:szCs w:val="22"/>
              </w:rPr>
              <m:t>CDI</m:t>
            </m:r>
          </m:sup>
        </m:sSubSup>
      </m:oMath>
      <w:r w:rsidRPr="001A556C">
        <w:rPr>
          <w:rFonts w:ascii="Times New Roman" w:hAnsi="Times New Roman" w:cs="Times New Roman"/>
          <w:sz w:val="22"/>
          <w:szCs w:val="22"/>
        </w:rPr>
        <w:t xml:space="preserve"> by the same accumulator and link. Propositions 1–3 apply verbatim, since </w:t>
      </w:r>
      <m:oMath>
        <m:r>
          <w:rPr>
            <w:rFonts w:ascii="Cambria Math" w:hAnsi="Cambria Math" w:cs="Times New Roman"/>
            <w:sz w:val="22"/>
            <w:szCs w:val="22"/>
          </w:rPr>
          <m:t>γ</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ω</m:t>
            </m:r>
          </m:e>
          <m:sup>
            <m:r>
              <w:rPr>
                <w:rFonts w:ascii="Cambria Math" w:hAnsi="Cambria Math" w:cs="Times New Roman"/>
                <w:sz w:val="22"/>
                <w:szCs w:val="22"/>
              </w:rPr>
              <m:t>a</m:t>
            </m:r>
          </m:sup>
        </m:sSup>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γ</m:t>
            </m:r>
          </m:e>
        </m:d>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ω</m:t>
            </m:r>
          </m:e>
          <m:sup>
            <m:r>
              <w:rPr>
                <w:rFonts w:ascii="Cambria Math" w:hAnsi="Cambria Math" w:cs="Times New Roman"/>
                <w:sz w:val="22"/>
                <w:szCs w:val="22"/>
              </w:rPr>
              <m:t>b</m:t>
            </m:r>
          </m:sup>
        </m:sSup>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preserves convexity. At our operating point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w:t>
      </w:r>
      <m:oMath>
        <m:r>
          <w:rPr>
            <w:rFonts w:ascii="Cambria Math" w:hAnsi="Cambria Math" w:cs="Times New Roman"/>
            <w:sz w:val="22"/>
            <w:szCs w:val="22"/>
          </w:rPr>
          <m:t>π</m:t>
        </m:r>
        <m:r>
          <m:rPr>
            <m:sty m:val="p"/>
          </m:rPr>
          <w:rPr>
            <w:rFonts w:ascii="Cambria Math" w:hAnsi="Cambria Math" w:cs="Times New Roman"/>
            <w:sz w:val="22"/>
            <w:szCs w:val="22"/>
          </w:rPr>
          <m:t>=</m:t>
        </m:r>
        <m:r>
          <w:rPr>
            <w:rFonts w:ascii="Cambria Math" w:hAnsi="Cambria Math" w:cs="Times New Roman"/>
            <w:sz w:val="22"/>
            <w:szCs w:val="22"/>
          </w:rPr>
          <m:t>0.40</m:t>
        </m:r>
      </m:oMath>
      <w:r w:rsidRPr="001A556C">
        <w:rPr>
          <w:rFonts w:ascii="Times New Roman" w:hAnsi="Times New Roman" w:cs="Times New Roman"/>
          <w:sz w:val="22"/>
          <w:szCs w:val="22"/>
        </w:rPr>
        <w:t xml:space="preserve">) we obtain </w:t>
      </w:r>
      <m:oMath>
        <m:r>
          <w:rPr>
            <w:rFonts w:ascii="Cambria Math" w:hAnsi="Cambria Math" w:cs="Times New Roman"/>
            <w:sz w:val="22"/>
            <w:szCs w:val="22"/>
          </w:rPr>
          <m:t>γ</m:t>
        </m:r>
        <m:r>
          <m:rPr>
            <m:sty m:val="p"/>
          </m:rPr>
          <w:rPr>
            <w:rFonts w:ascii="Cambria Math" w:hAnsi="Cambria Math" w:cs="Times New Roman"/>
            <w:sz w:val="22"/>
            <w:szCs w:val="22"/>
          </w:rPr>
          <m:t>=</m:t>
        </m:r>
        <m:r>
          <w:rPr>
            <w:rFonts w:ascii="Cambria Math" w:hAnsi="Cambria Math" w:cs="Times New Roman"/>
            <w:sz w:val="22"/>
            <w:szCs w:val="22"/>
          </w:rPr>
          <m:t>0.87</m:t>
        </m:r>
      </m:oMath>
      <w:r w:rsidRPr="001A556C">
        <w:rPr>
          <w:rFonts w:ascii="Times New Roman" w:hAnsi="Times New Roman" w:cs="Times New Roman"/>
          <w:sz w:val="22"/>
          <w:szCs w:val="22"/>
        </w:rPr>
        <w:t xml:space="preserve">, so CDI is dominated by the evasion </w:t>
      </w:r>
      <w:r w:rsidRPr="001A556C">
        <w:rPr>
          <w:rFonts w:ascii="Times New Roman" w:hAnsi="Times New Roman" w:cs="Times New Roman"/>
          <w:sz w:val="22"/>
          <w:szCs w:val="22"/>
          <w:highlight w:val="yellow"/>
        </w:rPr>
        <w:t>channel, appropriately</w:t>
      </w:r>
      <w:r w:rsidRPr="001A556C">
        <w:rPr>
          <w:rFonts w:ascii="Times New Roman" w:hAnsi="Times New Roman" w:cs="Times New Roman"/>
          <w:sz w:val="22"/>
          <w:szCs w:val="22"/>
        </w:rPr>
        <w:t>, since a detector that has quietly stopped catching intrusions is a worse failure than one that has become noisy.</w:t>
      </w:r>
    </w:p>
    <w:p w14:paraId="0DC6B5A5" w14:textId="77777777" w:rsidR="00427A24" w:rsidRPr="001A556C" w:rsidRDefault="00F57E70">
      <w:pPr>
        <w:pStyle w:val="Heading2"/>
        <w:rPr>
          <w:rFonts w:ascii="Times New Roman" w:hAnsi="Times New Roman" w:cs="Times New Roman"/>
          <w:color w:val="auto"/>
          <w:sz w:val="22"/>
          <w:szCs w:val="22"/>
        </w:rPr>
      </w:pPr>
      <w:bookmarkStart w:id="26" w:name="X6fd8432e7d70250c5c847c6c1dcc2455802a8d1"/>
      <w:bookmarkEnd w:id="21"/>
      <w:bookmarkEnd w:id="25"/>
      <w:r w:rsidRPr="001A556C">
        <w:rPr>
          <w:rFonts w:ascii="Times New Roman" w:hAnsi="Times New Roman" w:cs="Times New Roman"/>
          <w:color w:val="auto"/>
          <w:sz w:val="22"/>
          <w:szCs w:val="22"/>
        </w:rPr>
        <w:lastRenderedPageBreak/>
        <w:t>6. Retraining as an Optimal Stopping Problem</w:t>
      </w:r>
    </w:p>
    <w:p w14:paraId="1B333EAE" w14:textId="77777777" w:rsidR="00427A24" w:rsidRPr="001A556C" w:rsidRDefault="00F57E70">
      <w:pPr>
        <w:pStyle w:val="Heading3"/>
        <w:rPr>
          <w:rFonts w:ascii="Times New Roman" w:hAnsi="Times New Roman" w:cs="Times New Roman"/>
          <w:color w:val="auto"/>
          <w:sz w:val="22"/>
          <w:szCs w:val="22"/>
        </w:rPr>
      </w:pPr>
      <w:bookmarkStart w:id="27" w:name="the-decision-process"/>
      <w:r w:rsidRPr="001A556C">
        <w:rPr>
          <w:rFonts w:ascii="Times New Roman" w:hAnsi="Times New Roman" w:cs="Times New Roman"/>
          <w:color w:val="auto"/>
          <w:sz w:val="22"/>
          <w:szCs w:val="22"/>
        </w:rPr>
        <w:t>6.1 The decision process</w:t>
      </w:r>
    </w:p>
    <w:p w14:paraId="17F8547B"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Retraining decisions are taken at review epochs </w:t>
      </w:r>
      <m:oMath>
        <m:r>
          <w:rPr>
            <w:rFonts w:ascii="Cambria Math" w:hAnsi="Cambria Math" w:cs="Times New Roman"/>
            <w:sz w:val="22"/>
            <w:szCs w:val="22"/>
          </w:rPr>
          <m:t>r</m:t>
        </m:r>
        <m:r>
          <m:rPr>
            <m:scr m:val="script"/>
            <m:sty m:val="p"/>
          </m:rPr>
          <w:rPr>
            <w:rFonts w:ascii="Cambria Math" w:hAnsi="Cambria Math" w:cs="Times New Roman"/>
            <w:sz w:val="22"/>
            <w:szCs w:val="22"/>
          </w:rPr>
          <m:t>∈G={</m:t>
        </m:r>
        <m:r>
          <w:rPr>
            <w:rFonts w:ascii="Cambria Math" w:hAnsi="Cambria Math" w:cs="Times New Roman"/>
            <w:sz w:val="22"/>
            <w:szCs w:val="22"/>
          </w:rPr>
          <m:t>10</m:t>
        </m:r>
        <m:r>
          <m:rPr>
            <m:sty m:val="p"/>
          </m:rPr>
          <w:rPr>
            <w:rFonts w:ascii="Cambria Math" w:hAnsi="Cambria Math" w:cs="Times New Roman"/>
            <w:sz w:val="22"/>
            <w:szCs w:val="22"/>
          </w:rPr>
          <m:t>,</m:t>
        </m:r>
        <m:r>
          <w:rPr>
            <w:rFonts w:ascii="Cambria Math" w:hAnsi="Cambria Math" w:cs="Times New Roman"/>
            <w:sz w:val="22"/>
            <w:szCs w:val="22"/>
          </w:rPr>
          <m:t>20</m:t>
        </m:r>
        <m:r>
          <m:rPr>
            <m:sty m:val="p"/>
          </m:rPr>
          <w:rPr>
            <w:rFonts w:ascii="Cambria Math" w:hAnsi="Cambria Math" w:cs="Times New Roman"/>
            <w:sz w:val="22"/>
            <w:szCs w:val="22"/>
          </w:rPr>
          <m:t>,…,</m:t>
        </m:r>
        <m:r>
          <w:rPr>
            <w:rFonts w:ascii="Cambria Math" w:hAnsi="Cambria Math" w:cs="Times New Roman"/>
            <w:sz w:val="22"/>
            <w:szCs w:val="22"/>
          </w:rPr>
          <m:t>90</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The state is the aging level </w:t>
      </w:r>
      <m:oMath>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r</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(MAI or CDI); the action set is </w:t>
      </w:r>
      <m:oMath>
        <m:r>
          <m:rPr>
            <m:sty m:val="p"/>
          </m:rPr>
          <w:rPr>
            <w:rFonts w:ascii="Cambria Math" w:hAnsi="Cambria Math" w:cs="Times New Roman"/>
            <w:sz w:val="22"/>
            <w:szCs w:val="22"/>
          </w:rPr>
          <m:t>{</m:t>
        </m:r>
        <m:r>
          <m:rPr>
            <m:nor/>
          </m:rPr>
          <w:rPr>
            <w:rFonts w:ascii="Times New Roman" w:hAnsi="Times New Roman" w:cs="Times New Roman"/>
            <w:sz w:val="22"/>
            <w:szCs w:val="22"/>
          </w:rPr>
          <m:t>keep</m:t>
        </m:r>
        <m:r>
          <m:rPr>
            <m:sty m:val="p"/>
          </m:rPr>
          <w:rPr>
            <w:rFonts w:ascii="Cambria Math" w:hAnsi="Cambria Math" w:cs="Times New Roman"/>
            <w:sz w:val="22"/>
            <w:szCs w:val="22"/>
          </w:rPr>
          <m:t>,</m:t>
        </m:r>
        <m:r>
          <m:rPr>
            <m:nor/>
          </m:rPr>
          <w:rPr>
            <w:rFonts w:ascii="Times New Roman" w:hAnsi="Times New Roman" w:cs="Times New Roman"/>
            <w:sz w:val="22"/>
            <w:szCs w:val="22"/>
          </w:rPr>
          <m:t>retrain</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t>
      </w:r>
      <w:r w:rsidR="008963F7" w:rsidRPr="001A556C">
        <w:rPr>
          <w:rFonts w:ascii="Times New Roman" w:hAnsi="Times New Roman" w:cs="Times New Roman"/>
          <w:sz w:val="22"/>
          <w:szCs w:val="22"/>
        </w:rPr>
        <w:t>Choosing incurs</w:t>
      </w:r>
      <w:r w:rsidRPr="001A556C">
        <w:rPr>
          <w:rFonts w:ascii="Times New Roman" w:hAnsi="Times New Roman" w:cs="Times New Roman"/>
          <w:sz w:val="22"/>
          <w:szCs w:val="22"/>
        </w:rPr>
        <w:t xml:space="preserve"> a setup cost </w:t>
      </w:r>
      <m:oMath>
        <m:r>
          <w:rPr>
            <w:rFonts w:ascii="Cambria Math" w:hAnsi="Cambria Math" w:cs="Times New Roman"/>
            <w:sz w:val="22"/>
            <w:szCs w:val="22"/>
          </w:rPr>
          <m:t>K</m:t>
        </m:r>
      </m:oMath>
      <w:r w:rsidRPr="001A556C">
        <w:rPr>
          <w:rFonts w:ascii="Times New Roman" w:hAnsi="Times New Roman" w:cs="Times New Roman"/>
          <w:sz w:val="22"/>
          <w:szCs w:val="22"/>
          <w:highlight w:val="yellow"/>
        </w:rPr>
        <w:t xml:space="preserve">—for compute, analyst labelling of the training window, validation, and change </w:t>
      </w:r>
      <w:r w:rsidR="008963F7" w:rsidRPr="001A556C">
        <w:rPr>
          <w:rFonts w:ascii="Times New Roman" w:hAnsi="Times New Roman" w:cs="Times New Roman"/>
          <w:sz w:val="22"/>
          <w:szCs w:val="22"/>
          <w:highlight w:val="yellow"/>
        </w:rPr>
        <w:t>management—and</w:t>
      </w:r>
      <w:r w:rsidRPr="001A556C">
        <w:rPr>
          <w:rFonts w:ascii="Times New Roman" w:hAnsi="Times New Roman" w:cs="Times New Roman"/>
          <w:sz w:val="22"/>
          <w:szCs w:val="22"/>
        </w:rPr>
        <w:t xml:space="preserve"> refits </w:t>
      </w:r>
      <m:oMath>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oMath>
      <w:r w:rsidRPr="001A556C">
        <w:rPr>
          <w:rFonts w:ascii="Times New Roman" w:hAnsi="Times New Roman" w:cs="Times New Roman"/>
          <w:sz w:val="22"/>
          <w:szCs w:val="22"/>
        </w:rPr>
        <w:t xml:space="preserve"> on the most recent </w:t>
      </w:r>
      <m:oMath>
        <m:r>
          <w:rPr>
            <w:rFonts w:ascii="Cambria Math" w:hAnsi="Cambria Math" w:cs="Times New Roman"/>
            <w:sz w:val="22"/>
            <w:szCs w:val="22"/>
          </w:rPr>
          <m:t>W</m:t>
        </m:r>
      </m:oMath>
      <w:r w:rsidRPr="001A556C">
        <w:rPr>
          <w:rFonts w:ascii="Times New Roman" w:hAnsi="Times New Roman" w:cs="Times New Roman"/>
          <w:sz w:val="22"/>
          <w:szCs w:val="22"/>
        </w:rPr>
        <w:t xml:space="preserve"> batches, resetting the reference window and hence the aging state. </w:t>
      </w:r>
      <w:r w:rsidR="008963F7" w:rsidRPr="001A556C">
        <w:rPr>
          <w:rFonts w:ascii="Times New Roman" w:hAnsi="Times New Roman" w:cs="Times New Roman"/>
          <w:sz w:val="22"/>
          <w:szCs w:val="22"/>
        </w:rPr>
        <w:t>Choosing incurs</w:t>
      </w:r>
      <w:r w:rsidRPr="001A556C">
        <w:rPr>
          <w:rFonts w:ascii="Times New Roman" w:hAnsi="Times New Roman" w:cs="Times New Roman"/>
          <w:sz w:val="22"/>
          <w:szCs w:val="22"/>
        </w:rPr>
        <w:t xml:space="preserve"> the stage cost</w:t>
      </w:r>
    </w:p>
    <w:p w14:paraId="2CCDC029" w14:textId="77777777" w:rsidR="00427A24" w:rsidRPr="001A556C" w:rsidRDefault="00F57E70">
      <w:pPr>
        <w:pStyle w:val="BodyText"/>
        <w:rPr>
          <w:rFonts w:ascii="Times New Roman" w:hAnsi="Times New Roman" w:cs="Times New Roman"/>
          <w:sz w:val="22"/>
          <w:szCs w:val="22"/>
        </w:rPr>
      </w:pPr>
      <m:oMathPara>
        <m:oMathParaPr>
          <m:jc m:val="center"/>
        </m:oMathParaPr>
        <m:oMath>
          <m:r>
            <w:rPr>
              <w:rFonts w:ascii="Cambria Math" w:hAnsi="Cambria Math" w:cs="Times New Roman"/>
              <w:sz w:val="22"/>
              <w:szCs w:val="22"/>
            </w:rPr>
            <m:t>g</m:t>
          </m:r>
          <m:d>
            <m:dPr>
              <m:ctrlPr>
                <w:rPr>
                  <w:rFonts w:ascii="Cambria Math" w:hAnsi="Cambria Math" w:cs="Times New Roman"/>
                  <w:sz w:val="22"/>
                  <w:szCs w:val="22"/>
                </w:rPr>
              </m:ctrlPr>
            </m:dPr>
            <m:e>
              <m:r>
                <w:rPr>
                  <w:rFonts w:ascii="Cambria Math" w:hAnsi="Cambria Math" w:cs="Times New Roman"/>
                  <w:sz w:val="22"/>
                  <w:szCs w:val="22"/>
                </w:rPr>
                <m:t>x</m:t>
              </m:r>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⋅FN+</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⋅FP∣</m:t>
              </m:r>
              <m:r>
                <w:rPr>
                  <w:rFonts w:ascii="Cambria Math" w:hAnsi="Cambria Math" w:cs="Times New Roman"/>
                  <w:sz w:val="22"/>
                  <w:szCs w:val="22"/>
                </w:rPr>
                <m:t>x</m:t>
              </m:r>
            </m:e>
          </m:d>
          <m:r>
            <m:rPr>
              <m:sty m:val="p"/>
            </m:rPr>
            <w:rPr>
              <w:rFonts w:ascii="Cambria Math" w:hAnsi="Cambria Math" w:cs="Times New Roman"/>
              <w:sz w:val="22"/>
              <w:szCs w:val="22"/>
            </w:rPr>
            <m:t>,</m:t>
          </m:r>
        </m:oMath>
      </m:oMathPara>
    </w:p>
    <w:p w14:paraId="6C51B7B0"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expected security loss per batch at aging level </w:t>
      </w:r>
      <m:oMath>
        <m:r>
          <w:rPr>
            <w:rFonts w:ascii="Cambria Math" w:hAnsi="Cambria Math" w:cs="Times New Roman"/>
            <w:sz w:val="22"/>
            <w:szCs w:val="22"/>
          </w:rPr>
          <m:t>x</m:t>
        </m:r>
      </m:oMath>
      <w:r w:rsidRPr="001A556C">
        <w:rPr>
          <w:rFonts w:ascii="Times New Roman" w:hAnsi="Times New Roman" w:cs="Times New Roman"/>
          <w:sz w:val="22"/>
          <w:szCs w:val="22"/>
        </w:rPr>
        <w:t>. The objective is to minimise total expected cost over the horizon.</w:t>
      </w:r>
    </w:p>
    <w:p w14:paraId="1600D021" w14:textId="77777777" w:rsidR="00427A24" w:rsidRPr="001A556C" w:rsidRDefault="00F57E70">
      <w:pPr>
        <w:pStyle w:val="Heading3"/>
        <w:rPr>
          <w:rFonts w:ascii="Times New Roman" w:hAnsi="Times New Roman" w:cs="Times New Roman"/>
          <w:color w:val="auto"/>
          <w:sz w:val="22"/>
          <w:szCs w:val="22"/>
        </w:rPr>
      </w:pPr>
      <w:bookmarkStart w:id="28" w:name="structure-of-the-optimal-policy"/>
      <w:bookmarkEnd w:id="27"/>
      <w:r w:rsidRPr="001A556C">
        <w:rPr>
          <w:rFonts w:ascii="Times New Roman" w:hAnsi="Times New Roman" w:cs="Times New Roman"/>
          <w:color w:val="auto"/>
          <w:sz w:val="22"/>
          <w:szCs w:val="22"/>
        </w:rPr>
        <w:t>6.2 Structure of the optimal policy</w:t>
      </w:r>
    </w:p>
    <w:p w14:paraId="383D38C3"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Theorem 1 (Optimality of a control-limit policy)</w:t>
      </w:r>
      <w:r w:rsidR="008963F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Assume (A1) the stage cost </w:t>
      </w:r>
      <m:oMath>
        <m:r>
          <w:rPr>
            <w:rFonts w:ascii="Cambria Math" w:hAnsi="Cambria Math" w:cs="Times New Roman"/>
            <w:sz w:val="22"/>
            <w:szCs w:val="22"/>
          </w:rPr>
          <m:t>g</m:t>
        </m:r>
      </m:oMath>
      <w:r w:rsidRPr="001A556C">
        <w:rPr>
          <w:rFonts w:ascii="Times New Roman" w:hAnsi="Times New Roman" w:cs="Times New Roman"/>
          <w:i/>
          <w:iCs/>
          <w:sz w:val="22"/>
          <w:szCs w:val="22"/>
        </w:rPr>
        <w:t xml:space="preserve"> is nondecreasing in </w:t>
      </w:r>
      <m:oMath>
        <m:r>
          <w:rPr>
            <w:rFonts w:ascii="Cambria Math" w:hAnsi="Cambria Math" w:cs="Times New Roman"/>
            <w:sz w:val="22"/>
            <w:szCs w:val="22"/>
          </w:rPr>
          <m:t>x</m:t>
        </m:r>
      </m:oMath>
      <w:r w:rsidRPr="001A556C">
        <w:rPr>
          <w:rFonts w:ascii="Times New Roman" w:hAnsi="Times New Roman" w:cs="Times New Roman"/>
          <w:i/>
          <w:iCs/>
          <w:sz w:val="22"/>
          <w:szCs w:val="22"/>
        </w:rPr>
        <w:t xml:space="preserve">; (A2) the transition kernel </w:t>
      </w:r>
      <m:oMath>
        <m:r>
          <w:rPr>
            <w:rFonts w:ascii="Cambria Math" w:hAnsi="Cambria Math" w:cs="Times New Roman"/>
            <w:sz w:val="22"/>
            <w:szCs w:val="22"/>
          </w:rPr>
          <m:t>P</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oMath>
      <w:r w:rsidRPr="001A556C">
        <w:rPr>
          <w:rFonts w:ascii="Times New Roman" w:hAnsi="Times New Roman" w:cs="Times New Roman"/>
          <w:i/>
          <w:iCs/>
          <w:sz w:val="22"/>
          <w:szCs w:val="22"/>
        </w:rPr>
        <w:t xml:space="preserve"> is stochastically nondecreasing in </w:t>
      </w:r>
      <m:oMath>
        <m:r>
          <w:rPr>
            <w:rFonts w:ascii="Cambria Math" w:hAnsi="Cambria Math" w:cs="Times New Roman"/>
            <w:sz w:val="22"/>
            <w:szCs w:val="22"/>
          </w:rPr>
          <m:t>x</m:t>
        </m:r>
      </m:oMath>
      <w:r w:rsidRPr="001A556C">
        <w:rPr>
          <w:rFonts w:ascii="Times New Roman" w:hAnsi="Times New Roman" w:cs="Times New Roman"/>
          <w:i/>
          <w:iCs/>
          <w:sz w:val="22"/>
          <w:szCs w:val="22"/>
        </w:rPr>
        <w:t xml:space="preserve">; (A3) the post-retraining state distribution does not depend on </w:t>
      </w:r>
      <m:oMath>
        <m:r>
          <w:rPr>
            <w:rFonts w:ascii="Cambria Math" w:hAnsi="Cambria Math" w:cs="Times New Roman"/>
            <w:sz w:val="22"/>
            <w:szCs w:val="22"/>
          </w:rPr>
          <m:t>x</m:t>
        </m:r>
      </m:oMath>
      <w:r w:rsidRPr="001A556C">
        <w:rPr>
          <w:rFonts w:ascii="Times New Roman" w:hAnsi="Times New Roman" w:cs="Times New Roman"/>
          <w:i/>
          <w:iCs/>
          <w:sz w:val="22"/>
          <w:szCs w:val="22"/>
        </w:rPr>
        <w:t xml:space="preserve">. Then there exists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such that the cost-minimising stationary policy is</w:t>
      </w:r>
    </w:p>
    <w:p w14:paraId="1FB76237" w14:textId="77777777" w:rsidR="00427A24" w:rsidRPr="001A556C" w:rsidRDefault="00000000" w:rsidP="008963F7">
      <w:pPr>
        <w:pStyle w:val="BodyText"/>
        <w:spacing w:line="360" w:lineRule="auto"/>
        <w:jc w:val="both"/>
        <w:rPr>
          <w:rFonts w:ascii="Times New Roman" w:hAnsi="Times New Roman" w:cs="Times New Roman"/>
          <w:sz w:val="22"/>
          <w:szCs w:val="22"/>
        </w:rPr>
      </w:pPr>
      <m:oMathPara>
        <m:oMathParaPr>
          <m:jc m:val="center"/>
        </m:oMathParaPr>
        <m:oMath>
          <m:sSup>
            <m:sSupPr>
              <m:ctrlPr>
                <w:rPr>
                  <w:rFonts w:ascii="Cambria Math" w:hAnsi="Cambria Math" w:cs="Times New Roman"/>
                  <w:sz w:val="22"/>
                  <w:szCs w:val="22"/>
                </w:rPr>
              </m:ctrlPr>
            </m:sSupPr>
            <m:e>
              <m:r>
                <w:rPr>
                  <w:rFonts w:ascii="Cambria Math" w:hAnsi="Cambria Math" w:cs="Times New Roman"/>
                  <w:sz w:val="22"/>
                  <w:szCs w:val="22"/>
                </w:rPr>
                <m:t>a</m:t>
              </m:r>
            </m:e>
            <m:sup>
              <m:r>
                <m:rPr>
                  <m:sty m:val="p"/>
                </m:rPr>
                <w:rPr>
                  <w:rFonts w:ascii="Cambria Math" w:hAnsi="Cambria Math" w:cs="Times New Roman"/>
                  <w:sz w:val="22"/>
                  <w:szCs w:val="22"/>
                </w:rPr>
                <m:t>*</m:t>
              </m:r>
            </m:sup>
          </m:sSup>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m>
                <m:mPr>
                  <m:plcHide m:val="1"/>
                  <m:mcs>
                    <m:mc>
                      <m:mcPr>
                        <m:count m:val="2"/>
                        <m:mcJc m:val="left"/>
                      </m:mcPr>
                    </m:mc>
                  </m:mcs>
                  <m:ctrlPr>
                    <w:rPr>
                      <w:rFonts w:ascii="Cambria Math" w:hAnsi="Cambria Math" w:cs="Times New Roman"/>
                      <w:sz w:val="22"/>
                      <w:szCs w:val="22"/>
                    </w:rPr>
                  </m:ctrlPr>
                </m:mPr>
                <m:mr>
                  <m:e>
                    <m:r>
                      <m:rPr>
                        <m:nor/>
                      </m:rPr>
                      <w:rPr>
                        <w:rFonts w:ascii="Times New Roman" w:hAnsi="Times New Roman" w:cs="Times New Roman"/>
                        <w:sz w:val="22"/>
                        <w:szCs w:val="22"/>
                      </w:rPr>
                      <m:t>retrain</m:t>
                    </m:r>
                    <m:r>
                      <m:rPr>
                        <m:sty m:val="p"/>
                      </m:rPr>
                      <w:rPr>
                        <w:rFonts w:ascii="Cambria Math" w:hAnsi="Cambria Math" w:cs="Times New Roman"/>
                        <w:sz w:val="22"/>
                        <w:szCs w:val="22"/>
                      </w:rPr>
                      <m:t>,</m:t>
                    </m:r>
                  </m:e>
                  <m:e>
                    <m:r>
                      <w:rPr>
                        <w:rFonts w:ascii="Cambria Math" w:hAnsi="Cambria Math" w:cs="Times New Roman"/>
                        <w:sz w:val="22"/>
                        <w:szCs w:val="22"/>
                      </w:rPr>
                      <m:t>x</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e>
                </m:mr>
                <m:mr>
                  <m:e>
                    <m:r>
                      <m:rPr>
                        <m:nor/>
                      </m:rPr>
                      <w:rPr>
                        <w:rFonts w:ascii="Times New Roman" w:hAnsi="Times New Roman" w:cs="Times New Roman"/>
                        <w:sz w:val="22"/>
                        <w:szCs w:val="22"/>
                      </w:rPr>
                      <m:t>keep</m:t>
                    </m:r>
                    <m:r>
                      <m:rPr>
                        <m:sty m:val="p"/>
                      </m:rPr>
                      <w:rPr>
                        <w:rFonts w:ascii="Cambria Math" w:hAnsi="Cambria Math" w:cs="Times New Roman"/>
                        <w:sz w:val="22"/>
                        <w:szCs w:val="22"/>
                      </w:rPr>
                      <m:t>,</m:t>
                    </m:r>
                  </m:e>
                  <m:e>
                    <m:r>
                      <w:rPr>
                        <w:rFonts w:ascii="Cambria Math" w:hAnsi="Cambria Math" w:cs="Times New Roman"/>
                        <w:sz w:val="22"/>
                        <w:szCs w:val="22"/>
                      </w:rPr>
                      <m:t>x</m:t>
                    </m:r>
                    <m:r>
                      <m:rPr>
                        <m:sty m:val="p"/>
                      </m:rPr>
                      <w:rPr>
                        <w:rFonts w:ascii="Cambria Math" w:hAnsi="Cambria Math" w:cs="Times New Roman"/>
                        <w:sz w:val="22"/>
                        <w:szCs w:val="22"/>
                      </w:rPr>
                      <m:t>&lt;</m:t>
                    </m:r>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e>
                </m:mr>
              </m:m>
            </m:e>
          </m:d>
        </m:oMath>
      </m:oMathPara>
    </w:p>
    <w:p w14:paraId="593F957F"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Let </w:t>
      </w:r>
      <m:oMath>
        <m:r>
          <w:rPr>
            <w:rFonts w:ascii="Cambria Math" w:hAnsi="Cambria Math" w:cs="Times New Roman"/>
            <w:sz w:val="22"/>
            <w:szCs w:val="22"/>
          </w:rPr>
          <m:t>V</m:t>
        </m:r>
      </m:oMath>
      <w:r w:rsidRPr="001A556C">
        <w:rPr>
          <w:rFonts w:ascii="Times New Roman" w:hAnsi="Times New Roman" w:cs="Times New Roman"/>
          <w:sz w:val="22"/>
          <w:szCs w:val="22"/>
        </w:rPr>
        <w:t xml:space="preserve"> denote the optimal value function and consider the value-iteration operator </w:t>
      </w:r>
      <m:oMath>
        <m:r>
          <m:rPr>
            <m:scr m:val="script"/>
            <m:sty m:val="p"/>
          </m:rPr>
          <w:rPr>
            <w:rFonts w:ascii="Cambria Math" w:hAnsi="Cambria Math" w:cs="Times New Roman"/>
            <w:sz w:val="22"/>
            <w:szCs w:val="22"/>
          </w:rPr>
          <m:t>T</m:t>
        </m:r>
      </m:oMath>
      <w:r w:rsidRPr="001A556C">
        <w:rPr>
          <w:rFonts w:ascii="Times New Roman" w:hAnsi="Times New Roman" w:cs="Times New Roman"/>
          <w:sz w:val="22"/>
          <w:szCs w:val="22"/>
        </w:rPr>
        <w:t xml:space="preserve">. Under (A1) and (A2), </w:t>
      </w:r>
      <m:oMath>
        <m:r>
          <m:rPr>
            <m:scr m:val="script"/>
            <m:sty m:val="p"/>
          </m:rPr>
          <w:rPr>
            <w:rFonts w:ascii="Cambria Math" w:hAnsi="Cambria Math" w:cs="Times New Roman"/>
            <w:sz w:val="22"/>
            <w:szCs w:val="22"/>
          </w:rPr>
          <m:t>T</m:t>
        </m:r>
      </m:oMath>
      <w:r w:rsidRPr="001A556C">
        <w:rPr>
          <w:rFonts w:ascii="Times New Roman" w:hAnsi="Times New Roman" w:cs="Times New Roman"/>
          <w:sz w:val="22"/>
          <w:szCs w:val="22"/>
        </w:rPr>
        <w:t xml:space="preserve"> maps nondecreasing functions to nondecreasing functions: if </w:t>
      </w:r>
      <m:oMath>
        <m:r>
          <w:rPr>
            <w:rFonts w:ascii="Cambria Math" w:hAnsi="Cambria Math" w:cs="Times New Roman"/>
            <w:sz w:val="22"/>
            <w:szCs w:val="22"/>
          </w:rPr>
          <m:t>V</m:t>
        </m:r>
      </m:oMath>
      <w:r w:rsidRPr="001A556C">
        <w:rPr>
          <w:rFonts w:ascii="Times New Roman" w:hAnsi="Times New Roman" w:cs="Times New Roman"/>
          <w:sz w:val="22"/>
          <w:szCs w:val="22"/>
        </w:rPr>
        <w:t xml:space="preserve"> is nondecreasing then </w:t>
      </w:r>
      <m:oMath>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V dP</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oMath>
      <w:r w:rsidRPr="001A556C">
        <w:rPr>
          <w:rFonts w:ascii="Times New Roman" w:hAnsi="Times New Roman" w:cs="Times New Roman"/>
          <w:sz w:val="22"/>
          <w:szCs w:val="22"/>
        </w:rPr>
        <w:t xml:space="preserve"> is nondecreasing by stochastic monotonicity, and adding the nondecreasing </w:t>
      </w:r>
      <m:oMath>
        <m:r>
          <w:rPr>
            <w:rFonts w:ascii="Cambria Math" w:hAnsi="Cambria Math" w:cs="Times New Roman"/>
            <w:sz w:val="22"/>
            <w:szCs w:val="22"/>
          </w:rPr>
          <m:t>g</m:t>
        </m:r>
      </m:oMath>
      <w:r w:rsidRPr="001A556C">
        <w:rPr>
          <w:rFonts w:ascii="Times New Roman" w:hAnsi="Times New Roman" w:cs="Times New Roman"/>
          <w:sz w:val="22"/>
          <w:szCs w:val="22"/>
        </w:rPr>
        <w:t xml:space="preserve"> preserves the property; the minimum with a constant preserves it as well. Since the space of bounded nondecreasing functions on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is closed under uniform convergence and </w:t>
      </w:r>
      <m:oMath>
        <m:r>
          <m:rPr>
            <m:scr m:val="script"/>
            <m:sty m:val="p"/>
          </m:rPr>
          <w:rPr>
            <w:rFonts w:ascii="Cambria Math" w:hAnsi="Cambria Math" w:cs="Times New Roman"/>
            <w:sz w:val="22"/>
            <w:szCs w:val="22"/>
          </w:rPr>
          <m:t>T</m:t>
        </m:r>
      </m:oMath>
      <w:r w:rsidRPr="001A556C">
        <w:rPr>
          <w:rFonts w:ascii="Times New Roman" w:hAnsi="Times New Roman" w:cs="Times New Roman"/>
          <w:sz w:val="22"/>
          <w:szCs w:val="22"/>
        </w:rPr>
        <w:t xml:space="preserve"> is a contraction, the fixed point </w:t>
      </w:r>
      <m:oMath>
        <m:r>
          <w:rPr>
            <w:rFonts w:ascii="Cambria Math" w:hAnsi="Cambria Math" w:cs="Times New Roman"/>
            <w:sz w:val="22"/>
            <w:szCs w:val="22"/>
          </w:rPr>
          <m:t>V</m:t>
        </m:r>
      </m:oMath>
      <w:r w:rsidRPr="001A556C">
        <w:rPr>
          <w:rFonts w:ascii="Times New Roman" w:hAnsi="Times New Roman" w:cs="Times New Roman"/>
          <w:sz w:val="22"/>
          <w:szCs w:val="22"/>
        </w:rPr>
        <w:t xml:space="preserve"> is nondecreasing. Now define </w:t>
      </w:r>
      <m:oMath>
        <m:r>
          <w:rPr>
            <w:rFonts w:ascii="Cambria Math" w:hAnsi="Cambria Math" w:cs="Times New Roman"/>
            <w:sz w:val="22"/>
            <w:szCs w:val="22"/>
          </w:rPr>
          <m:t>Ξ</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r>
          <m:rPr>
            <m:sty m:val="p"/>
          </m:rPr>
          <w:rPr>
            <w:rFonts w:ascii="Cambria Math" w:hAnsi="Cambria Math" w:cs="Times New Roman"/>
            <w:sz w:val="22"/>
            <w:szCs w:val="22"/>
          </w:rPr>
          <m:t>-</m:t>
        </m:r>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retrain</m:t>
            </m:r>
          </m:e>
        </m:d>
      </m:oMath>
      <w:r w:rsidRPr="001A556C">
        <w:rPr>
          <w:rFonts w:ascii="Times New Roman" w:hAnsi="Times New Roman" w:cs="Times New Roman"/>
          <w:sz w:val="22"/>
          <w:szCs w:val="22"/>
        </w:rPr>
        <w:t xml:space="preserve">. By (A3), </w:t>
      </w:r>
      <m:oMath>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retrain</m:t>
            </m:r>
          </m:e>
        </m:d>
        <m:r>
          <m:rPr>
            <m:sty m:val="p"/>
          </m:rPr>
          <w:rPr>
            <w:rFonts w:ascii="Cambria Math" w:hAnsi="Cambria Math" w:cs="Times New Roman"/>
            <w:sz w:val="22"/>
            <w:szCs w:val="22"/>
          </w:rPr>
          <m:t>=</m:t>
        </m:r>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β </m:t>
        </m:r>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r>
              <w:rPr>
                <w:rFonts w:ascii="Cambria Math" w:hAnsi="Cambria Math" w:cs="Times New Roman"/>
                <w:sz w:val="22"/>
                <w:szCs w:val="22"/>
              </w:rPr>
              <m:t>V</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e>
            </m:d>
          </m:e>
        </m:d>
      </m:oMath>
      <w:r w:rsidRPr="001A556C">
        <w:rPr>
          <w:rFonts w:ascii="Times New Roman" w:hAnsi="Times New Roman" w:cs="Times New Roman"/>
          <w:sz w:val="22"/>
          <w:szCs w:val="22"/>
        </w:rPr>
        <w:t xml:space="preserve"> is constant in </w:t>
      </w:r>
      <m:oMath>
        <m:r>
          <w:rPr>
            <w:rFonts w:ascii="Cambria Math" w:hAnsi="Cambria Math" w:cs="Times New Roman"/>
            <w:sz w:val="22"/>
            <w:szCs w:val="22"/>
          </w:rPr>
          <m:t>x</m:t>
        </m:r>
      </m:oMath>
      <w:r w:rsidRPr="001A556C">
        <w:rPr>
          <w:rFonts w:ascii="Times New Roman" w:hAnsi="Times New Roman" w:cs="Times New Roman"/>
          <w:sz w:val="22"/>
          <w:szCs w:val="22"/>
        </w:rPr>
        <w:t xml:space="preserve">, whereas </w:t>
      </w:r>
      <m:oMath>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r>
          <m:rPr>
            <m:sty m:val="p"/>
          </m:rPr>
          <w:rPr>
            <w:rFonts w:ascii="Cambria Math" w:hAnsi="Cambria Math" w:cs="Times New Roman"/>
            <w:sz w:val="22"/>
            <w:szCs w:val="22"/>
          </w:rPr>
          <m:t>=</m:t>
        </m:r>
        <m:r>
          <w:rPr>
            <w:rFonts w:ascii="Cambria Math" w:hAnsi="Cambria Math" w:cs="Times New Roman"/>
            <w:sz w:val="22"/>
            <w:szCs w:val="22"/>
          </w:rPr>
          <m:t>g</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β</m:t>
        </m:r>
        <m:r>
          <m:rPr>
            <m:sty m:val="p"/>
          </m:rPr>
          <w:rPr>
            <w:rFonts w:ascii="Cambria Math" w:hAnsi="Cambria Math" w:cs="Times New Roman"/>
            <w:sz w:val="22"/>
            <w:szCs w:val="22"/>
          </w:rPr>
          <m:t>∫</m:t>
        </m:r>
        <m:r>
          <w:rPr>
            <w:rFonts w:ascii="Cambria Math" w:hAnsi="Cambria Math" w:cs="Times New Roman"/>
            <w:sz w:val="22"/>
            <w:szCs w:val="22"/>
          </w:rPr>
          <m:t>V dP</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oMath>
      <w:r w:rsidRPr="001A556C">
        <w:rPr>
          <w:rFonts w:ascii="Times New Roman" w:hAnsi="Times New Roman" w:cs="Times New Roman"/>
          <w:sz w:val="22"/>
          <w:szCs w:val="22"/>
        </w:rPr>
        <w:t xml:space="preserve"> is nondecreasing. Hence </w:t>
      </w:r>
      <m:oMath>
        <m:r>
          <w:rPr>
            <w:rFonts w:ascii="Cambria Math" w:hAnsi="Cambria Math" w:cs="Times New Roman"/>
            <w:sz w:val="22"/>
            <w:szCs w:val="22"/>
          </w:rPr>
          <m:t>Ξ</m:t>
        </m:r>
      </m:oMath>
      <w:r w:rsidRPr="001A556C">
        <w:rPr>
          <w:rFonts w:ascii="Times New Roman" w:hAnsi="Times New Roman" w:cs="Times New Roman"/>
          <w:sz w:val="22"/>
          <w:szCs w:val="22"/>
        </w:rPr>
        <w:t xml:space="preserve"> is nondecreasing and crosses zero at most once;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=inf{</m:t>
        </m:r>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Ξ</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delivers the stated form. Monotonicity conditions of this type are standard </w:t>
      </w:r>
      <w:r w:rsidRPr="001A556C">
        <w:rPr>
          <w:rFonts w:ascii="Times New Roman" w:hAnsi="Times New Roman" w:cs="Times New Roman"/>
          <w:sz w:val="22"/>
          <w:szCs w:val="22"/>
          <w:highlight w:val="yellow"/>
        </w:rPr>
        <w:t>(Puterman, 1994)</w:t>
      </w:r>
      <w:r w:rsidRPr="001A556C">
        <w:rPr>
          <w:rFonts w:ascii="Times New Roman" w:hAnsi="Times New Roman" w:cs="Times New Roman"/>
          <w:sz w:val="22"/>
          <w:szCs w:val="22"/>
        </w:rPr>
        <w:t xml:space="preserve">. </w:t>
      </w:r>
      <m:oMath>
        <m:r>
          <m:rPr>
            <m:sty m:val="p"/>
          </m:rPr>
          <w:rPr>
            <w:rFonts w:ascii="Cambria Math" w:hAnsi="Cambria Math" w:cs="Times New Roman"/>
            <w:sz w:val="22"/>
            <w:szCs w:val="22"/>
          </w:rPr>
          <m:t>▫</m:t>
        </m:r>
      </m:oMath>
    </w:p>
    <w:p w14:paraId="775707D8" w14:textId="77777777" w:rsidR="00427A24" w:rsidRPr="001A556C" w:rsidRDefault="00F57E70" w:rsidP="008963F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Assumption (A1) holds by construction of </w:t>
      </w:r>
      <m:oMath>
        <m:r>
          <w:rPr>
            <w:rFonts w:ascii="Cambria Math" w:hAnsi="Cambria Math" w:cs="Times New Roman"/>
            <w:sz w:val="22"/>
            <w:szCs w:val="22"/>
          </w:rPr>
          <m:t>g</m:t>
        </m:r>
      </m:oMath>
      <w:r w:rsidRPr="001A556C">
        <w:rPr>
          <w:rFonts w:ascii="Times New Roman" w:hAnsi="Times New Roman" w:cs="Times New Roman"/>
          <w:sz w:val="22"/>
          <w:szCs w:val="22"/>
        </w:rPr>
        <w:t xml:space="preserve">; (A2) holds because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is an accumulator with nonnegative increments, so a higher current aging level stochastically dominates a lower one under identical future stress; (A3) holds because retraining resets both the model and the reference window. Assumption (A2) is violated in exactly </w:t>
      </w:r>
      <w:r w:rsidRPr="001A556C">
        <w:rPr>
          <w:rFonts w:ascii="Times New Roman" w:hAnsi="Times New Roman" w:cs="Times New Roman"/>
          <w:sz w:val="22"/>
          <w:szCs w:val="22"/>
          <w:highlight w:val="yellow"/>
        </w:rPr>
        <w:t>one of our regimes:</w:t>
      </w:r>
      <w:r w:rsidR="008963F7"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recurring drift, where a high aging level may precede a </w:t>
      </w:r>
      <w:r w:rsidRPr="001A556C">
        <w:rPr>
          <w:rFonts w:ascii="Times New Roman" w:hAnsi="Times New Roman" w:cs="Times New Roman"/>
          <w:i/>
          <w:iCs/>
          <w:sz w:val="22"/>
          <w:szCs w:val="22"/>
        </w:rPr>
        <w:t>return</w:t>
      </w:r>
      <w:r w:rsidRPr="001A556C">
        <w:rPr>
          <w:rFonts w:ascii="Times New Roman" w:hAnsi="Times New Roman" w:cs="Times New Roman"/>
          <w:sz w:val="22"/>
          <w:szCs w:val="22"/>
        </w:rPr>
        <w:t xml:space="preserve"> to the training environment and Section 8.5 shows that this is precisely where every threshold policy underperforms the oracle.</w:t>
      </w:r>
    </w:p>
    <w:p w14:paraId="60D4DA16" w14:textId="77777777" w:rsidR="00427A24" w:rsidRPr="001A556C" w:rsidRDefault="00F57E70">
      <w:pPr>
        <w:pStyle w:val="Heading3"/>
        <w:rPr>
          <w:rFonts w:ascii="Times New Roman" w:hAnsi="Times New Roman" w:cs="Times New Roman"/>
          <w:color w:val="auto"/>
          <w:sz w:val="22"/>
          <w:szCs w:val="22"/>
        </w:rPr>
      </w:pPr>
      <w:bookmarkStart w:id="29" w:name="the-inventory-analogy"/>
      <w:bookmarkEnd w:id="28"/>
      <w:r w:rsidRPr="001A556C">
        <w:rPr>
          <w:rFonts w:ascii="Times New Roman" w:hAnsi="Times New Roman" w:cs="Times New Roman"/>
          <w:color w:val="auto"/>
          <w:sz w:val="22"/>
          <w:szCs w:val="22"/>
        </w:rPr>
        <w:lastRenderedPageBreak/>
        <w:t>6.3 The inventory analogy</w:t>
      </w:r>
    </w:p>
    <w:p w14:paraId="60BF5821"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Theorem 1 is structurally the replenishment result of stochastic inventory theory. A deployed model is an asset whose value depreciates under </w:t>
      </w:r>
      <w:r w:rsidRPr="001A556C">
        <w:rPr>
          <w:rFonts w:ascii="Times New Roman" w:hAnsi="Times New Roman" w:cs="Times New Roman"/>
          <w:sz w:val="22"/>
          <w:szCs w:val="22"/>
          <w:highlight w:val="yellow"/>
        </w:rPr>
        <w:t>stochastic demand—here, distributional stress—and is restored</w:t>
      </w:r>
      <w:r w:rsidRPr="001A556C">
        <w:rPr>
          <w:rFonts w:ascii="Times New Roman" w:hAnsi="Times New Roman" w:cs="Times New Roman"/>
          <w:sz w:val="22"/>
          <w:szCs w:val="22"/>
        </w:rPr>
        <w:t xml:space="preserve"> at a fixed setup cost </w:t>
      </w:r>
      <m:oMath>
        <m:r>
          <w:rPr>
            <w:rFonts w:ascii="Cambria Math" w:hAnsi="Cambria Math" w:cs="Times New Roman"/>
            <w:sz w:val="22"/>
            <w:szCs w:val="22"/>
          </w:rPr>
          <m:t>K</m:t>
        </m:r>
      </m:oMath>
      <w:r w:rsidRPr="001A556C">
        <w:rPr>
          <w:rFonts w:ascii="Times New Roman" w:hAnsi="Times New Roman" w:cs="Times New Roman"/>
          <w:sz w:val="22"/>
          <w:szCs w:val="22"/>
        </w:rPr>
        <w:t xml:space="preserve">. The control limit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plays the role of the reorder point </w:t>
      </w:r>
      <m:oMath>
        <m:r>
          <w:rPr>
            <w:rFonts w:ascii="Cambria Math" w:hAnsi="Cambria Math" w:cs="Times New Roman"/>
            <w:sz w:val="22"/>
            <w:szCs w:val="22"/>
          </w:rPr>
          <m:t>s</m:t>
        </m:r>
      </m:oMath>
      <w:r w:rsidRPr="001A556C">
        <w:rPr>
          <w:rFonts w:ascii="Times New Roman" w:hAnsi="Times New Roman" w:cs="Times New Roman"/>
          <w:sz w:val="22"/>
          <w:szCs w:val="22"/>
        </w:rPr>
        <w:t xml:space="preserve">; the post-retraining reset plays the role of the order-up-to level </w:t>
      </w:r>
      <m:oMath>
        <m:r>
          <w:rPr>
            <w:rFonts w:ascii="Cambria Math" w:hAnsi="Cambria Math" w:cs="Times New Roman"/>
            <w:sz w:val="22"/>
            <w:szCs w:val="22"/>
          </w:rPr>
          <m:t>S</m:t>
        </m:r>
      </m:oMath>
      <w:r w:rsidRPr="001A556C">
        <w:rPr>
          <w:rFonts w:ascii="Times New Roman" w:hAnsi="Times New Roman" w:cs="Times New Roman"/>
          <w:sz w:val="22"/>
          <w:szCs w:val="22"/>
        </w:rPr>
        <w:t xml:space="preserve">. This is not merely an analogy of form: the comparative statics transfer. As </w:t>
      </w:r>
      <m:oMath>
        <m:r>
          <w:rPr>
            <w:rFonts w:ascii="Cambria Math" w:hAnsi="Cambria Math" w:cs="Times New Roman"/>
            <w:sz w:val="22"/>
            <w:szCs w:val="22"/>
          </w:rPr>
          <m:t>K</m:t>
        </m:r>
      </m:oMath>
      <w:r w:rsidRPr="001A556C">
        <w:rPr>
          <w:rFonts w:ascii="Times New Roman" w:hAnsi="Times New Roman" w:cs="Times New Roman"/>
          <w:sz w:val="22"/>
          <w:szCs w:val="22"/>
        </w:rPr>
        <w:t xml:space="preserve"> increases the control limit rises, and as the cost asymmetry </w:t>
      </w:r>
      <m:oMath>
        <m:r>
          <w:rPr>
            <w:rFonts w:ascii="Cambria Math" w:hAnsi="Cambria Math" w:cs="Times New Roman"/>
            <w:sz w:val="22"/>
            <w:szCs w:val="22"/>
          </w:rPr>
          <m:t>γ</m:t>
        </m:r>
      </m:oMath>
      <w:r w:rsidRPr="001A556C">
        <w:rPr>
          <w:rFonts w:ascii="Times New Roman" w:hAnsi="Times New Roman" w:cs="Times New Roman"/>
          <w:sz w:val="22"/>
          <w:szCs w:val="22"/>
        </w:rPr>
        <w:t xml:space="preserve"> increases the effective stage cost steepens and the limit falls. The mature apparatus developed for replenishment under uncertainty and cost non-stationarity </w:t>
      </w:r>
      <w:r w:rsidRPr="001A556C">
        <w:rPr>
          <w:rFonts w:ascii="Times New Roman" w:hAnsi="Times New Roman" w:cs="Times New Roman"/>
          <w:sz w:val="22"/>
          <w:szCs w:val="22"/>
          <w:highlight w:val="yellow"/>
        </w:rPr>
        <w:t>(Dehury et al., 2026; Routray et al., 2026a; Routray et al., 2026b)</w:t>
      </w:r>
      <w:r w:rsidRPr="001A556C">
        <w:rPr>
          <w:rFonts w:ascii="Times New Roman" w:hAnsi="Times New Roman" w:cs="Times New Roman"/>
          <w:sz w:val="22"/>
          <w:szCs w:val="22"/>
        </w:rPr>
        <w:t xml:space="preserve"> is therefore directly available for model lifecycle management, which appears to be an unexploited connection.</w:t>
      </w:r>
    </w:p>
    <w:p w14:paraId="27A4D789" w14:textId="77777777" w:rsidR="00427A24" w:rsidRPr="001A556C" w:rsidRDefault="00F57E70" w:rsidP="008963F7">
      <w:pPr>
        <w:pStyle w:val="Heading3"/>
        <w:spacing w:line="360" w:lineRule="auto"/>
        <w:jc w:val="both"/>
        <w:rPr>
          <w:rFonts w:ascii="Times New Roman" w:hAnsi="Times New Roman" w:cs="Times New Roman"/>
          <w:color w:val="auto"/>
          <w:sz w:val="22"/>
          <w:szCs w:val="22"/>
        </w:rPr>
      </w:pPr>
      <w:bookmarkStart w:id="30" w:name="dwell-time"/>
      <w:bookmarkEnd w:id="29"/>
      <w:r w:rsidRPr="001A556C">
        <w:rPr>
          <w:rFonts w:ascii="Times New Roman" w:hAnsi="Times New Roman" w:cs="Times New Roman"/>
          <w:color w:val="auto"/>
          <w:sz w:val="22"/>
          <w:szCs w:val="22"/>
        </w:rPr>
        <w:t>6.4 Dwell time</w:t>
      </w:r>
    </w:p>
    <w:p w14:paraId="79ED6BAC"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Pure threshold policies retrain repeatedly when the aging signal oscillates near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We therefore augment the policy with a </w:t>
      </w:r>
      <w:r w:rsidRPr="001A556C">
        <w:rPr>
          <w:rFonts w:ascii="Times New Roman" w:hAnsi="Times New Roman" w:cs="Times New Roman"/>
          <w:b/>
          <w:bCs/>
          <w:sz w:val="22"/>
          <w:szCs w:val="22"/>
        </w:rPr>
        <w:t>minimum re-fit interval</w:t>
      </w:r>
      <w:r w:rsidRPr="001A556C">
        <w:rPr>
          <w:rFonts w:ascii="Times New Roman" w:hAnsi="Times New Roman" w:cs="Times New Roman"/>
          <w:sz w:val="22"/>
          <w:szCs w:val="22"/>
        </w:rPr>
        <w:t xml:space="preserve"> </w:t>
      </w:r>
      <m:oMath>
        <m:r>
          <w:rPr>
            <w:rFonts w:ascii="Cambria Math" w:hAnsi="Cambria Math" w:cs="Times New Roman"/>
            <w:sz w:val="22"/>
            <w:szCs w:val="22"/>
          </w:rPr>
          <m:t>D</m:t>
        </m:r>
      </m:oMath>
      <w:r w:rsidRPr="001A556C">
        <w:rPr>
          <w:rFonts w:ascii="Times New Roman" w:hAnsi="Times New Roman" w:cs="Times New Roman"/>
          <w:sz w:val="22"/>
          <w:szCs w:val="22"/>
        </w:rPr>
        <w:t xml:space="preserve">: retraining is suppressed if fewer than </w:t>
      </w:r>
      <m:oMath>
        <m:r>
          <w:rPr>
            <w:rFonts w:ascii="Cambria Math" w:hAnsi="Cambria Math" w:cs="Times New Roman"/>
            <w:sz w:val="22"/>
            <w:szCs w:val="22"/>
          </w:rPr>
          <m:t>D</m:t>
        </m:r>
      </m:oMath>
      <w:r w:rsidRPr="001A556C">
        <w:rPr>
          <w:rFonts w:ascii="Times New Roman" w:hAnsi="Times New Roman" w:cs="Times New Roman"/>
          <w:sz w:val="22"/>
          <w:szCs w:val="22"/>
        </w:rPr>
        <w:t xml:space="preserve"> batches have elapsed since the last refit. In the augmented state </w:t>
      </w:r>
      <m:oMath>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time since refit</m:t>
            </m:r>
          </m:e>
        </m:d>
      </m:oMath>
      <w:r w:rsidRPr="001A556C">
        <w:rPr>
          <w:rFonts w:ascii="Times New Roman" w:hAnsi="Times New Roman" w:cs="Times New Roman"/>
          <w:sz w:val="22"/>
          <w:szCs w:val="22"/>
        </w:rPr>
        <w:t xml:space="preserve"> the policy remains a control limit, and </w:t>
      </w:r>
      <m:oMath>
        <m:r>
          <w:rPr>
            <w:rFonts w:ascii="Cambria Math" w:hAnsi="Cambria Math" w:cs="Times New Roman"/>
            <w:sz w:val="22"/>
            <w:szCs w:val="22"/>
          </w:rPr>
          <m:t>D</m:t>
        </m:r>
      </m:oMath>
      <w:r w:rsidRPr="001A556C">
        <w:rPr>
          <w:rFonts w:ascii="Times New Roman" w:hAnsi="Times New Roman" w:cs="Times New Roman"/>
          <w:sz w:val="22"/>
          <w:szCs w:val="22"/>
        </w:rPr>
        <w:t xml:space="preserve"> is a decision variable optimised jointly with </w:t>
      </w:r>
      <m:oMath>
        <m:r>
          <w:rPr>
            <w:rFonts w:ascii="Cambria Math" w:hAnsi="Cambria Math" w:cs="Times New Roman"/>
            <w:sz w:val="22"/>
            <w:szCs w:val="22"/>
          </w:rPr>
          <m:t>τ</m:t>
        </m:r>
      </m:oMath>
      <w:r w:rsidRPr="001A556C">
        <w:rPr>
          <w:rFonts w:ascii="Times New Roman" w:hAnsi="Times New Roman" w:cs="Times New Roman"/>
          <w:sz w:val="22"/>
          <w:szCs w:val="22"/>
        </w:rPr>
        <w:t xml:space="preserve"> in Section 8.5.</w:t>
      </w:r>
    </w:p>
    <w:p w14:paraId="24489B93" w14:textId="77777777" w:rsidR="00427A24" w:rsidRPr="001A556C" w:rsidRDefault="00427A24">
      <w:pPr>
        <w:rPr>
          <w:rFonts w:ascii="Times New Roman" w:hAnsi="Times New Roman" w:cs="Times New Roman"/>
          <w:sz w:val="22"/>
          <w:szCs w:val="22"/>
        </w:rPr>
      </w:pPr>
    </w:p>
    <w:p w14:paraId="10851412" w14:textId="77777777" w:rsidR="00427A24" w:rsidRPr="001A556C" w:rsidRDefault="00F57E70">
      <w:pPr>
        <w:pStyle w:val="Heading2"/>
        <w:rPr>
          <w:rFonts w:ascii="Times New Roman" w:hAnsi="Times New Roman" w:cs="Times New Roman"/>
          <w:color w:val="auto"/>
          <w:sz w:val="22"/>
          <w:szCs w:val="22"/>
        </w:rPr>
      </w:pPr>
      <w:bookmarkStart w:id="31" w:name="experimental-design"/>
      <w:bookmarkEnd w:id="26"/>
      <w:bookmarkEnd w:id="30"/>
      <w:r w:rsidRPr="001A556C">
        <w:rPr>
          <w:rFonts w:ascii="Times New Roman" w:hAnsi="Times New Roman" w:cs="Times New Roman"/>
          <w:color w:val="auto"/>
          <w:sz w:val="22"/>
          <w:szCs w:val="22"/>
        </w:rPr>
        <w:t>7. Experimental Design</w:t>
      </w:r>
    </w:p>
    <w:p w14:paraId="5C5FBCD2" w14:textId="77777777" w:rsidR="00427A24" w:rsidRPr="001A556C" w:rsidRDefault="00F57E70">
      <w:pPr>
        <w:pStyle w:val="Heading3"/>
        <w:rPr>
          <w:rFonts w:ascii="Times New Roman" w:hAnsi="Times New Roman" w:cs="Times New Roman"/>
          <w:color w:val="auto"/>
          <w:sz w:val="22"/>
          <w:szCs w:val="22"/>
        </w:rPr>
      </w:pPr>
      <w:bookmarkStart w:id="32" w:name="data-and-the-novelty-channel"/>
      <w:r w:rsidRPr="001A556C">
        <w:rPr>
          <w:rFonts w:ascii="Times New Roman" w:hAnsi="Times New Roman" w:cs="Times New Roman"/>
          <w:color w:val="auto"/>
          <w:sz w:val="22"/>
          <w:szCs w:val="22"/>
        </w:rPr>
        <w:t>7.1 Data and the novelty channel</w:t>
      </w:r>
    </w:p>
    <w:p w14:paraId="5FDBACAA"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use NSL-KDD </w:t>
      </w:r>
      <w:r w:rsidRPr="001A556C">
        <w:rPr>
          <w:rFonts w:ascii="Times New Roman" w:hAnsi="Times New Roman" w:cs="Times New Roman"/>
          <w:sz w:val="22"/>
          <w:szCs w:val="22"/>
          <w:highlight w:val="yellow"/>
        </w:rPr>
        <w:t>(Tavallaee et al., 2009)</w:t>
      </w:r>
      <w:r w:rsidRPr="001A556C">
        <w:rPr>
          <w:rFonts w:ascii="Times New Roman" w:hAnsi="Times New Roman" w:cs="Times New Roman"/>
          <w:sz w:val="22"/>
          <w:szCs w:val="22"/>
        </w:rPr>
        <w:t xml:space="preserve">, the standard de-duplicated refinement of KDD Cup 99, comprising KDDTrain+ (125,973 flows) and KDDTest+ (22,544 flows) with 41 raw attributes. The critical design decision concerns how drift is induced. A common practice is to reweight attack families </w:t>
      </w:r>
      <w:r w:rsidRPr="001A556C">
        <w:rPr>
          <w:rFonts w:ascii="Times New Roman" w:hAnsi="Times New Roman" w:cs="Times New Roman"/>
          <w:sz w:val="22"/>
          <w:szCs w:val="22"/>
          <w:highlight w:val="yellow"/>
        </w:rPr>
        <w:t>across the stream, increasing</w:t>
      </w:r>
      <w:r w:rsidRPr="001A556C">
        <w:rPr>
          <w:rFonts w:ascii="Times New Roman" w:hAnsi="Times New Roman" w:cs="Times New Roman"/>
          <w:sz w:val="22"/>
          <w:szCs w:val="22"/>
        </w:rPr>
        <w:t xml:space="preserve"> the share of Probe traffic, say, while decreasing DoS. We implemented this first and found it inadequate: because every family is represented in the training window, reweighting produces </w:t>
      </w:r>
      <w:r w:rsidRPr="001A556C">
        <w:rPr>
          <w:rFonts w:ascii="Times New Roman" w:hAnsi="Times New Roman" w:cs="Times New Roman"/>
          <w:i/>
          <w:iCs/>
          <w:sz w:val="22"/>
          <w:szCs w:val="22"/>
        </w:rPr>
        <w:t>virtual</w:t>
      </w:r>
      <w:r w:rsidRPr="001A556C">
        <w:rPr>
          <w:rFonts w:ascii="Times New Roman" w:hAnsi="Times New Roman" w:cs="Times New Roman"/>
          <w:sz w:val="22"/>
          <w:szCs w:val="22"/>
        </w:rPr>
        <w:t xml:space="preserve"> drift and the degradation is negligible (F1 falling only from 0.997 to 0.988 across our entire stream). Reporting such an experiment would substantially understate the problem.</w:t>
      </w:r>
    </w:p>
    <w:p w14:paraId="097BD093" w14:textId="77777777" w:rsidR="00427A24" w:rsidRPr="001A556C" w:rsidRDefault="00F57E70" w:rsidP="008963F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therefore exploit a property of the NSL-KDD partition that is well known but rarely used for this purpose: </w:t>
      </w:r>
      <w:r w:rsidRPr="001A556C">
        <w:rPr>
          <w:rFonts w:ascii="Times New Roman" w:hAnsi="Times New Roman" w:cs="Times New Roman"/>
          <w:b/>
          <w:bCs/>
          <w:sz w:val="22"/>
          <w:szCs w:val="22"/>
        </w:rPr>
        <w:t>KDDTest+ contains 17 attack types that appear nowhere in KDDTrain+</w:t>
      </w:r>
      <w:r w:rsidRPr="001A556C">
        <w:rPr>
          <w:rFonts w:ascii="Times New Roman" w:hAnsi="Times New Roman" w:cs="Times New Roman"/>
          <w:sz w:val="22"/>
          <w:szCs w:val="22"/>
          <w:highlight w:val="yellow"/>
        </w:rPr>
        <w:t xml:space="preserve">: </w:t>
      </w:r>
      <w:r w:rsidRPr="001A556C">
        <w:rPr>
          <w:rStyle w:val="VerbatimChar"/>
          <w:rFonts w:ascii="Times New Roman" w:hAnsi="Times New Roman" w:cs="Times New Roman"/>
          <w:szCs w:val="22"/>
        </w:rPr>
        <w:t>apache2</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httptunnel</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mailbomb</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mscan</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named</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processtable</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ps</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saint</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sendmail</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snmpgetattack</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snmpguess</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sqlattack</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udpstorm</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worm</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xlock</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xsnoop</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xterm</w:t>
      </w:r>
      <w:r w:rsidRPr="001A556C">
        <w:rPr>
          <w:rFonts w:ascii="Times New Roman" w:hAnsi="Times New Roman" w:cs="Times New Roman"/>
          <w:sz w:val="22"/>
          <w:szCs w:val="22"/>
          <w:highlight w:val="yellow"/>
        </w:rPr>
        <w:t>—</w:t>
      </w:r>
      <w:r w:rsidRPr="001A556C">
        <w:rPr>
          <w:rFonts w:ascii="Times New Roman" w:hAnsi="Times New Roman" w:cs="Times New Roman"/>
          <w:sz w:val="22"/>
          <w:szCs w:val="22"/>
        </w:rPr>
        <w:t>totalling 3,750 flow records spanning all four coarse families. These constitute a genuine novelty channel: threat behaviour the detector has never observed under any label.</w:t>
      </w:r>
    </w:p>
    <w:p w14:paraId="6DFD5092" w14:textId="77777777" w:rsidR="00427A24" w:rsidRPr="001A556C" w:rsidRDefault="00F57E70" w:rsidP="008963F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The pre-drift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A</m:t>
            </m:r>
          </m:sub>
        </m:sSub>
      </m:oMath>
      <w:r w:rsidRPr="001A556C">
        <w:rPr>
          <w:rFonts w:ascii="Times New Roman" w:hAnsi="Times New Roman" w:cs="Times New Roman"/>
          <w:sz w:val="22"/>
          <w:szCs w:val="22"/>
        </w:rPr>
        <w:t xml:space="preserve"> is composed of benign traffic and known attacks in proportions (benign 0.60, DoS 0.28, Probe 0.10, R2L/U2R 0.02). The post-drift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B</m:t>
            </m:r>
          </m:sub>
        </m:sSub>
      </m:oMath>
      <w:r w:rsidRPr="001A556C">
        <w:rPr>
          <w:rFonts w:ascii="Times New Roman" w:hAnsi="Times New Roman" w:cs="Times New Roman"/>
          <w:sz w:val="22"/>
          <w:szCs w:val="22"/>
        </w:rPr>
        <w:t xml:space="preserve"> is (benign 0.60 drawn from the KDDTest+ benign pool, novel-type attacks 0.25, DoS 0.05, Probe 0.05, R2L/U2R 0.05), so that at full drift </w:t>
      </w:r>
      <w:r w:rsidRPr="001A556C">
        <w:rPr>
          <w:rFonts w:ascii="Times New Roman" w:hAnsi="Times New Roman" w:cs="Times New Roman"/>
          <w:sz w:val="22"/>
          <w:szCs w:val="22"/>
          <w:highlight w:val="yellow"/>
        </w:rPr>
        <w:t>one quarter of all traffic—roughly 62% of all attack traffic—belongs</w:t>
      </w:r>
      <w:r w:rsidRPr="001A556C">
        <w:rPr>
          <w:rFonts w:ascii="Times New Roman" w:hAnsi="Times New Roman" w:cs="Times New Roman"/>
          <w:sz w:val="22"/>
          <w:szCs w:val="22"/>
        </w:rPr>
        <w:t xml:space="preserve"> to families absent from training.</w:t>
      </w:r>
    </w:p>
    <w:p w14:paraId="2A08E195" w14:textId="77777777" w:rsidR="00427A24" w:rsidRPr="001A556C" w:rsidRDefault="00F57E70">
      <w:pPr>
        <w:pStyle w:val="Heading3"/>
        <w:rPr>
          <w:rFonts w:ascii="Times New Roman" w:hAnsi="Times New Roman" w:cs="Times New Roman"/>
          <w:color w:val="auto"/>
          <w:sz w:val="22"/>
          <w:szCs w:val="22"/>
        </w:rPr>
      </w:pPr>
      <w:bookmarkStart w:id="33" w:name="preprocessing-and-stream-construction"/>
      <w:bookmarkEnd w:id="32"/>
      <w:r w:rsidRPr="001A556C">
        <w:rPr>
          <w:rFonts w:ascii="Times New Roman" w:hAnsi="Times New Roman" w:cs="Times New Roman"/>
          <w:color w:val="auto"/>
          <w:sz w:val="22"/>
          <w:szCs w:val="22"/>
        </w:rPr>
        <w:t>7.2 Preprocessing and stream construction</w:t>
      </w:r>
    </w:p>
    <w:p w14:paraId="31C2E460" w14:textId="77777777" w:rsidR="00427A24" w:rsidRPr="001A556C" w:rsidRDefault="00F57E7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three categorical attributes (</w:t>
      </w:r>
      <w:r w:rsidRPr="001A556C">
        <w:rPr>
          <w:rStyle w:val="VerbatimChar"/>
          <w:rFonts w:ascii="Times New Roman" w:hAnsi="Times New Roman" w:cs="Times New Roman"/>
          <w:szCs w:val="22"/>
        </w:rPr>
        <w:t>protocol_type</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service</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flag</w:t>
      </w:r>
      <w:r w:rsidRPr="001A556C">
        <w:rPr>
          <w:rFonts w:ascii="Times New Roman" w:hAnsi="Times New Roman" w:cs="Times New Roman"/>
          <w:sz w:val="22"/>
          <w:szCs w:val="22"/>
        </w:rPr>
        <w:t xml:space="preserve">) are one-hot encoded, yielding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122</m:t>
        </m:r>
      </m:oMath>
      <w:r w:rsidRPr="001A556C">
        <w:rPr>
          <w:rFonts w:ascii="Times New Roman" w:hAnsi="Times New Roman" w:cs="Times New Roman"/>
          <w:sz w:val="22"/>
          <w:szCs w:val="22"/>
        </w:rPr>
        <w:t xml:space="preserve"> features. A quantile </w:t>
      </w:r>
      <w:r w:rsidR="008963F7" w:rsidRPr="001A556C">
        <w:rPr>
          <w:rFonts w:ascii="Times New Roman" w:hAnsi="Times New Roman" w:cs="Times New Roman"/>
          <w:sz w:val="22"/>
          <w:szCs w:val="22"/>
        </w:rPr>
        <w:t>transforms</w:t>
      </w:r>
      <w:r w:rsidRPr="001A556C">
        <w:rPr>
          <w:rFonts w:ascii="Times New Roman" w:hAnsi="Times New Roman" w:cs="Times New Roman"/>
          <w:sz w:val="22"/>
          <w:szCs w:val="22"/>
        </w:rPr>
        <w:t xml:space="preserve"> to the uniform distribution on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is fitted </w:t>
      </w:r>
      <w:r w:rsidRPr="001A556C">
        <w:rPr>
          <w:rFonts w:ascii="Times New Roman" w:hAnsi="Times New Roman" w:cs="Times New Roman"/>
          <w:b/>
          <w:bCs/>
          <w:sz w:val="22"/>
          <w:szCs w:val="22"/>
        </w:rPr>
        <w:t>on the reference window only</w:t>
      </w:r>
      <w:r w:rsidRPr="001A556C">
        <w:rPr>
          <w:rFonts w:ascii="Times New Roman" w:hAnsi="Times New Roman" w:cs="Times New Roman"/>
          <w:sz w:val="22"/>
          <w:szCs w:val="22"/>
        </w:rPr>
        <w:t xml:space="preserve"> and applied unchanged thereafter; no post-drift information reaches any preprocessing stage, in accordance with the temporal-consistency constraints of TESSERACT </w:t>
      </w:r>
      <w:r w:rsidRPr="001A556C">
        <w:rPr>
          <w:rFonts w:ascii="Times New Roman" w:hAnsi="Times New Roman" w:cs="Times New Roman"/>
          <w:sz w:val="22"/>
          <w:szCs w:val="22"/>
          <w:highlight w:val="yellow"/>
        </w:rPr>
        <w:t>(Pendlebury et al., 2019)</w:t>
      </w:r>
      <w:r w:rsidRPr="001A556C">
        <w:rPr>
          <w:rFonts w:ascii="Times New Roman" w:hAnsi="Times New Roman" w:cs="Times New Roman"/>
          <w:sz w:val="22"/>
          <w:szCs w:val="22"/>
        </w:rPr>
        <w:t xml:space="preserve">. The reference window contains </w:t>
      </w:r>
      <m:oMath>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0</m:t>
            </m:r>
          </m:sub>
        </m:sSub>
        <m:r>
          <m:rPr>
            <m:sty m:val="p"/>
          </m:rPr>
          <w:rPr>
            <w:rFonts w:ascii="Cambria Math" w:hAnsi="Cambria Math" w:cs="Times New Roman"/>
            <w:sz w:val="22"/>
            <w:szCs w:val="22"/>
          </w:rPr>
          <m:t>=</m:t>
        </m:r>
        <m:r>
          <w:rPr>
            <w:rFonts w:ascii="Cambria Math" w:hAnsi="Cambria Math" w:cs="Times New Roman"/>
            <w:sz w:val="22"/>
            <w:szCs w:val="22"/>
          </w:rPr>
          <m:t>20</m:t>
        </m:r>
        <m:r>
          <m:rPr>
            <m:sty m:val="p"/>
          </m:rPr>
          <w:rPr>
            <w:rFonts w:ascii="Cambria Math" w:hAnsi="Cambria Math" w:cs="Times New Roman"/>
            <w:sz w:val="22"/>
            <w:szCs w:val="22"/>
          </w:rPr>
          <m:t>,</m:t>
        </m:r>
        <m:r>
          <w:rPr>
            <w:rFonts w:ascii="Cambria Math" w:hAnsi="Cambria Math" w:cs="Times New Roman"/>
            <w:sz w:val="22"/>
            <w:szCs w:val="22"/>
          </w:rPr>
          <m:t>000</m:t>
        </m:r>
      </m:oMath>
      <w:r w:rsidRPr="001A556C">
        <w:rPr>
          <w:rFonts w:ascii="Times New Roman" w:hAnsi="Times New Roman" w:cs="Times New Roman"/>
          <w:sz w:val="22"/>
          <w:szCs w:val="22"/>
        </w:rPr>
        <w:t xml:space="preserve"> flows at 40% attack prevalence. Each scenario streams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100</m:t>
        </m:r>
      </m:oMath>
      <w:r w:rsidRPr="001A556C">
        <w:rPr>
          <w:rFonts w:ascii="Times New Roman" w:hAnsi="Times New Roman" w:cs="Times New Roman"/>
          <w:sz w:val="22"/>
          <w:szCs w:val="22"/>
        </w:rPr>
        <w:t xml:space="preserve"> batches of </w:t>
      </w:r>
      <m:oMath>
        <m:r>
          <w:rPr>
            <w:rFonts w:ascii="Cambria Math" w:hAnsi="Cambria Math" w:cs="Times New Roman"/>
            <w:sz w:val="22"/>
            <w:szCs w:val="22"/>
          </w:rPr>
          <m:t>n</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000</m:t>
        </m:r>
      </m:oMath>
      <w:r w:rsidRPr="001A556C">
        <w:rPr>
          <w:rFonts w:ascii="Times New Roman" w:hAnsi="Times New Roman" w:cs="Times New Roman"/>
          <w:sz w:val="22"/>
          <w:szCs w:val="22"/>
        </w:rPr>
        <w:t xml:space="preserve"> flows. Instances are drawn with replacement from the family pools, so the novel-attack pool is bootstrap-resampled; we return to this in Section 10.</w:t>
      </w:r>
    </w:p>
    <w:p w14:paraId="1CC00926" w14:textId="77777777" w:rsidR="00427A24" w:rsidRPr="001A556C" w:rsidRDefault="00F57E70">
      <w:pPr>
        <w:pStyle w:val="Heading3"/>
        <w:rPr>
          <w:rFonts w:ascii="Times New Roman" w:hAnsi="Times New Roman" w:cs="Times New Roman"/>
          <w:color w:val="auto"/>
          <w:sz w:val="22"/>
          <w:szCs w:val="22"/>
        </w:rPr>
      </w:pPr>
      <w:bookmarkStart w:id="34" w:name="detector-architectures"/>
      <w:bookmarkEnd w:id="33"/>
      <w:r w:rsidRPr="001A556C">
        <w:rPr>
          <w:rFonts w:ascii="Times New Roman" w:hAnsi="Times New Roman" w:cs="Times New Roman"/>
          <w:color w:val="auto"/>
          <w:sz w:val="22"/>
          <w:szCs w:val="22"/>
        </w:rPr>
        <w:t>7.3 Detector architectures</w:t>
      </w:r>
    </w:p>
    <w:p w14:paraId="0E2BBB38"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Seven architectures span the practical design space: </w:t>
      </w:r>
      <w:r w:rsidRPr="001A556C">
        <w:rPr>
          <w:rFonts w:ascii="Times New Roman" w:hAnsi="Times New Roman" w:cs="Times New Roman"/>
          <w:b/>
          <w:bCs/>
          <w:sz w:val="22"/>
          <w:szCs w:val="22"/>
        </w:rPr>
        <w:t>Random Forest</w:t>
      </w:r>
      <w:r w:rsidRPr="001A556C">
        <w:rPr>
          <w:rFonts w:ascii="Times New Roman" w:hAnsi="Times New Roman" w:cs="Times New Roman"/>
          <w:sz w:val="22"/>
          <w:szCs w:val="22"/>
        </w:rPr>
        <w:t xml:space="preserve"> (200 trees) </w:t>
      </w:r>
      <w:r w:rsidRPr="001A556C">
        <w:rPr>
          <w:rFonts w:ascii="Times New Roman" w:hAnsi="Times New Roman" w:cs="Times New Roman"/>
          <w:sz w:val="22"/>
          <w:szCs w:val="22"/>
          <w:highlight w:val="yellow"/>
        </w:rPr>
        <w:t>(Breiman, 2001)</w:t>
      </w:r>
      <w:r w:rsidRPr="001A556C">
        <w:rPr>
          <w:rFonts w:ascii="Times New Roman" w:hAnsi="Times New Roman" w:cs="Times New Roman"/>
          <w:sz w:val="22"/>
          <w:szCs w:val="22"/>
        </w:rPr>
        <w:t xml:space="preserve">; </w:t>
      </w:r>
      <w:r w:rsidRPr="001A556C">
        <w:rPr>
          <w:rFonts w:ascii="Times New Roman" w:hAnsi="Times New Roman" w:cs="Times New Roman"/>
          <w:b/>
          <w:bCs/>
          <w:sz w:val="22"/>
          <w:szCs w:val="22"/>
        </w:rPr>
        <w:t>XGBoost</w:t>
      </w:r>
      <w:r w:rsidRPr="001A556C">
        <w:rPr>
          <w:rFonts w:ascii="Times New Roman" w:hAnsi="Times New Roman" w:cs="Times New Roman"/>
          <w:sz w:val="22"/>
          <w:szCs w:val="22"/>
        </w:rPr>
        <w:t xml:space="preserve"> (300 rounds, depth 6) </w:t>
      </w:r>
      <w:r w:rsidRPr="001A556C">
        <w:rPr>
          <w:rFonts w:ascii="Times New Roman" w:hAnsi="Times New Roman" w:cs="Times New Roman"/>
          <w:sz w:val="22"/>
          <w:szCs w:val="22"/>
          <w:highlight w:val="yellow"/>
        </w:rPr>
        <w:t>(Chen &amp; Guestrin, 2016)</w:t>
      </w:r>
      <w:r w:rsidRPr="001A556C">
        <w:rPr>
          <w:rFonts w:ascii="Times New Roman" w:hAnsi="Times New Roman" w:cs="Times New Roman"/>
          <w:sz w:val="22"/>
          <w:szCs w:val="22"/>
        </w:rPr>
        <w:t xml:space="preserve">; </w:t>
      </w:r>
      <w:r w:rsidRPr="001A556C">
        <w:rPr>
          <w:rFonts w:ascii="Times New Roman" w:hAnsi="Times New Roman" w:cs="Times New Roman"/>
          <w:b/>
          <w:bCs/>
          <w:sz w:val="22"/>
          <w:szCs w:val="22"/>
        </w:rPr>
        <w:t>LightGBM</w:t>
      </w:r>
      <w:r w:rsidRPr="001A556C">
        <w:rPr>
          <w:rFonts w:ascii="Times New Roman" w:hAnsi="Times New Roman" w:cs="Times New Roman"/>
          <w:sz w:val="22"/>
          <w:szCs w:val="22"/>
        </w:rPr>
        <w:t xml:space="preserve"> (300 rounds, 63 leaves) </w:t>
      </w:r>
      <w:r w:rsidRPr="001A556C">
        <w:rPr>
          <w:rFonts w:ascii="Times New Roman" w:hAnsi="Times New Roman" w:cs="Times New Roman"/>
          <w:sz w:val="22"/>
          <w:szCs w:val="22"/>
          <w:highlight w:val="yellow"/>
        </w:rPr>
        <w:t>(Ke et al., 2017)</w:t>
      </w:r>
      <w:r w:rsidRPr="001A556C">
        <w:rPr>
          <w:rFonts w:ascii="Times New Roman" w:hAnsi="Times New Roman" w:cs="Times New Roman"/>
          <w:sz w:val="22"/>
          <w:szCs w:val="22"/>
        </w:rPr>
        <w:t xml:space="preserve">; a </w:t>
      </w:r>
      <w:r w:rsidRPr="001A556C">
        <w:rPr>
          <w:rFonts w:ascii="Times New Roman" w:hAnsi="Times New Roman" w:cs="Times New Roman"/>
          <w:b/>
          <w:bCs/>
          <w:sz w:val="22"/>
          <w:szCs w:val="22"/>
        </w:rPr>
        <w:t>1D-CNN</w:t>
      </w:r>
      <w:r w:rsidRPr="001A556C">
        <w:rPr>
          <w:rFonts w:ascii="Times New Roman" w:hAnsi="Times New Roman" w:cs="Times New Roman"/>
          <w:sz w:val="22"/>
          <w:szCs w:val="22"/>
        </w:rPr>
        <w:t xml:space="preserve"> (two convolutional blocks, adaptive max-pooling); an </w:t>
      </w:r>
      <w:r w:rsidRPr="001A556C">
        <w:rPr>
          <w:rFonts w:ascii="Times New Roman" w:hAnsi="Times New Roman" w:cs="Times New Roman"/>
          <w:b/>
          <w:bCs/>
          <w:sz w:val="22"/>
          <w:szCs w:val="22"/>
        </w:rPr>
        <w:t>LSTM</w:t>
      </w:r>
      <w:r w:rsidRPr="001A556C">
        <w:rPr>
          <w:rFonts w:ascii="Times New Roman" w:hAnsi="Times New Roman" w:cs="Times New Roman"/>
          <w:sz w:val="22"/>
          <w:szCs w:val="22"/>
        </w:rPr>
        <w:t xml:space="preserve"> (48 hidden units) </w:t>
      </w:r>
      <w:r w:rsidRPr="001A556C">
        <w:rPr>
          <w:rFonts w:ascii="Times New Roman" w:hAnsi="Times New Roman" w:cs="Times New Roman"/>
          <w:sz w:val="22"/>
          <w:szCs w:val="22"/>
          <w:highlight w:val="yellow"/>
        </w:rPr>
        <w:t>(Hochreiter &amp; Schmidhuber, 1997)</w:t>
      </w:r>
      <w:r w:rsidRPr="001A556C">
        <w:rPr>
          <w:rFonts w:ascii="Times New Roman" w:hAnsi="Times New Roman" w:cs="Times New Roman"/>
          <w:sz w:val="22"/>
          <w:szCs w:val="22"/>
        </w:rPr>
        <w:t xml:space="preserve">; a </w:t>
      </w:r>
      <w:r w:rsidRPr="001A556C">
        <w:rPr>
          <w:rFonts w:ascii="Times New Roman" w:hAnsi="Times New Roman" w:cs="Times New Roman"/>
          <w:b/>
          <w:bCs/>
          <w:sz w:val="22"/>
          <w:szCs w:val="22"/>
        </w:rPr>
        <w:t>Transformer</w:t>
      </w:r>
      <w:r w:rsidRPr="001A556C">
        <w:rPr>
          <w:rFonts w:ascii="Times New Roman" w:hAnsi="Times New Roman" w:cs="Times New Roman"/>
          <w:sz w:val="22"/>
          <w:szCs w:val="22"/>
        </w:rPr>
        <w:t xml:space="preserve"> encoder (2 layers, 4 heads, model dimension 32) </w:t>
      </w:r>
      <w:r w:rsidRPr="001A556C">
        <w:rPr>
          <w:rFonts w:ascii="Times New Roman" w:hAnsi="Times New Roman" w:cs="Times New Roman"/>
          <w:sz w:val="22"/>
          <w:szCs w:val="22"/>
          <w:highlight w:val="yellow"/>
        </w:rPr>
        <w:t>(Vaswani et al., 2017)</w:t>
      </w:r>
      <w:r w:rsidRPr="001A556C">
        <w:rPr>
          <w:rFonts w:ascii="Times New Roman" w:hAnsi="Times New Roman" w:cs="Times New Roman"/>
          <w:sz w:val="22"/>
          <w:szCs w:val="22"/>
        </w:rPr>
        <w:t xml:space="preserve">; and an </w:t>
      </w:r>
      <w:r w:rsidRPr="001A556C">
        <w:rPr>
          <w:rFonts w:ascii="Times New Roman" w:hAnsi="Times New Roman" w:cs="Times New Roman"/>
          <w:b/>
          <w:bCs/>
          <w:sz w:val="22"/>
          <w:szCs w:val="22"/>
        </w:rPr>
        <w:t>Autoencoder</w:t>
      </w:r>
      <w:r w:rsidRPr="001A556C">
        <w:rPr>
          <w:rFonts w:ascii="Times New Roman" w:hAnsi="Times New Roman" w:cs="Times New Roman"/>
          <w:sz w:val="22"/>
          <w:szCs w:val="22"/>
        </w:rPr>
        <w:t xml:space="preserve"> (122–64–24–8 bottleneck) trained on benign traffic only, scoring by reconstruction error thresholded at the 90th benign percentile, following the reconstruction-based online IDS design of Kitsune </w:t>
      </w:r>
      <w:r w:rsidRPr="001A556C">
        <w:rPr>
          <w:rFonts w:ascii="Times New Roman" w:hAnsi="Times New Roman" w:cs="Times New Roman"/>
          <w:sz w:val="22"/>
          <w:szCs w:val="22"/>
          <w:highlight w:val="yellow"/>
        </w:rPr>
        <w:t>(Mirsky et al., 2018)</w:t>
      </w:r>
      <w:r w:rsidRPr="001A556C">
        <w:rPr>
          <w:rFonts w:ascii="Times New Roman" w:hAnsi="Times New Roman" w:cs="Times New Roman"/>
          <w:sz w:val="22"/>
          <w:szCs w:val="22"/>
        </w:rPr>
        <w:t xml:space="preserve">. The selection of architecture families follows current practice in applied deep-learning system design </w:t>
      </w:r>
      <w:r w:rsidRPr="001A556C">
        <w:rPr>
          <w:rFonts w:ascii="Times New Roman" w:hAnsi="Times New Roman" w:cs="Times New Roman"/>
          <w:sz w:val="22"/>
          <w:szCs w:val="22"/>
          <w:highlight w:val="yellow"/>
        </w:rPr>
        <w:t>(Routray et al., 2026)</w:t>
      </w:r>
      <w:r w:rsidRPr="001A556C">
        <w:rPr>
          <w:rFonts w:ascii="Times New Roman" w:hAnsi="Times New Roman" w:cs="Times New Roman"/>
          <w:sz w:val="22"/>
          <w:szCs w:val="22"/>
        </w:rPr>
        <w:t xml:space="preserve">. </w:t>
      </w:r>
      <w:r w:rsidRPr="001A556C">
        <w:rPr>
          <w:rFonts w:ascii="Times New Roman" w:hAnsi="Times New Roman" w:cs="Times New Roman"/>
          <w:sz w:val="22"/>
          <w:szCs w:val="22"/>
          <w:highlight w:val="yellow"/>
        </w:rPr>
        <w:t>For the sequential architectures, the</w:t>
      </w:r>
      <w:r w:rsidRPr="001A556C">
        <w:rPr>
          <w:rFonts w:ascii="Times New Roman" w:hAnsi="Times New Roman" w:cs="Times New Roman"/>
          <w:sz w:val="22"/>
          <w:szCs w:val="22"/>
        </w:rPr>
        <w:t xml:space="preserve"> 122-dimensional feature vector is patch-embedded into 16 tokens of width 8, which preserves comparability of inputs across models while keeping attention cost tractable. Class imbalance is handled by positive-class weighting in the loss.</w:t>
      </w:r>
    </w:p>
    <w:p w14:paraId="3EBA009A" w14:textId="77777777" w:rsidR="00427A24" w:rsidRPr="001A556C" w:rsidRDefault="00F57E70">
      <w:pPr>
        <w:pStyle w:val="Heading3"/>
        <w:rPr>
          <w:rFonts w:ascii="Times New Roman" w:hAnsi="Times New Roman" w:cs="Times New Roman"/>
          <w:color w:val="auto"/>
          <w:sz w:val="22"/>
          <w:szCs w:val="22"/>
        </w:rPr>
      </w:pPr>
      <w:bookmarkStart w:id="35" w:name="policy-evaluation-protocol"/>
      <w:bookmarkEnd w:id="34"/>
      <w:r w:rsidRPr="001A556C">
        <w:rPr>
          <w:rFonts w:ascii="Times New Roman" w:hAnsi="Times New Roman" w:cs="Times New Roman"/>
          <w:color w:val="auto"/>
          <w:sz w:val="22"/>
          <w:szCs w:val="22"/>
        </w:rPr>
        <w:t>7.4 Policy evaluation protocol</w:t>
      </w:r>
    </w:p>
    <w:p w14:paraId="00B5E2B3"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retraining-policy comparison is computed </w:t>
      </w:r>
      <w:r w:rsidRPr="001A556C">
        <w:rPr>
          <w:rFonts w:ascii="Times New Roman" w:hAnsi="Times New Roman" w:cs="Times New Roman"/>
          <w:i/>
          <w:iCs/>
          <w:sz w:val="22"/>
          <w:szCs w:val="22"/>
        </w:rPr>
        <w:t>exactly</w:t>
      </w:r>
      <w:r w:rsidRPr="001A556C">
        <w:rPr>
          <w:rFonts w:ascii="Times New Roman" w:hAnsi="Times New Roman" w:cs="Times New Roman"/>
          <w:sz w:val="22"/>
          <w:szCs w:val="22"/>
        </w:rPr>
        <w:t xml:space="preserve">, not simulated approximately. For each scenario and </w:t>
      </w:r>
      <w:r w:rsidR="00364457" w:rsidRPr="001A556C">
        <w:rPr>
          <w:rFonts w:ascii="Times New Roman" w:hAnsi="Times New Roman" w:cs="Times New Roman"/>
          <w:sz w:val="22"/>
          <w:szCs w:val="22"/>
        </w:rPr>
        <w:t>architecture,</w:t>
      </w:r>
      <w:r w:rsidRPr="001A556C">
        <w:rPr>
          <w:rFonts w:ascii="Times New Roman" w:hAnsi="Times New Roman" w:cs="Times New Roman"/>
          <w:sz w:val="22"/>
          <w:szCs w:val="22"/>
        </w:rPr>
        <w:t xml:space="preserve"> we precompute, for every review epoch </w:t>
      </w:r>
      <m:oMath>
        <m:r>
          <w:rPr>
            <w:rFonts w:ascii="Cambria Math" w:hAnsi="Cambria Math" w:cs="Times New Roman"/>
            <w:sz w:val="22"/>
            <w:szCs w:val="22"/>
          </w:rPr>
          <m:t>r</m:t>
        </m:r>
        <m:r>
          <m:rPr>
            <m:scr m:val="script"/>
            <m:sty m:val="p"/>
          </m:rPr>
          <w:rPr>
            <w:rFonts w:ascii="Cambria Math" w:hAnsi="Cambria Math" w:cs="Times New Roman"/>
            <w:sz w:val="22"/>
            <w:szCs w:val="22"/>
          </w:rPr>
          <m:t>∈G</m:t>
        </m:r>
      </m:oMath>
      <w:r w:rsidRPr="001A556C">
        <w:rPr>
          <w:rFonts w:ascii="Times New Roman" w:hAnsi="Times New Roman" w:cs="Times New Roman"/>
          <w:sz w:val="22"/>
          <w:szCs w:val="22"/>
        </w:rPr>
        <w:t xml:space="preserve">, a model retrained on batches </w:t>
      </w:r>
      <m:oMath>
        <m:r>
          <m:rPr>
            <m:sty m:val="p"/>
          </m:rPr>
          <w:rPr>
            <w:rFonts w:ascii="Cambria Math" w:hAnsi="Cambria Math" w:cs="Times New Roman"/>
            <w:sz w:val="22"/>
            <w:szCs w:val="22"/>
          </w:rPr>
          <m:t>[</m:t>
        </m:r>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10</m:t>
        </m:r>
        <m:r>
          <m:rPr>
            <m:sty m:val="p"/>
          </m:rPr>
          <w:rPr>
            <w:rFonts w:ascii="Cambria Math" w:hAnsi="Cambria Math" w:cs="Times New Roman"/>
            <w:sz w:val="22"/>
            <w:szCs w:val="22"/>
          </w:rPr>
          <m:t>,</m:t>
        </m:r>
        <m:r>
          <w:rPr>
            <w:rFonts w:ascii="Cambria Math" w:hAnsi="Cambria Math" w:cs="Times New Roman"/>
            <w:sz w:val="22"/>
            <w:szCs w:val="22"/>
          </w:rPr>
          <m:t>r</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together with its performance and its monitoring signals on every subsequent batch </w:t>
      </w:r>
      <m:oMath>
        <m:r>
          <w:rPr>
            <w:rFonts w:ascii="Cambria Math" w:hAnsi="Cambria Math" w:cs="Times New Roman"/>
            <w:sz w:val="22"/>
            <w:szCs w:val="22"/>
          </w:rPr>
          <m:t>t</m:t>
        </m:r>
        <m:r>
          <m:rPr>
            <m:sty m:val="p"/>
          </m:rPr>
          <w:rPr>
            <w:rFonts w:ascii="Cambria Math" w:hAnsi="Cambria Math" w:cs="Times New Roman"/>
            <w:sz w:val="22"/>
            <w:szCs w:val="22"/>
          </w:rPr>
          <m:t>&gt;</m:t>
        </m:r>
        <m:r>
          <w:rPr>
            <w:rFonts w:ascii="Cambria Math" w:hAnsi="Cambria Math" w:cs="Times New Roman"/>
            <w:sz w:val="22"/>
            <w:szCs w:val="22"/>
          </w:rPr>
          <m:t>r</m:t>
        </m:r>
      </m:oMath>
      <w:r w:rsidRPr="001A556C">
        <w:rPr>
          <w:rFonts w:ascii="Times New Roman" w:hAnsi="Times New Roman" w:cs="Times New Roman"/>
          <w:sz w:val="22"/>
          <w:szCs w:val="22"/>
        </w:rPr>
        <w:t xml:space="preserve">. </w:t>
      </w:r>
      <w:r w:rsidRPr="001A556C">
        <w:rPr>
          <w:rFonts w:ascii="Times New Roman" w:hAnsi="Times New Roman" w:cs="Times New Roman"/>
          <w:sz w:val="22"/>
          <w:szCs w:val="22"/>
          <w:highlight w:val="yellow"/>
        </w:rPr>
        <w:t>Because the stream is exogenous—the data do not depend on the model—the trajectory</w:t>
      </w:r>
      <w:r w:rsidRPr="001A556C">
        <w:rPr>
          <w:rFonts w:ascii="Times New Roman" w:hAnsi="Times New Roman" w:cs="Times New Roman"/>
          <w:sz w:val="22"/>
          <w:szCs w:val="22"/>
        </w:rPr>
        <w:t xml:space="preserve"> of any policy is then obtained exactly by composition: performance at batch </w:t>
      </w:r>
      <m:oMath>
        <m:r>
          <w:rPr>
            <w:rFonts w:ascii="Cambria Math" w:hAnsi="Cambria Math" w:cs="Times New Roman"/>
            <w:sz w:val="22"/>
            <w:szCs w:val="22"/>
          </w:rPr>
          <m:t>t</m:t>
        </m:r>
      </m:oMath>
      <w:r w:rsidRPr="001A556C">
        <w:rPr>
          <w:rFonts w:ascii="Times New Roman" w:hAnsi="Times New Roman" w:cs="Times New Roman"/>
          <w:sz w:val="22"/>
          <w:szCs w:val="22"/>
        </w:rPr>
        <w:t xml:space="preserve"> is that of the model last retrained at </w:t>
      </w:r>
      <m:oMath>
        <m:r>
          <m:rPr>
            <m:sty m:val="p"/>
          </m:rPr>
          <w:rPr>
            <w:rFonts w:ascii="Cambria Math" w:hAnsi="Cambria Math" w:cs="Times New Roman"/>
            <w:sz w:val="22"/>
            <w:szCs w:val="22"/>
          </w:rPr>
          <m:t>max{</m:t>
        </m:r>
        <m:r>
          <w:rPr>
            <w:rFonts w:ascii="Cambria Math" w:hAnsi="Cambria Math" w:cs="Times New Roman"/>
            <w:sz w:val="22"/>
            <w:szCs w:val="22"/>
          </w:rPr>
          <m:t>r</m:t>
        </m:r>
        <m:r>
          <m:rPr>
            <m:scr m:val="script"/>
            <m:sty m:val="p"/>
          </m:rPr>
          <w:rPr>
            <w:rFonts w:ascii="Cambria Math" w:hAnsi="Cambria Math" w:cs="Times New Roman"/>
            <w:sz w:val="22"/>
            <w:szCs w:val="22"/>
          </w:rPr>
          <m:t>∈R:</m:t>
        </m:r>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t</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t>
      </w:r>
      <w:r w:rsidRPr="001A556C">
        <w:rPr>
          <w:rFonts w:ascii="Times New Roman" w:hAnsi="Times New Roman" w:cs="Times New Roman"/>
          <w:sz w:val="22"/>
          <w:szCs w:val="22"/>
        </w:rPr>
        <w:lastRenderedPageBreak/>
        <w:t xml:space="preserve">Crucially, the monitoring signals used by each trigger policy are those of the </w:t>
      </w:r>
      <w:r w:rsidRPr="001A556C">
        <w:rPr>
          <w:rFonts w:ascii="Times New Roman" w:hAnsi="Times New Roman" w:cs="Times New Roman"/>
          <w:i/>
          <w:iCs/>
          <w:sz w:val="22"/>
          <w:szCs w:val="22"/>
        </w:rPr>
        <w:t>currently deployed</w:t>
      </w:r>
      <w:r w:rsidRPr="001A556C">
        <w:rPr>
          <w:rFonts w:ascii="Times New Roman" w:hAnsi="Times New Roman" w:cs="Times New Roman"/>
          <w:sz w:val="22"/>
          <w:szCs w:val="22"/>
        </w:rPr>
        <w:t xml:space="preserve"> model relative to </w:t>
      </w:r>
      <w:r w:rsidRPr="001A556C">
        <w:rPr>
          <w:rFonts w:ascii="Times New Roman" w:hAnsi="Times New Roman" w:cs="Times New Roman"/>
          <w:i/>
          <w:iCs/>
          <w:sz w:val="22"/>
          <w:szCs w:val="22"/>
        </w:rPr>
        <w:t>its own</w:t>
      </w:r>
      <w:r w:rsidRPr="001A556C">
        <w:rPr>
          <w:rFonts w:ascii="Times New Roman" w:hAnsi="Times New Roman" w:cs="Times New Roman"/>
          <w:sz w:val="22"/>
          <w:szCs w:val="22"/>
        </w:rPr>
        <w:t xml:space="preserve"> reference window, so triggers are evaluated online and without hindsight.</w:t>
      </w:r>
    </w:p>
    <w:p w14:paraId="5CC69CD5"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highlight w:val="yellow"/>
        </w:rPr>
        <w:t>The policies compared are:</w:t>
      </w:r>
      <w:r w:rsidRPr="001A556C">
        <w:rPr>
          <w:rFonts w:ascii="Times New Roman" w:hAnsi="Times New Roman" w:cs="Times New Roman"/>
          <w:sz w:val="22"/>
          <w:szCs w:val="22"/>
        </w:rPr>
        <w:t xml:space="preserve"> no retraining; periodic schedules at 10-, 20- and 30-batch intervals; retraining at every epoch; trigger policies on PSI, KS and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at their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sub>
        </m:sSub>
      </m:oMath>
      <w:r w:rsidRPr="001A556C">
        <w:rPr>
          <w:rFonts w:ascii="Times New Roman" w:hAnsi="Times New Roman" w:cs="Times New Roman"/>
          <w:sz w:val="22"/>
          <w:szCs w:val="22"/>
        </w:rPr>
        <w:t xml:space="preserve"> null thresholds; MAI- and CDI-triggered policies; and a clairvoyant </w:t>
      </w:r>
      <w:r w:rsidRPr="001A556C">
        <w:rPr>
          <w:rFonts w:ascii="Times New Roman" w:hAnsi="Times New Roman" w:cs="Times New Roman"/>
          <w:b/>
          <w:bCs/>
          <w:sz w:val="22"/>
          <w:szCs w:val="22"/>
        </w:rPr>
        <w:t>oracle</w:t>
      </w:r>
      <w:r w:rsidRPr="001A556C">
        <w:rPr>
          <w:rFonts w:ascii="Times New Roman" w:hAnsi="Times New Roman" w:cs="Times New Roman"/>
          <w:sz w:val="22"/>
          <w:szCs w:val="22"/>
        </w:rPr>
        <w:t xml:space="preserve"> obtained by exhaustive search over all </w:t>
      </w:r>
      <m:oMath>
        <m:sSup>
          <m:sSupPr>
            <m:ctrlPr>
              <w:rPr>
                <w:rFonts w:ascii="Cambria Math" w:hAnsi="Cambria Math" w:cs="Times New Roman"/>
                <w:sz w:val="22"/>
                <w:szCs w:val="22"/>
              </w:rPr>
            </m:ctrlPr>
          </m:sSupPr>
          <m:e>
            <m:r>
              <w:rPr>
                <w:rFonts w:ascii="Cambria Math" w:hAnsi="Cambria Math" w:cs="Times New Roman"/>
                <w:sz w:val="22"/>
                <w:szCs w:val="22"/>
              </w:rPr>
              <m:t>2</m:t>
            </m:r>
          </m:e>
          <m:sup>
            <m:d>
              <m:dPr>
                <m:begChr m:val="|"/>
                <m:endChr m:val="|"/>
                <m:ctrlPr>
                  <w:rPr>
                    <w:rFonts w:ascii="Cambria Math" w:hAnsi="Cambria Math" w:cs="Times New Roman"/>
                    <w:sz w:val="22"/>
                    <w:szCs w:val="22"/>
                  </w:rPr>
                </m:ctrlPr>
              </m:dPr>
              <m:e>
                <m:r>
                  <m:rPr>
                    <m:scr m:val="script"/>
                    <m:sty m:val="p"/>
                  </m:rPr>
                  <w:rPr>
                    <w:rFonts w:ascii="Cambria Math" w:hAnsi="Cambria Math" w:cs="Times New Roman"/>
                    <w:sz w:val="22"/>
                    <w:szCs w:val="22"/>
                  </w:rPr>
                  <m:t>G</m:t>
                </m:r>
              </m:e>
            </m:d>
          </m:sup>
        </m:sSup>
        <m:r>
          <m:rPr>
            <m:sty m:val="p"/>
          </m:rPr>
          <w:rPr>
            <w:rFonts w:ascii="Cambria Math" w:hAnsi="Cambria Math" w:cs="Times New Roman"/>
            <w:sz w:val="22"/>
            <w:szCs w:val="22"/>
          </w:rPr>
          <m:t>=</m:t>
        </m:r>
        <m:r>
          <w:rPr>
            <w:rFonts w:ascii="Cambria Math" w:hAnsi="Cambria Math" w:cs="Times New Roman"/>
            <w:sz w:val="22"/>
            <w:szCs w:val="22"/>
          </w:rPr>
          <m:t>512</m:t>
        </m:r>
      </m:oMath>
      <w:r w:rsidRPr="001A556C">
        <w:rPr>
          <w:rFonts w:ascii="Times New Roman" w:hAnsi="Times New Roman" w:cs="Times New Roman"/>
          <w:sz w:val="22"/>
          <w:szCs w:val="22"/>
        </w:rPr>
        <w:t xml:space="preserve"> retraining subsets, which lower-bounds the achievable cost. Cost is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per missed intrusion and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per false alert, per 1,000 flows, with setup cost </w:t>
      </w:r>
      <m:oMath>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2</m:t>
        </m:r>
      </m:oMath>
      <w:r w:rsidRPr="001A556C">
        <w:rPr>
          <w:rFonts w:ascii="Times New Roman" w:hAnsi="Times New Roman" w:cs="Times New Roman"/>
          <w:sz w:val="22"/>
          <w:szCs w:val="22"/>
        </w:rPr>
        <w:t xml:space="preserve"> unless stated otherwise.</w:t>
      </w:r>
    </w:p>
    <w:p w14:paraId="4A7B6CDF" w14:textId="77777777" w:rsidR="00427A24" w:rsidRPr="001A556C" w:rsidRDefault="00427A24">
      <w:pPr>
        <w:rPr>
          <w:rFonts w:ascii="Times New Roman" w:hAnsi="Times New Roman" w:cs="Times New Roman"/>
          <w:sz w:val="22"/>
          <w:szCs w:val="22"/>
        </w:rPr>
      </w:pPr>
    </w:p>
    <w:p w14:paraId="7C0C95FA" w14:textId="77777777" w:rsidR="00427A24" w:rsidRPr="001A556C" w:rsidRDefault="00F57E70">
      <w:pPr>
        <w:pStyle w:val="Heading2"/>
        <w:rPr>
          <w:rFonts w:ascii="Times New Roman" w:hAnsi="Times New Roman" w:cs="Times New Roman"/>
          <w:color w:val="auto"/>
          <w:sz w:val="22"/>
          <w:szCs w:val="22"/>
        </w:rPr>
      </w:pPr>
      <w:bookmarkStart w:id="36" w:name="results"/>
      <w:bookmarkEnd w:id="31"/>
      <w:bookmarkEnd w:id="35"/>
      <w:r w:rsidRPr="001A556C">
        <w:rPr>
          <w:rFonts w:ascii="Times New Roman" w:hAnsi="Times New Roman" w:cs="Times New Roman"/>
          <w:color w:val="auto"/>
          <w:sz w:val="22"/>
          <w:szCs w:val="22"/>
        </w:rPr>
        <w:t>8. Results</w:t>
      </w:r>
    </w:p>
    <w:p w14:paraId="09E29867" w14:textId="77777777" w:rsidR="00427A24" w:rsidRPr="001A556C" w:rsidRDefault="00F57E70">
      <w:pPr>
        <w:pStyle w:val="Heading3"/>
        <w:rPr>
          <w:rFonts w:ascii="Times New Roman" w:hAnsi="Times New Roman" w:cs="Times New Roman"/>
          <w:color w:val="auto"/>
          <w:sz w:val="22"/>
          <w:szCs w:val="22"/>
        </w:rPr>
      </w:pPr>
      <w:bookmarkStart w:id="37" w:name="Xe38cb391a6f8c48d94fa367115974751cd3e5ea"/>
      <w:r w:rsidRPr="001A556C">
        <w:rPr>
          <w:rFonts w:ascii="Times New Roman" w:hAnsi="Times New Roman" w:cs="Times New Roman"/>
          <w:color w:val="auto"/>
          <w:sz w:val="22"/>
          <w:szCs w:val="22"/>
        </w:rPr>
        <w:t>8.1 Model aging is severe, architecture-dependent, and invisible to accuracy</w:t>
      </w:r>
    </w:p>
    <w:p w14:paraId="54FD4F34"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Table 1 reports reference performance and terminal performance (mean over batches 91–100) for all seven architectures across the five regimes.</w:t>
      </w:r>
    </w:p>
    <w:p w14:paraId="14D4690B" w14:textId="77777777" w:rsidR="00364457" w:rsidRPr="001A556C" w:rsidRDefault="00364457" w:rsidP="00364457">
      <w:pPr>
        <w:pStyle w:val="BodyText"/>
        <w:rPr>
          <w:sz w:val="22"/>
          <w:szCs w:val="22"/>
        </w:rPr>
      </w:pPr>
    </w:p>
    <w:p w14:paraId="33CE74BB" w14:textId="77777777" w:rsidR="00427A24" w:rsidRPr="001A556C" w:rsidRDefault="00F57E70">
      <w:pPr>
        <w:pStyle w:val="BodyText"/>
        <w:rPr>
          <w:rFonts w:ascii="Times New Roman" w:hAnsi="Times New Roman" w:cs="Times New Roman"/>
          <w:sz w:val="22"/>
          <w:szCs w:val="22"/>
        </w:rPr>
      </w:pPr>
      <w:r w:rsidRPr="001A556C">
        <w:rPr>
          <w:rFonts w:ascii="Times New Roman" w:hAnsi="Times New Roman" w:cs="Times New Roman"/>
          <w:b/>
          <w:bCs/>
          <w:sz w:val="22"/>
          <w:szCs w:val="22"/>
        </w:rPr>
        <w:t>Table 1.</w:t>
      </w:r>
      <w:r w:rsidRPr="001A556C">
        <w:rPr>
          <w:rFonts w:ascii="Times New Roman" w:hAnsi="Times New Roman" w:cs="Times New Roman"/>
          <w:sz w:val="22"/>
          <w:szCs w:val="22"/>
        </w:rPr>
        <w:t xml:space="preserve"> Reference performance and terminal F1 / attack-recall by architecture and drift regime.</w:t>
      </w:r>
    </w:p>
    <w:tbl>
      <w:tblPr>
        <w:tblStyle w:val="PlainTable2"/>
        <w:tblW w:w="5000" w:type="pct"/>
        <w:tblLook w:val="0020" w:firstRow="1" w:lastRow="0" w:firstColumn="0" w:lastColumn="0" w:noHBand="0" w:noVBand="0"/>
      </w:tblPr>
      <w:tblGrid>
        <w:gridCol w:w="1513"/>
        <w:gridCol w:w="799"/>
        <w:gridCol w:w="988"/>
        <w:gridCol w:w="1143"/>
        <w:gridCol w:w="1249"/>
        <w:gridCol w:w="1214"/>
        <w:gridCol w:w="1309"/>
        <w:gridCol w:w="1361"/>
      </w:tblGrid>
      <w:tr w:rsidR="00427A24" w:rsidRPr="001A556C" w14:paraId="1A5F17F5"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2610A7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Architecture</w:t>
            </w:r>
          </w:p>
        </w:tc>
        <w:tc>
          <w:tcPr>
            <w:cnfStyle w:val="000001000000" w:firstRow="0" w:lastRow="0" w:firstColumn="0" w:lastColumn="0" w:oddVBand="0" w:evenVBand="1" w:oddHBand="0" w:evenHBand="0" w:firstRowFirstColumn="0" w:firstRowLastColumn="0" w:lastRowFirstColumn="0" w:lastRowLastColumn="0"/>
            <w:tcW w:w="0" w:type="auto"/>
          </w:tcPr>
          <w:p w14:paraId="2FDA691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Ref F1</w:t>
            </w:r>
          </w:p>
        </w:tc>
        <w:tc>
          <w:tcPr>
            <w:cnfStyle w:val="000010000000" w:firstRow="0" w:lastRow="0" w:firstColumn="0" w:lastColumn="0" w:oddVBand="1" w:evenVBand="0" w:oddHBand="0" w:evenHBand="0" w:firstRowFirstColumn="0" w:firstRowLastColumn="0" w:lastRowFirstColumn="0" w:lastRowLastColumn="0"/>
            <w:tcW w:w="0" w:type="auto"/>
          </w:tcPr>
          <w:p w14:paraId="68FE819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Ref AUC</w:t>
            </w:r>
          </w:p>
        </w:tc>
        <w:tc>
          <w:tcPr>
            <w:cnfStyle w:val="000001000000" w:firstRow="0" w:lastRow="0" w:firstColumn="0" w:lastColumn="0" w:oddVBand="0" w:evenVBand="1" w:oddHBand="0" w:evenHBand="0" w:firstRowFirstColumn="0" w:firstRowLastColumn="0" w:lastRowFirstColumn="0" w:lastRowLastColumn="0"/>
            <w:tcW w:w="0" w:type="auto"/>
          </w:tcPr>
          <w:p w14:paraId="06BEE08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No drift</w:t>
            </w:r>
          </w:p>
        </w:tc>
        <w:tc>
          <w:tcPr>
            <w:cnfStyle w:val="000010000000" w:firstRow="0" w:lastRow="0" w:firstColumn="0" w:lastColumn="0" w:oddVBand="1" w:evenVBand="0" w:oddHBand="0" w:evenHBand="0" w:firstRowFirstColumn="0" w:firstRowLastColumn="0" w:lastRowFirstColumn="0" w:lastRowLastColumn="0"/>
            <w:tcW w:w="0" w:type="auto"/>
          </w:tcPr>
          <w:p w14:paraId="63B7ED2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Gradual</w:t>
            </w:r>
          </w:p>
        </w:tc>
        <w:tc>
          <w:tcPr>
            <w:cnfStyle w:val="000001000000" w:firstRow="0" w:lastRow="0" w:firstColumn="0" w:lastColumn="0" w:oddVBand="0" w:evenVBand="1" w:oddHBand="0" w:evenHBand="0" w:firstRowFirstColumn="0" w:firstRowLastColumn="0" w:lastRowFirstColumn="0" w:lastRowLastColumn="0"/>
            <w:tcW w:w="0" w:type="auto"/>
          </w:tcPr>
          <w:p w14:paraId="22131DF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Abrupt</w:t>
            </w:r>
          </w:p>
        </w:tc>
        <w:tc>
          <w:tcPr>
            <w:cnfStyle w:val="000010000000" w:firstRow="0" w:lastRow="0" w:firstColumn="0" w:lastColumn="0" w:oddVBand="1" w:evenVBand="0" w:oddHBand="0" w:evenHBand="0" w:firstRowFirstColumn="0" w:firstRowLastColumn="0" w:lastRowFirstColumn="0" w:lastRowLastColumn="0"/>
            <w:tcW w:w="0" w:type="auto"/>
          </w:tcPr>
          <w:p w14:paraId="5272145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Recurring</w:t>
            </w:r>
          </w:p>
        </w:tc>
        <w:tc>
          <w:tcPr>
            <w:cnfStyle w:val="000001000000" w:firstRow="0" w:lastRow="0" w:firstColumn="0" w:lastColumn="0" w:oddVBand="0" w:evenVBand="1" w:oddHBand="0" w:evenHBand="0" w:firstRowFirstColumn="0" w:firstRowLastColumn="0" w:lastRowFirstColumn="0" w:lastRowLastColumn="0"/>
            <w:tcW w:w="0" w:type="auto"/>
          </w:tcPr>
          <w:p w14:paraId="7D82B4C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Adversarial</w:t>
            </w:r>
          </w:p>
        </w:tc>
      </w:tr>
      <w:tr w:rsidR="00427A24" w:rsidRPr="001A556C" w14:paraId="79FFCB37"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D26D2A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Random Forest</w:t>
            </w:r>
          </w:p>
        </w:tc>
        <w:tc>
          <w:tcPr>
            <w:cnfStyle w:val="000001000000" w:firstRow="0" w:lastRow="0" w:firstColumn="0" w:lastColumn="0" w:oddVBand="0" w:evenVBand="1" w:oddHBand="0" w:evenHBand="0" w:firstRowFirstColumn="0" w:firstRowLastColumn="0" w:lastRowFirstColumn="0" w:lastRowLastColumn="0"/>
            <w:tcW w:w="0" w:type="auto"/>
          </w:tcPr>
          <w:p w14:paraId="656CBA9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10000000" w:firstRow="0" w:lastRow="0" w:firstColumn="0" w:lastColumn="0" w:oddVBand="1" w:evenVBand="0" w:oddHBand="0" w:evenHBand="0" w:firstRowFirstColumn="0" w:firstRowLastColumn="0" w:lastRowFirstColumn="0" w:lastRowLastColumn="0"/>
            <w:tcW w:w="0" w:type="auto"/>
          </w:tcPr>
          <w:p w14:paraId="173F363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1.0000</w:t>
            </w:r>
          </w:p>
        </w:tc>
        <w:tc>
          <w:tcPr>
            <w:cnfStyle w:val="000001000000" w:firstRow="0" w:lastRow="0" w:firstColumn="0" w:lastColumn="0" w:oddVBand="0" w:evenVBand="1" w:oddHBand="0" w:evenHBand="0" w:firstRowFirstColumn="0" w:firstRowLastColumn="0" w:lastRowFirstColumn="0" w:lastRowLastColumn="0"/>
            <w:tcW w:w="0" w:type="auto"/>
          </w:tcPr>
          <w:p w14:paraId="6F0F52B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0.995 / 0.993</w:t>
            </w:r>
          </w:p>
        </w:tc>
        <w:tc>
          <w:tcPr>
            <w:cnfStyle w:val="000010000000" w:firstRow="0" w:lastRow="0" w:firstColumn="0" w:lastColumn="0" w:oddVBand="1" w:evenVBand="0" w:oddHBand="0" w:evenHBand="0" w:firstRowFirstColumn="0" w:firstRowLastColumn="0" w:lastRowFirstColumn="0" w:lastRowLastColumn="0"/>
            <w:tcW w:w="0" w:type="auto"/>
          </w:tcPr>
          <w:p w14:paraId="39E4160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0.712 / 0.572</w:t>
            </w:r>
          </w:p>
        </w:tc>
        <w:tc>
          <w:tcPr>
            <w:cnfStyle w:val="000001000000" w:firstRow="0" w:lastRow="0" w:firstColumn="0" w:lastColumn="0" w:oddVBand="0" w:evenVBand="1" w:oddHBand="0" w:evenHBand="0" w:firstRowFirstColumn="0" w:firstRowLastColumn="0" w:lastRowFirstColumn="0" w:lastRowLastColumn="0"/>
            <w:tcW w:w="0" w:type="auto"/>
          </w:tcPr>
          <w:p w14:paraId="7E2F1B7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0.717 / 0.582</w:t>
            </w:r>
          </w:p>
        </w:tc>
        <w:tc>
          <w:tcPr>
            <w:cnfStyle w:val="000010000000" w:firstRow="0" w:lastRow="0" w:firstColumn="0" w:lastColumn="0" w:oddVBand="1" w:evenVBand="0" w:oddHBand="0" w:evenHBand="0" w:firstRowFirstColumn="0" w:firstRowLastColumn="0" w:lastRowFirstColumn="0" w:lastRowLastColumn="0"/>
            <w:tcW w:w="0" w:type="auto"/>
          </w:tcPr>
          <w:p w14:paraId="703E3C4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0.881 / 0.826</w:t>
            </w:r>
          </w:p>
        </w:tc>
        <w:tc>
          <w:tcPr>
            <w:cnfStyle w:val="000001000000" w:firstRow="0" w:lastRow="0" w:firstColumn="0" w:lastColumn="0" w:oddVBand="0" w:evenVBand="1" w:oddHBand="0" w:evenHBand="0" w:firstRowFirstColumn="0" w:firstRowLastColumn="0" w:lastRowFirstColumn="0" w:lastRowLastColumn="0"/>
            <w:tcW w:w="0" w:type="auto"/>
          </w:tcPr>
          <w:p w14:paraId="1E9CA20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0.826 / 0.706</w:t>
            </w:r>
          </w:p>
        </w:tc>
      </w:tr>
      <w:tr w:rsidR="00427A24" w:rsidRPr="001A556C" w14:paraId="573E5AD4"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6523E86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XGBoost</w:t>
            </w:r>
          </w:p>
        </w:tc>
        <w:tc>
          <w:tcPr>
            <w:cnfStyle w:val="000001000000" w:firstRow="0" w:lastRow="0" w:firstColumn="0" w:lastColumn="0" w:oddVBand="0" w:evenVBand="1" w:oddHBand="0" w:evenHBand="0" w:firstRowFirstColumn="0" w:firstRowLastColumn="0" w:lastRowFirstColumn="0" w:lastRowLastColumn="0"/>
            <w:tcW w:w="0" w:type="auto"/>
          </w:tcPr>
          <w:p w14:paraId="2D9889B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1.000</w:t>
            </w:r>
          </w:p>
        </w:tc>
        <w:tc>
          <w:tcPr>
            <w:cnfStyle w:val="000010000000" w:firstRow="0" w:lastRow="0" w:firstColumn="0" w:lastColumn="0" w:oddVBand="1" w:evenVBand="0" w:oddHBand="0" w:evenHBand="0" w:firstRowFirstColumn="0" w:firstRowLastColumn="0" w:lastRowFirstColumn="0" w:lastRowLastColumn="0"/>
            <w:tcW w:w="0" w:type="auto"/>
          </w:tcPr>
          <w:p w14:paraId="4FE835C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1.0000</w:t>
            </w:r>
          </w:p>
        </w:tc>
        <w:tc>
          <w:tcPr>
            <w:cnfStyle w:val="000001000000" w:firstRow="0" w:lastRow="0" w:firstColumn="0" w:lastColumn="0" w:oddVBand="0" w:evenVBand="1" w:oddHBand="0" w:evenHBand="0" w:firstRowFirstColumn="0" w:firstRowLastColumn="0" w:lastRowFirstColumn="0" w:lastRowLastColumn="0"/>
            <w:tcW w:w="0" w:type="auto"/>
          </w:tcPr>
          <w:p w14:paraId="1A64F12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0.997 / 0.997</w:t>
            </w:r>
          </w:p>
        </w:tc>
        <w:tc>
          <w:tcPr>
            <w:cnfStyle w:val="000010000000" w:firstRow="0" w:lastRow="0" w:firstColumn="0" w:lastColumn="0" w:oddVBand="1" w:evenVBand="0" w:oddHBand="0" w:evenHBand="0" w:firstRowFirstColumn="0" w:firstRowLastColumn="0" w:lastRowFirstColumn="0" w:lastRowLastColumn="0"/>
            <w:tcW w:w="0" w:type="auto"/>
          </w:tcPr>
          <w:p w14:paraId="2D83824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0.774 / 0.655</w:t>
            </w:r>
          </w:p>
        </w:tc>
        <w:tc>
          <w:tcPr>
            <w:cnfStyle w:val="000001000000" w:firstRow="0" w:lastRow="0" w:firstColumn="0" w:lastColumn="0" w:oddVBand="0" w:evenVBand="1" w:oddHBand="0" w:evenHBand="0" w:firstRowFirstColumn="0" w:firstRowLastColumn="0" w:lastRowFirstColumn="0" w:lastRowLastColumn="0"/>
            <w:tcW w:w="0" w:type="auto"/>
          </w:tcPr>
          <w:p w14:paraId="2929272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0.775 / 0.659</w:t>
            </w:r>
          </w:p>
        </w:tc>
        <w:tc>
          <w:tcPr>
            <w:cnfStyle w:val="000010000000" w:firstRow="0" w:lastRow="0" w:firstColumn="0" w:lastColumn="0" w:oddVBand="1" w:evenVBand="0" w:oddHBand="0" w:evenHBand="0" w:firstRowFirstColumn="0" w:firstRowLastColumn="0" w:lastRowFirstColumn="0" w:lastRowLastColumn="0"/>
            <w:tcW w:w="0" w:type="auto"/>
          </w:tcPr>
          <w:p w14:paraId="2AD08CD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0.907 / 0.861</w:t>
            </w:r>
          </w:p>
        </w:tc>
        <w:tc>
          <w:tcPr>
            <w:cnfStyle w:val="000001000000" w:firstRow="0" w:lastRow="0" w:firstColumn="0" w:lastColumn="0" w:oddVBand="0" w:evenVBand="1" w:oddHBand="0" w:evenHBand="0" w:firstRowFirstColumn="0" w:firstRowLastColumn="0" w:lastRowFirstColumn="0" w:lastRowLastColumn="0"/>
            <w:tcW w:w="0" w:type="auto"/>
          </w:tcPr>
          <w:p w14:paraId="1DB8D7D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0.878 / 0.784</w:t>
            </w:r>
          </w:p>
        </w:tc>
      </w:tr>
      <w:tr w:rsidR="00427A24" w:rsidRPr="001A556C" w14:paraId="5660E233"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E2F688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LightGBM</w:t>
            </w:r>
          </w:p>
        </w:tc>
        <w:tc>
          <w:tcPr>
            <w:cnfStyle w:val="000001000000" w:firstRow="0" w:lastRow="0" w:firstColumn="0" w:lastColumn="0" w:oddVBand="0" w:evenVBand="1" w:oddHBand="0" w:evenHBand="0" w:firstRowFirstColumn="0" w:firstRowLastColumn="0" w:lastRowFirstColumn="0" w:lastRowLastColumn="0"/>
            <w:tcW w:w="0" w:type="auto"/>
          </w:tcPr>
          <w:p w14:paraId="4BCA0A5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1.000</w:t>
            </w:r>
          </w:p>
        </w:tc>
        <w:tc>
          <w:tcPr>
            <w:cnfStyle w:val="000010000000" w:firstRow="0" w:lastRow="0" w:firstColumn="0" w:lastColumn="0" w:oddVBand="1" w:evenVBand="0" w:oddHBand="0" w:evenHBand="0" w:firstRowFirstColumn="0" w:firstRowLastColumn="0" w:lastRowFirstColumn="0" w:lastRowLastColumn="0"/>
            <w:tcW w:w="0" w:type="auto"/>
          </w:tcPr>
          <w:p w14:paraId="20FC6D4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1.0000</w:t>
            </w:r>
          </w:p>
        </w:tc>
        <w:tc>
          <w:tcPr>
            <w:cnfStyle w:val="000001000000" w:firstRow="0" w:lastRow="0" w:firstColumn="0" w:lastColumn="0" w:oddVBand="0" w:evenVBand="1" w:oddHBand="0" w:evenHBand="0" w:firstRowFirstColumn="0" w:firstRowLastColumn="0" w:lastRowFirstColumn="0" w:lastRowLastColumn="0"/>
            <w:tcW w:w="0" w:type="auto"/>
          </w:tcPr>
          <w:p w14:paraId="0EF8E7F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0.997 / 0.998</w:t>
            </w:r>
          </w:p>
        </w:tc>
        <w:tc>
          <w:tcPr>
            <w:cnfStyle w:val="000010000000" w:firstRow="0" w:lastRow="0" w:firstColumn="0" w:lastColumn="0" w:oddVBand="1" w:evenVBand="0" w:oddHBand="0" w:evenHBand="0" w:firstRowFirstColumn="0" w:firstRowLastColumn="0" w:lastRowFirstColumn="0" w:lastRowLastColumn="0"/>
            <w:tcW w:w="0" w:type="auto"/>
          </w:tcPr>
          <w:p w14:paraId="7DE74717"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0.771 / 0.651</w:t>
            </w:r>
          </w:p>
        </w:tc>
        <w:tc>
          <w:tcPr>
            <w:cnfStyle w:val="000001000000" w:firstRow="0" w:lastRow="0" w:firstColumn="0" w:lastColumn="0" w:oddVBand="0" w:evenVBand="1" w:oddHBand="0" w:evenHBand="0" w:firstRowFirstColumn="0" w:firstRowLastColumn="0" w:lastRowFirstColumn="0" w:lastRowLastColumn="0"/>
            <w:tcW w:w="0" w:type="auto"/>
          </w:tcPr>
          <w:p w14:paraId="2C9F3A3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0.771 / 0.654</w:t>
            </w:r>
          </w:p>
        </w:tc>
        <w:tc>
          <w:tcPr>
            <w:cnfStyle w:val="000010000000" w:firstRow="0" w:lastRow="0" w:firstColumn="0" w:lastColumn="0" w:oddVBand="1" w:evenVBand="0" w:oddHBand="0" w:evenHBand="0" w:firstRowFirstColumn="0" w:firstRowLastColumn="0" w:lastRowFirstColumn="0" w:lastRowLastColumn="0"/>
            <w:tcW w:w="0" w:type="auto"/>
          </w:tcPr>
          <w:p w14:paraId="73880E9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0.909 / 0.864</w:t>
            </w:r>
          </w:p>
        </w:tc>
        <w:tc>
          <w:tcPr>
            <w:cnfStyle w:val="000001000000" w:firstRow="0" w:lastRow="0" w:firstColumn="0" w:lastColumn="0" w:oddVBand="0" w:evenVBand="1" w:oddHBand="0" w:evenHBand="0" w:firstRowFirstColumn="0" w:firstRowLastColumn="0" w:lastRowFirstColumn="0" w:lastRowLastColumn="0"/>
            <w:tcW w:w="0" w:type="auto"/>
          </w:tcPr>
          <w:p w14:paraId="45A497D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0.755 / 0.608</w:t>
            </w:r>
          </w:p>
        </w:tc>
      </w:tr>
      <w:tr w:rsidR="00427A24" w:rsidRPr="001A556C" w14:paraId="0C37A446"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5DD29DF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1D-CNN</w:t>
            </w:r>
          </w:p>
        </w:tc>
        <w:tc>
          <w:tcPr>
            <w:cnfStyle w:val="000001000000" w:firstRow="0" w:lastRow="0" w:firstColumn="0" w:lastColumn="0" w:oddVBand="0" w:evenVBand="1" w:oddHBand="0" w:evenHBand="0" w:firstRowFirstColumn="0" w:firstRowLastColumn="0" w:lastRowFirstColumn="0" w:lastRowLastColumn="0"/>
            <w:tcW w:w="0" w:type="auto"/>
          </w:tcPr>
          <w:p w14:paraId="7403B61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0.980</w:t>
            </w:r>
          </w:p>
        </w:tc>
        <w:tc>
          <w:tcPr>
            <w:cnfStyle w:val="000010000000" w:firstRow="0" w:lastRow="0" w:firstColumn="0" w:lastColumn="0" w:oddVBand="1" w:evenVBand="0" w:oddHBand="0" w:evenHBand="0" w:firstRowFirstColumn="0" w:firstRowLastColumn="0" w:lastRowFirstColumn="0" w:lastRowLastColumn="0"/>
            <w:tcW w:w="0" w:type="auto"/>
          </w:tcPr>
          <w:p w14:paraId="4D6E9A7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0.9988</w:t>
            </w:r>
          </w:p>
        </w:tc>
        <w:tc>
          <w:tcPr>
            <w:cnfStyle w:val="000001000000" w:firstRow="0" w:lastRow="0" w:firstColumn="0" w:lastColumn="0" w:oddVBand="0" w:evenVBand="1" w:oddHBand="0" w:evenHBand="0" w:firstRowFirstColumn="0" w:firstRowLastColumn="0" w:lastRowFirstColumn="0" w:lastRowLastColumn="0"/>
            <w:tcW w:w="0" w:type="auto"/>
          </w:tcPr>
          <w:p w14:paraId="272924A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0.979 / 0.979</w:t>
            </w:r>
          </w:p>
        </w:tc>
        <w:tc>
          <w:tcPr>
            <w:cnfStyle w:val="000010000000" w:firstRow="0" w:lastRow="0" w:firstColumn="0" w:lastColumn="0" w:oddVBand="1" w:evenVBand="0" w:oddHBand="0" w:evenHBand="0" w:firstRowFirstColumn="0" w:firstRowLastColumn="0" w:lastRowFirstColumn="0" w:lastRowLastColumn="0"/>
            <w:tcW w:w="0" w:type="auto"/>
          </w:tcPr>
          <w:p w14:paraId="706F9E1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0.796 / 0.738</w:t>
            </w:r>
          </w:p>
        </w:tc>
        <w:tc>
          <w:tcPr>
            <w:cnfStyle w:val="000001000000" w:firstRow="0" w:lastRow="0" w:firstColumn="0" w:lastColumn="0" w:oddVBand="0" w:evenVBand="1" w:oddHBand="0" w:evenHBand="0" w:firstRowFirstColumn="0" w:firstRowLastColumn="0" w:lastRowFirstColumn="0" w:lastRowLastColumn="0"/>
            <w:tcW w:w="0" w:type="auto"/>
          </w:tcPr>
          <w:p w14:paraId="0511A60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0.794 / 0.735</w:t>
            </w:r>
          </w:p>
        </w:tc>
        <w:tc>
          <w:tcPr>
            <w:cnfStyle w:val="000010000000" w:firstRow="0" w:lastRow="0" w:firstColumn="0" w:lastColumn="0" w:oddVBand="1" w:evenVBand="0" w:oddHBand="0" w:evenHBand="0" w:firstRowFirstColumn="0" w:firstRowLastColumn="0" w:lastRowFirstColumn="0" w:lastRowLastColumn="0"/>
            <w:tcW w:w="0" w:type="auto"/>
          </w:tcPr>
          <w:p w14:paraId="111A951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0.903 / 0.881</w:t>
            </w:r>
          </w:p>
        </w:tc>
        <w:tc>
          <w:tcPr>
            <w:cnfStyle w:val="000001000000" w:firstRow="0" w:lastRow="0" w:firstColumn="0" w:lastColumn="0" w:oddVBand="0" w:evenVBand="1" w:oddHBand="0" w:evenHBand="0" w:firstRowFirstColumn="0" w:firstRowLastColumn="0" w:lastRowFirstColumn="0" w:lastRowLastColumn="0"/>
            <w:tcW w:w="0" w:type="auto"/>
          </w:tcPr>
          <w:p w14:paraId="43D6383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0.772 / 0.643</w:t>
            </w:r>
          </w:p>
        </w:tc>
      </w:tr>
      <w:tr w:rsidR="00427A24" w:rsidRPr="001A556C" w14:paraId="0A1DBB01"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DA5C26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LSTM</w:t>
            </w:r>
          </w:p>
        </w:tc>
        <w:tc>
          <w:tcPr>
            <w:cnfStyle w:val="000001000000" w:firstRow="0" w:lastRow="0" w:firstColumn="0" w:lastColumn="0" w:oddVBand="0" w:evenVBand="1" w:oddHBand="0" w:evenHBand="0" w:firstRowFirstColumn="0" w:firstRowLastColumn="0" w:lastRowFirstColumn="0" w:lastRowLastColumn="0"/>
            <w:tcW w:w="0" w:type="auto"/>
          </w:tcPr>
          <w:p w14:paraId="6B20EE3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0.971</w:t>
            </w:r>
          </w:p>
        </w:tc>
        <w:tc>
          <w:tcPr>
            <w:cnfStyle w:val="000010000000" w:firstRow="0" w:lastRow="0" w:firstColumn="0" w:lastColumn="0" w:oddVBand="1" w:evenVBand="0" w:oddHBand="0" w:evenHBand="0" w:firstRowFirstColumn="0" w:firstRowLastColumn="0" w:lastRowFirstColumn="0" w:lastRowLastColumn="0"/>
            <w:tcW w:w="0" w:type="auto"/>
          </w:tcPr>
          <w:p w14:paraId="695FC8A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0.9979</w:t>
            </w:r>
          </w:p>
        </w:tc>
        <w:tc>
          <w:tcPr>
            <w:cnfStyle w:val="000001000000" w:firstRow="0" w:lastRow="0" w:firstColumn="0" w:lastColumn="0" w:oddVBand="0" w:evenVBand="1" w:oddHBand="0" w:evenHBand="0" w:firstRowFirstColumn="0" w:firstRowLastColumn="0" w:lastRowFirstColumn="0" w:lastRowLastColumn="0"/>
            <w:tcW w:w="0" w:type="auto"/>
          </w:tcPr>
          <w:p w14:paraId="1AA0FD7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0.972 / 0.955</w:t>
            </w:r>
          </w:p>
        </w:tc>
        <w:tc>
          <w:tcPr>
            <w:cnfStyle w:val="000010000000" w:firstRow="0" w:lastRow="0" w:firstColumn="0" w:lastColumn="0" w:oddVBand="1" w:evenVBand="0" w:oddHBand="0" w:evenHBand="0" w:firstRowFirstColumn="0" w:firstRowLastColumn="0" w:lastRowFirstColumn="0" w:lastRowLastColumn="0"/>
            <w:tcW w:w="0" w:type="auto"/>
          </w:tcPr>
          <w:p w14:paraId="2D27A4E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0.708 / 0.572</w:t>
            </w:r>
          </w:p>
        </w:tc>
        <w:tc>
          <w:tcPr>
            <w:cnfStyle w:val="000001000000" w:firstRow="0" w:lastRow="0" w:firstColumn="0" w:lastColumn="0" w:oddVBand="0" w:evenVBand="1" w:oddHBand="0" w:evenHBand="0" w:firstRowFirstColumn="0" w:firstRowLastColumn="0" w:lastRowFirstColumn="0" w:lastRowLastColumn="0"/>
            <w:tcW w:w="0" w:type="auto"/>
          </w:tcPr>
          <w:p w14:paraId="64EEFFD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0.704 / 0.570</w:t>
            </w:r>
          </w:p>
        </w:tc>
        <w:tc>
          <w:tcPr>
            <w:cnfStyle w:val="000010000000" w:firstRow="0" w:lastRow="0" w:firstColumn="0" w:lastColumn="0" w:oddVBand="1" w:evenVBand="0" w:oddHBand="0" w:evenHBand="0" w:firstRowFirstColumn="0" w:firstRowLastColumn="0" w:lastRowFirstColumn="0" w:lastRowLastColumn="0"/>
            <w:tcW w:w="0" w:type="auto"/>
          </w:tcPr>
          <w:p w14:paraId="3FDAFDC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0.862 / 0.799</w:t>
            </w:r>
          </w:p>
        </w:tc>
        <w:tc>
          <w:tcPr>
            <w:cnfStyle w:val="000001000000" w:firstRow="0" w:lastRow="0" w:firstColumn="0" w:lastColumn="0" w:oddVBand="0" w:evenVBand="1" w:oddHBand="0" w:evenHBand="0" w:firstRowFirstColumn="0" w:firstRowLastColumn="0" w:lastRowFirstColumn="0" w:lastRowLastColumn="0"/>
            <w:tcW w:w="0" w:type="auto"/>
          </w:tcPr>
          <w:p w14:paraId="4F47A1F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0.771 / 0.635</w:t>
            </w:r>
          </w:p>
        </w:tc>
      </w:tr>
      <w:tr w:rsidR="00427A24" w:rsidRPr="001A556C" w14:paraId="260135D2"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319BDE4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Transformer</w:t>
            </w:r>
          </w:p>
        </w:tc>
        <w:tc>
          <w:tcPr>
            <w:cnfStyle w:val="000001000000" w:firstRow="0" w:lastRow="0" w:firstColumn="0" w:lastColumn="0" w:oddVBand="0" w:evenVBand="1" w:oddHBand="0" w:evenHBand="0" w:firstRowFirstColumn="0" w:firstRowLastColumn="0" w:lastRowFirstColumn="0" w:lastRowLastColumn="0"/>
            <w:tcW w:w="0" w:type="auto"/>
          </w:tcPr>
          <w:p w14:paraId="43AACCC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0.982</w:t>
            </w:r>
          </w:p>
        </w:tc>
        <w:tc>
          <w:tcPr>
            <w:cnfStyle w:val="000010000000" w:firstRow="0" w:lastRow="0" w:firstColumn="0" w:lastColumn="0" w:oddVBand="1" w:evenVBand="0" w:oddHBand="0" w:evenHBand="0" w:firstRowFirstColumn="0" w:firstRowLastColumn="0" w:lastRowFirstColumn="0" w:lastRowLastColumn="0"/>
            <w:tcW w:w="0" w:type="auto"/>
          </w:tcPr>
          <w:p w14:paraId="0A7F456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0.9991</w:t>
            </w:r>
          </w:p>
        </w:tc>
        <w:tc>
          <w:tcPr>
            <w:cnfStyle w:val="000001000000" w:firstRow="0" w:lastRow="0" w:firstColumn="0" w:lastColumn="0" w:oddVBand="0" w:evenVBand="1" w:oddHBand="0" w:evenHBand="0" w:firstRowFirstColumn="0" w:firstRowLastColumn="0" w:lastRowFirstColumn="0" w:lastRowLastColumn="0"/>
            <w:tcW w:w="0" w:type="auto"/>
          </w:tcPr>
          <w:p w14:paraId="4F96B9C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0.980 / 0.980</w:t>
            </w:r>
          </w:p>
        </w:tc>
        <w:tc>
          <w:tcPr>
            <w:cnfStyle w:val="000010000000" w:firstRow="0" w:lastRow="0" w:firstColumn="0" w:lastColumn="0" w:oddVBand="1" w:evenVBand="0" w:oddHBand="0" w:evenHBand="0" w:firstRowFirstColumn="0" w:firstRowLastColumn="0" w:lastRowFirstColumn="0" w:lastRowLastColumn="0"/>
            <w:tcW w:w="0" w:type="auto"/>
          </w:tcPr>
          <w:p w14:paraId="646262C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0.855 / 0.781</w:t>
            </w:r>
          </w:p>
        </w:tc>
        <w:tc>
          <w:tcPr>
            <w:cnfStyle w:val="000001000000" w:firstRow="0" w:lastRow="0" w:firstColumn="0" w:lastColumn="0" w:oddVBand="0" w:evenVBand="1" w:oddHBand="0" w:evenHBand="0" w:firstRowFirstColumn="0" w:firstRowLastColumn="0" w:lastRowFirstColumn="0" w:lastRowLastColumn="0"/>
            <w:tcW w:w="0" w:type="auto"/>
          </w:tcPr>
          <w:p w14:paraId="2D73874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0.856 / 0.789</w:t>
            </w:r>
          </w:p>
        </w:tc>
        <w:tc>
          <w:tcPr>
            <w:cnfStyle w:val="000010000000" w:firstRow="0" w:lastRow="0" w:firstColumn="0" w:lastColumn="0" w:oddVBand="1" w:evenVBand="0" w:oddHBand="0" w:evenHBand="0" w:firstRowFirstColumn="0" w:firstRowLastColumn="0" w:lastRowFirstColumn="0" w:lastRowLastColumn="0"/>
            <w:tcW w:w="0" w:type="auto"/>
          </w:tcPr>
          <w:p w14:paraId="441A016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0.928 / 0.903</w:t>
            </w:r>
          </w:p>
        </w:tc>
        <w:tc>
          <w:tcPr>
            <w:cnfStyle w:val="000001000000" w:firstRow="0" w:lastRow="0" w:firstColumn="0" w:lastColumn="0" w:oddVBand="0" w:evenVBand="1" w:oddHBand="0" w:evenHBand="0" w:firstRowFirstColumn="0" w:firstRowLastColumn="0" w:lastRowFirstColumn="0" w:lastRowLastColumn="0"/>
            <w:tcW w:w="0" w:type="auto"/>
          </w:tcPr>
          <w:p w14:paraId="34B5300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0.756 / 0.621</w:t>
            </w:r>
          </w:p>
        </w:tc>
      </w:tr>
      <w:tr w:rsidR="00427A24" w:rsidRPr="001A556C" w14:paraId="73988433"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77A7DA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Autoencoder</w:t>
            </w:r>
          </w:p>
        </w:tc>
        <w:tc>
          <w:tcPr>
            <w:cnfStyle w:val="000001000000" w:firstRow="0" w:lastRow="0" w:firstColumn="0" w:lastColumn="0" w:oddVBand="0" w:evenVBand="1" w:oddHBand="0" w:evenHBand="0" w:firstRowFirstColumn="0" w:firstRowLastColumn="0" w:lastRowFirstColumn="0" w:lastRowLastColumn="0"/>
            <w:tcW w:w="0" w:type="auto"/>
          </w:tcPr>
          <w:p w14:paraId="51322FC7"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0.913</w:t>
            </w:r>
          </w:p>
        </w:tc>
        <w:tc>
          <w:tcPr>
            <w:cnfStyle w:val="000010000000" w:firstRow="0" w:lastRow="0" w:firstColumn="0" w:lastColumn="0" w:oddVBand="1" w:evenVBand="0" w:oddHBand="0" w:evenHBand="0" w:firstRowFirstColumn="0" w:firstRowLastColumn="0" w:lastRowFirstColumn="0" w:lastRowLastColumn="0"/>
            <w:tcW w:w="0" w:type="auto"/>
          </w:tcPr>
          <w:p w14:paraId="0D5FB82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0.9834</w:t>
            </w:r>
          </w:p>
        </w:tc>
        <w:tc>
          <w:tcPr>
            <w:cnfStyle w:val="000001000000" w:firstRow="0" w:lastRow="0" w:firstColumn="0" w:lastColumn="0" w:oddVBand="0" w:evenVBand="1" w:oddHBand="0" w:evenHBand="0" w:firstRowFirstColumn="0" w:firstRowLastColumn="0" w:lastRowFirstColumn="0" w:lastRowLastColumn="0"/>
            <w:tcW w:w="0" w:type="auto"/>
          </w:tcPr>
          <w:p w14:paraId="2C28F90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0.914 / 0.964</w:t>
            </w:r>
          </w:p>
        </w:tc>
        <w:tc>
          <w:tcPr>
            <w:cnfStyle w:val="000010000000" w:firstRow="0" w:lastRow="0" w:firstColumn="0" w:lastColumn="0" w:oddVBand="1" w:evenVBand="0" w:oddHBand="0" w:evenHBand="0" w:firstRowFirstColumn="0" w:firstRowLastColumn="0" w:lastRowFirstColumn="0" w:lastRowLastColumn="0"/>
            <w:tcW w:w="0" w:type="auto"/>
          </w:tcPr>
          <w:p w14:paraId="3AE740B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0.864 / 0.852</w:t>
            </w:r>
          </w:p>
        </w:tc>
        <w:tc>
          <w:tcPr>
            <w:cnfStyle w:val="000001000000" w:firstRow="0" w:lastRow="0" w:firstColumn="0" w:lastColumn="0" w:oddVBand="0" w:evenVBand="1" w:oddHBand="0" w:evenHBand="0" w:firstRowFirstColumn="0" w:firstRowLastColumn="0" w:lastRowFirstColumn="0" w:lastRowLastColumn="0"/>
            <w:tcW w:w="0" w:type="auto"/>
          </w:tcPr>
          <w:p w14:paraId="54AB646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0.861 / 0.855</w:t>
            </w:r>
          </w:p>
        </w:tc>
        <w:tc>
          <w:tcPr>
            <w:cnfStyle w:val="000010000000" w:firstRow="0" w:lastRow="0" w:firstColumn="0" w:lastColumn="0" w:oddVBand="1" w:evenVBand="0" w:oddHBand="0" w:evenHBand="0" w:firstRowFirstColumn="0" w:firstRowLastColumn="0" w:lastRowFirstColumn="0" w:lastRowLastColumn="0"/>
            <w:tcW w:w="0" w:type="auto"/>
          </w:tcPr>
          <w:p w14:paraId="4E37CA2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0.894 / 0.921</w:t>
            </w:r>
          </w:p>
        </w:tc>
        <w:tc>
          <w:tcPr>
            <w:cnfStyle w:val="000001000000" w:firstRow="0" w:lastRow="0" w:firstColumn="0" w:lastColumn="0" w:oddVBand="0" w:evenVBand="1" w:oddHBand="0" w:evenHBand="0" w:firstRowFirstColumn="0" w:firstRowLastColumn="0" w:lastRowFirstColumn="0" w:lastRowLastColumn="0"/>
            <w:tcW w:w="0" w:type="auto"/>
          </w:tcPr>
          <w:p w14:paraId="4D52912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0.610 / 0.505</w:t>
            </w:r>
          </w:p>
        </w:tc>
      </w:tr>
    </w:tbl>
    <w:p w14:paraId="3D148759"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Three observations follow. First, the magnitude of aging is operationally unacceptable: attack recall falls from approximately 0.99 to 0.57–0.66 under novel-family drift for the gradient-boosted and recurrent models. A detector missing 34% of intrusions </w:t>
      </w:r>
      <w:r w:rsidRPr="001A556C">
        <w:rPr>
          <w:rFonts w:ascii="Times New Roman" w:hAnsi="Times New Roman" w:cs="Times New Roman"/>
          <w:sz w:val="22"/>
          <w:szCs w:val="22"/>
          <w:highlight w:val="yellow"/>
        </w:rPr>
        <w:t>has failed to fulfil its purpose</w:t>
      </w:r>
      <w:r w:rsidRPr="001A556C">
        <w:rPr>
          <w:rFonts w:ascii="Times New Roman" w:hAnsi="Times New Roman" w:cs="Times New Roman"/>
          <w:sz w:val="22"/>
          <w:szCs w:val="22"/>
        </w:rPr>
        <w:t>, yet its reference-window credentials were perfect.</w:t>
      </w:r>
    </w:p>
    <w:p w14:paraId="57992DAF"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Second, aging is invisible to the metric most commonly monitored. Because benign traffic dominates and continues to be classified correctly, overall accuracy remains high throughout; it is </w:t>
      </w:r>
      <w:r w:rsidRPr="001A556C">
        <w:rPr>
          <w:rFonts w:ascii="Times New Roman" w:hAnsi="Times New Roman" w:cs="Times New Roman"/>
          <w:i/>
          <w:iCs/>
          <w:sz w:val="22"/>
          <w:szCs w:val="22"/>
        </w:rPr>
        <w:t>recall on the minority class</w:t>
      </w:r>
      <w:r w:rsidRPr="001A556C">
        <w:rPr>
          <w:rFonts w:ascii="Times New Roman" w:hAnsi="Times New Roman" w:cs="Times New Roman"/>
          <w:sz w:val="22"/>
          <w:szCs w:val="22"/>
        </w:rPr>
        <w:t xml:space="preserve"> that collapses. Dashboards built on accuracy or on aggregate alert volume will not surface this failure.</w:t>
      </w:r>
    </w:p>
    <w:p w14:paraId="2A7A6FF0"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Third, robustness is architecture-specific and, importantly, </w:t>
      </w:r>
      <w:r w:rsidRPr="001A556C">
        <w:rPr>
          <w:rFonts w:ascii="Times New Roman" w:hAnsi="Times New Roman" w:cs="Times New Roman"/>
          <w:b/>
          <w:bCs/>
          <w:sz w:val="22"/>
          <w:szCs w:val="22"/>
        </w:rPr>
        <w:t>not transitive across drift types</w:t>
      </w:r>
      <w:r w:rsidRPr="001A556C">
        <w:rPr>
          <w:rFonts w:ascii="Times New Roman" w:hAnsi="Times New Roman" w:cs="Times New Roman"/>
          <w:sz w:val="22"/>
          <w:szCs w:val="22"/>
        </w:rPr>
        <w:t xml:space="preserve">. The Transformer is the most robust model under novel-family drift (terminal F1 = 0.855 against 0.708 for the LSTM) but is unremarkable under evasion. The Autoencoder inverts this pattern: it is the </w:t>
      </w:r>
      <w:r w:rsidRPr="001A556C">
        <w:rPr>
          <w:rFonts w:ascii="Times New Roman" w:hAnsi="Times New Roman" w:cs="Times New Roman"/>
          <w:i/>
          <w:iCs/>
          <w:sz w:val="22"/>
          <w:szCs w:val="22"/>
        </w:rPr>
        <w:t>most</w:t>
      </w:r>
      <w:r w:rsidRPr="001A556C">
        <w:rPr>
          <w:rFonts w:ascii="Times New Roman" w:hAnsi="Times New Roman" w:cs="Times New Roman"/>
          <w:sz w:val="22"/>
          <w:szCs w:val="22"/>
        </w:rPr>
        <w:t xml:space="preserve"> robust architecture to novel attack families (0.864, because a never-before-seen attack is still anomalous with respect to a benign-only reconstruction model) and simultaneously the </w:t>
      </w:r>
      <w:r w:rsidRPr="001A556C">
        <w:rPr>
          <w:rFonts w:ascii="Times New Roman" w:hAnsi="Times New Roman" w:cs="Times New Roman"/>
          <w:i/>
          <w:iCs/>
          <w:sz w:val="22"/>
          <w:szCs w:val="22"/>
        </w:rPr>
        <w:t>most</w:t>
      </w:r>
      <w:r w:rsidRPr="001A556C">
        <w:rPr>
          <w:rFonts w:ascii="Times New Roman" w:hAnsi="Times New Roman" w:cs="Times New Roman"/>
          <w:sz w:val="22"/>
          <w:szCs w:val="22"/>
        </w:rPr>
        <w:t xml:space="preserve"> fragile to adversarial mimicry (0.610, because mimicry is precisely an attack on reconstruction-based normality). Any deployment reasoning of the form “choose the most drift-robust architecture” is therefore ill-posed without specifying the drift mechanism.</w:t>
      </w:r>
    </w:p>
    <w:p w14:paraId="36250A1A" w14:textId="77777777" w:rsidR="00364457" w:rsidRPr="001A556C" w:rsidRDefault="00364457" w:rsidP="00364457">
      <w:pPr>
        <w:pStyle w:val="BodyText"/>
        <w:spacing w:line="360" w:lineRule="auto"/>
        <w:jc w:val="both"/>
        <w:rPr>
          <w:rFonts w:ascii="Times New Roman" w:hAnsi="Times New Roman" w:cs="Times New Roman"/>
          <w:sz w:val="22"/>
          <w:szCs w:val="22"/>
        </w:rPr>
      </w:pPr>
    </w:p>
    <w:p w14:paraId="46015EF6" w14:textId="77777777" w:rsidR="00364457" w:rsidRPr="001A556C" w:rsidRDefault="00F57E70" w:rsidP="00364457">
      <w:pPr>
        <w:pStyle w:val="BodyText"/>
        <w:jc w:val="both"/>
        <w:rPr>
          <w:rFonts w:ascii="Times New Roman" w:hAnsi="Times New Roman" w:cs="Times New Roman"/>
          <w:sz w:val="22"/>
          <w:szCs w:val="22"/>
        </w:rPr>
      </w:pPr>
      <w:r w:rsidRPr="001A556C">
        <w:rPr>
          <w:rFonts w:ascii="Times New Roman" w:hAnsi="Times New Roman" w:cs="Times New Roman"/>
          <w:sz w:val="22"/>
          <w:szCs w:val="22"/>
        </w:rPr>
        <w:t>Figure 2 shows the full trajectories; Figure 6 summarises terminal loss as a joint function of</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architecture and regime.</w:t>
      </w:r>
    </w:p>
    <w:p w14:paraId="3DA4E333" w14:textId="77777777" w:rsidR="00364457" w:rsidRPr="001A556C" w:rsidRDefault="00F57E70" w:rsidP="00364457">
      <w:pPr>
        <w:pStyle w:val="BodyText"/>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99" wp14:editId="05DCA29A">
            <wp:extent cx="5334000" cy="1722288"/>
            <wp:effectExtent l="0" t="0" r="0" b="0"/>
            <wp:docPr id="56" name="Picture" descr="Figure 1. The monitoring and adaptation framework. Unlabelled batches feed a statistical drift monitor whose null-calibrated outputs drive the aging indices; the indices drive a control-limit retraining decision, which resets the reference window and closes the loop."/>
            <wp:cNvGraphicFramePr/>
            <a:graphic xmlns:a="http://schemas.openxmlformats.org/drawingml/2006/main">
              <a:graphicData uri="http://schemas.openxmlformats.org/drawingml/2006/picture">
                <pic:pic xmlns:pic="http://schemas.openxmlformats.org/drawingml/2006/picture">
                  <pic:nvPicPr>
                    <pic:cNvPr id="57" name="Picture" descr="figs/fig1_framework.png"/>
                    <pic:cNvPicPr>
                      <a:picLocks noChangeAspect="1" noChangeArrowheads="1"/>
                    </pic:cNvPicPr>
                  </pic:nvPicPr>
                  <pic:blipFill>
                    <a:blip r:embed="rId7"/>
                    <a:stretch>
                      <a:fillRect/>
                    </a:stretch>
                  </pic:blipFill>
                  <pic:spPr bwMode="auto">
                    <a:xfrm>
                      <a:off x="0" y="0"/>
                      <a:ext cx="5334000" cy="1722288"/>
                    </a:xfrm>
                    <a:prstGeom prst="rect">
                      <a:avLst/>
                    </a:prstGeom>
                    <a:noFill/>
                    <a:ln w="9525">
                      <a:noFill/>
                      <a:headEnd/>
                      <a:tailEnd/>
                    </a:ln>
                  </pic:spPr>
                </pic:pic>
              </a:graphicData>
            </a:graphic>
          </wp:inline>
        </w:drawing>
      </w:r>
    </w:p>
    <w:p w14:paraId="79AD0194" w14:textId="77777777" w:rsidR="00427A24" w:rsidRPr="001A556C" w:rsidRDefault="00F57E70" w:rsidP="00364457">
      <w:pPr>
        <w:pStyle w:val="BodyText"/>
        <w:jc w:val="center"/>
        <w:rPr>
          <w:rFonts w:ascii="Times New Roman" w:hAnsi="Times New Roman" w:cs="Times New Roman"/>
          <w:i/>
          <w:iCs/>
          <w:sz w:val="22"/>
          <w:szCs w:val="22"/>
        </w:rPr>
      </w:pPr>
      <w:r w:rsidRPr="001A556C">
        <w:rPr>
          <w:rFonts w:ascii="Times New Roman" w:hAnsi="Times New Roman" w:cs="Times New Roman"/>
          <w:b/>
          <w:bCs/>
          <w:i/>
          <w:iCs/>
          <w:sz w:val="22"/>
          <w:szCs w:val="22"/>
        </w:rPr>
        <w:t>Figure 1.</w:t>
      </w:r>
      <w:r w:rsidRPr="001A556C">
        <w:rPr>
          <w:rFonts w:ascii="Times New Roman" w:hAnsi="Times New Roman" w:cs="Times New Roman"/>
          <w:i/>
          <w:iCs/>
          <w:sz w:val="22"/>
          <w:szCs w:val="22"/>
        </w:rPr>
        <w:t xml:space="preserve"> The monitoring and adaptation framework.</w:t>
      </w:r>
    </w:p>
    <w:p w14:paraId="7D2273BD" w14:textId="77777777" w:rsidR="00364457" w:rsidRPr="001A556C" w:rsidRDefault="00364457">
      <w:pPr>
        <w:pStyle w:val="ImageCaption"/>
        <w:rPr>
          <w:rFonts w:ascii="Times New Roman" w:hAnsi="Times New Roman" w:cs="Times New Roman"/>
          <w:sz w:val="22"/>
          <w:szCs w:val="22"/>
        </w:rPr>
      </w:pPr>
    </w:p>
    <w:p w14:paraId="2DBF05EF"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lastRenderedPageBreak/>
        <w:drawing>
          <wp:inline distT="0" distB="0" distL="0" distR="0" wp14:anchorId="05DCA29B" wp14:editId="05DCA29C">
            <wp:extent cx="5334000" cy="1905936"/>
            <wp:effectExtent l="0" t="0" r="0" b="0"/>
            <wp:docPr id="59" name="Picture" descr="Figure 2. Aging trajectories for all seven architectures across the five drift regimes. Top row: F1-score; bottom row: attack recall. Dotted vertical lines mark drift onset. Note that recall degrades substantially more than F1, and that the no-drift panel confirms the absence of spurious degradation."/>
            <wp:cNvGraphicFramePr/>
            <a:graphic xmlns:a="http://schemas.openxmlformats.org/drawingml/2006/main">
              <a:graphicData uri="http://schemas.openxmlformats.org/drawingml/2006/picture">
                <pic:pic xmlns:pic="http://schemas.openxmlformats.org/drawingml/2006/picture">
                  <pic:nvPicPr>
                    <pic:cNvPr id="60" name="Picture" descr="figs/fig2_aging.png"/>
                    <pic:cNvPicPr>
                      <a:picLocks noChangeAspect="1" noChangeArrowheads="1"/>
                    </pic:cNvPicPr>
                  </pic:nvPicPr>
                  <pic:blipFill>
                    <a:blip r:embed="rId8"/>
                    <a:stretch>
                      <a:fillRect/>
                    </a:stretch>
                  </pic:blipFill>
                  <pic:spPr bwMode="auto">
                    <a:xfrm>
                      <a:off x="0" y="0"/>
                      <a:ext cx="5334000" cy="1905936"/>
                    </a:xfrm>
                    <a:prstGeom prst="rect">
                      <a:avLst/>
                    </a:prstGeom>
                    <a:noFill/>
                    <a:ln w="9525">
                      <a:noFill/>
                      <a:headEnd/>
                      <a:tailEnd/>
                    </a:ln>
                  </pic:spPr>
                </pic:pic>
              </a:graphicData>
            </a:graphic>
          </wp:inline>
        </w:drawing>
      </w:r>
    </w:p>
    <w:p w14:paraId="14536770" w14:textId="77777777" w:rsidR="00427A24" w:rsidRPr="001A556C" w:rsidRDefault="00F57E7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2.</w:t>
      </w:r>
      <w:r w:rsidRPr="001A556C">
        <w:rPr>
          <w:rFonts w:ascii="Times New Roman" w:hAnsi="Times New Roman" w:cs="Times New Roman"/>
          <w:sz w:val="22"/>
          <w:szCs w:val="22"/>
        </w:rPr>
        <w:t xml:space="preserve"> Aging trajectories for all seven architectures across the five drift regimes.</w:t>
      </w:r>
    </w:p>
    <w:p w14:paraId="5EB3DD59" w14:textId="77777777" w:rsidR="00427A24" w:rsidRPr="001A556C" w:rsidRDefault="00F57E70">
      <w:pPr>
        <w:pStyle w:val="Heading3"/>
        <w:rPr>
          <w:rFonts w:ascii="Times New Roman" w:hAnsi="Times New Roman" w:cs="Times New Roman"/>
          <w:color w:val="auto"/>
          <w:sz w:val="22"/>
          <w:szCs w:val="22"/>
        </w:rPr>
      </w:pPr>
      <w:bookmarkStart w:id="38" w:name="X1681086728d9a3be393442c3619687380966b93"/>
      <w:bookmarkEnd w:id="37"/>
      <w:r w:rsidRPr="001A556C">
        <w:rPr>
          <w:rFonts w:ascii="Times New Roman" w:hAnsi="Times New Roman" w:cs="Times New Roman"/>
          <w:color w:val="auto"/>
          <w:sz w:val="22"/>
          <w:szCs w:val="22"/>
        </w:rPr>
        <w:t>8.2 The aging indices track degradation and stay quiet under stationarity</w:t>
      </w:r>
    </w:p>
    <w:p w14:paraId="353F78DF" w14:textId="77777777" w:rsidR="00427A24" w:rsidRPr="001A556C" w:rsidRDefault="00F57E70" w:rsidP="00364457">
      <w:pPr>
        <w:pStyle w:val="FirstParagraph"/>
        <w:jc w:val="both"/>
        <w:rPr>
          <w:rFonts w:ascii="Times New Roman" w:hAnsi="Times New Roman" w:cs="Times New Roman"/>
          <w:sz w:val="22"/>
          <w:szCs w:val="22"/>
        </w:rPr>
      </w:pPr>
      <w:r w:rsidRPr="001A556C">
        <w:rPr>
          <w:rFonts w:ascii="Times New Roman" w:hAnsi="Times New Roman" w:cs="Times New Roman"/>
          <w:sz w:val="22"/>
          <w:szCs w:val="22"/>
        </w:rPr>
        <w:t>Table 2 reports the stationary behaviour of MAI and its terminal value in each regime.</w:t>
      </w:r>
    </w:p>
    <w:p w14:paraId="5F0CDF2C" w14:textId="77777777" w:rsidR="00427A24" w:rsidRPr="001A556C" w:rsidRDefault="00F57E70" w:rsidP="00364457">
      <w:pPr>
        <w:pStyle w:val="BodyText"/>
        <w:jc w:val="center"/>
        <w:rPr>
          <w:rFonts w:ascii="Times New Roman" w:hAnsi="Times New Roman" w:cs="Times New Roman"/>
          <w:sz w:val="22"/>
          <w:szCs w:val="22"/>
        </w:rPr>
      </w:pPr>
      <w:r w:rsidRPr="001A556C">
        <w:rPr>
          <w:rFonts w:ascii="Times New Roman" w:hAnsi="Times New Roman" w:cs="Times New Roman"/>
          <w:b/>
          <w:bCs/>
          <w:sz w:val="22"/>
          <w:szCs w:val="22"/>
        </w:rPr>
        <w:t>Table 2.</w:t>
      </w:r>
      <w:r w:rsidRPr="001A556C">
        <w:rPr>
          <w:rFonts w:ascii="Times New Roman" w:hAnsi="Times New Roman" w:cs="Times New Roman"/>
          <w:sz w:val="22"/>
          <w:szCs w:val="22"/>
        </w:rPr>
        <w:t xml:space="preserve"> MAI under stationarity (mean and maximum over the drift-free stream) and terminal MAI by regime.</w:t>
      </w:r>
    </w:p>
    <w:tbl>
      <w:tblPr>
        <w:tblStyle w:val="PlainTable2"/>
        <w:tblW w:w="5000" w:type="pct"/>
        <w:tblLook w:val="0020" w:firstRow="1" w:lastRow="0" w:firstColumn="0" w:lastColumn="0" w:noHBand="0" w:noVBand="0"/>
      </w:tblPr>
      <w:tblGrid>
        <w:gridCol w:w="1895"/>
        <w:gridCol w:w="1226"/>
        <w:gridCol w:w="1093"/>
        <w:gridCol w:w="1222"/>
        <w:gridCol w:w="1104"/>
        <w:gridCol w:w="1429"/>
        <w:gridCol w:w="1607"/>
      </w:tblGrid>
      <w:tr w:rsidR="00427A24" w:rsidRPr="001A556C" w14:paraId="30836D43"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DA84D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Architecture</w:t>
            </w:r>
          </w:p>
        </w:tc>
        <w:tc>
          <w:tcPr>
            <w:cnfStyle w:val="000001000000" w:firstRow="0" w:lastRow="0" w:firstColumn="0" w:lastColumn="0" w:oddVBand="0" w:evenVBand="1" w:oddHBand="0" w:evenHBand="0" w:firstRowFirstColumn="0" w:firstRowLastColumn="0" w:lastRowFirstColumn="0" w:lastRowLastColumn="0"/>
            <w:tcW w:w="0" w:type="auto"/>
          </w:tcPr>
          <w:p w14:paraId="5927B8A6" w14:textId="77777777" w:rsidR="00427A24" w:rsidRPr="001A556C" w:rsidRDefault="00000000">
            <w:pPr>
              <w:pStyle w:val="Compact"/>
              <w:rPr>
                <w:rFonts w:ascii="Times New Roman" w:hAnsi="Times New Roman" w:cs="Times New Roman"/>
                <w:sz w:val="22"/>
                <w:szCs w:val="22"/>
              </w:rPr>
            </w:pPr>
            <m:oMath>
              <m:sSub>
                <m:sSubPr>
                  <m:ctrlPr>
                    <w:rPr>
                      <w:rFonts w:ascii="Cambria Math" w:hAnsi="Cambria Math" w:cs="Times New Roman"/>
                      <w:sz w:val="22"/>
                      <w:szCs w:val="22"/>
                    </w:rPr>
                  </m:ctrlPr>
                </m:sSubPr>
                <m:e>
                  <m:r>
                    <m:rPr>
                      <m:sty m:val="bi"/>
                    </m:rPr>
                    <w:rPr>
                      <w:rFonts w:ascii="Cambria Math" w:hAnsi="Cambria Math" w:cs="Times New Roman"/>
                      <w:sz w:val="22"/>
                      <w:szCs w:val="22"/>
                    </w:rPr>
                    <m:t>S</m:t>
                  </m:r>
                </m:e>
                <m:sub>
                  <m:r>
                    <m:rPr>
                      <m:sty m:val="bi"/>
                    </m:rPr>
                    <w:rPr>
                      <w:rFonts w:ascii="Cambria Math" w:hAnsi="Cambria Math" w:cs="Times New Roman"/>
                      <w:sz w:val="22"/>
                      <w:szCs w:val="22"/>
                    </w:rPr>
                    <m:t>1</m:t>
                  </m:r>
                </m:sub>
              </m:sSub>
            </m:oMath>
            <w:r w:rsidR="00F57E70" w:rsidRPr="001A556C">
              <w:rPr>
                <w:rFonts w:ascii="Times New Roman" w:hAnsi="Times New Roman" w:cs="Times New Roman"/>
                <w:sz w:val="22"/>
                <w:szCs w:val="22"/>
              </w:rPr>
              <w:t xml:space="preserve"> mean</w:t>
            </w:r>
          </w:p>
        </w:tc>
        <w:tc>
          <w:tcPr>
            <w:cnfStyle w:val="000010000000" w:firstRow="0" w:lastRow="0" w:firstColumn="0" w:lastColumn="0" w:oddVBand="1" w:evenVBand="0" w:oddHBand="0" w:evenHBand="0" w:firstRowFirstColumn="0" w:firstRowLastColumn="0" w:lastRowFirstColumn="0" w:lastRowLastColumn="0"/>
            <w:tcW w:w="0" w:type="auto"/>
          </w:tcPr>
          <w:p w14:paraId="63E39224" w14:textId="77777777" w:rsidR="00427A24" w:rsidRPr="001A556C" w:rsidRDefault="00000000">
            <w:pPr>
              <w:pStyle w:val="Compact"/>
              <w:rPr>
                <w:rFonts w:ascii="Times New Roman" w:hAnsi="Times New Roman" w:cs="Times New Roman"/>
                <w:sz w:val="22"/>
                <w:szCs w:val="22"/>
              </w:rPr>
            </w:pPr>
            <m:oMath>
              <m:sSub>
                <m:sSubPr>
                  <m:ctrlPr>
                    <w:rPr>
                      <w:rFonts w:ascii="Cambria Math" w:hAnsi="Cambria Math" w:cs="Times New Roman"/>
                      <w:sz w:val="22"/>
                      <w:szCs w:val="22"/>
                    </w:rPr>
                  </m:ctrlPr>
                </m:sSubPr>
                <m:e>
                  <m:r>
                    <m:rPr>
                      <m:sty m:val="bi"/>
                    </m:rPr>
                    <w:rPr>
                      <w:rFonts w:ascii="Cambria Math" w:hAnsi="Cambria Math" w:cs="Times New Roman"/>
                      <w:sz w:val="22"/>
                      <w:szCs w:val="22"/>
                    </w:rPr>
                    <m:t>S</m:t>
                  </m:r>
                </m:e>
                <m:sub>
                  <m:r>
                    <m:rPr>
                      <m:sty m:val="bi"/>
                    </m:rPr>
                    <w:rPr>
                      <w:rFonts w:ascii="Cambria Math" w:hAnsi="Cambria Math" w:cs="Times New Roman"/>
                      <w:sz w:val="22"/>
                      <w:szCs w:val="22"/>
                    </w:rPr>
                    <m:t>1</m:t>
                  </m:r>
                </m:sub>
              </m:sSub>
            </m:oMath>
            <w:r w:rsidR="00F57E70" w:rsidRPr="001A556C">
              <w:rPr>
                <w:rFonts w:ascii="Times New Roman" w:hAnsi="Times New Roman" w:cs="Times New Roman"/>
                <w:sz w:val="22"/>
                <w:szCs w:val="22"/>
              </w:rPr>
              <w:t xml:space="preserve"> max</w:t>
            </w:r>
          </w:p>
        </w:tc>
        <w:tc>
          <w:tcPr>
            <w:cnfStyle w:val="000001000000" w:firstRow="0" w:lastRow="0" w:firstColumn="0" w:lastColumn="0" w:oddVBand="0" w:evenVBand="1" w:oddHBand="0" w:evenHBand="0" w:firstRowFirstColumn="0" w:firstRowLastColumn="0" w:lastRowFirstColumn="0" w:lastRowLastColumn="0"/>
            <w:tcW w:w="0" w:type="auto"/>
          </w:tcPr>
          <w:p w14:paraId="2C6A671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Gradual</w:t>
            </w:r>
          </w:p>
        </w:tc>
        <w:tc>
          <w:tcPr>
            <w:cnfStyle w:val="000010000000" w:firstRow="0" w:lastRow="0" w:firstColumn="0" w:lastColumn="0" w:oddVBand="1" w:evenVBand="0" w:oddHBand="0" w:evenHBand="0" w:firstRowFirstColumn="0" w:firstRowLastColumn="0" w:lastRowFirstColumn="0" w:lastRowLastColumn="0"/>
            <w:tcW w:w="0" w:type="auto"/>
          </w:tcPr>
          <w:p w14:paraId="09029CE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Abrupt</w:t>
            </w:r>
          </w:p>
        </w:tc>
        <w:tc>
          <w:tcPr>
            <w:cnfStyle w:val="000001000000" w:firstRow="0" w:lastRow="0" w:firstColumn="0" w:lastColumn="0" w:oddVBand="0" w:evenVBand="1" w:oddHBand="0" w:evenHBand="0" w:firstRowFirstColumn="0" w:firstRowLastColumn="0" w:lastRowFirstColumn="0" w:lastRowLastColumn="0"/>
            <w:tcW w:w="0" w:type="auto"/>
          </w:tcPr>
          <w:p w14:paraId="444AFE5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Recurring</w:t>
            </w:r>
          </w:p>
        </w:tc>
        <w:tc>
          <w:tcPr>
            <w:cnfStyle w:val="000010000000" w:firstRow="0" w:lastRow="0" w:firstColumn="0" w:lastColumn="0" w:oddVBand="1" w:evenVBand="0" w:oddHBand="0" w:evenHBand="0" w:firstRowFirstColumn="0" w:firstRowLastColumn="0" w:lastRowFirstColumn="0" w:lastRowLastColumn="0"/>
            <w:tcW w:w="0" w:type="auto"/>
          </w:tcPr>
          <w:p w14:paraId="0C0B81E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Adversarial</w:t>
            </w:r>
          </w:p>
        </w:tc>
      </w:tr>
      <w:tr w:rsidR="00427A24" w:rsidRPr="001A556C" w14:paraId="54424A65"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D035DD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Random Forest</w:t>
            </w:r>
          </w:p>
        </w:tc>
        <w:tc>
          <w:tcPr>
            <w:cnfStyle w:val="000001000000" w:firstRow="0" w:lastRow="0" w:firstColumn="0" w:lastColumn="0" w:oddVBand="0" w:evenVBand="1" w:oddHBand="0" w:evenHBand="0" w:firstRowFirstColumn="0" w:firstRowLastColumn="0" w:lastRowFirstColumn="0" w:lastRowLastColumn="0"/>
            <w:tcW w:w="0" w:type="auto"/>
          </w:tcPr>
          <w:p w14:paraId="4534957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0.139</w:t>
            </w:r>
          </w:p>
        </w:tc>
        <w:tc>
          <w:tcPr>
            <w:cnfStyle w:val="000010000000" w:firstRow="0" w:lastRow="0" w:firstColumn="0" w:lastColumn="0" w:oddVBand="1" w:evenVBand="0" w:oddHBand="0" w:evenHBand="0" w:firstRowFirstColumn="0" w:firstRowLastColumn="0" w:lastRowFirstColumn="0" w:lastRowLastColumn="0"/>
            <w:tcW w:w="0" w:type="auto"/>
          </w:tcPr>
          <w:p w14:paraId="0D55E5B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0.280</w:t>
            </w:r>
          </w:p>
        </w:tc>
        <w:tc>
          <w:tcPr>
            <w:cnfStyle w:val="000001000000" w:firstRow="0" w:lastRow="0" w:firstColumn="0" w:lastColumn="0" w:oddVBand="0" w:evenVBand="1" w:oddHBand="0" w:evenHBand="0" w:firstRowFirstColumn="0" w:firstRowLastColumn="0" w:lastRowFirstColumn="0" w:lastRowLastColumn="0"/>
            <w:tcW w:w="0" w:type="auto"/>
          </w:tcPr>
          <w:p w14:paraId="3359A8B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10000000" w:firstRow="0" w:lastRow="0" w:firstColumn="0" w:lastColumn="0" w:oddVBand="1" w:evenVBand="0" w:oddHBand="0" w:evenHBand="0" w:firstRowFirstColumn="0" w:firstRowLastColumn="0" w:lastRowFirstColumn="0" w:lastRowLastColumn="0"/>
            <w:tcW w:w="0" w:type="auto"/>
          </w:tcPr>
          <w:p w14:paraId="11AB5B0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01000000" w:firstRow="0" w:lastRow="0" w:firstColumn="0" w:lastColumn="0" w:oddVBand="0" w:evenVBand="1" w:oddHBand="0" w:evenHBand="0" w:firstRowFirstColumn="0" w:firstRowLastColumn="0" w:lastRowFirstColumn="0" w:lastRowLastColumn="0"/>
            <w:tcW w:w="0" w:type="auto"/>
          </w:tcPr>
          <w:p w14:paraId="75CF61B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0.798</w:t>
            </w:r>
          </w:p>
        </w:tc>
        <w:tc>
          <w:tcPr>
            <w:cnfStyle w:val="000010000000" w:firstRow="0" w:lastRow="0" w:firstColumn="0" w:lastColumn="0" w:oddVBand="1" w:evenVBand="0" w:oddHBand="0" w:evenHBand="0" w:firstRowFirstColumn="0" w:firstRowLastColumn="0" w:lastRowFirstColumn="0" w:lastRowLastColumn="0"/>
            <w:tcW w:w="0" w:type="auto"/>
          </w:tcPr>
          <w:p w14:paraId="2FE3E12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0.996</w:t>
            </w:r>
          </w:p>
        </w:tc>
      </w:tr>
      <w:tr w:rsidR="00427A24" w:rsidRPr="001A556C" w14:paraId="1D147499"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E2CF6B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XGBoost</w:t>
            </w:r>
          </w:p>
        </w:tc>
        <w:tc>
          <w:tcPr>
            <w:cnfStyle w:val="000001000000" w:firstRow="0" w:lastRow="0" w:firstColumn="0" w:lastColumn="0" w:oddVBand="0" w:evenVBand="1" w:oddHBand="0" w:evenHBand="0" w:firstRowFirstColumn="0" w:firstRowLastColumn="0" w:lastRowFirstColumn="0" w:lastRowLastColumn="0"/>
            <w:tcW w:w="0" w:type="auto"/>
          </w:tcPr>
          <w:p w14:paraId="6E024F4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0.174</w:t>
            </w:r>
          </w:p>
        </w:tc>
        <w:tc>
          <w:tcPr>
            <w:cnfStyle w:val="000010000000" w:firstRow="0" w:lastRow="0" w:firstColumn="0" w:lastColumn="0" w:oddVBand="1" w:evenVBand="0" w:oddHBand="0" w:evenHBand="0" w:firstRowFirstColumn="0" w:firstRowLastColumn="0" w:lastRowFirstColumn="0" w:lastRowLastColumn="0"/>
            <w:tcW w:w="0" w:type="auto"/>
          </w:tcPr>
          <w:p w14:paraId="69A9485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0.232</w:t>
            </w:r>
          </w:p>
        </w:tc>
        <w:tc>
          <w:tcPr>
            <w:cnfStyle w:val="000001000000" w:firstRow="0" w:lastRow="0" w:firstColumn="0" w:lastColumn="0" w:oddVBand="0" w:evenVBand="1" w:oddHBand="0" w:evenHBand="0" w:firstRowFirstColumn="0" w:firstRowLastColumn="0" w:lastRowFirstColumn="0" w:lastRowLastColumn="0"/>
            <w:tcW w:w="0" w:type="auto"/>
          </w:tcPr>
          <w:p w14:paraId="1E4905C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10000000" w:firstRow="0" w:lastRow="0" w:firstColumn="0" w:lastColumn="0" w:oddVBand="1" w:evenVBand="0" w:oddHBand="0" w:evenHBand="0" w:firstRowFirstColumn="0" w:firstRowLastColumn="0" w:lastRowFirstColumn="0" w:lastRowLastColumn="0"/>
            <w:tcW w:w="0" w:type="auto"/>
          </w:tcPr>
          <w:p w14:paraId="726E6FE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01000000" w:firstRow="0" w:lastRow="0" w:firstColumn="0" w:lastColumn="0" w:oddVBand="0" w:evenVBand="1" w:oddHBand="0" w:evenHBand="0" w:firstRowFirstColumn="0" w:firstRowLastColumn="0" w:lastRowFirstColumn="0" w:lastRowLastColumn="0"/>
            <w:tcW w:w="0" w:type="auto"/>
          </w:tcPr>
          <w:p w14:paraId="11C843B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0.812</w:t>
            </w:r>
          </w:p>
        </w:tc>
        <w:tc>
          <w:tcPr>
            <w:cnfStyle w:val="000010000000" w:firstRow="0" w:lastRow="0" w:firstColumn="0" w:lastColumn="0" w:oddVBand="1" w:evenVBand="0" w:oddHBand="0" w:evenHBand="0" w:firstRowFirstColumn="0" w:firstRowLastColumn="0" w:lastRowFirstColumn="0" w:lastRowLastColumn="0"/>
            <w:tcW w:w="0" w:type="auto"/>
          </w:tcPr>
          <w:p w14:paraId="4AD9B57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0.993</w:t>
            </w:r>
          </w:p>
        </w:tc>
      </w:tr>
      <w:tr w:rsidR="00427A24" w:rsidRPr="001A556C" w14:paraId="1618F8B0"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4C9D28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LightGBM</w:t>
            </w:r>
          </w:p>
        </w:tc>
        <w:tc>
          <w:tcPr>
            <w:cnfStyle w:val="000001000000" w:firstRow="0" w:lastRow="0" w:firstColumn="0" w:lastColumn="0" w:oddVBand="0" w:evenVBand="1" w:oddHBand="0" w:evenHBand="0" w:firstRowFirstColumn="0" w:firstRowLastColumn="0" w:lastRowFirstColumn="0" w:lastRowLastColumn="0"/>
            <w:tcW w:w="0" w:type="auto"/>
          </w:tcPr>
          <w:p w14:paraId="3D9F0AD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0.317</w:t>
            </w:r>
          </w:p>
        </w:tc>
        <w:tc>
          <w:tcPr>
            <w:cnfStyle w:val="000010000000" w:firstRow="0" w:lastRow="0" w:firstColumn="0" w:lastColumn="0" w:oddVBand="1" w:evenVBand="0" w:oddHBand="0" w:evenHBand="0" w:firstRowFirstColumn="0" w:firstRowLastColumn="0" w:lastRowFirstColumn="0" w:lastRowLastColumn="0"/>
            <w:tcW w:w="0" w:type="auto"/>
          </w:tcPr>
          <w:p w14:paraId="196FCCF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0.366</w:t>
            </w:r>
          </w:p>
        </w:tc>
        <w:tc>
          <w:tcPr>
            <w:cnfStyle w:val="000001000000" w:firstRow="0" w:lastRow="0" w:firstColumn="0" w:lastColumn="0" w:oddVBand="0" w:evenVBand="1" w:oddHBand="0" w:evenHBand="0" w:firstRowFirstColumn="0" w:firstRowLastColumn="0" w:lastRowFirstColumn="0" w:lastRowLastColumn="0"/>
            <w:tcW w:w="0" w:type="auto"/>
          </w:tcPr>
          <w:p w14:paraId="7117316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10000000" w:firstRow="0" w:lastRow="0" w:firstColumn="0" w:lastColumn="0" w:oddVBand="1" w:evenVBand="0" w:oddHBand="0" w:evenHBand="0" w:firstRowFirstColumn="0" w:firstRowLastColumn="0" w:lastRowFirstColumn="0" w:lastRowLastColumn="0"/>
            <w:tcW w:w="0" w:type="auto"/>
          </w:tcPr>
          <w:p w14:paraId="21CEA75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01000000" w:firstRow="0" w:lastRow="0" w:firstColumn="0" w:lastColumn="0" w:oddVBand="0" w:evenVBand="1" w:oddHBand="0" w:evenHBand="0" w:firstRowFirstColumn="0" w:firstRowLastColumn="0" w:lastRowFirstColumn="0" w:lastRowLastColumn="0"/>
            <w:tcW w:w="0" w:type="auto"/>
          </w:tcPr>
          <w:p w14:paraId="0FF7732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0.834</w:t>
            </w:r>
          </w:p>
        </w:tc>
        <w:tc>
          <w:tcPr>
            <w:cnfStyle w:val="000010000000" w:firstRow="0" w:lastRow="0" w:firstColumn="0" w:lastColumn="0" w:oddVBand="1" w:evenVBand="0" w:oddHBand="0" w:evenHBand="0" w:firstRowFirstColumn="0" w:firstRowLastColumn="0" w:lastRowFirstColumn="0" w:lastRowLastColumn="0"/>
            <w:tcW w:w="0" w:type="auto"/>
          </w:tcPr>
          <w:p w14:paraId="2308726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5BD30C56"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57093EA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1D-CNN</w:t>
            </w:r>
          </w:p>
        </w:tc>
        <w:tc>
          <w:tcPr>
            <w:cnfStyle w:val="000001000000" w:firstRow="0" w:lastRow="0" w:firstColumn="0" w:lastColumn="0" w:oddVBand="0" w:evenVBand="1" w:oddHBand="0" w:evenHBand="0" w:firstRowFirstColumn="0" w:firstRowLastColumn="0" w:lastRowFirstColumn="0" w:lastRowLastColumn="0"/>
            <w:tcW w:w="0" w:type="auto"/>
          </w:tcPr>
          <w:p w14:paraId="18B611F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0.003</w:t>
            </w:r>
          </w:p>
        </w:tc>
        <w:tc>
          <w:tcPr>
            <w:cnfStyle w:val="000010000000" w:firstRow="0" w:lastRow="0" w:firstColumn="0" w:lastColumn="0" w:oddVBand="1" w:evenVBand="0" w:oddHBand="0" w:evenHBand="0" w:firstRowFirstColumn="0" w:firstRowLastColumn="0" w:lastRowFirstColumn="0" w:lastRowLastColumn="0"/>
            <w:tcW w:w="0" w:type="auto"/>
          </w:tcPr>
          <w:p w14:paraId="1BDB330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0.032</w:t>
            </w:r>
          </w:p>
        </w:tc>
        <w:tc>
          <w:tcPr>
            <w:cnfStyle w:val="000001000000" w:firstRow="0" w:lastRow="0" w:firstColumn="0" w:lastColumn="0" w:oddVBand="0" w:evenVBand="1" w:oddHBand="0" w:evenHBand="0" w:firstRowFirstColumn="0" w:firstRowLastColumn="0" w:lastRowFirstColumn="0" w:lastRowLastColumn="0"/>
            <w:tcW w:w="0" w:type="auto"/>
          </w:tcPr>
          <w:p w14:paraId="434068C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0.987</w:t>
            </w:r>
          </w:p>
        </w:tc>
        <w:tc>
          <w:tcPr>
            <w:cnfStyle w:val="000010000000" w:firstRow="0" w:lastRow="0" w:firstColumn="0" w:lastColumn="0" w:oddVBand="1" w:evenVBand="0" w:oddHBand="0" w:evenHBand="0" w:firstRowFirstColumn="0" w:firstRowLastColumn="0" w:lastRowFirstColumn="0" w:lastRowLastColumn="0"/>
            <w:tcW w:w="0" w:type="auto"/>
          </w:tcPr>
          <w:p w14:paraId="19009C1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0.988</w:t>
            </w:r>
          </w:p>
        </w:tc>
        <w:tc>
          <w:tcPr>
            <w:cnfStyle w:val="000001000000" w:firstRow="0" w:lastRow="0" w:firstColumn="0" w:lastColumn="0" w:oddVBand="0" w:evenVBand="1" w:oddHBand="0" w:evenHBand="0" w:firstRowFirstColumn="0" w:firstRowLastColumn="0" w:lastRowFirstColumn="0" w:lastRowLastColumn="0"/>
            <w:tcW w:w="0" w:type="auto"/>
          </w:tcPr>
          <w:p w14:paraId="4770291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0.764</w:t>
            </w:r>
          </w:p>
        </w:tc>
        <w:tc>
          <w:tcPr>
            <w:cnfStyle w:val="000010000000" w:firstRow="0" w:lastRow="0" w:firstColumn="0" w:lastColumn="0" w:oddVBand="1" w:evenVBand="0" w:oddHBand="0" w:evenHBand="0" w:firstRowFirstColumn="0" w:firstRowLastColumn="0" w:lastRowFirstColumn="0" w:lastRowLastColumn="0"/>
            <w:tcW w:w="0" w:type="auto"/>
          </w:tcPr>
          <w:p w14:paraId="34E54D4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42DB9085"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A8D342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LSTM</w:t>
            </w:r>
          </w:p>
        </w:tc>
        <w:tc>
          <w:tcPr>
            <w:cnfStyle w:val="000001000000" w:firstRow="0" w:lastRow="0" w:firstColumn="0" w:lastColumn="0" w:oddVBand="0" w:evenVBand="1" w:oddHBand="0" w:evenHBand="0" w:firstRowFirstColumn="0" w:firstRowLastColumn="0" w:lastRowFirstColumn="0" w:lastRowLastColumn="0"/>
            <w:tcW w:w="0" w:type="auto"/>
          </w:tcPr>
          <w:p w14:paraId="2615BD9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0.011</w:t>
            </w:r>
          </w:p>
        </w:tc>
        <w:tc>
          <w:tcPr>
            <w:cnfStyle w:val="000010000000" w:firstRow="0" w:lastRow="0" w:firstColumn="0" w:lastColumn="0" w:oddVBand="1" w:evenVBand="0" w:oddHBand="0" w:evenHBand="0" w:firstRowFirstColumn="0" w:firstRowLastColumn="0" w:lastRowFirstColumn="0" w:lastRowLastColumn="0"/>
            <w:tcW w:w="0" w:type="auto"/>
          </w:tcPr>
          <w:p w14:paraId="2B1811E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0.041</w:t>
            </w:r>
          </w:p>
        </w:tc>
        <w:tc>
          <w:tcPr>
            <w:cnfStyle w:val="000001000000" w:firstRow="0" w:lastRow="0" w:firstColumn="0" w:lastColumn="0" w:oddVBand="0" w:evenVBand="1" w:oddHBand="0" w:evenHBand="0" w:firstRowFirstColumn="0" w:firstRowLastColumn="0" w:lastRowFirstColumn="0" w:lastRowLastColumn="0"/>
            <w:tcW w:w="0" w:type="auto"/>
          </w:tcPr>
          <w:p w14:paraId="55733A3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10000000" w:firstRow="0" w:lastRow="0" w:firstColumn="0" w:lastColumn="0" w:oddVBand="1" w:evenVBand="0" w:oddHBand="0" w:evenHBand="0" w:firstRowFirstColumn="0" w:firstRowLastColumn="0" w:lastRowFirstColumn="0" w:lastRowLastColumn="0"/>
            <w:tcW w:w="0" w:type="auto"/>
          </w:tcPr>
          <w:p w14:paraId="408CF00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01000000" w:firstRow="0" w:lastRow="0" w:firstColumn="0" w:lastColumn="0" w:oddVBand="0" w:evenVBand="1" w:oddHBand="0" w:evenHBand="0" w:firstRowFirstColumn="0" w:firstRowLastColumn="0" w:lastRowFirstColumn="0" w:lastRowLastColumn="0"/>
            <w:tcW w:w="0" w:type="auto"/>
          </w:tcPr>
          <w:p w14:paraId="79E1F2A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0.787</w:t>
            </w:r>
          </w:p>
        </w:tc>
        <w:tc>
          <w:tcPr>
            <w:cnfStyle w:val="000010000000" w:firstRow="0" w:lastRow="0" w:firstColumn="0" w:lastColumn="0" w:oddVBand="1" w:evenVBand="0" w:oddHBand="0" w:evenHBand="0" w:firstRowFirstColumn="0" w:firstRowLastColumn="0" w:lastRowFirstColumn="0" w:lastRowLastColumn="0"/>
            <w:tcW w:w="0" w:type="auto"/>
          </w:tcPr>
          <w:p w14:paraId="6C27830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571DA7DA"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7C440F7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Transformer</w:t>
            </w:r>
          </w:p>
        </w:tc>
        <w:tc>
          <w:tcPr>
            <w:cnfStyle w:val="000001000000" w:firstRow="0" w:lastRow="0" w:firstColumn="0" w:lastColumn="0" w:oddVBand="0" w:evenVBand="1" w:oddHBand="0" w:evenHBand="0" w:firstRowFirstColumn="0" w:firstRowLastColumn="0" w:lastRowFirstColumn="0" w:lastRowLastColumn="0"/>
            <w:tcW w:w="0" w:type="auto"/>
          </w:tcPr>
          <w:p w14:paraId="5A12173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0.019</w:t>
            </w:r>
          </w:p>
        </w:tc>
        <w:tc>
          <w:tcPr>
            <w:cnfStyle w:val="000010000000" w:firstRow="0" w:lastRow="0" w:firstColumn="0" w:lastColumn="0" w:oddVBand="1" w:evenVBand="0" w:oddHBand="0" w:evenHBand="0" w:firstRowFirstColumn="0" w:firstRowLastColumn="0" w:lastRowFirstColumn="0" w:lastRowLastColumn="0"/>
            <w:tcW w:w="0" w:type="auto"/>
          </w:tcPr>
          <w:p w14:paraId="0311111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0.102</w:t>
            </w:r>
          </w:p>
        </w:tc>
        <w:tc>
          <w:tcPr>
            <w:cnfStyle w:val="000001000000" w:firstRow="0" w:lastRow="0" w:firstColumn="0" w:lastColumn="0" w:oddVBand="0" w:evenVBand="1" w:oddHBand="0" w:evenHBand="0" w:firstRowFirstColumn="0" w:firstRowLastColumn="0" w:lastRowFirstColumn="0" w:lastRowLastColumn="0"/>
            <w:tcW w:w="0" w:type="auto"/>
          </w:tcPr>
          <w:p w14:paraId="40CA5C9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0.992</w:t>
            </w:r>
          </w:p>
        </w:tc>
        <w:tc>
          <w:tcPr>
            <w:cnfStyle w:val="000010000000" w:firstRow="0" w:lastRow="0" w:firstColumn="0" w:lastColumn="0" w:oddVBand="1" w:evenVBand="0" w:oddHBand="0" w:evenHBand="0" w:firstRowFirstColumn="0" w:firstRowLastColumn="0" w:lastRowFirstColumn="0" w:lastRowLastColumn="0"/>
            <w:tcW w:w="0" w:type="auto"/>
          </w:tcPr>
          <w:p w14:paraId="2E4F5C5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0.991</w:t>
            </w:r>
          </w:p>
        </w:tc>
        <w:tc>
          <w:tcPr>
            <w:cnfStyle w:val="000001000000" w:firstRow="0" w:lastRow="0" w:firstColumn="0" w:lastColumn="0" w:oddVBand="0" w:evenVBand="1" w:oddHBand="0" w:evenHBand="0" w:firstRowFirstColumn="0" w:firstRowLastColumn="0" w:lastRowFirstColumn="0" w:lastRowLastColumn="0"/>
            <w:tcW w:w="0" w:type="auto"/>
          </w:tcPr>
          <w:p w14:paraId="3596184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0.772</w:t>
            </w:r>
          </w:p>
        </w:tc>
        <w:tc>
          <w:tcPr>
            <w:cnfStyle w:val="000010000000" w:firstRow="0" w:lastRow="0" w:firstColumn="0" w:lastColumn="0" w:oddVBand="1" w:evenVBand="0" w:oddHBand="0" w:evenHBand="0" w:firstRowFirstColumn="0" w:firstRowLastColumn="0" w:lastRowFirstColumn="0" w:lastRowLastColumn="0"/>
            <w:tcW w:w="0" w:type="auto"/>
          </w:tcPr>
          <w:p w14:paraId="5A2EF94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7AC33212"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7BD439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Autoencoder</w:t>
            </w:r>
          </w:p>
        </w:tc>
        <w:tc>
          <w:tcPr>
            <w:cnfStyle w:val="000001000000" w:firstRow="0" w:lastRow="0" w:firstColumn="0" w:lastColumn="0" w:oddVBand="0" w:evenVBand="1" w:oddHBand="0" w:evenHBand="0" w:firstRowFirstColumn="0" w:firstRowLastColumn="0" w:lastRowFirstColumn="0" w:lastRowLastColumn="0"/>
            <w:tcW w:w="0" w:type="auto"/>
          </w:tcPr>
          <w:p w14:paraId="22D6D93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0.006</w:t>
            </w:r>
          </w:p>
        </w:tc>
        <w:tc>
          <w:tcPr>
            <w:cnfStyle w:val="000010000000" w:firstRow="0" w:lastRow="0" w:firstColumn="0" w:lastColumn="0" w:oddVBand="1" w:evenVBand="0" w:oddHBand="0" w:evenHBand="0" w:firstRowFirstColumn="0" w:firstRowLastColumn="0" w:lastRowFirstColumn="0" w:lastRowLastColumn="0"/>
            <w:tcW w:w="0" w:type="auto"/>
          </w:tcPr>
          <w:p w14:paraId="2756DE6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0.059</w:t>
            </w:r>
          </w:p>
        </w:tc>
        <w:tc>
          <w:tcPr>
            <w:cnfStyle w:val="000001000000" w:firstRow="0" w:lastRow="0" w:firstColumn="0" w:lastColumn="0" w:oddVBand="0" w:evenVBand="1" w:oddHBand="0" w:evenHBand="0" w:firstRowFirstColumn="0" w:firstRowLastColumn="0" w:lastRowFirstColumn="0" w:lastRowLastColumn="0"/>
            <w:tcW w:w="0" w:type="auto"/>
          </w:tcPr>
          <w:p w14:paraId="4A9EF8B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0.967</w:t>
            </w:r>
          </w:p>
        </w:tc>
        <w:tc>
          <w:tcPr>
            <w:cnfStyle w:val="000010000000" w:firstRow="0" w:lastRow="0" w:firstColumn="0" w:lastColumn="0" w:oddVBand="1" w:evenVBand="0" w:oddHBand="0" w:evenHBand="0" w:firstRowFirstColumn="0" w:firstRowLastColumn="0" w:lastRowFirstColumn="0" w:lastRowLastColumn="0"/>
            <w:tcW w:w="0" w:type="auto"/>
          </w:tcPr>
          <w:p w14:paraId="4FB7B85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0.965</w:t>
            </w:r>
          </w:p>
        </w:tc>
        <w:tc>
          <w:tcPr>
            <w:cnfStyle w:val="000001000000" w:firstRow="0" w:lastRow="0" w:firstColumn="0" w:lastColumn="0" w:oddVBand="0" w:evenVBand="1" w:oddHBand="0" w:evenHBand="0" w:firstRowFirstColumn="0" w:firstRowLastColumn="0" w:lastRowFirstColumn="0" w:lastRowLastColumn="0"/>
            <w:tcW w:w="0" w:type="auto"/>
          </w:tcPr>
          <w:p w14:paraId="56283FE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0.737</w:t>
            </w:r>
          </w:p>
        </w:tc>
        <w:tc>
          <w:tcPr>
            <w:cnfStyle w:val="000010000000" w:firstRow="0" w:lastRow="0" w:firstColumn="0" w:lastColumn="0" w:oddVBand="1" w:evenVBand="0" w:oddHBand="0" w:evenHBand="0" w:firstRowFirstColumn="0" w:firstRowLastColumn="0" w:lastRowFirstColumn="0" w:lastRowLastColumn="0"/>
            <w:tcW w:w="0" w:type="auto"/>
          </w:tcPr>
          <w:p w14:paraId="6128F17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r>
    </w:tbl>
    <w:p w14:paraId="2D64DB52"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index separates the regimes cleanly, and the recurring case correctly plateaus lower (0.74–0.83) than the persistent cases, reflecting the genuine partial return to the training environment. The stationary values expose an honest weakness: the three tree-ensemble models exhibit non-trivial stationary MAI (0.14–0.32) whereas the four neural models are essentially at zero. The cause is the extreme sharpness of the tree ensembles’ </w:t>
      </w:r>
      <w:r w:rsidRPr="001A556C">
        <w:rPr>
          <w:rFonts w:ascii="Times New Roman" w:hAnsi="Times New Roman" w:cs="Times New Roman"/>
          <w:sz w:val="22"/>
          <w:szCs w:val="22"/>
          <w:highlight w:val="yellow"/>
        </w:rPr>
        <w:t>score distributions: probability mass concentrated</w:t>
      </w:r>
      <w:r w:rsidRPr="001A556C">
        <w:rPr>
          <w:rFonts w:ascii="Times New Roman" w:hAnsi="Times New Roman" w:cs="Times New Roman"/>
          <w:sz w:val="22"/>
          <w:szCs w:val="22"/>
        </w:rPr>
        <w:t xml:space="preserve"> at the extremes of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makes histogram-based divergences unstable under resampling, inflating the standardised statistics relative to a bootstrap null that slightly understates the true sampling variability. The practical implication is that the control limit should be calibrated per model rather than assumed universal, which is what Proposition 3 provides the machinery to do.</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Figure 3 shows the monitoring signals and indices alongside realised relative F1 loss; the visual coupling is strong in all four drift regimes and absent under stationarity.</w:t>
      </w:r>
    </w:p>
    <w:p w14:paraId="113E9928" w14:textId="77777777" w:rsidR="00427A24" w:rsidRPr="001A556C" w:rsidRDefault="00F57E70">
      <w:pPr>
        <w:pStyle w:val="CaptionedFigure"/>
        <w:rPr>
          <w:rFonts w:ascii="Times New Roman" w:hAnsi="Times New Roman" w:cs="Times New Roman"/>
          <w:sz w:val="22"/>
          <w:szCs w:val="22"/>
        </w:rPr>
      </w:pPr>
      <w:r w:rsidRPr="001A556C">
        <w:rPr>
          <w:rFonts w:ascii="Times New Roman" w:hAnsi="Times New Roman" w:cs="Times New Roman"/>
          <w:noProof/>
          <w:sz w:val="22"/>
          <w:szCs w:val="22"/>
        </w:rPr>
        <w:lastRenderedPageBreak/>
        <w:drawing>
          <wp:inline distT="0" distB="0" distL="0" distR="0" wp14:anchorId="05DCA29D" wp14:editId="328802C9">
            <wp:extent cx="5753100" cy="2012950"/>
            <wp:effectExtent l="0" t="0" r="0" b="0"/>
            <wp:docPr id="63" name="Picture" descr="Figure 3. Top row: normalised batch divergence statistics (XGBoost detector). Bottom row: MAI, CDI and realised relative F1 loss. The indices rise in step with the loss under all four drift regimes and remain flat under stationarity."/>
            <wp:cNvGraphicFramePr/>
            <a:graphic xmlns:a="http://schemas.openxmlformats.org/drawingml/2006/main">
              <a:graphicData uri="http://schemas.openxmlformats.org/drawingml/2006/picture">
                <pic:pic xmlns:pic="http://schemas.openxmlformats.org/drawingml/2006/picture">
                  <pic:nvPicPr>
                    <pic:cNvPr id="64" name="Picture" descr="figs/fig3_signals.png"/>
                    <pic:cNvPicPr>
                      <a:picLocks noChangeAspect="1" noChangeArrowheads="1"/>
                    </pic:cNvPicPr>
                  </pic:nvPicPr>
                  <pic:blipFill>
                    <a:blip r:embed="rId9"/>
                    <a:stretch>
                      <a:fillRect/>
                    </a:stretch>
                  </pic:blipFill>
                  <pic:spPr bwMode="auto">
                    <a:xfrm>
                      <a:off x="0" y="0"/>
                      <a:ext cx="5754086" cy="2013295"/>
                    </a:xfrm>
                    <a:prstGeom prst="rect">
                      <a:avLst/>
                    </a:prstGeom>
                    <a:noFill/>
                    <a:ln w="9525">
                      <a:noFill/>
                      <a:headEnd/>
                      <a:tailEnd/>
                    </a:ln>
                  </pic:spPr>
                </pic:pic>
              </a:graphicData>
            </a:graphic>
          </wp:inline>
        </w:drawing>
      </w:r>
    </w:p>
    <w:p w14:paraId="29864822" w14:textId="77777777" w:rsidR="00427A24" w:rsidRPr="001A556C" w:rsidRDefault="00F57E70" w:rsidP="00364457">
      <w:pPr>
        <w:pStyle w:val="ImageCaption"/>
        <w:jc w:val="both"/>
        <w:rPr>
          <w:rFonts w:ascii="Times New Roman" w:hAnsi="Times New Roman" w:cs="Times New Roman"/>
          <w:sz w:val="22"/>
          <w:szCs w:val="22"/>
        </w:rPr>
      </w:pPr>
      <w:r w:rsidRPr="001A556C">
        <w:rPr>
          <w:rFonts w:ascii="Times New Roman" w:hAnsi="Times New Roman" w:cs="Times New Roman"/>
          <w:b/>
          <w:bCs/>
          <w:sz w:val="22"/>
          <w:szCs w:val="22"/>
        </w:rPr>
        <w:t>Figure 3.</w:t>
      </w:r>
      <w:r w:rsidRPr="001A556C">
        <w:rPr>
          <w:rFonts w:ascii="Times New Roman" w:hAnsi="Times New Roman" w:cs="Times New Roman"/>
          <w:sz w:val="22"/>
          <w:szCs w:val="22"/>
        </w:rPr>
        <w:t xml:space="preserve"> Top row: normalised batch divergence statistics (XGBoost detector). Bottom row: MAI, CDI and realised relative F1 loss. The indices rise in step with the loss under all four drift regimes and remain flat under stationarity.</w:t>
      </w:r>
    </w:p>
    <w:p w14:paraId="1F8A0776"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Figure 4 renders MAI as a response surface over drift magnitude </w:t>
      </w:r>
      <m:oMath>
        <m:r>
          <w:rPr>
            <w:rFonts w:ascii="Cambria Math" w:hAnsi="Cambria Math" w:cs="Times New Roman"/>
            <w:sz w:val="22"/>
            <w:szCs w:val="22"/>
          </w:rPr>
          <m:t>α</m:t>
        </m:r>
      </m:oMath>
      <w:r w:rsidRPr="001A556C">
        <w:rPr>
          <w:rFonts w:ascii="Times New Roman" w:hAnsi="Times New Roman" w:cs="Times New Roman"/>
          <w:sz w:val="22"/>
          <w:szCs w:val="22"/>
        </w:rPr>
        <w:t xml:space="preserve"> and batch index </w:t>
      </w:r>
      <m:oMath>
        <m:r>
          <w:rPr>
            <w:rFonts w:ascii="Cambria Math" w:hAnsi="Cambria Math" w:cs="Times New Roman"/>
            <w:sz w:val="22"/>
            <w:szCs w:val="22"/>
          </w:rPr>
          <m:t>t</m:t>
        </m:r>
      </m:oMath>
      <w:r w:rsidRPr="001A556C">
        <w:rPr>
          <w:rFonts w:ascii="Times New Roman" w:hAnsi="Times New Roman" w:cs="Times New Roman"/>
          <w:sz w:val="22"/>
          <w:szCs w:val="22"/>
        </w:rPr>
        <w:t xml:space="preserve"> for a fixed detector, obtained from a dedicated sweep over eleven values of </w:t>
      </w:r>
      <m:oMath>
        <m:r>
          <w:rPr>
            <w:rFonts w:ascii="Cambria Math" w:hAnsi="Cambria Math" w:cs="Times New Roman"/>
            <w:sz w:val="22"/>
            <w:szCs w:val="22"/>
          </w:rPr>
          <m:t>α</m:t>
        </m:r>
      </m:oMath>
      <w:r w:rsidRPr="001A556C">
        <w:rPr>
          <w:rFonts w:ascii="Times New Roman" w:hAnsi="Times New Roman" w:cs="Times New Roman"/>
          <w:sz w:val="22"/>
          <w:szCs w:val="22"/>
        </w:rPr>
        <w:t>. The surface is monotone in both arguments and saturates, exactly as Propositions 1 and 2 require, while the companion F1 surface declines correspondingly.</w:t>
      </w:r>
    </w:p>
    <w:p w14:paraId="0D4CFBCF"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9F" wp14:editId="12450410">
            <wp:extent cx="5518150" cy="2647950"/>
            <wp:effectExtent l="0" t="0" r="0" b="0"/>
            <wp:docPr id="66" name="Picture" descr="Figure 4. (a) MAI as a function of drift magnitude \alpha and batch index t; (b) realised F1 over the same grid. The index is monotone and saturating in both arguments; the performance surface is its mirror image."/>
            <wp:cNvGraphicFramePr/>
            <a:graphic xmlns:a="http://schemas.openxmlformats.org/drawingml/2006/main">
              <a:graphicData uri="http://schemas.openxmlformats.org/drawingml/2006/picture">
                <pic:pic xmlns:pic="http://schemas.openxmlformats.org/drawingml/2006/picture">
                  <pic:nvPicPr>
                    <pic:cNvPr id="67" name="Picture" descr="figs/fig4_mai_surface.png"/>
                    <pic:cNvPicPr>
                      <a:picLocks noChangeAspect="1" noChangeArrowheads="1"/>
                    </pic:cNvPicPr>
                  </pic:nvPicPr>
                  <pic:blipFill>
                    <a:blip r:embed="rId10"/>
                    <a:stretch>
                      <a:fillRect/>
                    </a:stretch>
                  </pic:blipFill>
                  <pic:spPr bwMode="auto">
                    <a:xfrm>
                      <a:off x="0" y="0"/>
                      <a:ext cx="5518199" cy="2647973"/>
                    </a:xfrm>
                    <a:prstGeom prst="rect">
                      <a:avLst/>
                    </a:prstGeom>
                    <a:noFill/>
                    <a:ln w="9525">
                      <a:noFill/>
                      <a:headEnd/>
                      <a:tailEnd/>
                    </a:ln>
                  </pic:spPr>
                </pic:pic>
              </a:graphicData>
            </a:graphic>
          </wp:inline>
        </w:drawing>
      </w:r>
    </w:p>
    <w:p w14:paraId="5D64E1AE" w14:textId="77777777" w:rsidR="00427A24" w:rsidRPr="001A556C" w:rsidRDefault="00F57E7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4.</w:t>
      </w:r>
      <w:r w:rsidRPr="001A556C">
        <w:rPr>
          <w:rFonts w:ascii="Times New Roman" w:hAnsi="Times New Roman" w:cs="Times New Roman"/>
          <w:sz w:val="22"/>
          <w:szCs w:val="22"/>
        </w:rPr>
        <w:t xml:space="preserve"> (a) MAI as a function of drift magnitude </w:t>
      </w:r>
      <m:oMath>
        <m:r>
          <w:rPr>
            <w:rFonts w:ascii="Cambria Math" w:hAnsi="Cambria Math" w:cs="Times New Roman"/>
            <w:sz w:val="22"/>
            <w:szCs w:val="22"/>
          </w:rPr>
          <m:t>α</m:t>
        </m:r>
      </m:oMath>
      <w:r w:rsidRPr="001A556C">
        <w:rPr>
          <w:rFonts w:ascii="Times New Roman" w:hAnsi="Times New Roman" w:cs="Times New Roman"/>
          <w:sz w:val="22"/>
          <w:szCs w:val="22"/>
        </w:rPr>
        <w:t xml:space="preserve"> and batch index </w:t>
      </w:r>
      <m:oMath>
        <m:r>
          <w:rPr>
            <w:rFonts w:ascii="Cambria Math" w:hAnsi="Cambria Math" w:cs="Times New Roman"/>
            <w:sz w:val="22"/>
            <w:szCs w:val="22"/>
          </w:rPr>
          <m:t>t</m:t>
        </m:r>
      </m:oMath>
      <w:r w:rsidRPr="001A556C">
        <w:rPr>
          <w:rFonts w:ascii="Times New Roman" w:hAnsi="Times New Roman" w:cs="Times New Roman"/>
          <w:sz w:val="22"/>
          <w:szCs w:val="22"/>
        </w:rPr>
        <w:t>; (b) realised F1 over the same grid. The index is monotone and saturating in both arguments; the performance surface is its mirror image.</w:t>
      </w:r>
    </w:p>
    <w:p w14:paraId="0232B3DF" w14:textId="77777777" w:rsidR="00427A24" w:rsidRPr="001A556C" w:rsidRDefault="00F57E70">
      <w:pPr>
        <w:pStyle w:val="Heading3"/>
        <w:rPr>
          <w:rFonts w:ascii="Times New Roman" w:hAnsi="Times New Roman" w:cs="Times New Roman"/>
          <w:color w:val="auto"/>
          <w:sz w:val="22"/>
          <w:szCs w:val="22"/>
        </w:rPr>
      </w:pPr>
      <w:bookmarkStart w:id="39" w:name="Xa7d4e50980d9416f35efe3f7930ab51bbb98857"/>
      <w:bookmarkEnd w:id="38"/>
      <w:r w:rsidRPr="001A556C">
        <w:rPr>
          <w:rFonts w:ascii="Times New Roman" w:hAnsi="Times New Roman" w:cs="Times New Roman"/>
          <w:color w:val="auto"/>
          <w:sz w:val="22"/>
          <w:szCs w:val="22"/>
        </w:rPr>
        <w:t>8.3 Detector comparison: no free lunch between delay and false alarms</w:t>
      </w:r>
    </w:p>
    <w:p w14:paraId="6E2B1573"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Table 3 reports mean detection delay by regime and the empirical false-alarm rate measured on the drift-free stream, averaged over all seven architectures.</w:t>
      </w:r>
    </w:p>
    <w:p w14:paraId="05E2D9C4" w14:textId="77777777" w:rsidR="00427A24" w:rsidRPr="001A556C" w:rsidRDefault="00F57E70" w:rsidP="00364457">
      <w:pPr>
        <w:pStyle w:val="BodyText"/>
        <w:jc w:val="center"/>
        <w:rPr>
          <w:rFonts w:ascii="Times New Roman" w:hAnsi="Times New Roman" w:cs="Times New Roman"/>
          <w:sz w:val="22"/>
          <w:szCs w:val="22"/>
        </w:rPr>
      </w:pPr>
      <w:r w:rsidRPr="001A556C">
        <w:rPr>
          <w:rFonts w:ascii="Times New Roman" w:hAnsi="Times New Roman" w:cs="Times New Roman"/>
          <w:b/>
          <w:bCs/>
          <w:sz w:val="22"/>
          <w:szCs w:val="22"/>
        </w:rPr>
        <w:lastRenderedPageBreak/>
        <w:t>Table 3.</w:t>
      </w:r>
      <w:r w:rsidRPr="001A556C">
        <w:rPr>
          <w:rFonts w:ascii="Times New Roman" w:hAnsi="Times New Roman" w:cs="Times New Roman"/>
          <w:sz w:val="22"/>
          <w:szCs w:val="22"/>
        </w:rPr>
        <w:t xml:space="preserve"> Detection delay (batches after onset) and empirical stationary false-alarm rate. All batch detectors use a common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sub>
        </m:sSub>
      </m:oMath>
      <w:r w:rsidRPr="001A556C">
        <w:rPr>
          <w:rFonts w:ascii="Times New Roman" w:hAnsi="Times New Roman" w:cs="Times New Roman"/>
          <w:sz w:val="22"/>
          <w:szCs w:val="22"/>
        </w:rPr>
        <w:t xml:space="preserve"> bootstrap-null threshold; sequential detectors are tuned to a comparable operating point.</w:t>
      </w:r>
    </w:p>
    <w:tbl>
      <w:tblPr>
        <w:tblStyle w:val="PlainTable2"/>
        <w:tblW w:w="5000" w:type="pct"/>
        <w:tblLook w:val="0020" w:firstRow="1" w:lastRow="0" w:firstColumn="0" w:lastColumn="0" w:noHBand="0" w:noVBand="0"/>
      </w:tblPr>
      <w:tblGrid>
        <w:gridCol w:w="2436"/>
        <w:gridCol w:w="958"/>
        <w:gridCol w:w="867"/>
        <w:gridCol w:w="1116"/>
        <w:gridCol w:w="1252"/>
        <w:gridCol w:w="1236"/>
        <w:gridCol w:w="1711"/>
      </w:tblGrid>
      <w:tr w:rsidR="00427A24" w:rsidRPr="001A556C" w14:paraId="0C7C7F1B"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AC8D77E"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Detector</w:t>
            </w:r>
          </w:p>
        </w:tc>
        <w:tc>
          <w:tcPr>
            <w:cnfStyle w:val="000001000000" w:firstRow="0" w:lastRow="0" w:firstColumn="0" w:lastColumn="0" w:oddVBand="0" w:evenVBand="1" w:oddHBand="0" w:evenHBand="0" w:firstRowFirstColumn="0" w:firstRowLastColumn="0" w:lastRowFirstColumn="0" w:lastRowLastColumn="0"/>
            <w:tcW w:w="0" w:type="auto"/>
          </w:tcPr>
          <w:p w14:paraId="35FFEBD1"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Gradual</w:t>
            </w:r>
          </w:p>
        </w:tc>
        <w:tc>
          <w:tcPr>
            <w:cnfStyle w:val="000010000000" w:firstRow="0" w:lastRow="0" w:firstColumn="0" w:lastColumn="0" w:oddVBand="1" w:evenVBand="0" w:oddHBand="0" w:evenHBand="0" w:firstRowFirstColumn="0" w:firstRowLastColumn="0" w:lastRowFirstColumn="0" w:lastRowLastColumn="0"/>
            <w:tcW w:w="0" w:type="auto"/>
          </w:tcPr>
          <w:p w14:paraId="3606924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Abrupt</w:t>
            </w:r>
          </w:p>
        </w:tc>
        <w:tc>
          <w:tcPr>
            <w:cnfStyle w:val="000001000000" w:firstRow="0" w:lastRow="0" w:firstColumn="0" w:lastColumn="0" w:oddVBand="0" w:evenVBand="1" w:oddHBand="0" w:evenHBand="0" w:firstRowFirstColumn="0" w:firstRowLastColumn="0" w:lastRowFirstColumn="0" w:lastRowLastColumn="0"/>
            <w:tcW w:w="0" w:type="auto"/>
          </w:tcPr>
          <w:p w14:paraId="3525C5F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Recurring</w:t>
            </w:r>
          </w:p>
        </w:tc>
        <w:tc>
          <w:tcPr>
            <w:cnfStyle w:val="000010000000" w:firstRow="0" w:lastRow="0" w:firstColumn="0" w:lastColumn="0" w:oddVBand="1" w:evenVBand="0" w:oddHBand="0" w:evenHBand="0" w:firstRowFirstColumn="0" w:firstRowLastColumn="0" w:lastRowFirstColumn="0" w:lastRowLastColumn="0"/>
            <w:tcW w:w="0" w:type="auto"/>
          </w:tcPr>
          <w:p w14:paraId="052791D6"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Adversarial</w:t>
            </w:r>
          </w:p>
        </w:tc>
        <w:tc>
          <w:tcPr>
            <w:cnfStyle w:val="000001000000" w:firstRow="0" w:lastRow="0" w:firstColumn="0" w:lastColumn="0" w:oddVBand="0" w:evenVBand="1" w:oddHBand="0" w:evenHBand="0" w:firstRowFirstColumn="0" w:firstRowLastColumn="0" w:lastRowFirstColumn="0" w:lastRowLastColumn="0"/>
            <w:tcW w:w="0" w:type="auto"/>
          </w:tcPr>
          <w:p w14:paraId="5A1265B4"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Mean delay</w:t>
            </w:r>
          </w:p>
        </w:tc>
        <w:tc>
          <w:tcPr>
            <w:cnfStyle w:val="000010000000" w:firstRow="0" w:lastRow="0" w:firstColumn="0" w:lastColumn="0" w:oddVBand="1" w:evenVBand="0" w:oddHBand="0" w:evenHBand="0" w:firstRowFirstColumn="0" w:firstRowLastColumn="0" w:lastRowFirstColumn="0" w:lastRowLastColumn="0"/>
            <w:tcW w:w="0" w:type="auto"/>
          </w:tcPr>
          <w:p w14:paraId="0ED4959E"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FAR (stationary)</w:t>
            </w:r>
          </w:p>
        </w:tc>
      </w:tr>
      <w:tr w:rsidR="00427A24" w:rsidRPr="001A556C" w14:paraId="1DF8DC30"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F24E4D6"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PSI</w:t>
            </w:r>
          </w:p>
        </w:tc>
        <w:tc>
          <w:tcPr>
            <w:cnfStyle w:val="000001000000" w:firstRow="0" w:lastRow="0" w:firstColumn="0" w:lastColumn="0" w:oddVBand="0" w:evenVBand="1" w:oddHBand="0" w:evenHBand="0" w:firstRowFirstColumn="0" w:firstRowLastColumn="0" w:lastRowFirstColumn="0" w:lastRowLastColumn="0"/>
            <w:tcW w:w="0" w:type="auto"/>
          </w:tcPr>
          <w:p w14:paraId="656B97CB"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3.00</w:t>
            </w:r>
          </w:p>
        </w:tc>
        <w:tc>
          <w:tcPr>
            <w:cnfStyle w:val="000010000000" w:firstRow="0" w:lastRow="0" w:firstColumn="0" w:lastColumn="0" w:oddVBand="1" w:evenVBand="0" w:oddHBand="0" w:evenHBand="0" w:firstRowFirstColumn="0" w:firstRowLastColumn="0" w:lastRowFirstColumn="0" w:lastRowLastColumn="0"/>
            <w:tcW w:w="0" w:type="auto"/>
          </w:tcPr>
          <w:p w14:paraId="6BAB2D78"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20FC55EC"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B7905F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2.86</w:t>
            </w:r>
          </w:p>
        </w:tc>
        <w:tc>
          <w:tcPr>
            <w:cnfStyle w:val="000001000000" w:firstRow="0" w:lastRow="0" w:firstColumn="0" w:lastColumn="0" w:oddVBand="0" w:evenVBand="1" w:oddHBand="0" w:evenHBand="0" w:firstRowFirstColumn="0" w:firstRowLastColumn="0" w:lastRowFirstColumn="0" w:lastRowLastColumn="0"/>
            <w:tcW w:w="0" w:type="auto"/>
          </w:tcPr>
          <w:p w14:paraId="3CE7B126"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1.71</w:t>
            </w:r>
          </w:p>
        </w:tc>
        <w:tc>
          <w:tcPr>
            <w:cnfStyle w:val="000010000000" w:firstRow="0" w:lastRow="0" w:firstColumn="0" w:lastColumn="0" w:oddVBand="1" w:evenVBand="0" w:oddHBand="0" w:evenHBand="0" w:firstRowFirstColumn="0" w:firstRowLastColumn="0" w:lastRowFirstColumn="0" w:lastRowLastColumn="0"/>
            <w:tcW w:w="0" w:type="auto"/>
          </w:tcPr>
          <w:p w14:paraId="1F83CA69"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0.096</w:t>
            </w:r>
          </w:p>
        </w:tc>
      </w:tr>
      <w:tr w:rsidR="00427A24" w:rsidRPr="001A556C" w14:paraId="55A2D8BA"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6F23E03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KL</w:t>
            </w:r>
          </w:p>
        </w:tc>
        <w:tc>
          <w:tcPr>
            <w:cnfStyle w:val="000001000000" w:firstRow="0" w:lastRow="0" w:firstColumn="0" w:lastColumn="0" w:oddVBand="0" w:evenVBand="1" w:oddHBand="0" w:evenHBand="0" w:firstRowFirstColumn="0" w:firstRowLastColumn="0" w:lastRowFirstColumn="0" w:lastRowLastColumn="0"/>
            <w:tcW w:w="0" w:type="auto"/>
          </w:tcPr>
          <w:p w14:paraId="4E5CD84C"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3.00</w:t>
            </w:r>
          </w:p>
        </w:tc>
        <w:tc>
          <w:tcPr>
            <w:cnfStyle w:val="000010000000" w:firstRow="0" w:lastRow="0" w:firstColumn="0" w:lastColumn="0" w:oddVBand="1" w:evenVBand="0" w:oddHBand="0" w:evenHBand="0" w:firstRowFirstColumn="0" w:firstRowLastColumn="0" w:lastRowFirstColumn="0" w:lastRowLastColumn="0"/>
            <w:tcW w:w="0" w:type="auto"/>
          </w:tcPr>
          <w:p w14:paraId="5AE2B87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46CAC947"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6C9876CA"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2.86</w:t>
            </w:r>
          </w:p>
        </w:tc>
        <w:tc>
          <w:tcPr>
            <w:cnfStyle w:val="000001000000" w:firstRow="0" w:lastRow="0" w:firstColumn="0" w:lastColumn="0" w:oddVBand="0" w:evenVBand="1" w:oddHBand="0" w:evenHBand="0" w:firstRowFirstColumn="0" w:firstRowLastColumn="0" w:lastRowFirstColumn="0" w:lastRowLastColumn="0"/>
            <w:tcW w:w="0" w:type="auto"/>
          </w:tcPr>
          <w:p w14:paraId="301226F5"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1.71</w:t>
            </w:r>
          </w:p>
        </w:tc>
        <w:tc>
          <w:tcPr>
            <w:cnfStyle w:val="000010000000" w:firstRow="0" w:lastRow="0" w:firstColumn="0" w:lastColumn="0" w:oddVBand="1" w:evenVBand="0" w:oddHBand="0" w:evenHBand="0" w:firstRowFirstColumn="0" w:firstRowLastColumn="0" w:lastRowFirstColumn="0" w:lastRowLastColumn="0"/>
            <w:tcW w:w="0" w:type="auto"/>
          </w:tcPr>
          <w:p w14:paraId="436D5D58"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0.097</w:t>
            </w:r>
          </w:p>
        </w:tc>
      </w:tr>
      <w:tr w:rsidR="00427A24" w:rsidRPr="001A556C" w14:paraId="0AF1EAA4"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36136A7"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JS</w:t>
            </w:r>
          </w:p>
        </w:tc>
        <w:tc>
          <w:tcPr>
            <w:cnfStyle w:val="000001000000" w:firstRow="0" w:lastRow="0" w:firstColumn="0" w:lastColumn="0" w:oddVBand="0" w:evenVBand="1" w:oddHBand="0" w:evenHBand="0" w:firstRowFirstColumn="0" w:firstRowLastColumn="0" w:lastRowFirstColumn="0" w:lastRowLastColumn="0"/>
            <w:tcW w:w="0" w:type="auto"/>
          </w:tcPr>
          <w:p w14:paraId="237A91C4"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3.00</w:t>
            </w:r>
          </w:p>
        </w:tc>
        <w:tc>
          <w:tcPr>
            <w:cnfStyle w:val="000010000000" w:firstRow="0" w:lastRow="0" w:firstColumn="0" w:lastColumn="0" w:oddVBand="1" w:evenVBand="0" w:oddHBand="0" w:evenHBand="0" w:firstRowFirstColumn="0" w:firstRowLastColumn="0" w:lastRowFirstColumn="0" w:lastRowLastColumn="0"/>
            <w:tcW w:w="0" w:type="auto"/>
          </w:tcPr>
          <w:p w14:paraId="3036D1AA"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421628D8"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6729C840"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2.86</w:t>
            </w:r>
          </w:p>
        </w:tc>
        <w:tc>
          <w:tcPr>
            <w:cnfStyle w:val="000001000000" w:firstRow="0" w:lastRow="0" w:firstColumn="0" w:lastColumn="0" w:oddVBand="0" w:evenVBand="1" w:oddHBand="0" w:evenHBand="0" w:firstRowFirstColumn="0" w:firstRowLastColumn="0" w:lastRowFirstColumn="0" w:lastRowLastColumn="0"/>
            <w:tcW w:w="0" w:type="auto"/>
          </w:tcPr>
          <w:p w14:paraId="48F41AAA"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1.71</w:t>
            </w:r>
          </w:p>
        </w:tc>
        <w:tc>
          <w:tcPr>
            <w:cnfStyle w:val="000010000000" w:firstRow="0" w:lastRow="0" w:firstColumn="0" w:lastColumn="0" w:oddVBand="1" w:evenVBand="0" w:oddHBand="0" w:evenHBand="0" w:firstRowFirstColumn="0" w:firstRowLastColumn="0" w:lastRowFirstColumn="0" w:lastRowLastColumn="0"/>
            <w:tcW w:w="0" w:type="auto"/>
          </w:tcPr>
          <w:p w14:paraId="57AFB64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0.096</w:t>
            </w:r>
          </w:p>
        </w:tc>
      </w:tr>
      <w:tr w:rsidR="00427A24" w:rsidRPr="001A556C" w14:paraId="110957CF"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7DC3454E"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KS</w:t>
            </w:r>
          </w:p>
        </w:tc>
        <w:tc>
          <w:tcPr>
            <w:cnfStyle w:val="000001000000" w:firstRow="0" w:lastRow="0" w:firstColumn="0" w:lastColumn="0" w:oddVBand="0" w:evenVBand="1" w:oddHBand="0" w:evenHBand="0" w:firstRowFirstColumn="0" w:firstRowLastColumn="0" w:lastRowFirstColumn="0" w:lastRowLastColumn="0"/>
            <w:tcW w:w="0" w:type="auto"/>
          </w:tcPr>
          <w:p w14:paraId="4746B639"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6.14</w:t>
            </w:r>
          </w:p>
        </w:tc>
        <w:tc>
          <w:tcPr>
            <w:cnfStyle w:val="000010000000" w:firstRow="0" w:lastRow="0" w:firstColumn="0" w:lastColumn="0" w:oddVBand="1" w:evenVBand="0" w:oddHBand="0" w:evenHBand="0" w:firstRowFirstColumn="0" w:firstRowLastColumn="0" w:lastRowFirstColumn="0" w:lastRowLastColumn="0"/>
            <w:tcW w:w="0" w:type="auto"/>
          </w:tcPr>
          <w:p w14:paraId="7EC99054"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15B2EEB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C7D84D5"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5.43</w:t>
            </w:r>
          </w:p>
        </w:tc>
        <w:tc>
          <w:tcPr>
            <w:cnfStyle w:val="000001000000" w:firstRow="0" w:lastRow="0" w:firstColumn="0" w:lastColumn="0" w:oddVBand="0" w:evenVBand="1" w:oddHBand="0" w:evenHBand="0" w:firstRowFirstColumn="0" w:firstRowLastColumn="0" w:lastRowFirstColumn="0" w:lastRowLastColumn="0"/>
            <w:tcW w:w="0" w:type="auto"/>
          </w:tcPr>
          <w:p w14:paraId="465D8D63"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3.14</w:t>
            </w:r>
          </w:p>
        </w:tc>
        <w:tc>
          <w:tcPr>
            <w:cnfStyle w:val="000010000000" w:firstRow="0" w:lastRow="0" w:firstColumn="0" w:lastColumn="0" w:oddVBand="1" w:evenVBand="0" w:oddHBand="0" w:evenHBand="0" w:firstRowFirstColumn="0" w:firstRowLastColumn="0" w:lastRowFirstColumn="0" w:lastRowLastColumn="0"/>
            <w:tcW w:w="0" w:type="auto"/>
          </w:tcPr>
          <w:p w14:paraId="0E05D6A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0.059</w:t>
            </w:r>
          </w:p>
        </w:tc>
      </w:tr>
      <w:tr w:rsidR="00427A24" w:rsidRPr="001A556C" w14:paraId="04E34F7D"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E7A5314" w14:textId="77777777" w:rsidR="00427A24" w:rsidRPr="00B7380B" w:rsidRDefault="00000000">
            <w:pPr>
              <w:pStyle w:val="Compact"/>
              <w:rPr>
                <w:rFonts w:ascii="Times New Roman" w:hAnsi="Times New Roman" w:cs="Times New Roman"/>
                <w:sz w:val="20"/>
                <w:szCs w:val="20"/>
              </w:rPr>
            </w:pPr>
            <m:oMath>
              <m:sSup>
                <m:sSupPr>
                  <m:ctrlPr>
                    <w:rPr>
                      <w:rFonts w:ascii="Cambria Math" w:hAnsi="Cambria Math" w:cs="Times New Roman"/>
                      <w:sz w:val="20"/>
                      <w:szCs w:val="20"/>
                    </w:rPr>
                  </m:ctrlPr>
                </m:sSupPr>
                <m:e>
                  <m:r>
                    <w:rPr>
                      <w:rFonts w:ascii="Cambria Math" w:hAnsi="Cambria Math" w:cs="Times New Roman"/>
                      <w:sz w:val="20"/>
                      <w:szCs w:val="20"/>
                    </w:rPr>
                    <m:t>D</m:t>
                  </m:r>
                </m:e>
                <m:sup>
                  <m:r>
                    <m:rPr>
                      <m:sty m:val="p"/>
                    </m:rPr>
                    <w:rPr>
                      <w:rFonts w:ascii="Cambria Math" w:hAnsi="Cambria Math" w:cs="Times New Roman"/>
                      <w:sz w:val="20"/>
                      <w:szCs w:val="20"/>
                    </w:rPr>
                    <m:t>cov</m:t>
                  </m:r>
                </m:sup>
              </m:sSup>
            </m:oMath>
            <w:r w:rsidR="00F57E70" w:rsidRPr="00B7380B">
              <w:rPr>
                <w:rFonts w:ascii="Times New Roman" w:hAnsi="Times New Roman" w:cs="Times New Roman"/>
                <w:sz w:val="20"/>
                <w:szCs w:val="20"/>
              </w:rPr>
              <w:t xml:space="preserve"> (weighted </w:t>
            </w:r>
            <m:oMath>
              <m:sSub>
                <m:sSubPr>
                  <m:ctrlPr>
                    <w:rPr>
                      <w:rFonts w:ascii="Cambria Math" w:hAnsi="Cambria Math" w:cs="Times New Roman"/>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oMath>
            <w:r w:rsidR="00F57E70" w:rsidRPr="00B7380B">
              <w:rPr>
                <w:rFonts w:ascii="Times New Roman" w:hAnsi="Times New Roman" w:cs="Times New Roman"/>
                <w:sz w:val="20"/>
                <w:szCs w:val="20"/>
              </w:rPr>
              <w:t>)</w:t>
            </w:r>
          </w:p>
        </w:tc>
        <w:tc>
          <w:tcPr>
            <w:cnfStyle w:val="000001000000" w:firstRow="0" w:lastRow="0" w:firstColumn="0" w:lastColumn="0" w:oddVBand="0" w:evenVBand="1" w:oddHBand="0" w:evenHBand="0" w:firstRowFirstColumn="0" w:firstRowLastColumn="0" w:lastRowFirstColumn="0" w:lastRowLastColumn="0"/>
            <w:tcW w:w="0" w:type="auto"/>
          </w:tcPr>
          <w:p w14:paraId="25D1E68E"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7.00</w:t>
            </w:r>
          </w:p>
        </w:tc>
        <w:tc>
          <w:tcPr>
            <w:cnfStyle w:val="000010000000" w:firstRow="0" w:lastRow="0" w:firstColumn="0" w:lastColumn="0" w:oddVBand="1" w:evenVBand="0" w:oddHBand="0" w:evenHBand="0" w:firstRowFirstColumn="0" w:firstRowLastColumn="0" w:lastRowFirstColumn="0" w:lastRowLastColumn="0"/>
            <w:tcW w:w="0" w:type="auto"/>
          </w:tcPr>
          <w:p w14:paraId="0086A996"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4924845B"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18F67EF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11.00</w:t>
            </w:r>
          </w:p>
        </w:tc>
        <w:tc>
          <w:tcPr>
            <w:cnfStyle w:val="000001000000" w:firstRow="0" w:lastRow="0" w:firstColumn="0" w:lastColumn="0" w:oddVBand="0" w:evenVBand="1" w:oddHBand="0" w:evenHBand="0" w:firstRowFirstColumn="0" w:firstRowLastColumn="0" w:lastRowFirstColumn="0" w:lastRowLastColumn="0"/>
            <w:tcW w:w="0" w:type="auto"/>
          </w:tcPr>
          <w:p w14:paraId="43726C61"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4.75</w:t>
            </w:r>
          </w:p>
        </w:tc>
        <w:tc>
          <w:tcPr>
            <w:cnfStyle w:val="000010000000" w:firstRow="0" w:lastRow="0" w:firstColumn="0" w:lastColumn="0" w:oddVBand="1" w:evenVBand="0" w:oddHBand="0" w:evenHBand="0" w:firstRowFirstColumn="0" w:firstRowLastColumn="0" w:lastRowFirstColumn="0" w:lastRowLastColumn="0"/>
            <w:tcW w:w="0" w:type="auto"/>
          </w:tcPr>
          <w:p w14:paraId="17B48F1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34545A25"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1F6D1CDE" w14:textId="77777777" w:rsidR="00427A24" w:rsidRPr="00B7380B" w:rsidRDefault="00000000">
            <w:pPr>
              <w:pStyle w:val="Compact"/>
              <w:rPr>
                <w:rFonts w:ascii="Times New Roman" w:hAnsi="Times New Roman"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oMath>
            <w:r w:rsidR="00F57E70" w:rsidRPr="00B7380B">
              <w:rPr>
                <w:rFonts w:ascii="Times New Roman" w:hAnsi="Times New Roman" w:cs="Times New Roman"/>
                <w:sz w:val="20"/>
                <w:szCs w:val="20"/>
              </w:rPr>
              <w:t xml:space="preserve"> (score)</w:t>
            </w:r>
          </w:p>
        </w:tc>
        <w:tc>
          <w:tcPr>
            <w:cnfStyle w:val="000001000000" w:firstRow="0" w:lastRow="0" w:firstColumn="0" w:lastColumn="0" w:oddVBand="0" w:evenVBand="1" w:oddHBand="0" w:evenHBand="0" w:firstRowFirstColumn="0" w:firstRowLastColumn="0" w:lastRowFirstColumn="0" w:lastRowLastColumn="0"/>
            <w:tcW w:w="0" w:type="auto"/>
          </w:tcPr>
          <w:p w14:paraId="37F93BC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10.86</w:t>
            </w:r>
          </w:p>
        </w:tc>
        <w:tc>
          <w:tcPr>
            <w:cnfStyle w:val="000010000000" w:firstRow="0" w:lastRow="0" w:firstColumn="0" w:lastColumn="0" w:oddVBand="1" w:evenVBand="0" w:oddHBand="0" w:evenHBand="0" w:firstRowFirstColumn="0" w:firstRowLastColumn="0" w:lastRowFirstColumn="0" w:lastRowLastColumn="0"/>
            <w:tcW w:w="0" w:type="auto"/>
          </w:tcPr>
          <w:p w14:paraId="6F78086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6AE83F7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6AD6F05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7.71</w:t>
            </w:r>
          </w:p>
        </w:tc>
        <w:tc>
          <w:tcPr>
            <w:cnfStyle w:val="000001000000" w:firstRow="0" w:lastRow="0" w:firstColumn="0" w:lastColumn="0" w:oddVBand="0" w:evenVBand="1" w:oddHBand="0" w:evenHBand="0" w:firstRowFirstColumn="0" w:firstRowLastColumn="0" w:lastRowFirstColumn="0" w:lastRowLastColumn="0"/>
            <w:tcW w:w="0" w:type="auto"/>
          </w:tcPr>
          <w:p w14:paraId="52D0655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4.89</w:t>
            </w:r>
          </w:p>
        </w:tc>
        <w:tc>
          <w:tcPr>
            <w:cnfStyle w:val="000010000000" w:firstRow="0" w:lastRow="0" w:firstColumn="0" w:lastColumn="0" w:oddVBand="1" w:evenVBand="0" w:oddHBand="0" w:evenHBand="0" w:firstRowFirstColumn="0" w:firstRowLastColumn="0" w:lastRowFirstColumn="0" w:lastRowLastColumn="0"/>
            <w:tcW w:w="0" w:type="auto"/>
          </w:tcPr>
          <w:p w14:paraId="1FCDC6E7"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2B2D50C5"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313093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MAI</w:t>
            </w:r>
          </w:p>
        </w:tc>
        <w:tc>
          <w:tcPr>
            <w:cnfStyle w:val="000001000000" w:firstRow="0" w:lastRow="0" w:firstColumn="0" w:lastColumn="0" w:oddVBand="0" w:evenVBand="1" w:oddHBand="0" w:evenHBand="0" w:firstRowFirstColumn="0" w:firstRowLastColumn="0" w:lastRowFirstColumn="0" w:lastRowLastColumn="0"/>
            <w:tcW w:w="0" w:type="auto"/>
          </w:tcPr>
          <w:p w14:paraId="2C548F25"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10.57</w:t>
            </w:r>
          </w:p>
        </w:tc>
        <w:tc>
          <w:tcPr>
            <w:cnfStyle w:val="000010000000" w:firstRow="0" w:lastRow="0" w:firstColumn="0" w:lastColumn="0" w:oddVBand="1" w:evenVBand="0" w:oddHBand="0" w:evenHBand="0" w:firstRowFirstColumn="0" w:firstRowLastColumn="0" w:lastRowFirstColumn="0" w:lastRowLastColumn="0"/>
            <w:tcW w:w="0" w:type="auto"/>
          </w:tcPr>
          <w:p w14:paraId="430438F6"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01000000" w:firstRow="0" w:lastRow="0" w:firstColumn="0" w:lastColumn="0" w:oddVBand="0" w:evenVBand="1" w:oddHBand="0" w:evenHBand="0" w:firstRowFirstColumn="0" w:firstRowLastColumn="0" w:lastRowFirstColumn="0" w:lastRowLastColumn="0"/>
            <w:tcW w:w="0" w:type="auto"/>
          </w:tcPr>
          <w:p w14:paraId="140A09E4"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1.86</w:t>
            </w:r>
          </w:p>
        </w:tc>
        <w:tc>
          <w:tcPr>
            <w:cnfStyle w:val="000010000000" w:firstRow="0" w:lastRow="0" w:firstColumn="0" w:lastColumn="0" w:oddVBand="1" w:evenVBand="0" w:oddHBand="0" w:evenHBand="0" w:firstRowFirstColumn="0" w:firstRowLastColumn="0" w:lastRowFirstColumn="0" w:lastRowLastColumn="0"/>
            <w:tcW w:w="0" w:type="auto"/>
          </w:tcPr>
          <w:p w14:paraId="602A1F1B"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11.14</w:t>
            </w:r>
          </w:p>
        </w:tc>
        <w:tc>
          <w:tcPr>
            <w:cnfStyle w:val="000001000000" w:firstRow="0" w:lastRow="0" w:firstColumn="0" w:lastColumn="0" w:oddVBand="0" w:evenVBand="1" w:oddHBand="0" w:evenHBand="0" w:firstRowFirstColumn="0" w:firstRowLastColumn="0" w:lastRowFirstColumn="0" w:lastRowLastColumn="0"/>
            <w:tcW w:w="0" w:type="auto"/>
          </w:tcPr>
          <w:p w14:paraId="4AF84040"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6.14</w:t>
            </w:r>
          </w:p>
        </w:tc>
        <w:tc>
          <w:tcPr>
            <w:cnfStyle w:val="000010000000" w:firstRow="0" w:lastRow="0" w:firstColumn="0" w:lastColumn="0" w:oddVBand="1" w:evenVBand="0" w:oddHBand="0" w:evenHBand="0" w:firstRowFirstColumn="0" w:firstRowLastColumn="0" w:lastRowFirstColumn="0" w:lastRowLastColumn="0"/>
            <w:tcW w:w="0" w:type="auto"/>
          </w:tcPr>
          <w:p w14:paraId="30C5B13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220677C0"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48066B8"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Page–Hinkley (supervised)</w:t>
            </w:r>
          </w:p>
        </w:tc>
        <w:tc>
          <w:tcPr>
            <w:cnfStyle w:val="000001000000" w:firstRow="0" w:lastRow="0" w:firstColumn="0" w:lastColumn="0" w:oddVBand="0" w:evenVBand="1" w:oddHBand="0" w:evenHBand="0" w:firstRowFirstColumn="0" w:firstRowLastColumn="0" w:lastRowFirstColumn="0" w:lastRowLastColumn="0"/>
            <w:tcW w:w="0" w:type="auto"/>
          </w:tcPr>
          <w:p w14:paraId="4CF14974"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10.14</w:t>
            </w:r>
          </w:p>
        </w:tc>
        <w:tc>
          <w:tcPr>
            <w:cnfStyle w:val="000010000000" w:firstRow="0" w:lastRow="0" w:firstColumn="0" w:lastColumn="0" w:oddVBand="1" w:evenVBand="0" w:oddHBand="0" w:evenHBand="0" w:firstRowFirstColumn="0" w:firstRowLastColumn="0" w:lastRowFirstColumn="0" w:lastRowLastColumn="0"/>
            <w:tcW w:w="0" w:type="auto"/>
          </w:tcPr>
          <w:p w14:paraId="5F9BD236"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3.29</w:t>
            </w:r>
          </w:p>
        </w:tc>
        <w:tc>
          <w:tcPr>
            <w:cnfStyle w:val="000001000000" w:firstRow="0" w:lastRow="0" w:firstColumn="0" w:lastColumn="0" w:oddVBand="0" w:evenVBand="1" w:oddHBand="0" w:evenHBand="0" w:firstRowFirstColumn="0" w:firstRowLastColumn="0" w:lastRowFirstColumn="0" w:lastRowLastColumn="0"/>
            <w:tcW w:w="0" w:type="auto"/>
          </w:tcPr>
          <w:p w14:paraId="77DC511B"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4.00</w:t>
            </w:r>
          </w:p>
        </w:tc>
        <w:tc>
          <w:tcPr>
            <w:cnfStyle w:val="000010000000" w:firstRow="0" w:lastRow="0" w:firstColumn="0" w:lastColumn="0" w:oddVBand="1" w:evenVBand="0" w:oddHBand="0" w:evenHBand="0" w:firstRowFirstColumn="0" w:firstRowLastColumn="0" w:lastRowFirstColumn="0" w:lastRowLastColumn="0"/>
            <w:tcW w:w="0" w:type="auto"/>
          </w:tcPr>
          <w:p w14:paraId="5A2083C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9.14</w:t>
            </w:r>
          </w:p>
        </w:tc>
        <w:tc>
          <w:tcPr>
            <w:cnfStyle w:val="000001000000" w:firstRow="0" w:lastRow="0" w:firstColumn="0" w:lastColumn="0" w:oddVBand="0" w:evenVBand="1" w:oddHBand="0" w:evenHBand="0" w:firstRowFirstColumn="0" w:firstRowLastColumn="0" w:lastRowFirstColumn="0" w:lastRowLastColumn="0"/>
            <w:tcW w:w="0" w:type="auto"/>
          </w:tcPr>
          <w:p w14:paraId="2C6D2737"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6.64</w:t>
            </w:r>
          </w:p>
        </w:tc>
        <w:tc>
          <w:tcPr>
            <w:cnfStyle w:val="000010000000" w:firstRow="0" w:lastRow="0" w:firstColumn="0" w:lastColumn="0" w:oddVBand="1" w:evenVBand="0" w:oddHBand="0" w:evenHBand="0" w:firstRowFirstColumn="0" w:firstRowLastColumn="0" w:lastRowFirstColumn="0" w:lastRowLastColumn="0"/>
            <w:tcW w:w="0" w:type="auto"/>
          </w:tcPr>
          <w:p w14:paraId="7286375A"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0.021</w:t>
            </w:r>
          </w:p>
        </w:tc>
      </w:tr>
      <w:tr w:rsidR="00427A24" w:rsidRPr="001A556C" w14:paraId="5ADB6729"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D2CC48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CUSUM (supervised)</w:t>
            </w:r>
          </w:p>
        </w:tc>
        <w:tc>
          <w:tcPr>
            <w:cnfStyle w:val="000001000000" w:firstRow="0" w:lastRow="0" w:firstColumn="0" w:lastColumn="0" w:oddVBand="0" w:evenVBand="1" w:oddHBand="0" w:evenHBand="0" w:firstRowFirstColumn="0" w:firstRowLastColumn="0" w:lastRowFirstColumn="0" w:lastRowLastColumn="0"/>
            <w:tcW w:w="0" w:type="auto"/>
          </w:tcPr>
          <w:p w14:paraId="697D8A8C"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9.57</w:t>
            </w:r>
          </w:p>
        </w:tc>
        <w:tc>
          <w:tcPr>
            <w:cnfStyle w:val="000010000000" w:firstRow="0" w:lastRow="0" w:firstColumn="0" w:lastColumn="0" w:oddVBand="1" w:evenVBand="0" w:oddHBand="0" w:evenHBand="0" w:firstRowFirstColumn="0" w:firstRowLastColumn="0" w:lastRowFirstColumn="0" w:lastRowLastColumn="0"/>
            <w:tcW w:w="0" w:type="auto"/>
          </w:tcPr>
          <w:p w14:paraId="10390C95"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3.43</w:t>
            </w:r>
          </w:p>
        </w:tc>
        <w:tc>
          <w:tcPr>
            <w:cnfStyle w:val="000001000000" w:firstRow="0" w:lastRow="0" w:firstColumn="0" w:lastColumn="0" w:oddVBand="0" w:evenVBand="1" w:oddHBand="0" w:evenHBand="0" w:firstRowFirstColumn="0" w:firstRowLastColumn="0" w:lastRowFirstColumn="0" w:lastRowLastColumn="0"/>
            <w:tcW w:w="0" w:type="auto"/>
          </w:tcPr>
          <w:p w14:paraId="77A45CE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4.00</w:t>
            </w:r>
          </w:p>
        </w:tc>
        <w:tc>
          <w:tcPr>
            <w:cnfStyle w:val="000010000000" w:firstRow="0" w:lastRow="0" w:firstColumn="0" w:lastColumn="0" w:oddVBand="1" w:evenVBand="0" w:oddHBand="0" w:evenHBand="0" w:firstRowFirstColumn="0" w:firstRowLastColumn="0" w:lastRowFirstColumn="0" w:lastRowLastColumn="0"/>
            <w:tcW w:w="0" w:type="auto"/>
          </w:tcPr>
          <w:p w14:paraId="778E2E7D"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10.43</w:t>
            </w:r>
          </w:p>
        </w:tc>
        <w:tc>
          <w:tcPr>
            <w:cnfStyle w:val="000001000000" w:firstRow="0" w:lastRow="0" w:firstColumn="0" w:lastColumn="0" w:oddVBand="0" w:evenVBand="1" w:oddHBand="0" w:evenHBand="0" w:firstRowFirstColumn="0" w:firstRowLastColumn="0" w:lastRowFirstColumn="0" w:lastRowLastColumn="0"/>
            <w:tcW w:w="0" w:type="auto"/>
          </w:tcPr>
          <w:p w14:paraId="249A606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6.86</w:t>
            </w:r>
          </w:p>
        </w:tc>
        <w:tc>
          <w:tcPr>
            <w:cnfStyle w:val="000010000000" w:firstRow="0" w:lastRow="0" w:firstColumn="0" w:lastColumn="0" w:oddVBand="1" w:evenVBand="0" w:oddHBand="0" w:evenHBand="0" w:firstRowFirstColumn="0" w:firstRowLastColumn="0" w:lastRowFirstColumn="0" w:lastRowLastColumn="0"/>
            <w:tcW w:w="0" w:type="auto"/>
          </w:tcPr>
          <w:p w14:paraId="51704387"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0.033</w:t>
            </w:r>
          </w:p>
        </w:tc>
      </w:tr>
      <w:tr w:rsidR="00427A24" w:rsidRPr="001A556C" w14:paraId="1C66AEAB"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2E1176EC"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CDI</w:t>
            </w:r>
          </w:p>
        </w:tc>
        <w:tc>
          <w:tcPr>
            <w:cnfStyle w:val="000001000000" w:firstRow="0" w:lastRow="0" w:firstColumn="0" w:lastColumn="0" w:oddVBand="0" w:evenVBand="1" w:oddHBand="0" w:evenHBand="0" w:firstRowFirstColumn="0" w:firstRowLastColumn="0" w:lastRowFirstColumn="0" w:lastRowLastColumn="0"/>
            <w:tcW w:w="0" w:type="auto"/>
          </w:tcPr>
          <w:p w14:paraId="6F0C0C34"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12.71</w:t>
            </w:r>
          </w:p>
        </w:tc>
        <w:tc>
          <w:tcPr>
            <w:cnfStyle w:val="000010000000" w:firstRow="0" w:lastRow="0" w:firstColumn="0" w:lastColumn="0" w:oddVBand="1" w:evenVBand="0" w:oddHBand="0" w:evenHBand="0" w:firstRowFirstColumn="0" w:firstRowLastColumn="0" w:lastRowFirstColumn="0" w:lastRowLastColumn="0"/>
            <w:tcW w:w="0" w:type="auto"/>
          </w:tcPr>
          <w:p w14:paraId="3C3D2A3E"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1.29</w:t>
            </w:r>
          </w:p>
        </w:tc>
        <w:tc>
          <w:tcPr>
            <w:cnfStyle w:val="000001000000" w:firstRow="0" w:lastRow="0" w:firstColumn="0" w:lastColumn="0" w:oddVBand="0" w:evenVBand="1" w:oddHBand="0" w:evenHBand="0" w:firstRowFirstColumn="0" w:firstRowLastColumn="0" w:lastRowFirstColumn="0" w:lastRowLastColumn="0"/>
            <w:tcW w:w="0" w:type="auto"/>
          </w:tcPr>
          <w:p w14:paraId="118A5009"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2.29</w:t>
            </w:r>
          </w:p>
        </w:tc>
        <w:tc>
          <w:tcPr>
            <w:cnfStyle w:val="000010000000" w:firstRow="0" w:lastRow="0" w:firstColumn="0" w:lastColumn="0" w:oddVBand="1" w:evenVBand="0" w:oddHBand="0" w:evenHBand="0" w:firstRowFirstColumn="0" w:firstRowLastColumn="0" w:lastRowFirstColumn="0" w:lastRowLastColumn="0"/>
            <w:tcW w:w="0" w:type="auto"/>
          </w:tcPr>
          <w:p w14:paraId="022D3600"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13.29</w:t>
            </w:r>
          </w:p>
        </w:tc>
        <w:tc>
          <w:tcPr>
            <w:cnfStyle w:val="000001000000" w:firstRow="0" w:lastRow="0" w:firstColumn="0" w:lastColumn="0" w:oddVBand="0" w:evenVBand="1" w:oddHBand="0" w:evenHBand="0" w:firstRowFirstColumn="0" w:firstRowLastColumn="0" w:lastRowFirstColumn="0" w:lastRowLastColumn="0"/>
            <w:tcW w:w="0" w:type="auto"/>
          </w:tcPr>
          <w:p w14:paraId="1B7D517A"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7.39</w:t>
            </w:r>
          </w:p>
        </w:tc>
        <w:tc>
          <w:tcPr>
            <w:cnfStyle w:val="000010000000" w:firstRow="0" w:lastRow="0" w:firstColumn="0" w:lastColumn="0" w:oddVBand="1" w:evenVBand="0" w:oddHBand="0" w:evenHBand="0" w:firstRowFirstColumn="0" w:firstRowLastColumn="0" w:lastRowFirstColumn="0" w:lastRowLastColumn="0"/>
            <w:tcW w:w="0" w:type="auto"/>
          </w:tcPr>
          <w:p w14:paraId="31AB86FF"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653817CF"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A479B48"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ADWIN (supervised)</w:t>
            </w:r>
          </w:p>
        </w:tc>
        <w:tc>
          <w:tcPr>
            <w:cnfStyle w:val="000001000000" w:firstRow="0" w:lastRow="0" w:firstColumn="0" w:lastColumn="0" w:oddVBand="0" w:evenVBand="1" w:oddHBand="0" w:evenHBand="0" w:firstRowFirstColumn="0" w:firstRowLastColumn="0" w:lastRowFirstColumn="0" w:lastRowLastColumn="0"/>
            <w:tcW w:w="0" w:type="auto"/>
          </w:tcPr>
          <w:p w14:paraId="181CE5BC"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19.33</w:t>
            </w:r>
          </w:p>
        </w:tc>
        <w:tc>
          <w:tcPr>
            <w:cnfStyle w:val="000010000000" w:firstRow="0" w:lastRow="0" w:firstColumn="0" w:lastColumn="0" w:oddVBand="1" w:evenVBand="0" w:oddHBand="0" w:evenHBand="0" w:firstRowFirstColumn="0" w:firstRowLastColumn="0" w:lastRowFirstColumn="0" w:lastRowLastColumn="0"/>
            <w:tcW w:w="0" w:type="auto"/>
          </w:tcPr>
          <w:p w14:paraId="27A62933"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7.71</w:t>
            </w:r>
          </w:p>
        </w:tc>
        <w:tc>
          <w:tcPr>
            <w:cnfStyle w:val="000001000000" w:firstRow="0" w:lastRow="0" w:firstColumn="0" w:lastColumn="0" w:oddVBand="0" w:evenVBand="1" w:oddHBand="0" w:evenHBand="0" w:firstRowFirstColumn="0" w:firstRowLastColumn="0" w:lastRowFirstColumn="0" w:lastRowLastColumn="0"/>
            <w:tcW w:w="0" w:type="auto"/>
          </w:tcPr>
          <w:p w14:paraId="2C876371"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6.50</w:t>
            </w:r>
          </w:p>
        </w:tc>
        <w:tc>
          <w:tcPr>
            <w:cnfStyle w:val="000010000000" w:firstRow="0" w:lastRow="0" w:firstColumn="0" w:lastColumn="0" w:oddVBand="1" w:evenVBand="0" w:oddHBand="0" w:evenHBand="0" w:firstRowFirstColumn="0" w:firstRowLastColumn="0" w:lastRowFirstColumn="0" w:lastRowLastColumn="0"/>
            <w:tcW w:w="0" w:type="auto"/>
          </w:tcPr>
          <w:p w14:paraId="60FEBEB0"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19.57</w:t>
            </w:r>
          </w:p>
        </w:tc>
        <w:tc>
          <w:tcPr>
            <w:cnfStyle w:val="000001000000" w:firstRow="0" w:lastRow="0" w:firstColumn="0" w:lastColumn="0" w:oddVBand="0" w:evenVBand="1" w:oddHBand="0" w:evenHBand="0" w:firstRowFirstColumn="0" w:firstRowLastColumn="0" w:lastRowFirstColumn="0" w:lastRowLastColumn="0"/>
            <w:tcW w:w="0" w:type="auto"/>
          </w:tcPr>
          <w:p w14:paraId="27E66192"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sz w:val="20"/>
                <w:szCs w:val="20"/>
              </w:rPr>
              <w:t>13.31</w:t>
            </w:r>
          </w:p>
        </w:tc>
        <w:tc>
          <w:tcPr>
            <w:cnfStyle w:val="000010000000" w:firstRow="0" w:lastRow="0" w:firstColumn="0" w:lastColumn="0" w:oddVBand="1" w:evenVBand="0" w:oddHBand="0" w:evenHBand="0" w:firstRowFirstColumn="0" w:firstRowLastColumn="0" w:lastRowFirstColumn="0" w:lastRowLastColumn="0"/>
            <w:tcW w:w="0" w:type="auto"/>
          </w:tcPr>
          <w:p w14:paraId="4C39ECA3" w14:textId="77777777" w:rsidR="00427A24" w:rsidRPr="00B7380B" w:rsidRDefault="00F57E7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bl>
    <w:p w14:paraId="33F63DF0"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results decompose into three clusters, visible as a Pareto frontier in Figure 7.</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information-theoretic cluster</w:t>
      </w:r>
      <w:r w:rsidRPr="001A556C">
        <w:rPr>
          <w:rFonts w:ascii="Times New Roman" w:hAnsi="Times New Roman" w:cs="Times New Roman"/>
          <w:sz w:val="22"/>
          <w:szCs w:val="22"/>
        </w:rPr>
        <w:t xml:space="preserve"> (PSI, KL, JS) </w:t>
      </w:r>
      <w:r w:rsidRPr="001A556C">
        <w:rPr>
          <w:rFonts w:ascii="Times New Roman" w:hAnsi="Times New Roman" w:cs="Times New Roman"/>
          <w:sz w:val="22"/>
          <w:szCs w:val="22"/>
          <w:highlight w:val="yellow"/>
        </w:rPr>
        <w:t>is fastest, with a mean delay</w:t>
      </w:r>
      <w:r w:rsidRPr="001A556C">
        <w:rPr>
          <w:rFonts w:ascii="Times New Roman" w:hAnsi="Times New Roman" w:cs="Times New Roman"/>
          <w:sz w:val="22"/>
          <w:szCs w:val="22"/>
        </w:rPr>
        <w:t xml:space="preserve"> of 1.71 batches and instantaneous detection of abrupt drift but pays for it with a stationary false-alarm rate of 9.6–9.7%, nearly ten times the 1% nominal level implied by their common threshold. This under-coverage is itself a finding: the bootstrap null, resampling with replacement from a finite reference window, understates the true batch-to-batch variability, and histogram-based divergences are the statistics most sensitive to that understatement. Practitioners setting PSI thresholds from bootstrap calibration should expect materially more alarms than the nominal level promises.</w:t>
      </w:r>
    </w:p>
    <w:p w14:paraId="08B2DC95"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transport cluster</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achieves zero false alarms with a moderate delay of 4.75–4.89 batches. The metric structure of the Wasserstein distance, which responds to the magnitude of displacement rather than to bin-level probability ratios, makes it markedly better behaved under resampling noise.</w:t>
      </w:r>
    </w:p>
    <w:p w14:paraId="50C5030A"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supervised sequential cluster</w:t>
      </w:r>
      <w:r w:rsidRPr="001A556C">
        <w:rPr>
          <w:rFonts w:ascii="Times New Roman" w:hAnsi="Times New Roman" w:cs="Times New Roman"/>
          <w:sz w:val="22"/>
          <w:szCs w:val="22"/>
        </w:rPr>
        <w:t xml:space="preserve"> is dominated. Page–Hinkley and CUSUM incur 6.6–6.9 batches of delay at 2–3% false alarms, and ADWIN requires 13.31 batches while missing 7% of drift events entirel</w:t>
      </w:r>
      <w:r w:rsidR="001A556C">
        <w:rPr>
          <w:rFonts w:ascii="Times New Roman" w:hAnsi="Times New Roman" w:cs="Times New Roman"/>
          <w:sz w:val="22"/>
          <w:szCs w:val="22"/>
        </w:rPr>
        <w:t>y</w:t>
      </w:r>
      <w:r w:rsidRPr="001A556C">
        <w:rPr>
          <w:rFonts w:ascii="Times New Roman" w:hAnsi="Times New Roman" w:cs="Times New Roman"/>
          <w:sz w:val="22"/>
          <w:szCs w:val="22"/>
          <w:highlight w:val="yellow"/>
        </w:rPr>
        <w:t>—all while consuming</w:t>
      </w:r>
      <w:r w:rsidRPr="001A556C">
        <w:rPr>
          <w:rFonts w:ascii="Times New Roman" w:hAnsi="Times New Roman" w:cs="Times New Roman"/>
          <w:sz w:val="22"/>
          <w:szCs w:val="22"/>
        </w:rPr>
        <w:t xml:space="preserve"> a 5% audited label budget at 3-batch latency. That unsupervised transport monitoring outperforms supervised change detection on both axes simultaneously is, in our view, the strongest practical argument in the paper for label-free monitoring in security contexts.</w:t>
      </w:r>
    </w:p>
    <w:p w14:paraId="31127857"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MAI sits at 6.14 batches with zero false alarms, and CDI at 7.39. </w:t>
      </w:r>
      <w:r w:rsidRPr="001A556C">
        <w:rPr>
          <w:rFonts w:ascii="Times New Roman" w:hAnsi="Times New Roman" w:cs="Times New Roman"/>
          <w:b/>
          <w:bCs/>
          <w:sz w:val="22"/>
          <w:szCs w:val="22"/>
        </w:rPr>
        <w:t>MAI is therefore not the fastest detector</w:t>
      </w:r>
      <w:r w:rsidRPr="001A556C">
        <w:rPr>
          <w:rFonts w:ascii="Times New Roman" w:hAnsi="Times New Roman" w:cs="Times New Roman"/>
          <w:sz w:val="22"/>
          <w:szCs w:val="22"/>
        </w:rPr>
        <w:t xml:space="preserve">, and we do not claim it to be: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and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detect roughly 1.4 batches sooner at the same false-alarm rate. The additional latency is the direct and intended </w:t>
      </w:r>
      <w:r w:rsidRPr="001A556C">
        <w:rPr>
          <w:rFonts w:ascii="Times New Roman" w:hAnsi="Times New Roman" w:cs="Times New Roman"/>
          <w:sz w:val="22"/>
          <w:szCs w:val="22"/>
          <w:highlight w:val="yellow"/>
        </w:rPr>
        <w:t>cost of accumulation: the geometric memory</w:t>
      </w:r>
      <w:r w:rsidRPr="001A556C">
        <w:rPr>
          <w:rFonts w:ascii="Times New Roman" w:hAnsi="Times New Roman" w:cs="Times New Roman"/>
          <w:sz w:val="22"/>
          <w:szCs w:val="22"/>
        </w:rPr>
        <w:t xml:space="preserve"> that converts a binary test into a graded state variable. What MAI buys with those 1.4 batches is a </w:t>
      </w:r>
      <w:r w:rsidRPr="001A556C">
        <w:rPr>
          <w:rFonts w:ascii="Times New Roman" w:hAnsi="Times New Roman" w:cs="Times New Roman"/>
          <w:sz w:val="22"/>
          <w:szCs w:val="22"/>
        </w:rPr>
        <w:lastRenderedPageBreak/>
        <w:t>bounded, monotone, Lipschitz quantity that (i) grades severity rather than merely signalling, (ii) admits the closed-form threshold calibration of Proposition 3, and (iii) serves as the state of the control problem in Section 6. It should be judged as a controller state, not as a detector, and Section 8.5 evaluates it on that basis.</w:t>
      </w:r>
    </w:p>
    <w:p w14:paraId="2C9F760D"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1" wp14:editId="527635A2">
            <wp:extent cx="4126824" cy="2692400"/>
            <wp:effectExtent l="0" t="0" r="0" b="0"/>
            <wp:docPr id="70" name="Picture" descr="Figure 7. Detection delay against stationary false-alarm rate. The unsupervised transport and aging statistics occupy the lower-left frontier; supervised sequential detectors are dominated despite consuming a label budget."/>
            <wp:cNvGraphicFramePr/>
            <a:graphic xmlns:a="http://schemas.openxmlformats.org/drawingml/2006/main">
              <a:graphicData uri="http://schemas.openxmlformats.org/drawingml/2006/picture">
                <pic:pic xmlns:pic="http://schemas.openxmlformats.org/drawingml/2006/picture">
                  <pic:nvPicPr>
                    <pic:cNvPr id="71" name="Picture" descr="figs/fig7_pareto.png"/>
                    <pic:cNvPicPr>
                      <a:picLocks noChangeAspect="1" noChangeArrowheads="1"/>
                    </pic:cNvPicPr>
                  </pic:nvPicPr>
                  <pic:blipFill>
                    <a:blip r:embed="rId11"/>
                    <a:stretch>
                      <a:fillRect/>
                    </a:stretch>
                  </pic:blipFill>
                  <pic:spPr bwMode="auto">
                    <a:xfrm>
                      <a:off x="0" y="0"/>
                      <a:ext cx="4133746" cy="2696916"/>
                    </a:xfrm>
                    <a:prstGeom prst="rect">
                      <a:avLst/>
                    </a:prstGeom>
                    <a:noFill/>
                    <a:ln w="9525">
                      <a:noFill/>
                      <a:headEnd/>
                      <a:tailEnd/>
                    </a:ln>
                  </pic:spPr>
                </pic:pic>
              </a:graphicData>
            </a:graphic>
          </wp:inline>
        </w:drawing>
      </w:r>
    </w:p>
    <w:p w14:paraId="7C809F65" w14:textId="77777777" w:rsidR="00427A24" w:rsidRPr="001A556C" w:rsidRDefault="00F57E7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5</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Detection delay against stationary false-alarm rate</w:t>
      </w:r>
      <w:r w:rsidR="00364457" w:rsidRPr="001A556C">
        <w:rPr>
          <w:rFonts w:ascii="Times New Roman" w:hAnsi="Times New Roman" w:cs="Times New Roman"/>
          <w:sz w:val="22"/>
          <w:szCs w:val="22"/>
        </w:rPr>
        <w:t>.</w:t>
      </w:r>
    </w:p>
    <w:p w14:paraId="6D6FDB40" w14:textId="77777777" w:rsidR="00427A24" w:rsidRPr="001A556C" w:rsidRDefault="00F57E70">
      <w:pPr>
        <w:pStyle w:val="Heading3"/>
        <w:rPr>
          <w:rFonts w:ascii="Times New Roman" w:hAnsi="Times New Roman" w:cs="Times New Roman"/>
          <w:color w:val="auto"/>
          <w:sz w:val="22"/>
          <w:szCs w:val="22"/>
        </w:rPr>
      </w:pPr>
      <w:bookmarkStart w:id="40" w:name="Xf7d6d500865e9fca85f0a37c7f132d9027eb1f7"/>
      <w:bookmarkEnd w:id="39"/>
      <w:r w:rsidRPr="001A556C">
        <w:rPr>
          <w:rFonts w:ascii="Times New Roman" w:hAnsi="Times New Roman" w:cs="Times New Roman"/>
          <w:color w:val="auto"/>
          <w:sz w:val="22"/>
          <w:szCs w:val="22"/>
        </w:rPr>
        <w:t>8.4 Coupling between statistics and realised degradation</w:t>
      </w:r>
    </w:p>
    <w:p w14:paraId="773B264D"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Figure </w:t>
      </w:r>
      <w:r w:rsidR="00B7380B">
        <w:rPr>
          <w:rFonts w:ascii="Times New Roman" w:hAnsi="Times New Roman" w:cs="Times New Roman"/>
          <w:sz w:val="22"/>
          <w:szCs w:val="22"/>
        </w:rPr>
        <w:t>6</w:t>
      </w:r>
      <w:r w:rsidRPr="001A556C">
        <w:rPr>
          <w:rFonts w:ascii="Times New Roman" w:hAnsi="Times New Roman" w:cs="Times New Roman"/>
          <w:sz w:val="22"/>
          <w:szCs w:val="22"/>
        </w:rPr>
        <w:t xml:space="preserve"> reports Pearson and Spearman correlations between each statistic and realised relative F1 loss, pooled across all architectures, regimes and batches (</w:t>
      </w:r>
      <m:oMath>
        <m:r>
          <w:rPr>
            <w:rFonts w:ascii="Cambria Math" w:hAnsi="Cambria Math" w:cs="Times New Roman"/>
            <w:sz w:val="22"/>
            <w:szCs w:val="22"/>
          </w:rPr>
          <m:t>n</m:t>
        </m:r>
        <m:r>
          <m:rPr>
            <m:sty m:val="p"/>
          </m:rPr>
          <w:rPr>
            <w:rFonts w:ascii="Cambria Math" w:hAnsi="Cambria Math" w:cs="Times New Roman"/>
            <w:sz w:val="22"/>
            <w:szCs w:val="22"/>
          </w:rPr>
          <m:t>=</m:t>
        </m:r>
        <m:r>
          <w:rPr>
            <w:rFonts w:ascii="Cambria Math" w:hAnsi="Cambria Math" w:cs="Times New Roman"/>
            <w:sz w:val="22"/>
            <w:szCs w:val="22"/>
          </w:rPr>
          <m:t>3</m:t>
        </m:r>
        <m:r>
          <m:rPr>
            <m:sty m:val="p"/>
          </m:rPr>
          <w:rPr>
            <w:rFonts w:ascii="Cambria Math" w:hAnsi="Cambria Math" w:cs="Times New Roman"/>
            <w:sz w:val="22"/>
            <w:szCs w:val="22"/>
          </w:rPr>
          <m:t>,</m:t>
        </m:r>
        <m:r>
          <w:rPr>
            <w:rFonts w:ascii="Cambria Math" w:hAnsi="Cambria Math" w:cs="Times New Roman"/>
            <w:sz w:val="22"/>
            <w:szCs w:val="22"/>
          </w:rPr>
          <m:t>500</m:t>
        </m:r>
      </m:oMath>
      <w:r w:rsidRPr="001A556C">
        <w:rPr>
          <w:rFonts w:ascii="Times New Roman" w:hAnsi="Times New Roman" w:cs="Times New Roman"/>
          <w:sz w:val="22"/>
          <w:szCs w:val="22"/>
        </w:rPr>
        <w:t xml:space="preserve"> batch observations). The score-space Wasserstein distance is the most strongly coupled (</w:t>
      </w:r>
      <m:oMath>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0.971</m:t>
        </m:r>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0.799</m:t>
        </m:r>
      </m:oMath>
      <w:r w:rsidRPr="001A556C">
        <w:rPr>
          <w:rFonts w:ascii="Times New Roman" w:hAnsi="Times New Roman" w:cs="Times New Roman"/>
          <w:sz w:val="22"/>
          <w:szCs w:val="22"/>
        </w:rPr>
        <w:t>), followed by the prior and evasion statistics (</w:t>
      </w:r>
      <m:oMath>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0.968</m:t>
        </m:r>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0.792</m:t>
        </m:r>
      </m:oMath>
      <w:r w:rsidRPr="001A556C">
        <w:rPr>
          <w:rFonts w:ascii="Times New Roman" w:hAnsi="Times New Roman" w:cs="Times New Roman"/>
          <w:sz w:val="22"/>
          <w:szCs w:val="22"/>
        </w:rPr>
        <w:t>), the divergences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0.778</m:t>
        </m:r>
      </m:oMath>
      <w:r w:rsidRPr="001A556C">
        <w:rPr>
          <w:rFonts w:ascii="Times New Roman" w:hAnsi="Times New Roman" w:cs="Times New Roman"/>
          <w:sz w:val="22"/>
          <w:szCs w:val="22"/>
        </w:rPr>
        <w:t xml:space="preserve">) and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0.745</m:t>
        </m:r>
      </m:oMath>
      <w:r w:rsidRPr="001A556C">
        <w:rPr>
          <w:rFonts w:ascii="Times New Roman" w:hAnsi="Times New Roman" w:cs="Times New Roman"/>
          <w:sz w:val="22"/>
          <w:szCs w:val="22"/>
        </w:rPr>
        <w:t>). MAI and CDI show slightly weaker rank correlation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0.724</m:t>
        </m:r>
      </m:oMath>
      <w:r w:rsidRPr="001A556C">
        <w:rPr>
          <w:rFonts w:ascii="Times New Roman" w:hAnsi="Times New Roman" w:cs="Times New Roman"/>
          <w:sz w:val="22"/>
          <w:szCs w:val="22"/>
        </w:rPr>
        <w:t xml:space="preserve"> and </w:t>
      </w:r>
      <m:oMath>
        <m:r>
          <w:rPr>
            <w:rFonts w:ascii="Cambria Math" w:hAnsi="Cambria Math" w:cs="Times New Roman"/>
            <w:sz w:val="22"/>
            <w:szCs w:val="22"/>
          </w:rPr>
          <m:t>0.728</m:t>
        </m:r>
      </m:oMath>
      <w:r w:rsidRPr="001A556C">
        <w:rPr>
          <w:rFonts w:ascii="Times New Roman" w:hAnsi="Times New Roman" w:cs="Times New Roman"/>
          <w:sz w:val="22"/>
          <w:szCs w:val="22"/>
        </w:rPr>
        <w:t>).</w:t>
      </w:r>
    </w:p>
    <w:p w14:paraId="33394226"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This ordering deserves comment rather than concealment. The aging indices are </w:t>
      </w:r>
      <w:r w:rsidRPr="001A556C">
        <w:rPr>
          <w:rFonts w:ascii="Times New Roman" w:hAnsi="Times New Roman" w:cs="Times New Roman"/>
          <w:i/>
          <w:iCs/>
          <w:sz w:val="22"/>
          <w:szCs w:val="22"/>
        </w:rPr>
        <w:t>less</w:t>
      </w:r>
      <w:r w:rsidRPr="001A556C">
        <w:rPr>
          <w:rFonts w:ascii="Times New Roman" w:hAnsi="Times New Roman" w:cs="Times New Roman"/>
          <w:sz w:val="22"/>
          <w:szCs w:val="22"/>
        </w:rPr>
        <w:t xml:space="preserve"> rank-correlated with instantaneous loss than the raw statistics from which they are built, and necessarily so: accumulation and saturation deliberately break the instantaneous correspondence, holding the index high after a shift persists even when batch-level loss fluctuates, and compressing extreme values through the bounded link. An index engineered to maximise instantaneous correlation would simply be a monotone transform of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and would inherit its memorylessness. The relevant test of an aging index is decision quality under an explicit cost model, which is what follows.</w:t>
      </w:r>
    </w:p>
    <w:p w14:paraId="36AB6E1E"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lastRenderedPageBreak/>
        <w:drawing>
          <wp:inline distT="0" distB="0" distL="0" distR="0" wp14:anchorId="05DCA2A3" wp14:editId="2DAEED8C">
            <wp:extent cx="3599815" cy="2025650"/>
            <wp:effectExtent l="0" t="0" r="0" b="0"/>
            <wp:docPr id="74" name="Picture" descr="Figure 9. Coupling between each drift statistic and realised relative F1 loss, pooled over 3,500 batch observations."/>
            <wp:cNvGraphicFramePr/>
            <a:graphic xmlns:a="http://schemas.openxmlformats.org/drawingml/2006/main">
              <a:graphicData uri="http://schemas.openxmlformats.org/drawingml/2006/picture">
                <pic:pic xmlns:pic="http://schemas.openxmlformats.org/drawingml/2006/picture">
                  <pic:nvPicPr>
                    <pic:cNvPr id="75" name="Picture" descr="figs/fig9_coupling.png"/>
                    <pic:cNvPicPr>
                      <a:picLocks noChangeAspect="1" noChangeArrowheads="1"/>
                    </pic:cNvPicPr>
                  </pic:nvPicPr>
                  <pic:blipFill>
                    <a:blip r:embed="rId12"/>
                    <a:stretch>
                      <a:fillRect/>
                    </a:stretch>
                  </pic:blipFill>
                  <pic:spPr bwMode="auto">
                    <a:xfrm>
                      <a:off x="0" y="0"/>
                      <a:ext cx="3602212" cy="2026999"/>
                    </a:xfrm>
                    <a:prstGeom prst="rect">
                      <a:avLst/>
                    </a:prstGeom>
                    <a:noFill/>
                    <a:ln w="9525">
                      <a:noFill/>
                      <a:headEnd/>
                      <a:tailEnd/>
                    </a:ln>
                  </pic:spPr>
                </pic:pic>
              </a:graphicData>
            </a:graphic>
          </wp:inline>
        </w:drawing>
      </w:r>
    </w:p>
    <w:p w14:paraId="69AC4538" w14:textId="77777777" w:rsidR="00427A24" w:rsidRPr="001A556C" w:rsidRDefault="00F57E7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6</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Coupling between each drift statistic and realised relative F1 loss, pooled over 3,500 batch observations.</w:t>
      </w:r>
    </w:p>
    <w:p w14:paraId="10E86AC2" w14:textId="77777777" w:rsidR="00427A24" w:rsidRPr="001A556C" w:rsidRDefault="00F57E70">
      <w:pPr>
        <w:pStyle w:val="Heading3"/>
        <w:rPr>
          <w:rFonts w:ascii="Times New Roman" w:hAnsi="Times New Roman" w:cs="Times New Roman"/>
          <w:color w:val="auto"/>
          <w:sz w:val="22"/>
          <w:szCs w:val="22"/>
        </w:rPr>
      </w:pPr>
      <w:bookmarkStart w:id="41" w:name="Xbb99f102d3313c215503790def39b8ac1e66eaf"/>
      <w:bookmarkEnd w:id="40"/>
      <w:r w:rsidRPr="001A556C">
        <w:rPr>
          <w:rFonts w:ascii="Times New Roman" w:hAnsi="Times New Roman" w:cs="Times New Roman"/>
          <w:color w:val="auto"/>
          <w:sz w:val="22"/>
          <w:szCs w:val="22"/>
        </w:rPr>
        <w:t>8.5 Retraining policy: cost, and where thresholds fail</w:t>
      </w:r>
    </w:p>
    <w:p w14:paraId="3F546028"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Table 4 </w:t>
      </w:r>
      <w:r w:rsidRPr="001A556C">
        <w:rPr>
          <w:rFonts w:ascii="Times New Roman" w:hAnsi="Times New Roman" w:cs="Times New Roman"/>
          <w:sz w:val="22"/>
          <w:szCs w:val="22"/>
          <w:highlight w:val="yellow"/>
        </w:rPr>
        <w:t>reports expected total cost—accumulated security loss plus</w:t>
      </w:r>
      <w:r w:rsidRPr="001A556C">
        <w:rPr>
          <w:rFonts w:ascii="Times New Roman" w:hAnsi="Times New Roman" w:cs="Times New Roman"/>
          <w:sz w:val="22"/>
          <w:szCs w:val="22"/>
        </w:rPr>
        <w:t xml:space="preserve"> </w:t>
      </w:r>
      <m:oMath>
        <m:r>
          <w:rPr>
            <w:rFonts w:ascii="Cambria Math" w:hAnsi="Cambria Math" w:cs="Times New Roman"/>
            <w:sz w:val="22"/>
            <w:szCs w:val="22"/>
          </w:rPr>
          <m:t>K</m:t>
        </m:r>
      </m:oMath>
      <w:r w:rsidRPr="001A556C">
        <w:rPr>
          <w:rFonts w:ascii="Times New Roman" w:hAnsi="Times New Roman" w:cs="Times New Roman"/>
          <w:sz w:val="22"/>
          <w:szCs w:val="22"/>
        </w:rPr>
        <w:t xml:space="preserve"> per retraining </w:t>
      </w:r>
      <w:r w:rsidR="00364457" w:rsidRPr="001A556C">
        <w:rPr>
          <w:rFonts w:ascii="Times New Roman" w:hAnsi="Times New Roman" w:cs="Times New Roman"/>
          <w:sz w:val="22"/>
          <w:szCs w:val="22"/>
          <w:highlight w:val="yellow"/>
        </w:rPr>
        <w:t>event—averaged</w:t>
      </w:r>
      <w:r w:rsidRPr="001A556C">
        <w:rPr>
          <w:rFonts w:ascii="Times New Roman" w:hAnsi="Times New Roman" w:cs="Times New Roman"/>
          <w:sz w:val="22"/>
          <w:szCs w:val="22"/>
        </w:rPr>
        <w:t xml:space="preserve"> over the five regimes, for three representative architectures.</w:t>
      </w:r>
    </w:p>
    <w:p w14:paraId="22F9A38B" w14:textId="77777777" w:rsidR="00427A24" w:rsidRPr="001A556C" w:rsidRDefault="00F57E70" w:rsidP="00364457">
      <w:pPr>
        <w:pStyle w:val="BodyText"/>
        <w:jc w:val="center"/>
        <w:rPr>
          <w:rFonts w:ascii="Times New Roman" w:hAnsi="Times New Roman" w:cs="Times New Roman"/>
          <w:sz w:val="22"/>
          <w:szCs w:val="22"/>
        </w:rPr>
      </w:pPr>
      <w:r w:rsidRPr="001A556C">
        <w:rPr>
          <w:rFonts w:ascii="Times New Roman" w:hAnsi="Times New Roman" w:cs="Times New Roman"/>
          <w:b/>
          <w:bCs/>
          <w:sz w:val="22"/>
          <w:szCs w:val="22"/>
        </w:rPr>
        <w:t>Table 4.</w:t>
      </w:r>
      <w:r w:rsidRPr="001A556C">
        <w:rPr>
          <w:rFonts w:ascii="Times New Roman" w:hAnsi="Times New Roman" w:cs="Times New Roman"/>
          <w:sz w:val="22"/>
          <w:szCs w:val="22"/>
        </w:rPr>
        <w:t xml:space="preserve"> Expected total cost by retraining policy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w:t>
      </w:r>
      <m:oMath>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2</m:t>
        </m:r>
      </m:oMath>
      <w:r w:rsidRPr="001A556C">
        <w:rPr>
          <w:rFonts w:ascii="Times New Roman" w:hAnsi="Times New Roman" w:cs="Times New Roman"/>
          <w:sz w:val="22"/>
          <w:szCs w:val="22"/>
        </w:rPr>
        <w:t>). Lower is better. The oracle is clairvoyant and not implementable.</w:t>
      </w:r>
    </w:p>
    <w:tbl>
      <w:tblPr>
        <w:tblStyle w:val="PlainTable2"/>
        <w:tblW w:w="5000" w:type="pct"/>
        <w:tblLook w:val="0020" w:firstRow="1" w:lastRow="0" w:firstColumn="0" w:lastColumn="0" w:noHBand="0" w:noVBand="0"/>
      </w:tblPr>
      <w:tblGrid>
        <w:gridCol w:w="3614"/>
        <w:gridCol w:w="1092"/>
        <w:gridCol w:w="855"/>
        <w:gridCol w:w="1452"/>
        <w:gridCol w:w="768"/>
        <w:gridCol w:w="1795"/>
      </w:tblGrid>
      <w:tr w:rsidR="00427A24" w:rsidRPr="001A556C" w14:paraId="1A123F78"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E03CA2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Policy</w:t>
            </w:r>
          </w:p>
        </w:tc>
        <w:tc>
          <w:tcPr>
            <w:cnfStyle w:val="000001000000" w:firstRow="0" w:lastRow="0" w:firstColumn="0" w:lastColumn="0" w:oddVBand="0" w:evenVBand="1" w:oddHBand="0" w:evenHBand="0" w:firstRowFirstColumn="0" w:firstRowLastColumn="0" w:lastRowFirstColumn="0" w:lastRowLastColumn="0"/>
            <w:tcW w:w="0" w:type="auto"/>
          </w:tcPr>
          <w:p w14:paraId="526E74D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XGBoost</w:t>
            </w:r>
          </w:p>
        </w:tc>
        <w:tc>
          <w:tcPr>
            <w:cnfStyle w:val="000010000000" w:firstRow="0" w:lastRow="0" w:firstColumn="0" w:lastColumn="0" w:oddVBand="1" w:evenVBand="0" w:oddHBand="0" w:evenHBand="0" w:firstRowFirstColumn="0" w:firstRowLastColumn="0" w:lastRowFirstColumn="0" w:lastRowLastColumn="0"/>
            <w:tcW w:w="0" w:type="auto"/>
          </w:tcPr>
          <w:p w14:paraId="7285F51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LSTM</w:t>
            </w:r>
          </w:p>
        </w:tc>
        <w:tc>
          <w:tcPr>
            <w:cnfStyle w:val="000001000000" w:firstRow="0" w:lastRow="0" w:firstColumn="0" w:lastColumn="0" w:oddVBand="0" w:evenVBand="1" w:oddHBand="0" w:evenHBand="0" w:firstRowFirstColumn="0" w:firstRowLastColumn="0" w:lastRowFirstColumn="0" w:lastRowLastColumn="0"/>
            <w:tcW w:w="0" w:type="auto"/>
          </w:tcPr>
          <w:p w14:paraId="18182CA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Autoencoder</w:t>
            </w:r>
          </w:p>
        </w:tc>
        <w:tc>
          <w:tcPr>
            <w:cnfStyle w:val="000010000000" w:firstRow="0" w:lastRow="0" w:firstColumn="0" w:lastColumn="0" w:oddVBand="1" w:evenVBand="0" w:oddHBand="0" w:evenHBand="0" w:firstRowFirstColumn="0" w:firstRowLastColumn="0" w:lastRowFirstColumn="0" w:lastRowLastColumn="0"/>
            <w:tcW w:w="0" w:type="auto"/>
          </w:tcPr>
          <w:p w14:paraId="7276C10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Mean</w:t>
            </w:r>
          </w:p>
        </w:tc>
        <w:tc>
          <w:tcPr>
            <w:cnfStyle w:val="000001000000" w:firstRow="0" w:lastRow="0" w:firstColumn="0" w:lastColumn="0" w:oddVBand="0" w:evenVBand="1" w:oddHBand="0" w:evenHBand="0" w:firstRowFirstColumn="0" w:firstRowLastColumn="0" w:lastRowFirstColumn="0" w:lastRowLastColumn="0"/>
            <w:tcW w:w="0" w:type="auto"/>
          </w:tcPr>
          <w:p w14:paraId="50D86E7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vs. no retraining</w:t>
            </w:r>
          </w:p>
        </w:tc>
      </w:tr>
      <w:tr w:rsidR="00427A24" w:rsidRPr="001A556C" w14:paraId="1260523B"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919A49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No retraining</w:t>
            </w:r>
          </w:p>
        </w:tc>
        <w:tc>
          <w:tcPr>
            <w:cnfStyle w:val="000001000000" w:firstRow="0" w:lastRow="0" w:firstColumn="0" w:lastColumn="0" w:oddVBand="0" w:evenVBand="1" w:oddHBand="0" w:evenHBand="0" w:firstRowFirstColumn="0" w:firstRowLastColumn="0" w:lastRowFirstColumn="0" w:lastRowLastColumn="0"/>
            <w:tcW w:w="0" w:type="auto"/>
          </w:tcPr>
          <w:p w14:paraId="77CB8E4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43.91</w:t>
            </w:r>
          </w:p>
        </w:tc>
        <w:tc>
          <w:tcPr>
            <w:cnfStyle w:val="000010000000" w:firstRow="0" w:lastRow="0" w:firstColumn="0" w:lastColumn="0" w:oddVBand="1" w:evenVBand="0" w:oddHBand="0" w:evenHBand="0" w:firstRowFirstColumn="0" w:firstRowLastColumn="0" w:lastRowFirstColumn="0" w:lastRowLastColumn="0"/>
            <w:tcW w:w="0" w:type="auto"/>
          </w:tcPr>
          <w:p w14:paraId="571DB20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69.45</w:t>
            </w:r>
          </w:p>
        </w:tc>
        <w:tc>
          <w:tcPr>
            <w:cnfStyle w:val="000001000000" w:firstRow="0" w:lastRow="0" w:firstColumn="0" w:lastColumn="0" w:oddVBand="0" w:evenVBand="1" w:oddHBand="0" w:evenHBand="0" w:firstRowFirstColumn="0" w:firstRowLastColumn="0" w:lastRowFirstColumn="0" w:lastRowLastColumn="0"/>
            <w:tcW w:w="0" w:type="auto"/>
          </w:tcPr>
          <w:p w14:paraId="2942880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45.35</w:t>
            </w:r>
          </w:p>
        </w:tc>
        <w:tc>
          <w:tcPr>
            <w:cnfStyle w:val="000010000000" w:firstRow="0" w:lastRow="0" w:firstColumn="0" w:lastColumn="0" w:oddVBand="1" w:evenVBand="0" w:oddHBand="0" w:evenHBand="0" w:firstRowFirstColumn="0" w:firstRowLastColumn="0" w:lastRowFirstColumn="0" w:lastRowLastColumn="0"/>
            <w:tcW w:w="0" w:type="auto"/>
          </w:tcPr>
          <w:p w14:paraId="7869998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52.90</w:t>
            </w:r>
          </w:p>
        </w:tc>
        <w:tc>
          <w:tcPr>
            <w:cnfStyle w:val="000001000000" w:firstRow="0" w:lastRow="0" w:firstColumn="0" w:lastColumn="0" w:oddVBand="0" w:evenVBand="1" w:oddHBand="0" w:evenHBand="0" w:firstRowFirstColumn="0" w:firstRowLastColumn="0" w:lastRowFirstColumn="0" w:lastRowLastColumn="0"/>
            <w:tcW w:w="0" w:type="auto"/>
          </w:tcPr>
          <w:p w14:paraId="0633F590" w14:textId="77777777" w:rsidR="00427A24" w:rsidRPr="001A556C" w:rsidRDefault="00427A24">
            <w:pPr>
              <w:pStyle w:val="Compact"/>
              <w:rPr>
                <w:rFonts w:ascii="Times New Roman" w:hAnsi="Times New Roman" w:cs="Times New Roman"/>
                <w:sz w:val="22"/>
                <w:szCs w:val="22"/>
              </w:rPr>
            </w:pPr>
          </w:p>
        </w:tc>
      </w:tr>
      <w:tr w:rsidR="00427A24" w:rsidRPr="001A556C" w14:paraId="44BCD48C"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143F6EC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Retrain every epoch</w:t>
            </w:r>
          </w:p>
        </w:tc>
        <w:tc>
          <w:tcPr>
            <w:cnfStyle w:val="000001000000" w:firstRow="0" w:lastRow="0" w:firstColumn="0" w:lastColumn="0" w:oddVBand="0" w:evenVBand="1" w:oddHBand="0" w:evenHBand="0" w:firstRowFirstColumn="0" w:firstRowLastColumn="0" w:lastRowFirstColumn="0" w:lastRowLastColumn="0"/>
            <w:tcW w:w="0" w:type="auto"/>
          </w:tcPr>
          <w:p w14:paraId="6088F3B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31.69</w:t>
            </w:r>
          </w:p>
        </w:tc>
        <w:tc>
          <w:tcPr>
            <w:cnfStyle w:val="000010000000" w:firstRow="0" w:lastRow="0" w:firstColumn="0" w:lastColumn="0" w:oddVBand="1" w:evenVBand="0" w:oddHBand="0" w:evenHBand="0" w:firstRowFirstColumn="0" w:firstRowLastColumn="0" w:lastRowFirstColumn="0" w:lastRowLastColumn="0"/>
            <w:tcW w:w="0" w:type="auto"/>
          </w:tcPr>
          <w:p w14:paraId="00F9F11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49.87</w:t>
            </w:r>
          </w:p>
        </w:tc>
        <w:tc>
          <w:tcPr>
            <w:cnfStyle w:val="000001000000" w:firstRow="0" w:lastRow="0" w:firstColumn="0" w:lastColumn="0" w:oddVBand="0" w:evenVBand="1" w:oddHBand="0" w:evenHBand="0" w:firstRowFirstColumn="0" w:firstRowLastColumn="0" w:lastRowFirstColumn="0" w:lastRowLastColumn="0"/>
            <w:tcW w:w="0" w:type="auto"/>
          </w:tcPr>
          <w:p w14:paraId="0FA3021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65.08</w:t>
            </w:r>
          </w:p>
        </w:tc>
        <w:tc>
          <w:tcPr>
            <w:cnfStyle w:val="000010000000" w:firstRow="0" w:lastRow="0" w:firstColumn="0" w:lastColumn="0" w:oddVBand="1" w:evenVBand="0" w:oddHBand="0" w:evenHBand="0" w:firstRowFirstColumn="0" w:firstRowLastColumn="0" w:lastRowFirstColumn="0" w:lastRowLastColumn="0"/>
            <w:tcW w:w="0" w:type="auto"/>
          </w:tcPr>
          <w:p w14:paraId="7B949E3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48.88</w:t>
            </w:r>
          </w:p>
        </w:tc>
        <w:tc>
          <w:tcPr>
            <w:cnfStyle w:val="000001000000" w:firstRow="0" w:lastRow="0" w:firstColumn="0" w:lastColumn="0" w:oddVBand="0" w:evenVBand="1" w:oddHBand="0" w:evenHBand="0" w:firstRowFirstColumn="0" w:firstRowLastColumn="0" w:lastRowFirstColumn="0" w:lastRowLastColumn="0"/>
            <w:tcW w:w="0" w:type="auto"/>
          </w:tcPr>
          <w:p w14:paraId="0F86E2F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−7.6%</w:t>
            </w:r>
          </w:p>
        </w:tc>
      </w:tr>
      <w:tr w:rsidR="00427A24" w:rsidRPr="001A556C" w14:paraId="645E6316"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B32E40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Periodic (20 batches)</w:t>
            </w:r>
          </w:p>
        </w:tc>
        <w:tc>
          <w:tcPr>
            <w:cnfStyle w:val="000001000000" w:firstRow="0" w:lastRow="0" w:firstColumn="0" w:lastColumn="0" w:oddVBand="0" w:evenVBand="1" w:oddHBand="0" w:evenHBand="0" w:firstRowFirstColumn="0" w:firstRowLastColumn="0" w:lastRowFirstColumn="0" w:lastRowLastColumn="0"/>
            <w:tcW w:w="0" w:type="auto"/>
          </w:tcPr>
          <w:p w14:paraId="0A62292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20.42</w:t>
            </w:r>
          </w:p>
        </w:tc>
        <w:tc>
          <w:tcPr>
            <w:cnfStyle w:val="000010000000" w:firstRow="0" w:lastRow="0" w:firstColumn="0" w:lastColumn="0" w:oddVBand="1" w:evenVBand="0" w:oddHBand="0" w:evenHBand="0" w:firstRowFirstColumn="0" w:firstRowLastColumn="0" w:lastRowFirstColumn="0" w:lastRowLastColumn="0"/>
            <w:tcW w:w="0" w:type="auto"/>
          </w:tcPr>
          <w:p w14:paraId="72D24DE7"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34.29</w:t>
            </w:r>
          </w:p>
        </w:tc>
        <w:tc>
          <w:tcPr>
            <w:cnfStyle w:val="000001000000" w:firstRow="0" w:lastRow="0" w:firstColumn="0" w:lastColumn="0" w:oddVBand="0" w:evenVBand="1" w:oddHBand="0" w:evenHBand="0" w:firstRowFirstColumn="0" w:firstRowLastColumn="0" w:lastRowFirstColumn="0" w:lastRowLastColumn="0"/>
            <w:tcW w:w="0" w:type="auto"/>
          </w:tcPr>
          <w:p w14:paraId="09039DB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56.30</w:t>
            </w:r>
          </w:p>
        </w:tc>
        <w:tc>
          <w:tcPr>
            <w:cnfStyle w:val="000010000000" w:firstRow="0" w:lastRow="0" w:firstColumn="0" w:lastColumn="0" w:oddVBand="1" w:evenVBand="0" w:oddHBand="0" w:evenHBand="0" w:firstRowFirstColumn="0" w:firstRowLastColumn="0" w:lastRowFirstColumn="0" w:lastRowLastColumn="0"/>
            <w:tcW w:w="0" w:type="auto"/>
          </w:tcPr>
          <w:p w14:paraId="6AC646A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37.00</w:t>
            </w:r>
          </w:p>
        </w:tc>
        <w:tc>
          <w:tcPr>
            <w:cnfStyle w:val="000001000000" w:firstRow="0" w:lastRow="0" w:firstColumn="0" w:lastColumn="0" w:oddVBand="0" w:evenVBand="1" w:oddHBand="0" w:evenHBand="0" w:firstRowFirstColumn="0" w:firstRowLastColumn="0" w:lastRowFirstColumn="0" w:lastRowLastColumn="0"/>
            <w:tcW w:w="0" w:type="auto"/>
          </w:tcPr>
          <w:p w14:paraId="53905D7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−30.1%</w:t>
            </w:r>
          </w:p>
        </w:tc>
      </w:tr>
      <w:tr w:rsidR="00427A24" w:rsidRPr="001A556C" w14:paraId="0E98726B"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140C406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PSI trigger</w:t>
            </w:r>
          </w:p>
        </w:tc>
        <w:tc>
          <w:tcPr>
            <w:cnfStyle w:val="000001000000" w:firstRow="0" w:lastRow="0" w:firstColumn="0" w:lastColumn="0" w:oddVBand="0" w:evenVBand="1" w:oddHBand="0" w:evenHBand="0" w:firstRowFirstColumn="0" w:firstRowLastColumn="0" w:lastRowFirstColumn="0" w:lastRowLastColumn="0"/>
            <w:tcW w:w="0" w:type="auto"/>
          </w:tcPr>
          <w:p w14:paraId="35104B9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19.98</w:t>
            </w:r>
          </w:p>
        </w:tc>
        <w:tc>
          <w:tcPr>
            <w:cnfStyle w:val="000010000000" w:firstRow="0" w:lastRow="0" w:firstColumn="0" w:lastColumn="0" w:oddVBand="1" w:evenVBand="0" w:oddHBand="0" w:evenHBand="0" w:firstRowFirstColumn="0" w:firstRowLastColumn="0" w:lastRowFirstColumn="0" w:lastRowLastColumn="0"/>
            <w:tcW w:w="0" w:type="auto"/>
          </w:tcPr>
          <w:p w14:paraId="4D31EB2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39.47</w:t>
            </w:r>
          </w:p>
        </w:tc>
        <w:tc>
          <w:tcPr>
            <w:cnfStyle w:val="000001000000" w:firstRow="0" w:lastRow="0" w:firstColumn="0" w:lastColumn="0" w:oddVBand="0" w:evenVBand="1" w:oddHBand="0" w:evenHBand="0" w:firstRowFirstColumn="0" w:firstRowLastColumn="0" w:lastRowFirstColumn="0" w:lastRowLastColumn="0"/>
            <w:tcW w:w="0" w:type="auto"/>
          </w:tcPr>
          <w:p w14:paraId="0F18041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53.79</w:t>
            </w:r>
          </w:p>
        </w:tc>
        <w:tc>
          <w:tcPr>
            <w:cnfStyle w:val="000010000000" w:firstRow="0" w:lastRow="0" w:firstColumn="0" w:lastColumn="0" w:oddVBand="1" w:evenVBand="0" w:oddHBand="0" w:evenHBand="0" w:firstRowFirstColumn="0" w:firstRowLastColumn="0" w:lastRowFirstColumn="0" w:lastRowLastColumn="0"/>
            <w:tcW w:w="0" w:type="auto"/>
          </w:tcPr>
          <w:p w14:paraId="276127D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37.75</w:t>
            </w:r>
          </w:p>
        </w:tc>
        <w:tc>
          <w:tcPr>
            <w:cnfStyle w:val="000001000000" w:firstRow="0" w:lastRow="0" w:firstColumn="0" w:lastColumn="0" w:oddVBand="0" w:evenVBand="1" w:oddHBand="0" w:evenHBand="0" w:firstRowFirstColumn="0" w:firstRowLastColumn="0" w:lastRowFirstColumn="0" w:lastRowLastColumn="0"/>
            <w:tcW w:w="0" w:type="auto"/>
          </w:tcPr>
          <w:p w14:paraId="554336C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−28.6%</w:t>
            </w:r>
          </w:p>
        </w:tc>
      </w:tr>
      <w:tr w:rsidR="00427A24" w:rsidRPr="001A556C" w14:paraId="381A0A95"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96A205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KS trigger</w:t>
            </w:r>
          </w:p>
        </w:tc>
        <w:tc>
          <w:tcPr>
            <w:cnfStyle w:val="000001000000" w:firstRow="0" w:lastRow="0" w:firstColumn="0" w:lastColumn="0" w:oddVBand="0" w:evenVBand="1" w:oddHBand="0" w:evenHBand="0" w:firstRowFirstColumn="0" w:firstRowLastColumn="0" w:lastRowFirstColumn="0" w:lastRowLastColumn="0"/>
            <w:tcW w:w="0" w:type="auto"/>
          </w:tcPr>
          <w:p w14:paraId="4768005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19.24</w:t>
            </w:r>
          </w:p>
        </w:tc>
        <w:tc>
          <w:tcPr>
            <w:cnfStyle w:val="000010000000" w:firstRow="0" w:lastRow="0" w:firstColumn="0" w:lastColumn="0" w:oddVBand="1" w:evenVBand="0" w:oddHBand="0" w:evenHBand="0" w:firstRowFirstColumn="0" w:firstRowLastColumn="0" w:lastRowFirstColumn="0" w:lastRowLastColumn="0"/>
            <w:tcW w:w="0" w:type="auto"/>
          </w:tcPr>
          <w:p w14:paraId="7BE2467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35.54</w:t>
            </w:r>
          </w:p>
        </w:tc>
        <w:tc>
          <w:tcPr>
            <w:cnfStyle w:val="000001000000" w:firstRow="0" w:lastRow="0" w:firstColumn="0" w:lastColumn="0" w:oddVBand="0" w:evenVBand="1" w:oddHBand="0" w:evenHBand="0" w:firstRowFirstColumn="0" w:firstRowLastColumn="0" w:lastRowFirstColumn="0" w:lastRowLastColumn="0"/>
            <w:tcW w:w="0" w:type="auto"/>
          </w:tcPr>
          <w:p w14:paraId="32B7731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53.42</w:t>
            </w:r>
          </w:p>
        </w:tc>
        <w:tc>
          <w:tcPr>
            <w:cnfStyle w:val="000010000000" w:firstRow="0" w:lastRow="0" w:firstColumn="0" w:lastColumn="0" w:oddVBand="1" w:evenVBand="0" w:oddHBand="0" w:evenHBand="0" w:firstRowFirstColumn="0" w:firstRowLastColumn="0" w:lastRowFirstColumn="0" w:lastRowLastColumn="0"/>
            <w:tcW w:w="0" w:type="auto"/>
          </w:tcPr>
          <w:p w14:paraId="42C81ED7"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36.07</w:t>
            </w:r>
          </w:p>
        </w:tc>
        <w:tc>
          <w:tcPr>
            <w:cnfStyle w:val="000001000000" w:firstRow="0" w:lastRow="0" w:firstColumn="0" w:lastColumn="0" w:oddVBand="0" w:evenVBand="1" w:oddHBand="0" w:evenHBand="0" w:firstRowFirstColumn="0" w:firstRowLastColumn="0" w:lastRowFirstColumn="0" w:lastRowLastColumn="0"/>
            <w:tcW w:w="0" w:type="auto"/>
          </w:tcPr>
          <w:p w14:paraId="1253E8E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−31.8%</w:t>
            </w:r>
          </w:p>
        </w:tc>
      </w:tr>
      <w:tr w:rsidR="00427A24" w:rsidRPr="001A556C" w14:paraId="2E3F7642"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5A14BFD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Periodic (30 batches)</w:t>
            </w:r>
          </w:p>
        </w:tc>
        <w:tc>
          <w:tcPr>
            <w:cnfStyle w:val="000001000000" w:firstRow="0" w:lastRow="0" w:firstColumn="0" w:lastColumn="0" w:oddVBand="0" w:evenVBand="1" w:oddHBand="0" w:evenHBand="0" w:firstRowFirstColumn="0" w:firstRowLastColumn="0" w:lastRowFirstColumn="0" w:lastRowLastColumn="0"/>
            <w:tcW w:w="0" w:type="auto"/>
          </w:tcPr>
          <w:p w14:paraId="69112A9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17.60</w:t>
            </w:r>
          </w:p>
        </w:tc>
        <w:tc>
          <w:tcPr>
            <w:cnfStyle w:val="000010000000" w:firstRow="0" w:lastRow="0" w:firstColumn="0" w:lastColumn="0" w:oddVBand="1" w:evenVBand="0" w:oddHBand="0" w:evenHBand="0" w:firstRowFirstColumn="0" w:firstRowLastColumn="0" w:lastRowFirstColumn="0" w:lastRowLastColumn="0"/>
            <w:tcW w:w="0" w:type="auto"/>
          </w:tcPr>
          <w:p w14:paraId="529B001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34.06</w:t>
            </w:r>
          </w:p>
        </w:tc>
        <w:tc>
          <w:tcPr>
            <w:cnfStyle w:val="000001000000" w:firstRow="0" w:lastRow="0" w:firstColumn="0" w:lastColumn="0" w:oddVBand="0" w:evenVBand="1" w:oddHBand="0" w:evenHBand="0" w:firstRowFirstColumn="0" w:firstRowLastColumn="0" w:lastRowFirstColumn="0" w:lastRowLastColumn="0"/>
            <w:tcW w:w="0" w:type="auto"/>
          </w:tcPr>
          <w:p w14:paraId="1F5FAFD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55.26</w:t>
            </w:r>
          </w:p>
        </w:tc>
        <w:tc>
          <w:tcPr>
            <w:cnfStyle w:val="000010000000" w:firstRow="0" w:lastRow="0" w:firstColumn="0" w:lastColumn="0" w:oddVBand="1" w:evenVBand="0" w:oddHBand="0" w:evenHBand="0" w:firstRowFirstColumn="0" w:firstRowLastColumn="0" w:lastRowFirstColumn="0" w:lastRowLastColumn="0"/>
            <w:tcW w:w="0" w:type="auto"/>
          </w:tcPr>
          <w:p w14:paraId="34E9FFD5"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35.64</w:t>
            </w:r>
          </w:p>
        </w:tc>
        <w:tc>
          <w:tcPr>
            <w:cnfStyle w:val="000001000000" w:firstRow="0" w:lastRow="0" w:firstColumn="0" w:lastColumn="0" w:oddVBand="0" w:evenVBand="1" w:oddHBand="0" w:evenHBand="0" w:firstRowFirstColumn="0" w:firstRowLastColumn="0" w:lastRowFirstColumn="0" w:lastRowLastColumn="0"/>
            <w:tcW w:w="0" w:type="auto"/>
          </w:tcPr>
          <w:p w14:paraId="10086CB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−32.6%</w:t>
            </w:r>
          </w:p>
        </w:tc>
      </w:tr>
      <w:tr w:rsidR="00427A24" w:rsidRPr="001A556C" w14:paraId="54816B83"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3A88A4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MAI trigger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03CDD0D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18.72</w:t>
            </w:r>
          </w:p>
        </w:tc>
        <w:tc>
          <w:tcPr>
            <w:cnfStyle w:val="000010000000" w:firstRow="0" w:lastRow="0" w:firstColumn="0" w:lastColumn="0" w:oddVBand="1" w:evenVBand="0" w:oddHBand="0" w:evenHBand="0" w:firstRowFirstColumn="0" w:firstRowLastColumn="0" w:lastRowFirstColumn="0" w:lastRowLastColumn="0"/>
            <w:tcW w:w="0" w:type="auto"/>
          </w:tcPr>
          <w:p w14:paraId="09D2668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35.78</w:t>
            </w:r>
          </w:p>
        </w:tc>
        <w:tc>
          <w:tcPr>
            <w:cnfStyle w:val="000001000000" w:firstRow="0" w:lastRow="0" w:firstColumn="0" w:lastColumn="0" w:oddVBand="0" w:evenVBand="1" w:oddHBand="0" w:evenHBand="0" w:firstRowFirstColumn="0" w:firstRowLastColumn="0" w:lastRowFirstColumn="0" w:lastRowLastColumn="0"/>
            <w:tcW w:w="0" w:type="auto"/>
          </w:tcPr>
          <w:p w14:paraId="67B53F3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51.82</w:t>
            </w:r>
          </w:p>
        </w:tc>
        <w:tc>
          <w:tcPr>
            <w:cnfStyle w:val="000010000000" w:firstRow="0" w:lastRow="0" w:firstColumn="0" w:lastColumn="0" w:oddVBand="1" w:evenVBand="0" w:oddHBand="0" w:evenHBand="0" w:firstRowFirstColumn="0" w:firstRowLastColumn="0" w:lastRowFirstColumn="0" w:lastRowLastColumn="0"/>
            <w:tcW w:w="0" w:type="auto"/>
          </w:tcPr>
          <w:p w14:paraId="2F47BEF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35.44</w:t>
            </w:r>
          </w:p>
        </w:tc>
        <w:tc>
          <w:tcPr>
            <w:cnfStyle w:val="000001000000" w:firstRow="0" w:lastRow="0" w:firstColumn="0" w:lastColumn="0" w:oddVBand="0" w:evenVBand="1" w:oddHBand="0" w:evenHBand="0" w:firstRowFirstColumn="0" w:firstRowLastColumn="0" w:lastRowFirstColumn="0" w:lastRowLastColumn="0"/>
            <w:tcW w:w="0" w:type="auto"/>
          </w:tcPr>
          <w:p w14:paraId="6E76896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−33.0%</w:t>
            </w:r>
          </w:p>
        </w:tc>
      </w:tr>
      <w:tr w:rsidR="00427A24" w:rsidRPr="001A556C" w14:paraId="401751FF"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40664A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CDI trigger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044EEE0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18.91</w:t>
            </w:r>
          </w:p>
        </w:tc>
        <w:tc>
          <w:tcPr>
            <w:cnfStyle w:val="000010000000" w:firstRow="0" w:lastRow="0" w:firstColumn="0" w:lastColumn="0" w:oddVBand="1" w:evenVBand="0" w:oddHBand="0" w:evenHBand="0" w:firstRowFirstColumn="0" w:firstRowLastColumn="0" w:lastRowFirstColumn="0" w:lastRowLastColumn="0"/>
            <w:tcW w:w="0" w:type="auto"/>
          </w:tcPr>
          <w:p w14:paraId="630F045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35.09</w:t>
            </w:r>
          </w:p>
        </w:tc>
        <w:tc>
          <w:tcPr>
            <w:cnfStyle w:val="000001000000" w:firstRow="0" w:lastRow="0" w:firstColumn="0" w:lastColumn="0" w:oddVBand="0" w:evenVBand="1" w:oddHBand="0" w:evenHBand="0" w:firstRowFirstColumn="0" w:firstRowLastColumn="0" w:lastRowFirstColumn="0" w:lastRowLastColumn="0"/>
            <w:tcW w:w="0" w:type="auto"/>
          </w:tcPr>
          <w:p w14:paraId="52278B53"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51.58</w:t>
            </w:r>
          </w:p>
        </w:tc>
        <w:tc>
          <w:tcPr>
            <w:cnfStyle w:val="000010000000" w:firstRow="0" w:lastRow="0" w:firstColumn="0" w:lastColumn="0" w:oddVBand="1" w:evenVBand="0" w:oddHBand="0" w:evenHBand="0" w:firstRowFirstColumn="0" w:firstRowLastColumn="0" w:lastRowFirstColumn="0" w:lastRowLastColumn="0"/>
            <w:tcW w:w="0" w:type="auto"/>
          </w:tcPr>
          <w:p w14:paraId="5218CEA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35.19</w:t>
            </w:r>
          </w:p>
        </w:tc>
        <w:tc>
          <w:tcPr>
            <w:cnfStyle w:val="000001000000" w:firstRow="0" w:lastRow="0" w:firstColumn="0" w:lastColumn="0" w:oddVBand="0" w:evenVBand="1" w:oddHBand="0" w:evenHBand="0" w:firstRowFirstColumn="0" w:firstRowLastColumn="0" w:lastRowFirstColumn="0" w:lastRowLastColumn="0"/>
            <w:tcW w:w="0" w:type="auto"/>
          </w:tcPr>
          <w:p w14:paraId="1CBE001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−33.5%</w:t>
            </w:r>
          </w:p>
        </w:tc>
      </w:tr>
      <w:tr w:rsidR="00427A24" w:rsidRPr="001A556C" w14:paraId="1039FCD5"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9B167F8" w14:textId="77777777" w:rsidR="00427A24" w:rsidRPr="001A556C" w:rsidRDefault="00000000">
            <w:pPr>
              <w:pStyle w:val="Compact"/>
              <w:rPr>
                <w:rFonts w:ascii="Times New Roman" w:hAnsi="Times New Roman" w:cs="Times New Roman"/>
                <w:sz w:val="22"/>
                <w:szCs w:val="22"/>
              </w:rPr>
            </w:pP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00F57E70" w:rsidRPr="001A556C">
              <w:rPr>
                <w:rFonts w:ascii="Times New Roman" w:hAnsi="Times New Roman" w:cs="Times New Roman"/>
                <w:sz w:val="22"/>
                <w:szCs w:val="22"/>
              </w:rPr>
              <w:t xml:space="preserve"> trigger</w:t>
            </w:r>
          </w:p>
        </w:tc>
        <w:tc>
          <w:tcPr>
            <w:cnfStyle w:val="000001000000" w:firstRow="0" w:lastRow="0" w:firstColumn="0" w:lastColumn="0" w:oddVBand="0" w:evenVBand="1" w:oddHBand="0" w:evenHBand="0" w:firstRowFirstColumn="0" w:firstRowLastColumn="0" w:lastRowFirstColumn="0" w:lastRowLastColumn="0"/>
            <w:tcW w:w="0" w:type="auto"/>
          </w:tcPr>
          <w:p w14:paraId="05EE881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13.01</w:t>
            </w:r>
          </w:p>
        </w:tc>
        <w:tc>
          <w:tcPr>
            <w:cnfStyle w:val="000010000000" w:firstRow="0" w:lastRow="0" w:firstColumn="0" w:lastColumn="0" w:oddVBand="1" w:evenVBand="0" w:oddHBand="0" w:evenHBand="0" w:firstRowFirstColumn="0" w:firstRowLastColumn="0" w:lastRowFirstColumn="0" w:lastRowLastColumn="0"/>
            <w:tcW w:w="0" w:type="auto"/>
          </w:tcPr>
          <w:p w14:paraId="2AE86D0B"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34.60</w:t>
            </w:r>
          </w:p>
        </w:tc>
        <w:tc>
          <w:tcPr>
            <w:cnfStyle w:val="000001000000" w:firstRow="0" w:lastRow="0" w:firstColumn="0" w:lastColumn="0" w:oddVBand="0" w:evenVBand="1" w:oddHBand="0" w:evenHBand="0" w:firstRowFirstColumn="0" w:firstRowLastColumn="0" w:lastRowFirstColumn="0" w:lastRowLastColumn="0"/>
            <w:tcW w:w="0" w:type="auto"/>
          </w:tcPr>
          <w:p w14:paraId="31AC14CA"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51.93</w:t>
            </w:r>
          </w:p>
        </w:tc>
        <w:tc>
          <w:tcPr>
            <w:cnfStyle w:val="000010000000" w:firstRow="0" w:lastRow="0" w:firstColumn="0" w:lastColumn="0" w:oddVBand="1" w:evenVBand="0" w:oddHBand="0" w:evenHBand="0" w:firstRowFirstColumn="0" w:firstRowLastColumn="0" w:lastRowFirstColumn="0" w:lastRowLastColumn="0"/>
            <w:tcW w:w="0" w:type="auto"/>
          </w:tcPr>
          <w:p w14:paraId="31A6626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33.18</w:t>
            </w:r>
          </w:p>
        </w:tc>
        <w:tc>
          <w:tcPr>
            <w:cnfStyle w:val="000001000000" w:firstRow="0" w:lastRow="0" w:firstColumn="0" w:lastColumn="0" w:oddVBand="0" w:evenVBand="1" w:oddHBand="0" w:evenHBand="0" w:firstRowFirstColumn="0" w:firstRowLastColumn="0" w:lastRowFirstColumn="0" w:lastRowLastColumn="0"/>
            <w:tcW w:w="0" w:type="auto"/>
          </w:tcPr>
          <w:p w14:paraId="5719B4C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−37.3%</w:t>
            </w:r>
          </w:p>
        </w:tc>
      </w:tr>
      <w:tr w:rsidR="00427A24" w:rsidRPr="001A556C" w14:paraId="0C07D648"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1BA5417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MAI controller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r>
                <w:rPr>
                  <w:rFonts w:ascii="Cambria Math" w:hAnsi="Cambria Math" w:cs="Times New Roman"/>
                  <w:sz w:val="22"/>
                  <w:szCs w:val="22"/>
                </w:rPr>
                <m:t>0.90</m:t>
              </m:r>
            </m:oMath>
            <w:r w:rsidRPr="001A556C">
              <w:rPr>
                <w:rFonts w:ascii="Times New Roman" w:hAnsi="Times New Roman" w:cs="Times New Roman"/>
                <w:b/>
                <w:bCs/>
                <w:sz w:val="22"/>
                <w:szCs w:val="22"/>
              </w:rPr>
              <w:t xml:space="preserve">,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b/>
                <w:bCs/>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2DCDFE2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17.85</w:t>
            </w:r>
          </w:p>
        </w:tc>
        <w:tc>
          <w:tcPr>
            <w:cnfStyle w:val="000010000000" w:firstRow="0" w:lastRow="0" w:firstColumn="0" w:lastColumn="0" w:oddVBand="1" w:evenVBand="0" w:oddHBand="0" w:evenHBand="0" w:firstRowFirstColumn="0" w:firstRowLastColumn="0" w:lastRowFirstColumn="0" w:lastRowLastColumn="0"/>
            <w:tcW w:w="0" w:type="auto"/>
          </w:tcPr>
          <w:p w14:paraId="529CCCC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30.07</w:t>
            </w:r>
          </w:p>
        </w:tc>
        <w:tc>
          <w:tcPr>
            <w:cnfStyle w:val="000001000000" w:firstRow="0" w:lastRow="0" w:firstColumn="0" w:lastColumn="0" w:oddVBand="0" w:evenVBand="1" w:oddHBand="0" w:evenHBand="0" w:firstRowFirstColumn="0" w:firstRowLastColumn="0" w:lastRowFirstColumn="0" w:lastRowLastColumn="0"/>
            <w:tcW w:w="0" w:type="auto"/>
          </w:tcPr>
          <w:p w14:paraId="6469C71C"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44.68</w:t>
            </w:r>
          </w:p>
        </w:tc>
        <w:tc>
          <w:tcPr>
            <w:cnfStyle w:val="000010000000" w:firstRow="0" w:lastRow="0" w:firstColumn="0" w:lastColumn="0" w:oddVBand="1" w:evenVBand="0" w:oddHBand="0" w:evenHBand="0" w:firstRowFirstColumn="0" w:firstRowLastColumn="0" w:lastRowFirstColumn="0" w:lastRowLastColumn="0"/>
            <w:tcW w:w="0" w:type="auto"/>
          </w:tcPr>
          <w:p w14:paraId="490879E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30.87</w:t>
            </w:r>
          </w:p>
        </w:tc>
        <w:tc>
          <w:tcPr>
            <w:cnfStyle w:val="000001000000" w:firstRow="0" w:lastRow="0" w:firstColumn="0" w:lastColumn="0" w:oddVBand="0" w:evenVBand="1" w:oddHBand="0" w:evenHBand="0" w:firstRowFirstColumn="0" w:firstRowLastColumn="0" w:lastRowFirstColumn="0" w:lastRowLastColumn="0"/>
            <w:tcW w:w="0" w:type="auto"/>
          </w:tcPr>
          <w:p w14:paraId="653A637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−41.6%</w:t>
            </w:r>
          </w:p>
        </w:tc>
      </w:tr>
      <w:tr w:rsidR="00427A24" w:rsidRPr="001A556C" w14:paraId="3B55CEAF"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3B44526"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CDI controller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r>
                <w:rPr>
                  <w:rFonts w:ascii="Cambria Math" w:hAnsi="Cambria Math" w:cs="Times New Roman"/>
                  <w:sz w:val="22"/>
                  <w:szCs w:val="22"/>
                </w:rPr>
                <m:t>0.90</m:t>
              </m:r>
            </m:oMath>
            <w:r w:rsidRPr="001A556C">
              <w:rPr>
                <w:rFonts w:ascii="Times New Roman" w:hAnsi="Times New Roman" w:cs="Times New Roman"/>
                <w:b/>
                <w:bCs/>
                <w:sz w:val="22"/>
                <w:szCs w:val="22"/>
              </w:rPr>
              <w:t xml:space="preserve">,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b/>
                <w:bCs/>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55CD971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15.07</w:t>
            </w:r>
          </w:p>
        </w:tc>
        <w:tc>
          <w:tcPr>
            <w:cnfStyle w:val="000010000000" w:firstRow="0" w:lastRow="0" w:firstColumn="0" w:lastColumn="0" w:oddVBand="1" w:evenVBand="0" w:oddHBand="0" w:evenHBand="0" w:firstRowFirstColumn="0" w:firstRowLastColumn="0" w:lastRowFirstColumn="0" w:lastRowLastColumn="0"/>
            <w:tcW w:w="0" w:type="auto"/>
          </w:tcPr>
          <w:p w14:paraId="4B2A812F"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30.07</w:t>
            </w:r>
          </w:p>
        </w:tc>
        <w:tc>
          <w:tcPr>
            <w:cnfStyle w:val="000001000000" w:firstRow="0" w:lastRow="0" w:firstColumn="0" w:lastColumn="0" w:oddVBand="0" w:evenVBand="1" w:oddHBand="0" w:evenHBand="0" w:firstRowFirstColumn="0" w:firstRowLastColumn="0" w:lastRowFirstColumn="0" w:lastRowLastColumn="0"/>
            <w:tcW w:w="0" w:type="auto"/>
          </w:tcPr>
          <w:p w14:paraId="38AABF84"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43.24</w:t>
            </w:r>
          </w:p>
        </w:tc>
        <w:tc>
          <w:tcPr>
            <w:cnfStyle w:val="000010000000" w:firstRow="0" w:lastRow="0" w:firstColumn="0" w:lastColumn="0" w:oddVBand="1" w:evenVBand="0" w:oddHBand="0" w:evenHBand="0" w:firstRowFirstColumn="0" w:firstRowLastColumn="0" w:lastRowFirstColumn="0" w:lastRowLastColumn="0"/>
            <w:tcW w:w="0" w:type="auto"/>
          </w:tcPr>
          <w:p w14:paraId="098203D2"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29.46</w:t>
            </w:r>
          </w:p>
        </w:tc>
        <w:tc>
          <w:tcPr>
            <w:cnfStyle w:val="000001000000" w:firstRow="0" w:lastRow="0" w:firstColumn="0" w:lastColumn="0" w:oddVBand="0" w:evenVBand="1" w:oddHBand="0" w:evenHBand="0" w:firstRowFirstColumn="0" w:firstRowLastColumn="0" w:lastRowFirstColumn="0" w:lastRowLastColumn="0"/>
            <w:tcW w:w="0" w:type="auto"/>
          </w:tcPr>
          <w:p w14:paraId="5BD9531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b/>
                <w:bCs/>
                <w:sz w:val="22"/>
                <w:szCs w:val="22"/>
              </w:rPr>
              <w:t>−44.3%</w:t>
            </w:r>
          </w:p>
        </w:tc>
      </w:tr>
      <w:tr w:rsidR="00427A24" w:rsidRPr="001A556C" w14:paraId="3342D19E"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65E6D8ED"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Oracle (clairvoyant)</w:t>
            </w:r>
          </w:p>
        </w:tc>
        <w:tc>
          <w:tcPr>
            <w:cnfStyle w:val="000001000000" w:firstRow="0" w:lastRow="0" w:firstColumn="0" w:lastColumn="0" w:oddVBand="0" w:evenVBand="1" w:oddHBand="0" w:evenHBand="0" w:firstRowFirstColumn="0" w:firstRowLastColumn="0" w:lastRowFirstColumn="0" w:lastRowLastColumn="0"/>
            <w:tcW w:w="0" w:type="auto"/>
          </w:tcPr>
          <w:p w14:paraId="641CF5A1"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11.34</w:t>
            </w:r>
          </w:p>
        </w:tc>
        <w:tc>
          <w:tcPr>
            <w:cnfStyle w:val="000010000000" w:firstRow="0" w:lastRow="0" w:firstColumn="0" w:lastColumn="0" w:oddVBand="1" w:evenVBand="0" w:oddHBand="0" w:evenHBand="0" w:firstRowFirstColumn="0" w:firstRowLastColumn="0" w:lastRowFirstColumn="0" w:lastRowLastColumn="0"/>
            <w:tcW w:w="0" w:type="auto"/>
          </w:tcPr>
          <w:p w14:paraId="46081328"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22.28</w:t>
            </w:r>
          </w:p>
        </w:tc>
        <w:tc>
          <w:tcPr>
            <w:cnfStyle w:val="000001000000" w:firstRow="0" w:lastRow="0" w:firstColumn="0" w:lastColumn="0" w:oddVBand="0" w:evenVBand="1" w:oddHBand="0" w:evenHBand="0" w:firstRowFirstColumn="0" w:firstRowLastColumn="0" w:lastRowFirstColumn="0" w:lastRowLastColumn="0"/>
            <w:tcW w:w="0" w:type="auto"/>
          </w:tcPr>
          <w:p w14:paraId="3ED3AE10"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36.17</w:t>
            </w:r>
          </w:p>
        </w:tc>
        <w:tc>
          <w:tcPr>
            <w:cnfStyle w:val="000010000000" w:firstRow="0" w:lastRow="0" w:firstColumn="0" w:lastColumn="0" w:oddVBand="1" w:evenVBand="0" w:oddHBand="0" w:evenHBand="0" w:firstRowFirstColumn="0" w:firstRowLastColumn="0" w:lastRowFirstColumn="0" w:lastRowLastColumn="0"/>
            <w:tcW w:w="0" w:type="auto"/>
          </w:tcPr>
          <w:p w14:paraId="59C96F0E"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23.26</w:t>
            </w:r>
          </w:p>
        </w:tc>
        <w:tc>
          <w:tcPr>
            <w:cnfStyle w:val="000001000000" w:firstRow="0" w:lastRow="0" w:firstColumn="0" w:lastColumn="0" w:oddVBand="0" w:evenVBand="1" w:oddHBand="0" w:evenHBand="0" w:firstRowFirstColumn="0" w:firstRowLastColumn="0" w:lastRowFirstColumn="0" w:lastRowLastColumn="0"/>
            <w:tcW w:w="0" w:type="auto"/>
          </w:tcPr>
          <w:p w14:paraId="1FB664B9" w14:textId="77777777" w:rsidR="00427A24" w:rsidRPr="001A556C" w:rsidRDefault="00F57E70">
            <w:pPr>
              <w:pStyle w:val="Compact"/>
              <w:rPr>
                <w:rFonts w:ascii="Times New Roman" w:hAnsi="Times New Roman" w:cs="Times New Roman"/>
                <w:sz w:val="22"/>
                <w:szCs w:val="22"/>
              </w:rPr>
            </w:pPr>
            <w:r w:rsidRPr="001A556C">
              <w:rPr>
                <w:rFonts w:ascii="Times New Roman" w:hAnsi="Times New Roman" w:cs="Times New Roman"/>
                <w:sz w:val="22"/>
                <w:szCs w:val="22"/>
              </w:rPr>
              <w:t>−56.0%</w:t>
            </w:r>
          </w:p>
        </w:tc>
      </w:tr>
    </w:tbl>
    <w:p w14:paraId="25706E05"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tuned CDI controller is the best implementable policy, reducing cost by 44.3% relative to no retraining and by 17.3% relative to the best periodic schedule, and closing 79.4% of the gap between no retraining and the clairvoyant oracle. The improvement of the tuned controller over the same index at an arbitrary threshold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 is 16.3%, which underlines that the control limit is a decision variable to be optimised, not a convention.</w:t>
      </w:r>
    </w:p>
    <w:p w14:paraId="65398490"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Figure </w:t>
      </w:r>
      <w:r w:rsidR="00B7380B">
        <w:rPr>
          <w:rFonts w:ascii="Times New Roman" w:hAnsi="Times New Roman" w:cs="Times New Roman"/>
          <w:sz w:val="22"/>
          <w:szCs w:val="22"/>
        </w:rPr>
        <w:t>7</w:t>
      </w:r>
      <w:r w:rsidRPr="001A556C">
        <w:rPr>
          <w:rFonts w:ascii="Times New Roman" w:hAnsi="Times New Roman" w:cs="Times New Roman"/>
          <w:sz w:val="22"/>
          <w:szCs w:val="22"/>
        </w:rPr>
        <w:t xml:space="preserve"> shows the cost response surface over the control limit </w:t>
      </w:r>
      <m:oMath>
        <m:r>
          <w:rPr>
            <w:rFonts w:ascii="Cambria Math" w:hAnsi="Cambria Math" w:cs="Times New Roman"/>
            <w:sz w:val="22"/>
            <w:szCs w:val="22"/>
          </w:rPr>
          <m:t>τ</m:t>
        </m:r>
      </m:oMath>
      <w:r w:rsidRPr="001A556C">
        <w:rPr>
          <w:rFonts w:ascii="Times New Roman" w:hAnsi="Times New Roman" w:cs="Times New Roman"/>
          <w:sz w:val="22"/>
          <w:szCs w:val="22"/>
        </w:rPr>
        <w:t xml:space="preserve"> and the retraining cost </w:t>
      </w:r>
      <m:oMath>
        <m:r>
          <w:rPr>
            <w:rFonts w:ascii="Cambria Math" w:hAnsi="Cambria Math" w:cs="Times New Roman"/>
            <w:sz w:val="22"/>
            <w:szCs w:val="22"/>
          </w:rPr>
          <m:t>K</m:t>
        </m:r>
      </m:oMath>
      <w:r w:rsidRPr="001A556C">
        <w:rPr>
          <w:rFonts w:ascii="Times New Roman" w:hAnsi="Times New Roman" w:cs="Times New Roman"/>
          <w:sz w:val="22"/>
          <w:szCs w:val="22"/>
        </w:rPr>
        <w:t xml:space="preserve">. The surface is well-behaved and admits an interior minimum at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r>
          <w:rPr>
            <w:rFonts w:ascii="Cambria Math" w:hAnsi="Cambria Math" w:cs="Times New Roman"/>
            <w:sz w:val="22"/>
            <w:szCs w:val="22"/>
          </w:rPr>
          <m:t>0.90</m:t>
        </m:r>
      </m:oMath>
      <w:r w:rsidRPr="001A556C">
        <w:rPr>
          <w:rFonts w:ascii="Times New Roman" w:hAnsi="Times New Roman" w:cs="Times New Roman"/>
          <w:sz w:val="22"/>
          <w:szCs w:val="22"/>
        </w:rPr>
        <w:t xml:space="preserve"> across the tested range of </w:t>
      </w:r>
      <m:oMath>
        <m:r>
          <w:rPr>
            <w:rFonts w:ascii="Cambria Math" w:hAnsi="Cambria Math" w:cs="Times New Roman"/>
            <w:sz w:val="22"/>
            <w:szCs w:val="22"/>
          </w:rPr>
          <m:t>K</m:t>
        </m:r>
      </m:oMath>
      <w:r w:rsidRPr="001A556C">
        <w:rPr>
          <w:rFonts w:ascii="Times New Roman" w:hAnsi="Times New Roman" w:cs="Times New Roman"/>
          <w:sz w:val="22"/>
          <w:szCs w:val="22"/>
        </w:rPr>
        <w:t xml:space="preserve">, with cost rising steeply for </w:t>
      </w:r>
      <m:oMath>
        <m:r>
          <w:rPr>
            <w:rFonts w:ascii="Cambria Math" w:hAnsi="Cambria Math" w:cs="Times New Roman"/>
            <w:sz w:val="22"/>
            <w:szCs w:val="22"/>
          </w:rPr>
          <m:t>τ</m:t>
        </m:r>
        <m:r>
          <m:rPr>
            <m:sty m:val="p"/>
          </m:rPr>
          <w:rPr>
            <w:rFonts w:ascii="Cambria Math" w:hAnsi="Cambria Math" w:cs="Times New Roman"/>
            <w:sz w:val="22"/>
            <w:szCs w:val="22"/>
          </w:rPr>
          <m:t>&gt;</m:t>
        </m:r>
        <m:r>
          <w:rPr>
            <w:rFonts w:ascii="Cambria Math" w:hAnsi="Cambria Math" w:cs="Times New Roman"/>
            <w:sz w:val="22"/>
            <w:szCs w:val="22"/>
          </w:rPr>
          <m:t>0.9</m:t>
        </m:r>
      </m:oMath>
      <w:r w:rsidRPr="001A556C">
        <w:rPr>
          <w:rFonts w:ascii="Times New Roman" w:hAnsi="Times New Roman" w:cs="Times New Roman"/>
          <w:sz w:val="22"/>
          <w:szCs w:val="22"/>
        </w:rPr>
        <w:t xml:space="preserve"> (where the controller stops retraining altogether) and gradually for small </w:t>
      </w:r>
      <m:oMath>
        <m:r>
          <w:rPr>
            <w:rFonts w:ascii="Cambria Math" w:hAnsi="Cambria Math" w:cs="Times New Roman"/>
            <w:sz w:val="22"/>
            <w:szCs w:val="22"/>
          </w:rPr>
          <m:t>τ</m:t>
        </m:r>
      </m:oMath>
      <w:r w:rsidRPr="001A556C">
        <w:rPr>
          <w:rFonts w:ascii="Times New Roman" w:hAnsi="Times New Roman" w:cs="Times New Roman"/>
          <w:sz w:val="22"/>
          <w:szCs w:val="22"/>
        </w:rPr>
        <w:t xml:space="preserve"> (where it over-retrains). We note that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proved insensitive to </w:t>
      </w:r>
      <m:oMath>
        <m:r>
          <w:rPr>
            <w:rFonts w:ascii="Cambria Math" w:hAnsi="Cambria Math" w:cs="Times New Roman"/>
            <w:sz w:val="22"/>
            <w:szCs w:val="22"/>
          </w:rPr>
          <m:t>K</m:t>
        </m:r>
      </m:oMath>
      <w:r w:rsidRPr="001A556C">
        <w:rPr>
          <w:rFonts w:ascii="Times New Roman" w:hAnsi="Times New Roman" w:cs="Times New Roman"/>
          <w:sz w:val="22"/>
          <w:szCs w:val="22"/>
        </w:rPr>
        <w:t xml:space="preserve"> over </w:t>
      </w:r>
      <m:oMath>
        <m:r>
          <w:rPr>
            <w:rFonts w:ascii="Cambria Math" w:hAnsi="Cambria Math" w:cs="Times New Roman"/>
            <w:sz w:val="22"/>
            <w:szCs w:val="22"/>
          </w:rPr>
          <m:t>K</m:t>
        </m:r>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0.5</m:t>
            </m:r>
            <m:r>
              <m:rPr>
                <m:sty m:val="p"/>
              </m:rPr>
              <w:rPr>
                <w:rFonts w:ascii="Cambria Math" w:hAnsi="Cambria Math" w:cs="Times New Roman"/>
                <w:sz w:val="22"/>
                <w:szCs w:val="22"/>
              </w:rPr>
              <m:t>,</m:t>
            </m:r>
            <m:r>
              <w:rPr>
                <w:rFonts w:ascii="Cambria Math" w:hAnsi="Cambria Math" w:cs="Times New Roman"/>
                <w:sz w:val="22"/>
                <w:szCs w:val="22"/>
              </w:rPr>
              <m:t>8</m:t>
            </m:r>
          </m:e>
        </m:d>
      </m:oMath>
      <w:r w:rsidRPr="001A556C">
        <w:rPr>
          <w:rFonts w:ascii="Times New Roman" w:hAnsi="Times New Roman" w:cs="Times New Roman"/>
          <w:sz w:val="22"/>
          <w:szCs w:val="22"/>
        </w:rPr>
        <w:t xml:space="preserve"> </w:t>
      </w:r>
      <w:r w:rsidRPr="001A556C">
        <w:rPr>
          <w:rFonts w:ascii="Times New Roman" w:hAnsi="Times New Roman" w:cs="Times New Roman"/>
          <w:sz w:val="22"/>
          <w:szCs w:val="22"/>
          <w:highlight w:val="yellow"/>
        </w:rPr>
        <w:t>in these experiments; the comparative static</w:t>
      </w:r>
      <w:r w:rsidRPr="001A556C">
        <w:rPr>
          <w:rFonts w:ascii="Times New Roman" w:hAnsi="Times New Roman" w:cs="Times New Roman"/>
          <w:sz w:val="22"/>
          <w:szCs w:val="22"/>
        </w:rPr>
        <w:t xml:space="preserve"> predicted by the inventory analogy is present in the </w:t>
      </w:r>
      <w:r w:rsidRPr="001A556C">
        <w:rPr>
          <w:rFonts w:ascii="Times New Roman" w:hAnsi="Times New Roman" w:cs="Times New Roman"/>
          <w:i/>
          <w:iCs/>
          <w:sz w:val="22"/>
          <w:szCs w:val="22"/>
        </w:rPr>
        <w:t>level</w:t>
      </w:r>
      <w:r w:rsidRPr="001A556C">
        <w:rPr>
          <w:rFonts w:ascii="Times New Roman" w:hAnsi="Times New Roman" w:cs="Times New Roman"/>
          <w:sz w:val="22"/>
          <w:szCs w:val="22"/>
        </w:rPr>
        <w:t xml:space="preserve"> of the cost curves but not detectably in the location of the minimum, which is a limitation of the </w:t>
      </w:r>
      <w:r w:rsidR="00364457" w:rsidRPr="001A556C">
        <w:rPr>
          <w:rFonts w:ascii="Times New Roman" w:hAnsi="Times New Roman" w:cs="Times New Roman"/>
          <w:sz w:val="22"/>
          <w:szCs w:val="22"/>
          <w:highlight w:val="yellow"/>
        </w:rPr>
        <w:t>coarse</w:t>
      </w:r>
      <w:r w:rsidRPr="001A556C">
        <w:rPr>
          <w:rFonts w:ascii="Times New Roman" w:hAnsi="Times New Roman" w:cs="Times New Roman"/>
          <w:sz w:val="22"/>
          <w:szCs w:val="22"/>
        </w:rPr>
        <w:t xml:space="preserve"> nine-epoch review grid rather than evidence against the structural result.</w:t>
      </w:r>
    </w:p>
    <w:p w14:paraId="6A9F84D7"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5" wp14:editId="5FB59159">
            <wp:extent cx="5543550" cy="2482850"/>
            <wp:effectExtent l="0" t="0" r="0" b="0"/>
            <wp:docPr id="78" name="Picture" descr="Figure 5. (a) Expected total cost as a function of the control limit \tau and retraining cost K for the CDI controller. (b) Cost profiles in \tau for each K; markers indicate minima."/>
            <wp:cNvGraphicFramePr/>
            <a:graphic xmlns:a="http://schemas.openxmlformats.org/drawingml/2006/main">
              <a:graphicData uri="http://schemas.openxmlformats.org/drawingml/2006/picture">
                <pic:pic xmlns:pic="http://schemas.openxmlformats.org/drawingml/2006/picture">
                  <pic:nvPicPr>
                    <pic:cNvPr id="79" name="Picture" descr="figs/fig5_cost_surface.png"/>
                    <pic:cNvPicPr>
                      <a:picLocks noChangeAspect="1" noChangeArrowheads="1"/>
                    </pic:cNvPicPr>
                  </pic:nvPicPr>
                  <pic:blipFill>
                    <a:blip r:embed="rId13"/>
                    <a:stretch>
                      <a:fillRect/>
                    </a:stretch>
                  </pic:blipFill>
                  <pic:spPr bwMode="auto">
                    <a:xfrm>
                      <a:off x="0" y="0"/>
                      <a:ext cx="5545088" cy="2483539"/>
                    </a:xfrm>
                    <a:prstGeom prst="rect">
                      <a:avLst/>
                    </a:prstGeom>
                    <a:noFill/>
                    <a:ln w="9525">
                      <a:noFill/>
                      <a:headEnd/>
                      <a:tailEnd/>
                    </a:ln>
                  </pic:spPr>
                </pic:pic>
              </a:graphicData>
            </a:graphic>
          </wp:inline>
        </w:drawing>
      </w:r>
    </w:p>
    <w:p w14:paraId="04B827F7" w14:textId="77777777" w:rsidR="00427A24" w:rsidRPr="001A556C" w:rsidRDefault="00F57E70">
      <w:pPr>
        <w:pStyle w:val="ImageCaption"/>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7</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(a) Expected total cost as a function of the control limit </w:t>
      </w:r>
      <m:oMath>
        <m:r>
          <w:rPr>
            <w:rFonts w:ascii="Cambria Math" w:hAnsi="Cambria Math" w:cs="Times New Roman"/>
            <w:sz w:val="22"/>
            <w:szCs w:val="22"/>
          </w:rPr>
          <m:t>τ</m:t>
        </m:r>
      </m:oMath>
      <w:r w:rsidRPr="001A556C">
        <w:rPr>
          <w:rFonts w:ascii="Times New Roman" w:hAnsi="Times New Roman" w:cs="Times New Roman"/>
          <w:sz w:val="22"/>
          <w:szCs w:val="22"/>
        </w:rPr>
        <w:t xml:space="preserve"> and retraining cost </w:t>
      </w:r>
      <m:oMath>
        <m:r>
          <w:rPr>
            <w:rFonts w:ascii="Cambria Math" w:hAnsi="Cambria Math" w:cs="Times New Roman"/>
            <w:sz w:val="22"/>
            <w:szCs w:val="22"/>
          </w:rPr>
          <m:t>K</m:t>
        </m:r>
      </m:oMath>
      <w:r w:rsidRPr="001A556C">
        <w:rPr>
          <w:rFonts w:ascii="Times New Roman" w:hAnsi="Times New Roman" w:cs="Times New Roman"/>
          <w:sz w:val="22"/>
          <w:szCs w:val="22"/>
        </w:rPr>
        <w:t xml:space="preserve"> for the CDI controller. (b) Cost profiles in </w:t>
      </w:r>
      <m:oMath>
        <m:r>
          <w:rPr>
            <w:rFonts w:ascii="Cambria Math" w:hAnsi="Cambria Math" w:cs="Times New Roman"/>
            <w:sz w:val="22"/>
            <w:szCs w:val="22"/>
          </w:rPr>
          <m:t>τ</m:t>
        </m:r>
      </m:oMath>
      <w:r w:rsidRPr="001A556C">
        <w:rPr>
          <w:rFonts w:ascii="Times New Roman" w:hAnsi="Times New Roman" w:cs="Times New Roman"/>
          <w:sz w:val="22"/>
          <w:szCs w:val="22"/>
        </w:rPr>
        <w:t xml:space="preserve"> for each </w:t>
      </w:r>
      <m:oMath>
        <m:r>
          <w:rPr>
            <w:rFonts w:ascii="Cambria Math" w:hAnsi="Cambria Math" w:cs="Times New Roman"/>
            <w:sz w:val="22"/>
            <w:szCs w:val="22"/>
          </w:rPr>
          <m:t>K</m:t>
        </m:r>
      </m:oMath>
      <w:r w:rsidRPr="001A556C">
        <w:rPr>
          <w:rFonts w:ascii="Times New Roman" w:hAnsi="Times New Roman" w:cs="Times New Roman"/>
          <w:sz w:val="22"/>
          <w:szCs w:val="22"/>
        </w:rPr>
        <w:t>; markers indicate minima.</w:t>
      </w:r>
    </w:p>
    <w:p w14:paraId="27E1EBE0" w14:textId="77777777" w:rsidR="00427A24" w:rsidRPr="001A556C" w:rsidRDefault="00F57E70">
      <w:pPr>
        <w:pStyle w:val="BodyText"/>
        <w:rPr>
          <w:rFonts w:ascii="Times New Roman" w:hAnsi="Times New Roman" w:cs="Times New Roman"/>
          <w:sz w:val="22"/>
          <w:szCs w:val="22"/>
        </w:rPr>
      </w:pPr>
      <w:r w:rsidRPr="001A556C">
        <w:rPr>
          <w:rFonts w:ascii="Times New Roman" w:hAnsi="Times New Roman" w:cs="Times New Roman"/>
          <w:sz w:val="22"/>
          <w:szCs w:val="22"/>
        </w:rPr>
        <w:t>Three findings within Table 4 matter more than the headline number.</w:t>
      </w:r>
    </w:p>
    <w:p w14:paraId="2122AC3F"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Retraining at every opportunity is nearly worthless</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highlight w:val="yellow"/>
        </w:rPr>
        <w:t xml:space="preserve"> refitting</w:t>
      </w:r>
      <w:r w:rsidRPr="001A556C">
        <w:rPr>
          <w:rFonts w:ascii="Times New Roman" w:hAnsi="Times New Roman" w:cs="Times New Roman"/>
          <w:sz w:val="22"/>
          <w:szCs w:val="22"/>
        </w:rPr>
        <w:t xml:space="preserve"> at all nine epochs reduces cost by only 7.6% and is worse than a 30-batch periodic schedule, because setup costs accumulate while marginal benefit does not. The naive intuition that more frequent retraining is safer is wrong under any non-zero </w:t>
      </w:r>
      <m:oMath>
        <m:r>
          <w:rPr>
            <w:rFonts w:ascii="Cambria Math" w:hAnsi="Cambria Math" w:cs="Times New Roman"/>
            <w:sz w:val="22"/>
            <w:szCs w:val="22"/>
          </w:rPr>
          <m:t>K</m:t>
        </m:r>
      </m:oMath>
      <w:r w:rsidRPr="001A556C">
        <w:rPr>
          <w:rFonts w:ascii="Times New Roman" w:hAnsi="Times New Roman" w:cs="Times New Roman"/>
          <w:sz w:val="22"/>
          <w:szCs w:val="22"/>
        </w:rPr>
        <w:t>.</w:t>
      </w:r>
    </w:p>
    <w:p w14:paraId="4A36A562"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Retraining is actively harmful under adversarial drift</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For the Autoencoder in 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xml:space="preserve">, no retraining costs 91.5 while retraining at every epoch </w:t>
      </w:r>
      <w:r w:rsidRPr="001A556C">
        <w:rPr>
          <w:rFonts w:ascii="Times New Roman" w:hAnsi="Times New Roman" w:cs="Times New Roman"/>
          <w:sz w:val="22"/>
          <w:szCs w:val="22"/>
          <w:highlight w:val="yellow"/>
        </w:rPr>
        <w:t>costs 115.5,</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a 26% </w:t>
      </w:r>
      <w:r w:rsidRPr="001A556C">
        <w:rPr>
          <w:rFonts w:ascii="Times New Roman" w:hAnsi="Times New Roman" w:cs="Times New Roman"/>
          <w:i/>
          <w:iCs/>
          <w:sz w:val="22"/>
          <w:szCs w:val="22"/>
        </w:rPr>
        <w:t>increase</w:t>
      </w:r>
      <w:r w:rsidRPr="001A556C">
        <w:rPr>
          <w:rFonts w:ascii="Times New Roman" w:hAnsi="Times New Roman" w:cs="Times New Roman"/>
          <w:sz w:val="22"/>
          <w:szCs w:val="22"/>
        </w:rPr>
        <w:t xml:space="preserve">. The mechanism is straightforward and should worry practitioners: the retraining window contains mimicry-perturbed attack flows that lie close to the benign centroid, so refitting on recent data teaches the reconstruction model to treat evasive traffic as normal. Under an adaptive adversary, retraining on unfiltered recent traffic is a poisoning channel. Every trigger policy in Table 4 inherits this exposure to some degree, and the oracle’s advantage in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xml:space="preserve"> (50.6 against 91.5 for no retraining) comes from retraining </w:t>
      </w:r>
      <w:r w:rsidRPr="001A556C">
        <w:rPr>
          <w:rFonts w:ascii="Times New Roman" w:hAnsi="Times New Roman" w:cs="Times New Roman"/>
          <w:i/>
          <w:iCs/>
          <w:sz w:val="22"/>
          <w:szCs w:val="22"/>
        </w:rPr>
        <w:t>once, early</w:t>
      </w:r>
      <w:r w:rsidRPr="001A556C">
        <w:rPr>
          <w:rFonts w:ascii="Times New Roman" w:hAnsi="Times New Roman" w:cs="Times New Roman"/>
          <w:sz w:val="22"/>
          <w:szCs w:val="22"/>
        </w:rPr>
        <w:t>, before the mimicry intensity has ramped.</w:t>
      </w:r>
    </w:p>
    <w:p w14:paraId="2D7378CB"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lastRenderedPageBreak/>
        <w:t>Threshold policies fail under recurring drift, exactly as Theorem 1 predicts.</w:t>
      </w:r>
      <w:r w:rsidRPr="001A556C">
        <w:rPr>
          <w:rFonts w:ascii="Times New Roman" w:hAnsi="Times New Roman" w:cs="Times New Roman"/>
          <w:sz w:val="22"/>
          <w:szCs w:val="22"/>
        </w:rPr>
        <w:t xml:space="preserve"> In 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sz w:val="22"/>
          <w:szCs w:val="22"/>
        </w:rPr>
        <w:t xml:space="preserve"> the PSI-, KS-, MAI- and CDI-triggered policies at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 xml:space="preserve"> all incur a cost of 47.3 for XGBoost against 19.8 for the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trigger and 18.9 for the oracle, because they retrain repeatedly as the environment oscillates, each refit fitting a regime that is about to be replaced by its predecessor. This is the violation of assumption (A2) identified in Section 6.2: when a high aging level can precede a </w:t>
      </w:r>
      <w:r w:rsidRPr="001A556C">
        <w:rPr>
          <w:rFonts w:ascii="Times New Roman" w:hAnsi="Times New Roman" w:cs="Times New Roman"/>
          <w:i/>
          <w:iCs/>
          <w:sz w:val="22"/>
          <w:szCs w:val="22"/>
        </w:rPr>
        <w:t>return</w:t>
      </w:r>
      <w:r w:rsidRPr="001A556C">
        <w:rPr>
          <w:rFonts w:ascii="Times New Roman" w:hAnsi="Times New Roman" w:cs="Times New Roman"/>
          <w:sz w:val="22"/>
          <w:szCs w:val="22"/>
        </w:rPr>
        <w:t xml:space="preserve"> to the training distribution, the stage cost is no longer monotone in the state and the control-limit structure loses its optimality guarantee. The dwell-time augmentation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recovers most of the loss (CDI cost in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sz w:val="22"/>
          <w:szCs w:val="22"/>
        </w:rPr>
        <w:t xml:space="preserve"> falls from 47.3 to 19.8), which is why the tuned controller in Table 4 includes it. Detecting and exploiting recurrence explicitly through concept pooling or a recurring-concept memory </w:t>
      </w:r>
      <w:r w:rsidRPr="001A556C">
        <w:rPr>
          <w:rFonts w:ascii="Times New Roman" w:hAnsi="Times New Roman" w:cs="Times New Roman"/>
          <w:sz w:val="22"/>
          <w:szCs w:val="22"/>
          <w:highlight w:val="yellow"/>
        </w:rPr>
        <w:t>(Suárez-Cetrulo et al., 2023)</w:t>
      </w:r>
      <w:r w:rsidRPr="001A556C">
        <w:rPr>
          <w:rFonts w:ascii="Times New Roman" w:hAnsi="Times New Roman" w:cs="Times New Roman"/>
          <w:sz w:val="22"/>
          <w:szCs w:val="22"/>
        </w:rPr>
        <w:t xml:space="preserve"> is the natural remedy and is outside our present scope.</w:t>
      </w:r>
    </w:p>
    <w:p w14:paraId="41EDD591"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Figure 8 illustrates the recovery dynamics: the CDI controller retrains at a small number of well-chosen epochs and restores performance </w:t>
      </w:r>
      <w:r w:rsidRPr="001A556C">
        <w:rPr>
          <w:rFonts w:ascii="Times New Roman" w:hAnsi="Times New Roman" w:cs="Times New Roman"/>
          <w:sz w:val="22"/>
          <w:szCs w:val="22"/>
          <w:highlight w:val="yellow"/>
        </w:rPr>
        <w:t>close to the reference level</w:t>
      </w:r>
      <w:r w:rsidRPr="001A556C">
        <w:rPr>
          <w:rFonts w:ascii="Times New Roman" w:hAnsi="Times New Roman" w:cs="Times New Roman"/>
          <w:sz w:val="22"/>
          <w:szCs w:val="22"/>
        </w:rPr>
        <w:t>, whereas the periodic schedule spends setup cost on refits that arrive before drift or after the damage is done.</w:t>
      </w:r>
    </w:p>
    <w:p w14:paraId="5C270300"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7" wp14:editId="46DBE1E8">
            <wp:extent cx="5949950" cy="2057400"/>
            <wp:effectExtent l="0" t="0" r="0" b="0"/>
            <wp:docPr id="81" name="Picture" descr="Figure 8. Performance recovery under three policies (XGBoost). Dotted vertical lines mark retraining events; the dashed line marks drift onset. The CDI controller acts sparingly and near the onset."/>
            <wp:cNvGraphicFramePr/>
            <a:graphic xmlns:a="http://schemas.openxmlformats.org/drawingml/2006/main">
              <a:graphicData uri="http://schemas.openxmlformats.org/drawingml/2006/picture">
                <pic:pic xmlns:pic="http://schemas.openxmlformats.org/drawingml/2006/picture">
                  <pic:nvPicPr>
                    <pic:cNvPr id="82" name="Picture" descr="figs/fig8_recovery.png"/>
                    <pic:cNvPicPr>
                      <a:picLocks noChangeAspect="1" noChangeArrowheads="1"/>
                    </pic:cNvPicPr>
                  </pic:nvPicPr>
                  <pic:blipFill>
                    <a:blip r:embed="rId14"/>
                    <a:stretch>
                      <a:fillRect/>
                    </a:stretch>
                  </pic:blipFill>
                  <pic:spPr bwMode="auto">
                    <a:xfrm>
                      <a:off x="0" y="0"/>
                      <a:ext cx="5951636" cy="2057983"/>
                    </a:xfrm>
                    <a:prstGeom prst="rect">
                      <a:avLst/>
                    </a:prstGeom>
                    <a:noFill/>
                    <a:ln w="9525">
                      <a:noFill/>
                      <a:headEnd/>
                      <a:tailEnd/>
                    </a:ln>
                  </pic:spPr>
                </pic:pic>
              </a:graphicData>
            </a:graphic>
          </wp:inline>
        </w:drawing>
      </w:r>
    </w:p>
    <w:p w14:paraId="5FAB0358" w14:textId="77777777" w:rsidR="00427A24" w:rsidRPr="001A556C" w:rsidRDefault="00F57E7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8.</w:t>
      </w:r>
      <w:r w:rsidRPr="001A556C">
        <w:rPr>
          <w:rFonts w:ascii="Times New Roman" w:hAnsi="Times New Roman" w:cs="Times New Roman"/>
          <w:sz w:val="22"/>
          <w:szCs w:val="22"/>
        </w:rPr>
        <w:t xml:space="preserve"> Performance recovery under three policies (XGBoost</w:t>
      </w:r>
      <w:r w:rsidR="00364457" w:rsidRPr="001A556C">
        <w:rPr>
          <w:rFonts w:ascii="Times New Roman" w:hAnsi="Times New Roman" w:cs="Times New Roman"/>
          <w:sz w:val="22"/>
          <w:szCs w:val="22"/>
        </w:rPr>
        <w:t xml:space="preserve">). </w:t>
      </w:r>
    </w:p>
    <w:p w14:paraId="3EAC39D6"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lastRenderedPageBreak/>
        <w:drawing>
          <wp:inline distT="0" distB="0" distL="0" distR="0" wp14:anchorId="05DCA2A9" wp14:editId="3877744C">
            <wp:extent cx="5238750" cy="2597150"/>
            <wp:effectExtent l="0" t="0" r="0" b="0"/>
            <wp:docPr id="84" name="Picture" descr="Figure 6. (a) Terminal F1 loss as a joint function of architecture and drift regime; (b) the same values as a matrix. The interaction between architecture and drift mechanism is strong: no architecture dominates across regimes."/>
            <wp:cNvGraphicFramePr/>
            <a:graphic xmlns:a="http://schemas.openxmlformats.org/drawingml/2006/main">
              <a:graphicData uri="http://schemas.openxmlformats.org/drawingml/2006/picture">
                <pic:pic xmlns:pic="http://schemas.openxmlformats.org/drawingml/2006/picture">
                  <pic:nvPicPr>
                    <pic:cNvPr id="85" name="Picture" descr="figs/fig6_architecture.png"/>
                    <pic:cNvPicPr>
                      <a:picLocks noChangeAspect="1" noChangeArrowheads="1"/>
                    </pic:cNvPicPr>
                  </pic:nvPicPr>
                  <pic:blipFill>
                    <a:blip r:embed="rId15"/>
                    <a:stretch>
                      <a:fillRect/>
                    </a:stretch>
                  </pic:blipFill>
                  <pic:spPr bwMode="auto">
                    <a:xfrm>
                      <a:off x="0" y="0"/>
                      <a:ext cx="5239410" cy="2597477"/>
                    </a:xfrm>
                    <a:prstGeom prst="rect">
                      <a:avLst/>
                    </a:prstGeom>
                    <a:noFill/>
                    <a:ln w="9525">
                      <a:noFill/>
                      <a:headEnd/>
                      <a:tailEnd/>
                    </a:ln>
                  </pic:spPr>
                </pic:pic>
              </a:graphicData>
            </a:graphic>
          </wp:inline>
        </w:drawing>
      </w:r>
    </w:p>
    <w:p w14:paraId="70338BAC" w14:textId="77777777" w:rsidR="00427A24" w:rsidRPr="001A556C" w:rsidRDefault="00F57E7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9</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(a) Terminal F1 loss as a joint function of architecture and drift regime; (b) the same values as a matrix. The interaction between architecture and drift mechanism is strong: no architecture dominates across regimes.</w:t>
      </w:r>
    </w:p>
    <w:p w14:paraId="048249E3" w14:textId="77777777" w:rsidR="00427A24" w:rsidRPr="001A556C" w:rsidRDefault="00F57E7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B" wp14:editId="05DCA2AC">
            <wp:extent cx="5334000" cy="2336099"/>
            <wp:effectExtent l="0" t="0" r="0" b="0"/>
            <wp:docPr id="87" name="Picture" descr="Figure 10. Expected total cost by policy and architecture, averaged over the five drift regimes. The dashed line marks the tuned CDI controller."/>
            <wp:cNvGraphicFramePr/>
            <a:graphic xmlns:a="http://schemas.openxmlformats.org/drawingml/2006/main">
              <a:graphicData uri="http://schemas.openxmlformats.org/drawingml/2006/picture">
                <pic:pic xmlns:pic="http://schemas.openxmlformats.org/drawingml/2006/picture">
                  <pic:nvPicPr>
                    <pic:cNvPr id="88" name="Picture" descr="figs/fig10_policies.png"/>
                    <pic:cNvPicPr>
                      <a:picLocks noChangeAspect="1" noChangeArrowheads="1"/>
                    </pic:cNvPicPr>
                  </pic:nvPicPr>
                  <pic:blipFill>
                    <a:blip r:embed="rId16"/>
                    <a:stretch>
                      <a:fillRect/>
                    </a:stretch>
                  </pic:blipFill>
                  <pic:spPr bwMode="auto">
                    <a:xfrm>
                      <a:off x="0" y="0"/>
                      <a:ext cx="5334000" cy="2336099"/>
                    </a:xfrm>
                    <a:prstGeom prst="rect">
                      <a:avLst/>
                    </a:prstGeom>
                    <a:noFill/>
                    <a:ln w="9525">
                      <a:noFill/>
                      <a:headEnd/>
                      <a:tailEnd/>
                    </a:ln>
                  </pic:spPr>
                </pic:pic>
              </a:graphicData>
            </a:graphic>
          </wp:inline>
        </w:drawing>
      </w:r>
    </w:p>
    <w:p w14:paraId="15593B72" w14:textId="77777777" w:rsidR="00427A24" w:rsidRPr="001A556C" w:rsidRDefault="00F57E7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10.</w:t>
      </w:r>
      <w:r w:rsidRPr="001A556C">
        <w:rPr>
          <w:rFonts w:ascii="Times New Roman" w:hAnsi="Times New Roman" w:cs="Times New Roman"/>
          <w:sz w:val="22"/>
          <w:szCs w:val="22"/>
        </w:rPr>
        <w:t xml:space="preserve"> Expected total cost by policy and architecture, averaged over the five drift regimes. The dashed line marks the tuned CDI controller.</w:t>
      </w:r>
    </w:p>
    <w:p w14:paraId="1B4A3DD0" w14:textId="77777777" w:rsidR="00427A24" w:rsidRPr="001A556C" w:rsidRDefault="00427A24">
      <w:pPr>
        <w:rPr>
          <w:rFonts w:ascii="Times New Roman" w:hAnsi="Times New Roman" w:cs="Times New Roman"/>
          <w:sz w:val="22"/>
          <w:szCs w:val="22"/>
        </w:rPr>
      </w:pPr>
    </w:p>
    <w:p w14:paraId="0A320D49" w14:textId="77777777" w:rsidR="00427A24" w:rsidRPr="001A556C" w:rsidRDefault="00F57E70">
      <w:pPr>
        <w:pStyle w:val="Heading2"/>
        <w:rPr>
          <w:rFonts w:ascii="Times New Roman" w:hAnsi="Times New Roman" w:cs="Times New Roman"/>
          <w:color w:val="auto"/>
          <w:sz w:val="22"/>
          <w:szCs w:val="22"/>
        </w:rPr>
      </w:pPr>
      <w:bookmarkStart w:id="42" w:name="discussion"/>
      <w:bookmarkEnd w:id="36"/>
      <w:bookmarkEnd w:id="41"/>
      <w:r w:rsidRPr="001A556C">
        <w:rPr>
          <w:rFonts w:ascii="Times New Roman" w:hAnsi="Times New Roman" w:cs="Times New Roman"/>
          <w:color w:val="auto"/>
          <w:sz w:val="22"/>
          <w:szCs w:val="22"/>
        </w:rPr>
        <w:t>9. Discussion</w:t>
      </w:r>
    </w:p>
    <w:p w14:paraId="3D347041" w14:textId="77777777" w:rsidR="00427A24" w:rsidRPr="001A556C" w:rsidRDefault="00F57E70">
      <w:pPr>
        <w:pStyle w:val="Heading3"/>
        <w:rPr>
          <w:rFonts w:ascii="Times New Roman" w:hAnsi="Times New Roman" w:cs="Times New Roman"/>
          <w:color w:val="auto"/>
          <w:sz w:val="22"/>
          <w:szCs w:val="22"/>
        </w:rPr>
      </w:pPr>
      <w:bookmarkStart w:id="43" w:name="what-the-framework-changes-operationally"/>
      <w:r w:rsidRPr="001A556C">
        <w:rPr>
          <w:rFonts w:ascii="Times New Roman" w:hAnsi="Times New Roman" w:cs="Times New Roman"/>
          <w:color w:val="auto"/>
          <w:sz w:val="22"/>
          <w:szCs w:val="22"/>
        </w:rPr>
        <w:t>9.1 What the framework changes operationally</w:t>
      </w:r>
    </w:p>
    <w:p w14:paraId="1FC33313"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practical output of this work is a shift in the monitored quantity. A security operations centre currently monitors alert volume and, if it is careful, periodically re-scores a labelled holdout. Both are lagging indicators: alert volume moves only when drift affects the alert-load channel, and holdout re-scoring is limited by labelling throughput. MAI and CDI are leading indicators computable on every </w:t>
      </w:r>
      <w:r w:rsidRPr="001A556C">
        <w:rPr>
          <w:rFonts w:ascii="Times New Roman" w:hAnsi="Times New Roman" w:cs="Times New Roman"/>
          <w:sz w:val="22"/>
          <w:szCs w:val="22"/>
        </w:rPr>
        <w:lastRenderedPageBreak/>
        <w:t>batch from unlabelled traffic and the model’s own outputs, with a threshold whose false-alarm implication is known in closed form (Proposition 3) rather than tuned by trial.</w:t>
      </w:r>
    </w:p>
    <w:p w14:paraId="1E8B21FE"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second change is that “should we retrain?” becomes a quantitative question with an auditable answer. Given a labelling cost, a compute cost, an estimate of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oMath>
      <w:r w:rsidRPr="001A556C">
        <w:rPr>
          <w:rFonts w:ascii="Times New Roman" w:hAnsi="Times New Roman" w:cs="Times New Roman"/>
          <w:sz w:val="22"/>
          <w:szCs w:val="22"/>
        </w:rPr>
        <w:t xml:space="preserve"> and an attack prevalence, Theorem 1 states that the optimal rule has a threshold form and Figure 5 locates the threshold. This is materially better than the prevailing practice of quarterly retraining, which our results show to be dominated: the 30-batch periodic schedule costs 21% more than the tuned CDI controller while consuming three times the retraining budget.</w:t>
      </w:r>
    </w:p>
    <w:p w14:paraId="5AA3C8B1" w14:textId="77777777" w:rsidR="00427A24" w:rsidRPr="001A556C" w:rsidRDefault="00F57E70">
      <w:pPr>
        <w:pStyle w:val="Heading3"/>
        <w:rPr>
          <w:rFonts w:ascii="Times New Roman" w:hAnsi="Times New Roman" w:cs="Times New Roman"/>
          <w:color w:val="auto"/>
          <w:sz w:val="22"/>
          <w:szCs w:val="22"/>
        </w:rPr>
      </w:pPr>
      <w:bookmarkStart w:id="44" w:name="X69b7598342d337ec1472e1972e4bd8fe7cac6ec"/>
      <w:bookmarkEnd w:id="43"/>
      <w:r w:rsidRPr="001A556C">
        <w:rPr>
          <w:rFonts w:ascii="Times New Roman" w:hAnsi="Times New Roman" w:cs="Times New Roman"/>
          <w:color w:val="auto"/>
          <w:sz w:val="22"/>
          <w:szCs w:val="22"/>
        </w:rPr>
        <w:t>9.2 Why the cost asymmetry belongs inside the index</w:t>
      </w:r>
    </w:p>
    <w:p w14:paraId="585709B6"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CDI outperforms MAI in every architecture in Table 4, and the reason is structural rather than incidental. With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and </w:t>
      </w:r>
      <m:oMath>
        <m:r>
          <w:rPr>
            <w:rFonts w:ascii="Cambria Math" w:hAnsi="Cambria Math" w:cs="Times New Roman"/>
            <w:sz w:val="22"/>
            <w:szCs w:val="22"/>
          </w:rPr>
          <m:t>π</m:t>
        </m:r>
        <m:r>
          <m:rPr>
            <m:sty m:val="p"/>
          </m:rPr>
          <w:rPr>
            <w:rFonts w:ascii="Cambria Math" w:hAnsi="Cambria Math" w:cs="Times New Roman"/>
            <w:sz w:val="22"/>
            <w:szCs w:val="22"/>
          </w:rPr>
          <m:t>=</m:t>
        </m:r>
        <m:r>
          <w:rPr>
            <w:rFonts w:ascii="Cambria Math" w:hAnsi="Cambria Math" w:cs="Times New Roman"/>
            <w:sz w:val="22"/>
            <w:szCs w:val="22"/>
          </w:rPr>
          <m:t>0.4</m:t>
        </m:r>
      </m:oMath>
      <w:r w:rsidRPr="001A556C">
        <w:rPr>
          <w:rFonts w:ascii="Times New Roman" w:hAnsi="Times New Roman" w:cs="Times New Roman"/>
          <w:sz w:val="22"/>
          <w:szCs w:val="22"/>
        </w:rPr>
        <w:t xml:space="preserve">, the cost-asymmetry weight is </w:t>
      </w:r>
      <m:oMath>
        <m:r>
          <w:rPr>
            <w:rFonts w:ascii="Cambria Math" w:hAnsi="Cambria Math" w:cs="Times New Roman"/>
            <w:sz w:val="22"/>
            <w:szCs w:val="22"/>
          </w:rPr>
          <m:t>γ</m:t>
        </m:r>
        <m:r>
          <m:rPr>
            <m:sty m:val="p"/>
          </m:rPr>
          <w:rPr>
            <w:rFonts w:ascii="Cambria Math" w:hAnsi="Cambria Math" w:cs="Times New Roman"/>
            <w:sz w:val="22"/>
            <w:szCs w:val="22"/>
          </w:rPr>
          <m:t>=</m:t>
        </m:r>
        <m:r>
          <w:rPr>
            <w:rFonts w:ascii="Cambria Math" w:hAnsi="Cambria Math" w:cs="Times New Roman"/>
            <w:sz w:val="22"/>
            <w:szCs w:val="22"/>
          </w:rPr>
          <m:t>0.87</m:t>
        </m:r>
      </m:oMath>
      <w:r w:rsidRPr="001A556C">
        <w:rPr>
          <w:rFonts w:ascii="Times New Roman" w:hAnsi="Times New Roman" w:cs="Times New Roman"/>
          <w:sz w:val="22"/>
          <w:szCs w:val="22"/>
        </w:rPr>
        <w:t xml:space="preserve">, so CDI attends almost entirely to the </w:t>
      </w:r>
      <w:r w:rsidRPr="001A556C">
        <w:rPr>
          <w:rFonts w:ascii="Times New Roman" w:hAnsi="Times New Roman" w:cs="Times New Roman"/>
          <w:sz w:val="22"/>
          <w:szCs w:val="22"/>
          <w:highlight w:val="yellow"/>
        </w:rPr>
        <w:t>evasion channel—the migration</w:t>
      </w:r>
      <w:r w:rsidRPr="001A556C">
        <w:rPr>
          <w:rFonts w:ascii="Times New Roman" w:hAnsi="Times New Roman" w:cs="Times New Roman"/>
          <w:sz w:val="22"/>
          <w:szCs w:val="22"/>
        </w:rPr>
        <w:t xml:space="preserve"> of probability mass below the alert threshold. That is exactly the failure mode the experiments exhibit: recall collapses while precision and accuracy hold. A statistically neutral index spreads its attention across channels of unequal consequence; CDI does not. The general principle is that when the loss is asymmetric, the </w:t>
      </w:r>
      <w:r w:rsidRPr="001A556C">
        <w:rPr>
          <w:rFonts w:ascii="Times New Roman" w:hAnsi="Times New Roman" w:cs="Times New Roman"/>
          <w:i/>
          <w:iCs/>
          <w:sz w:val="22"/>
          <w:szCs w:val="22"/>
        </w:rPr>
        <w:t>monitoring</w:t>
      </w:r>
      <w:r w:rsidRPr="001A556C">
        <w:rPr>
          <w:rFonts w:ascii="Times New Roman" w:hAnsi="Times New Roman" w:cs="Times New Roman"/>
          <w:sz w:val="22"/>
          <w:szCs w:val="22"/>
        </w:rPr>
        <w:t xml:space="preserve"> statistic should inherit the asymmetry, not merely the decision rule downstream of it.</w:t>
      </w:r>
    </w:p>
    <w:p w14:paraId="1E1C7C09" w14:textId="77777777" w:rsidR="00427A24" w:rsidRPr="001A556C" w:rsidRDefault="00F57E70">
      <w:pPr>
        <w:pStyle w:val="Heading3"/>
        <w:rPr>
          <w:rFonts w:ascii="Times New Roman" w:hAnsi="Times New Roman" w:cs="Times New Roman"/>
          <w:color w:val="auto"/>
          <w:sz w:val="22"/>
          <w:szCs w:val="22"/>
        </w:rPr>
      </w:pPr>
      <w:bookmarkStart w:id="45" w:name="X21ee8292d51b92b47833ace357f241fdd665fe1"/>
      <w:bookmarkEnd w:id="44"/>
      <w:r w:rsidRPr="001A556C">
        <w:rPr>
          <w:rFonts w:ascii="Times New Roman" w:hAnsi="Times New Roman" w:cs="Times New Roman"/>
          <w:color w:val="auto"/>
          <w:sz w:val="22"/>
          <w:szCs w:val="22"/>
        </w:rPr>
        <w:t>9.3 The adversarial regime is categorically different</w:t>
      </w:r>
    </w:p>
    <w:p w14:paraId="45CF34D8"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Regimes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2</m:t>
            </m:r>
          </m:sub>
        </m:sSub>
      </m:oMath>
      <w:r w:rsidRPr="001A556C">
        <w:rPr>
          <w:rFonts w:ascii="Times New Roman" w:hAnsi="Times New Roman" w:cs="Times New Roman"/>
          <w:sz w:val="22"/>
          <w:szCs w:val="22"/>
        </w:rPr>
        <w:t>–</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sz w:val="22"/>
          <w:szCs w:val="22"/>
        </w:rPr>
        <w:t xml:space="preserve"> are drift in the classical sense: the environment changes for reasons unrelated to the detector. 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xml:space="preserve"> is drift produced by an agent optimising against the detector, and it breaks two assumptions simultaneously. It breaks the exchangeability that justifies retraining on recent data, as Section 8.5 documents. And it inverts the architecture ranking, because the property that confers robustness to novel families in a reconstruction model treating anything unlike benign traffic as suspicious is precisely the </w:t>
      </w:r>
      <w:r w:rsidRPr="001A556C">
        <w:rPr>
          <w:rFonts w:ascii="Times New Roman" w:hAnsi="Times New Roman" w:cs="Times New Roman"/>
          <w:sz w:val="22"/>
          <w:szCs w:val="22"/>
          <w:highlight w:val="yellow"/>
        </w:rPr>
        <w:t xml:space="preserve">property that an evasion attack </w:t>
      </w:r>
      <w:r w:rsidR="00364457" w:rsidRPr="001A556C">
        <w:rPr>
          <w:rFonts w:ascii="Times New Roman" w:hAnsi="Times New Roman" w:cs="Times New Roman"/>
          <w:sz w:val="22"/>
          <w:szCs w:val="22"/>
        </w:rPr>
        <w:t>target</w:t>
      </w:r>
      <w:r w:rsidRPr="001A556C">
        <w:rPr>
          <w:rFonts w:ascii="Times New Roman" w:hAnsi="Times New Roman" w:cs="Times New Roman"/>
          <w:sz w:val="22"/>
          <w:szCs w:val="22"/>
        </w:rPr>
        <w:t>. Drift-aware security systems therefore require a separate treatment of adversarial drift, minimally including provenance filtering of the retraining window and ideally robust or adversarially-aware refitting. We regard the negative result here as one of the paper’s more useful contributions, since the literature’s default recommendation retrain when drift is detected is, in this regime, an instruction to poison one’s own model.</w:t>
      </w:r>
    </w:p>
    <w:p w14:paraId="392B1890" w14:textId="77777777" w:rsidR="00427A24" w:rsidRPr="001A556C" w:rsidRDefault="00F57E70">
      <w:pPr>
        <w:pStyle w:val="Heading3"/>
        <w:rPr>
          <w:rFonts w:ascii="Times New Roman" w:hAnsi="Times New Roman" w:cs="Times New Roman"/>
          <w:color w:val="auto"/>
          <w:sz w:val="22"/>
          <w:szCs w:val="22"/>
        </w:rPr>
      </w:pPr>
      <w:bookmarkStart w:id="46" w:name="Xa7a12a19f471e8ae2793315de576f4b1b357aad"/>
      <w:bookmarkEnd w:id="45"/>
      <w:r w:rsidRPr="001A556C">
        <w:rPr>
          <w:rFonts w:ascii="Times New Roman" w:hAnsi="Times New Roman" w:cs="Times New Roman"/>
          <w:color w:val="auto"/>
          <w:sz w:val="22"/>
          <w:szCs w:val="22"/>
        </w:rPr>
        <w:t>9.4 Relation to distributionally robust design</w:t>
      </w:r>
    </w:p>
    <w:p w14:paraId="455A1AD6" w14:textId="77777777" w:rsidR="00427A24" w:rsidRPr="001A556C" w:rsidRDefault="00F57E7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An alternative to monitoring and retraining is to fit a model robust to a ball of distributions around the empirical law from the outset. The two approaches are complements rather than substitutes, and Proposition 4 makes the relationship precise: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oMath>
      <w:r w:rsidRPr="001A556C">
        <w:rPr>
          <w:rFonts w:ascii="Times New Roman" w:hAnsi="Times New Roman" w:cs="Times New Roman"/>
          <w:sz w:val="22"/>
          <w:szCs w:val="22"/>
        </w:rPr>
        <w:t xml:space="preserve"> lower-bounds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so it measures how far the </w:t>
      </w:r>
      <w:r w:rsidRPr="001A556C">
        <w:rPr>
          <w:rFonts w:ascii="Times New Roman" w:hAnsi="Times New Roman" w:cs="Times New Roman"/>
          <w:sz w:val="22"/>
          <w:szCs w:val="22"/>
        </w:rPr>
        <w:lastRenderedPageBreak/>
        <w:t xml:space="preserve">observed environment has moved into or beyond whatever transport radius a robust design was certified against. A robust model with certified radius </w:t>
      </w:r>
      <m:oMath>
        <m:r>
          <w:rPr>
            <w:rFonts w:ascii="Cambria Math" w:hAnsi="Cambria Math" w:cs="Times New Roman"/>
            <w:sz w:val="22"/>
            <w:szCs w:val="22"/>
          </w:rPr>
          <m:t>ε</m:t>
        </m:r>
      </m:oMath>
      <w:r w:rsidRPr="001A556C">
        <w:rPr>
          <w:rFonts w:ascii="Times New Roman" w:hAnsi="Times New Roman" w:cs="Times New Roman"/>
          <w:sz w:val="22"/>
          <w:szCs w:val="22"/>
        </w:rPr>
        <w:t xml:space="preserve"> and a monitor reporting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m:rPr>
            <m:sty m:val="p"/>
          </m:rPr>
          <w:rPr>
            <w:rFonts w:ascii="Cambria Math" w:hAnsi="Cambria Math" w:cs="Times New Roman"/>
            <w:sz w:val="22"/>
            <w:szCs w:val="22"/>
          </w:rPr>
          <m:t>&gt;</m:t>
        </m:r>
        <m:r>
          <w:rPr>
            <w:rFonts w:ascii="Cambria Math" w:hAnsi="Cambria Math" w:cs="Times New Roman"/>
            <w:sz w:val="22"/>
            <w:szCs w:val="22"/>
          </w:rPr>
          <m:t>ε</m:t>
        </m:r>
      </m:oMath>
      <w:r w:rsidRPr="001A556C">
        <w:rPr>
          <w:rFonts w:ascii="Times New Roman" w:hAnsi="Times New Roman" w:cs="Times New Roman"/>
          <w:sz w:val="22"/>
          <w:szCs w:val="22"/>
        </w:rPr>
        <w:t xml:space="preserve"> is a model operating </w:t>
      </w:r>
      <w:r w:rsidRPr="001A556C">
        <w:rPr>
          <w:rFonts w:ascii="Times New Roman" w:hAnsi="Times New Roman" w:cs="Times New Roman"/>
          <w:sz w:val="22"/>
          <w:szCs w:val="22"/>
          <w:highlight w:val="yellow"/>
        </w:rPr>
        <w:t>outside its warranty—a statement</w:t>
      </w:r>
      <w:r w:rsidRPr="001A556C">
        <w:rPr>
          <w:rFonts w:ascii="Times New Roman" w:hAnsi="Times New Roman" w:cs="Times New Roman"/>
          <w:sz w:val="22"/>
          <w:szCs w:val="22"/>
        </w:rPr>
        <w:t xml:space="preserve"> no accuracy dashboard can make.</w:t>
      </w:r>
    </w:p>
    <w:p w14:paraId="2CC46B5F" w14:textId="77777777" w:rsidR="00427A24" w:rsidRPr="001A556C" w:rsidRDefault="00F57E70">
      <w:pPr>
        <w:pStyle w:val="Heading2"/>
        <w:rPr>
          <w:rFonts w:ascii="Times New Roman" w:hAnsi="Times New Roman" w:cs="Times New Roman"/>
          <w:color w:val="auto"/>
          <w:sz w:val="22"/>
          <w:szCs w:val="22"/>
        </w:rPr>
      </w:pPr>
      <w:bookmarkStart w:id="47" w:name="limitations"/>
      <w:bookmarkEnd w:id="42"/>
      <w:bookmarkEnd w:id="46"/>
      <w:r w:rsidRPr="001A556C">
        <w:rPr>
          <w:rFonts w:ascii="Times New Roman" w:hAnsi="Times New Roman" w:cs="Times New Roman"/>
          <w:color w:val="auto"/>
          <w:sz w:val="22"/>
          <w:szCs w:val="22"/>
        </w:rPr>
        <w:t>10. Limitations</w:t>
      </w:r>
    </w:p>
    <w:p w14:paraId="0657D702" w14:textId="77777777" w:rsidR="00427A24" w:rsidRPr="001A556C" w:rsidRDefault="00F57E70">
      <w:pPr>
        <w:pStyle w:val="FirstParagraph"/>
        <w:rPr>
          <w:rFonts w:ascii="Times New Roman" w:hAnsi="Times New Roman" w:cs="Times New Roman"/>
          <w:sz w:val="22"/>
          <w:szCs w:val="22"/>
        </w:rPr>
      </w:pPr>
      <w:r w:rsidRPr="001A556C">
        <w:rPr>
          <w:rFonts w:ascii="Times New Roman" w:hAnsi="Times New Roman" w:cs="Times New Roman"/>
          <w:sz w:val="22"/>
          <w:szCs w:val="22"/>
        </w:rPr>
        <w:t>We state the constraints on these conclusions explicitly.</w:t>
      </w:r>
    </w:p>
    <w:p w14:paraId="72E023BE"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Dataset</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NSL-KDD is a benchmark of known age. Its traffic does not reflect contemporary encrypted, cloud or IoT protocols, and the novel-attack pool of 3,750 records is bootstrap-resampled across up to 60 batches, so distinct novel instances recur many times within a stream. This inflates the effective homogeneity of the post-drift environment relative to genuinely open-world traffic. The drift </w:t>
      </w:r>
      <w:r w:rsidRPr="001A556C">
        <w:rPr>
          <w:rFonts w:ascii="Times New Roman" w:hAnsi="Times New Roman" w:cs="Times New Roman"/>
          <w:i/>
          <w:iCs/>
          <w:sz w:val="22"/>
          <w:szCs w:val="22"/>
        </w:rPr>
        <w:t>mechanism</w:t>
      </w:r>
      <w:r w:rsidRPr="001A556C">
        <w:rPr>
          <w:rFonts w:ascii="Times New Roman" w:hAnsi="Times New Roman" w:cs="Times New Roman"/>
          <w:sz w:val="22"/>
          <w:szCs w:val="22"/>
          <w:highlight w:val="yellow"/>
        </w:rPr>
        <w:t xml:space="preserve"> we exploit—families absent from training—</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is authentic, but the diversity of that channel is bounded by the dataset. Replication on CIC-IDS2017 </w:t>
      </w:r>
      <w:r w:rsidRPr="001A556C">
        <w:rPr>
          <w:rFonts w:ascii="Times New Roman" w:hAnsi="Times New Roman" w:cs="Times New Roman"/>
          <w:sz w:val="22"/>
          <w:szCs w:val="22"/>
          <w:highlight w:val="yellow"/>
        </w:rPr>
        <w:t>(Sharafaldin et al., 2018)</w:t>
      </w:r>
      <w:r w:rsidRPr="001A556C">
        <w:rPr>
          <w:rFonts w:ascii="Times New Roman" w:hAnsi="Times New Roman" w:cs="Times New Roman"/>
          <w:sz w:val="22"/>
          <w:szCs w:val="22"/>
        </w:rPr>
        <w:t>, on a temporally-ordered corpus such as BODMAS, or on production telemetry is the necessary next step.</w:t>
      </w:r>
    </w:p>
    <w:p w14:paraId="1BC81CD2"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Semi-synthetic drift</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The mixing schedules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and the mimicry map are constructed rather than observed. </w:t>
      </w:r>
      <w:r w:rsidRPr="001A556C">
        <w:rPr>
          <w:rFonts w:ascii="Times New Roman" w:hAnsi="Times New Roman" w:cs="Times New Roman"/>
          <w:sz w:val="22"/>
          <w:szCs w:val="22"/>
          <w:highlight w:val="yellow"/>
        </w:rPr>
        <w:t>The mimicry model, in particular,</w:t>
      </w:r>
      <w:r w:rsidRPr="001A556C">
        <w:rPr>
          <w:rFonts w:ascii="Times New Roman" w:hAnsi="Times New Roman" w:cs="Times New Roman"/>
          <w:sz w:val="22"/>
          <w:szCs w:val="22"/>
        </w:rPr>
        <w:t xml:space="preserve"> is a simple convex pull toward the benign centroid; a real evasion attack would respect protocol constraints and functional preservation, and would likely be harder to detect. Our adversarial results should be read as a lower bound on the difficulty.</w:t>
      </w:r>
    </w:p>
    <w:p w14:paraId="6706743C" w14:textId="77777777" w:rsidR="00427A24" w:rsidRPr="001A556C" w:rsidRDefault="00F57E7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Review-grid granularity</w:t>
      </w:r>
      <w:r w:rsidR="00364457" w:rsidRPr="001A556C">
        <w:rPr>
          <w:rFonts w:ascii="Times New Roman" w:hAnsi="Times New Roman" w:cs="Times New Roman"/>
          <w:b/>
          <w:bCs/>
          <w:sz w:val="22"/>
          <w:szCs w:val="22"/>
        </w:rPr>
        <w:t xml:space="preserve">: </w:t>
      </w:r>
      <w:r w:rsidRPr="001A556C">
        <w:rPr>
          <w:rFonts w:ascii="Times New Roman" w:hAnsi="Times New Roman" w:cs="Times New Roman"/>
          <w:sz w:val="22"/>
          <w:szCs w:val="22"/>
        </w:rPr>
        <w:t xml:space="preserve">Retraining decisions are taken at nine epochs. This makes the oracle exactly computable by exhaustive search but coarsens the resolution at which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can be located, which is our explanation for the insensitivity of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to </w:t>
      </w:r>
      <m:oMath>
        <m:r>
          <w:rPr>
            <w:rFonts w:ascii="Cambria Math" w:hAnsi="Cambria Math" w:cs="Times New Roman"/>
            <w:sz w:val="22"/>
            <w:szCs w:val="22"/>
          </w:rPr>
          <m:t>K</m:t>
        </m:r>
      </m:oMath>
      <w:r w:rsidRPr="001A556C">
        <w:rPr>
          <w:rFonts w:ascii="Times New Roman" w:hAnsi="Times New Roman" w:cs="Times New Roman"/>
          <w:sz w:val="22"/>
          <w:szCs w:val="22"/>
        </w:rPr>
        <w:t xml:space="preserve"> noted in Section 8.5.</w:t>
      </w:r>
    </w:p>
    <w:p w14:paraId="7DA61ABA" w14:textId="77777777" w:rsidR="00427A24" w:rsidRPr="001A556C" w:rsidRDefault="00F57E7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Single label budget</w:t>
      </w:r>
      <w:r w:rsidR="00F1102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The supervised detectors were evaluated </w:t>
      </w:r>
      <w:r w:rsidRPr="001A556C">
        <w:rPr>
          <w:rFonts w:ascii="Times New Roman" w:hAnsi="Times New Roman" w:cs="Times New Roman"/>
          <w:sz w:val="22"/>
          <w:szCs w:val="22"/>
          <w:highlight w:val="yellow"/>
        </w:rPr>
        <w:t>at one audit rate (5%) and one latency (3 batches)</w:t>
      </w:r>
      <w:r w:rsidRPr="001A556C">
        <w:rPr>
          <w:rFonts w:ascii="Times New Roman" w:hAnsi="Times New Roman" w:cs="Times New Roman"/>
          <w:sz w:val="22"/>
          <w:szCs w:val="22"/>
        </w:rPr>
        <w:t>. Their standing relative to unsupervised monitoring would improve with richer labelling, and the crossover point is not characterised here.</w:t>
      </w:r>
    </w:p>
    <w:p w14:paraId="685C5837" w14:textId="77777777" w:rsidR="00427A24" w:rsidRPr="001A556C" w:rsidRDefault="00F57E7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Stationary-null calibration</w:t>
      </w:r>
      <w:r w:rsidR="00F1102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Proposition 3 assumes the calibrated null is correct. Section 8.3 shows it is not exactly correct for histogram-based statistics on sharply-peaked score distributions, where bootstrap resampling understates true variability. Calibration by block bootstrap or by held-out reference partitions would tighten this.</w:t>
      </w:r>
    </w:p>
    <w:p w14:paraId="39B11F8E" w14:textId="77777777" w:rsidR="00427A24" w:rsidRPr="001A556C" w:rsidRDefault="00F57E7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Cost parameters</w:t>
      </w:r>
      <w:r w:rsidR="00F1102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The ratio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is illustrative. Real ratios vary by orders of magnitude across sectors, and </w:t>
      </w:r>
      <m:oMath>
        <m:r>
          <w:rPr>
            <w:rFonts w:ascii="Cambria Math" w:hAnsi="Cambria Math" w:cs="Times New Roman"/>
            <w:sz w:val="22"/>
            <w:szCs w:val="22"/>
          </w:rPr>
          <m:t>γ</m:t>
        </m:r>
      </m:oMath>
      <w:r w:rsidRPr="001A556C">
        <w:rPr>
          <w:rFonts w:ascii="Times New Roman" w:hAnsi="Times New Roman" w:cs="Times New Roman"/>
          <w:sz w:val="22"/>
          <w:szCs w:val="22"/>
        </w:rPr>
        <w:t xml:space="preserve">  hence CDI’s channel weighting  moves with them.</w:t>
      </w:r>
    </w:p>
    <w:p w14:paraId="5B1461CD" w14:textId="77777777" w:rsidR="00427A24" w:rsidRPr="001A556C" w:rsidRDefault="00427A24">
      <w:pPr>
        <w:rPr>
          <w:rFonts w:ascii="Times New Roman" w:hAnsi="Times New Roman" w:cs="Times New Roman"/>
          <w:sz w:val="22"/>
          <w:szCs w:val="22"/>
        </w:rPr>
      </w:pPr>
    </w:p>
    <w:p w14:paraId="37F8DFCC" w14:textId="77777777" w:rsidR="00427A24" w:rsidRPr="001A556C" w:rsidRDefault="00F57E70">
      <w:pPr>
        <w:pStyle w:val="Heading2"/>
        <w:rPr>
          <w:rFonts w:ascii="Times New Roman" w:hAnsi="Times New Roman" w:cs="Times New Roman"/>
          <w:color w:val="auto"/>
          <w:sz w:val="22"/>
          <w:szCs w:val="22"/>
        </w:rPr>
      </w:pPr>
      <w:bookmarkStart w:id="48" w:name="conclusion"/>
      <w:bookmarkEnd w:id="47"/>
      <w:r w:rsidRPr="001A556C">
        <w:rPr>
          <w:rFonts w:ascii="Times New Roman" w:hAnsi="Times New Roman" w:cs="Times New Roman"/>
          <w:color w:val="auto"/>
          <w:sz w:val="22"/>
          <w:szCs w:val="22"/>
        </w:rPr>
        <w:lastRenderedPageBreak/>
        <w:t>11. Conclusion</w:t>
      </w:r>
    </w:p>
    <w:p w14:paraId="61AE6548" w14:textId="77777777" w:rsidR="00427A24" w:rsidRPr="001A556C" w:rsidRDefault="00F57E70" w:rsidP="00E3136E">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We have argued that the deployment-time question in machine-learning security is not how accurate a model is but how long it remains trustworthy, and we have supplied the statistical machinery to answer it. The Model Aging Index converts a battery of null-calibrated drift statistics into a bounded, monotone, Lipschitz state variable with closed-form false-alarm control; the Cybersecurity Drift Index reweights that state by the asymmetric cost of missed intrusions; and the retraining decision, posed as optimal stopping, admits a control-limit policy structurally identical to inventory replenishment.</w:t>
      </w:r>
    </w:p>
    <w:p w14:paraId="7A7062A1" w14:textId="77777777" w:rsidR="00427A24" w:rsidRPr="001A556C" w:rsidRDefault="00F57E7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empirical findings are unambiguous. Model aging in intrusion detection is severe</w:t>
      </w:r>
      <w:r w:rsidR="00E3136E" w:rsidRPr="001A556C">
        <w:rPr>
          <w:rFonts w:ascii="Times New Roman" w:hAnsi="Times New Roman" w:cs="Times New Roman"/>
          <w:sz w:val="22"/>
          <w:szCs w:val="22"/>
          <w:highlight w:val="yellow"/>
        </w:rPr>
        <w:t xml:space="preserve">, with </w:t>
      </w:r>
      <w:r w:rsidRPr="001A556C">
        <w:rPr>
          <w:rFonts w:ascii="Times New Roman" w:hAnsi="Times New Roman" w:cs="Times New Roman"/>
          <w:sz w:val="22"/>
          <w:szCs w:val="22"/>
        </w:rPr>
        <w:t xml:space="preserve">attack recall falling from 0.99 to below 0.66 when a quarter of traffic belongs to unseen </w:t>
      </w:r>
      <w:r w:rsidRPr="001A556C">
        <w:rPr>
          <w:rFonts w:ascii="Times New Roman" w:hAnsi="Times New Roman" w:cs="Times New Roman"/>
          <w:sz w:val="22"/>
          <w:szCs w:val="22"/>
          <w:highlight w:val="yellow"/>
        </w:rPr>
        <w:t>families, and this deterioration is invisible</w:t>
      </w:r>
      <w:r w:rsidRPr="001A556C">
        <w:rPr>
          <w:rFonts w:ascii="Times New Roman" w:hAnsi="Times New Roman" w:cs="Times New Roman"/>
          <w:sz w:val="22"/>
          <w:szCs w:val="22"/>
        </w:rPr>
        <w:t xml:space="preserve"> to the accuracy metrics normally monitored. Unsupervised transport-based monitoring detects this degradation faster and with fewer false alarms than supervised sequential change detection that consumes a label budget. </w:t>
      </w:r>
      <w:r w:rsidRPr="001A556C">
        <w:rPr>
          <w:rFonts w:ascii="Times New Roman" w:hAnsi="Times New Roman" w:cs="Times New Roman"/>
          <w:sz w:val="22"/>
          <w:szCs w:val="22"/>
          <w:highlight w:val="yellow"/>
        </w:rPr>
        <w:t>A tuned CDI</w:t>
      </w:r>
      <w:r w:rsidRPr="001A556C">
        <w:rPr>
          <w:rFonts w:ascii="Times New Roman" w:hAnsi="Times New Roman" w:cs="Times New Roman"/>
          <w:sz w:val="22"/>
          <w:szCs w:val="22"/>
        </w:rPr>
        <w:t xml:space="preserve"> control-limit policy reduces expected operational cost by 44.3% relative to no retraining and 17.3% relative to the best periodic schedule, closing 79% of the gap to a clairvoyant oracle.</w:t>
      </w:r>
    </w:p>
    <w:p w14:paraId="4484B4C5" w14:textId="77777777" w:rsidR="00427A24" w:rsidRPr="001A556C" w:rsidRDefault="00F57E7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Two negative results temper the picture and, we think, deserve equal emphasis. Robustness does not transfer across drift mechanisms: the architecture most resilient to novel attack families is the most fragile under evasion. And retraining is not universally beneficial: under adversarial drift, refitting on recent traffic </w:t>
      </w:r>
      <w:r w:rsidRPr="001A556C">
        <w:rPr>
          <w:rFonts w:ascii="Times New Roman" w:hAnsi="Times New Roman" w:cs="Times New Roman"/>
          <w:sz w:val="22"/>
          <w:szCs w:val="22"/>
          <w:highlight w:val="yellow"/>
        </w:rPr>
        <w:t>raised cost by 26% because</w:t>
      </w:r>
      <w:r w:rsidRPr="001A556C">
        <w:rPr>
          <w:rFonts w:ascii="Times New Roman" w:hAnsi="Times New Roman" w:cs="Times New Roman"/>
          <w:sz w:val="22"/>
          <w:szCs w:val="22"/>
        </w:rPr>
        <w:t xml:space="preserve"> the retraining window is itself contaminated. The reflexive advice to retrain on drift detection is, in the adversarial regime, harmful.</w:t>
      </w:r>
    </w:p>
    <w:p w14:paraId="3217D431" w14:textId="77777777" w:rsidR="00427A24" w:rsidRPr="001A556C" w:rsidRDefault="00F57E7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Future work should pursue recurring-concept memory to repair the assumption violation identified in Section 8.5, provenance-filtered or robust retraining for the adversarial regime, extension of the aging index to multivariate transport with copula sensitivity, and validation on contemporary encrypted traffic at production scale.</w:t>
      </w:r>
    </w:p>
    <w:p w14:paraId="5734217C" w14:textId="77777777" w:rsidR="00427A24" w:rsidRPr="001A556C" w:rsidRDefault="00427A24">
      <w:pPr>
        <w:rPr>
          <w:rFonts w:ascii="Times New Roman" w:hAnsi="Times New Roman" w:cs="Times New Roman"/>
          <w:sz w:val="22"/>
          <w:szCs w:val="22"/>
        </w:rPr>
      </w:pPr>
    </w:p>
    <w:p w14:paraId="05F5690B" w14:textId="77777777" w:rsidR="00427A24" w:rsidRPr="001A556C" w:rsidRDefault="00F57E70">
      <w:pPr>
        <w:pStyle w:val="Heading2"/>
        <w:rPr>
          <w:rFonts w:ascii="Times New Roman" w:hAnsi="Times New Roman" w:cs="Times New Roman"/>
          <w:color w:val="auto"/>
          <w:sz w:val="22"/>
          <w:szCs w:val="22"/>
        </w:rPr>
      </w:pPr>
      <w:bookmarkStart w:id="49" w:name="data-and-code-availability"/>
      <w:bookmarkEnd w:id="48"/>
      <w:r w:rsidRPr="001A556C">
        <w:rPr>
          <w:rFonts w:ascii="Times New Roman" w:hAnsi="Times New Roman" w:cs="Times New Roman"/>
          <w:color w:val="auto"/>
          <w:sz w:val="22"/>
          <w:szCs w:val="22"/>
        </w:rPr>
        <w:t>Data and Code Availability</w:t>
      </w:r>
    </w:p>
    <w:p w14:paraId="32CB7A0D" w14:textId="77777777" w:rsidR="00427A24" w:rsidRPr="001A556C" w:rsidRDefault="00F57E70" w:rsidP="00E3136E">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All experiments use the publicly available NSL-KDD corpus. The monitoring battery, aging indices, </w:t>
      </w:r>
      <w:r w:rsidRPr="001A556C">
        <w:rPr>
          <w:rFonts w:ascii="Times New Roman" w:hAnsi="Times New Roman" w:cs="Times New Roman"/>
          <w:sz w:val="22"/>
          <w:szCs w:val="22"/>
          <w:highlight w:val="yellow"/>
        </w:rPr>
        <w:t>policy simulator, and figure generation</w:t>
      </w:r>
      <w:r w:rsidRPr="001A556C">
        <w:rPr>
          <w:rFonts w:ascii="Times New Roman" w:hAnsi="Times New Roman" w:cs="Times New Roman"/>
          <w:sz w:val="22"/>
          <w:szCs w:val="22"/>
        </w:rPr>
        <w:t xml:space="preserve"> are implemented in Python (scikit-learn, XGBoost, LightGBM, PyTorch, SciPy, river) and are reproducible from the reference window seed reported in Section 7.</w:t>
      </w:r>
    </w:p>
    <w:p w14:paraId="43162142" w14:textId="77777777" w:rsidR="00427A24" w:rsidRPr="001A556C" w:rsidRDefault="00F57E70">
      <w:pPr>
        <w:pStyle w:val="Heading2"/>
        <w:rPr>
          <w:rFonts w:ascii="Times New Roman" w:hAnsi="Times New Roman" w:cs="Times New Roman"/>
          <w:color w:val="auto"/>
          <w:sz w:val="22"/>
          <w:szCs w:val="22"/>
        </w:rPr>
      </w:pPr>
      <w:bookmarkStart w:id="50" w:name="declaration-of-competing-interest"/>
      <w:bookmarkEnd w:id="49"/>
      <w:r w:rsidRPr="001A556C">
        <w:rPr>
          <w:rFonts w:ascii="Times New Roman" w:hAnsi="Times New Roman" w:cs="Times New Roman"/>
          <w:color w:val="auto"/>
          <w:sz w:val="22"/>
          <w:szCs w:val="22"/>
        </w:rPr>
        <w:t>Declaration of Competing Interest</w:t>
      </w:r>
    </w:p>
    <w:p w14:paraId="4306C754" w14:textId="77777777" w:rsidR="00427A24" w:rsidRPr="001A556C" w:rsidRDefault="00F57E70">
      <w:pPr>
        <w:pStyle w:val="FirstParagraph"/>
        <w:rPr>
          <w:rFonts w:ascii="Times New Roman" w:hAnsi="Times New Roman" w:cs="Times New Roman"/>
          <w:sz w:val="22"/>
          <w:szCs w:val="22"/>
        </w:rPr>
      </w:pPr>
      <w:r w:rsidRPr="001A556C">
        <w:rPr>
          <w:rFonts w:ascii="Times New Roman" w:hAnsi="Times New Roman" w:cs="Times New Roman"/>
          <w:sz w:val="22"/>
          <w:szCs w:val="22"/>
        </w:rPr>
        <w:t>The authors declare no competing financial or personal interests.</w:t>
      </w:r>
    </w:p>
    <w:p w14:paraId="7619BFFF" w14:textId="77777777" w:rsidR="00427A24" w:rsidRDefault="00427A24">
      <w:pPr>
        <w:rPr>
          <w:rFonts w:ascii="Times New Roman" w:hAnsi="Times New Roman" w:cs="Times New Roman"/>
          <w:sz w:val="22"/>
          <w:szCs w:val="22"/>
        </w:rPr>
      </w:pPr>
    </w:p>
    <w:p w14:paraId="54E79BB6" w14:textId="77777777" w:rsidR="00305A60" w:rsidRDefault="00305A60" w:rsidP="00E0030C">
      <w:pPr>
        <w:spacing w:after="0"/>
        <w:rPr>
          <w:rFonts w:ascii="Times New Roman" w:hAnsi="Times New Roman" w:cs="Times New Roman"/>
          <w:b/>
        </w:rPr>
      </w:pPr>
    </w:p>
    <w:p w14:paraId="544D7B8B" w14:textId="77777777" w:rsidR="00305A60" w:rsidRDefault="00305A60" w:rsidP="00E0030C">
      <w:pPr>
        <w:spacing w:after="0"/>
        <w:rPr>
          <w:rFonts w:ascii="Times New Roman" w:hAnsi="Times New Roman" w:cs="Times New Roman"/>
          <w:b/>
        </w:rPr>
      </w:pPr>
    </w:p>
    <w:p w14:paraId="3B8968F3" w14:textId="77777777" w:rsidR="00E0030C" w:rsidRDefault="00E0030C" w:rsidP="00E0030C">
      <w:pPr>
        <w:spacing w:after="0"/>
        <w:rPr>
          <w:rFonts w:ascii="Times New Roman" w:hAnsi="Times New Roman" w:cs="Times New Roman"/>
          <w:b/>
        </w:rPr>
      </w:pPr>
      <w:r w:rsidRPr="000839CE">
        <w:rPr>
          <w:rFonts w:ascii="Times New Roman" w:hAnsi="Times New Roman" w:cs="Times New Roman"/>
          <w:b/>
        </w:rPr>
        <w:t>Declaration of AI Use</w:t>
      </w:r>
    </w:p>
    <w:p w14:paraId="218C09DF" w14:textId="77777777" w:rsidR="00E0030C" w:rsidRDefault="00E0030C" w:rsidP="00E0030C">
      <w:pPr>
        <w:spacing w:after="0"/>
        <w:rPr>
          <w:rFonts w:ascii="Times New Roman" w:hAnsi="Times New Roman" w:cs="Times New Roman"/>
          <w:b/>
        </w:rPr>
      </w:pPr>
    </w:p>
    <w:p w14:paraId="14637074" w14:textId="77777777" w:rsidR="00E0030C" w:rsidRDefault="00E0030C" w:rsidP="00E0030C">
      <w:pPr>
        <w:spacing w:after="0"/>
        <w:rPr>
          <w:rFonts w:ascii="Times New Roman" w:hAnsi="Times New Roman" w:cs="Times New Roman"/>
          <w:b/>
        </w:rPr>
      </w:pPr>
    </w:p>
    <w:p w14:paraId="45DDCDB5" w14:textId="77777777" w:rsidR="00E0030C" w:rsidRPr="002D08AC" w:rsidRDefault="00E0030C" w:rsidP="00E0030C">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929821A" w14:textId="77777777" w:rsidR="00E0030C" w:rsidRPr="001A556C" w:rsidRDefault="00E0030C">
      <w:pPr>
        <w:rPr>
          <w:rFonts w:ascii="Times New Roman" w:hAnsi="Times New Roman" w:cs="Times New Roman"/>
          <w:sz w:val="22"/>
          <w:szCs w:val="22"/>
        </w:rPr>
      </w:pPr>
    </w:p>
    <w:p w14:paraId="7871081E" w14:textId="77777777" w:rsidR="00427A24" w:rsidRPr="001A556C" w:rsidRDefault="00F57E70">
      <w:pPr>
        <w:pStyle w:val="Heading2"/>
        <w:rPr>
          <w:rFonts w:ascii="Times New Roman" w:hAnsi="Times New Roman" w:cs="Times New Roman"/>
          <w:color w:val="auto"/>
          <w:sz w:val="22"/>
          <w:szCs w:val="22"/>
        </w:rPr>
      </w:pPr>
      <w:bookmarkStart w:id="51" w:name="references"/>
      <w:bookmarkEnd w:id="50"/>
      <w:r w:rsidRPr="001A556C">
        <w:rPr>
          <w:rFonts w:ascii="Times New Roman" w:hAnsi="Times New Roman" w:cs="Times New Roman"/>
          <w:color w:val="auto"/>
          <w:sz w:val="22"/>
          <w:szCs w:val="22"/>
        </w:rPr>
        <w:t>References</w:t>
      </w:r>
    </w:p>
    <w:bookmarkEnd w:id="0"/>
    <w:bookmarkEnd w:id="51"/>
    <w:p w14:paraId="2367003D" w14:textId="1F84D358"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Alotaibi, A., &amp; Rassam, M. A. (2023). Adversarial machine learning attacks against intrusion detection systems: A survey on strategies and defense. </w:t>
      </w:r>
      <w:r w:rsidRPr="00534D71">
        <w:rPr>
          <w:rFonts w:ascii="Times New Roman" w:eastAsia="Times New Roman" w:hAnsi="Times New Roman" w:cs="Times New Roman"/>
          <w:i/>
          <w:iCs/>
        </w:rPr>
        <w:t>Future Internet, 15</w:t>
      </w:r>
      <w:r w:rsidRPr="00534D71">
        <w:rPr>
          <w:rFonts w:ascii="Times New Roman" w:eastAsia="Times New Roman" w:hAnsi="Times New Roman" w:cs="Times New Roman"/>
        </w:rPr>
        <w:t xml:space="preserve">(2), 62. </w:t>
      </w:r>
      <w:hyperlink r:id="rId17" w:tgtFrame="_new" w:history="1">
        <w:r w:rsidRPr="00534D71">
          <w:rPr>
            <w:rFonts w:ascii="Times New Roman" w:eastAsia="Times New Roman" w:hAnsi="Times New Roman" w:cs="Times New Roman"/>
            <w:color w:val="0000FF"/>
            <w:u w:val="single"/>
          </w:rPr>
          <w:t>https://doi.org/10.3390/fi15020062</w:t>
        </w:r>
      </w:hyperlink>
      <w:r w:rsidRPr="00534D71">
        <w:rPr>
          <w:rFonts w:ascii="Times New Roman" w:eastAsia="Times New Roman" w:hAnsi="Times New Roman" w:cs="Times New Roman"/>
        </w:rPr>
        <w:t xml:space="preserve"> </w:t>
      </w:r>
    </w:p>
    <w:p w14:paraId="4180E81F" w14:textId="4211C2AF"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Andresini, G., Pendlebury, F., Pierazzi, F., Loglisci, C., Appice, A., &amp; Cavallaro, L. (2021). INSOMNIA: Towards concept-drift robustness in network intrusion detection. In </w:t>
      </w:r>
      <w:r w:rsidRPr="00534D71">
        <w:rPr>
          <w:rFonts w:ascii="Times New Roman" w:eastAsia="Times New Roman" w:hAnsi="Times New Roman" w:cs="Times New Roman"/>
          <w:i/>
          <w:iCs/>
        </w:rPr>
        <w:t>Proceedings of the 14th ACM Workshop on Artificial Intelligence and Security</w:t>
      </w:r>
      <w:r w:rsidRPr="00534D71">
        <w:rPr>
          <w:rFonts w:ascii="Times New Roman" w:eastAsia="Times New Roman" w:hAnsi="Times New Roman" w:cs="Times New Roman"/>
        </w:rPr>
        <w:t xml:space="preserve"> (pp. 111–122). ACM. </w:t>
      </w:r>
      <w:hyperlink r:id="rId18" w:tgtFrame="_new" w:history="1">
        <w:r w:rsidRPr="00534D71">
          <w:rPr>
            <w:rFonts w:ascii="Times New Roman" w:eastAsia="Times New Roman" w:hAnsi="Times New Roman" w:cs="Times New Roman"/>
            <w:color w:val="0000FF"/>
            <w:u w:val="single"/>
          </w:rPr>
          <w:t>https://doi.org/10.1145/3474369.3486864</w:t>
        </w:r>
      </w:hyperlink>
      <w:r w:rsidRPr="00534D71">
        <w:rPr>
          <w:rFonts w:ascii="Times New Roman" w:eastAsia="Times New Roman" w:hAnsi="Times New Roman" w:cs="Times New Roman"/>
        </w:rPr>
        <w:t xml:space="preserve"> </w:t>
      </w:r>
    </w:p>
    <w:p w14:paraId="0955CB13" w14:textId="3ABD3FB0"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Bankole, O. (2026). Deep feature learning enhanced ensemble models for multi-class intrusion detection in imbalanced IoT networks. </w:t>
      </w:r>
      <w:r w:rsidRPr="00534D71">
        <w:rPr>
          <w:rFonts w:ascii="Times New Roman" w:eastAsia="Times New Roman" w:hAnsi="Times New Roman" w:cs="Times New Roman"/>
          <w:i/>
          <w:iCs/>
        </w:rPr>
        <w:t>Asian Journal of Research in Computer Science, 19</w:t>
      </w:r>
      <w:r w:rsidRPr="00534D71">
        <w:rPr>
          <w:rFonts w:ascii="Times New Roman" w:eastAsia="Times New Roman" w:hAnsi="Times New Roman" w:cs="Times New Roman"/>
        </w:rPr>
        <w:t xml:space="preserve">(2), 97–124. </w:t>
      </w:r>
      <w:hyperlink r:id="rId19" w:tgtFrame="_new" w:history="1">
        <w:r w:rsidRPr="00534D71">
          <w:rPr>
            <w:rFonts w:ascii="Times New Roman" w:eastAsia="Times New Roman" w:hAnsi="Times New Roman" w:cs="Times New Roman"/>
            <w:color w:val="0000FF"/>
            <w:u w:val="single"/>
          </w:rPr>
          <w:t>https://doi.org/10.9734/ajrcos/2026/v19i2825</w:t>
        </w:r>
      </w:hyperlink>
      <w:r w:rsidRPr="00534D71">
        <w:rPr>
          <w:rFonts w:ascii="Times New Roman" w:eastAsia="Times New Roman" w:hAnsi="Times New Roman" w:cs="Times New Roman"/>
        </w:rPr>
        <w:t xml:space="preserve"> </w:t>
      </w:r>
    </w:p>
    <w:p w14:paraId="3B5C5B43" w14:textId="1DACBB77"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Barbero, F., Pendlebury, F., Pierazzi, F., &amp; Cavallaro, L. (2022). Transcending Transcend: Revisiting malware classification in the presence of concept drift. In </w:t>
      </w:r>
      <w:r w:rsidRPr="00534D71">
        <w:rPr>
          <w:rFonts w:ascii="Times New Roman" w:eastAsia="Times New Roman" w:hAnsi="Times New Roman" w:cs="Times New Roman"/>
          <w:i/>
          <w:iCs/>
        </w:rPr>
        <w:t>2022 IEEE Symposium on Security and Privacy (SP)</w:t>
      </w:r>
      <w:r w:rsidRPr="00534D71">
        <w:rPr>
          <w:rFonts w:ascii="Times New Roman" w:eastAsia="Times New Roman" w:hAnsi="Times New Roman" w:cs="Times New Roman"/>
        </w:rPr>
        <w:t xml:space="preserve"> (pp. 805–823). IEEE. </w:t>
      </w:r>
      <w:hyperlink r:id="rId20" w:tgtFrame="_new" w:history="1">
        <w:r w:rsidRPr="00534D71">
          <w:rPr>
            <w:rFonts w:ascii="Times New Roman" w:eastAsia="Times New Roman" w:hAnsi="Times New Roman" w:cs="Times New Roman"/>
            <w:color w:val="0000FF"/>
            <w:u w:val="single"/>
          </w:rPr>
          <w:t>https://doi.org/10.1109/SP46214.2022.9833659</w:t>
        </w:r>
      </w:hyperlink>
      <w:r w:rsidRPr="00534D71">
        <w:rPr>
          <w:rFonts w:ascii="Times New Roman" w:eastAsia="Times New Roman" w:hAnsi="Times New Roman" w:cs="Times New Roman"/>
        </w:rPr>
        <w:t xml:space="preserve"> </w:t>
      </w:r>
    </w:p>
    <w:p w14:paraId="6125FE7E" w14:textId="2D5ECAD7"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Bifet, A., &amp; Gavaldà, R. (2007). Learning from time-changing data with adaptive windowing. In </w:t>
      </w:r>
      <w:r w:rsidRPr="00534D71">
        <w:rPr>
          <w:rFonts w:ascii="Times New Roman" w:eastAsia="Times New Roman" w:hAnsi="Times New Roman" w:cs="Times New Roman"/>
          <w:i/>
          <w:iCs/>
        </w:rPr>
        <w:t>Proceedings of the 2007 SIAM International Conference on Data Mining</w:t>
      </w:r>
      <w:r w:rsidRPr="00534D71">
        <w:rPr>
          <w:rFonts w:ascii="Times New Roman" w:eastAsia="Times New Roman" w:hAnsi="Times New Roman" w:cs="Times New Roman"/>
        </w:rPr>
        <w:t xml:space="preserve"> (pp. 443–448). SIAM. </w:t>
      </w:r>
      <w:hyperlink r:id="rId21" w:tgtFrame="_new" w:history="1">
        <w:r w:rsidRPr="00534D71">
          <w:rPr>
            <w:rFonts w:ascii="Times New Roman" w:eastAsia="Times New Roman" w:hAnsi="Times New Roman" w:cs="Times New Roman"/>
            <w:color w:val="0000FF"/>
            <w:u w:val="single"/>
          </w:rPr>
          <w:t>https://doi.org/10.1137/1.9781611972771.42</w:t>
        </w:r>
      </w:hyperlink>
      <w:r w:rsidRPr="00534D71">
        <w:rPr>
          <w:rFonts w:ascii="Times New Roman" w:eastAsia="Times New Roman" w:hAnsi="Times New Roman" w:cs="Times New Roman"/>
        </w:rPr>
        <w:t xml:space="preserve"> </w:t>
      </w:r>
    </w:p>
    <w:p w14:paraId="09A109DC" w14:textId="0927EF83"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Breiman, L. (2001). Random forests. </w:t>
      </w:r>
      <w:r w:rsidRPr="00534D71">
        <w:rPr>
          <w:rFonts w:ascii="Times New Roman" w:eastAsia="Times New Roman" w:hAnsi="Times New Roman" w:cs="Times New Roman"/>
          <w:i/>
          <w:iCs/>
        </w:rPr>
        <w:t>Machine Learning, 45</w:t>
      </w:r>
      <w:r w:rsidRPr="00534D71">
        <w:rPr>
          <w:rFonts w:ascii="Times New Roman" w:eastAsia="Times New Roman" w:hAnsi="Times New Roman" w:cs="Times New Roman"/>
        </w:rPr>
        <w:t xml:space="preserve">(1), 5–32. </w:t>
      </w:r>
      <w:hyperlink r:id="rId22" w:tgtFrame="_new" w:history="1">
        <w:r w:rsidRPr="00534D71">
          <w:rPr>
            <w:rFonts w:ascii="Times New Roman" w:eastAsia="Times New Roman" w:hAnsi="Times New Roman" w:cs="Times New Roman"/>
            <w:color w:val="0000FF"/>
            <w:u w:val="single"/>
          </w:rPr>
          <w:t>https://doi.org/10.1023/A:1010933404324</w:t>
        </w:r>
      </w:hyperlink>
      <w:r w:rsidRPr="00534D71">
        <w:rPr>
          <w:rFonts w:ascii="Times New Roman" w:eastAsia="Times New Roman" w:hAnsi="Times New Roman" w:cs="Times New Roman"/>
        </w:rPr>
        <w:t xml:space="preserve"> </w:t>
      </w:r>
    </w:p>
    <w:p w14:paraId="0203E77C" w14:textId="1859B039"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Chen, T., &amp; Guestrin, C. (2016). XGBoost: A scalable tree boosting system. In </w:t>
      </w:r>
      <w:r w:rsidRPr="00534D71">
        <w:rPr>
          <w:rFonts w:ascii="Times New Roman" w:eastAsia="Times New Roman" w:hAnsi="Times New Roman" w:cs="Times New Roman"/>
          <w:i/>
          <w:iCs/>
        </w:rPr>
        <w:t>Proceedings of the 22nd ACM SIGKDD International Conference on Knowledge Discovery and Data Mining</w:t>
      </w:r>
      <w:r w:rsidRPr="00534D71">
        <w:rPr>
          <w:rFonts w:ascii="Times New Roman" w:eastAsia="Times New Roman" w:hAnsi="Times New Roman" w:cs="Times New Roman"/>
        </w:rPr>
        <w:t xml:space="preserve"> (pp. 785–794). ACM. </w:t>
      </w:r>
      <w:hyperlink r:id="rId23" w:tgtFrame="_new" w:history="1">
        <w:r w:rsidRPr="00534D71">
          <w:rPr>
            <w:rFonts w:ascii="Times New Roman" w:eastAsia="Times New Roman" w:hAnsi="Times New Roman" w:cs="Times New Roman"/>
            <w:color w:val="0000FF"/>
            <w:u w:val="single"/>
          </w:rPr>
          <w:t>https://doi.org/10.1145/2939672.2939785</w:t>
        </w:r>
      </w:hyperlink>
      <w:r w:rsidRPr="00534D71">
        <w:rPr>
          <w:rFonts w:ascii="Times New Roman" w:eastAsia="Times New Roman" w:hAnsi="Times New Roman" w:cs="Times New Roman"/>
        </w:rPr>
        <w:t xml:space="preserve"> </w:t>
      </w:r>
    </w:p>
    <w:p w14:paraId="6AD43A1D" w14:textId="3A749042"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Chen, Y., Ding, Z., &amp; Wagner, D. (2023). Continuous learning for Android malware detection. In </w:t>
      </w:r>
      <w:r w:rsidRPr="00534D71">
        <w:rPr>
          <w:rFonts w:ascii="Times New Roman" w:eastAsia="Times New Roman" w:hAnsi="Times New Roman" w:cs="Times New Roman"/>
          <w:i/>
          <w:iCs/>
        </w:rPr>
        <w:t>32nd USENIX Security Symposium (USENIX Security 23)</w:t>
      </w:r>
      <w:r w:rsidRPr="00534D71">
        <w:rPr>
          <w:rFonts w:ascii="Times New Roman" w:eastAsia="Times New Roman" w:hAnsi="Times New Roman" w:cs="Times New Roman"/>
        </w:rPr>
        <w:t xml:space="preserve"> (pp. 1127–1144). USENIX Association. </w:t>
      </w:r>
      <w:hyperlink r:id="rId24" w:tgtFrame="_new" w:history="1">
        <w:r w:rsidRPr="00534D71">
          <w:rPr>
            <w:rFonts w:ascii="Times New Roman" w:eastAsia="Times New Roman" w:hAnsi="Times New Roman" w:cs="Times New Roman"/>
            <w:color w:val="0000FF"/>
            <w:u w:val="single"/>
          </w:rPr>
          <w:t>https://www.usenix.org/conference/usenixsecurity23/presentation/chen-yizheng</w:t>
        </w:r>
      </w:hyperlink>
      <w:r w:rsidRPr="00534D71">
        <w:rPr>
          <w:rFonts w:ascii="Times New Roman" w:eastAsia="Times New Roman" w:hAnsi="Times New Roman" w:cs="Times New Roman"/>
        </w:rPr>
        <w:t xml:space="preserve"> </w:t>
      </w:r>
    </w:p>
    <w:p w14:paraId="6AC661F9" w14:textId="5BAE2550"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Dehury, S., Sahoo, S. S., Routray, A. K., Kumar, M., &amp; Sahu, S. K. (2026). A pseudo-convex fuzzy EOQ model for deteriorating items with time varying demand. </w:t>
      </w:r>
      <w:r w:rsidRPr="00534D71">
        <w:rPr>
          <w:rFonts w:ascii="Times New Roman" w:eastAsia="Times New Roman" w:hAnsi="Times New Roman" w:cs="Times New Roman"/>
          <w:i/>
          <w:iCs/>
        </w:rPr>
        <w:t>Asian Research Journal of Mathematics, 22</w:t>
      </w:r>
      <w:r w:rsidRPr="00534D71">
        <w:rPr>
          <w:rFonts w:ascii="Times New Roman" w:eastAsia="Times New Roman" w:hAnsi="Times New Roman" w:cs="Times New Roman"/>
        </w:rPr>
        <w:t xml:space="preserve">(7), 219–238. </w:t>
      </w:r>
      <w:hyperlink r:id="rId25" w:tgtFrame="_new" w:history="1">
        <w:r w:rsidRPr="00534D71">
          <w:rPr>
            <w:rFonts w:ascii="Times New Roman" w:eastAsia="Times New Roman" w:hAnsi="Times New Roman" w:cs="Times New Roman"/>
            <w:color w:val="0000FF"/>
            <w:u w:val="single"/>
          </w:rPr>
          <w:t>https://doi.org/10.9734/arjom/2026/v22i71127</w:t>
        </w:r>
      </w:hyperlink>
      <w:r w:rsidRPr="00534D71">
        <w:rPr>
          <w:rFonts w:ascii="Times New Roman" w:eastAsia="Times New Roman" w:hAnsi="Times New Roman" w:cs="Times New Roman"/>
        </w:rPr>
        <w:t xml:space="preserve"> </w:t>
      </w:r>
    </w:p>
    <w:p w14:paraId="57A96C8A" w14:textId="38E8B7D4"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Escudero García, D., &amp; DeCastro-García, N. (2025). Conformal prediction for labelling and updating online models in the presence of concept drift in cybersecurity. </w:t>
      </w:r>
      <w:r w:rsidRPr="00534D71">
        <w:rPr>
          <w:rFonts w:ascii="Times New Roman" w:eastAsia="Times New Roman" w:hAnsi="Times New Roman" w:cs="Times New Roman"/>
          <w:i/>
          <w:iCs/>
        </w:rPr>
        <w:t>Journal of Information Security and Applications, 93</w:t>
      </w:r>
      <w:r w:rsidRPr="00534D71">
        <w:rPr>
          <w:rFonts w:ascii="Times New Roman" w:eastAsia="Times New Roman" w:hAnsi="Times New Roman" w:cs="Times New Roman"/>
        </w:rPr>
        <w:t>, 104120. https://doi.org/10.1016/j.jisa.2025.104120</w:t>
      </w:r>
    </w:p>
    <w:p w14:paraId="19B5D74E" w14:textId="6E9CABFA"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Gama, J., Žliobaitė, I., Bifet, A., Pechenizkiy, M., &amp; Bouchachia, A. (2014). A survey on concept drift adaptation. </w:t>
      </w:r>
      <w:r w:rsidRPr="00534D71">
        <w:rPr>
          <w:rFonts w:ascii="Times New Roman" w:eastAsia="Times New Roman" w:hAnsi="Times New Roman" w:cs="Times New Roman"/>
          <w:i/>
          <w:iCs/>
        </w:rPr>
        <w:t>ACM Computing Surveys, 46</w:t>
      </w:r>
      <w:r w:rsidRPr="00534D71">
        <w:rPr>
          <w:rFonts w:ascii="Times New Roman" w:eastAsia="Times New Roman" w:hAnsi="Times New Roman" w:cs="Times New Roman"/>
        </w:rPr>
        <w:t xml:space="preserve">(4), Article 44. </w:t>
      </w:r>
      <w:hyperlink r:id="rId26" w:tgtFrame="_new" w:history="1">
        <w:r w:rsidRPr="00534D71">
          <w:rPr>
            <w:rFonts w:ascii="Times New Roman" w:eastAsia="Times New Roman" w:hAnsi="Times New Roman" w:cs="Times New Roman"/>
            <w:color w:val="0000FF"/>
            <w:u w:val="single"/>
          </w:rPr>
          <w:t>https://doi.org/10.1145/2523813</w:t>
        </w:r>
      </w:hyperlink>
      <w:r w:rsidRPr="00534D71">
        <w:rPr>
          <w:rFonts w:ascii="Times New Roman" w:eastAsia="Times New Roman" w:hAnsi="Times New Roman" w:cs="Times New Roman"/>
        </w:rPr>
        <w:t xml:space="preserve"> </w:t>
      </w:r>
    </w:p>
    <w:p w14:paraId="701197C3" w14:textId="179F3DE4"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lastRenderedPageBreak/>
        <w:t xml:space="preserve">Gomes, H. M., Bifet, A., Read, J., Barddal, J. P., Enembreck, F., Pfahringer, B., Holmes, G., &amp; Abdessalem, T. (2017). Adaptive random forests for evolving data stream classification. </w:t>
      </w:r>
      <w:r w:rsidRPr="00534D71">
        <w:rPr>
          <w:rFonts w:ascii="Times New Roman" w:eastAsia="Times New Roman" w:hAnsi="Times New Roman" w:cs="Times New Roman"/>
          <w:i/>
          <w:iCs/>
        </w:rPr>
        <w:t>Machine Learning, 106</w:t>
      </w:r>
      <w:r w:rsidRPr="00534D71">
        <w:rPr>
          <w:rFonts w:ascii="Times New Roman" w:eastAsia="Times New Roman" w:hAnsi="Times New Roman" w:cs="Times New Roman"/>
        </w:rPr>
        <w:t xml:space="preserve">(9–10), 1469–1495. </w:t>
      </w:r>
      <w:hyperlink r:id="rId27" w:tgtFrame="_new" w:history="1">
        <w:r w:rsidRPr="00534D71">
          <w:rPr>
            <w:rFonts w:ascii="Times New Roman" w:eastAsia="Times New Roman" w:hAnsi="Times New Roman" w:cs="Times New Roman"/>
            <w:color w:val="0000FF"/>
            <w:u w:val="single"/>
          </w:rPr>
          <w:t>https://doi.org/10.1007/s10994-017-5642-8</w:t>
        </w:r>
      </w:hyperlink>
      <w:r w:rsidRPr="00534D71">
        <w:rPr>
          <w:rFonts w:ascii="Times New Roman" w:eastAsia="Times New Roman" w:hAnsi="Times New Roman" w:cs="Times New Roman"/>
        </w:rPr>
        <w:t xml:space="preserve"> </w:t>
      </w:r>
    </w:p>
    <w:p w14:paraId="6DF7F82B" w14:textId="6495FA5A"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Greco, S., Vacchetti, B., Apiletti, D., &amp; Cerquitelli, T. (2025). Unsupervised concept drift detection from deep learning representations in real-time. </w:t>
      </w:r>
      <w:r w:rsidRPr="00534D71">
        <w:rPr>
          <w:rFonts w:ascii="Times New Roman" w:eastAsia="Times New Roman" w:hAnsi="Times New Roman" w:cs="Times New Roman"/>
          <w:i/>
          <w:iCs/>
        </w:rPr>
        <w:t>IEEE Transactions on Knowledge and Data Engineering, 37</w:t>
      </w:r>
      <w:r w:rsidRPr="00534D71">
        <w:rPr>
          <w:rFonts w:ascii="Times New Roman" w:eastAsia="Times New Roman" w:hAnsi="Times New Roman" w:cs="Times New Roman"/>
        </w:rPr>
        <w:t>(10), 6232–6245. https://doi.org/10.1109/TKDE.2025.3593123</w:t>
      </w:r>
    </w:p>
    <w:p w14:paraId="5CF86BDA" w14:textId="73670CC6"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Hinkley, D. V. (1971). Inference about the change-point from cumulative sum tests. </w:t>
      </w:r>
      <w:r w:rsidRPr="00534D71">
        <w:rPr>
          <w:rFonts w:ascii="Times New Roman" w:eastAsia="Times New Roman" w:hAnsi="Times New Roman" w:cs="Times New Roman"/>
          <w:i/>
          <w:iCs/>
        </w:rPr>
        <w:t>Biometrika, 58</w:t>
      </w:r>
      <w:r w:rsidRPr="00534D71">
        <w:rPr>
          <w:rFonts w:ascii="Times New Roman" w:eastAsia="Times New Roman" w:hAnsi="Times New Roman" w:cs="Times New Roman"/>
        </w:rPr>
        <w:t xml:space="preserve">(3), 509–523. </w:t>
      </w:r>
      <w:hyperlink r:id="rId28" w:tgtFrame="_new" w:history="1">
        <w:r w:rsidRPr="00534D71">
          <w:rPr>
            <w:rFonts w:ascii="Times New Roman" w:eastAsia="Times New Roman" w:hAnsi="Times New Roman" w:cs="Times New Roman"/>
            <w:color w:val="0000FF"/>
            <w:u w:val="single"/>
          </w:rPr>
          <w:t>https://doi.org/10.1093/biomet/58.3.509</w:t>
        </w:r>
      </w:hyperlink>
      <w:r w:rsidRPr="00534D71">
        <w:rPr>
          <w:rFonts w:ascii="Times New Roman" w:eastAsia="Times New Roman" w:hAnsi="Times New Roman" w:cs="Times New Roman"/>
        </w:rPr>
        <w:t xml:space="preserve"> </w:t>
      </w:r>
    </w:p>
    <w:p w14:paraId="414E6921" w14:textId="3206025E"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Hochreiter, S., &amp; Schmidhuber, J. (1997). Long short-term memory. </w:t>
      </w:r>
      <w:r w:rsidRPr="00534D71">
        <w:rPr>
          <w:rFonts w:ascii="Times New Roman" w:eastAsia="Times New Roman" w:hAnsi="Times New Roman" w:cs="Times New Roman"/>
          <w:i/>
          <w:iCs/>
        </w:rPr>
        <w:t>Neural Computation, 9</w:t>
      </w:r>
      <w:r w:rsidRPr="00534D71">
        <w:rPr>
          <w:rFonts w:ascii="Times New Roman" w:eastAsia="Times New Roman" w:hAnsi="Times New Roman" w:cs="Times New Roman"/>
        </w:rPr>
        <w:t xml:space="preserve">(8), 1735–1780. </w:t>
      </w:r>
      <w:hyperlink r:id="rId29" w:tgtFrame="_new" w:history="1">
        <w:r w:rsidRPr="00534D71">
          <w:rPr>
            <w:rFonts w:ascii="Times New Roman" w:eastAsia="Times New Roman" w:hAnsi="Times New Roman" w:cs="Times New Roman"/>
            <w:color w:val="0000FF"/>
            <w:u w:val="single"/>
          </w:rPr>
          <w:t>https://doi.org/10.1162/neco.1997.9.8.1735</w:t>
        </w:r>
      </w:hyperlink>
      <w:r w:rsidRPr="00534D71">
        <w:rPr>
          <w:rFonts w:ascii="Times New Roman" w:eastAsia="Times New Roman" w:hAnsi="Times New Roman" w:cs="Times New Roman"/>
        </w:rPr>
        <w:t xml:space="preserve"> </w:t>
      </w:r>
    </w:p>
    <w:p w14:paraId="7823F625" w14:textId="084D4F7A"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Jordaney, R., Sharad, K., Dash, S. K., Wang, Z., Papini, D., Nouretdinov, I., &amp; Cavallaro, L. (2017). Transcend: Detecting concept drift in malware classification models. In </w:t>
      </w:r>
      <w:r w:rsidRPr="00534D71">
        <w:rPr>
          <w:rFonts w:ascii="Times New Roman" w:eastAsia="Times New Roman" w:hAnsi="Times New Roman" w:cs="Times New Roman"/>
          <w:i/>
          <w:iCs/>
        </w:rPr>
        <w:t>26th USENIX Security Symposium (USENIX Security 17)</w:t>
      </w:r>
      <w:r w:rsidRPr="00534D71">
        <w:rPr>
          <w:rFonts w:ascii="Times New Roman" w:eastAsia="Times New Roman" w:hAnsi="Times New Roman" w:cs="Times New Roman"/>
        </w:rPr>
        <w:t xml:space="preserve"> (pp. 625–642). USENIX Association. </w:t>
      </w:r>
      <w:hyperlink r:id="rId30" w:tgtFrame="_new" w:history="1">
        <w:r w:rsidRPr="00534D71">
          <w:rPr>
            <w:rFonts w:ascii="Times New Roman" w:eastAsia="Times New Roman" w:hAnsi="Times New Roman" w:cs="Times New Roman"/>
            <w:color w:val="0000FF"/>
            <w:u w:val="single"/>
          </w:rPr>
          <w:t>https://www.usenix.org/conference/usenixsecurity17/technical-sessions/presentation/jordaney</w:t>
        </w:r>
      </w:hyperlink>
      <w:r w:rsidRPr="00534D71">
        <w:rPr>
          <w:rFonts w:ascii="Times New Roman" w:eastAsia="Times New Roman" w:hAnsi="Times New Roman" w:cs="Times New Roman"/>
        </w:rPr>
        <w:t xml:space="preserve"> </w:t>
      </w:r>
    </w:p>
    <w:p w14:paraId="16A6DD82" w14:textId="001F0963"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Kan, Z., McFadden, S., Arp, D., Pendlebury, F., Jordaney, R., Kinder, J., Pierazzi, F., &amp; Cavallaro, L. (2024). </w:t>
      </w:r>
      <w:r w:rsidRPr="00534D71">
        <w:rPr>
          <w:rFonts w:ascii="Times New Roman" w:eastAsia="Times New Roman" w:hAnsi="Times New Roman" w:cs="Times New Roman"/>
          <w:i/>
          <w:iCs/>
        </w:rPr>
        <w:t>TESSERACT: Eliminating experimental bias in malware classification across space and time (extended version)</w:t>
      </w:r>
      <w:r w:rsidRPr="00534D71">
        <w:rPr>
          <w:rFonts w:ascii="Times New Roman" w:eastAsia="Times New Roman" w:hAnsi="Times New Roman" w:cs="Times New Roman"/>
        </w:rPr>
        <w:t xml:space="preserve"> [Preprint]. arXiv. https://doi.org/10.48550/arXiv.2402.01359 </w:t>
      </w:r>
    </w:p>
    <w:p w14:paraId="1A8C85A4" w14:textId="41ED32B1"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Ke, G., Meng, Q., Finley, T., Wang, T., Chen, W., Ma, W., Ye, Q., &amp; Liu, T.-Y. (2017). LightGBM: A highly efficient gradient boosting decision tree. In </w:t>
      </w:r>
      <w:r w:rsidRPr="00534D71">
        <w:rPr>
          <w:rFonts w:ascii="Times New Roman" w:eastAsia="Times New Roman" w:hAnsi="Times New Roman" w:cs="Times New Roman"/>
          <w:i/>
          <w:iCs/>
        </w:rPr>
        <w:t>Advances in Neural Information Processing Systems</w:t>
      </w:r>
      <w:r w:rsidRPr="00534D71">
        <w:rPr>
          <w:rFonts w:ascii="Times New Roman" w:eastAsia="Times New Roman" w:hAnsi="Times New Roman" w:cs="Times New Roman"/>
        </w:rPr>
        <w:t xml:space="preserve"> (Vol. 30, pp. 3146–3154). </w:t>
      </w:r>
      <w:hyperlink r:id="rId31" w:tgtFrame="_new" w:history="1">
        <w:r w:rsidRPr="00534D71">
          <w:rPr>
            <w:rFonts w:ascii="Times New Roman" w:eastAsia="Times New Roman" w:hAnsi="Times New Roman" w:cs="Times New Roman"/>
            <w:color w:val="0000FF"/>
            <w:u w:val="single"/>
          </w:rPr>
          <w:t>https://papers.neurips.cc/paper_files/paper/2017/hash/6449f44a102fde848669bdd9eb6b76fa-Abstract.html</w:t>
        </w:r>
      </w:hyperlink>
      <w:r w:rsidRPr="00534D71">
        <w:rPr>
          <w:rFonts w:ascii="Times New Roman" w:eastAsia="Times New Roman" w:hAnsi="Times New Roman" w:cs="Times New Roman"/>
        </w:rPr>
        <w:t xml:space="preserve"> </w:t>
      </w:r>
    </w:p>
    <w:p w14:paraId="1BEFAE03" w14:textId="647A6653"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Komorniczak, J., Zyblewski, P., &amp; Ksieniewicz, P. (2022). Statistical drift detection ensemble for batch processing of data streams. </w:t>
      </w:r>
      <w:r w:rsidRPr="00534D71">
        <w:rPr>
          <w:rFonts w:ascii="Times New Roman" w:eastAsia="Times New Roman" w:hAnsi="Times New Roman" w:cs="Times New Roman"/>
          <w:i/>
          <w:iCs/>
        </w:rPr>
        <w:t>Knowledge-Based Systems, 252</w:t>
      </w:r>
      <w:r w:rsidRPr="00534D71">
        <w:rPr>
          <w:rFonts w:ascii="Times New Roman" w:eastAsia="Times New Roman" w:hAnsi="Times New Roman" w:cs="Times New Roman"/>
        </w:rPr>
        <w:t xml:space="preserve">, 109380. </w:t>
      </w:r>
      <w:hyperlink r:id="rId32" w:tgtFrame="_new" w:history="1">
        <w:r w:rsidRPr="00534D71">
          <w:rPr>
            <w:rFonts w:ascii="Times New Roman" w:eastAsia="Times New Roman" w:hAnsi="Times New Roman" w:cs="Times New Roman"/>
            <w:color w:val="0000FF"/>
            <w:u w:val="single"/>
          </w:rPr>
          <w:t>https://doi.org/10.1016/j.knosys.2022.109380</w:t>
        </w:r>
      </w:hyperlink>
      <w:r w:rsidRPr="00534D71">
        <w:rPr>
          <w:rFonts w:ascii="Times New Roman" w:eastAsia="Times New Roman" w:hAnsi="Times New Roman" w:cs="Times New Roman"/>
        </w:rPr>
        <w:t xml:space="preserve"> </w:t>
      </w:r>
    </w:p>
    <w:p w14:paraId="54F35CDD" w14:textId="4963AC92"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Lu, J., Liu, A., Dong, F., Gu, F., Gama, J., &amp; Zhang, G. (2019). Learning under concept drift: A review. </w:t>
      </w:r>
      <w:r w:rsidRPr="00534D71">
        <w:rPr>
          <w:rFonts w:ascii="Times New Roman" w:eastAsia="Times New Roman" w:hAnsi="Times New Roman" w:cs="Times New Roman"/>
          <w:i/>
          <w:iCs/>
        </w:rPr>
        <w:t>IEEE Transactions on Knowledge and Data Engineering, 31</w:t>
      </w:r>
      <w:r w:rsidRPr="00534D71">
        <w:rPr>
          <w:rFonts w:ascii="Times New Roman" w:eastAsia="Times New Roman" w:hAnsi="Times New Roman" w:cs="Times New Roman"/>
        </w:rPr>
        <w:t xml:space="preserve">(12), 2346–2363. </w:t>
      </w:r>
      <w:hyperlink r:id="rId33" w:tgtFrame="_new" w:history="1">
        <w:r w:rsidRPr="00534D71">
          <w:rPr>
            <w:rFonts w:ascii="Times New Roman" w:eastAsia="Times New Roman" w:hAnsi="Times New Roman" w:cs="Times New Roman"/>
            <w:color w:val="0000FF"/>
            <w:u w:val="single"/>
          </w:rPr>
          <w:t>https://doi.org/10.1109/TKDE.2018.2876857</w:t>
        </w:r>
      </w:hyperlink>
      <w:r w:rsidRPr="00534D71">
        <w:rPr>
          <w:rFonts w:ascii="Times New Roman" w:eastAsia="Times New Roman" w:hAnsi="Times New Roman" w:cs="Times New Roman"/>
        </w:rPr>
        <w:t xml:space="preserve"> </w:t>
      </w:r>
    </w:p>
    <w:p w14:paraId="173E77D5" w14:textId="25F31606"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Mahadevan, A., &amp; Mathioudakis, M. (2024). Cost-aware retraining for machine learning. </w:t>
      </w:r>
      <w:r w:rsidRPr="00534D71">
        <w:rPr>
          <w:rFonts w:ascii="Times New Roman" w:eastAsia="Times New Roman" w:hAnsi="Times New Roman" w:cs="Times New Roman"/>
          <w:i/>
          <w:iCs/>
        </w:rPr>
        <w:t>Knowledge-Based Systems, 293</w:t>
      </w:r>
      <w:r w:rsidRPr="00534D71">
        <w:rPr>
          <w:rFonts w:ascii="Times New Roman" w:eastAsia="Times New Roman" w:hAnsi="Times New Roman" w:cs="Times New Roman"/>
        </w:rPr>
        <w:t xml:space="preserve">, 111610. </w:t>
      </w:r>
      <w:hyperlink r:id="rId34" w:tgtFrame="_new" w:history="1">
        <w:r w:rsidRPr="00534D71">
          <w:rPr>
            <w:rFonts w:ascii="Times New Roman" w:eastAsia="Times New Roman" w:hAnsi="Times New Roman" w:cs="Times New Roman"/>
            <w:color w:val="0000FF"/>
            <w:u w:val="single"/>
          </w:rPr>
          <w:t>https://doi.org/10.1016/j.knosys.2024.111610</w:t>
        </w:r>
      </w:hyperlink>
      <w:r w:rsidRPr="00534D71">
        <w:rPr>
          <w:rFonts w:ascii="Times New Roman" w:eastAsia="Times New Roman" w:hAnsi="Times New Roman" w:cs="Times New Roman"/>
        </w:rPr>
        <w:t xml:space="preserve"> </w:t>
      </w:r>
    </w:p>
    <w:p w14:paraId="5287EF49" w14:textId="4EDC78F8"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Mirsky, Y., Doitshman, T., Elovici, Y., &amp; Shabtai, A. (2018). Kitsune: An ensemble of autoencoders for online network intrusion detection. In </w:t>
      </w:r>
      <w:r w:rsidRPr="00534D71">
        <w:rPr>
          <w:rFonts w:ascii="Times New Roman" w:eastAsia="Times New Roman" w:hAnsi="Times New Roman" w:cs="Times New Roman"/>
          <w:i/>
          <w:iCs/>
        </w:rPr>
        <w:t>Proceedings of the 25th Annual Network and Distributed System Security Symposium (NDSS 2018)</w:t>
      </w:r>
      <w:r w:rsidRPr="00534D71">
        <w:rPr>
          <w:rFonts w:ascii="Times New Roman" w:eastAsia="Times New Roman" w:hAnsi="Times New Roman" w:cs="Times New Roman"/>
        </w:rPr>
        <w:t xml:space="preserve">. Internet Society. https://doi.org/10.14722/ndss.2018.23204 </w:t>
      </w:r>
    </w:p>
    <w:p w14:paraId="43F3933E" w14:textId="71504042"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Montiel, J., Mitchell, R., Frank, E., Pfahringer, B., Abdessalem, T., &amp; Bifet, A. (2020). Adaptive XGBoost for evolving data streams. In </w:t>
      </w:r>
      <w:r w:rsidRPr="00534D71">
        <w:rPr>
          <w:rFonts w:ascii="Times New Roman" w:eastAsia="Times New Roman" w:hAnsi="Times New Roman" w:cs="Times New Roman"/>
          <w:i/>
          <w:iCs/>
        </w:rPr>
        <w:t>2020 International Joint Conference on Neural Networks (IJCNN)</w:t>
      </w:r>
      <w:r w:rsidRPr="00534D71">
        <w:rPr>
          <w:rFonts w:ascii="Times New Roman" w:eastAsia="Times New Roman" w:hAnsi="Times New Roman" w:cs="Times New Roman"/>
        </w:rPr>
        <w:t xml:space="preserve"> (pp. 1–8). IEEE. </w:t>
      </w:r>
      <w:hyperlink r:id="rId35" w:tgtFrame="_new" w:history="1">
        <w:r w:rsidRPr="00534D71">
          <w:rPr>
            <w:rFonts w:ascii="Times New Roman" w:eastAsia="Times New Roman" w:hAnsi="Times New Roman" w:cs="Times New Roman"/>
            <w:color w:val="0000FF"/>
            <w:u w:val="single"/>
          </w:rPr>
          <w:t>https://doi.org/10.1109/IJCNN48605.2020.9207555</w:t>
        </w:r>
      </w:hyperlink>
      <w:r w:rsidRPr="00534D71">
        <w:rPr>
          <w:rFonts w:ascii="Times New Roman" w:eastAsia="Times New Roman" w:hAnsi="Times New Roman" w:cs="Times New Roman"/>
        </w:rPr>
        <w:t xml:space="preserve"> </w:t>
      </w:r>
    </w:p>
    <w:p w14:paraId="7264958D" w14:textId="4E2A10F5"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Nitish, A., Hanumanthappa, J., Shiva Prakash, S. P., &amp; Krinkin, K. (2024). Class imbalance and concept drift invariant online botnet threat detection framework for heterogeneous IoT edge. </w:t>
      </w:r>
      <w:r w:rsidRPr="00534D71">
        <w:rPr>
          <w:rFonts w:ascii="Times New Roman" w:eastAsia="Times New Roman" w:hAnsi="Times New Roman" w:cs="Times New Roman"/>
          <w:i/>
          <w:iCs/>
        </w:rPr>
        <w:t>Computers &amp; Security, 141</w:t>
      </w:r>
      <w:r w:rsidRPr="00534D71">
        <w:rPr>
          <w:rFonts w:ascii="Times New Roman" w:eastAsia="Times New Roman" w:hAnsi="Times New Roman" w:cs="Times New Roman"/>
        </w:rPr>
        <w:t xml:space="preserve">, 103820. https://doi.org/10.1016/j.cose.2024.103820 </w:t>
      </w:r>
    </w:p>
    <w:p w14:paraId="17CA2EDF" w14:textId="047380C4"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Page, E. S. (1954). Continuous inspection schemes. </w:t>
      </w:r>
      <w:r w:rsidRPr="00534D71">
        <w:rPr>
          <w:rFonts w:ascii="Times New Roman" w:eastAsia="Times New Roman" w:hAnsi="Times New Roman" w:cs="Times New Roman"/>
          <w:i/>
          <w:iCs/>
        </w:rPr>
        <w:t>Biometrika, 41</w:t>
      </w:r>
      <w:r w:rsidRPr="00534D71">
        <w:rPr>
          <w:rFonts w:ascii="Times New Roman" w:eastAsia="Times New Roman" w:hAnsi="Times New Roman" w:cs="Times New Roman"/>
        </w:rPr>
        <w:t xml:space="preserve">(1–2), 100–115. </w:t>
      </w:r>
      <w:hyperlink r:id="rId36" w:tgtFrame="_new" w:history="1">
        <w:r w:rsidRPr="00534D71">
          <w:rPr>
            <w:rFonts w:ascii="Times New Roman" w:eastAsia="Times New Roman" w:hAnsi="Times New Roman" w:cs="Times New Roman"/>
            <w:color w:val="0000FF"/>
            <w:u w:val="single"/>
          </w:rPr>
          <w:t>https://doi.org/10.1093/biomet/41.1-2.100</w:t>
        </w:r>
      </w:hyperlink>
      <w:r w:rsidRPr="00534D71">
        <w:rPr>
          <w:rFonts w:ascii="Times New Roman" w:eastAsia="Times New Roman" w:hAnsi="Times New Roman" w:cs="Times New Roman"/>
        </w:rPr>
        <w:t xml:space="preserve"> </w:t>
      </w:r>
    </w:p>
    <w:p w14:paraId="4274E32C" w14:textId="76939A6A"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lastRenderedPageBreak/>
        <w:t xml:space="preserve">Pendlebury, F., Pierazzi, F., Jordaney, R., Kinder, J., &amp; Cavallaro, L. (2019). TESSERACT: Eliminating experimental bias in malware classification across space and time. In </w:t>
      </w:r>
      <w:r w:rsidRPr="00534D71">
        <w:rPr>
          <w:rFonts w:ascii="Times New Roman" w:eastAsia="Times New Roman" w:hAnsi="Times New Roman" w:cs="Times New Roman"/>
          <w:i/>
          <w:iCs/>
        </w:rPr>
        <w:t>28th USENIX Security Symposium (USENIX Security 19)</w:t>
      </w:r>
      <w:r w:rsidRPr="00534D71">
        <w:rPr>
          <w:rFonts w:ascii="Times New Roman" w:eastAsia="Times New Roman" w:hAnsi="Times New Roman" w:cs="Times New Roman"/>
        </w:rPr>
        <w:t xml:space="preserve"> (pp. 729–746). USENIX Association. </w:t>
      </w:r>
      <w:hyperlink r:id="rId37" w:tgtFrame="_new" w:history="1">
        <w:r w:rsidRPr="00534D71">
          <w:rPr>
            <w:rFonts w:ascii="Times New Roman" w:eastAsia="Times New Roman" w:hAnsi="Times New Roman" w:cs="Times New Roman"/>
            <w:color w:val="0000FF"/>
            <w:u w:val="single"/>
          </w:rPr>
          <w:t>https://www.usenix.org/conference/usenixsecurity19/presentation/pendlebury</w:t>
        </w:r>
      </w:hyperlink>
      <w:r w:rsidRPr="00534D71">
        <w:rPr>
          <w:rFonts w:ascii="Times New Roman" w:eastAsia="Times New Roman" w:hAnsi="Times New Roman" w:cs="Times New Roman"/>
        </w:rPr>
        <w:t xml:space="preserve"> </w:t>
      </w:r>
    </w:p>
    <w:p w14:paraId="193BF7BD" w14:textId="32638594"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Puterman, M. L. (1994). </w:t>
      </w:r>
      <w:r w:rsidRPr="00534D71">
        <w:rPr>
          <w:rFonts w:ascii="Times New Roman" w:eastAsia="Times New Roman" w:hAnsi="Times New Roman" w:cs="Times New Roman"/>
          <w:i/>
          <w:iCs/>
        </w:rPr>
        <w:t>Markov decision processes: Discrete stochastic dynamic programming</w:t>
      </w:r>
      <w:r w:rsidRPr="00534D71">
        <w:rPr>
          <w:rFonts w:ascii="Times New Roman" w:eastAsia="Times New Roman" w:hAnsi="Times New Roman" w:cs="Times New Roman"/>
        </w:rPr>
        <w:t xml:space="preserve">. Wiley. </w:t>
      </w:r>
      <w:hyperlink r:id="rId38" w:tgtFrame="_new" w:history="1">
        <w:r w:rsidRPr="00534D71">
          <w:rPr>
            <w:rFonts w:ascii="Times New Roman" w:eastAsia="Times New Roman" w:hAnsi="Times New Roman" w:cs="Times New Roman"/>
            <w:color w:val="0000FF"/>
            <w:u w:val="single"/>
          </w:rPr>
          <w:t>https://doi.org/10.1002/9780470316887</w:t>
        </w:r>
      </w:hyperlink>
      <w:r w:rsidRPr="00534D71">
        <w:rPr>
          <w:rFonts w:ascii="Times New Roman" w:eastAsia="Times New Roman" w:hAnsi="Times New Roman" w:cs="Times New Roman"/>
        </w:rPr>
        <w:t xml:space="preserve"> </w:t>
      </w:r>
    </w:p>
    <w:p w14:paraId="2C9BBE97" w14:textId="00032DAE"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Regol, F., Schwinn, L., Sprague, K., Coates, M., &amp; Markovich, T. (2025). When to retrain a machine learning model. In </w:t>
      </w:r>
      <w:r w:rsidRPr="00534D71">
        <w:rPr>
          <w:rFonts w:ascii="Times New Roman" w:eastAsia="Times New Roman" w:hAnsi="Times New Roman" w:cs="Times New Roman"/>
          <w:i/>
          <w:iCs/>
        </w:rPr>
        <w:t>Proceedings of the 42nd International Conference on Machine Learning</w:t>
      </w:r>
      <w:r w:rsidRPr="00534D71">
        <w:rPr>
          <w:rFonts w:ascii="Times New Roman" w:eastAsia="Times New Roman" w:hAnsi="Times New Roman" w:cs="Times New Roman"/>
        </w:rPr>
        <w:t xml:space="preserve"> (Vol. 267, pp. 51369–51404). Proceedings of Machine Learning Research. </w:t>
      </w:r>
      <w:hyperlink r:id="rId39" w:tgtFrame="_new" w:history="1">
        <w:r w:rsidRPr="00534D71">
          <w:rPr>
            <w:rFonts w:ascii="Times New Roman" w:eastAsia="Times New Roman" w:hAnsi="Times New Roman" w:cs="Times New Roman"/>
            <w:color w:val="0000FF"/>
            <w:u w:val="single"/>
          </w:rPr>
          <w:t>https://proceedings.mlr.press/v267/regol25a.html</w:t>
        </w:r>
      </w:hyperlink>
      <w:r w:rsidRPr="00534D71">
        <w:rPr>
          <w:rFonts w:ascii="Times New Roman" w:eastAsia="Times New Roman" w:hAnsi="Times New Roman" w:cs="Times New Roman"/>
        </w:rPr>
        <w:t xml:space="preserve"> </w:t>
      </w:r>
    </w:p>
    <w:p w14:paraId="6DEB71C8" w14:textId="7ED887FB"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Routray, A. K., Dehury, S., &amp; Sahu, S. K. (2026a). An integrated multi-echelon inventory model with exponential demand decay, time-dependent costs, and partial deterioration. </w:t>
      </w:r>
      <w:r w:rsidRPr="00534D71">
        <w:rPr>
          <w:rFonts w:ascii="Times New Roman" w:eastAsia="Times New Roman" w:hAnsi="Times New Roman" w:cs="Times New Roman"/>
          <w:i/>
          <w:iCs/>
        </w:rPr>
        <w:t>International Journal of Advanced Scientific Research, 11</w:t>
      </w:r>
      <w:r w:rsidRPr="00534D71">
        <w:rPr>
          <w:rFonts w:ascii="Times New Roman" w:eastAsia="Times New Roman" w:hAnsi="Times New Roman" w:cs="Times New Roman"/>
        </w:rPr>
        <w:t xml:space="preserve">(2), 67–77. </w:t>
      </w:r>
      <w:hyperlink r:id="rId40" w:tgtFrame="_new" w:history="1">
        <w:r w:rsidRPr="00534D71">
          <w:rPr>
            <w:rFonts w:ascii="Times New Roman" w:eastAsia="Times New Roman" w:hAnsi="Times New Roman" w:cs="Times New Roman"/>
            <w:color w:val="0000FF"/>
            <w:u w:val="single"/>
          </w:rPr>
          <w:t>https://www.allscientificjournal.com/assets/archives/2026/vol11issue2/11044.pdf</w:t>
        </w:r>
      </w:hyperlink>
      <w:r w:rsidRPr="00534D71">
        <w:rPr>
          <w:rFonts w:ascii="Times New Roman" w:eastAsia="Times New Roman" w:hAnsi="Times New Roman" w:cs="Times New Roman"/>
        </w:rPr>
        <w:t xml:space="preserve"> </w:t>
      </w:r>
    </w:p>
    <w:p w14:paraId="7C78F812" w14:textId="2FC988E4"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Routray, A. K., Dehury, S., &amp; Sahu, S. K. (2026b). Carbon-constrained inventory management: A systematic review and roadmap for ecological footprint integration. </w:t>
      </w:r>
      <w:r w:rsidRPr="00534D71">
        <w:rPr>
          <w:rFonts w:ascii="Times New Roman" w:eastAsia="Times New Roman" w:hAnsi="Times New Roman" w:cs="Times New Roman"/>
          <w:i/>
          <w:iCs/>
        </w:rPr>
        <w:t>Journal of Optimization and Supply Chain Management</w:t>
      </w:r>
      <w:r w:rsidRPr="00534D71">
        <w:rPr>
          <w:rFonts w:ascii="Times New Roman" w:eastAsia="Times New Roman" w:hAnsi="Times New Roman" w:cs="Times New Roman"/>
        </w:rPr>
        <w:t xml:space="preserve">, e3011. </w:t>
      </w:r>
      <w:hyperlink r:id="rId41" w:tgtFrame="_new" w:history="1">
        <w:r w:rsidRPr="00534D71">
          <w:rPr>
            <w:rFonts w:ascii="Times New Roman" w:eastAsia="Times New Roman" w:hAnsi="Times New Roman" w:cs="Times New Roman"/>
            <w:color w:val="0000FF"/>
            <w:u w:val="single"/>
          </w:rPr>
          <w:t>https://doi.org/10.22034/ISS.2026.10683.1093</w:t>
        </w:r>
      </w:hyperlink>
      <w:r w:rsidRPr="00534D71">
        <w:rPr>
          <w:rFonts w:ascii="Times New Roman" w:eastAsia="Times New Roman" w:hAnsi="Times New Roman" w:cs="Times New Roman"/>
        </w:rPr>
        <w:t xml:space="preserve"> </w:t>
      </w:r>
    </w:p>
    <w:p w14:paraId="47D1B277" w14:textId="0DE658FC"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Routray, A. K., Dehury, S., Kumar, M., &amp; Sahu, S. K. (2026). Deep learning driven agricultural remote sensing: A scoping review of crop mapping, soil moisture estimation, and multi-sensor fusion. </w:t>
      </w:r>
      <w:r w:rsidRPr="00534D71">
        <w:rPr>
          <w:rFonts w:ascii="Times New Roman" w:eastAsia="Times New Roman" w:hAnsi="Times New Roman" w:cs="Times New Roman"/>
          <w:i/>
          <w:iCs/>
        </w:rPr>
        <w:t>Journal of Emerging Technologies and Innovative Research, 13</w:t>
      </w:r>
      <w:r w:rsidRPr="00534D71">
        <w:rPr>
          <w:rFonts w:ascii="Times New Roman" w:eastAsia="Times New Roman" w:hAnsi="Times New Roman" w:cs="Times New Roman"/>
        </w:rPr>
        <w:t xml:space="preserve">(5), JETIR2605037. </w:t>
      </w:r>
      <w:hyperlink r:id="rId42" w:tgtFrame="_new" w:history="1">
        <w:r w:rsidRPr="00534D71">
          <w:rPr>
            <w:rFonts w:ascii="Times New Roman" w:eastAsia="Times New Roman" w:hAnsi="Times New Roman" w:cs="Times New Roman"/>
            <w:color w:val="0000FF"/>
            <w:u w:val="single"/>
          </w:rPr>
          <w:t>https://www.jetir.org/papers/JETIR2605037.pdf</w:t>
        </w:r>
      </w:hyperlink>
      <w:r w:rsidRPr="00534D71">
        <w:rPr>
          <w:rFonts w:ascii="Times New Roman" w:eastAsia="Times New Roman" w:hAnsi="Times New Roman" w:cs="Times New Roman"/>
        </w:rPr>
        <w:t xml:space="preserve"> </w:t>
      </w:r>
    </w:p>
    <w:p w14:paraId="52B856AC" w14:textId="031659D2"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Sharafaldin, I., Lashkari, A. H., &amp; Ghorbani, A. A. (2018). Toward generating a new intrusion detection dataset and intrusion traffic characterization. In </w:t>
      </w:r>
      <w:r w:rsidRPr="00534D71">
        <w:rPr>
          <w:rFonts w:ascii="Times New Roman" w:eastAsia="Times New Roman" w:hAnsi="Times New Roman" w:cs="Times New Roman"/>
          <w:i/>
          <w:iCs/>
        </w:rPr>
        <w:t>Proceedings of the 4th International Conference on Information Systems Security and Privacy (ICISSP)</w:t>
      </w:r>
      <w:r w:rsidRPr="00534D71">
        <w:rPr>
          <w:rFonts w:ascii="Times New Roman" w:eastAsia="Times New Roman" w:hAnsi="Times New Roman" w:cs="Times New Roman"/>
        </w:rPr>
        <w:t xml:space="preserve"> (pp. 108–116). SCITEPRESS. </w:t>
      </w:r>
      <w:hyperlink r:id="rId43" w:tgtFrame="_new" w:history="1">
        <w:r w:rsidRPr="00534D71">
          <w:rPr>
            <w:rFonts w:ascii="Times New Roman" w:eastAsia="Times New Roman" w:hAnsi="Times New Roman" w:cs="Times New Roman"/>
            <w:color w:val="0000FF"/>
            <w:u w:val="single"/>
          </w:rPr>
          <w:t>https://doi.org/10.5220/0006639801080116</w:t>
        </w:r>
      </w:hyperlink>
      <w:r w:rsidRPr="00534D71">
        <w:rPr>
          <w:rFonts w:ascii="Times New Roman" w:eastAsia="Times New Roman" w:hAnsi="Times New Roman" w:cs="Times New Roman"/>
        </w:rPr>
        <w:t xml:space="preserve"> </w:t>
      </w:r>
    </w:p>
    <w:p w14:paraId="04E1DD5A" w14:textId="3468BDC1"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Shyaa, M. A., Ibrahim, N. F., Zainol, Z., Abdullah, R., Anbar, M., &amp; Alzubaidi, L. (2024). Evolving cybersecurity frontiers: A comprehensive survey on concept drift and feature dynamics aware machine and deep learning in intrusion detection systems. </w:t>
      </w:r>
      <w:r w:rsidRPr="00534D71">
        <w:rPr>
          <w:rFonts w:ascii="Times New Roman" w:eastAsia="Times New Roman" w:hAnsi="Times New Roman" w:cs="Times New Roman"/>
          <w:i/>
          <w:iCs/>
        </w:rPr>
        <w:t>Engineering Applications of Artificial Intelligence, 137</w:t>
      </w:r>
      <w:r w:rsidRPr="00534D71">
        <w:rPr>
          <w:rFonts w:ascii="Times New Roman" w:eastAsia="Times New Roman" w:hAnsi="Times New Roman" w:cs="Times New Roman"/>
        </w:rPr>
        <w:t xml:space="preserve">, 109143. </w:t>
      </w:r>
      <w:hyperlink r:id="rId44" w:tgtFrame="_new" w:history="1">
        <w:r w:rsidRPr="00534D71">
          <w:rPr>
            <w:rFonts w:ascii="Times New Roman" w:eastAsia="Times New Roman" w:hAnsi="Times New Roman" w:cs="Times New Roman"/>
            <w:color w:val="0000FF"/>
            <w:u w:val="single"/>
          </w:rPr>
          <w:t>https://doi.org/10.1016/j.engappai.2024.109143</w:t>
        </w:r>
      </w:hyperlink>
      <w:r w:rsidRPr="00534D71">
        <w:rPr>
          <w:rFonts w:ascii="Times New Roman" w:eastAsia="Times New Roman" w:hAnsi="Times New Roman" w:cs="Times New Roman"/>
        </w:rPr>
        <w:t xml:space="preserve"> </w:t>
      </w:r>
    </w:p>
    <w:p w14:paraId="67F58981" w14:textId="0E7FDBCA"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Suárez-Cetrulo, A. L., Quintana, D., &amp; Cervantes, A. (2023). A survey on machine learning for recurring concept drifting data streams. </w:t>
      </w:r>
      <w:r w:rsidRPr="00534D71">
        <w:rPr>
          <w:rFonts w:ascii="Times New Roman" w:eastAsia="Times New Roman" w:hAnsi="Times New Roman" w:cs="Times New Roman"/>
          <w:i/>
          <w:iCs/>
        </w:rPr>
        <w:t>Expert Systems with Applications, 213</w:t>
      </w:r>
      <w:r w:rsidRPr="00534D71">
        <w:rPr>
          <w:rFonts w:ascii="Times New Roman" w:eastAsia="Times New Roman" w:hAnsi="Times New Roman" w:cs="Times New Roman"/>
        </w:rPr>
        <w:t xml:space="preserve">, 118934. </w:t>
      </w:r>
      <w:hyperlink r:id="rId45" w:tgtFrame="_new" w:history="1">
        <w:r w:rsidRPr="00534D71">
          <w:rPr>
            <w:rFonts w:ascii="Times New Roman" w:eastAsia="Times New Roman" w:hAnsi="Times New Roman" w:cs="Times New Roman"/>
            <w:color w:val="0000FF"/>
            <w:u w:val="single"/>
          </w:rPr>
          <w:t>https://doi.org/10.1016/j.eswa.2022.118934</w:t>
        </w:r>
      </w:hyperlink>
      <w:r w:rsidRPr="00534D71">
        <w:rPr>
          <w:rFonts w:ascii="Times New Roman" w:eastAsia="Times New Roman" w:hAnsi="Times New Roman" w:cs="Times New Roman"/>
        </w:rPr>
        <w:t xml:space="preserve"> </w:t>
      </w:r>
    </w:p>
    <w:p w14:paraId="51A90276" w14:textId="2B5F5015"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Tavallaee, M., Bagheri, E., Lu, W., &amp; Ghorbani, A. A. (2009). A detailed analysis of the KDD CUP 99 data set. In </w:t>
      </w:r>
      <w:r w:rsidRPr="00534D71">
        <w:rPr>
          <w:rFonts w:ascii="Times New Roman" w:eastAsia="Times New Roman" w:hAnsi="Times New Roman" w:cs="Times New Roman"/>
          <w:i/>
          <w:iCs/>
        </w:rPr>
        <w:t>2009 IEEE Symposium on Computational Intelligence for Security and Defense Applications (CISDA)</w:t>
      </w:r>
      <w:r w:rsidRPr="00534D71">
        <w:rPr>
          <w:rFonts w:ascii="Times New Roman" w:eastAsia="Times New Roman" w:hAnsi="Times New Roman" w:cs="Times New Roman"/>
        </w:rPr>
        <w:t xml:space="preserve"> (pp. 1–6). IEEE. </w:t>
      </w:r>
      <w:hyperlink r:id="rId46" w:tgtFrame="_new" w:history="1">
        <w:r w:rsidRPr="00534D71">
          <w:rPr>
            <w:rFonts w:ascii="Times New Roman" w:eastAsia="Times New Roman" w:hAnsi="Times New Roman" w:cs="Times New Roman"/>
            <w:color w:val="0000FF"/>
            <w:u w:val="single"/>
          </w:rPr>
          <w:t>https://doi.org/10.1109/CISDA.2009.5356528</w:t>
        </w:r>
      </w:hyperlink>
      <w:r w:rsidRPr="00534D71">
        <w:rPr>
          <w:rFonts w:ascii="Times New Roman" w:eastAsia="Times New Roman" w:hAnsi="Times New Roman" w:cs="Times New Roman"/>
        </w:rPr>
        <w:t xml:space="preserve"> </w:t>
      </w:r>
    </w:p>
    <w:p w14:paraId="5BD05895" w14:textId="40A4911C"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Vaswani, A., Shazeer, N., Parmar, N., Uszkoreit, J., Jones, L., Gomez, A. N., Kaiser, Ł., &amp; Polosukhin, I. (2017). Attention is all you need. In </w:t>
      </w:r>
      <w:r w:rsidRPr="00534D71">
        <w:rPr>
          <w:rFonts w:ascii="Times New Roman" w:eastAsia="Times New Roman" w:hAnsi="Times New Roman" w:cs="Times New Roman"/>
          <w:i/>
          <w:iCs/>
        </w:rPr>
        <w:t>Advances in Neural Information Processing Systems</w:t>
      </w:r>
      <w:r w:rsidRPr="00534D71">
        <w:rPr>
          <w:rFonts w:ascii="Times New Roman" w:eastAsia="Times New Roman" w:hAnsi="Times New Roman" w:cs="Times New Roman"/>
        </w:rPr>
        <w:t xml:space="preserve"> (Vol. 30, pp. 5998–6008). </w:t>
      </w:r>
      <w:hyperlink r:id="rId47" w:tgtFrame="_new" w:history="1">
        <w:r w:rsidRPr="00534D71">
          <w:rPr>
            <w:rFonts w:ascii="Times New Roman" w:eastAsia="Times New Roman" w:hAnsi="Times New Roman" w:cs="Times New Roman"/>
            <w:color w:val="0000FF"/>
            <w:u w:val="single"/>
          </w:rPr>
          <w:t>https://proceedings.neurips.cc/paper/2017/hash/3f5ee243547dee91fbd053c1c4a845aa-Abstract.html</w:t>
        </w:r>
      </w:hyperlink>
      <w:r w:rsidRPr="00534D71">
        <w:rPr>
          <w:rFonts w:ascii="Times New Roman" w:eastAsia="Times New Roman" w:hAnsi="Times New Roman" w:cs="Times New Roman"/>
        </w:rPr>
        <w:t xml:space="preserve"> </w:t>
      </w:r>
    </w:p>
    <w:p w14:paraId="62E345A9" w14:textId="418B6045"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t xml:space="preserve">Villani, C. (2009). </w:t>
      </w:r>
      <w:r w:rsidRPr="00534D71">
        <w:rPr>
          <w:rFonts w:ascii="Times New Roman" w:eastAsia="Times New Roman" w:hAnsi="Times New Roman" w:cs="Times New Roman"/>
          <w:i/>
          <w:iCs/>
        </w:rPr>
        <w:t>Optimal transport: Old and new</w:t>
      </w:r>
      <w:r w:rsidRPr="00534D71">
        <w:rPr>
          <w:rFonts w:ascii="Times New Roman" w:eastAsia="Times New Roman" w:hAnsi="Times New Roman" w:cs="Times New Roman"/>
        </w:rPr>
        <w:t>. Springer. https://doi.org/10.1007/978-3-540-71050-9</w:t>
      </w:r>
    </w:p>
    <w:p w14:paraId="43F45610" w14:textId="237DEFDC"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rPr>
        <w:lastRenderedPageBreak/>
        <w:t xml:space="preserve">Wares, S., Isaacs, J., &amp; Elyan, E. (2019). Data stream mining: Methods and challenges for handling concept drift. </w:t>
      </w:r>
      <w:r w:rsidRPr="00534D71">
        <w:rPr>
          <w:rFonts w:ascii="Times New Roman" w:eastAsia="Times New Roman" w:hAnsi="Times New Roman" w:cs="Times New Roman"/>
          <w:i/>
          <w:iCs/>
        </w:rPr>
        <w:t>SN Applied Sciences, 1</w:t>
      </w:r>
      <w:r w:rsidRPr="00534D71">
        <w:rPr>
          <w:rFonts w:ascii="Times New Roman" w:eastAsia="Times New Roman" w:hAnsi="Times New Roman" w:cs="Times New Roman"/>
        </w:rPr>
        <w:t xml:space="preserve">(11), 1412. </w:t>
      </w:r>
      <w:hyperlink r:id="rId48" w:tgtFrame="_new" w:history="1">
        <w:r w:rsidRPr="00534D71">
          <w:rPr>
            <w:rFonts w:ascii="Times New Roman" w:eastAsia="Times New Roman" w:hAnsi="Times New Roman" w:cs="Times New Roman"/>
            <w:color w:val="0000FF"/>
            <w:u w:val="single"/>
          </w:rPr>
          <w:t>https://doi.org/10.1007/s42452-019-1433-0</w:t>
        </w:r>
      </w:hyperlink>
      <w:r w:rsidRPr="00534D71">
        <w:rPr>
          <w:rFonts w:ascii="Times New Roman" w:eastAsia="Times New Roman" w:hAnsi="Times New Roman" w:cs="Times New Roman"/>
        </w:rPr>
        <w:t xml:space="preserve"> </w:t>
      </w:r>
    </w:p>
    <w:p w14:paraId="0F966C59" w14:textId="2ED65F69" w:rsidR="00534D71" w:rsidRPr="00534D71" w:rsidRDefault="00534D71" w:rsidP="00534D71">
      <w:pPr>
        <w:spacing w:after="0"/>
        <w:ind w:left="540" w:hanging="540"/>
        <w:jc w:val="both"/>
        <w:rPr>
          <w:rFonts w:ascii="Times New Roman" w:eastAsia="Times New Roman" w:hAnsi="Times New Roman" w:cs="Times New Roman"/>
          <w:lang w:val="nl-BE"/>
        </w:rPr>
      </w:pPr>
      <w:r w:rsidRPr="00534D71">
        <w:rPr>
          <w:rFonts w:ascii="Times New Roman" w:eastAsia="Times New Roman" w:hAnsi="Times New Roman" w:cs="Times New Roman"/>
        </w:rPr>
        <w:t xml:space="preserve">Yang, L., Guo, W., Hao, Q., Ciptadi, A., Ahmadzadeh, A., Xing, X., &amp; Wang, G. (2021). CADE: Detecting and explaining concept drift samples for security applications. In </w:t>
      </w:r>
      <w:r w:rsidRPr="00534D71">
        <w:rPr>
          <w:rFonts w:ascii="Times New Roman" w:eastAsia="Times New Roman" w:hAnsi="Times New Roman" w:cs="Times New Roman"/>
          <w:i/>
          <w:iCs/>
        </w:rPr>
        <w:t>Proceedings of the 30th USENIX Security Symposium</w:t>
      </w:r>
      <w:r w:rsidRPr="00534D71">
        <w:rPr>
          <w:rFonts w:ascii="Times New Roman" w:eastAsia="Times New Roman" w:hAnsi="Times New Roman" w:cs="Times New Roman"/>
        </w:rPr>
        <w:t xml:space="preserve"> (pp. 2327–2344). USENIX Association. </w:t>
      </w:r>
      <w:hyperlink r:id="rId49" w:tgtFrame="_new" w:history="1">
        <w:r w:rsidRPr="00534D71">
          <w:rPr>
            <w:rFonts w:ascii="Times New Roman" w:eastAsia="Times New Roman" w:hAnsi="Times New Roman" w:cs="Times New Roman"/>
            <w:color w:val="0000FF"/>
            <w:u w:val="single"/>
            <w:lang w:val="nl-BE"/>
          </w:rPr>
          <w:t>https://www.usenix.org/conference/usenixsecurity21/presentation/yang-limin</w:t>
        </w:r>
      </w:hyperlink>
      <w:r w:rsidRPr="00534D71">
        <w:rPr>
          <w:rFonts w:ascii="Times New Roman" w:eastAsia="Times New Roman" w:hAnsi="Times New Roman" w:cs="Times New Roman"/>
          <w:lang w:val="nl-BE"/>
        </w:rPr>
        <w:t xml:space="preserve"> </w:t>
      </w:r>
    </w:p>
    <w:p w14:paraId="18C73F38" w14:textId="611E5989" w:rsidR="00534D71" w:rsidRPr="00534D71" w:rsidRDefault="00534D71" w:rsidP="00534D71">
      <w:pPr>
        <w:spacing w:after="0"/>
        <w:ind w:left="540" w:hanging="540"/>
        <w:jc w:val="both"/>
        <w:rPr>
          <w:rFonts w:ascii="Times New Roman" w:eastAsia="Times New Roman" w:hAnsi="Times New Roman" w:cs="Times New Roman"/>
        </w:rPr>
      </w:pPr>
      <w:r w:rsidRPr="00534D71">
        <w:rPr>
          <w:rFonts w:ascii="Times New Roman" w:eastAsia="Times New Roman" w:hAnsi="Times New Roman" w:cs="Times New Roman"/>
          <w:lang w:val="nl-BE"/>
        </w:rPr>
        <w:t xml:space="preserve">Yang, S., Zheng, X., Li, J., Xu, J., Zhang, X., &amp; Ngai, E. C. H. (2025). </w:t>
      </w:r>
      <w:r w:rsidRPr="00534D71">
        <w:rPr>
          <w:rFonts w:ascii="Times New Roman" w:eastAsia="Times New Roman" w:hAnsi="Times New Roman" w:cs="Times New Roman"/>
        </w:rPr>
        <w:t xml:space="preserve">Self-supervised adaptation method to concept drift for network intrusion detection. </w:t>
      </w:r>
      <w:r w:rsidRPr="00534D71">
        <w:rPr>
          <w:rFonts w:ascii="Times New Roman" w:eastAsia="Times New Roman" w:hAnsi="Times New Roman" w:cs="Times New Roman"/>
          <w:i/>
          <w:iCs/>
        </w:rPr>
        <w:t>IEEE Transactions on Dependable and Secure Computing, 22</w:t>
      </w:r>
      <w:r w:rsidRPr="00534D71">
        <w:rPr>
          <w:rFonts w:ascii="Times New Roman" w:eastAsia="Times New Roman" w:hAnsi="Times New Roman" w:cs="Times New Roman"/>
        </w:rPr>
        <w:t>(6), 7632–7646. https://doi.org/10.1109/TDSC.2025.3599321</w:t>
      </w:r>
    </w:p>
    <w:p w14:paraId="67B04F75" w14:textId="5B6E7BEB" w:rsidR="000A58B6" w:rsidRDefault="00534D71" w:rsidP="00534D71">
      <w:pPr>
        <w:pStyle w:val="BodyText"/>
        <w:spacing w:line="360" w:lineRule="auto"/>
        <w:ind w:left="540" w:hanging="540"/>
        <w:jc w:val="both"/>
      </w:pPr>
      <w:r w:rsidRPr="00534D71">
        <w:rPr>
          <w:rFonts w:ascii="Times New Roman" w:eastAsia="Times New Roman" w:hAnsi="Times New Roman" w:cs="Times New Roman"/>
          <w:lang w:val="nl-BE"/>
        </w:rPr>
        <w:t xml:space="preserve">Yirenkyi, W. A., Teye, A. G., Konotey, M., &amp; Magdalene, Y. M. (2026). </w:t>
      </w:r>
      <w:r w:rsidRPr="00534D71">
        <w:rPr>
          <w:rFonts w:ascii="Times New Roman" w:eastAsia="Times New Roman" w:hAnsi="Times New Roman" w:cs="Times New Roman"/>
        </w:rPr>
        <w:t xml:space="preserve">From risk reporting to resilience: A narrative integrative review of cybersecurity governance practices in organizations. </w:t>
      </w:r>
      <w:r w:rsidRPr="00534D71">
        <w:rPr>
          <w:rFonts w:ascii="Times New Roman" w:eastAsia="Times New Roman" w:hAnsi="Times New Roman" w:cs="Times New Roman"/>
          <w:i/>
          <w:iCs/>
        </w:rPr>
        <w:t>Asian Journal of Current Research, 11</w:t>
      </w:r>
      <w:r w:rsidRPr="00534D71">
        <w:rPr>
          <w:rFonts w:ascii="Times New Roman" w:eastAsia="Times New Roman" w:hAnsi="Times New Roman" w:cs="Times New Roman"/>
        </w:rPr>
        <w:t xml:space="preserve">(3), 233–248. </w:t>
      </w:r>
      <w:hyperlink r:id="rId50" w:tgtFrame="_new" w:history="1">
        <w:r w:rsidRPr="00534D71">
          <w:rPr>
            <w:rFonts w:ascii="Times New Roman" w:eastAsia="Times New Roman" w:hAnsi="Times New Roman" w:cs="Times New Roman"/>
            <w:color w:val="0000FF"/>
            <w:u w:val="single"/>
          </w:rPr>
          <w:t>https://doi.org/10.56557/ajocr/2026/v11i310877</w:t>
        </w:r>
      </w:hyperlink>
    </w:p>
    <w:sectPr w:rsidR="000A58B6">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BE001" w14:textId="77777777" w:rsidR="00DF169E" w:rsidRDefault="00DF169E">
      <w:pPr>
        <w:spacing w:after="0"/>
      </w:pPr>
      <w:r>
        <w:separator/>
      </w:r>
    </w:p>
  </w:endnote>
  <w:endnote w:type="continuationSeparator" w:id="0">
    <w:p w14:paraId="0900A640" w14:textId="77777777" w:rsidR="00DF169E" w:rsidRDefault="00DF16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5FDD" w14:textId="77777777" w:rsidR="00305A60" w:rsidRDefault="00305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4F4A" w14:textId="77777777" w:rsidR="00305A60" w:rsidRDefault="00305A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E1019" w14:textId="77777777" w:rsidR="00305A60" w:rsidRDefault="00305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0309" w14:textId="77777777" w:rsidR="00DF169E" w:rsidRDefault="00DF169E">
      <w:r>
        <w:separator/>
      </w:r>
    </w:p>
  </w:footnote>
  <w:footnote w:type="continuationSeparator" w:id="0">
    <w:p w14:paraId="63CAF03F" w14:textId="77777777" w:rsidR="00DF169E" w:rsidRDefault="00DF1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EABC" w14:textId="77777777" w:rsidR="00305A60" w:rsidRDefault="00000000">
    <w:pPr>
      <w:pStyle w:val="Header"/>
    </w:pPr>
    <w:r>
      <w:rPr>
        <w:noProof/>
      </w:rPr>
      <w:pict w14:anchorId="2C9FA7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2719" o:sp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5EED" w14:textId="77777777" w:rsidR="00305A60" w:rsidRDefault="00000000">
    <w:pPr>
      <w:pStyle w:val="Header"/>
    </w:pPr>
    <w:r>
      <w:rPr>
        <w:noProof/>
      </w:rPr>
      <w:pict w14:anchorId="046B47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2720" o:sp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5A31" w14:textId="77777777" w:rsidR="00305A60" w:rsidRDefault="00000000">
    <w:pPr>
      <w:pStyle w:val="Header"/>
    </w:pPr>
    <w:r>
      <w:rPr>
        <w:noProof/>
      </w:rPr>
      <w:pict w14:anchorId="2CB81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2718"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5EEED1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4916251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178F0A1B"/>
    <w:multiLevelType w:val="hybridMultilevel"/>
    <w:tmpl w:val="898AF23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C3781A"/>
    <w:multiLevelType w:val="hybridMultilevel"/>
    <w:tmpl w:val="AC76D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21315"/>
    <w:multiLevelType w:val="hybridMultilevel"/>
    <w:tmpl w:val="8FA05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7972239">
    <w:abstractNumId w:val="0"/>
  </w:num>
  <w:num w:numId="2" w16cid:durableId="19929804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5375741">
    <w:abstractNumId w:val="4"/>
  </w:num>
  <w:num w:numId="4" w16cid:durableId="1360661005">
    <w:abstractNumId w:val="3"/>
  </w:num>
  <w:num w:numId="5" w16cid:durableId="100995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7A24"/>
    <w:rsid w:val="000A1E46"/>
    <w:rsid w:val="000A58B6"/>
    <w:rsid w:val="001A556C"/>
    <w:rsid w:val="00204BEB"/>
    <w:rsid w:val="00305A60"/>
    <w:rsid w:val="00343F16"/>
    <w:rsid w:val="00364457"/>
    <w:rsid w:val="00390453"/>
    <w:rsid w:val="003942E3"/>
    <w:rsid w:val="003D0B0A"/>
    <w:rsid w:val="003D5678"/>
    <w:rsid w:val="003F7720"/>
    <w:rsid w:val="00427A24"/>
    <w:rsid w:val="00434247"/>
    <w:rsid w:val="00443D9D"/>
    <w:rsid w:val="00534D71"/>
    <w:rsid w:val="005423D6"/>
    <w:rsid w:val="00590566"/>
    <w:rsid w:val="00596EDC"/>
    <w:rsid w:val="008963F7"/>
    <w:rsid w:val="008F3A0E"/>
    <w:rsid w:val="0099538E"/>
    <w:rsid w:val="009D0901"/>
    <w:rsid w:val="00A210B9"/>
    <w:rsid w:val="00A25C6F"/>
    <w:rsid w:val="00A7443C"/>
    <w:rsid w:val="00B71A40"/>
    <w:rsid w:val="00B7380B"/>
    <w:rsid w:val="00BF45D2"/>
    <w:rsid w:val="00C32B41"/>
    <w:rsid w:val="00C62CA5"/>
    <w:rsid w:val="00C80F00"/>
    <w:rsid w:val="00CD09EF"/>
    <w:rsid w:val="00D41AB6"/>
    <w:rsid w:val="00D60186"/>
    <w:rsid w:val="00D6158C"/>
    <w:rsid w:val="00D645A1"/>
    <w:rsid w:val="00D83398"/>
    <w:rsid w:val="00DF169E"/>
    <w:rsid w:val="00E0030C"/>
    <w:rsid w:val="00E3136E"/>
    <w:rsid w:val="00E41A14"/>
    <w:rsid w:val="00E734A3"/>
    <w:rsid w:val="00E73C9C"/>
    <w:rsid w:val="00F11023"/>
    <w:rsid w:val="00F57E70"/>
    <w:rsid w:val="00FC2D46"/>
  </w:rsids>
  <m:mathPr>
    <m:mathFont m:val="Cambria Math"/>
    <m:brkBin m:val="before"/>
    <m:brkBinSub m:val="--"/>
    <m:smallFrac m:val="0"/>
    <m:dispDef/>
    <m:lMargin m:val="0"/>
    <m:rMargin m:val="0"/>
    <m:defJc m:val="centerGroup"/>
    <m:wrapRight/>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05E85"/>
  <w15:docId w15:val="{7F54882E-614B-4617-93DC-5D441604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PlaceholderText">
    <w:name w:val="Placeholder Text"/>
    <w:basedOn w:val="DefaultParagraphFont"/>
    <w:rsid w:val="000A1E46"/>
    <w:rPr>
      <w:color w:val="666666"/>
    </w:rPr>
  </w:style>
  <w:style w:type="table" w:styleId="TableGrid">
    <w:name w:val="Table Grid"/>
    <w:basedOn w:val="TableNormal"/>
    <w:rsid w:val="003644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36445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rong1">
    <w:name w:val="Strong1"/>
    <w:qFormat/>
    <w:rsid w:val="00390453"/>
    <w:pPr>
      <w:spacing w:after="0"/>
    </w:pPr>
    <w:rPr>
      <w:rFonts w:ascii="Calibri" w:eastAsia="Calibri" w:hAnsi="Calibri" w:cs="Calibri"/>
      <w:b/>
      <w:bCs/>
      <w:sz w:val="21"/>
      <w:szCs w:val="21"/>
      <w:lang w:val="en-IN" w:eastAsia="en-IN" w:bidi="or-IN"/>
    </w:rPr>
  </w:style>
  <w:style w:type="character" w:styleId="UnresolvedMention">
    <w:name w:val="Unresolved Mention"/>
    <w:basedOn w:val="DefaultParagraphFont"/>
    <w:uiPriority w:val="99"/>
    <w:semiHidden/>
    <w:unhideWhenUsed/>
    <w:rsid w:val="00FC2D46"/>
    <w:rPr>
      <w:color w:val="605E5C"/>
      <w:shd w:val="clear" w:color="auto" w:fill="E1DFDD"/>
    </w:rPr>
  </w:style>
  <w:style w:type="paragraph" w:styleId="Header">
    <w:name w:val="header"/>
    <w:basedOn w:val="Normal"/>
    <w:link w:val="HeaderChar"/>
    <w:rsid w:val="00305A60"/>
    <w:pPr>
      <w:tabs>
        <w:tab w:val="center" w:pos="4513"/>
        <w:tab w:val="right" w:pos="9026"/>
      </w:tabs>
      <w:spacing w:after="0"/>
    </w:pPr>
  </w:style>
  <w:style w:type="character" w:customStyle="1" w:styleId="HeaderChar">
    <w:name w:val="Header Char"/>
    <w:basedOn w:val="DefaultParagraphFont"/>
    <w:link w:val="Header"/>
    <w:rsid w:val="00305A60"/>
  </w:style>
  <w:style w:type="paragraph" w:styleId="Footer">
    <w:name w:val="footer"/>
    <w:basedOn w:val="Normal"/>
    <w:link w:val="FooterChar"/>
    <w:rsid w:val="00305A60"/>
    <w:pPr>
      <w:tabs>
        <w:tab w:val="center" w:pos="4513"/>
        <w:tab w:val="right" w:pos="9026"/>
      </w:tabs>
      <w:spacing w:after="0"/>
    </w:pPr>
  </w:style>
  <w:style w:type="character" w:customStyle="1" w:styleId="FooterChar">
    <w:name w:val="Footer Char"/>
    <w:basedOn w:val="DefaultParagraphFont"/>
    <w:link w:val="Footer"/>
    <w:rsid w:val="00305A60"/>
  </w:style>
  <w:style w:type="paragraph" w:styleId="ListParagraph">
    <w:name w:val="List Paragraph"/>
    <w:basedOn w:val="Normal"/>
    <w:uiPriority w:val="34"/>
    <w:qFormat/>
    <w:rsid w:val="009D0901"/>
    <w:pPr>
      <w:spacing w:line="276" w:lineRule="auto"/>
      <w:ind w:left="720"/>
      <w:contextualSpacing/>
    </w:pPr>
    <w:rPr>
      <w:rFonts w:eastAsiaTheme="minorEastAsia"/>
      <w:sz w:val="22"/>
      <w:szCs w:val="22"/>
    </w:rPr>
  </w:style>
  <w:style w:type="character" w:styleId="Emphasis">
    <w:name w:val="Emphasis"/>
    <w:basedOn w:val="DefaultParagraphFont"/>
    <w:uiPriority w:val="20"/>
    <w:qFormat/>
    <w:rsid w:val="00534D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doi.org/10.1145/3474369.3486864" TargetMode="External"/><Relationship Id="rId26" Type="http://schemas.openxmlformats.org/officeDocument/2006/relationships/hyperlink" Target="https://doi.org/10.1145/2523813?utm_source=chatgpt.com" TargetMode="External"/><Relationship Id="rId39" Type="http://schemas.openxmlformats.org/officeDocument/2006/relationships/hyperlink" Target="https://proceedings.mlr.press/v267/regol25a.html?utm_source=chatgpt.com" TargetMode="External"/><Relationship Id="rId21" Type="http://schemas.openxmlformats.org/officeDocument/2006/relationships/hyperlink" Target="https://doi.org/10.1137/1.9781611972771.42?utm_source=chatgpt.com" TargetMode="External"/><Relationship Id="rId34" Type="http://schemas.openxmlformats.org/officeDocument/2006/relationships/hyperlink" Target="https://doi.org/10.1016/j.knosys.2024.111610" TargetMode="External"/><Relationship Id="rId42" Type="http://schemas.openxmlformats.org/officeDocument/2006/relationships/hyperlink" Target="https://www.jetir.org/papers/JETIR2605037.pdf?utm_source=chatgpt.com" TargetMode="External"/><Relationship Id="rId47" Type="http://schemas.openxmlformats.org/officeDocument/2006/relationships/hyperlink" Target="https://proceedings.neurips.cc/paper/2017/hash/3f5ee243547dee91fbd053c1c4a845aa-Abstract.html?utm_source=chatgpt.com" TargetMode="External"/><Relationship Id="rId50" Type="http://schemas.openxmlformats.org/officeDocument/2006/relationships/hyperlink" Target="https://doi.org/10.56557/ajocr/2026/v11i310877" TargetMode="External"/><Relationship Id="rId55"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s://doi.org/10.1162/neco.1997.9.8.1735?utm_source=chatgpt.com" TargetMode="External"/><Relationship Id="rId11" Type="http://schemas.openxmlformats.org/officeDocument/2006/relationships/image" Target="media/image5.png"/><Relationship Id="rId24" Type="http://schemas.openxmlformats.org/officeDocument/2006/relationships/hyperlink" Target="https://www.usenix.org/conference/usenixsecurity23/presentation/chen-yizheng?utm_source=chatgpt.com" TargetMode="External"/><Relationship Id="rId32" Type="http://schemas.openxmlformats.org/officeDocument/2006/relationships/hyperlink" Target="https://doi.org/10.1016/j.knosys.2022.109380" TargetMode="External"/><Relationship Id="rId37" Type="http://schemas.openxmlformats.org/officeDocument/2006/relationships/hyperlink" Target="https://www.usenix.org/conference/usenixsecurity19/presentation/pendlebury?utm_source=chatgpt.com" TargetMode="External"/><Relationship Id="rId40" Type="http://schemas.openxmlformats.org/officeDocument/2006/relationships/hyperlink" Target="https://www.allscientificjournal.com/assets/archives/2026/vol11issue2/11044.pdf?utm_source=chatgpt.com" TargetMode="External"/><Relationship Id="rId45" Type="http://schemas.openxmlformats.org/officeDocument/2006/relationships/hyperlink" Target="https://doi.org/10.1016/j.eswa.2022.118934"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doi.org/10.9734/ajrcos/2026/v19i282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doi.org/10.1023/A:1010933404324" TargetMode="External"/><Relationship Id="rId27" Type="http://schemas.openxmlformats.org/officeDocument/2006/relationships/hyperlink" Target="https://doi.org/10.1007/s10994-017-5642-8" TargetMode="External"/><Relationship Id="rId30" Type="http://schemas.openxmlformats.org/officeDocument/2006/relationships/hyperlink" Target="https://www.usenix.org/conference/usenixsecurity17/technical-sessions/presentation/jordaney?utm_source=chatgpt.com" TargetMode="External"/><Relationship Id="rId35" Type="http://schemas.openxmlformats.org/officeDocument/2006/relationships/hyperlink" Target="https://doi.org/10.1109/IJCNN48605.2020.9207555" TargetMode="External"/><Relationship Id="rId43" Type="http://schemas.openxmlformats.org/officeDocument/2006/relationships/hyperlink" Target="https://doi.org/10.5220/0006639801080116" TargetMode="External"/><Relationship Id="rId48" Type="http://schemas.openxmlformats.org/officeDocument/2006/relationships/hyperlink" Target="https://doi.org/10.1007/s42452-019-1433-0" TargetMode="External"/><Relationship Id="rId56"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3390/fi15020062" TargetMode="External"/><Relationship Id="rId25" Type="http://schemas.openxmlformats.org/officeDocument/2006/relationships/hyperlink" Target="https://doi.org/10.9734/arjom/2026/v22i71127" TargetMode="External"/><Relationship Id="rId33" Type="http://schemas.openxmlformats.org/officeDocument/2006/relationships/hyperlink" Target="https://doi.org/10.1109/TKDE.2018.2876857?utm_source=chatgpt.com" TargetMode="External"/><Relationship Id="rId38" Type="http://schemas.openxmlformats.org/officeDocument/2006/relationships/hyperlink" Target="https://doi.org/10.1002/9780470316887?utm_source=chatgpt.com" TargetMode="External"/><Relationship Id="rId46" Type="http://schemas.openxmlformats.org/officeDocument/2006/relationships/hyperlink" Target="https://doi.org/10.1109/CISDA.2009.5356528" TargetMode="External"/><Relationship Id="rId20" Type="http://schemas.openxmlformats.org/officeDocument/2006/relationships/hyperlink" Target="https://doi.org/10.1109/SP46214.2022.9833659" TargetMode="External"/><Relationship Id="rId41" Type="http://schemas.openxmlformats.org/officeDocument/2006/relationships/hyperlink" Target="https://doi.org/10.22034/ISS.2026.10683.1093"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doi.org/10.1145/2939672.2939785?utm_source=chatgpt.com" TargetMode="External"/><Relationship Id="rId28" Type="http://schemas.openxmlformats.org/officeDocument/2006/relationships/hyperlink" Target="https://doi.org/10.1093/biomet/58.3.509" TargetMode="External"/><Relationship Id="rId36" Type="http://schemas.openxmlformats.org/officeDocument/2006/relationships/hyperlink" Target="https://doi.org/10.1093/biomet/41.1-2.100?utm_source=chatgpt.com" TargetMode="External"/><Relationship Id="rId49" Type="http://schemas.openxmlformats.org/officeDocument/2006/relationships/hyperlink" Target="https://www.usenix.org/conference/usenixsecurity21/presentation/yang-limin?utm_source=chatgpt.com" TargetMode="External"/><Relationship Id="rId57"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hyperlink" Target="https://papers.neurips.cc/paper_files/paper/2017/hash/6449f44a102fde848669bdd9eb6b76fa-Abstract.html?utm_source=chatgpt.com" TargetMode="External"/><Relationship Id="rId44" Type="http://schemas.openxmlformats.org/officeDocument/2006/relationships/hyperlink" Target="https://doi.org/10.1016/j.engappai.2024.109143"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32</Pages>
  <Words>11361</Words>
  <Characters>64761</Characters>
  <Application>Microsoft Office Word</Application>
  <DocSecurity>0</DocSecurity>
  <Lines>539</Lines>
  <Paragraphs>151</Paragraphs>
  <ScaleCrop>false</ScaleCrop>
  <Company/>
  <LinksUpToDate>false</LinksUpToDate>
  <CharactersWithSpaces>75971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Editor-90</cp:lastModifiedBy>
  <cp:revision>29</cp:revision>
  <dcterms:created xsi:type="dcterms:W3CDTF">2026-08-22T08:32:00Z</dcterms:created>
  <dcterms:modified xsi:type="dcterms:W3CDTF">2026-08-29T09:14:00Z</dcterms:modified>
</cp:coreProperties>
</file>