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9261E" w14:textId="77777777" w:rsidR="00092C7A" w:rsidRDefault="00092C7A" w:rsidP="00092C7A">
      <w:pPr>
        <w:widowControl/>
        <w:spacing w:before="480" w:after="240"/>
        <w:jc w:val="left"/>
        <w:outlineLvl w:val="0"/>
        <w:rPr>
          <w:rFonts w:ascii="Times New Roman" w:eastAsia="SimSun" w:hAnsi="Times New Roman" w:cs="Times New Roman"/>
          <w:b/>
          <w:bCs/>
          <w:color w:val="0F1115"/>
          <w:kern w:val="36"/>
          <w:sz w:val="24"/>
        </w:rPr>
      </w:pPr>
      <w:r>
        <w:rPr>
          <w:rFonts w:ascii="Times New Roman" w:hAnsi="Times New Roman"/>
          <w:b/>
          <w:sz w:val="24"/>
        </w:rPr>
        <w:t>Contrastive Discourse Cohesion: Re-evaluating the Rigo</w:t>
      </w:r>
      <w:r>
        <w:rPr>
          <w:rFonts w:ascii="Times New Roman" w:hAnsi="Times New Roman"/>
          <w:b/>
          <w:sz w:val="24"/>
          <w:highlight w:val="yellow"/>
        </w:rPr>
        <w:t>u</w:t>
      </w:r>
      <w:r>
        <w:rPr>
          <w:rFonts w:ascii="Times New Roman" w:hAnsi="Times New Roman"/>
          <w:b/>
          <w:sz w:val="24"/>
        </w:rPr>
        <w:t>r of Narrative Research</w:t>
      </w:r>
    </w:p>
    <w:p w14:paraId="0D284E9A" w14:textId="77777777" w:rsidR="00BA7EBD" w:rsidRPr="00092C7A" w:rsidRDefault="00BA7EBD" w:rsidP="00092C7A">
      <w:pPr>
        <w:widowControl/>
        <w:spacing w:before="480" w:after="240"/>
        <w:jc w:val="left"/>
        <w:outlineLvl w:val="0"/>
        <w:rPr>
          <w:rFonts w:ascii="Times New Roman" w:eastAsia="SimSun" w:hAnsi="Times New Roman" w:cs="Times New Roman"/>
          <w:b/>
          <w:bCs/>
          <w:color w:val="0F1115"/>
          <w:kern w:val="36"/>
          <w:sz w:val="24"/>
        </w:rPr>
      </w:pPr>
    </w:p>
    <w:p w14:paraId="5E5C2D9B" w14:textId="77777777" w:rsidR="00092C7A" w:rsidRPr="00092C7A" w:rsidRDefault="00092C7A" w:rsidP="00092C7A">
      <w:pPr>
        <w:widowControl/>
        <w:spacing w:before="480" w:after="240"/>
        <w:jc w:val="left"/>
        <w:outlineLvl w:val="0"/>
        <w:rPr>
          <w:rFonts w:ascii="Times New Roman" w:eastAsia="SimSun" w:hAnsi="Times New Roman" w:cs="Times New Roman"/>
          <w:b/>
          <w:bCs/>
          <w:color w:val="0F1115"/>
          <w:kern w:val="36"/>
          <w:sz w:val="24"/>
        </w:rPr>
      </w:pPr>
      <w:r w:rsidRPr="00092C7A">
        <w:rPr>
          <w:rFonts w:ascii="Times New Roman" w:eastAsia="SimSun" w:hAnsi="Times New Roman" w:cs="Times New Roman"/>
          <w:b/>
          <w:bCs/>
          <w:color w:val="0F1115"/>
          <w:kern w:val="36"/>
          <w:sz w:val="24"/>
        </w:rPr>
        <w:t>Abstract</w:t>
      </w:r>
    </w:p>
    <w:p w14:paraId="361344B8" w14:textId="77777777" w:rsidR="00FD40ED" w:rsidRDefault="00FD40ED" w:rsidP="00092C7A">
      <w:pPr>
        <w:widowControl/>
        <w:spacing w:before="240" w:after="240"/>
        <w:rPr>
          <w:rFonts w:ascii="Times New Roman" w:hAnsi="Times New Roman"/>
          <w:sz w:val="20"/>
        </w:rPr>
      </w:pPr>
      <w:r w:rsidRPr="00FD40ED">
        <w:rPr>
          <w:rFonts w:ascii="Times New Roman" w:hAnsi="Times New Roman"/>
          <w:sz w:val="20"/>
        </w:rPr>
        <w:t xml:space="preserve">This article re-evaluates persistent scholarly </w:t>
      </w:r>
      <w:proofErr w:type="spellStart"/>
      <w:r w:rsidRPr="00FD40ED">
        <w:rPr>
          <w:rFonts w:ascii="Times New Roman" w:hAnsi="Times New Roman"/>
          <w:sz w:val="20"/>
        </w:rPr>
        <w:t>scepticism</w:t>
      </w:r>
      <w:proofErr w:type="spellEnd"/>
      <w:r w:rsidRPr="00FD40ED">
        <w:rPr>
          <w:rFonts w:ascii="Times New Roman" w:hAnsi="Times New Roman"/>
          <w:sz w:val="20"/>
        </w:rPr>
        <w:t xml:space="preserve"> concerning the methodological </w:t>
      </w:r>
      <w:proofErr w:type="spellStart"/>
      <w:r w:rsidRPr="00FD40ED">
        <w:rPr>
          <w:rFonts w:ascii="Times New Roman" w:hAnsi="Times New Roman"/>
          <w:sz w:val="20"/>
        </w:rPr>
        <w:t>rigour</w:t>
      </w:r>
      <w:proofErr w:type="spellEnd"/>
      <w:r w:rsidRPr="00FD40ED">
        <w:rPr>
          <w:rFonts w:ascii="Times New Roman" w:hAnsi="Times New Roman"/>
          <w:sz w:val="20"/>
        </w:rPr>
        <w:t xml:space="preserve"> of narrative inquiry by comparing the mechanisms through which narrative and scientific discourse achieve textual cohesion. The analysis distinguishes the temporal and experiential configuration that </w:t>
      </w:r>
      <w:proofErr w:type="spellStart"/>
      <w:r w:rsidRPr="00FD40ED">
        <w:rPr>
          <w:rFonts w:ascii="Times New Roman" w:hAnsi="Times New Roman"/>
          <w:sz w:val="20"/>
        </w:rPr>
        <w:t>characterises</w:t>
      </w:r>
      <w:proofErr w:type="spellEnd"/>
      <w:r w:rsidRPr="00FD40ED">
        <w:rPr>
          <w:rFonts w:ascii="Times New Roman" w:hAnsi="Times New Roman"/>
          <w:sz w:val="20"/>
        </w:rPr>
        <w:t xml:space="preserve"> narrative discourse from the structured argumentation, logical reasoning, and evidentiary </w:t>
      </w:r>
      <w:proofErr w:type="spellStart"/>
      <w:r w:rsidRPr="00FD40ED">
        <w:rPr>
          <w:rFonts w:ascii="Times New Roman" w:hAnsi="Times New Roman"/>
          <w:sz w:val="20"/>
        </w:rPr>
        <w:t>organisation</w:t>
      </w:r>
      <w:proofErr w:type="spellEnd"/>
      <w:r w:rsidRPr="00FD40ED">
        <w:rPr>
          <w:rFonts w:ascii="Times New Roman" w:hAnsi="Times New Roman"/>
          <w:sz w:val="20"/>
        </w:rPr>
        <w:t xml:space="preserve"> associated with scientific discourse. On this basis, the study develops a contrastive cohesion framework for clarifying how narrative evidence functions within scholarly research without being reduced to the evaluative standards of positivist inquiry. The analysis shows that narrative cohesion derives meaning from temporal sequencing, contextual interpretation, and the </w:t>
      </w:r>
      <w:proofErr w:type="spellStart"/>
      <w:r w:rsidRPr="00FD40ED">
        <w:rPr>
          <w:rFonts w:ascii="Times New Roman" w:hAnsi="Times New Roman"/>
          <w:sz w:val="20"/>
        </w:rPr>
        <w:t>organisation</w:t>
      </w:r>
      <w:proofErr w:type="spellEnd"/>
      <w:r w:rsidRPr="00FD40ED">
        <w:rPr>
          <w:rFonts w:ascii="Times New Roman" w:hAnsi="Times New Roman"/>
          <w:sz w:val="20"/>
        </w:rPr>
        <w:t xml:space="preserve"> of lived experience, whereas scientific cohesion relies primarily on inferential progression, claim-evidence alignment, and systematic argumentation. These differences reflect distinct epistemic rationalities rather than a simple hierarchy of methodological quality. The study further clarifies how narrative techniques and data can operate as legitimate research instruments while remaining distinguishable from conventional literary storytelling. By locating methodological </w:t>
      </w:r>
      <w:proofErr w:type="spellStart"/>
      <w:r w:rsidRPr="00FD40ED">
        <w:rPr>
          <w:rFonts w:ascii="Times New Roman" w:hAnsi="Times New Roman"/>
          <w:sz w:val="20"/>
        </w:rPr>
        <w:t>rigour</w:t>
      </w:r>
      <w:proofErr w:type="spellEnd"/>
      <w:r w:rsidRPr="00FD40ED">
        <w:rPr>
          <w:rFonts w:ascii="Times New Roman" w:hAnsi="Times New Roman"/>
          <w:sz w:val="20"/>
        </w:rPr>
        <w:t xml:space="preserve"> within paradigm-appropriate forms of cohesion, the article provides a basis for evaluating narrative inquiry according to its own analytical logic while preserving the evidentiary and argumentative requirements of scholarly research. The resulting framework supports a more balanced understanding of narrative inquiry as a context-sensitive and methodologically coherent approach to knowledge production.</w:t>
      </w:r>
    </w:p>
    <w:p w14:paraId="08DDBB0F" w14:textId="2F38EE1B" w:rsidR="00092C7A" w:rsidRPr="00092C7A" w:rsidRDefault="00092C7A"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rPr>
        <w:t>Keywords: narrative inquiry, textual cohesion, scientific discourse, epistemic system, methodological rigo</w:t>
      </w:r>
      <w:r>
        <w:rPr>
          <w:rFonts w:ascii="Times New Roman" w:hAnsi="Times New Roman"/>
          <w:b/>
          <w:sz w:val="20"/>
          <w:highlight w:val="yellow"/>
        </w:rPr>
        <w:t>u</w:t>
      </w:r>
      <w:r>
        <w:rPr>
          <w:rFonts w:ascii="Times New Roman" w:hAnsi="Times New Roman"/>
          <w:b/>
          <w:sz w:val="20"/>
        </w:rPr>
        <w:t>r</w:t>
      </w:r>
    </w:p>
    <w:p w14:paraId="3D5DDA82" w14:textId="77777777" w:rsidR="00092C7A" w:rsidRPr="00092C7A" w:rsidRDefault="00092C7A" w:rsidP="00092C7A">
      <w:pPr>
        <w:widowControl/>
        <w:spacing w:before="480" w:after="240"/>
        <w:jc w:val="left"/>
        <w:outlineLvl w:val="1"/>
        <w:rPr>
          <w:rFonts w:ascii="Times New Roman" w:eastAsia="SimSun" w:hAnsi="Times New Roman" w:cs="Times New Roman"/>
          <w:b/>
          <w:bCs/>
          <w:color w:val="0F1115"/>
          <w:kern w:val="0"/>
          <w:sz w:val="24"/>
        </w:rPr>
      </w:pPr>
      <w:r w:rsidRPr="00092C7A">
        <w:rPr>
          <w:rFonts w:ascii="Times New Roman" w:eastAsia="SimSun" w:hAnsi="Times New Roman" w:cs="Times New Roman"/>
          <w:b/>
          <w:bCs/>
          <w:color w:val="0F1115"/>
          <w:kern w:val="0"/>
          <w:sz w:val="24"/>
        </w:rPr>
        <w:t>1. Introduction</w:t>
      </w:r>
    </w:p>
    <w:p w14:paraId="54947F92" w14:textId="77777777" w:rsidR="00092C7A" w:rsidRPr="00092C7A" w:rsidRDefault="00092C7A"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Despite its growing </w:t>
      </w:r>
      <w:r>
        <w:rPr>
          <w:rFonts w:ascii="Times New Roman" w:hAnsi="Times New Roman"/>
          <w:sz w:val="20"/>
          <w:highlight w:val="yellow"/>
        </w:rPr>
        <w:t>use</w:t>
      </w:r>
      <w:r>
        <w:rPr>
          <w:rFonts w:ascii="Times New Roman" w:hAnsi="Times New Roman"/>
          <w:sz w:val="20"/>
        </w:rPr>
        <w:t xml:space="preserve"> across the human and social sciences, narrative inquiry persistently occupies an epistemologically contested position in academic scholarship (Clandinin &amp; Connelly, 2000; Riessman, 2008; Zhao, 2023; Gusman, 2024; Freitas, 2026). Although valued for its capacity to capture nuanced lived experience, subjective meaning, and identity formation, narrative inquiry </w:t>
      </w:r>
      <w:r>
        <w:rPr>
          <w:rFonts w:ascii="Times New Roman" w:hAnsi="Times New Roman"/>
          <w:sz w:val="20"/>
          <w:highlight w:val="yellow"/>
        </w:rPr>
        <w:t>continues to be</w:t>
      </w:r>
      <w:r>
        <w:rPr>
          <w:rFonts w:ascii="Times New Roman" w:hAnsi="Times New Roman"/>
          <w:sz w:val="20"/>
        </w:rPr>
        <w:t xml:space="preserve"> questioned within mainstream scientific communities. It is frequently dismissed as anecdotal, impressionistic, and methodologically lax, lacking the rigo</w:t>
      </w:r>
      <w:r>
        <w:rPr>
          <w:rFonts w:ascii="Times New Roman" w:hAnsi="Times New Roman"/>
          <w:sz w:val="20"/>
          <w:highlight w:val="yellow"/>
        </w:rPr>
        <w:t>u</w:t>
      </w:r>
      <w:r>
        <w:rPr>
          <w:rFonts w:ascii="Times New Roman" w:hAnsi="Times New Roman"/>
          <w:sz w:val="20"/>
        </w:rPr>
        <w:t>r expected of positivist empirical research (Atkinson, 1997; Strawson, 2004; Bourdieu, 1986/2017; Osterhammel, 2024; Ghanbar et al., 2026). The critique that narrative work constitutes "merely storytelling" reflects a deeper methodological misunderstanding and scholarly anxiety: whether research rooted in interpretive, experiential narrative traditions can satisfy the positivist standards, systematic evidentiary requirements, and epistemic rigo</w:t>
      </w:r>
      <w:r>
        <w:rPr>
          <w:rFonts w:ascii="Times New Roman" w:hAnsi="Times New Roman"/>
          <w:sz w:val="20"/>
          <w:highlight w:val="yellow"/>
        </w:rPr>
        <w:t>u</w:t>
      </w:r>
      <w:r>
        <w:rPr>
          <w:rFonts w:ascii="Times New Roman" w:hAnsi="Times New Roman"/>
          <w:sz w:val="20"/>
        </w:rPr>
        <w:t>r of scientific knowledge creation (Padian, 2018).</w:t>
      </w:r>
    </w:p>
    <w:p w14:paraId="5FEEF5C7" w14:textId="77777777" w:rsidR="00714BE2" w:rsidRDefault="00000000">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rPr>
        <w:lastRenderedPageBreak/>
        <w:t>Recent methodological scholarship has emphasi</w:t>
      </w:r>
      <w:r>
        <w:rPr>
          <w:rFonts w:ascii="Times New Roman" w:hAnsi="Times New Roman"/>
          <w:b/>
          <w:sz w:val="20"/>
          <w:highlight w:val="yellow"/>
        </w:rPr>
        <w:t>s</w:t>
      </w:r>
      <w:r>
        <w:rPr>
          <w:rFonts w:ascii="Times New Roman" w:hAnsi="Times New Roman"/>
          <w:b/>
          <w:sz w:val="20"/>
        </w:rPr>
        <w:t>ed the importance of explicit theoretical framing, methodological transparency, and clearly articulated analytic</w:t>
      </w:r>
      <w:r>
        <w:rPr>
          <w:rFonts w:ascii="Times New Roman" w:hAnsi="Times New Roman"/>
          <w:b/>
          <w:sz w:val="20"/>
          <w:highlight w:val="yellow"/>
        </w:rPr>
        <w:t>al</w:t>
      </w:r>
      <w:r>
        <w:rPr>
          <w:rFonts w:ascii="Times New Roman" w:hAnsi="Times New Roman"/>
          <w:b/>
          <w:sz w:val="20"/>
        </w:rPr>
        <w:t xml:space="preserve"> decisions in narrative inquiry (Ghanbar et al., 2024; Rozario et al., 2026).</w:t>
      </w:r>
    </w:p>
    <w:p w14:paraId="6D57C927" w14:textId="77777777" w:rsidR="00C85C74" w:rsidRDefault="004E7023"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Kucirkova </w:t>
      </w:r>
      <w:r>
        <w:rPr>
          <w:rFonts w:ascii="Times New Roman" w:hAnsi="Times New Roman"/>
          <w:sz w:val="20"/>
          <w:highlight w:val="yellow"/>
        </w:rPr>
        <w:t>and</w:t>
      </w:r>
      <w:r>
        <w:rPr>
          <w:rFonts w:ascii="Times New Roman" w:hAnsi="Times New Roman"/>
          <w:sz w:val="20"/>
        </w:rPr>
        <w:t xml:space="preserve"> Odhiambo (2026) found that such s</w:t>
      </w:r>
      <w:r>
        <w:rPr>
          <w:rFonts w:ascii="Times New Roman" w:hAnsi="Times New Roman"/>
          <w:sz w:val="20"/>
          <w:highlight w:val="yellow"/>
        </w:rPr>
        <w:t>cepticism has</w:t>
      </w:r>
      <w:r>
        <w:rPr>
          <w:rFonts w:ascii="Times New Roman" w:hAnsi="Times New Roman"/>
          <w:sz w:val="20"/>
        </w:rPr>
        <w:t xml:space="preserve"> reinforced an institutional hierarchy of evidence that privileges positivistic empirical generalization and replicable outcomes over narrative inquiry, which cent</w:t>
      </w:r>
      <w:r>
        <w:rPr>
          <w:rFonts w:ascii="Times New Roman" w:hAnsi="Times New Roman"/>
          <w:sz w:val="20"/>
          <w:highlight w:val="yellow"/>
        </w:rPr>
        <w:t>re</w:t>
      </w:r>
      <w:r>
        <w:rPr>
          <w:rFonts w:ascii="Times New Roman" w:hAnsi="Times New Roman"/>
          <w:sz w:val="20"/>
        </w:rPr>
        <w:t xml:space="preserve">s context-embedded </w:t>
      </w:r>
      <w:r>
        <w:rPr>
          <w:rFonts w:ascii="Times New Roman" w:hAnsi="Times New Roman"/>
          <w:sz w:val="20"/>
          <w:highlight w:val="yellow"/>
        </w:rPr>
        <w:t>experience</w:t>
      </w:r>
      <w:r>
        <w:rPr>
          <w:rFonts w:ascii="Times New Roman" w:hAnsi="Times New Roman"/>
          <w:sz w:val="20"/>
        </w:rPr>
        <w:t xml:space="preserve">s that resist over-abstraction (see also Wells, 2011; Riessman, 2008; Ghanbar et al., 2026). This tension reflects an entrenched epistemological dualism between positivist research and narrative inquiry. As Polkinghorne (1995, p. 11) observed, "While paradigmatic knowledge is maintained in individual words that name a concept, narrative knowledge is maintained in emplotted stories." In broader intellectual and scholarly practice, opposing discursive norms foster exclusive evaluative frameworks, sustaining unresolved tensions between scientific and narrative epistemologies; scholarly tension and epistemic anxiety persist most prominently between positivist research and narrative inquiry. </w:t>
      </w:r>
    </w:p>
    <w:p w14:paraId="5BCCD2A7" w14:textId="77777777" w:rsidR="00092C7A" w:rsidRDefault="00092C7A"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Traditional positivist rationality and epistemology have distinguished themselves from narrative modes, which are often linked to mythology and fiction (Ricoeur, 1984; Strawson, 2004; Padian, 2018). This historical differentiation has established argument-driven, evidence-based scientific discourse as rigorous, while marginalizing narrative-based inquiry by framing it as less systematic and overly interpretive (Riessman, 2008; Greenhalgh &amp; Wieringa, 2011). As Riessman (2008, p. 3) recognized, "Events perceived by the speaker as important are selected, organized, connected, and evaluated as meaningful for a particular audience," yet such interpretive ordering is often misread as methodological weakness rather than narrative inquiry's core analytical operation. Lincoln and Guba (1985, p. 300) contrasted these evaluative benchmarks as: the positivist investigator seeks objectivity; the narrative naturalistic investigator seeks confirmability. Understanding the historical divide and institutional hierarchy is therefore crucial, especially when narrative inquiry is assessed by standards foreign to its own epistemological commitments; it risks foreclosing genuine dialogue between the two traditions </w:t>
      </w:r>
      <w:r>
        <w:rPr>
          <w:rFonts w:ascii="Times New Roman" w:hAnsi="Times New Roman"/>
          <w:sz w:val="20"/>
          <w:highlight w:val="yellow"/>
        </w:rPr>
        <w:t>within scientific organis</w:t>
      </w:r>
      <w:r>
        <w:rPr>
          <w:rFonts w:ascii="Times New Roman" w:hAnsi="Times New Roman"/>
          <w:sz w:val="20"/>
        </w:rPr>
        <w:t xml:space="preserve">ations. </w:t>
      </w:r>
    </w:p>
    <w:p w14:paraId="5BBA49AD" w14:textId="77777777" w:rsidR="004E0DE4" w:rsidRDefault="004E0DE4"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The </w:t>
      </w:r>
      <w:r>
        <w:rPr>
          <w:rFonts w:ascii="Times New Roman" w:hAnsi="Times New Roman"/>
          <w:sz w:val="20"/>
          <w:highlight w:val="yellow"/>
        </w:rPr>
        <w:t>framework outlined</w:t>
      </w:r>
      <w:r>
        <w:rPr>
          <w:rFonts w:ascii="Times New Roman" w:hAnsi="Times New Roman"/>
          <w:sz w:val="20"/>
        </w:rPr>
        <w:t xml:space="preserve"> above </w:t>
      </w:r>
      <w:r>
        <w:rPr>
          <w:rFonts w:ascii="Times New Roman" w:hAnsi="Times New Roman"/>
          <w:sz w:val="20"/>
          <w:highlight w:val="yellow"/>
        </w:rPr>
        <w:t>overloo</w:t>
      </w:r>
      <w:r>
        <w:rPr>
          <w:rFonts w:ascii="Times New Roman" w:hAnsi="Times New Roman"/>
          <w:sz w:val="20"/>
        </w:rPr>
        <w:t>k</w:t>
      </w:r>
      <w:r>
        <w:rPr>
          <w:rFonts w:ascii="Times New Roman" w:hAnsi="Times New Roman"/>
          <w:sz w:val="20"/>
          <w:highlight w:val="yellow"/>
        </w:rPr>
        <w:t xml:space="preserve">s the fact that scientific and narrative paradigms use qualitatively distinct discursive mechanisms for meaning-making and coherence, each </w:t>
      </w:r>
      <w:r>
        <w:rPr>
          <w:rFonts w:ascii="Times New Roman" w:hAnsi="Times New Roman"/>
          <w:sz w:val="20"/>
        </w:rPr>
        <w:t>w</w:t>
      </w:r>
      <w:r>
        <w:rPr>
          <w:rFonts w:ascii="Times New Roman" w:hAnsi="Times New Roman"/>
          <w:sz w:val="20"/>
          <w:highlight w:val="yellow"/>
        </w:rPr>
        <w:t>ith wide</w:t>
      </w:r>
      <w:r>
        <w:rPr>
          <w:rFonts w:ascii="Times New Roman" w:hAnsi="Times New Roman"/>
          <w:sz w:val="20"/>
        </w:rPr>
        <w:t xml:space="preserve">ly </w:t>
      </w:r>
      <w:r>
        <w:rPr>
          <w:rFonts w:ascii="Times New Roman" w:hAnsi="Times New Roman"/>
          <w:sz w:val="20"/>
          <w:highlight w:val="yellow"/>
        </w:rPr>
        <w:t>recognised and established s</w:t>
      </w:r>
      <w:r>
        <w:rPr>
          <w:rFonts w:ascii="Times New Roman" w:hAnsi="Times New Roman"/>
          <w:sz w:val="20"/>
        </w:rPr>
        <w:t>y</w:t>
      </w:r>
      <w:r>
        <w:rPr>
          <w:rFonts w:ascii="Times New Roman" w:hAnsi="Times New Roman"/>
          <w:sz w:val="20"/>
          <w:highlight w:val="yellow"/>
        </w:rPr>
        <w:t>stems of cohesion</w:t>
      </w:r>
      <w:r>
        <w:rPr>
          <w:rFonts w:ascii="Times New Roman" w:hAnsi="Times New Roman"/>
          <w:sz w:val="20"/>
        </w:rPr>
        <w:t xml:space="preserve"> and rationality (Padian, 2018; Morgan et al., 2022; Zhao &amp; Li, 2026). The epistemic tensions stemm</w:t>
      </w:r>
      <w:r>
        <w:rPr>
          <w:rFonts w:ascii="Times New Roman" w:hAnsi="Times New Roman"/>
          <w:sz w:val="20"/>
          <w:highlight w:val="yellow"/>
        </w:rPr>
        <w:t>ing</w:t>
      </w:r>
      <w:r>
        <w:rPr>
          <w:rFonts w:ascii="Times New Roman" w:hAnsi="Times New Roman"/>
          <w:sz w:val="20"/>
        </w:rPr>
        <w:t xml:space="preserve"> from the disciplinary divide between narrative-driven and empirical science have fuel</w:t>
      </w:r>
      <w:r>
        <w:rPr>
          <w:rFonts w:ascii="Times New Roman" w:hAnsi="Times New Roman"/>
          <w:sz w:val="20"/>
          <w:highlight w:val="yellow"/>
        </w:rPr>
        <w:t>led sc</w:t>
      </w:r>
      <w:r>
        <w:rPr>
          <w:rFonts w:ascii="Times New Roman" w:hAnsi="Times New Roman"/>
          <w:sz w:val="20"/>
        </w:rPr>
        <w:t>epticism about narrative rigor, which may result from misunderstandings of how coherence and cohesion operate in each paradigm (Ghanbar et al., 2026). As is known, scientific discourse relies on structured logic and evidence, while narrative coherence emerges from temporal ordering and interpretative configuration (Ricoeur, 1984; Polkinghorne, 1988; Strawson, 2004; Riessman, 2008).</w:t>
      </w:r>
    </w:p>
    <w:p w14:paraId="14A9591A" w14:textId="77777777" w:rsidR="00714BE2" w:rsidRDefault="00000000">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rPr>
        <w:t>Recent applications of narrative inquiry further illustrate how temporal, contextual, and experiential materials can be organi</w:t>
      </w:r>
      <w:r>
        <w:rPr>
          <w:rFonts w:ascii="Times New Roman" w:hAnsi="Times New Roman"/>
          <w:b/>
          <w:sz w:val="20"/>
          <w:highlight w:val="yellow"/>
        </w:rPr>
        <w:t>s</w:t>
      </w:r>
      <w:r>
        <w:rPr>
          <w:rFonts w:ascii="Times New Roman" w:hAnsi="Times New Roman"/>
          <w:b/>
          <w:sz w:val="20"/>
        </w:rPr>
        <w:t>ed through explicit qualitative procedures, including thematic narrative analysis and longitudinal reflective records (Relampago &amp; Garcia, 2025; Liu et al., 2026).</w:t>
      </w:r>
    </w:p>
    <w:p w14:paraId="3FCBF976"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Recognizing this paradigmatic divergence allows for a critical re-evaluation of narrative inquiry as a distinct research methodology with its own </w:t>
      </w:r>
      <w:r>
        <w:rPr>
          <w:rFonts w:ascii="Times New Roman" w:hAnsi="Times New Roman"/>
          <w:sz w:val="20"/>
          <w:highlight w:val="yellow"/>
        </w:rPr>
        <w:t>specific forms of coherence</w:t>
      </w:r>
      <w:r>
        <w:rPr>
          <w:rFonts w:ascii="Times New Roman" w:hAnsi="Times New Roman"/>
          <w:sz w:val="20"/>
        </w:rPr>
        <w:t xml:space="preserve"> and narrative particular</w:t>
      </w:r>
      <w:r>
        <w:rPr>
          <w:rFonts w:ascii="Times New Roman" w:hAnsi="Times New Roman"/>
          <w:sz w:val="20"/>
          <w:highlight w:val="yellow"/>
        </w:rPr>
        <w:t>ity, distinct</w:t>
      </w:r>
      <w:r>
        <w:rPr>
          <w:rFonts w:ascii="Times New Roman" w:hAnsi="Times New Roman"/>
          <w:sz w:val="20"/>
        </w:rPr>
        <w:t xml:space="preserve"> from traditional narrative practice (Polkinghorne, 1995). Perceptions of narrative methods’ lack </w:t>
      </w:r>
      <w:r>
        <w:rPr>
          <w:rFonts w:ascii="Times New Roman" w:hAnsi="Times New Roman"/>
          <w:sz w:val="20"/>
        </w:rPr>
        <w:lastRenderedPageBreak/>
        <w:t xml:space="preserve">of rigor often result from applying positivist rationality and validity standards to character-plot and context-sensitive narrative traditions, especially to narrative-based methods in studies </w:t>
      </w:r>
      <w:r>
        <w:rPr>
          <w:rFonts w:ascii="Times New Roman" w:hAnsi="Times New Roman"/>
          <w:sz w:val="20"/>
          <w:highlight w:val="yellow"/>
        </w:rPr>
        <w:t>in the</w:t>
      </w:r>
      <w:r>
        <w:rPr>
          <w:rFonts w:ascii="Times New Roman" w:hAnsi="Times New Roman"/>
          <w:sz w:val="20"/>
        </w:rPr>
        <w:t xml:space="preserve"> humanities and social sciences (van Dijk, 1994; Zhao, 2023).</w:t>
      </w:r>
    </w:p>
    <w:p w14:paraId="0F2DF47E" w14:textId="77777777" w:rsidR="00714BE2" w:rsidRDefault="00000000">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highlight w:val="yellow"/>
        </w:rPr>
        <w:t>Methodological work also demonstrates that narrative inquiry can be adapted to research conducted across broader participant and geographic scales while retaining explicit attention to relationality, temporality, landscapes, and competing stories (Lyons &amp; Scull, 2024).</w:t>
      </w:r>
    </w:p>
    <w:p w14:paraId="71094A55"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This study reframes </w:t>
      </w:r>
      <w:r>
        <w:rPr>
          <w:rFonts w:ascii="Times New Roman" w:hAnsi="Times New Roman"/>
          <w:sz w:val="20"/>
          <w:highlight w:val="yellow"/>
        </w:rPr>
        <w:t xml:space="preserve">the </w:t>
      </w:r>
      <w:r>
        <w:rPr>
          <w:rFonts w:ascii="Times New Roman" w:hAnsi="Times New Roman"/>
          <w:sz w:val="20"/>
        </w:rPr>
        <w:t xml:space="preserve">existing debate about the rigor of narrative inquiry by examining how narrative and scientific paradigms independently construct textual cohesion and produce distinct forms of scholarly knowledge. It further explores how narrative specificity has evolved from </w:t>
      </w:r>
      <w:r>
        <w:rPr>
          <w:rFonts w:ascii="Times New Roman" w:hAnsi="Times New Roman"/>
          <w:sz w:val="20"/>
          <w:highlight w:val="yellow"/>
        </w:rPr>
        <w:t xml:space="preserve">the </w:t>
      </w:r>
      <w:r>
        <w:rPr>
          <w:rFonts w:ascii="Times New Roman" w:hAnsi="Times New Roman"/>
          <w:sz w:val="20"/>
        </w:rPr>
        <w:t>conventional literary narrative tradition into a research methodology—a transformation that has long confronted scholarly skepticism regarding its epistemic rigo</w:t>
      </w:r>
      <w:r>
        <w:rPr>
          <w:rFonts w:ascii="Times New Roman" w:hAnsi="Times New Roman"/>
          <w:sz w:val="20"/>
          <w:highlight w:val="yellow"/>
        </w:rPr>
        <w:t>u</w:t>
      </w:r>
      <w:r>
        <w:rPr>
          <w:rFonts w:ascii="Times New Roman" w:hAnsi="Times New Roman"/>
          <w:sz w:val="20"/>
        </w:rPr>
        <w:t>r (Polkinghorne, 1988, 1995; Brannen, 2019; Zhao, 2023). This research first establishes a conceptual distinction between narrative epistemology and the positivist scientific paradigm (Clandinin &amp; Connelly, 2000; Ghanbar et al., 2026), creating a comparative analytical space to examine cross-paradigm cohesion-building mechanisms and unpack their epistemic implications for re-evaluating narrative inquiry's methodological rigo</w:t>
      </w:r>
      <w:r>
        <w:rPr>
          <w:rFonts w:ascii="Times New Roman" w:hAnsi="Times New Roman"/>
          <w:sz w:val="20"/>
          <w:highlight w:val="yellow"/>
        </w:rPr>
        <w:t>u</w:t>
      </w:r>
      <w:r>
        <w:rPr>
          <w:rFonts w:ascii="Times New Roman" w:hAnsi="Times New Roman"/>
          <w:sz w:val="20"/>
        </w:rPr>
        <w:t>r.</w:t>
      </w:r>
    </w:p>
    <w:p w14:paraId="0C758070" w14:textId="77777777" w:rsidR="00714BE2" w:rsidRDefault="00000000">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rPr>
        <w:t>Within the problem framed above, a specific conceptual gap remains: the relationship between the distinctive cohesion mechanisms of narrative and scientific discourse and their corresponding standards of rigo</w:t>
      </w:r>
      <w:r>
        <w:rPr>
          <w:rFonts w:ascii="Times New Roman" w:hAnsi="Times New Roman"/>
          <w:b/>
          <w:sz w:val="20"/>
          <w:highlight w:val="yellow"/>
        </w:rPr>
        <w:t>ur has not yet been</w:t>
      </w:r>
      <w:r>
        <w:rPr>
          <w:rFonts w:ascii="Times New Roman" w:hAnsi="Times New Roman"/>
          <w:b/>
          <w:sz w:val="20"/>
        </w:rPr>
        <w:t xml:space="preserve"> made explicit. Clarifying this relationship is necessary to distinguish narrative inquiry's methodological use of temporality and interpretation from conventional literary storytelling while preserving the epistemic logic of scientific argumentation.</w:t>
      </w:r>
    </w:p>
    <w:p w14:paraId="12CD0F59" w14:textId="77777777" w:rsidR="00714BE2" w:rsidRDefault="00000000">
      <w:pPr>
        <w:widowControl/>
        <w:spacing w:before="480" w:after="240"/>
        <w:jc w:val="left"/>
        <w:outlineLvl w:val="2"/>
        <w:rPr>
          <w:rFonts w:ascii="Times New Roman" w:eastAsia="SimSun" w:hAnsi="Times New Roman" w:cs="Times New Roman"/>
          <w:b/>
          <w:bCs/>
          <w:i/>
          <w:iCs/>
          <w:color w:val="0F1115"/>
          <w:kern w:val="0"/>
          <w:sz w:val="22"/>
          <w:szCs w:val="22"/>
        </w:rPr>
      </w:pPr>
      <w:r>
        <w:rPr>
          <w:rFonts w:ascii="Times New Roman" w:hAnsi="Times New Roman"/>
          <w:b/>
          <w:i/>
          <w:sz w:val="22"/>
          <w:highlight w:val="yellow"/>
        </w:rPr>
        <w:t>1.1 Objective</w:t>
      </w:r>
    </w:p>
    <w:p w14:paraId="5FD287D2" w14:textId="77777777" w:rsidR="00714BE2" w:rsidRDefault="00000000">
      <w:pPr>
        <w:widowControl/>
        <w:spacing w:before="240" w:after="240"/>
        <w:rPr>
          <w:rFonts w:ascii="Times New Roman" w:eastAsia="SimSun" w:hAnsi="Times New Roman" w:cs="Times New Roman"/>
          <w:color w:val="0F1115"/>
          <w:kern w:val="0"/>
          <w:sz w:val="20"/>
          <w:szCs w:val="20"/>
        </w:rPr>
      </w:pPr>
      <w:r>
        <w:rPr>
          <w:rFonts w:ascii="Times New Roman" w:hAnsi="Times New Roman"/>
          <w:b/>
          <w:sz w:val="20"/>
          <w:highlight w:val="yellow"/>
        </w:rPr>
        <w:t>The objective of this study is to compare how narrative and scientific discourse construct textual cohesion, clarify the distinct epistemic rationalities associated with those cohesion mechanisms, and examine how narrative-specific temporality and interpretation function within scholarly research.</w:t>
      </w:r>
    </w:p>
    <w:p w14:paraId="2AB16FDD" w14:textId="77777777" w:rsidR="004E0DE4" w:rsidRPr="004E0DE4" w:rsidRDefault="004E0DE4" w:rsidP="004E0DE4">
      <w:pPr>
        <w:widowControl/>
        <w:spacing w:before="240" w:after="240"/>
        <w:rPr>
          <w:rFonts w:ascii="Times New Roman" w:eastAsia="SimSun" w:hAnsi="Times New Roman" w:cs="Times New Roman"/>
          <w:b/>
          <w:bCs/>
          <w:color w:val="0F1115"/>
          <w:kern w:val="0"/>
          <w:sz w:val="24"/>
        </w:rPr>
      </w:pPr>
      <w:r w:rsidRPr="004E0DE4">
        <w:rPr>
          <w:rFonts w:ascii="Times New Roman" w:eastAsia="SimSun" w:hAnsi="Times New Roman" w:cs="Times New Roman"/>
          <w:b/>
          <w:bCs/>
          <w:color w:val="0F1115"/>
          <w:kern w:val="0"/>
          <w:sz w:val="24"/>
        </w:rPr>
        <w:t>2. Cohesion Mechanisms across Narrative and Scientific Paradigms</w:t>
      </w:r>
    </w:p>
    <w:p w14:paraId="741D2C53"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Cohesion is the key textual mechanism for constructing coherent meaning in writing (van Dijk, 1994; Zhao &amp; Li, 2026). Readers interpret texts by recognizing connections that integrate linguistic units into cohesive wholes (Morgan et al., 2022). Narrative discourse builds continuity through temporal</w:t>
      </w:r>
      <w:r>
        <w:rPr>
          <w:rFonts w:ascii="Times New Roman" w:hAnsi="Times New Roman"/>
          <w:sz w:val="20"/>
          <w:highlight w:val="yellow"/>
        </w:rPr>
        <w:t>ly</w:t>
      </w:r>
      <w:r>
        <w:rPr>
          <w:rFonts w:ascii="Times New Roman" w:hAnsi="Times New Roman"/>
          <w:sz w:val="20"/>
        </w:rPr>
        <w:t xml:space="preserve"> plotted progression and event sequencing, while scientific discourse achieves rigo</w:t>
      </w:r>
      <w:r>
        <w:rPr>
          <w:rFonts w:ascii="Times New Roman" w:hAnsi="Times New Roman"/>
          <w:sz w:val="20"/>
          <w:highlight w:val="yellow"/>
        </w:rPr>
        <w:t>u</w:t>
      </w:r>
      <w:r>
        <w:rPr>
          <w:rFonts w:ascii="Times New Roman" w:hAnsi="Times New Roman"/>
          <w:sz w:val="20"/>
        </w:rPr>
        <w:t>r through logical sequencing and evidence-based reasoning (Ricoeur, 1984; Bruner, 1991; Polkinghorne, 1988; Zhao &amp; Li, 2026). Th</w:t>
      </w:r>
      <w:r>
        <w:rPr>
          <w:rFonts w:ascii="Times New Roman" w:hAnsi="Times New Roman"/>
          <w:sz w:val="20"/>
          <w:highlight w:val="yellow"/>
        </w:rPr>
        <w:t>ese</w:t>
      </w:r>
      <w:r>
        <w:rPr>
          <w:rFonts w:ascii="Times New Roman" w:hAnsi="Times New Roman"/>
          <w:sz w:val="20"/>
        </w:rPr>
        <w:t xml:space="preserve"> distinct cohesion practice</w:t>
      </w:r>
      <w:r>
        <w:rPr>
          <w:rFonts w:ascii="Times New Roman" w:hAnsi="Times New Roman"/>
          <w:sz w:val="20"/>
          <w:highlight w:val="yellow"/>
        </w:rPr>
        <w:t>s reflect different</w:t>
      </w:r>
      <w:r>
        <w:rPr>
          <w:rFonts w:ascii="Times New Roman" w:hAnsi="Times New Roman"/>
          <w:sz w:val="20"/>
        </w:rPr>
        <w:t xml:space="preserve"> epistemolog</w:t>
      </w:r>
      <w:r>
        <w:rPr>
          <w:rFonts w:ascii="Times New Roman" w:hAnsi="Times New Roman"/>
          <w:sz w:val="20"/>
          <w:highlight w:val="yellow"/>
        </w:rPr>
        <w:t>ies and led to different standards of rigour</w:t>
      </w:r>
      <w:r>
        <w:rPr>
          <w:rFonts w:ascii="Times New Roman" w:hAnsi="Times New Roman"/>
          <w:sz w:val="20"/>
        </w:rPr>
        <w:t>.</w:t>
      </w:r>
    </w:p>
    <w:p w14:paraId="1E3A7174" w14:textId="77777777" w:rsidR="004E0DE4" w:rsidRPr="004E0DE4" w:rsidRDefault="004E0DE4" w:rsidP="004E0DE4">
      <w:pPr>
        <w:widowControl/>
        <w:spacing w:before="480" w:after="240"/>
        <w:jc w:val="left"/>
        <w:outlineLvl w:val="2"/>
        <w:rPr>
          <w:rFonts w:ascii="Times New Roman" w:eastAsia="SimSun" w:hAnsi="Times New Roman" w:cs="Times New Roman"/>
          <w:b/>
          <w:bCs/>
          <w:i/>
          <w:iCs/>
          <w:color w:val="0F1115"/>
          <w:kern w:val="0"/>
          <w:sz w:val="22"/>
          <w:szCs w:val="22"/>
        </w:rPr>
      </w:pPr>
      <w:r w:rsidRPr="004E0DE4">
        <w:rPr>
          <w:rFonts w:ascii="Times New Roman" w:eastAsia="SimSun" w:hAnsi="Times New Roman" w:cs="Times New Roman"/>
          <w:b/>
          <w:bCs/>
          <w:i/>
          <w:iCs/>
          <w:color w:val="0F1115"/>
          <w:kern w:val="0"/>
          <w:sz w:val="22"/>
          <w:szCs w:val="22"/>
        </w:rPr>
        <w:t>2.1 Narrative Cohesion and Rationality</w:t>
      </w:r>
    </w:p>
    <w:p w14:paraId="431F2803"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Narrative cohesion aligns with human cognition, as people naturally structure experience in story formats (Labov, 1972; Bruner, 1991; Zhao, 2023). Ricoeur (1984) distinguishes chronology and configuration as key narrative modes of cohesion. Events gain meaning when sequenced, contextualized, and anchored </w:t>
      </w:r>
      <w:r>
        <w:rPr>
          <w:rFonts w:ascii="Times New Roman" w:hAnsi="Times New Roman"/>
          <w:sz w:val="20"/>
        </w:rPr>
        <w:lastRenderedPageBreak/>
        <w:t>by agents and motives (Polkinghorne, 1988; Strawson, 2004). Temporality is central to narrative, especially in life stories and biographies. As Ricoeur (1984) stated:</w:t>
      </w:r>
    </w:p>
    <w:p w14:paraId="1D4ECFC3" w14:textId="77777777" w:rsidR="004E0DE4" w:rsidRPr="004E0DE4" w:rsidRDefault="004E0DE4" w:rsidP="00830CA5">
      <w:pPr>
        <w:widowControl/>
        <w:spacing w:before="240" w:after="240"/>
        <w:ind w:leftChars="150" w:left="315" w:rightChars="150" w:right="315"/>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 xml:space="preserve">"Time becomes human time to the extent that it is </w:t>
      </w:r>
      <w:proofErr w:type="spellStart"/>
      <w:r w:rsidRPr="004E0DE4">
        <w:rPr>
          <w:rFonts w:ascii="Times New Roman" w:eastAsia="SimSun" w:hAnsi="Times New Roman" w:cs="Times New Roman"/>
          <w:color w:val="0F1115"/>
          <w:kern w:val="0"/>
          <w:sz w:val="20"/>
          <w:szCs w:val="20"/>
        </w:rPr>
        <w:t>organised</w:t>
      </w:r>
      <w:proofErr w:type="spellEnd"/>
      <w:r w:rsidRPr="004E0DE4">
        <w:rPr>
          <w:rFonts w:ascii="Times New Roman" w:eastAsia="SimSun" w:hAnsi="Times New Roman" w:cs="Times New Roman"/>
          <w:color w:val="0F1115"/>
          <w:kern w:val="0"/>
          <w:sz w:val="20"/>
          <w:szCs w:val="20"/>
        </w:rPr>
        <w:t xml:space="preserve"> after the manner of a narrative; narrative, in turn, is meaningful to the extent that it portrays the features of temporal experience."</w:t>
      </w:r>
    </w:p>
    <w:p w14:paraId="7385290E"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sidRPr="004E0DE4">
        <w:rPr>
          <w:rFonts w:ascii="Times New Roman" w:eastAsia="SimSun" w:hAnsi="Times New Roman" w:cs="Times New Roman"/>
          <w:color w:val="0F1115"/>
          <w:kern w:val="0"/>
          <w:sz w:val="20"/>
          <w:szCs w:val="20"/>
        </w:rPr>
        <w:t xml:space="preserve">Temporal configuration transforms fragmented experience into coherent stories. As </w:t>
      </w:r>
      <w:proofErr w:type="spellStart"/>
      <w:r w:rsidRPr="004E0DE4">
        <w:rPr>
          <w:rFonts w:ascii="Times New Roman" w:eastAsia="SimSun" w:hAnsi="Times New Roman" w:cs="Times New Roman"/>
          <w:color w:val="0F1115"/>
          <w:kern w:val="0"/>
          <w:sz w:val="20"/>
          <w:szCs w:val="20"/>
        </w:rPr>
        <w:t>Labov</w:t>
      </w:r>
      <w:proofErr w:type="spellEnd"/>
      <w:r w:rsidRPr="004E0DE4">
        <w:rPr>
          <w:rFonts w:ascii="Times New Roman" w:eastAsia="SimSun" w:hAnsi="Times New Roman" w:cs="Times New Roman"/>
          <w:color w:val="0F1115"/>
          <w:kern w:val="0"/>
          <w:sz w:val="20"/>
          <w:szCs w:val="20"/>
        </w:rPr>
        <w:t xml:space="preserve"> (1972, pp. 359–360) puts it, temporal sequencing "is a method of recapitulating past experience by matching a verbal sequence of clauses to the sequence of events which actually occurred." Temporal cohesion is vital for meaning-making and has gained legitimacy in literary production, as Denzin (1989) affirmed: "The ordering of events in time, and the meanings attached to those events by the individual, give coherence and sense to the life story" (p. 73).</w:t>
      </w:r>
    </w:p>
    <w:p w14:paraId="5684E749" w14:textId="77777777" w:rsidR="00454FC6" w:rsidRDefault="004E0DE4" w:rsidP="00592A37">
      <w:pPr>
        <w:pStyle w:val="p1"/>
        <w:rPr>
          <w:color w:val="0F1115"/>
          <w:sz w:val="20"/>
          <w:szCs w:val="20"/>
        </w:rPr>
      </w:pPr>
      <w:r>
        <w:rPr>
          <w:sz w:val="20"/>
        </w:rPr>
        <w:t xml:space="preserve">Temporality is the foundation of narrative cohesion, setting it apart from the atemporal coherence of scientific writing (Labov, 1972; Genette, 1980; Ricoeur, 1984). Hlobil (2015) </w:t>
      </w:r>
      <w:r>
        <w:rPr>
          <w:sz w:val="20"/>
          <w:highlight w:val="yellow"/>
        </w:rPr>
        <w:t>has indeed identifi</w:t>
      </w:r>
      <w:r>
        <w:rPr>
          <w:sz w:val="20"/>
        </w:rPr>
        <w:t xml:space="preserve">ed “diachronic rationality” in reasoning conduct. </w:t>
      </w:r>
    </w:p>
    <w:p w14:paraId="43A9B642" w14:textId="77777777" w:rsidR="00454FC6" w:rsidRDefault="00454FC6" w:rsidP="00592A37">
      <w:pPr>
        <w:pStyle w:val="p1"/>
        <w:rPr>
          <w:color w:val="0F1115"/>
          <w:sz w:val="20"/>
          <w:szCs w:val="20"/>
        </w:rPr>
      </w:pPr>
    </w:p>
    <w:p w14:paraId="60C1DA8A" w14:textId="77777777" w:rsidR="004E0DE4" w:rsidRPr="004E0DE4" w:rsidRDefault="00830CA5" w:rsidP="00C53DE9">
      <w:pPr>
        <w:pStyle w:val="p1"/>
        <w:jc w:val="both"/>
        <w:rPr>
          <w:color w:val="0F1115"/>
          <w:sz w:val="20"/>
          <w:szCs w:val="20"/>
        </w:rPr>
      </w:pPr>
      <w:r>
        <w:rPr>
          <w:sz w:val="20"/>
        </w:rPr>
        <w:t>Such temporal power comes from sequencing fragmented experiences into unified observable trajectories (Bourdieu, 1986/2017; Brannen, 2019). Narrative cohesion relies on before-and-after progression and cause-effect dynamics, while scientific discourse seeks decontextualized, logical relationships (Hlobil, 2015; Zhao &amp; Li, 2026). Temporal structures allow readers to recogni</w:t>
      </w:r>
      <w:r>
        <w:rPr>
          <w:sz w:val="20"/>
          <w:highlight w:val="yellow"/>
        </w:rPr>
        <w:t>s</w:t>
      </w:r>
      <w:r>
        <w:rPr>
          <w:sz w:val="20"/>
        </w:rPr>
        <w:t>e continuity and derive meaning from events. Narrative cohesion is fundamentally about temporal coherence; its rationality is often shaped by the narrator's interpretation and confirmation (Polkinghorne, 1988; Denzin, 1989; Bruner, 1991). Recent scholarship asserts that narrative structure in literary contexts functions as a basic cognitive mode that unifies experiences and facilitates the formation of intelligible knowledge (e.g., Strawson, 2004; Gallagher &amp; Hutto, 2008; Zhao, 2022).</w:t>
      </w:r>
    </w:p>
    <w:p w14:paraId="07E9D4CD" w14:textId="77777777" w:rsidR="004E0DE4" w:rsidRPr="004E0DE4" w:rsidRDefault="004E0DE4" w:rsidP="004E0DE4">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The inherent temporal coherence and rationality of narrative traditions endow narrative with distinctive evidentiary and explanatory power in human and social scientific inquiry. As Strawson (2004, p. 433) said:</w:t>
      </w:r>
    </w:p>
    <w:p w14:paraId="309568D5" w14:textId="77777777" w:rsidR="00570397" w:rsidRPr="00570397" w:rsidRDefault="00570397" w:rsidP="00570397">
      <w:pPr>
        <w:widowControl/>
        <w:spacing w:before="240" w:after="240"/>
        <w:ind w:leftChars="150" w:left="315" w:rightChars="150" w:right="315"/>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"It is true that narrative is often taken to have a special explanatory power when it comes to making sense of human actions and experiences, largely because of its temporal structure."</w:t>
      </w:r>
    </w:p>
    <w:p w14:paraId="6EE37B3C" w14:textId="77777777" w:rsidR="009C428F" w:rsidRDefault="00570397" w:rsidP="00C53DE9">
      <w:pPr>
        <w:pStyle w:val="p1"/>
        <w:jc w:val="both"/>
        <w:rPr>
          <w:color w:val="0F1115"/>
          <w:sz w:val="20"/>
          <w:szCs w:val="20"/>
        </w:rPr>
      </w:pPr>
      <w:r>
        <w:rPr>
          <w:sz w:val="20"/>
        </w:rPr>
        <w:t>The established context-situated epistemic value of temporality further explains its unparalleled utility for human-science inquiry. Core research phenomena—including identity formation, chronic illness, migration, trauma, experiential learning, and social transformation—resist universal generalization through static, synchronic descriptions alone (Mallon &amp; Elliott, 2019). The application of narrative specificity to scientific research has thus crossed the paradigmatic boundary between narrative and science. This specificity includes the adoption of narrative as temporally embedded data and narrating as a method for generating such data (Dahlstrom, 2014</w:t>
      </w:r>
      <w:r>
        <w:rPr>
          <w:sz w:val="20"/>
          <w:highlight w:val="yellow"/>
        </w:rPr>
        <w:t>,</w:t>
      </w:r>
      <w:r>
        <w:rPr>
          <w:sz w:val="20"/>
        </w:rPr>
        <w:t xml:space="preserve"> 2021; Zhao, 2023). Thus, scientific discourse has incorporated narrative techniques such as case accounts and problem-solution frameworks (Padian, 2018). When </w:t>
      </w:r>
      <w:r>
        <w:rPr>
          <w:sz w:val="20"/>
          <w:highlight w:val="yellow"/>
        </w:rPr>
        <w:t>narrative particularitie</w:t>
      </w:r>
      <w:r>
        <w:rPr>
          <w:sz w:val="20"/>
        </w:rPr>
        <w:t>s are adapted to scientific discourse as cohesive data and storytelling, the key difference in the cohesive mechanisms that each discourse—narrative and scientific—uses remains; however, the narrative specificity applied to scientific writing diverge</w:t>
      </w:r>
      <w:r>
        <w:rPr>
          <w:sz w:val="20"/>
          <w:highlight w:val="yellow"/>
        </w:rPr>
        <w:t>s</w:t>
      </w:r>
      <w:r>
        <w:rPr>
          <w:sz w:val="20"/>
        </w:rPr>
        <w:t xml:space="preserve"> from its literary origins. For instance, Dahlstrom (2021, p.</w:t>
      </w:r>
      <w:r>
        <w:rPr>
          <w:sz w:val="20"/>
          <w:highlight w:val="yellow"/>
        </w:rPr>
        <w:t xml:space="preserve"> </w:t>
      </w:r>
      <w:r>
        <w:rPr>
          <w:sz w:val="20"/>
        </w:rPr>
        <w:t xml:space="preserve">2) asserts that in science: “A story represents the actual collection of </w:t>
      </w:r>
      <w:r>
        <w:rPr>
          <w:sz w:val="20"/>
        </w:rPr>
        <w:lastRenderedPageBreak/>
        <w:t>events and their relations to each other. It is the ‘what happened.’ Narrative is the subjective telling of that story. It is the ‘how to tell what happened.’” The dual function</w:t>
      </w:r>
      <w:r>
        <w:rPr>
          <w:sz w:val="20"/>
          <w:highlight w:val="yellow"/>
        </w:rPr>
        <w:t>s of story as evidence and narrative as a method in research are thereby</w:t>
      </w:r>
      <w:r>
        <w:rPr>
          <w:sz w:val="20"/>
        </w:rPr>
        <w:t xml:space="preserve"> specified. </w:t>
      </w:r>
    </w:p>
    <w:p w14:paraId="27FB8E0E" w14:textId="77777777" w:rsidR="00570397" w:rsidRPr="00570397" w:rsidRDefault="009B5A94" w:rsidP="00570397">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Scientific writing seeks general explanation and particular logical inferences </w:t>
      </w:r>
      <w:r>
        <w:rPr>
          <w:rFonts w:ascii="Times New Roman" w:hAnsi="Times New Roman"/>
          <w:sz w:val="20"/>
          <w:highlight w:val="yellow"/>
        </w:rPr>
        <w:t>through a cohesion mechanism that</w:t>
      </w:r>
      <w:r>
        <w:rPr>
          <w:rFonts w:ascii="Times New Roman" w:hAnsi="Times New Roman"/>
          <w:sz w:val="20"/>
        </w:rPr>
        <w:t xml:space="preserve"> differ</w:t>
      </w:r>
      <w:r>
        <w:rPr>
          <w:rFonts w:ascii="Times New Roman" w:hAnsi="Times New Roman"/>
          <w:sz w:val="20"/>
          <w:highlight w:val="yellow"/>
        </w:rPr>
        <w:t>s</w:t>
      </w:r>
      <w:r>
        <w:rPr>
          <w:rFonts w:ascii="Times New Roman" w:hAnsi="Times New Roman"/>
          <w:sz w:val="20"/>
        </w:rPr>
        <w:t xml:space="preserve"> from narrative writing</w:t>
      </w:r>
      <w:r>
        <w:rPr>
          <w:rFonts w:ascii="Times New Roman" w:hAnsi="Times New Roman"/>
          <w:sz w:val="20"/>
          <w:highlight w:val="yellow"/>
        </w:rPr>
        <w:t>, which</w:t>
      </w:r>
      <w:r>
        <w:rPr>
          <w:rFonts w:ascii="Times New Roman" w:hAnsi="Times New Roman"/>
          <w:sz w:val="20"/>
        </w:rPr>
        <w:t xml:space="preserve"> focuses on temporal organi</w:t>
      </w:r>
      <w:r>
        <w:rPr>
          <w:rFonts w:ascii="Times New Roman" w:hAnsi="Times New Roman"/>
          <w:sz w:val="20"/>
          <w:highlight w:val="yellow"/>
        </w:rPr>
        <w:t>s</w:t>
      </w:r>
      <w:r>
        <w:rPr>
          <w:rFonts w:ascii="Times New Roman" w:hAnsi="Times New Roman"/>
          <w:sz w:val="20"/>
        </w:rPr>
        <w:t>ation and contextual meaning (Ricoeur, 1984; Riessman, 2008; Zhao &amp; Li, 2026). Nevertheless, narrative's unique contextual value can explain its particular utility in the human sciences. Complex phenomena—such as identity, illness, migration, trauma, and social change—are best understood through narrative rather than static description (Polkinghorne, 1995; Clandinin &amp; Connelly, 2000). These dynamic phenomena depend on narrative's particular process-oriented approach and temporal sequencing, which capture meanings shaped by time, memory, and interpretation (Clandinin, 2013; Gusman, 2024). Narrative methods such as biographical and life-history narrative</w:t>
      </w:r>
      <w:r>
        <w:rPr>
          <w:rFonts w:ascii="Times New Roman" w:hAnsi="Times New Roman"/>
          <w:sz w:val="20"/>
          <w:highlight w:val="yellow"/>
        </w:rPr>
        <w:t>s</w:t>
      </w:r>
      <w:r>
        <w:rPr>
          <w:rFonts w:ascii="Times New Roman" w:hAnsi="Times New Roman"/>
          <w:sz w:val="20"/>
        </w:rPr>
        <w:t xml:space="preserve"> are well-suited for exploring these evolving processes (Denzin, 1989; Riessman, 2008; Zhao, 2023).</w:t>
      </w:r>
    </w:p>
    <w:p w14:paraId="7885803B"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Such narrative-driven methods have evolved to gather accounts that are contextual and temporal rather than the timeless validity sought by positivist scientific paradigms (Bruner, 1991; Riessman, 2008; Mertova &amp; Webster, 2019; Dahlstrom, 2021). Other narrative-based methods </w:t>
      </w:r>
      <w:r>
        <w:rPr>
          <w:rFonts w:ascii="Times New Roman" w:hAnsi="Times New Roman"/>
          <w:sz w:val="20"/>
          <w:highlight w:val="yellow"/>
        </w:rPr>
        <w:t>such as</w:t>
      </w:r>
      <w:r>
        <w:rPr>
          <w:rFonts w:ascii="Times New Roman" w:hAnsi="Times New Roman"/>
          <w:sz w:val="20"/>
        </w:rPr>
        <w:t xml:space="preserve"> narrative analysis and case study highlight process and temporal context, supplementing scientific research with interpretive insights and human reasoning (Denzin, 1989; Polkinghorne, 1995; Riessman, 2008; Brannen, 2019; Zhao, 2023). Narrative methods contrast with scientific abstraction, which removes context and temporality from evidence. Narrative interaction generates insight by tracing event sequences and illustrating how meaning emerges and is confirmed through time and experiential discernment (Denzin, 1989; Polkinghorne, 1988; Bourdieu, 1986/2017).</w:t>
      </w:r>
    </w:p>
    <w:p w14:paraId="34954CC6"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However, temporally dependent interpretation and configuration make narrative methods vulnerable to critics, especially in positivist-dominant institutions and disciplines; critics argue that temporality imposes a linear order that can oversimplify complex, fragmented experiences (</w:t>
      </w:r>
      <w:r w:rsidR="009D0929">
        <w:rPr>
          <w:rFonts w:ascii="Times New Roman" w:hAnsi="Times New Roman" w:cs="Times New Roman"/>
          <w:color w:val="000000"/>
          <w:sz w:val="20"/>
          <w:szCs w:val="20"/>
        </w:rPr>
        <w:t xml:space="preserve">Dahlstrom, 2014, 2021; </w:t>
      </w:r>
      <w:proofErr w:type="spellStart"/>
      <w:r w:rsidRPr="00570397">
        <w:rPr>
          <w:rFonts w:ascii="Times New Roman" w:eastAsia="SimSun" w:hAnsi="Times New Roman" w:cs="Times New Roman"/>
          <w:color w:val="0F1115"/>
          <w:kern w:val="0"/>
          <w:sz w:val="20"/>
          <w:szCs w:val="20"/>
        </w:rPr>
        <w:t>Ghanbar</w:t>
      </w:r>
      <w:proofErr w:type="spellEnd"/>
      <w:r w:rsidRPr="00570397">
        <w:rPr>
          <w:rFonts w:ascii="Times New Roman" w:eastAsia="SimSun" w:hAnsi="Times New Roman" w:cs="Times New Roman"/>
          <w:color w:val="0F1115"/>
          <w:kern w:val="0"/>
          <w:sz w:val="20"/>
          <w:szCs w:val="20"/>
        </w:rPr>
        <w:t xml:space="preserve"> et al., 2026). Bourdieu (1986/2017, p. 213) challenged the temporal sequencing inherent in biographical and life-history methods, arguing that treating a life as "a unique and self-sufficient series of successive events" risks abstracting individual experience from the objective social structures that condition it. As he puts it, such an approach "is nearly as absurd as trying to make sense out of a subway route without taking into account the network structure, that is the matrix of objective relations between different stations" (Bourdieu, 1986/2017, p. 213).</w:t>
      </w:r>
    </w:p>
    <w:p w14:paraId="5EAF0CCA"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While Bourdieu's well-documented critique raises valid methodological concerns about deploying narrative techniques as methods within social-science research—namely that such research demands more nuanced evidence than neatly organized events or coherent story trajectories—it does not negate the epistemic legitimacy of narrative cohesion and narrative accounts widely represented within scholarly literature (</w:t>
      </w:r>
      <w:r w:rsidR="009D0929">
        <w:rPr>
          <w:rFonts w:ascii="Times New Roman" w:hAnsi="Times New Roman" w:cs="Times New Roman"/>
          <w:color w:val="000000"/>
          <w:sz w:val="20"/>
          <w:szCs w:val="20"/>
        </w:rPr>
        <w:t xml:space="preserve">Dahlstrom, 2014; </w:t>
      </w:r>
      <w:r w:rsidRPr="00570397">
        <w:rPr>
          <w:rFonts w:ascii="Times New Roman" w:eastAsia="SimSun" w:hAnsi="Times New Roman" w:cs="Times New Roman"/>
          <w:color w:val="0F1115"/>
          <w:kern w:val="0"/>
          <w:sz w:val="20"/>
          <w:szCs w:val="20"/>
        </w:rPr>
        <w:t xml:space="preserve">Brannen, 2019). Instead, it draws attention to the inherently interpretive and selective character of case-based narrative coherence and sequenced event accounts (Bourdieu, 1986/2017). </w:t>
      </w:r>
      <w:proofErr w:type="spellStart"/>
      <w:r w:rsidRPr="00570397">
        <w:rPr>
          <w:rFonts w:ascii="Times New Roman" w:eastAsia="SimSun" w:hAnsi="Times New Roman" w:cs="Times New Roman"/>
          <w:color w:val="0F1115"/>
          <w:kern w:val="0"/>
          <w:sz w:val="20"/>
          <w:szCs w:val="20"/>
        </w:rPr>
        <w:t>Riessman</w:t>
      </w:r>
      <w:proofErr w:type="spellEnd"/>
      <w:r w:rsidRPr="00570397">
        <w:rPr>
          <w:rFonts w:ascii="Times New Roman" w:eastAsia="SimSun" w:hAnsi="Times New Roman" w:cs="Times New Roman"/>
          <w:color w:val="0F1115"/>
          <w:kern w:val="0"/>
          <w:sz w:val="20"/>
          <w:szCs w:val="20"/>
        </w:rPr>
        <w:t xml:space="preserve"> (2008, p. 57) likewise pointed out:</w:t>
      </w:r>
    </w:p>
    <w:p w14:paraId="7C8A7872" w14:textId="77777777" w:rsidR="00570397" w:rsidRPr="00570397" w:rsidRDefault="00570397" w:rsidP="00570397">
      <w:pPr>
        <w:widowControl/>
        <w:spacing w:before="240" w:after="240"/>
        <w:ind w:leftChars="150" w:left="315" w:rightChars="150" w:right="315"/>
        <w:rPr>
          <w:rFonts w:ascii="Times New Roman" w:eastAsia="SimSun" w:hAnsi="Times New Roman" w:cs="Times New Roman"/>
          <w:color w:val="0F1115"/>
          <w:kern w:val="0"/>
          <w:sz w:val="20"/>
          <w:szCs w:val="20"/>
        </w:rPr>
      </w:pPr>
      <w:r w:rsidRPr="00570397">
        <w:rPr>
          <w:rFonts w:ascii="Times New Roman" w:eastAsia="SimSun" w:hAnsi="Times New Roman" w:cs="Times New Roman"/>
          <w:color w:val="0F1115"/>
          <w:kern w:val="0"/>
          <w:sz w:val="20"/>
          <w:szCs w:val="20"/>
        </w:rPr>
        <w:t>"Narrative research always involves selection and omission, as the researcher decides what to include, exclude, and how to order events in light of research questions. Such choices necessarily reflect subjectivities that are often highlighted by critics."</w:t>
      </w:r>
    </w:p>
    <w:p w14:paraId="673BB029" w14:textId="77777777" w:rsidR="00570397" w:rsidRPr="00570397" w:rsidRDefault="00570397" w:rsidP="00570397">
      <w:pPr>
        <w:widowControl/>
        <w:spacing w:before="240" w:after="240"/>
        <w:rPr>
          <w:rFonts w:ascii="Times New Roman" w:eastAsia="SimSun" w:hAnsi="Times New Roman" w:cs="Times New Roman"/>
          <w:color w:val="0F1115"/>
          <w:kern w:val="0"/>
          <w:sz w:val="20"/>
          <w:szCs w:val="20"/>
        </w:rPr>
      </w:pPr>
      <w:r>
        <w:rPr>
          <w:rFonts w:ascii="Times New Roman" w:hAnsi="Times New Roman"/>
          <w:sz w:val="20"/>
          <w:highlight w:val="yellow"/>
        </w:rPr>
        <w:lastRenderedPageBreak/>
        <w:t>The s</w:t>
      </w:r>
      <w:r>
        <w:rPr>
          <w:rFonts w:ascii="Times New Roman" w:hAnsi="Times New Roman"/>
          <w:sz w:val="20"/>
        </w:rPr>
        <w:t>ubjectivity of meaning and truth confirmation cannot be dispensed with in narrative inquiry. Accordingly, rigorous narrative research does not seek to eliminate such structural and interpretive selectivity, but to render its temporal framing transparent, reflexive, and justifiable, taking advantage of the subjective knowing and reasoning of the researcher and subjects (Polkinghorne, 1988; Clandinin, 2013; Dahlstrom, 2014; Mallon &amp; Elliott, 2019; Ghanbar et al., 2026). Unlike decontextualized, ahistorical scientific description, narrative inquiry organi</w:t>
      </w:r>
      <w:r>
        <w:rPr>
          <w:rFonts w:ascii="Times New Roman" w:hAnsi="Times New Roman"/>
          <w:sz w:val="20"/>
          <w:highlight w:val="yellow"/>
        </w:rPr>
        <w:t>s</w:t>
      </w:r>
      <w:r>
        <w:rPr>
          <w:rFonts w:ascii="Times New Roman" w:hAnsi="Times New Roman"/>
          <w:sz w:val="20"/>
        </w:rPr>
        <w:t>es discrete events within linear and contextual frameworks, interconnecting past, present, and future occurrences into coherent, meaning-laden sequences or stories to reach scholarly claims.</w:t>
      </w:r>
    </w:p>
    <w:p w14:paraId="77E213BF" w14:textId="77777777" w:rsidR="00570397" w:rsidRPr="00570397" w:rsidRDefault="001F747F" w:rsidP="00570397">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This distinctive temporal organi</w:t>
      </w:r>
      <w:r>
        <w:rPr>
          <w:rFonts w:ascii="Times New Roman" w:hAnsi="Times New Roman"/>
          <w:sz w:val="20"/>
          <w:highlight w:val="yellow"/>
        </w:rPr>
        <w:t>sation,</w:t>
      </w:r>
      <w:r>
        <w:rPr>
          <w:rFonts w:ascii="Times New Roman" w:hAnsi="Times New Roman"/>
          <w:sz w:val="20"/>
        </w:rPr>
        <w:t xml:space="preserve"> linking textual cohesion and meaning-making </w:t>
      </w:r>
      <w:r>
        <w:rPr>
          <w:rFonts w:ascii="Times New Roman" w:hAnsi="Times New Roman"/>
          <w:sz w:val="20"/>
          <w:highlight w:val="yellow"/>
        </w:rPr>
        <w:t>and originating in narrative paradigms,</w:t>
      </w:r>
      <w:r>
        <w:rPr>
          <w:rFonts w:ascii="Times New Roman" w:hAnsi="Times New Roman"/>
          <w:sz w:val="20"/>
        </w:rPr>
        <w:t xml:space="preserve"> underpins narrative inquiry along two dimensions (Polkinghorne, 1995; Strawson, 2004; Zhao, 2023; Freitas, 2026; Ghanbar et al., 2026). First, it reorgani</w:t>
      </w:r>
      <w:r>
        <w:rPr>
          <w:rFonts w:ascii="Times New Roman" w:hAnsi="Times New Roman"/>
          <w:sz w:val="20"/>
          <w:highlight w:val="yellow"/>
        </w:rPr>
        <w:t>s</w:t>
      </w:r>
      <w:r>
        <w:rPr>
          <w:rFonts w:ascii="Times New Roman" w:hAnsi="Times New Roman"/>
          <w:sz w:val="20"/>
        </w:rPr>
        <w:t>es discrete personal experiences into coherent, identifiable textual forms including life histories and personal narratives. These materials serve as empirical evidence to validate interpretations and support higher-order arguments in research. Rather than cataloguing unconnected episodes, an academic life history selectively organi</w:t>
      </w:r>
      <w:r>
        <w:rPr>
          <w:rFonts w:ascii="Times New Roman" w:hAnsi="Times New Roman"/>
          <w:sz w:val="20"/>
          <w:highlight w:val="yellow"/>
        </w:rPr>
        <w:t>s</w:t>
      </w:r>
      <w:r>
        <w:rPr>
          <w:rFonts w:ascii="Times New Roman" w:hAnsi="Times New Roman"/>
          <w:sz w:val="20"/>
        </w:rPr>
        <w:t>es experiential data to foreground pivotal occurrences, situate individual transformations, and produce interpretive meaning. Second, raw experiential accounts and subject-generated causal meanings produce multi-layered narrative interpretations. They equip researchers with analytical tools to achieve nuanced understanding, affective engagement, and epistemic depth that integrates both social and individual viewpoints. Such analytical outcomes remain inaccessible through static, single-perspective accounts (Bruner, 1986, 1991; Polkinghorne, 1988; Clandinin &amp; Connelly, 2000; Brannen, 2019). Owing to their textual cohesive function and recogni</w:t>
      </w:r>
      <w:r>
        <w:rPr>
          <w:rFonts w:ascii="Times New Roman" w:hAnsi="Times New Roman"/>
          <w:sz w:val="20"/>
          <w:highlight w:val="yellow"/>
        </w:rPr>
        <w:t>sed epistemic merits, narrative approaches have gained increas</w:t>
      </w:r>
      <w:r>
        <w:rPr>
          <w:rFonts w:ascii="Times New Roman" w:hAnsi="Times New Roman"/>
          <w:sz w:val="20"/>
        </w:rPr>
        <w:t>ing acceptance within scholarly scientific work (Strawson, 2004; Zhao, 2023).</w:t>
      </w:r>
    </w:p>
    <w:p w14:paraId="371C7415" w14:textId="77777777" w:rsidR="001F747F" w:rsidRPr="001F747F" w:rsidRDefault="001F747F" w:rsidP="001F747F">
      <w:pPr>
        <w:widowControl/>
        <w:spacing w:before="480" w:after="240"/>
        <w:jc w:val="left"/>
        <w:outlineLvl w:val="2"/>
        <w:rPr>
          <w:rFonts w:ascii="Times New Roman" w:eastAsia="SimSun" w:hAnsi="Times New Roman" w:cs="Times New Roman"/>
          <w:b/>
          <w:bCs/>
          <w:i/>
          <w:iCs/>
          <w:color w:val="0F1115"/>
          <w:kern w:val="0"/>
          <w:sz w:val="22"/>
          <w:szCs w:val="22"/>
        </w:rPr>
      </w:pPr>
      <w:r w:rsidRPr="001F747F">
        <w:rPr>
          <w:rFonts w:ascii="Times New Roman" w:eastAsia="SimSun" w:hAnsi="Times New Roman" w:cs="Times New Roman"/>
          <w:b/>
          <w:bCs/>
          <w:i/>
          <w:iCs/>
          <w:color w:val="0F1115"/>
          <w:kern w:val="0"/>
          <w:sz w:val="22"/>
          <w:szCs w:val="22"/>
        </w:rPr>
        <w:t>2.2 Scientific Cohesion</w:t>
      </w:r>
    </w:p>
    <w:p w14:paraId="599E2078"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In stark contrast, scientific cohesion operates independently of temporal narrative architecture. Scientific discourse reorgani</w:t>
      </w:r>
      <w:r>
        <w:rPr>
          <w:rFonts w:ascii="Times New Roman" w:hAnsi="Times New Roman"/>
          <w:sz w:val="20"/>
          <w:highlight w:val="yellow"/>
        </w:rPr>
        <w:t>s</w:t>
      </w:r>
      <w:r>
        <w:rPr>
          <w:rFonts w:ascii="Times New Roman" w:hAnsi="Times New Roman"/>
          <w:sz w:val="20"/>
        </w:rPr>
        <w:t>es empirical experience and evidence within a standardi</w:t>
      </w:r>
      <w:r>
        <w:rPr>
          <w:rFonts w:ascii="Times New Roman" w:hAnsi="Times New Roman"/>
          <w:sz w:val="20"/>
          <w:highlight w:val="yellow"/>
        </w:rPr>
        <w:t>s</w:t>
      </w:r>
      <w:r>
        <w:rPr>
          <w:rFonts w:ascii="Times New Roman" w:hAnsi="Times New Roman"/>
          <w:sz w:val="20"/>
        </w:rPr>
        <w:t>ed analytical framework built around research problems, hypotheses, methodological designs, empirical findings, and argumentative discussions for scholarly claims (Swales, 1990; Zhao &amp; Li, 2026). This cohesion mechanism, independent of temporal organi</w:t>
      </w:r>
      <w:r>
        <w:rPr>
          <w:rFonts w:ascii="Times New Roman" w:hAnsi="Times New Roman"/>
          <w:sz w:val="20"/>
          <w:highlight w:val="yellow"/>
        </w:rPr>
        <w:t>s</w:t>
      </w:r>
      <w:r>
        <w:rPr>
          <w:rFonts w:ascii="Times New Roman" w:hAnsi="Times New Roman"/>
          <w:sz w:val="20"/>
        </w:rPr>
        <w:t>ation, is widely implemented in scientific discourse. For instance, academic articles achieve cohesion through a</w:t>
      </w:r>
      <w:r>
        <w:rPr>
          <w:rFonts w:ascii="Times New Roman" w:hAnsi="Times New Roman"/>
          <w:sz w:val="20"/>
          <w:highlight w:val="yellow"/>
        </w:rPr>
        <w:t>n argumentative</w:t>
      </w:r>
      <w:r>
        <w:rPr>
          <w:rFonts w:ascii="Times New Roman" w:hAnsi="Times New Roman"/>
          <w:sz w:val="20"/>
        </w:rPr>
        <w:t xml:space="preserve"> structure that advances knowledge through logical reasoning (Bruner, 1991). Unlike story-driven narrative texts, the parts of scientific discourse serve </w:t>
      </w:r>
      <w:r>
        <w:rPr>
          <w:rFonts w:ascii="Times New Roman" w:hAnsi="Times New Roman"/>
          <w:sz w:val="20"/>
          <w:highlight w:val="yellow"/>
        </w:rPr>
        <w:t>different cohesive functions—introduction, literature review, methods, results, and discussion re</w:t>
      </w:r>
      <w:r>
        <w:rPr>
          <w:rFonts w:ascii="Times New Roman" w:hAnsi="Times New Roman"/>
          <w:sz w:val="20"/>
        </w:rPr>
        <w:t>ly</w:t>
      </w:r>
      <w:r>
        <w:rPr>
          <w:rFonts w:ascii="Times New Roman" w:hAnsi="Times New Roman"/>
          <w:sz w:val="20"/>
          <w:highlight w:val="yellow"/>
        </w:rPr>
        <w:t xml:space="preserve"> on logical organis</w:t>
      </w:r>
      <w:r>
        <w:rPr>
          <w:rFonts w:ascii="Times New Roman" w:hAnsi="Times New Roman"/>
          <w:sz w:val="20"/>
        </w:rPr>
        <w:t>ation in the relationship between claim and evidence, not just temporality; logical reasoning is a valid mechanism for scientific discourse coherence (van Dijk, 1994; Zhao &amp; Li, 2026).</w:t>
      </w:r>
    </w:p>
    <w:p w14:paraId="22508971"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Within this nontemporal architecture, scientific discourse prioritizes systematic inferential progression over chronological story-driven development, guiding readers through a rigorous chain of logical reasoning between evidence and argument. This is embodied in the discourse structure of research questions, analytical methods, empirical evidence, and well-grounded conclusions, which </w:t>
      </w:r>
      <w:r>
        <w:rPr>
          <w:rFonts w:ascii="Times New Roman" w:hAnsi="Times New Roman"/>
          <w:sz w:val="20"/>
          <w:highlight w:val="yellow"/>
        </w:rPr>
        <w:t>together constitute a form of</w:t>
      </w:r>
      <w:r>
        <w:rPr>
          <w:rFonts w:ascii="Times New Roman" w:hAnsi="Times New Roman"/>
          <w:sz w:val="20"/>
        </w:rPr>
        <w:t xml:space="preserve"> scientific rationality within the positivist paradigm. Ultimately, cohesion in scientific writing is sustained through valid claim-evidence alignment, rather than temporal-plot unfolding (Wells, 2011; Zhao &amp; Li, 2026).</w:t>
      </w:r>
    </w:p>
    <w:p w14:paraId="06B57278"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lastRenderedPageBreak/>
        <w:t>Scientific discourse emerged as a distinct paradigmatic genre partly designed to distance empirical inquiry from the temporal and interpretative configuration that had defined the narrative paradigm (Padian, 2018). While narrative cohesion relies on the progressive ordering of events, scientific cohesion is fundamentally established through cumulative chains of logical argumentation grounded in discrete pieces of empirical evidence (Ochs &amp; Capps, 2001</w:t>
      </w:r>
      <w:r w:rsidR="003E698A">
        <w:rPr>
          <w:rFonts w:ascii="Times New Roman" w:eastAsia="SimSun" w:hAnsi="Times New Roman" w:cs="Times New Roman"/>
          <w:color w:val="0F1115"/>
          <w:kern w:val="0"/>
          <w:sz w:val="20"/>
          <w:szCs w:val="20"/>
        </w:rPr>
        <w:t xml:space="preserve">; </w:t>
      </w:r>
      <w:r w:rsidR="003E698A" w:rsidRPr="00C9053E">
        <w:rPr>
          <w:rFonts w:ascii="Times New Roman" w:eastAsia="Times New Roman" w:hAnsi="Times New Roman" w:cs="Times New Roman"/>
          <w:bCs/>
          <w:sz w:val="20"/>
          <w:szCs w:val="20"/>
          <w:lang w:val="en-GB"/>
        </w:rPr>
        <w:t>Flores</w:t>
      </w:r>
      <w:r w:rsidR="003E698A">
        <w:rPr>
          <w:rFonts w:ascii="Times New Roman" w:eastAsia="Times New Roman" w:hAnsi="Times New Roman" w:cs="Times New Roman"/>
          <w:bCs/>
          <w:sz w:val="20"/>
          <w:szCs w:val="20"/>
          <w:lang w:val="en-GB"/>
        </w:rPr>
        <w:t xml:space="preserve"> </w:t>
      </w:r>
      <w:r w:rsidR="003E698A" w:rsidRPr="00C9053E">
        <w:rPr>
          <w:rFonts w:ascii="Times New Roman" w:eastAsia="Times New Roman" w:hAnsi="Times New Roman" w:cs="Times New Roman"/>
          <w:bCs/>
          <w:sz w:val="20"/>
          <w:szCs w:val="20"/>
          <w:lang w:val="en-GB"/>
        </w:rPr>
        <w:t>&amp; Woodard,</w:t>
      </w:r>
      <w:r w:rsidR="003E698A">
        <w:rPr>
          <w:rFonts w:ascii="Times New Roman" w:eastAsia="Times New Roman" w:hAnsi="Times New Roman" w:cs="Times New Roman"/>
          <w:bCs/>
          <w:sz w:val="20"/>
          <w:szCs w:val="20"/>
          <w:lang w:val="en-GB"/>
        </w:rPr>
        <w:t xml:space="preserve"> 2023</w:t>
      </w:r>
      <w:r w:rsidRPr="001F747F">
        <w:rPr>
          <w:rFonts w:ascii="Times New Roman" w:eastAsia="SimSun" w:hAnsi="Times New Roman" w:cs="Times New Roman"/>
          <w:color w:val="0F1115"/>
          <w:kern w:val="0"/>
          <w:sz w:val="20"/>
          <w:szCs w:val="20"/>
        </w:rPr>
        <w:t>). Deductive-inductive logics, together with comparative and inferential analytical approaches, constitute the core cohesive framework of scientific discourse. As Zhao and Li (2026, p. 41) observed:</w:t>
      </w:r>
    </w:p>
    <w:p w14:paraId="79F524D4" w14:textId="77777777" w:rsidR="001F747F" w:rsidRPr="001F747F" w:rsidRDefault="001F747F" w:rsidP="001F747F">
      <w:pPr>
        <w:widowControl/>
        <w:spacing w:before="240" w:after="240"/>
        <w:ind w:leftChars="150" w:left="315" w:rightChars="150" w:right="315"/>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 xml:space="preserve">"Deductive-inductive reasoning cycles, paired with comparative examination and inferential analytical procedures, form the foundational cohesive architecture that underpins the rational </w:t>
      </w:r>
      <w:proofErr w:type="spellStart"/>
      <w:r w:rsidRPr="001F747F">
        <w:rPr>
          <w:rFonts w:ascii="Times New Roman" w:eastAsia="SimSun" w:hAnsi="Times New Roman" w:cs="Times New Roman"/>
          <w:color w:val="0F1115"/>
          <w:kern w:val="0"/>
          <w:sz w:val="20"/>
          <w:szCs w:val="20"/>
        </w:rPr>
        <w:t>organisation</w:t>
      </w:r>
      <w:proofErr w:type="spellEnd"/>
      <w:r w:rsidRPr="001F747F">
        <w:rPr>
          <w:rFonts w:ascii="Times New Roman" w:eastAsia="SimSun" w:hAnsi="Times New Roman" w:cs="Times New Roman"/>
          <w:color w:val="0F1115"/>
          <w:kern w:val="0"/>
          <w:sz w:val="20"/>
          <w:szCs w:val="20"/>
        </w:rPr>
        <w:t xml:space="preserve"> of scientific discourse."</w:t>
      </w:r>
    </w:p>
    <w:p w14:paraId="4C92E4E8" w14:textId="77777777" w:rsidR="001F747F" w:rsidRPr="001F747F" w:rsidRDefault="001F747F" w:rsidP="001F747F">
      <w:pPr>
        <w:widowControl/>
        <w:spacing w:before="240" w:after="240"/>
        <w:rPr>
          <w:rFonts w:ascii="Times New Roman" w:eastAsia="SimSun" w:hAnsi="Times New Roman" w:cs="Times New Roman"/>
          <w:color w:val="0F1115"/>
          <w:kern w:val="0"/>
          <w:sz w:val="20"/>
          <w:szCs w:val="20"/>
        </w:rPr>
      </w:pPr>
      <w:r w:rsidRPr="001F747F">
        <w:rPr>
          <w:rFonts w:ascii="Times New Roman" w:eastAsia="SimSun" w:hAnsi="Times New Roman" w:cs="Times New Roman"/>
          <w:color w:val="0F1115"/>
          <w:kern w:val="0"/>
          <w:sz w:val="20"/>
          <w:szCs w:val="20"/>
        </w:rPr>
        <w:t xml:space="preserve">For scientific cohesion, the central inferential concern moves beyond the narrative-driven temporal preoccupation with "what happened next" toward empirical validation: identifying which conclusions are substantiated by existing evidence and articulating the logical rationale for such inferential judgements (Abell, 2004; Wells, 2011; </w:t>
      </w:r>
      <w:r w:rsidR="00DE787F" w:rsidRPr="00C53DE9">
        <w:rPr>
          <w:rFonts w:ascii="Times New Roman" w:eastAsia="SimSun" w:hAnsi="Times New Roman" w:cs="Times New Roman"/>
          <w:color w:val="0F1115"/>
          <w:kern w:val="0"/>
          <w:sz w:val="20"/>
          <w:szCs w:val="20"/>
        </w:rPr>
        <w:t>Bruhn, 2022</w:t>
      </w:r>
      <w:r w:rsidRPr="001F747F">
        <w:rPr>
          <w:rFonts w:ascii="Times New Roman" w:eastAsia="SimSun" w:hAnsi="Times New Roman" w:cs="Times New Roman"/>
          <w:color w:val="0F1115"/>
          <w:kern w:val="0"/>
          <w:sz w:val="20"/>
          <w:szCs w:val="20"/>
        </w:rPr>
        <w:t>).</w:t>
      </w:r>
    </w:p>
    <w:p w14:paraId="3A6476EB" w14:textId="77777777" w:rsidR="004E0DE4" w:rsidRDefault="001F747F" w:rsidP="00C53DE9">
      <w:pPr>
        <w:pStyle w:val="p1"/>
        <w:jc w:val="both"/>
        <w:rPr>
          <w:color w:val="0F1115"/>
          <w:sz w:val="20"/>
          <w:szCs w:val="20"/>
        </w:rPr>
      </w:pPr>
      <w:r>
        <w:rPr>
          <w:sz w:val="20"/>
        </w:rPr>
        <w:t>This reasoning-centred cohesive mechanism is concretely instantiated in the conventional template of academic research articles. Scientific manuscripts typically follow a purpose-driven organi</w:t>
      </w:r>
      <w:r>
        <w:rPr>
          <w:sz w:val="20"/>
          <w:highlight w:val="yellow"/>
        </w:rPr>
        <w:t>s</w:t>
      </w:r>
      <w:r>
        <w:rPr>
          <w:sz w:val="20"/>
        </w:rPr>
        <w:t>ational trajectory: opening with a clearly defined research problem or core inquiry question, situating the study through a critical literature review, detailing rigorous methodological procedures and empirical data collection, and concluding with analytical reasoning together with theoretical or practical implications as core claims (Zhao &amp; Li, 2026). This discourse organi</w:t>
      </w:r>
      <w:r>
        <w:rPr>
          <w:sz w:val="20"/>
          <w:highlight w:val="yellow"/>
        </w:rPr>
        <w:t>s</w:t>
      </w:r>
      <w:r>
        <w:rPr>
          <w:sz w:val="20"/>
        </w:rPr>
        <w:t>ation is neither arbitrary nor merely conventional; it is deliberately constructed to mirror the systematic logic of argumentation (Bruhn, 2022). Each section of a scientific article fulfils a targeted cohesive function, collectively advancing a linear argumentative progression that culminates in defensible, evidence-based knowledge claims (Bruner, 1991; Zhao &amp; Li, 2026). Positivist scientific discourse has strictly focused on evidence relevance and referential consistency</w:t>
      </w:r>
      <w:r>
        <w:rPr>
          <w:sz w:val="20"/>
          <w:highlight w:val="yellow"/>
        </w:rPr>
        <w:t>,</w:t>
      </w:r>
      <w:r>
        <w:rPr>
          <w:sz w:val="20"/>
        </w:rPr>
        <w:t xml:space="preserve"> and justification—distinct from the diachronic progression and meaning-making that biographical or life history methods emphasize (Brannen, 2019). These distinct scientific cohesive mechanisms serve the core epistemic mission of positivist paradigms: producing portable, generali</w:t>
      </w:r>
      <w:r>
        <w:rPr>
          <w:sz w:val="20"/>
          <w:highlight w:val="yellow"/>
        </w:rPr>
        <w:t>s</w:t>
      </w:r>
      <w:r>
        <w:rPr>
          <w:sz w:val="20"/>
        </w:rPr>
        <w:t>able, and publicly defensible knowledge claims and arguments (Lincoln &amp; Guba, 1985).</w:t>
      </w:r>
    </w:p>
    <w:p w14:paraId="3B32D8A8" w14:textId="77777777" w:rsidR="001F747F" w:rsidRDefault="001F747F"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Narrative cohesion relies on readers' capacity to follow and interpret temporally ordered experiential themes, whereas scientific cohesion demands critical evaluation of inferential rigo</w:t>
      </w:r>
      <w:r>
        <w:rPr>
          <w:rFonts w:ascii="Times New Roman" w:hAnsi="Times New Roman"/>
          <w:sz w:val="20"/>
          <w:highlight w:val="yellow"/>
        </w:rPr>
        <w:t>u</w:t>
      </w:r>
      <w:r>
        <w:rPr>
          <w:rFonts w:ascii="Times New Roman" w:hAnsi="Times New Roman"/>
          <w:sz w:val="20"/>
        </w:rPr>
        <w:t xml:space="preserve">r and logical validity (Wells, 2011). Correspondingly, scientific writing cultivates a different mode of cohesion for reader reception. Instead of prioritizing affective and interpretative immersion or original engagement, it pursues rational persuasion built upon transparent, well-structured argumentation and textual unity (van Dijk, 1994; </w:t>
      </w:r>
      <w:r>
        <w:rPr>
          <w:rFonts w:ascii="Times New Roman" w:hAnsi="Times New Roman"/>
          <w:sz w:val="20"/>
          <w:highlight w:val="yellow"/>
        </w:rPr>
        <w:t xml:space="preserve">Zhao &amp; </w:t>
      </w:r>
      <w:r>
        <w:rPr>
          <w:rFonts w:ascii="Times New Roman" w:hAnsi="Times New Roman"/>
          <w:sz w:val="20"/>
        </w:rPr>
        <w:t>Li, 2026). Even so, scientific discourse cohesion cannot fully escape preestablished narrative influences, and subtle but persistent narrative undercurrents still noticeably shape formal academic writing. Scholarly articles often unfold around an implicit storyline of problem identification, contextual obstacles, and analytical resolution (Padian, 2018).</w:t>
      </w:r>
    </w:p>
    <w:p w14:paraId="28AE8338" w14:textId="77777777" w:rsidR="001F747F" w:rsidRDefault="001F747F" w:rsidP="00092C7A">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In scientific discourse, researchers map out unaddressed research gaps, deploy tailored methodologies as targeted solutions, and present empirical findings as responses to pre-contemplated research questions. Viewed in this light, scientific discourse does not eliminate narrative structure altogether, but refashions it within generic boundaries governed by strict methodological standards, procedural stability, and </w:t>
      </w:r>
      <w:r>
        <w:rPr>
          <w:rFonts w:ascii="Times New Roman" w:hAnsi="Times New Roman"/>
          <w:sz w:val="20"/>
          <w:highlight w:val="yellow"/>
        </w:rPr>
        <w:lastRenderedPageBreak/>
        <w:t xml:space="preserve">consistent </w:t>
      </w:r>
      <w:r>
        <w:rPr>
          <w:rFonts w:ascii="Times New Roman" w:hAnsi="Times New Roman"/>
          <w:sz w:val="20"/>
        </w:rPr>
        <w:t>evidentiary accountability (Polkinghorne, 1995; Zhao &amp; Li, 2025). That said, temporal configuration does not constitute the basis for the scientific structural cohesion of written texts, nor should it serve as a source of bias against narrative methods within scientific discourse. After all, narrative inquiry does not entail wholesale replication of the narrative paradigm; rather, narrative particularity has evolved and been adopted into scientific production as narrative methods.</w:t>
      </w:r>
    </w:p>
    <w:p w14:paraId="49ECBB2F" w14:textId="77777777" w:rsidR="004B4236" w:rsidRDefault="004B4236" w:rsidP="00C53D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SimSun" w:hAnsi="Times New Roman" w:cs="Times New Roman"/>
          <w:color w:val="0F1115"/>
          <w:kern w:val="0"/>
          <w:sz w:val="20"/>
          <w:szCs w:val="20"/>
        </w:rPr>
      </w:pPr>
      <w:r>
        <w:rPr>
          <w:rFonts w:ascii="Times New Roman" w:hAnsi="Times New Roman"/>
          <w:sz w:val="20"/>
        </w:rPr>
        <w:t>Thus far, this analysis has illuminated the paradigmatic divide from the perspective of discourse cohesion, which establishes distinct logics of coherence and separate validation criteria for narrative and scientific discourse. Temporal narrative and logico-scientific modes coexist within scholarly outputs. Still, these divergences in paradigmatic cohesive rationality and underlying epistemologies ought not to fuel scholarly doubt regarding the scientific legitimacy of narrative inquiry (Lincoln &amp; Guba, 1985; Zhao, 2023). Rather than casting narrative inquiry as a defective or peripheral scholarly form defined by subjective interpretation and temporal ordering within the scientific paradigm, researchers must recogni</w:t>
      </w:r>
      <w:r>
        <w:rPr>
          <w:rFonts w:ascii="Times New Roman" w:hAnsi="Times New Roman"/>
          <w:sz w:val="20"/>
          <w:highlight w:val="yellow"/>
        </w:rPr>
        <w:t>s</w:t>
      </w:r>
      <w:r>
        <w:rPr>
          <w:rFonts w:ascii="Times New Roman" w:hAnsi="Times New Roman"/>
          <w:sz w:val="20"/>
        </w:rPr>
        <w:t>e that narrative inquiry is not synonymous with the broader narrative paradigm. It is therefore vital to investigate how narrative particulars and techniques have evolved and been reintegrated into scientific research as legitimate, standalone epistemic tools capable of producing valid, interpretive knowledge (Zhao &amp; Poulson, 2006; Bruhn, 2022; Zhao, 2023).</w:t>
      </w:r>
    </w:p>
    <w:p w14:paraId="19D5CAA0" w14:textId="77777777" w:rsidR="004B4236" w:rsidRDefault="004B4236" w:rsidP="00092C7A">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Further examination is required to unpack why narrative-specific features—including temporality and interpretive strategies adopted in narrative inquiry—should neither serve as targets of critique nor form the basis of institutional hierarchies that marginalize narrative-based methods. As Dahlstrom (2014</w:t>
      </w:r>
      <w:r w:rsidR="00786CA2">
        <w:rPr>
          <w:rFonts w:ascii="Times New Roman" w:eastAsia="SimSun" w:hAnsi="Times New Roman" w:cs="Times New Roman"/>
          <w:color w:val="0F1115"/>
          <w:kern w:val="0"/>
          <w:sz w:val="20"/>
          <w:szCs w:val="20"/>
        </w:rPr>
        <w:t>; 202</w:t>
      </w:r>
      <w:r w:rsidR="004A5CF3">
        <w:rPr>
          <w:rFonts w:ascii="Times New Roman" w:eastAsia="SimSun" w:hAnsi="Times New Roman" w:cs="Times New Roman"/>
          <w:color w:val="0F1115"/>
          <w:kern w:val="0"/>
          <w:sz w:val="20"/>
          <w:szCs w:val="20"/>
        </w:rPr>
        <w:t>1</w:t>
      </w:r>
      <w:r w:rsidRPr="004B4236">
        <w:rPr>
          <w:rFonts w:ascii="Times New Roman" w:eastAsia="SimSun" w:hAnsi="Times New Roman" w:cs="Times New Roman"/>
          <w:color w:val="0F1115"/>
          <w:kern w:val="0"/>
          <w:sz w:val="20"/>
          <w:szCs w:val="20"/>
        </w:rPr>
        <w:t>) observes, journal review standards and disciplinary conventions frequently frame narrative particularities as merely illustrative rather than epistemically authoritative. Acknowledging this historically rooted discursive disparity and hierarchy offers a fundamental reframing of long-running methodological debates over narrative inquiry and points toward a resolution of such hierarchical tensions.</w:t>
      </w:r>
    </w:p>
    <w:p w14:paraId="39CB19B7" w14:textId="77777777" w:rsidR="004B4236" w:rsidRPr="004B4236" w:rsidRDefault="004B4236" w:rsidP="004B4236">
      <w:pPr>
        <w:widowControl/>
        <w:spacing w:before="240" w:after="240"/>
        <w:rPr>
          <w:rFonts w:ascii="Times New Roman" w:eastAsia="SimSun" w:hAnsi="Times New Roman" w:cs="Times New Roman"/>
          <w:b/>
          <w:bCs/>
          <w:color w:val="0F1115"/>
          <w:kern w:val="0"/>
          <w:sz w:val="24"/>
        </w:rPr>
      </w:pPr>
      <w:r w:rsidRPr="004B4236">
        <w:rPr>
          <w:rFonts w:ascii="Times New Roman" w:eastAsia="SimSun" w:hAnsi="Times New Roman" w:cs="Times New Roman"/>
          <w:b/>
          <w:bCs/>
          <w:color w:val="0F1115"/>
          <w:kern w:val="0"/>
          <w:sz w:val="24"/>
        </w:rPr>
        <w:t>3. The Epistemic and Institutional Implications</w:t>
      </w:r>
    </w:p>
    <w:p w14:paraId="3FA66729"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The historical formation of scientific traditions did not involve wholesale rejection of temporal and configurative narrative. Instead, it entailed the strategic adoption of narrative techniques and particulars capable of functioning as generative instruments for chronological data and meaning. These possess both temporal and interpretive features that complement e</w:t>
      </w:r>
      <w:r>
        <w:rPr>
          <w:rFonts w:ascii="Times New Roman" w:hAnsi="Times New Roman"/>
          <w:sz w:val="20"/>
          <w:highlight w:val="yellow"/>
        </w:rPr>
        <w:t xml:space="preserve">mpirical evidence and the interpretive capacity for deriving and verifying claims </w:t>
      </w:r>
      <w:r>
        <w:rPr>
          <w:rFonts w:ascii="Times New Roman" w:hAnsi="Times New Roman"/>
          <w:sz w:val="20"/>
        </w:rPr>
        <w:t>w</w:t>
      </w:r>
      <w:r>
        <w:rPr>
          <w:rFonts w:ascii="Times New Roman" w:hAnsi="Times New Roman"/>
          <w:sz w:val="20"/>
          <w:highlight w:val="yellow"/>
        </w:rPr>
        <w:t>ithin scientific</w:t>
      </w:r>
      <w:r>
        <w:rPr>
          <w:rFonts w:ascii="Times New Roman" w:hAnsi="Times New Roman"/>
          <w:sz w:val="20"/>
        </w:rPr>
        <w:t xml:space="preserve"> rationality and epistemology (Hlobil</w:t>
      </w:r>
      <w:r>
        <w:rPr>
          <w:rFonts w:ascii="Times New Roman" w:hAnsi="Times New Roman"/>
          <w:sz w:val="20"/>
          <w:highlight w:val="yellow"/>
        </w:rPr>
        <w:t>,</w:t>
      </w:r>
      <w:r>
        <w:rPr>
          <w:rFonts w:ascii="Times New Roman" w:hAnsi="Times New Roman"/>
          <w:sz w:val="20"/>
        </w:rPr>
        <w:t xml:space="preserve"> 2015; Bruhn, 2022). Thus, narrative inquiry has departed from the traditional narrative paradigm in which plotted temporality shapes literary outputs such as novels. Instead, it repurposes the specific affordances of narrative as research methods and instruments—including widely deployed narrative interviews, specifically biographical-narrative interviews, and life-history approaches—which serve instrumental functions to yield temporally structured data paired with interpretive accounts (Clandinin &amp; Connelly, 2000; Riessman, 2008; Dahlstrom, 2014; Mertova &amp; Webster, 2019).</w:t>
      </w:r>
    </w:p>
    <w:p w14:paraId="6DD05606" w14:textId="77777777" w:rsidR="004B4236" w:rsidRPr="004B4236" w:rsidRDefault="00FC579A" w:rsidP="004B4236">
      <w:pPr>
        <w:widowControl/>
        <w:spacing w:before="240" w:after="240"/>
        <w:rPr>
          <w:rFonts w:ascii="Times New Roman" w:eastAsia="SimSun" w:hAnsi="Times New Roman" w:cs="Times New Roman"/>
          <w:color w:val="0F1115"/>
          <w:kern w:val="0"/>
          <w:sz w:val="20"/>
          <w:szCs w:val="20"/>
        </w:rPr>
      </w:pPr>
      <w:r>
        <w:rPr>
          <w:rFonts w:ascii="Times New Roman" w:eastAsia="SimSun" w:hAnsi="Times New Roman" w:cs="Times New Roman"/>
          <w:color w:val="0F1115"/>
          <w:kern w:val="0"/>
          <w:sz w:val="20"/>
          <w:szCs w:val="20"/>
        </w:rPr>
        <w:t>N</w:t>
      </w:r>
      <w:r w:rsidR="004B4236" w:rsidRPr="004B4236">
        <w:rPr>
          <w:rFonts w:ascii="Times New Roman" w:eastAsia="SimSun" w:hAnsi="Times New Roman" w:cs="Times New Roman"/>
          <w:color w:val="0F1115"/>
          <w:kern w:val="0"/>
          <w:sz w:val="20"/>
          <w:szCs w:val="20"/>
        </w:rPr>
        <w:t xml:space="preserve">arrative inquiry ought not to be discounted or dismissed merely on account of the narrative heritage embedded within its methods and data, including inherent temporal </w:t>
      </w:r>
      <w:r>
        <w:rPr>
          <w:rFonts w:ascii="Times New Roman" w:eastAsia="SimSun" w:hAnsi="Times New Roman" w:cs="Times New Roman"/>
          <w:color w:val="0F1115"/>
          <w:kern w:val="0"/>
          <w:sz w:val="20"/>
          <w:szCs w:val="20"/>
        </w:rPr>
        <w:t>rationality</w:t>
      </w:r>
      <w:r w:rsidRPr="004B4236">
        <w:rPr>
          <w:rFonts w:ascii="Times New Roman" w:eastAsia="SimSun" w:hAnsi="Times New Roman" w:cs="Times New Roman"/>
          <w:color w:val="0F1115"/>
          <w:kern w:val="0"/>
          <w:sz w:val="20"/>
          <w:szCs w:val="20"/>
        </w:rPr>
        <w:t xml:space="preserve"> </w:t>
      </w:r>
      <w:r w:rsidR="004B4236" w:rsidRPr="004B4236">
        <w:rPr>
          <w:rFonts w:ascii="Times New Roman" w:eastAsia="SimSun" w:hAnsi="Times New Roman" w:cs="Times New Roman"/>
          <w:color w:val="0F1115"/>
          <w:kern w:val="0"/>
          <w:sz w:val="20"/>
          <w:szCs w:val="20"/>
        </w:rPr>
        <w:t xml:space="preserve">and </w:t>
      </w:r>
      <w:r>
        <w:rPr>
          <w:rFonts w:ascii="Times New Roman" w:eastAsia="SimSun" w:hAnsi="Times New Roman" w:cs="Times New Roman"/>
          <w:color w:val="0F1115"/>
          <w:kern w:val="0"/>
          <w:sz w:val="20"/>
          <w:szCs w:val="20"/>
        </w:rPr>
        <w:t>story</w:t>
      </w:r>
      <w:r w:rsidRPr="004B4236">
        <w:rPr>
          <w:rFonts w:ascii="Times New Roman" w:eastAsia="SimSun" w:hAnsi="Times New Roman" w:cs="Times New Roman"/>
          <w:color w:val="0F1115"/>
          <w:kern w:val="0"/>
          <w:sz w:val="20"/>
          <w:szCs w:val="20"/>
        </w:rPr>
        <w:t xml:space="preserve"> </w:t>
      </w:r>
      <w:r w:rsidR="004B4236" w:rsidRPr="004B4236">
        <w:rPr>
          <w:rFonts w:ascii="Times New Roman" w:eastAsia="SimSun" w:hAnsi="Times New Roman" w:cs="Times New Roman"/>
          <w:color w:val="0F1115"/>
          <w:kern w:val="0"/>
          <w:sz w:val="20"/>
          <w:szCs w:val="20"/>
        </w:rPr>
        <w:t>configuration, as scientific discourse itself already incorporates narrative tools and techniques—for instance, participant stories, case timelines, and experiential accounts—to generate descriptive, evidence-based materials that underpin interpretation, meaning-making, and inferential reasoning (Greenhalgh &amp; Wieringa, 2011</w:t>
      </w:r>
      <w:r>
        <w:rPr>
          <w:rFonts w:ascii="Times New Roman" w:eastAsia="SimSun" w:hAnsi="Times New Roman" w:cs="Times New Roman"/>
          <w:color w:val="0F1115"/>
          <w:kern w:val="0"/>
          <w:sz w:val="20"/>
          <w:szCs w:val="20"/>
        </w:rPr>
        <w:t>; Zhao, 2023</w:t>
      </w:r>
      <w:r w:rsidR="004B4236" w:rsidRPr="004B4236">
        <w:rPr>
          <w:rFonts w:ascii="Times New Roman" w:eastAsia="SimSun" w:hAnsi="Times New Roman" w:cs="Times New Roman"/>
          <w:color w:val="0F1115"/>
          <w:kern w:val="0"/>
          <w:sz w:val="20"/>
          <w:szCs w:val="20"/>
        </w:rPr>
        <w:t xml:space="preserve">). When narrative methods and data serve empirical functions—for example, when case-based </w:t>
      </w:r>
      <w:r w:rsidR="004B4236" w:rsidRPr="004B4236">
        <w:rPr>
          <w:rFonts w:ascii="Times New Roman" w:eastAsia="SimSun" w:hAnsi="Times New Roman" w:cs="Times New Roman"/>
          <w:color w:val="0F1115"/>
          <w:kern w:val="0"/>
          <w:sz w:val="20"/>
          <w:szCs w:val="20"/>
        </w:rPr>
        <w:lastRenderedPageBreak/>
        <w:t>material is included as evidential illustration—they play the role of evidence and factual support for meaning and truth arguments within the broader inferential framework. Narrative interviewing exemplifies this development as a well-established research instrument; temporally organized biographical-narrative interviews, in particular, generate analytically valuable life-story data with clear empirical significance (Strawson, 2004; Zhao &amp; Poulson, 2006; Gusman, 2024; Brannen, 2019).</w:t>
      </w:r>
    </w:p>
    <w:p w14:paraId="6C8124FB"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Zhao (2023, p. 136) characterizes narrative-based "story" as an epistemologically unique narrative method:</w:t>
      </w:r>
    </w:p>
    <w:p w14:paraId="31749451" w14:textId="77777777" w:rsidR="004B4236" w:rsidRPr="004B4236" w:rsidRDefault="004B4236" w:rsidP="004B4236">
      <w:pPr>
        <w:widowControl/>
        <w:spacing w:before="240" w:after="240"/>
        <w:ind w:leftChars="150" w:left="315" w:rightChars="150" w:right="315"/>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"The story is a data collection instrument as well as an analysis tool, and thus the most important qualitative research device to hold the integrity of the result or reveal the complexity of matters, not available in other forms."</w:t>
      </w:r>
    </w:p>
    <w:p w14:paraId="606AA6E3"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Within modern scientific research, narrative methods such as storytelling—and the narrative data they produce—serve a distinct epistemological function, though sometimes the story tool is emotionally charged (Dahlstrom, 2014; Flores &amp; Woodard, 2023). Whereas the authority of positivist rationality is grounded in generali</w:t>
      </w:r>
      <w:r>
        <w:rPr>
          <w:rFonts w:ascii="Times New Roman" w:hAnsi="Times New Roman"/>
          <w:sz w:val="20"/>
          <w:highlight w:val="yellow"/>
        </w:rPr>
        <w:t>s</w:t>
      </w:r>
      <w:r>
        <w:rPr>
          <w:rFonts w:ascii="Times New Roman" w:hAnsi="Times New Roman"/>
          <w:sz w:val="20"/>
        </w:rPr>
        <w:t>ability and procedural objectivity, the merit of narrative inquiry stems from its unique temporal capacity: the ability to organi</w:t>
      </w:r>
      <w:r>
        <w:rPr>
          <w:rFonts w:ascii="Times New Roman" w:hAnsi="Times New Roman"/>
          <w:sz w:val="20"/>
          <w:highlight w:val="yellow"/>
        </w:rPr>
        <w:t>s</w:t>
      </w:r>
      <w:r>
        <w:rPr>
          <w:rFonts w:ascii="Times New Roman" w:hAnsi="Times New Roman"/>
          <w:sz w:val="20"/>
        </w:rPr>
        <w:t xml:space="preserve">e experience diachronically into meaningful, context-embedded accounts and evidence (Hlobil, 2015; Mallon &amp; Elliott, 2019; Zhao, 2023; Freitas, 2026). </w:t>
      </w:r>
    </w:p>
    <w:p w14:paraId="76914CE5" w14:textId="77777777" w:rsidR="004B4236" w:rsidRPr="004B4236" w:rsidRDefault="000A0600"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The contrastive demonstration of cohesion and rationality between scientific and narrative traditions, </w:t>
      </w:r>
      <w:r>
        <w:rPr>
          <w:rFonts w:ascii="Times New Roman" w:hAnsi="Times New Roman"/>
          <w:sz w:val="20"/>
          <w:highlight w:val="yellow"/>
        </w:rPr>
        <w:t>together with the analysis of the historical emergence of narrative methodology, does not imply an epistemic hierarch</w:t>
      </w:r>
      <w:r>
        <w:rPr>
          <w:rFonts w:ascii="Times New Roman" w:hAnsi="Times New Roman"/>
          <w:sz w:val="20"/>
        </w:rPr>
        <w:t>y. Nevertheless, when scientific discourse prioritizes context-free, generalizable logical and evidential standards while reduc</w:t>
      </w:r>
      <w:r>
        <w:rPr>
          <w:rFonts w:ascii="Times New Roman" w:hAnsi="Times New Roman"/>
          <w:sz w:val="20"/>
          <w:highlight w:val="yellow"/>
        </w:rPr>
        <w:t>ing</w:t>
      </w:r>
      <w:r>
        <w:rPr>
          <w:rFonts w:ascii="Times New Roman" w:hAnsi="Times New Roman"/>
          <w:sz w:val="20"/>
        </w:rPr>
        <w:t xml:space="preserve"> narrative methods and data to mere supporting exemplars rather than primary </w:t>
      </w:r>
      <w:r>
        <w:rPr>
          <w:rFonts w:ascii="Times New Roman" w:hAnsi="Times New Roman"/>
          <w:sz w:val="20"/>
          <w:highlight w:val="yellow"/>
        </w:rPr>
        <w:t xml:space="preserve">grounds for </w:t>
      </w:r>
      <w:r>
        <w:rPr>
          <w:rFonts w:ascii="Times New Roman" w:hAnsi="Times New Roman"/>
          <w:sz w:val="20"/>
        </w:rPr>
        <w:t>knowledge</w:t>
      </w:r>
      <w:r>
        <w:rPr>
          <w:rFonts w:ascii="Times New Roman" w:hAnsi="Times New Roman"/>
          <w:sz w:val="20"/>
          <w:highlight w:val="yellow"/>
        </w:rPr>
        <w:t xml:space="preserve">, this position </w:t>
      </w:r>
      <w:r>
        <w:rPr>
          <w:rFonts w:ascii="Times New Roman" w:hAnsi="Times New Roman"/>
          <w:sz w:val="20"/>
        </w:rPr>
        <w:t xml:space="preserve">lacks robust epistemic justification (Hlobil, 2015; Kucirkova &amp; Odhiambo, 2026). After all, as </w:t>
      </w:r>
      <w:r>
        <w:rPr>
          <w:rFonts w:ascii="Times New Roman" w:hAnsi="Times New Roman"/>
          <w:sz w:val="20"/>
          <w:highlight w:val="yellow"/>
        </w:rPr>
        <w:t>this analysis shows</w:t>
      </w:r>
      <w:r>
        <w:rPr>
          <w:rFonts w:ascii="Times New Roman" w:hAnsi="Times New Roman"/>
          <w:sz w:val="20"/>
        </w:rPr>
        <w:t>, narrative specificity delivers contextuali</w:t>
      </w:r>
      <w:r>
        <w:rPr>
          <w:rFonts w:ascii="Times New Roman" w:hAnsi="Times New Roman"/>
          <w:sz w:val="20"/>
          <w:highlight w:val="yellow"/>
        </w:rPr>
        <w:t>s</w:t>
      </w:r>
      <w:r>
        <w:rPr>
          <w:rFonts w:ascii="Times New Roman" w:hAnsi="Times New Roman"/>
          <w:sz w:val="20"/>
        </w:rPr>
        <w:t>ed empirical data that can itself serve as valid evidentiary grounding for knowledge claims, without contradicting the role of logical coherence and evidential reasoning as core evaluative benchmarks in scholarly knowledge production.</w:t>
      </w:r>
    </w:p>
    <w:p w14:paraId="3F3FE5C0" w14:textId="77777777" w:rsidR="004B4236" w:rsidRP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The recognition that positivist research does not inherently stand above narrative inquiry should not, however, deny the methodological shortcomings that can occur in the operation of narrative methods. One </w:t>
      </w:r>
      <w:r>
        <w:rPr>
          <w:rFonts w:ascii="Times New Roman" w:hAnsi="Times New Roman"/>
          <w:sz w:val="20"/>
          <w:highlight w:val="yellow"/>
        </w:rPr>
        <w:t>prominent critic</w:t>
      </w:r>
      <w:r>
        <w:rPr>
          <w:rFonts w:ascii="Times New Roman" w:hAnsi="Times New Roman"/>
          <w:sz w:val="20"/>
        </w:rPr>
        <w:t xml:space="preserve"> of narrative methods, Bourdieu (1986/2017, p. 213), </w:t>
      </w:r>
      <w:r>
        <w:rPr>
          <w:rFonts w:ascii="Times New Roman" w:hAnsi="Times New Roman"/>
          <w:sz w:val="20"/>
          <w:highlight w:val="yellow"/>
        </w:rPr>
        <w:t>offer</w:t>
      </w:r>
      <w:r>
        <w:rPr>
          <w:rFonts w:ascii="Times New Roman" w:hAnsi="Times New Roman"/>
          <w:sz w:val="20"/>
        </w:rPr>
        <w:t>ed the well-known criticism of biographical narrative methods as "rigid" and a "biographical illusion." By framing experiences within conventional temporal arcs of life trajectory, narrative methods risk oversimplifying the inherent complexity of social and personal phenomena. As Bourdieu (1986/2017, p. 213) contended:</w:t>
      </w:r>
    </w:p>
    <w:p w14:paraId="115DDAA2" w14:textId="77777777" w:rsidR="004B4236" w:rsidRDefault="004B4236" w:rsidP="004B4236">
      <w:pPr>
        <w:widowControl/>
        <w:spacing w:before="240" w:after="240"/>
        <w:ind w:leftChars="150" w:left="315" w:rightChars="150" w:right="315"/>
        <w:rPr>
          <w:rFonts w:ascii="Times New Roman" w:eastAsia="SimSun" w:hAnsi="Times New Roman" w:cs="Times New Roman"/>
          <w:color w:val="0F1115"/>
          <w:kern w:val="0"/>
          <w:sz w:val="20"/>
          <w:szCs w:val="20"/>
        </w:rPr>
      </w:pPr>
      <w:r w:rsidRPr="004B4236">
        <w:rPr>
          <w:rFonts w:ascii="Times New Roman" w:eastAsia="SimSun" w:hAnsi="Times New Roman" w:cs="Times New Roman"/>
          <w:color w:val="0F1115"/>
          <w:kern w:val="0"/>
          <w:sz w:val="20"/>
          <w:szCs w:val="20"/>
        </w:rPr>
        <w:t>"Since what it designates is only a composite and disparate rhapsody of biological and social properties undergoing constant flux, all descriptions are valid only within the limits of a specific stage or place. In other words, it can only attest to the identity of the personality, as socially constituted individuality, at the price of an enormous abstraction."</w:t>
      </w:r>
    </w:p>
    <w:p w14:paraId="58993132"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Scholarly contestations over the scientific legitimacy of narrative research originate fundamentally from enduring paradigmatic tensions between positivist scientific and interpretivist narrative epistemologies, rather than inherent methodological flaws within narrative inquiry itself (Lincoln &amp; Guba, 1985). Rooted in natural science traditions, the positivist framework circumscribes valid scientific knowledge within </w:t>
      </w:r>
      <w:r>
        <w:rPr>
          <w:rFonts w:ascii="Times New Roman" w:hAnsi="Times New Roman"/>
          <w:sz w:val="20"/>
        </w:rPr>
        <w:lastRenderedPageBreak/>
        <w:t>narrow boundaries of objectivity, quantifiability, and cross-contextual replicability, prioritizing empirical outcomes that minimi</w:t>
      </w:r>
      <w:r>
        <w:rPr>
          <w:rFonts w:ascii="Times New Roman" w:hAnsi="Times New Roman"/>
          <w:sz w:val="20"/>
          <w:highlight w:val="yellow"/>
        </w:rPr>
        <w:t>s</w:t>
      </w:r>
      <w:r>
        <w:rPr>
          <w:rFonts w:ascii="Times New Roman" w:hAnsi="Times New Roman"/>
          <w:sz w:val="20"/>
        </w:rPr>
        <w:t>e human subjectivity and maximi</w:t>
      </w:r>
      <w:r>
        <w:rPr>
          <w:rFonts w:ascii="Times New Roman" w:hAnsi="Times New Roman"/>
          <w:sz w:val="20"/>
          <w:highlight w:val="yellow"/>
        </w:rPr>
        <w:t>se procedural standardis</w:t>
      </w:r>
      <w:r>
        <w:rPr>
          <w:rFonts w:ascii="Times New Roman" w:hAnsi="Times New Roman"/>
          <w:sz w:val="20"/>
        </w:rPr>
        <w:t>ation (Wells, 2011; Ghanbar et al., 2026). Within this paradigm, scientific rigo</w:t>
      </w:r>
      <w:r>
        <w:rPr>
          <w:rFonts w:ascii="Times New Roman" w:hAnsi="Times New Roman"/>
          <w:sz w:val="20"/>
          <w:highlight w:val="yellow"/>
        </w:rPr>
        <w:t>u</w:t>
      </w:r>
      <w:r>
        <w:rPr>
          <w:rFonts w:ascii="Times New Roman" w:hAnsi="Times New Roman"/>
          <w:sz w:val="20"/>
        </w:rPr>
        <w:t>r is exclusively evaluated via unified procedural protocols and standardi</w:t>
      </w:r>
      <w:r>
        <w:rPr>
          <w:rFonts w:ascii="Times New Roman" w:hAnsi="Times New Roman"/>
          <w:sz w:val="20"/>
          <w:highlight w:val="yellow"/>
        </w:rPr>
        <w:t>s</w:t>
      </w:r>
      <w:r>
        <w:rPr>
          <w:rFonts w:ascii="Times New Roman" w:hAnsi="Times New Roman"/>
          <w:sz w:val="20"/>
        </w:rPr>
        <w:t>ed reporting norms designed to constrain observer bias and uphold empirical neutrality (Atkinson, 1997). Aligned with these positivist tenets, conventional scientific discourse adopts a rigid, logic-driven structural template—encompassing problem formulation, literature review, method specification, result presentation, and thematic discussion—to sustain linear, decontextualized logical progression and secure perceived scientific objectivity (Zhao &amp; Li, 2026). This singular evaluative standard has long served as the dominant benchmark for judging the scientific validity of all social scientific research, creating systemic bias against paradigmatically distinct inquiry modes.</w:t>
      </w:r>
    </w:p>
    <w:p w14:paraId="08013BC9"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In contrast, narrative research cent</w:t>
      </w:r>
      <w:r>
        <w:rPr>
          <w:rFonts w:ascii="Times New Roman" w:hAnsi="Times New Roman"/>
          <w:sz w:val="20"/>
          <w:highlight w:val="yellow"/>
        </w:rPr>
        <w:t>re</w:t>
      </w:r>
      <w:r>
        <w:rPr>
          <w:rFonts w:ascii="Times New Roman" w:hAnsi="Times New Roman"/>
          <w:sz w:val="20"/>
        </w:rPr>
        <w:t>s contextual specificity, temporal interpretive meaning-making, and participants' narration of lived experiential realities (Riessman, 2008; Dahlstrom, 2014). It offers unique analytical value for exploring complex human phenomena such as identity formation, chronic illness, migration, trauma, experiential learning, and everyday social practice—domains where meaning is inherently embedded in temporal processes and individual subjective perspectives (Clandinin, 2013; Mallon &amp; Elliott, 2019). Rather than isolating and extracting decontextualized factual variables, narrative methodology reconstructs fragmented lived experiences with diachronic rationality and interpretive cohesion (Polkinghorne, 1995; Hlobil, 2015). This core characteristic fuels persistent scholarly s</w:t>
      </w:r>
      <w:r>
        <w:rPr>
          <w:rFonts w:ascii="Times New Roman" w:hAnsi="Times New Roman"/>
          <w:sz w:val="20"/>
          <w:highlight w:val="yellow"/>
        </w:rPr>
        <w:t>c</w:t>
      </w:r>
      <w:r>
        <w:rPr>
          <w:rFonts w:ascii="Times New Roman" w:hAnsi="Times New Roman"/>
          <w:sz w:val="20"/>
        </w:rPr>
        <w:t>epticism, with critics dismissing narrative research as inconsistent and overly subjective. Conversely, narrative scholars frame these interpretive, context-sensitive features not as methodological flaws, but as necessary epistemological adaptations, given that human experience cannot be reduced to static, discrete empirical units (Lincoln &amp; Guba, 1985; Riessman, 2008; Gu</w:t>
      </w:r>
      <w:r>
        <w:rPr>
          <w:rFonts w:ascii="Times New Roman" w:hAnsi="Times New Roman"/>
          <w:sz w:val="20"/>
          <w:highlight w:val="yellow"/>
        </w:rPr>
        <w:t>s</w:t>
      </w:r>
      <w:r>
        <w:rPr>
          <w:rFonts w:ascii="Times New Roman" w:hAnsi="Times New Roman"/>
          <w:sz w:val="20"/>
        </w:rPr>
        <w:t>man, 2024).</w:t>
      </w:r>
    </w:p>
    <w:p w14:paraId="325F41B9" w14:textId="77777777" w:rsidR="004B4236" w:rsidRDefault="004B4236"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Critiques targeting narrative research converge around three recurrent methodological concerns. First, narrative inquiry is accused of lacking standardi</w:t>
      </w:r>
      <w:r>
        <w:rPr>
          <w:rFonts w:ascii="Times New Roman" w:hAnsi="Times New Roman"/>
          <w:sz w:val="20"/>
          <w:highlight w:val="yellow"/>
        </w:rPr>
        <w:t>s</w:t>
      </w:r>
      <w:r>
        <w:rPr>
          <w:rFonts w:ascii="Times New Roman" w:hAnsi="Times New Roman"/>
          <w:sz w:val="20"/>
        </w:rPr>
        <w:t>ed procedural protocols, compromising uniformity and comparability (Atkinson, 1997). Second, its heavy reliance on interpretive judgment renders it incompatible with conventional quantitative verification mechanisms, undermining its perceived empirical validity (Bourdieu, 1986/2017; Wells, 2011). Third, scholars challenge its tendency to reframe raw lived experience into aesthetically structured narratives, blurring the conventional academic boundary between factual evidence and fictional construction (Strawson, 2004; Brannen, 2019; Dahlstrom, 2021). Collectively, these objections stem from an unexamined foundational assumption: that legitimate scholarly knowledge must adhere exclusively to the natural scientific reasoning paradigm (Padian, 2018). Such criticism overlooks the unique research questions and experiential phenomena that narrative methods are uniquely positioned to investigate (Denzin, 1989; Bruner, 1991; Riessman, 2008; Zhao, 2023).</w:t>
      </w:r>
    </w:p>
    <w:p w14:paraId="0B69166D" w14:textId="77777777" w:rsidR="004B4236" w:rsidRPr="004B4236" w:rsidRDefault="002911A4"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Against this epistemic basis—often grounded in institutional hierarchy and paradigmatic bias—a more rigorous and productive evaluation framework can emerge from analy</w:t>
      </w:r>
      <w:r>
        <w:rPr>
          <w:rFonts w:ascii="Times New Roman" w:hAnsi="Times New Roman"/>
          <w:sz w:val="20"/>
          <w:highlight w:val="yellow"/>
        </w:rPr>
        <w:t>s</w:t>
      </w:r>
      <w:r>
        <w:rPr>
          <w:rFonts w:ascii="Times New Roman" w:hAnsi="Times New Roman"/>
          <w:sz w:val="20"/>
        </w:rPr>
        <w:t xml:space="preserve">ing the distinct cohesion mechanisms of narrative and scientific discourse, both of which have endured questions about rationality and their specific </w:t>
      </w:r>
      <w:r>
        <w:rPr>
          <w:rFonts w:ascii="Times New Roman" w:hAnsi="Times New Roman"/>
          <w:sz w:val="20"/>
          <w:highlight w:val="yellow"/>
        </w:rPr>
        <w:t>criteria of rigour</w:t>
      </w:r>
      <w:r>
        <w:rPr>
          <w:rFonts w:ascii="Times New Roman" w:hAnsi="Times New Roman"/>
          <w:sz w:val="20"/>
        </w:rPr>
        <w:t>. As established in preceding sections, the two genres generate textual coherence through divergent yet equally valid structural logics, dismantling the rigid binary between scientific rigo</w:t>
      </w:r>
      <w:r>
        <w:rPr>
          <w:rFonts w:ascii="Times New Roman" w:hAnsi="Times New Roman"/>
          <w:sz w:val="20"/>
          <w:highlight w:val="yellow"/>
        </w:rPr>
        <w:t>u</w:t>
      </w:r>
      <w:r>
        <w:rPr>
          <w:rFonts w:ascii="Times New Roman" w:hAnsi="Times New Roman"/>
          <w:sz w:val="20"/>
        </w:rPr>
        <w:t xml:space="preserve">r and narrative subjectivity (van Dijk, 1994; Bruhn, 2022). As illuminated by this analysis, narrative research appears methodologically deficient only when evaluated against positivist, </w:t>
      </w:r>
      <w:r>
        <w:rPr>
          <w:rFonts w:ascii="Times New Roman" w:hAnsi="Times New Roman"/>
          <w:sz w:val="20"/>
        </w:rPr>
        <w:lastRenderedPageBreak/>
        <w:t>argumentation-centric criteria ill-suited to its epistemic goals. When assessed according to its own discursive standards—including temporal organi</w:t>
      </w:r>
      <w:r>
        <w:rPr>
          <w:rFonts w:ascii="Times New Roman" w:hAnsi="Times New Roman"/>
          <w:sz w:val="20"/>
          <w:highlight w:val="yellow"/>
        </w:rPr>
        <w:t>s</w:t>
      </w:r>
      <w:r>
        <w:rPr>
          <w:rFonts w:ascii="Times New Roman" w:hAnsi="Times New Roman"/>
          <w:sz w:val="20"/>
        </w:rPr>
        <w:t>ation of evidence, layered interpretive depth, and faithful representation of lived experiential meaning and truth—its inherent scholarly consistency and epistemological value become fully evident (Polkinghorne, 1988; Riessman, 2008; Zhao, 2023; Freitas, 2026).</w:t>
      </w:r>
    </w:p>
    <w:p w14:paraId="598DFA42" w14:textId="77777777" w:rsidR="00D57717" w:rsidRDefault="00756D01" w:rsidP="00D57717">
      <w:pPr>
        <w:pStyle w:val="p1"/>
        <w:jc w:val="both"/>
        <w:rPr>
          <w:color w:val="0F1115"/>
          <w:sz w:val="20"/>
          <w:szCs w:val="20"/>
        </w:rPr>
      </w:pPr>
      <w:r>
        <w:rPr>
          <w:sz w:val="20"/>
        </w:rPr>
        <w:t>The institutional marginalization of narrative methodology is largely a product of long-standing positivist disciplinary dominance (Smith &amp; Sparkes, 2006). Positivist epistemology prioritizes objectivity, experimental control, and quantitative measurement, dismissing narrative forms as inherently subjective and unfit for producing credible empirical evidence (Lincoln &amp; Guba, 1985; Greenhalgh &amp; Wieringa, 2011). The contemporary framework acknowledges that all scholarly knowledge is linguistically mediated, perspective-dependent, and contextually situated (Bruner, 1986, 1991; Bruhn, 2022). Knowledge production is no longer understood as a neutral process of detached observation, but as an active practice of contextual interpretation and meaning construction (Clandinin &amp; Connelly, 2000). Narrative inquiry aligns seamlessly with this epistemological worldview, as its core function is to systemati</w:t>
      </w:r>
      <w:r>
        <w:rPr>
          <w:sz w:val="20"/>
          <w:highlight w:val="yellow"/>
        </w:rPr>
        <w:t>s</w:t>
      </w:r>
      <w:r>
        <w:rPr>
          <w:sz w:val="20"/>
        </w:rPr>
        <w:t>e situated human sense-making and articulate the temporal and contextual contingency of lived experience (Riessman, 2008). As Bruhn (2022, pp.</w:t>
      </w:r>
      <w:r>
        <w:rPr>
          <w:sz w:val="20"/>
          <w:highlight w:val="yellow"/>
        </w:rPr>
        <w:t xml:space="preserve"> </w:t>
      </w:r>
      <w:r>
        <w:rPr>
          <w:sz w:val="20"/>
        </w:rPr>
        <w:t>178</w:t>
      </w:r>
      <w:r>
        <w:rPr>
          <w:sz w:val="20"/>
          <w:highlight w:val="yellow"/>
        </w:rPr>
        <w:t>–</w:t>
      </w:r>
      <w:r>
        <w:rPr>
          <w:sz w:val="20"/>
        </w:rPr>
        <w:t>179) a</w:t>
      </w:r>
      <w:r>
        <w:rPr>
          <w:sz w:val="20"/>
          <w:highlight w:val="yellow"/>
        </w:rPr>
        <w:t>rgued,</w:t>
      </w:r>
      <w:r>
        <w:rPr>
          <w:sz w:val="20"/>
        </w:rPr>
        <w:t xml:space="preserve"> scientific leadership needs to orchestrate these differences:</w:t>
      </w:r>
    </w:p>
    <w:p w14:paraId="36C6ABB1" w14:textId="77777777" w:rsidR="00D57717" w:rsidRDefault="00D57717" w:rsidP="00D57717">
      <w:pPr>
        <w:pStyle w:val="p1"/>
        <w:jc w:val="both"/>
        <w:rPr>
          <w:color w:val="0F1115"/>
          <w:sz w:val="20"/>
          <w:szCs w:val="20"/>
        </w:rPr>
      </w:pPr>
    </w:p>
    <w:p w14:paraId="7EB5667C" w14:textId="77777777" w:rsidR="00756D01" w:rsidRPr="00C53DE9" w:rsidRDefault="00D57717" w:rsidP="00C53DE9">
      <w:pPr>
        <w:pStyle w:val="p1"/>
        <w:ind w:leftChars="150" w:left="315" w:rightChars="150" w:right="315"/>
        <w:jc w:val="both"/>
        <w:rPr>
          <w:sz w:val="20"/>
          <w:szCs w:val="20"/>
        </w:rPr>
      </w:pPr>
      <w:r w:rsidRPr="00D57717">
        <w:rPr>
          <w:color w:val="0F1115"/>
          <w:sz w:val="20"/>
          <w:szCs w:val="20"/>
        </w:rPr>
        <w:t xml:space="preserve"> “</w:t>
      </w:r>
      <w:r w:rsidRPr="00C53DE9">
        <w:rPr>
          <w:sz w:val="20"/>
          <w:szCs w:val="20"/>
        </w:rPr>
        <w:t>It is a matter of formulating a pluralistic perspective that accounts for how cooperation is crafted from diversity rather than imposed through monological, dominant notions.”</w:t>
      </w:r>
    </w:p>
    <w:p w14:paraId="1029A44D"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Researchers draw on diverse narrative resources—including life histories, semi-structured interviews, personal diaries, and testimonial accounts—to explore how individuals interpret, negotiate, and make sense of their social worlds (Clandinin, 2013; Riessman, 2008). These narrative materials are not treated as passive, transparent reflections of objective reality, but as structurally organi</w:t>
      </w:r>
      <w:r>
        <w:rPr>
          <w:rFonts w:ascii="Times New Roman" w:hAnsi="Times New Roman"/>
          <w:sz w:val="20"/>
          <w:highlight w:val="yellow"/>
        </w:rPr>
        <w:t>s</w:t>
      </w:r>
      <w:r>
        <w:rPr>
          <w:rFonts w:ascii="Times New Roman" w:hAnsi="Times New Roman"/>
          <w:sz w:val="20"/>
        </w:rPr>
        <w:t>ed accounts that illuminate how individuals cognitively order and contextualize fragmented life experiences. Accordingly, narrative methods are not a methodological limitation requiring correction, but an essential analytical feature that enables systematic exploration of human experiential logic (Polkinghorne, 1995).</w:t>
      </w:r>
    </w:p>
    <w:p w14:paraId="2890DE30"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Crucially, the embrace of interpretive narrative methodology does not equate to a rejection of scholarly rigo</w:t>
      </w:r>
      <w:r>
        <w:rPr>
          <w:rFonts w:ascii="Times New Roman" w:hAnsi="Times New Roman"/>
          <w:sz w:val="20"/>
          <w:highlight w:val="yellow"/>
        </w:rPr>
        <w:t>u</w:t>
      </w:r>
      <w:r>
        <w:rPr>
          <w:rFonts w:ascii="Times New Roman" w:hAnsi="Times New Roman"/>
          <w:sz w:val="20"/>
        </w:rPr>
        <w:t>r (Ghanbar et al., 2026). Instead, postpositivist inquiry redefines rigo</w:t>
      </w:r>
      <w:r>
        <w:rPr>
          <w:rFonts w:ascii="Times New Roman" w:hAnsi="Times New Roman"/>
          <w:sz w:val="20"/>
          <w:highlight w:val="yellow"/>
        </w:rPr>
        <w:t>u</w:t>
      </w:r>
      <w:r>
        <w:rPr>
          <w:rFonts w:ascii="Times New Roman" w:hAnsi="Times New Roman"/>
          <w:sz w:val="20"/>
        </w:rPr>
        <w:t>r in discipline-specific terms tailored to its interpretive objects and methodological logics. For narrative research, core evaluative criteria cent</w:t>
      </w:r>
      <w:r>
        <w:rPr>
          <w:rFonts w:ascii="Times New Roman" w:hAnsi="Times New Roman"/>
          <w:sz w:val="20"/>
          <w:highlight w:val="yellow"/>
        </w:rPr>
        <w:t>re</w:t>
      </w:r>
      <w:r>
        <w:rPr>
          <w:rFonts w:ascii="Times New Roman" w:hAnsi="Times New Roman"/>
          <w:sz w:val="20"/>
        </w:rPr>
        <w:t xml:space="preserve"> on data coherence, researcher reflexivity, analytical transparency, and interpretive plausibility (Lincoln &amp; Guba, 1985; Riessman, 2008; Mertova &amp; Webster, 2019; Flores &amp; Woodard, 2023). Rigorous narrative inquiry requires systematic documentation and critical reflection on the full research process, including the production, interpretation, and representation of participant narratives (Clandinin, 2013).</w:t>
      </w:r>
    </w:p>
    <w:p w14:paraId="58A8A476"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 xml:space="preserve">A foundational theoretical contribution of narrative scholarship lies in the conceptual distinction between narrative truth and paradigmatic scientific truth (Bruner, 1991). Unlike positivist truth, which emphasizes literal factual correspondence and empirical verifiability, narrative truth prioritizes experiential plausibility, structural coherence, and existential resonance (Polkinghorne, 1988; Zhao, 2023). A narrative account achieves epistemic validity in this sense not through exhaustive, literal factual accuracy, </w:t>
      </w:r>
      <w:r>
        <w:rPr>
          <w:rFonts w:ascii="Times New Roman" w:hAnsi="Times New Roman"/>
          <w:sz w:val="20"/>
        </w:rPr>
        <w:lastRenderedPageBreak/>
        <w:t>but through its capacity to organi</w:t>
      </w:r>
      <w:r>
        <w:rPr>
          <w:rFonts w:ascii="Times New Roman" w:hAnsi="Times New Roman"/>
          <w:sz w:val="20"/>
          <w:highlight w:val="yellow"/>
        </w:rPr>
        <w:t>s</w:t>
      </w:r>
      <w:r>
        <w:rPr>
          <w:rFonts w:ascii="Times New Roman" w:hAnsi="Times New Roman"/>
          <w:sz w:val="20"/>
        </w:rPr>
        <w:t>e disjointed experiences into meaningful, recognizable structures of human life (Riessman, 2008).</w:t>
      </w:r>
    </w:p>
    <w:p w14:paraId="58BA3894"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Narrative truth is thus grounded in internal coherence and fidelity to lived experiential meaning, operating at a distinct level of social reality compared to measurable empirical data: the interpreted, remembered, and subjectively meaningful reality of human experience (Bruner, 1986). Human individuals do not perceive and store life events as discrete, raw empirical data; instead, they actively organi</w:t>
      </w:r>
      <w:r>
        <w:rPr>
          <w:rFonts w:ascii="Times New Roman" w:hAnsi="Times New Roman"/>
          <w:sz w:val="20"/>
          <w:highlight w:val="yellow"/>
        </w:rPr>
        <w:t>se and rationalis</w:t>
      </w:r>
      <w:r>
        <w:rPr>
          <w:rFonts w:ascii="Times New Roman" w:hAnsi="Times New Roman"/>
          <w:sz w:val="20"/>
        </w:rPr>
        <w:t>e experiences through ongoing storytelling practices. Narrative truth precisely captures this universal human process of experiential sense-making, filling the analytical gap left by positivist paradigms (Clandinin &amp; Connelly, 2000; Morgan et al., 2022).</w:t>
      </w:r>
    </w:p>
    <w:p w14:paraId="7B196D50"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Similarly, narrative data differ fundamentally from raw positivist data. Rather than pre-existing factual materials passively collected by researchers, narrative data are co-constructed through interactive dialogue between researchers and participants (Riessman, 2008; Zhao, 2023). In interview-based narrative research, for instance, participants' accounts are dynamically shaped by personal memory, situational context, audience dynamics, and conversational interaction. The emergent narrative functions simultaneously as a structured record of lived experience and a performative articulation of individual identity (Holstein &amp; Gubrium, 2000). It qualifies as rigorous scholarly data by virtue of its analy</w:t>
      </w:r>
      <w:r>
        <w:rPr>
          <w:rFonts w:ascii="Times New Roman" w:hAnsi="Times New Roman"/>
          <w:sz w:val="20"/>
          <w:highlight w:val="yellow"/>
        </w:rPr>
        <w:t>s</w:t>
      </w:r>
      <w:r>
        <w:rPr>
          <w:rFonts w:ascii="Times New Roman" w:hAnsi="Times New Roman"/>
          <w:sz w:val="20"/>
        </w:rPr>
        <w:t>able structural organi</w:t>
      </w:r>
      <w:r>
        <w:rPr>
          <w:rFonts w:ascii="Times New Roman" w:hAnsi="Times New Roman"/>
          <w:sz w:val="20"/>
          <w:highlight w:val="yellow"/>
        </w:rPr>
        <w:t>s</w:t>
      </w:r>
      <w:r>
        <w:rPr>
          <w:rFonts w:ascii="Times New Roman" w:hAnsi="Times New Roman"/>
          <w:sz w:val="20"/>
        </w:rPr>
        <w:t>ation, while its narrative form enables the preservation of contextual and temporal experiential meaning.</w:t>
      </w:r>
    </w:p>
    <w:p w14:paraId="19839751" w14:textId="77777777" w:rsidR="00756D01" w:rsidRPr="00756D01" w:rsidRDefault="00756D01" w:rsidP="00756D01">
      <w:pPr>
        <w:widowControl/>
        <w:spacing w:before="240" w:after="240"/>
        <w:rPr>
          <w:rFonts w:ascii="Times New Roman" w:eastAsia="SimSun" w:hAnsi="Times New Roman" w:cs="Times New Roman"/>
          <w:color w:val="0F1115"/>
          <w:kern w:val="0"/>
          <w:sz w:val="20"/>
          <w:szCs w:val="20"/>
        </w:rPr>
      </w:pPr>
      <w:r w:rsidRPr="00756D01">
        <w:rPr>
          <w:rFonts w:ascii="Times New Roman" w:eastAsia="SimSun" w:hAnsi="Times New Roman" w:cs="Times New Roman"/>
          <w:color w:val="0F1115"/>
          <w:kern w:val="0"/>
          <w:sz w:val="20"/>
          <w:szCs w:val="20"/>
        </w:rPr>
        <w:t xml:space="preserve">Consequently, the legitimacy of narrative data relies on paradigm-appropriate evaluative standards that diverge from experimental research protocols. Rather than prioritizing strict replicability, narrative research </w:t>
      </w:r>
      <w:proofErr w:type="gramStart"/>
      <w:r w:rsidRPr="00756D01">
        <w:rPr>
          <w:rFonts w:ascii="Times New Roman" w:eastAsia="SimSun" w:hAnsi="Times New Roman" w:cs="Times New Roman"/>
          <w:color w:val="0F1115"/>
          <w:kern w:val="0"/>
          <w:sz w:val="20"/>
          <w:szCs w:val="20"/>
        </w:rPr>
        <w:t>judges</w:t>
      </w:r>
      <w:proofErr w:type="gramEnd"/>
      <w:r w:rsidRPr="00756D01">
        <w:rPr>
          <w:rFonts w:ascii="Times New Roman" w:eastAsia="SimSun" w:hAnsi="Times New Roman" w:cs="Times New Roman"/>
          <w:color w:val="0F1115"/>
          <w:kern w:val="0"/>
          <w:sz w:val="20"/>
          <w:szCs w:val="20"/>
        </w:rPr>
        <w:t xml:space="preserve"> methodological quality through interpretive credibility, contextual representativeness, and analytical illumination of the targeted social phenomenon (Lincoln &amp; Guba, 1985; </w:t>
      </w:r>
      <w:proofErr w:type="spellStart"/>
      <w:r w:rsidRPr="00756D01">
        <w:rPr>
          <w:rFonts w:ascii="Times New Roman" w:eastAsia="SimSun" w:hAnsi="Times New Roman" w:cs="Times New Roman"/>
          <w:color w:val="0F1115"/>
          <w:kern w:val="0"/>
          <w:sz w:val="20"/>
          <w:szCs w:val="20"/>
        </w:rPr>
        <w:t>Riessman</w:t>
      </w:r>
      <w:proofErr w:type="spellEnd"/>
      <w:r w:rsidRPr="00756D01">
        <w:rPr>
          <w:rFonts w:ascii="Times New Roman" w:eastAsia="SimSun" w:hAnsi="Times New Roman" w:cs="Times New Roman"/>
          <w:color w:val="0F1115"/>
          <w:kern w:val="0"/>
          <w:sz w:val="20"/>
          <w:szCs w:val="20"/>
        </w:rPr>
        <w:t>, 2008). In this capacity, narrative data constitute a powerful complementary analytical tool for social scientific inquiry, particularly for unpacking the complex, meaning-laden dimensions of human life that resist reduction to quantitative measurement and positivist verification (Polkinghorne, 1995</w:t>
      </w:r>
      <w:r w:rsidR="00415498">
        <w:rPr>
          <w:rFonts w:ascii="Times New Roman" w:eastAsia="SimSun" w:hAnsi="Times New Roman" w:cs="Times New Roman"/>
          <w:color w:val="0F1115"/>
          <w:kern w:val="0"/>
          <w:sz w:val="20"/>
          <w:szCs w:val="20"/>
        </w:rPr>
        <w:t>;</w:t>
      </w:r>
      <w:r w:rsidR="00415498" w:rsidRPr="00415498">
        <w:rPr>
          <w:rFonts w:ascii="Times New Roman" w:hAnsi="Times New Roman" w:cs="Times New Roman"/>
          <w:color w:val="000000"/>
          <w:sz w:val="20"/>
          <w:szCs w:val="20"/>
        </w:rPr>
        <w:t xml:space="preserve"> </w:t>
      </w:r>
      <w:proofErr w:type="spellStart"/>
      <w:r w:rsidR="00415498" w:rsidRPr="000D1986">
        <w:rPr>
          <w:rFonts w:ascii="Times New Roman" w:hAnsi="Times New Roman" w:cs="Times New Roman"/>
          <w:color w:val="000000"/>
          <w:sz w:val="20"/>
          <w:szCs w:val="20"/>
        </w:rPr>
        <w:t>Kucirkova</w:t>
      </w:r>
      <w:proofErr w:type="spellEnd"/>
      <w:r w:rsidR="00415498" w:rsidRPr="000D1986">
        <w:rPr>
          <w:rFonts w:ascii="Times New Roman" w:hAnsi="Times New Roman" w:cs="Times New Roman"/>
          <w:color w:val="000000"/>
          <w:sz w:val="20"/>
          <w:szCs w:val="20"/>
        </w:rPr>
        <w:t xml:space="preserve"> &amp; Odhiambo</w:t>
      </w:r>
      <w:r w:rsidR="00415498">
        <w:rPr>
          <w:rFonts w:ascii="Times New Roman" w:hAnsi="Times New Roman" w:cs="Times New Roman"/>
          <w:color w:val="000000"/>
          <w:sz w:val="20"/>
          <w:szCs w:val="20"/>
        </w:rPr>
        <w:t xml:space="preserve">, </w:t>
      </w:r>
      <w:r w:rsidR="00415498" w:rsidRPr="000D1986">
        <w:rPr>
          <w:rFonts w:ascii="Times New Roman" w:hAnsi="Times New Roman" w:cs="Times New Roman"/>
          <w:color w:val="000000"/>
          <w:sz w:val="20"/>
          <w:szCs w:val="20"/>
        </w:rPr>
        <w:t>2026</w:t>
      </w:r>
      <w:r w:rsidRPr="00756D01">
        <w:rPr>
          <w:rFonts w:ascii="Times New Roman" w:eastAsia="SimSun" w:hAnsi="Times New Roman" w:cs="Times New Roman"/>
          <w:color w:val="0F1115"/>
          <w:kern w:val="0"/>
          <w:sz w:val="20"/>
          <w:szCs w:val="20"/>
        </w:rPr>
        <w:t>).</w:t>
      </w:r>
    </w:p>
    <w:p w14:paraId="6850BEA3" w14:textId="77777777" w:rsidR="00974622" w:rsidRPr="00C53DE9" w:rsidRDefault="00974622" w:rsidP="00974622">
      <w:pPr>
        <w:widowControl/>
        <w:spacing w:before="480" w:after="240"/>
        <w:jc w:val="left"/>
        <w:outlineLvl w:val="1"/>
        <w:rPr>
          <w:rFonts w:ascii="Times New Roman" w:eastAsia="SimSun" w:hAnsi="Times New Roman" w:cs="Times New Roman"/>
          <w:b/>
          <w:bCs/>
          <w:color w:val="0F1115"/>
          <w:kern w:val="0"/>
          <w:sz w:val="24"/>
        </w:rPr>
      </w:pPr>
      <w:r w:rsidRPr="00C53DE9">
        <w:rPr>
          <w:rFonts w:ascii="Times New Roman" w:eastAsia="SimSun" w:hAnsi="Times New Roman" w:cs="Times New Roman"/>
          <w:b/>
          <w:bCs/>
          <w:color w:val="0F1115"/>
          <w:kern w:val="0"/>
          <w:sz w:val="24"/>
        </w:rPr>
        <w:t>4. Conclusion</w:t>
      </w:r>
    </w:p>
    <w:p w14:paraId="7CAE669A" w14:textId="77777777" w:rsidR="00974622" w:rsidRDefault="00974622"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This article has argued that the tension between narrative and scientific discourse is most productively unpacked through systematic analysis of discursive cohesion. This approach also illuminates the persistent epistemological friction between positivist frameworks and narrative inquiry within mainstream scientific research. Narrative and scientific writing are not competing or mutually exclusive textual forms; instead, they represent two distinct yet equally legitimate systems for organi</w:t>
      </w:r>
      <w:r>
        <w:rPr>
          <w:rFonts w:ascii="Times New Roman" w:hAnsi="Times New Roman"/>
          <w:sz w:val="20"/>
          <w:highlight w:val="yellow"/>
        </w:rPr>
        <w:t>s</w:t>
      </w:r>
      <w:r>
        <w:rPr>
          <w:rFonts w:ascii="Times New Roman" w:hAnsi="Times New Roman"/>
          <w:sz w:val="20"/>
        </w:rPr>
        <w:t>ing scholarly meaning and generating structured knowledge (van Dijk, 1994). As demonstrated across this study, each discursive tradition draws upon distinct cohesive mechanisms to establish textual and epistemic validity. Narrative cohesion builds comprehensibility through temporality, plot configuration, subjective perspective, and continuous experiential sequencing (Labov,</w:t>
      </w:r>
      <w:r>
        <w:rPr>
          <w:rFonts w:ascii="Times New Roman" w:hAnsi="Times New Roman"/>
          <w:sz w:val="20"/>
          <w:highlight w:val="yellow"/>
        </w:rPr>
        <w:t xml:space="preserve"> </w:t>
      </w:r>
      <w:r>
        <w:rPr>
          <w:rFonts w:ascii="Times New Roman" w:hAnsi="Times New Roman"/>
          <w:sz w:val="20"/>
        </w:rPr>
        <w:t>1972; Ricoeur, 1984). Scientific cohesion, by contrast, advances rigorous knowledge production via formal logical progression, empirical evidence, analytical inference, and standardi</w:t>
      </w:r>
      <w:r>
        <w:rPr>
          <w:rFonts w:ascii="Times New Roman" w:hAnsi="Times New Roman"/>
          <w:sz w:val="20"/>
          <w:highlight w:val="yellow"/>
        </w:rPr>
        <w:t>s</w:t>
      </w:r>
      <w:r>
        <w:rPr>
          <w:rFonts w:ascii="Times New Roman" w:hAnsi="Times New Roman"/>
          <w:sz w:val="20"/>
        </w:rPr>
        <w:t xml:space="preserve">ed argumentation frameworks (Bruner, 1991; Abell, 2004; Zhao &amp; Li, 2026). </w:t>
      </w:r>
    </w:p>
    <w:p w14:paraId="49A317A8" w14:textId="77777777" w:rsidR="00756D01" w:rsidRPr="00756D01" w:rsidRDefault="00974622" w:rsidP="00756D01">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lastRenderedPageBreak/>
        <w:t>These fundamental discursive differences explain persistent positivist-tradition s</w:t>
      </w:r>
      <w:r>
        <w:rPr>
          <w:rFonts w:ascii="Times New Roman" w:hAnsi="Times New Roman"/>
          <w:sz w:val="20"/>
          <w:highlight w:val="yellow"/>
        </w:rPr>
        <w:t>c</w:t>
      </w:r>
      <w:r>
        <w:rPr>
          <w:rFonts w:ascii="Times New Roman" w:hAnsi="Times New Roman"/>
          <w:sz w:val="20"/>
        </w:rPr>
        <w:t>epticism toward narrative methods, while simultaneously highlighting narrative research's unique, irreplaceable capacity to investigate context-rich, temporally unfolding human experiences (Polkinghorne, 1995; Riessman, 2008; Zhao, 2023; Flores &amp; Woodard, 2023). Accordingly, narrative inquiry, which adapts traditional narrative properties such as temporally connected events and individual subjects’ interpretation for methodological purposes, should neither be conflated with traditional narrative paradigms nor treated as an adversary to positivist epistemology, since it draws on recogni</w:t>
      </w:r>
      <w:r>
        <w:rPr>
          <w:rFonts w:ascii="Times New Roman" w:hAnsi="Times New Roman"/>
          <w:sz w:val="20"/>
          <w:highlight w:val="yellow"/>
        </w:rPr>
        <w:t>s</w:t>
      </w:r>
      <w:r>
        <w:rPr>
          <w:rFonts w:ascii="Times New Roman" w:hAnsi="Times New Roman"/>
          <w:sz w:val="20"/>
        </w:rPr>
        <w:t xml:space="preserve">ed rationality and credibility from both traditions. The institutional hierarchy overlooks narrative inquiry's critical engagement with narrative data, narrative evidence, and recurrent methodological justification and therefore fails to acknowledge its epistemic legitimacy </w:t>
      </w:r>
      <w:r>
        <w:rPr>
          <w:rFonts w:ascii="Times New Roman" w:hAnsi="Times New Roman"/>
          <w:sz w:val="20"/>
          <w:highlight w:val="yellow"/>
        </w:rPr>
        <w:t>on</w:t>
      </w:r>
      <w:r>
        <w:rPr>
          <w:rFonts w:ascii="Times New Roman" w:hAnsi="Times New Roman"/>
          <w:sz w:val="20"/>
        </w:rPr>
        <w:t xml:space="preserve"> equit</w:t>
      </w:r>
      <w:r>
        <w:rPr>
          <w:rFonts w:ascii="Times New Roman" w:hAnsi="Times New Roman"/>
          <w:sz w:val="20"/>
          <w:highlight w:val="yellow"/>
        </w:rPr>
        <w:t>able terms</w:t>
      </w:r>
      <w:r>
        <w:rPr>
          <w:rFonts w:ascii="Times New Roman" w:hAnsi="Times New Roman"/>
          <w:sz w:val="20"/>
        </w:rPr>
        <w:t>.</w:t>
      </w:r>
    </w:p>
    <w:p w14:paraId="10CF6FA9" w14:textId="77777777" w:rsidR="004B4236" w:rsidRPr="004B4236" w:rsidRDefault="00974622" w:rsidP="004B4236">
      <w:pPr>
        <w:widowControl/>
        <w:spacing w:before="240" w:after="240"/>
        <w:rPr>
          <w:rFonts w:ascii="Times New Roman" w:eastAsia="SimSun" w:hAnsi="Times New Roman" w:cs="Times New Roman"/>
          <w:color w:val="0F1115"/>
          <w:kern w:val="0"/>
          <w:sz w:val="20"/>
          <w:szCs w:val="20"/>
        </w:rPr>
      </w:pPr>
      <w:r w:rsidRPr="00974622">
        <w:rPr>
          <w:rFonts w:ascii="Times New Roman" w:eastAsia="SimSun" w:hAnsi="Times New Roman" w:cs="Times New Roman"/>
          <w:color w:val="0F1115"/>
          <w:kern w:val="0"/>
          <w:sz w:val="20"/>
          <w:szCs w:val="20"/>
        </w:rPr>
        <w:t xml:space="preserve">This article </w:t>
      </w:r>
      <w:r w:rsidR="0014579A">
        <w:rPr>
          <w:rFonts w:ascii="Times New Roman" w:eastAsia="SimSun" w:hAnsi="Times New Roman" w:cs="Times New Roman"/>
          <w:color w:val="0F1115"/>
          <w:kern w:val="0"/>
          <w:sz w:val="20"/>
          <w:szCs w:val="20"/>
        </w:rPr>
        <w:t xml:space="preserve">has </w:t>
      </w:r>
      <w:r w:rsidRPr="00974622">
        <w:rPr>
          <w:rFonts w:ascii="Times New Roman" w:eastAsia="SimSun" w:hAnsi="Times New Roman" w:cs="Times New Roman"/>
          <w:color w:val="0F1115"/>
          <w:kern w:val="0"/>
          <w:sz w:val="20"/>
          <w:szCs w:val="20"/>
        </w:rPr>
        <w:t>demonstrate</w:t>
      </w:r>
      <w:r w:rsidR="0014579A">
        <w:rPr>
          <w:rFonts w:ascii="Times New Roman" w:eastAsia="SimSun" w:hAnsi="Times New Roman" w:cs="Times New Roman"/>
          <w:color w:val="0F1115"/>
          <w:kern w:val="0"/>
          <w:sz w:val="20"/>
          <w:szCs w:val="20"/>
        </w:rPr>
        <w:t>d</w:t>
      </w:r>
      <w:r w:rsidRPr="00974622">
        <w:rPr>
          <w:rFonts w:ascii="Times New Roman" w:eastAsia="SimSun" w:hAnsi="Times New Roman" w:cs="Times New Roman"/>
          <w:color w:val="0F1115"/>
          <w:kern w:val="0"/>
          <w:sz w:val="20"/>
          <w:szCs w:val="20"/>
        </w:rPr>
        <w:t xml:space="preserve"> that dismissing narrative inquiry as anecdotal, literary, or scientifically deficient perpetuates institutional epistemological bias. Such bias stems from a fundamental misunderstanding of narrative inquiry's nature as a legitimate, rigorous form of social-scientific inquiry governed by consistent epistemic and cohesive evidentiary standards (Lincoln &amp; Guba, 1985; Polkinghorne, 1995). Narrative methodology offers unique analytical advantages by illuminating the interpretive, temporal, and processual dimensions of human life—dimensions routinely erased or oversimplified through conventional scientific abstraction and decontextualized variable-based analysis (</w:t>
      </w:r>
      <w:r w:rsidR="00E57499" w:rsidRPr="00756D01">
        <w:rPr>
          <w:rFonts w:ascii="Times New Roman" w:eastAsia="SimSun" w:hAnsi="Times New Roman" w:cs="Times New Roman"/>
          <w:color w:val="0F1115"/>
          <w:kern w:val="0"/>
          <w:sz w:val="20"/>
          <w:szCs w:val="20"/>
        </w:rPr>
        <w:t>Riessman, 2008</w:t>
      </w:r>
      <w:r w:rsidR="00E57499">
        <w:rPr>
          <w:rFonts w:ascii="Times New Roman" w:eastAsia="SimSun" w:hAnsi="Times New Roman" w:cs="Times New Roman"/>
          <w:color w:val="0F1115"/>
          <w:kern w:val="0"/>
          <w:sz w:val="20"/>
          <w:szCs w:val="20"/>
        </w:rPr>
        <w:t xml:space="preserve">; </w:t>
      </w:r>
      <w:proofErr w:type="spellStart"/>
      <w:r w:rsidRPr="00974622">
        <w:rPr>
          <w:rFonts w:ascii="Times New Roman" w:eastAsia="SimSun" w:hAnsi="Times New Roman" w:cs="Times New Roman"/>
          <w:color w:val="0F1115"/>
          <w:kern w:val="0"/>
          <w:sz w:val="20"/>
          <w:szCs w:val="20"/>
        </w:rPr>
        <w:t>Clandinin</w:t>
      </w:r>
      <w:proofErr w:type="spellEnd"/>
      <w:r w:rsidRPr="00974622">
        <w:rPr>
          <w:rFonts w:ascii="Times New Roman" w:eastAsia="SimSun" w:hAnsi="Times New Roman" w:cs="Times New Roman"/>
          <w:color w:val="0F1115"/>
          <w:kern w:val="0"/>
          <w:sz w:val="20"/>
          <w:szCs w:val="20"/>
        </w:rPr>
        <w:t>, 2013</w:t>
      </w:r>
      <w:r w:rsidR="00E57499">
        <w:rPr>
          <w:rFonts w:ascii="Times New Roman" w:eastAsia="SimSun" w:hAnsi="Times New Roman" w:cs="Times New Roman"/>
          <w:color w:val="0F1115"/>
          <w:kern w:val="0"/>
          <w:sz w:val="20"/>
          <w:szCs w:val="20"/>
        </w:rPr>
        <w:t xml:space="preserve">; </w:t>
      </w:r>
      <w:r w:rsidR="00E57499">
        <w:rPr>
          <w:rFonts w:ascii="Times New Roman" w:hAnsi="Times New Roman" w:cs="Times New Roman"/>
          <w:color w:val="000000"/>
          <w:sz w:val="20"/>
          <w:szCs w:val="20"/>
        </w:rPr>
        <w:t>Freitas, 202</w:t>
      </w:r>
      <w:r w:rsidR="00DC0FF3">
        <w:rPr>
          <w:rFonts w:ascii="Times New Roman" w:hAnsi="Times New Roman" w:cs="Times New Roman"/>
          <w:color w:val="000000"/>
          <w:sz w:val="20"/>
          <w:szCs w:val="20"/>
        </w:rPr>
        <w:t>6</w:t>
      </w:r>
      <w:r w:rsidRPr="00974622">
        <w:rPr>
          <w:rFonts w:ascii="Times New Roman" w:eastAsia="SimSun" w:hAnsi="Times New Roman" w:cs="Times New Roman"/>
          <w:color w:val="0F1115"/>
          <w:kern w:val="0"/>
          <w:sz w:val="20"/>
          <w:szCs w:val="20"/>
        </w:rPr>
        <w:t>). In this regard, narrative research complements rather than undermines mainstream positivist inquiry, as it effectively captures the situated, nuanced complexity of human social existence.</w:t>
      </w:r>
    </w:p>
    <w:p w14:paraId="00FB61E4" w14:textId="77777777" w:rsidR="004B4236" w:rsidRDefault="00881D17" w:rsidP="004B4236">
      <w:pPr>
        <w:widowControl/>
        <w:spacing w:before="240" w:after="240"/>
        <w:rPr>
          <w:rFonts w:ascii="Times New Roman" w:eastAsia="SimSun" w:hAnsi="Times New Roman" w:cs="Times New Roman"/>
          <w:color w:val="0F1115"/>
          <w:kern w:val="0"/>
          <w:sz w:val="20"/>
          <w:szCs w:val="20"/>
        </w:rPr>
      </w:pPr>
      <w:r>
        <w:rPr>
          <w:rFonts w:ascii="Times New Roman" w:hAnsi="Times New Roman"/>
          <w:sz w:val="20"/>
        </w:rPr>
        <w:t>This study's core theoretical implication concerns the productive coexistence of two historically separated cohesion mechanisms: narrative-interpretive temporality and scientific argumentation, both of which shape scholarly knowledge production and are the basis for the emergence of narrative inquiry.</w:t>
      </w:r>
      <w:r>
        <w:rPr>
          <w:rFonts w:ascii="Times New Roman" w:hAnsi="Times New Roman"/>
          <w:sz w:val="20"/>
          <w:highlight w:val="yellow"/>
        </w:rPr>
        <w:t xml:space="preserve"> What remains vital is a nuanced, paradigm-informed understanding of how different discursive traditions construct coherent rationality and generate valid knowledge</w:t>
      </w:r>
      <w:r>
        <w:rPr>
          <w:rFonts w:ascii="Times New Roman" w:hAnsi="Times New Roman"/>
          <w:sz w:val="20"/>
        </w:rPr>
        <w:t>. Scientific modes of inquiry do not need to surrender their logical rigo</w:t>
      </w:r>
      <w:r>
        <w:rPr>
          <w:rFonts w:ascii="Times New Roman" w:hAnsi="Times New Roman"/>
          <w:sz w:val="20"/>
          <w:highlight w:val="yellow"/>
        </w:rPr>
        <w:t>u</w:t>
      </w:r>
      <w:r>
        <w:rPr>
          <w:rFonts w:ascii="Times New Roman" w:hAnsi="Times New Roman"/>
          <w:sz w:val="20"/>
        </w:rPr>
        <w:t>r to accommodate narrative configuration and temporality. When narrative qualities are operationalized as research methods—such as biographical and life-history interviews and narrative analysis—they emerge as functional research instruments (Dahlstrom, 2014, 2021). They do not need to mimic positivist conventions, nor are they inherently incompatible with positivist standards of argumentative rationality and credibility.</w:t>
      </w:r>
    </w:p>
    <w:p w14:paraId="64607DAA" w14:textId="0150973F" w:rsidR="00FD40ED" w:rsidRPr="00FD40ED" w:rsidRDefault="00974622" w:rsidP="004B4236">
      <w:pPr>
        <w:widowControl/>
        <w:spacing w:before="240" w:after="240"/>
        <w:rPr>
          <w:rFonts w:ascii="Times New Roman" w:hAnsi="Times New Roman"/>
          <w:sz w:val="20"/>
        </w:rPr>
      </w:pPr>
      <w:r>
        <w:rPr>
          <w:rFonts w:ascii="Times New Roman" w:hAnsi="Times New Roman"/>
          <w:sz w:val="20"/>
        </w:rPr>
        <w:t>Reframing the methodological debate around discursive cohesion, instead of positivist benchmarks, helps address long-standing doubts about narrative inquiry. This fosters a balanced epistemological outlook that acknowledges narrative inquiry's methodological functions and its contributions to rigorous human-science scholarship (Bruner, 1991; Riessman, 2008; Brannen, 2019). The synchronous, timeless arrangement of evidence that defines cohesion in scientific texts is unable to fully incorporate the diachronic temporality of data and interpretive pathways to truth-making that are inherent to narrative discourse and applied to narrative inquiry (Hlobil, 2015; Padian, 2018). Identifying these divergent underlying cohesion mechanisms enhances narrative research's epistemic accountability, grounded both in its configurative-temporal features and its established scientific-instrumental application (Bruhn, 2022). This analysis enables narrative research to acknowledge its specificities originat</w:t>
      </w:r>
      <w:r>
        <w:rPr>
          <w:rFonts w:ascii="Times New Roman" w:hAnsi="Times New Roman"/>
          <w:sz w:val="20"/>
          <w:highlight w:val="yellow"/>
        </w:rPr>
        <w:t>ing</w:t>
      </w:r>
      <w:r>
        <w:rPr>
          <w:rFonts w:ascii="Times New Roman" w:hAnsi="Times New Roman"/>
          <w:sz w:val="20"/>
        </w:rPr>
        <w:t xml:space="preserve"> from both traditions and strive for equal institutional recognition on its own methodological and evidential </w:t>
      </w:r>
      <w:r>
        <w:rPr>
          <w:rFonts w:ascii="Times New Roman" w:hAnsi="Times New Roman"/>
          <w:sz w:val="20"/>
          <w:highlight w:val="yellow"/>
        </w:rPr>
        <w:t>strength</w:t>
      </w:r>
      <w:r>
        <w:rPr>
          <w:rFonts w:ascii="Times New Roman" w:hAnsi="Times New Roman"/>
          <w:sz w:val="20"/>
        </w:rPr>
        <w:t xml:space="preserve">s, on the premise that scholarly narrative inquiry does not simply import conventional literary-narrative </w:t>
      </w:r>
      <w:r>
        <w:rPr>
          <w:rFonts w:ascii="Times New Roman" w:hAnsi="Times New Roman"/>
          <w:sz w:val="20"/>
        </w:rPr>
        <w:lastRenderedPageBreak/>
        <w:t>structures into scientific writing. Academic institutions should discourage such unreflective epistemological prejudice and recogni</w:t>
      </w:r>
      <w:r>
        <w:rPr>
          <w:rFonts w:ascii="Times New Roman" w:hAnsi="Times New Roman"/>
          <w:sz w:val="20"/>
          <w:highlight w:val="yellow"/>
        </w:rPr>
        <w:t>s</w:t>
      </w:r>
      <w:r>
        <w:rPr>
          <w:rFonts w:ascii="Times New Roman" w:hAnsi="Times New Roman"/>
          <w:sz w:val="20"/>
        </w:rPr>
        <w:t>e that alternative paradigms can generate equally productive scientific knowledge.</w:t>
      </w:r>
    </w:p>
    <w:p w14:paraId="32F896F5" w14:textId="0BC70669" w:rsidR="00FD40ED" w:rsidRPr="00FD40ED" w:rsidRDefault="00FD40ED" w:rsidP="00FD40ED">
      <w:pPr>
        <w:widowControl/>
        <w:spacing w:before="240" w:after="240"/>
        <w:rPr>
          <w:rFonts w:ascii="Times New Roman" w:eastAsia="SimSun" w:hAnsi="Times New Roman" w:cs="Times New Roman"/>
          <w:b/>
          <w:bCs/>
          <w:color w:val="0F1115"/>
          <w:kern w:val="0"/>
          <w:sz w:val="20"/>
          <w:szCs w:val="20"/>
        </w:rPr>
      </w:pPr>
      <w:r w:rsidRPr="00FD40ED">
        <w:rPr>
          <w:rFonts w:ascii="Times New Roman" w:eastAsia="SimSun" w:hAnsi="Times New Roman" w:cs="Times New Roman"/>
          <w:b/>
          <w:bCs/>
          <w:color w:val="0F1115"/>
          <w:kern w:val="0"/>
          <w:sz w:val="20"/>
          <w:szCs w:val="20"/>
        </w:rPr>
        <w:t xml:space="preserve">Limitation </w:t>
      </w:r>
    </w:p>
    <w:p w14:paraId="7B807C4E" w14:textId="05C3FE23" w:rsidR="00FD40ED" w:rsidRDefault="00FD40ED" w:rsidP="00FD40ED">
      <w:pPr>
        <w:widowControl/>
        <w:spacing w:before="240" w:after="240"/>
        <w:rPr>
          <w:rFonts w:ascii="Times New Roman" w:eastAsia="SimSun" w:hAnsi="Times New Roman" w:cs="Times New Roman"/>
          <w:color w:val="0F1115"/>
          <w:kern w:val="0"/>
          <w:sz w:val="20"/>
          <w:szCs w:val="20"/>
        </w:rPr>
      </w:pPr>
      <w:r w:rsidRPr="00FD40ED">
        <w:rPr>
          <w:rFonts w:ascii="Times New Roman" w:eastAsia="SimSun" w:hAnsi="Times New Roman" w:cs="Times New Roman"/>
          <w:color w:val="0F1115"/>
          <w:kern w:val="0"/>
          <w:sz w:val="20"/>
          <w:szCs w:val="20"/>
        </w:rPr>
        <w:t>This article is primarily conceptual and contrastive, drawing on existing scholarship to examine differences between narrative and scientific cohesion. Its conclusions therefore concern epistemic and discursive principles rather than the measured performance of particular narrative methods across specific empirical settings. The analysis does not attempt to establish a universal evaluative framework for all forms of narrative inquiry. Future research may examine how the proposed contrastive understanding of cohesion operates across different disciplinary contexts, research designs, and forms of narrative data while retaining sensitivity to the methodological assumptions of each field.</w:t>
      </w:r>
    </w:p>
    <w:p w14:paraId="2C570244" w14:textId="77777777" w:rsidR="00242272" w:rsidRDefault="00242272" w:rsidP="00242272">
      <w:pPr>
        <w:rPr>
          <w:rFonts w:ascii="Times New Roman" w:hAnsi="Times New Roman" w:cs="Times New Roman"/>
          <w:b/>
        </w:rPr>
      </w:pPr>
      <w:r w:rsidRPr="000839CE">
        <w:rPr>
          <w:rFonts w:ascii="Times New Roman" w:hAnsi="Times New Roman" w:cs="Times New Roman"/>
          <w:b/>
        </w:rPr>
        <w:t>Declaration of AI Use</w:t>
      </w:r>
    </w:p>
    <w:p w14:paraId="20FEC61E" w14:textId="77777777" w:rsidR="00242272" w:rsidRDefault="00242272" w:rsidP="003E698A">
      <w:pPr>
        <w:widowControl/>
        <w:spacing w:before="240" w:after="240"/>
        <w:rPr>
          <w:rFonts w:ascii="Times New Roman" w:eastAsia="SimSun" w:hAnsi="Times New Roman" w:cs="Times New Roman"/>
          <w:color w:val="0F1115"/>
          <w:kern w:val="0"/>
          <w:sz w:val="20"/>
          <w:szCs w:val="20"/>
        </w:rPr>
      </w:pPr>
      <w:r w:rsidRPr="00C53DE9">
        <w:rPr>
          <w:rFonts w:ascii="Times New Roman" w:eastAsia="SimSun" w:hAnsi="Times New Roman" w:cs="Times New Roman"/>
          <w:color w:val="0F1115"/>
          <w:kern w:val="0"/>
          <w:sz w:val="20"/>
          <w:szCs w:val="20"/>
        </w:rPr>
        <w:t xml:space="preserve">This manuscript was prepared through the intellectual contributions of the author(s) to the </w:t>
      </w:r>
      <w:r w:rsidR="00881D17" w:rsidRPr="00C53DE9">
        <w:rPr>
          <w:rFonts w:ascii="Times New Roman" w:eastAsia="SimSun" w:hAnsi="Times New Roman" w:cs="Times New Roman"/>
          <w:color w:val="0F1115"/>
          <w:kern w:val="0"/>
          <w:sz w:val="20"/>
          <w:szCs w:val="20"/>
        </w:rPr>
        <w:t>writing project</w:t>
      </w:r>
      <w:r w:rsidR="00B44A5B" w:rsidRPr="00C53DE9">
        <w:rPr>
          <w:rFonts w:ascii="Times New Roman" w:eastAsia="SimSun" w:hAnsi="Times New Roman" w:cs="Times New Roman"/>
          <w:color w:val="0F1115"/>
          <w:kern w:val="0"/>
          <w:sz w:val="20"/>
          <w:szCs w:val="20"/>
        </w:rPr>
        <w:t xml:space="preserve"> </w:t>
      </w:r>
      <w:r w:rsidRPr="00C53DE9">
        <w:rPr>
          <w:rFonts w:ascii="Times New Roman" w:eastAsia="SimSun" w:hAnsi="Times New Roman" w:cs="Times New Roman"/>
          <w:color w:val="0F1115"/>
          <w:kern w:val="0"/>
          <w:sz w:val="20"/>
          <w:szCs w:val="20"/>
        </w:rPr>
        <w:t xml:space="preserve">design, </w:t>
      </w:r>
      <w:r w:rsidR="00B44A5B" w:rsidRPr="00C53DE9">
        <w:rPr>
          <w:rFonts w:ascii="Times New Roman" w:eastAsia="SimSun" w:hAnsi="Times New Roman" w:cs="Times New Roman"/>
          <w:color w:val="0F1115"/>
          <w:kern w:val="0"/>
          <w:sz w:val="20"/>
          <w:szCs w:val="20"/>
        </w:rPr>
        <w:t xml:space="preserve">literature </w:t>
      </w:r>
      <w:r w:rsidRPr="00C53DE9">
        <w:rPr>
          <w:rFonts w:ascii="Times New Roman" w:eastAsia="SimSun" w:hAnsi="Times New Roman" w:cs="Times New Roman"/>
          <w:color w:val="0F1115"/>
          <w:kern w:val="0"/>
          <w:sz w:val="20"/>
          <w:szCs w:val="20"/>
        </w:rPr>
        <w:t xml:space="preserve">analysis, </w:t>
      </w:r>
      <w:r w:rsidR="00B44A5B" w:rsidRPr="00C53DE9">
        <w:rPr>
          <w:rFonts w:ascii="Times New Roman" w:eastAsia="SimSun" w:hAnsi="Times New Roman" w:cs="Times New Roman"/>
          <w:color w:val="0F1115"/>
          <w:kern w:val="0"/>
          <w:sz w:val="20"/>
          <w:szCs w:val="20"/>
        </w:rPr>
        <w:t>formulation of argument</w:t>
      </w:r>
      <w:r w:rsidRPr="00C53DE9">
        <w:rPr>
          <w:rFonts w:ascii="Times New Roman" w:eastAsia="SimSun" w:hAnsi="Times New Roman" w:cs="Times New Roman"/>
          <w:color w:val="0F1115"/>
          <w:kern w:val="0"/>
          <w:sz w:val="20"/>
          <w:szCs w:val="20"/>
        </w:rPr>
        <w:t>, and scholarly content. Grammarly and ChatGPT were used solely to assist with grammatical refinement and reference formatting during manuscript revision. The author(s) accept full responsibility for the accuracy, integrity, and final content of the manuscript.</w:t>
      </w:r>
    </w:p>
    <w:p w14:paraId="69033773" w14:textId="77777777" w:rsidR="00881D17" w:rsidRPr="00974622" w:rsidRDefault="00974622" w:rsidP="00974622">
      <w:pPr>
        <w:widowControl/>
        <w:spacing w:before="480" w:after="240"/>
        <w:jc w:val="left"/>
        <w:outlineLvl w:val="1"/>
        <w:rPr>
          <w:rFonts w:ascii="Times New Roman" w:eastAsia="SimSun" w:hAnsi="Times New Roman" w:cs="Times New Roman"/>
          <w:b/>
          <w:bCs/>
          <w:color w:val="0F1115"/>
          <w:kern w:val="0"/>
          <w:sz w:val="24"/>
        </w:rPr>
      </w:pPr>
      <w:r w:rsidRPr="00974622">
        <w:rPr>
          <w:rFonts w:ascii="Times New Roman" w:eastAsia="SimSun" w:hAnsi="Times New Roman" w:cs="Times New Roman"/>
          <w:b/>
          <w:bCs/>
          <w:color w:val="0F1115"/>
          <w:kern w:val="0"/>
          <w:sz w:val="24"/>
        </w:rPr>
        <w:t>References</w:t>
      </w:r>
      <w:r w:rsidR="00881D17">
        <w:rPr>
          <w:rFonts w:ascii="Times New Roman" w:eastAsia="SimSun" w:hAnsi="Times New Roman" w:cs="Times New Roman"/>
          <w:b/>
          <w:bCs/>
          <w:color w:val="0F1115"/>
          <w:kern w:val="0"/>
          <w:sz w:val="24"/>
        </w:rPr>
        <w:t>:</w:t>
      </w:r>
    </w:p>
    <w:p w14:paraId="3B732CB7"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Abell, P. (2004). Narrative explanation: An alternative to variable-</w:t>
      </w:r>
      <w:proofErr w:type="spellStart"/>
      <w:r w:rsidRPr="00DC0FF3">
        <w:rPr>
          <w:rFonts w:ascii="Times New Roman" w:eastAsia="Times New Roman" w:hAnsi="Times New Roman" w:cs="Times New Roman"/>
          <w:kern w:val="0"/>
          <w:sz w:val="24"/>
          <w:lang w:eastAsia="en-US"/>
        </w:rPr>
        <w:t>centred</w:t>
      </w:r>
      <w:proofErr w:type="spellEnd"/>
      <w:r w:rsidRPr="00DC0FF3">
        <w:rPr>
          <w:rFonts w:ascii="Times New Roman" w:eastAsia="Times New Roman" w:hAnsi="Times New Roman" w:cs="Times New Roman"/>
          <w:kern w:val="0"/>
          <w:sz w:val="24"/>
          <w:lang w:eastAsia="en-US"/>
        </w:rPr>
        <w:t xml:space="preserve"> explanation? </w:t>
      </w:r>
      <w:r w:rsidRPr="00DC0FF3">
        <w:rPr>
          <w:rFonts w:ascii="Times New Roman" w:eastAsia="Times New Roman" w:hAnsi="Times New Roman" w:cs="Times New Roman"/>
          <w:i/>
          <w:iCs/>
          <w:kern w:val="0"/>
          <w:sz w:val="24"/>
          <w:lang w:eastAsia="en-US"/>
        </w:rPr>
        <w:t>Annual Review of Sociology, 30</w:t>
      </w:r>
      <w:r w:rsidRPr="00DC0FF3">
        <w:rPr>
          <w:rFonts w:ascii="Times New Roman" w:eastAsia="Times New Roman" w:hAnsi="Times New Roman" w:cs="Times New Roman"/>
          <w:kern w:val="0"/>
          <w:sz w:val="24"/>
          <w:lang w:eastAsia="en-US"/>
        </w:rPr>
        <w:t xml:space="preserve">, 287–310. </w:t>
      </w:r>
      <w:hyperlink r:id="rId6" w:history="1">
        <w:r w:rsidRPr="00DC0FF3">
          <w:rPr>
            <w:rFonts w:ascii="Times New Roman" w:eastAsia="Times New Roman" w:hAnsi="Times New Roman" w:cs="Times New Roman"/>
            <w:color w:val="0000FF"/>
            <w:kern w:val="0"/>
            <w:sz w:val="24"/>
            <w:u w:val="single"/>
            <w:lang w:eastAsia="en-US"/>
          </w:rPr>
          <w:t>https://doi.org/10.1146/annurev.soc.29.010202.100113</w:t>
        </w:r>
      </w:hyperlink>
    </w:p>
    <w:p w14:paraId="4C873E93"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Atkinson, P. (1997). Narrative turn or blind alley? </w:t>
      </w:r>
      <w:r w:rsidRPr="00DC0FF3">
        <w:rPr>
          <w:rFonts w:ascii="Times New Roman" w:eastAsia="Times New Roman" w:hAnsi="Times New Roman" w:cs="Times New Roman"/>
          <w:i/>
          <w:iCs/>
          <w:kern w:val="0"/>
          <w:sz w:val="24"/>
          <w:lang w:eastAsia="en-US"/>
        </w:rPr>
        <w:t>Qualitative Health Research, 7</w:t>
      </w:r>
      <w:r w:rsidRPr="00DC0FF3">
        <w:rPr>
          <w:rFonts w:ascii="Times New Roman" w:eastAsia="Times New Roman" w:hAnsi="Times New Roman" w:cs="Times New Roman"/>
          <w:kern w:val="0"/>
          <w:sz w:val="24"/>
          <w:lang w:eastAsia="en-US"/>
        </w:rPr>
        <w:t xml:space="preserve">(3), 325–344. </w:t>
      </w:r>
      <w:hyperlink r:id="rId7" w:history="1">
        <w:r w:rsidRPr="00DC0FF3">
          <w:rPr>
            <w:rFonts w:ascii="Times New Roman" w:eastAsia="Times New Roman" w:hAnsi="Times New Roman" w:cs="Times New Roman"/>
            <w:color w:val="0000FF"/>
            <w:kern w:val="0"/>
            <w:sz w:val="24"/>
            <w:u w:val="single"/>
            <w:lang w:eastAsia="en-US"/>
          </w:rPr>
          <w:t>https://doi.org/10.1177/104973239700700302</w:t>
        </w:r>
      </w:hyperlink>
    </w:p>
    <w:p w14:paraId="7B785BE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Bourdieu, P. (2017). The biographical illusion (1986). In W. </w:t>
      </w:r>
      <w:proofErr w:type="spellStart"/>
      <w:r w:rsidRPr="00DC0FF3">
        <w:rPr>
          <w:rFonts w:ascii="Times New Roman" w:eastAsia="Times New Roman" w:hAnsi="Times New Roman" w:cs="Times New Roman"/>
          <w:kern w:val="0"/>
          <w:sz w:val="24"/>
          <w:lang w:eastAsia="en-US"/>
        </w:rPr>
        <w:t>Hemecker</w:t>
      </w:r>
      <w:proofErr w:type="spellEnd"/>
      <w:r w:rsidRPr="00DC0FF3">
        <w:rPr>
          <w:rFonts w:ascii="Times New Roman" w:eastAsia="Times New Roman" w:hAnsi="Times New Roman" w:cs="Times New Roman"/>
          <w:kern w:val="0"/>
          <w:sz w:val="24"/>
          <w:lang w:eastAsia="en-US"/>
        </w:rPr>
        <w:t xml:space="preserve"> &amp; E. Saunders (Eds.), </w:t>
      </w:r>
      <w:r w:rsidRPr="00DC0FF3">
        <w:rPr>
          <w:rFonts w:ascii="Times New Roman" w:eastAsia="Times New Roman" w:hAnsi="Times New Roman" w:cs="Times New Roman"/>
          <w:i/>
          <w:iCs/>
          <w:kern w:val="0"/>
          <w:sz w:val="24"/>
          <w:lang w:eastAsia="en-US"/>
        </w:rPr>
        <w:t>Biography in theory: Key texts with commentaries</w:t>
      </w:r>
      <w:r w:rsidRPr="00DC0FF3">
        <w:rPr>
          <w:rFonts w:ascii="Times New Roman" w:eastAsia="Times New Roman" w:hAnsi="Times New Roman" w:cs="Times New Roman"/>
          <w:kern w:val="0"/>
          <w:sz w:val="24"/>
          <w:lang w:eastAsia="en-US"/>
        </w:rPr>
        <w:t xml:space="preserve"> (pp. 210–216). De Gruyter. </w:t>
      </w:r>
      <w:hyperlink r:id="rId8" w:history="1">
        <w:r w:rsidRPr="00DC0FF3">
          <w:rPr>
            <w:rFonts w:ascii="Times New Roman" w:eastAsia="Times New Roman" w:hAnsi="Times New Roman" w:cs="Times New Roman"/>
            <w:color w:val="0000FF"/>
            <w:kern w:val="0"/>
            <w:sz w:val="24"/>
            <w:u w:val="single"/>
            <w:lang w:eastAsia="en-US"/>
          </w:rPr>
          <w:t>https://doi.org/10.1515/9783110516678-036</w:t>
        </w:r>
      </w:hyperlink>
    </w:p>
    <w:p w14:paraId="536B7AB9"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Brannen, J. (2019). Life stories: Biographical and narrative analysis. In </w:t>
      </w:r>
      <w:r w:rsidRPr="00DC0FF3">
        <w:rPr>
          <w:rFonts w:ascii="Times New Roman" w:eastAsia="Times New Roman" w:hAnsi="Times New Roman" w:cs="Times New Roman"/>
          <w:i/>
          <w:iCs/>
          <w:kern w:val="0"/>
          <w:sz w:val="24"/>
          <w:lang w:eastAsia="en-US"/>
        </w:rPr>
        <w:t>Social research matters: A life in family sociology</w:t>
      </w:r>
      <w:r w:rsidRPr="00DC0FF3">
        <w:rPr>
          <w:rFonts w:ascii="Times New Roman" w:eastAsia="Times New Roman" w:hAnsi="Times New Roman" w:cs="Times New Roman"/>
          <w:kern w:val="0"/>
          <w:sz w:val="24"/>
          <w:lang w:eastAsia="en-US"/>
        </w:rPr>
        <w:t xml:space="preserve"> (pp. 157–178). Bristol University Press. </w:t>
      </w:r>
      <w:hyperlink r:id="rId9" w:history="1">
        <w:r w:rsidRPr="00DC0FF3">
          <w:rPr>
            <w:rFonts w:ascii="Times New Roman" w:eastAsia="Times New Roman" w:hAnsi="Times New Roman" w:cs="Times New Roman"/>
            <w:color w:val="0000FF"/>
            <w:kern w:val="0"/>
            <w:sz w:val="24"/>
            <w:u w:val="single"/>
            <w:lang w:eastAsia="en-US"/>
          </w:rPr>
          <w:t>https://doi.org/10.51952/9781529208580.ch008</w:t>
        </w:r>
      </w:hyperlink>
    </w:p>
    <w:p w14:paraId="5D4FED23"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Bruhn, T. (2022). Orchestrating difference: The address of composite audiences as pluralist rhetoric. </w:t>
      </w:r>
      <w:r w:rsidRPr="00DC0FF3">
        <w:rPr>
          <w:rFonts w:ascii="Times New Roman" w:eastAsia="Times New Roman" w:hAnsi="Times New Roman" w:cs="Times New Roman"/>
          <w:i/>
          <w:iCs/>
          <w:kern w:val="0"/>
          <w:sz w:val="24"/>
          <w:lang w:eastAsia="en-US"/>
        </w:rPr>
        <w:t>Philosophy &amp; Rhetoric, 55</w:t>
      </w:r>
      <w:r w:rsidRPr="00DC0FF3">
        <w:rPr>
          <w:rFonts w:ascii="Times New Roman" w:eastAsia="Times New Roman" w:hAnsi="Times New Roman" w:cs="Times New Roman"/>
          <w:kern w:val="0"/>
          <w:sz w:val="24"/>
          <w:lang w:eastAsia="en-US"/>
        </w:rPr>
        <w:t xml:space="preserve">(2), 177–201. </w:t>
      </w:r>
      <w:hyperlink r:id="rId10" w:history="1">
        <w:r w:rsidRPr="00DC0FF3">
          <w:rPr>
            <w:rFonts w:ascii="Times New Roman" w:eastAsia="Times New Roman" w:hAnsi="Times New Roman" w:cs="Times New Roman"/>
            <w:color w:val="0000FF"/>
            <w:kern w:val="0"/>
            <w:sz w:val="24"/>
            <w:u w:val="single"/>
            <w:lang w:eastAsia="en-US"/>
          </w:rPr>
          <w:t>https://doi.org/10.5325/philrhet.55.2.0177</w:t>
        </w:r>
      </w:hyperlink>
    </w:p>
    <w:p w14:paraId="5E494110"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Bruner, J. (1986). </w:t>
      </w:r>
      <w:r w:rsidRPr="00DC0FF3">
        <w:rPr>
          <w:rFonts w:ascii="Times New Roman" w:eastAsia="Times New Roman" w:hAnsi="Times New Roman" w:cs="Times New Roman"/>
          <w:i/>
          <w:iCs/>
          <w:kern w:val="0"/>
          <w:sz w:val="24"/>
          <w:lang w:eastAsia="en-US"/>
        </w:rPr>
        <w:t>Actual minds, possible worlds</w:t>
      </w:r>
      <w:r w:rsidRPr="00DC0FF3">
        <w:rPr>
          <w:rFonts w:ascii="Times New Roman" w:eastAsia="Times New Roman" w:hAnsi="Times New Roman" w:cs="Times New Roman"/>
          <w:kern w:val="0"/>
          <w:sz w:val="24"/>
          <w:lang w:eastAsia="en-US"/>
        </w:rPr>
        <w:t xml:space="preserve">. Harvard University Press. </w:t>
      </w:r>
      <w:hyperlink r:id="rId11" w:history="1">
        <w:r w:rsidRPr="00DC0FF3">
          <w:rPr>
            <w:rFonts w:ascii="Times New Roman" w:eastAsia="Times New Roman" w:hAnsi="Times New Roman" w:cs="Times New Roman"/>
            <w:color w:val="0000FF"/>
            <w:kern w:val="0"/>
            <w:sz w:val="24"/>
            <w:u w:val="single"/>
            <w:lang w:eastAsia="en-US"/>
          </w:rPr>
          <w:t>https://doi.org/10.4159/9780674029019</w:t>
        </w:r>
      </w:hyperlink>
    </w:p>
    <w:p w14:paraId="3B51EB7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lastRenderedPageBreak/>
        <w:t xml:space="preserve">Bruner, J. (1991). The narrative construction of reality. </w:t>
      </w:r>
      <w:r w:rsidRPr="00DC0FF3">
        <w:rPr>
          <w:rFonts w:ascii="Times New Roman" w:eastAsia="Times New Roman" w:hAnsi="Times New Roman" w:cs="Times New Roman"/>
          <w:i/>
          <w:iCs/>
          <w:kern w:val="0"/>
          <w:sz w:val="24"/>
          <w:lang w:eastAsia="en-US"/>
        </w:rPr>
        <w:t>Critical Inquiry, 18</w:t>
      </w:r>
      <w:r w:rsidRPr="00DC0FF3">
        <w:rPr>
          <w:rFonts w:ascii="Times New Roman" w:eastAsia="Times New Roman" w:hAnsi="Times New Roman" w:cs="Times New Roman"/>
          <w:kern w:val="0"/>
          <w:sz w:val="24"/>
          <w:lang w:eastAsia="en-US"/>
        </w:rPr>
        <w:t xml:space="preserve">(1), 1–21. </w:t>
      </w:r>
      <w:hyperlink r:id="rId12" w:history="1">
        <w:r w:rsidRPr="00DC0FF3">
          <w:rPr>
            <w:rFonts w:ascii="Times New Roman" w:eastAsia="Times New Roman" w:hAnsi="Times New Roman" w:cs="Times New Roman"/>
            <w:color w:val="0000FF"/>
            <w:kern w:val="0"/>
            <w:sz w:val="24"/>
            <w:u w:val="single"/>
            <w:lang w:eastAsia="en-US"/>
          </w:rPr>
          <w:t>https://doi.org/10.1086/448619</w:t>
        </w:r>
      </w:hyperlink>
    </w:p>
    <w:p w14:paraId="50C3EABC"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Clandinin</w:t>
      </w:r>
      <w:proofErr w:type="spellEnd"/>
      <w:r w:rsidRPr="00DC0FF3">
        <w:rPr>
          <w:rFonts w:ascii="Times New Roman" w:eastAsia="Times New Roman" w:hAnsi="Times New Roman" w:cs="Times New Roman"/>
          <w:kern w:val="0"/>
          <w:sz w:val="24"/>
          <w:lang w:eastAsia="en-US"/>
        </w:rPr>
        <w:t xml:space="preserve">, D. J. (2013). </w:t>
      </w:r>
      <w:r w:rsidRPr="00DC0FF3">
        <w:rPr>
          <w:rFonts w:ascii="Times New Roman" w:eastAsia="Times New Roman" w:hAnsi="Times New Roman" w:cs="Times New Roman"/>
          <w:i/>
          <w:iCs/>
          <w:kern w:val="0"/>
          <w:sz w:val="24"/>
          <w:lang w:eastAsia="en-US"/>
        </w:rPr>
        <w:t>Engaging in narrative inquiry</w:t>
      </w:r>
      <w:r w:rsidRPr="00DC0FF3">
        <w:rPr>
          <w:rFonts w:ascii="Times New Roman" w:eastAsia="Times New Roman" w:hAnsi="Times New Roman" w:cs="Times New Roman"/>
          <w:kern w:val="0"/>
          <w:sz w:val="24"/>
          <w:lang w:eastAsia="en-US"/>
        </w:rPr>
        <w:t xml:space="preserve">. Left Coast Press. </w:t>
      </w:r>
      <w:hyperlink r:id="rId13" w:history="1">
        <w:r w:rsidRPr="00DC0FF3">
          <w:rPr>
            <w:rFonts w:ascii="Times New Roman" w:eastAsia="Times New Roman" w:hAnsi="Times New Roman" w:cs="Times New Roman"/>
            <w:color w:val="0000FF"/>
            <w:kern w:val="0"/>
            <w:sz w:val="24"/>
            <w:u w:val="single"/>
            <w:lang w:eastAsia="en-US"/>
          </w:rPr>
          <w:t>https://doi.org/10.4324/9781315429618</w:t>
        </w:r>
      </w:hyperlink>
    </w:p>
    <w:p w14:paraId="0710FD5A"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Clandinin</w:t>
      </w:r>
      <w:proofErr w:type="spellEnd"/>
      <w:r w:rsidRPr="00DC0FF3">
        <w:rPr>
          <w:rFonts w:ascii="Times New Roman" w:eastAsia="Times New Roman" w:hAnsi="Times New Roman" w:cs="Times New Roman"/>
          <w:kern w:val="0"/>
          <w:sz w:val="24"/>
          <w:lang w:eastAsia="en-US"/>
        </w:rPr>
        <w:t xml:space="preserve">, D. J., &amp; Connelly, F. M. (2000). </w:t>
      </w:r>
      <w:r w:rsidRPr="00DC0FF3">
        <w:rPr>
          <w:rFonts w:ascii="Times New Roman" w:eastAsia="Times New Roman" w:hAnsi="Times New Roman" w:cs="Times New Roman"/>
          <w:i/>
          <w:iCs/>
          <w:kern w:val="0"/>
          <w:sz w:val="24"/>
          <w:lang w:eastAsia="en-US"/>
        </w:rPr>
        <w:t>Narrative inquiry: Experience and story in qualitative research</w:t>
      </w:r>
      <w:r w:rsidRPr="00DC0FF3">
        <w:rPr>
          <w:rFonts w:ascii="Times New Roman" w:eastAsia="Times New Roman" w:hAnsi="Times New Roman" w:cs="Times New Roman"/>
          <w:kern w:val="0"/>
          <w:sz w:val="24"/>
          <w:lang w:eastAsia="en-US"/>
        </w:rPr>
        <w:t xml:space="preserve">. Jossey-Bass. </w:t>
      </w:r>
    </w:p>
    <w:p w14:paraId="31D40B03"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Dahlstrom, M. F. (2014). Using narratives and storytelling to communicate science with nonexpert audiences. </w:t>
      </w:r>
      <w:r w:rsidRPr="00DC0FF3">
        <w:rPr>
          <w:rFonts w:ascii="Times New Roman" w:eastAsia="Times New Roman" w:hAnsi="Times New Roman" w:cs="Times New Roman"/>
          <w:i/>
          <w:iCs/>
          <w:kern w:val="0"/>
          <w:sz w:val="24"/>
          <w:lang w:eastAsia="en-US"/>
        </w:rPr>
        <w:t>Proceedings of the National Academy of Sciences, 111</w:t>
      </w:r>
      <w:r w:rsidRPr="00DC0FF3">
        <w:rPr>
          <w:rFonts w:ascii="Times New Roman" w:eastAsia="Times New Roman" w:hAnsi="Times New Roman" w:cs="Times New Roman"/>
          <w:kern w:val="0"/>
          <w:sz w:val="24"/>
          <w:lang w:eastAsia="en-US"/>
        </w:rPr>
        <w:t xml:space="preserve">(Suppl. 4), 13614–13620. </w:t>
      </w:r>
      <w:hyperlink r:id="rId14" w:history="1">
        <w:r w:rsidRPr="00DC0FF3">
          <w:rPr>
            <w:rFonts w:ascii="Times New Roman" w:eastAsia="Times New Roman" w:hAnsi="Times New Roman" w:cs="Times New Roman"/>
            <w:color w:val="0000FF"/>
            <w:kern w:val="0"/>
            <w:sz w:val="24"/>
            <w:u w:val="single"/>
            <w:lang w:eastAsia="en-US"/>
          </w:rPr>
          <w:t>https://doi.org/10.1073/pnas.1320645111</w:t>
        </w:r>
      </w:hyperlink>
    </w:p>
    <w:p w14:paraId="2EB7371A"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Dahlstrom, M. F. (2021). The narrative truth about scientific misinformation. </w:t>
      </w:r>
      <w:r w:rsidRPr="00DC0FF3">
        <w:rPr>
          <w:rFonts w:ascii="Times New Roman" w:eastAsia="Times New Roman" w:hAnsi="Times New Roman" w:cs="Times New Roman"/>
          <w:i/>
          <w:iCs/>
          <w:kern w:val="0"/>
          <w:sz w:val="24"/>
          <w:lang w:eastAsia="en-US"/>
        </w:rPr>
        <w:t>Proceedings of the National Academy of Sciences, 118</w:t>
      </w:r>
      <w:r w:rsidRPr="00DC0FF3">
        <w:rPr>
          <w:rFonts w:ascii="Times New Roman" w:eastAsia="Times New Roman" w:hAnsi="Times New Roman" w:cs="Times New Roman"/>
          <w:kern w:val="0"/>
          <w:sz w:val="24"/>
          <w:lang w:eastAsia="en-US"/>
        </w:rPr>
        <w:t xml:space="preserve">(15), Article e1914085117. </w:t>
      </w:r>
      <w:hyperlink r:id="rId15" w:history="1">
        <w:r w:rsidRPr="00DC0FF3">
          <w:rPr>
            <w:rFonts w:ascii="Times New Roman" w:eastAsia="Times New Roman" w:hAnsi="Times New Roman" w:cs="Times New Roman"/>
            <w:color w:val="0000FF"/>
            <w:kern w:val="0"/>
            <w:sz w:val="24"/>
            <w:u w:val="single"/>
            <w:lang w:eastAsia="en-US"/>
          </w:rPr>
          <w:t>https://doi.org/10.1073/pnas.1914085117</w:t>
        </w:r>
      </w:hyperlink>
    </w:p>
    <w:p w14:paraId="45C99F16"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Denzin, N. K. (1989). </w:t>
      </w:r>
      <w:r w:rsidRPr="00DC0FF3">
        <w:rPr>
          <w:rFonts w:ascii="Times New Roman" w:eastAsia="Times New Roman" w:hAnsi="Times New Roman" w:cs="Times New Roman"/>
          <w:i/>
          <w:iCs/>
          <w:kern w:val="0"/>
          <w:sz w:val="24"/>
          <w:lang w:eastAsia="en-US"/>
        </w:rPr>
        <w:t>Interpretive interactionism</w:t>
      </w:r>
      <w:r w:rsidRPr="00DC0FF3">
        <w:rPr>
          <w:rFonts w:ascii="Times New Roman" w:eastAsia="Times New Roman" w:hAnsi="Times New Roman" w:cs="Times New Roman"/>
          <w:kern w:val="0"/>
          <w:sz w:val="24"/>
          <w:lang w:eastAsia="en-US"/>
        </w:rPr>
        <w:t xml:space="preserve">. Sage. </w:t>
      </w:r>
    </w:p>
    <w:p w14:paraId="62E8E323"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Flores, C., &amp; Woodard, E. (2023). Epistemic norms on evidence-gathering. </w:t>
      </w:r>
      <w:r w:rsidRPr="00DC0FF3">
        <w:rPr>
          <w:rFonts w:ascii="Times New Roman" w:eastAsia="Times New Roman" w:hAnsi="Times New Roman" w:cs="Times New Roman"/>
          <w:i/>
          <w:iCs/>
          <w:kern w:val="0"/>
          <w:sz w:val="24"/>
          <w:lang w:eastAsia="en-US"/>
        </w:rPr>
        <w:t>Philosophical Studies, 180</w:t>
      </w:r>
      <w:r w:rsidRPr="00DC0FF3">
        <w:rPr>
          <w:rFonts w:ascii="Times New Roman" w:eastAsia="Times New Roman" w:hAnsi="Times New Roman" w:cs="Times New Roman"/>
          <w:kern w:val="0"/>
          <w:sz w:val="24"/>
          <w:lang w:eastAsia="en-US"/>
        </w:rPr>
        <w:t xml:space="preserve">(9), 2547–2571. </w:t>
      </w:r>
      <w:hyperlink r:id="rId16" w:history="1">
        <w:r w:rsidRPr="00DC0FF3">
          <w:rPr>
            <w:rFonts w:ascii="Times New Roman" w:eastAsia="Times New Roman" w:hAnsi="Times New Roman" w:cs="Times New Roman"/>
            <w:color w:val="0000FF"/>
            <w:kern w:val="0"/>
            <w:sz w:val="24"/>
            <w:u w:val="single"/>
            <w:lang w:eastAsia="en-US"/>
          </w:rPr>
          <w:t>https://doi.org/10.1007/s11098-023-01978-8</w:t>
        </w:r>
      </w:hyperlink>
    </w:p>
    <w:p w14:paraId="1B5E8EE2"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Freitas, A. (2026). Decision-making in narrative inquiry in education: Ethical gathering, transcription, validation and analysis of lived experiences. </w:t>
      </w:r>
      <w:r w:rsidRPr="00DC0FF3">
        <w:rPr>
          <w:rFonts w:ascii="Times New Roman" w:eastAsia="Times New Roman" w:hAnsi="Times New Roman" w:cs="Times New Roman"/>
          <w:i/>
          <w:iCs/>
          <w:kern w:val="0"/>
          <w:sz w:val="24"/>
          <w:lang w:eastAsia="en-US"/>
        </w:rPr>
        <w:t>International Journal of Research &amp; Method in Education, 49</w:t>
      </w:r>
      <w:r w:rsidRPr="00DC0FF3">
        <w:rPr>
          <w:rFonts w:ascii="Times New Roman" w:eastAsia="Times New Roman" w:hAnsi="Times New Roman" w:cs="Times New Roman"/>
          <w:kern w:val="0"/>
          <w:sz w:val="24"/>
          <w:lang w:eastAsia="en-US"/>
        </w:rPr>
        <w:t xml:space="preserve">(1), 24–39. </w:t>
      </w:r>
      <w:hyperlink r:id="rId17" w:history="1">
        <w:r w:rsidRPr="00DC0FF3">
          <w:rPr>
            <w:rFonts w:ascii="Times New Roman" w:eastAsia="Times New Roman" w:hAnsi="Times New Roman" w:cs="Times New Roman"/>
            <w:color w:val="0000FF"/>
            <w:kern w:val="0"/>
            <w:sz w:val="24"/>
            <w:u w:val="single"/>
            <w:lang w:eastAsia="en-US"/>
          </w:rPr>
          <w:t>https://doi.org/10.1080/1743727X.2025.2543261</w:t>
        </w:r>
      </w:hyperlink>
    </w:p>
    <w:p w14:paraId="159C2D6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Gallagher, S., &amp; Hutto, D. D. (2008). Understanding others through primary interaction and narrative practice. In J. Zlatev, T. P. Racine, C. Sinha, &amp; E. Itkonen (Eds.), </w:t>
      </w:r>
      <w:r w:rsidRPr="00DC0FF3">
        <w:rPr>
          <w:rFonts w:ascii="Times New Roman" w:eastAsia="Times New Roman" w:hAnsi="Times New Roman" w:cs="Times New Roman"/>
          <w:i/>
          <w:iCs/>
          <w:kern w:val="0"/>
          <w:sz w:val="24"/>
          <w:lang w:eastAsia="en-US"/>
        </w:rPr>
        <w:t>The shared mind: Perspectives on intersubjectivity</w:t>
      </w:r>
      <w:r w:rsidRPr="00DC0FF3">
        <w:rPr>
          <w:rFonts w:ascii="Times New Roman" w:eastAsia="Times New Roman" w:hAnsi="Times New Roman" w:cs="Times New Roman"/>
          <w:kern w:val="0"/>
          <w:sz w:val="24"/>
          <w:lang w:eastAsia="en-US"/>
        </w:rPr>
        <w:t xml:space="preserve"> (pp. 17–38). John Benjamins. </w:t>
      </w:r>
      <w:hyperlink r:id="rId18" w:history="1">
        <w:r w:rsidRPr="00DC0FF3">
          <w:rPr>
            <w:rFonts w:ascii="Times New Roman" w:eastAsia="Times New Roman" w:hAnsi="Times New Roman" w:cs="Times New Roman"/>
            <w:color w:val="0000FF"/>
            <w:kern w:val="0"/>
            <w:sz w:val="24"/>
            <w:u w:val="single"/>
            <w:lang w:eastAsia="en-US"/>
          </w:rPr>
          <w:t>https://doi.org/10.1075/celcr.12.04gal</w:t>
        </w:r>
      </w:hyperlink>
    </w:p>
    <w:p w14:paraId="2387605A"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Genette, G. (1980). </w:t>
      </w:r>
      <w:r w:rsidRPr="00DC0FF3">
        <w:rPr>
          <w:rFonts w:ascii="Times New Roman" w:eastAsia="Times New Roman" w:hAnsi="Times New Roman" w:cs="Times New Roman"/>
          <w:i/>
          <w:iCs/>
          <w:kern w:val="0"/>
          <w:sz w:val="24"/>
          <w:lang w:eastAsia="en-US"/>
        </w:rPr>
        <w:t>Narrative discourse: An essay in method</w:t>
      </w:r>
      <w:r w:rsidRPr="00DC0FF3">
        <w:rPr>
          <w:rFonts w:ascii="Times New Roman" w:eastAsia="Times New Roman" w:hAnsi="Times New Roman" w:cs="Times New Roman"/>
          <w:kern w:val="0"/>
          <w:sz w:val="24"/>
          <w:lang w:eastAsia="en-US"/>
        </w:rPr>
        <w:t xml:space="preserve"> (J. E. Lewin, Trans.). Cornell University Press. </w:t>
      </w:r>
    </w:p>
    <w:p w14:paraId="1B88278D" w14:textId="77777777" w:rsidR="00714BE2" w:rsidRDefault="00000000">
      <w:pPr>
        <w:widowControl/>
        <w:spacing w:before="100" w:beforeAutospacing="1" w:after="100" w:afterAutospacing="1"/>
        <w:ind w:left="540" w:hanging="540"/>
        <w:rPr>
          <w:rFonts w:ascii="Times New Roman" w:eastAsia="Times New Roman" w:hAnsi="Times New Roman" w:cs="Times New Roman"/>
          <w:kern w:val="0"/>
          <w:sz w:val="24"/>
          <w:lang w:eastAsia="en-US"/>
        </w:rPr>
      </w:pPr>
      <w:r>
        <w:rPr>
          <w:rFonts w:ascii="Times New Roman" w:hAnsi="Times New Roman"/>
          <w:b/>
          <w:sz w:val="24"/>
          <w:highlight w:val="yellow"/>
        </w:rPr>
        <w:t xml:space="preserve">Ghanbar, H., Cinaglia, C., Randez, R. A., &amp; De Costa, P. I. (2024). A methodological synthesis of narrative inquiry research in applied linguistics: What’s the story? </w:t>
      </w:r>
      <w:r>
        <w:rPr>
          <w:rFonts w:ascii="Times New Roman" w:hAnsi="Times New Roman"/>
          <w:b/>
          <w:i/>
          <w:sz w:val="24"/>
          <w:highlight w:val="yellow"/>
        </w:rPr>
        <w:t>International Journal of Applied Linguistics, 34</w:t>
      </w:r>
      <w:r>
        <w:rPr>
          <w:rFonts w:ascii="Times New Roman" w:hAnsi="Times New Roman"/>
          <w:b/>
          <w:sz w:val="24"/>
          <w:highlight w:val="yellow"/>
        </w:rPr>
        <w:t>(4), 1629–1655. https://doi.org/10.1111/ijal.12591</w:t>
      </w:r>
    </w:p>
    <w:p w14:paraId="5162114E"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val="nl-BE" w:eastAsia="en-US"/>
        </w:rPr>
        <w:t xml:space="preserve">Ghanbar, H., Kim, N., Cinaglia, C., &amp; De Costa, P. I. (2026). </w:t>
      </w:r>
      <w:r w:rsidRPr="00DC0FF3">
        <w:rPr>
          <w:rFonts w:ascii="Times New Roman" w:eastAsia="Times New Roman" w:hAnsi="Times New Roman" w:cs="Times New Roman"/>
          <w:kern w:val="0"/>
          <w:sz w:val="24"/>
          <w:lang w:eastAsia="en-US"/>
        </w:rPr>
        <w:t xml:space="preserve">The principle–practice gap: A methodological synthesis of discrepancies between narrative inquiry ethical ideals and actual reporting practices. </w:t>
      </w:r>
      <w:r w:rsidRPr="00DC0FF3">
        <w:rPr>
          <w:rFonts w:ascii="Times New Roman" w:eastAsia="Times New Roman" w:hAnsi="Times New Roman" w:cs="Times New Roman"/>
          <w:i/>
          <w:iCs/>
          <w:kern w:val="0"/>
          <w:sz w:val="24"/>
          <w:lang w:eastAsia="en-US"/>
        </w:rPr>
        <w:t>Language Teaching</w:t>
      </w:r>
      <w:r w:rsidRPr="00DC0FF3">
        <w:rPr>
          <w:rFonts w:ascii="Times New Roman" w:eastAsia="Times New Roman" w:hAnsi="Times New Roman" w:cs="Times New Roman"/>
          <w:kern w:val="0"/>
          <w:sz w:val="24"/>
          <w:lang w:eastAsia="en-US"/>
        </w:rPr>
        <w:t xml:space="preserve">, 1–43. Advance online publication. </w:t>
      </w:r>
      <w:hyperlink r:id="rId19" w:history="1">
        <w:r w:rsidRPr="00DC0FF3">
          <w:rPr>
            <w:rFonts w:ascii="Times New Roman" w:eastAsia="Times New Roman" w:hAnsi="Times New Roman" w:cs="Times New Roman"/>
            <w:color w:val="0000FF"/>
            <w:kern w:val="0"/>
            <w:sz w:val="24"/>
            <w:u w:val="single"/>
            <w:lang w:eastAsia="en-US"/>
          </w:rPr>
          <w:t>https://doi.org/10.1017/S0261444826101207</w:t>
        </w:r>
      </w:hyperlink>
    </w:p>
    <w:p w14:paraId="3A3EC94F"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lastRenderedPageBreak/>
        <w:t xml:space="preserve">Greenhalgh, T., &amp; Wieringa, S. (2011). Is it time to drop the ‘knowledge translation’ metaphor? A critical literature review. </w:t>
      </w:r>
      <w:r w:rsidRPr="00DC0FF3">
        <w:rPr>
          <w:rFonts w:ascii="Times New Roman" w:eastAsia="Times New Roman" w:hAnsi="Times New Roman" w:cs="Times New Roman"/>
          <w:i/>
          <w:iCs/>
          <w:kern w:val="0"/>
          <w:sz w:val="24"/>
          <w:lang w:eastAsia="en-US"/>
        </w:rPr>
        <w:t>Journal of the Royal Society of Medicine, 104</w:t>
      </w:r>
      <w:r w:rsidRPr="00DC0FF3">
        <w:rPr>
          <w:rFonts w:ascii="Times New Roman" w:eastAsia="Times New Roman" w:hAnsi="Times New Roman" w:cs="Times New Roman"/>
          <w:kern w:val="0"/>
          <w:sz w:val="24"/>
          <w:lang w:eastAsia="en-US"/>
        </w:rPr>
        <w:t xml:space="preserve">(12), 501–509. </w:t>
      </w:r>
      <w:hyperlink r:id="rId20" w:history="1">
        <w:r w:rsidRPr="00DC0FF3">
          <w:rPr>
            <w:rFonts w:ascii="Times New Roman" w:eastAsia="Times New Roman" w:hAnsi="Times New Roman" w:cs="Times New Roman"/>
            <w:color w:val="0000FF"/>
            <w:kern w:val="0"/>
            <w:sz w:val="24"/>
            <w:u w:val="single"/>
            <w:lang w:eastAsia="en-US"/>
          </w:rPr>
          <w:t>https://doi.org/10.1258/jrsm.2011.110285</w:t>
        </w:r>
      </w:hyperlink>
    </w:p>
    <w:p w14:paraId="15BDABBA"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Gusman, S. (2024). Biographical illusions: Sartre and Bourdieu against narrative identity. </w:t>
      </w:r>
      <w:r w:rsidRPr="00DC0FF3">
        <w:rPr>
          <w:rFonts w:ascii="Times New Roman" w:eastAsia="Times New Roman" w:hAnsi="Times New Roman" w:cs="Times New Roman"/>
          <w:i/>
          <w:iCs/>
          <w:kern w:val="0"/>
          <w:sz w:val="24"/>
          <w:lang w:eastAsia="en-US"/>
        </w:rPr>
        <w:t>Symposium: Canadian Journal of Continental Philosophy, 28</w:t>
      </w:r>
      <w:r w:rsidRPr="00DC0FF3">
        <w:rPr>
          <w:rFonts w:ascii="Times New Roman" w:eastAsia="Times New Roman" w:hAnsi="Times New Roman" w:cs="Times New Roman"/>
          <w:kern w:val="0"/>
          <w:sz w:val="24"/>
          <w:lang w:eastAsia="en-US"/>
        </w:rPr>
        <w:t xml:space="preserve">(2), 90–114. </w:t>
      </w:r>
      <w:hyperlink r:id="rId21" w:history="1">
        <w:r w:rsidRPr="00DC0FF3">
          <w:rPr>
            <w:rFonts w:ascii="Times New Roman" w:eastAsia="Times New Roman" w:hAnsi="Times New Roman" w:cs="Times New Roman"/>
            <w:color w:val="0000FF"/>
            <w:kern w:val="0"/>
            <w:sz w:val="24"/>
            <w:u w:val="single"/>
            <w:lang w:eastAsia="en-US"/>
          </w:rPr>
          <w:t>https://doi.org/10.5840/symposium202428217</w:t>
        </w:r>
      </w:hyperlink>
    </w:p>
    <w:p w14:paraId="2871B1C0"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Hlobil</w:t>
      </w:r>
      <w:proofErr w:type="spellEnd"/>
      <w:r w:rsidRPr="00DC0FF3">
        <w:rPr>
          <w:rFonts w:ascii="Times New Roman" w:eastAsia="Times New Roman" w:hAnsi="Times New Roman" w:cs="Times New Roman"/>
          <w:kern w:val="0"/>
          <w:sz w:val="24"/>
          <w:lang w:eastAsia="en-US"/>
        </w:rPr>
        <w:t xml:space="preserve">, U. (2015). There are diachronic norms of rationality. </w:t>
      </w:r>
      <w:r w:rsidRPr="00DC0FF3">
        <w:rPr>
          <w:rFonts w:ascii="Times New Roman" w:eastAsia="Times New Roman" w:hAnsi="Times New Roman" w:cs="Times New Roman"/>
          <w:i/>
          <w:iCs/>
          <w:kern w:val="0"/>
          <w:sz w:val="24"/>
          <w:lang w:eastAsia="en-US"/>
        </w:rPr>
        <w:t>Thought: A Journal of Philosophy, 4</w:t>
      </w:r>
      <w:r w:rsidRPr="00DC0FF3">
        <w:rPr>
          <w:rFonts w:ascii="Times New Roman" w:eastAsia="Times New Roman" w:hAnsi="Times New Roman" w:cs="Times New Roman"/>
          <w:kern w:val="0"/>
          <w:sz w:val="24"/>
          <w:lang w:eastAsia="en-US"/>
        </w:rPr>
        <w:t xml:space="preserve">(1), 38–45. </w:t>
      </w:r>
      <w:hyperlink r:id="rId22" w:history="1">
        <w:r w:rsidRPr="00DC0FF3">
          <w:rPr>
            <w:rFonts w:ascii="Times New Roman" w:eastAsia="Times New Roman" w:hAnsi="Times New Roman" w:cs="Times New Roman"/>
            <w:color w:val="0000FF"/>
            <w:kern w:val="0"/>
            <w:sz w:val="24"/>
            <w:u w:val="single"/>
            <w:lang w:eastAsia="en-US"/>
          </w:rPr>
          <w:t>https://doi.org/10.1002/tht3.155</w:t>
        </w:r>
      </w:hyperlink>
    </w:p>
    <w:p w14:paraId="2CBCC88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Holstein, J. A., &amp; </w:t>
      </w:r>
      <w:proofErr w:type="spellStart"/>
      <w:r w:rsidRPr="00DC0FF3">
        <w:rPr>
          <w:rFonts w:ascii="Times New Roman" w:eastAsia="Times New Roman" w:hAnsi="Times New Roman" w:cs="Times New Roman"/>
          <w:kern w:val="0"/>
          <w:sz w:val="24"/>
          <w:lang w:eastAsia="en-US"/>
        </w:rPr>
        <w:t>Gubrium</w:t>
      </w:r>
      <w:proofErr w:type="spellEnd"/>
      <w:r w:rsidRPr="00DC0FF3">
        <w:rPr>
          <w:rFonts w:ascii="Times New Roman" w:eastAsia="Times New Roman" w:hAnsi="Times New Roman" w:cs="Times New Roman"/>
          <w:kern w:val="0"/>
          <w:sz w:val="24"/>
          <w:lang w:eastAsia="en-US"/>
        </w:rPr>
        <w:t xml:space="preserve">, J. F. (2000). </w:t>
      </w:r>
      <w:r w:rsidRPr="00DC0FF3">
        <w:rPr>
          <w:rFonts w:ascii="Times New Roman" w:eastAsia="Times New Roman" w:hAnsi="Times New Roman" w:cs="Times New Roman"/>
          <w:i/>
          <w:iCs/>
          <w:kern w:val="0"/>
          <w:sz w:val="24"/>
          <w:lang w:eastAsia="en-US"/>
        </w:rPr>
        <w:t>The self we live by: Narrative identity in a postmodern world</w:t>
      </w:r>
      <w:r w:rsidRPr="00DC0FF3">
        <w:rPr>
          <w:rFonts w:ascii="Times New Roman" w:eastAsia="Times New Roman" w:hAnsi="Times New Roman" w:cs="Times New Roman"/>
          <w:kern w:val="0"/>
          <w:sz w:val="24"/>
          <w:lang w:eastAsia="en-US"/>
        </w:rPr>
        <w:t xml:space="preserve">. Oxford University Press. </w:t>
      </w:r>
      <w:hyperlink r:id="rId23" w:history="1">
        <w:r w:rsidRPr="00DC0FF3">
          <w:rPr>
            <w:rFonts w:ascii="Times New Roman" w:eastAsia="Times New Roman" w:hAnsi="Times New Roman" w:cs="Times New Roman"/>
            <w:color w:val="0000FF"/>
            <w:kern w:val="0"/>
            <w:sz w:val="24"/>
            <w:u w:val="single"/>
            <w:lang w:eastAsia="en-US"/>
          </w:rPr>
          <w:t>https://sociology.missouri.edu/people/gubrium</w:t>
        </w:r>
      </w:hyperlink>
    </w:p>
    <w:p w14:paraId="61668CBB"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Kucirkova, N. I., &amp; Odhiambo, J. (2026). Educational leaders’ perceptions of evidence quality and application: A paradox. </w:t>
      </w:r>
      <w:r w:rsidRPr="00DC0FF3">
        <w:rPr>
          <w:rFonts w:ascii="Times New Roman" w:eastAsia="Times New Roman" w:hAnsi="Times New Roman" w:cs="Times New Roman"/>
          <w:i/>
          <w:iCs/>
          <w:kern w:val="0"/>
          <w:sz w:val="24"/>
          <w:lang w:eastAsia="en-US"/>
        </w:rPr>
        <w:t>Educational Research, 68</w:t>
      </w:r>
      <w:r w:rsidRPr="00DC0FF3">
        <w:rPr>
          <w:rFonts w:ascii="Times New Roman" w:eastAsia="Times New Roman" w:hAnsi="Times New Roman" w:cs="Times New Roman"/>
          <w:kern w:val="0"/>
          <w:sz w:val="24"/>
          <w:lang w:eastAsia="en-US"/>
        </w:rPr>
        <w:t xml:space="preserve">(1), 93–114. </w:t>
      </w:r>
      <w:hyperlink r:id="rId24" w:history="1">
        <w:r w:rsidRPr="00DC0FF3">
          <w:rPr>
            <w:rFonts w:ascii="Times New Roman" w:eastAsia="Times New Roman" w:hAnsi="Times New Roman" w:cs="Times New Roman"/>
            <w:color w:val="0000FF"/>
            <w:kern w:val="0"/>
            <w:sz w:val="24"/>
            <w:u w:val="single"/>
            <w:lang w:eastAsia="en-US"/>
          </w:rPr>
          <w:t>https://doi.org/10.1080/00131881.2025.2599788</w:t>
        </w:r>
      </w:hyperlink>
    </w:p>
    <w:p w14:paraId="3631D506"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Labov</w:t>
      </w:r>
      <w:proofErr w:type="spellEnd"/>
      <w:r w:rsidRPr="00DC0FF3">
        <w:rPr>
          <w:rFonts w:ascii="Times New Roman" w:eastAsia="Times New Roman" w:hAnsi="Times New Roman" w:cs="Times New Roman"/>
          <w:kern w:val="0"/>
          <w:sz w:val="24"/>
          <w:lang w:eastAsia="en-US"/>
        </w:rPr>
        <w:t xml:space="preserve">, W. (1972). </w:t>
      </w:r>
      <w:r w:rsidRPr="00DC0FF3">
        <w:rPr>
          <w:rFonts w:ascii="Times New Roman" w:eastAsia="Times New Roman" w:hAnsi="Times New Roman" w:cs="Times New Roman"/>
          <w:i/>
          <w:iCs/>
          <w:kern w:val="0"/>
          <w:sz w:val="24"/>
          <w:lang w:eastAsia="en-US"/>
        </w:rPr>
        <w:t>Language in the inner city: Studies in the Black English vernacular</w:t>
      </w:r>
      <w:r w:rsidRPr="00DC0FF3">
        <w:rPr>
          <w:rFonts w:ascii="Times New Roman" w:eastAsia="Times New Roman" w:hAnsi="Times New Roman" w:cs="Times New Roman"/>
          <w:kern w:val="0"/>
          <w:sz w:val="24"/>
          <w:lang w:eastAsia="en-US"/>
        </w:rPr>
        <w:t xml:space="preserve">. University of Pennsylvania Press. </w:t>
      </w:r>
      <w:hyperlink r:id="rId25" w:history="1">
        <w:r w:rsidRPr="00DC0FF3">
          <w:rPr>
            <w:rFonts w:ascii="Times New Roman" w:eastAsia="Times New Roman" w:hAnsi="Times New Roman" w:cs="Times New Roman"/>
            <w:color w:val="0000FF"/>
            <w:kern w:val="0"/>
            <w:sz w:val="24"/>
            <w:u w:val="single"/>
            <w:lang w:eastAsia="en-US"/>
          </w:rPr>
          <w:t>https://www.pennpress.org/9780812210514/language-in-the-inner-city/</w:t>
        </w:r>
      </w:hyperlink>
    </w:p>
    <w:p w14:paraId="30C62105"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Lincoln, Y. S., &amp; Guba, E. G. (1985). </w:t>
      </w:r>
      <w:r w:rsidRPr="00DC0FF3">
        <w:rPr>
          <w:rFonts w:ascii="Times New Roman" w:eastAsia="Times New Roman" w:hAnsi="Times New Roman" w:cs="Times New Roman"/>
          <w:i/>
          <w:iCs/>
          <w:kern w:val="0"/>
          <w:sz w:val="24"/>
          <w:lang w:eastAsia="en-US"/>
        </w:rPr>
        <w:t>Naturalistic inquiry</w:t>
      </w:r>
      <w:r w:rsidRPr="00DC0FF3">
        <w:rPr>
          <w:rFonts w:ascii="Times New Roman" w:eastAsia="Times New Roman" w:hAnsi="Times New Roman" w:cs="Times New Roman"/>
          <w:kern w:val="0"/>
          <w:sz w:val="24"/>
          <w:lang w:eastAsia="en-US"/>
        </w:rPr>
        <w:t xml:space="preserve">. Sage. </w:t>
      </w:r>
    </w:p>
    <w:p w14:paraId="3BED8E7D" w14:textId="77777777" w:rsidR="00714BE2" w:rsidRDefault="00000000">
      <w:pPr>
        <w:widowControl/>
        <w:spacing w:before="100" w:beforeAutospacing="1" w:after="100" w:afterAutospacing="1"/>
        <w:ind w:left="540" w:hanging="540"/>
        <w:rPr>
          <w:rFonts w:ascii="Times New Roman" w:eastAsia="Times New Roman" w:hAnsi="Times New Roman" w:cs="Times New Roman"/>
          <w:kern w:val="0"/>
          <w:sz w:val="24"/>
          <w:lang w:eastAsia="en-US"/>
        </w:rPr>
      </w:pPr>
      <w:r>
        <w:rPr>
          <w:rFonts w:ascii="Times New Roman" w:hAnsi="Times New Roman"/>
          <w:b/>
          <w:sz w:val="24"/>
          <w:highlight w:val="yellow"/>
        </w:rPr>
        <w:t xml:space="preserve">Liu, W., Zou, B., Huang, X., &amp; Lv, T. (2026). Bridging moral education and technical training in digitally managed vocational internships. </w:t>
      </w:r>
      <w:r>
        <w:rPr>
          <w:rFonts w:ascii="Times New Roman" w:hAnsi="Times New Roman"/>
          <w:b/>
          <w:i/>
          <w:sz w:val="24"/>
          <w:highlight w:val="yellow"/>
        </w:rPr>
        <w:t>Journal of Global Research in Education and Social Science, 20</w:t>
      </w:r>
      <w:r>
        <w:rPr>
          <w:rFonts w:ascii="Times New Roman" w:hAnsi="Times New Roman"/>
          <w:b/>
          <w:sz w:val="24"/>
          <w:highlight w:val="yellow"/>
        </w:rPr>
        <w:t>(1), 1–16. https://doi.org/10.56557/jogress/2026/v20i110092</w:t>
      </w:r>
    </w:p>
    <w:p w14:paraId="23802ACD" w14:textId="77777777" w:rsidR="00714BE2" w:rsidRDefault="00000000">
      <w:pPr>
        <w:widowControl/>
        <w:spacing w:before="100" w:beforeAutospacing="1" w:after="100" w:afterAutospacing="1"/>
        <w:ind w:left="540" w:hanging="540"/>
        <w:rPr>
          <w:rFonts w:ascii="Times New Roman" w:eastAsia="Times New Roman" w:hAnsi="Times New Roman" w:cs="Times New Roman"/>
          <w:kern w:val="0"/>
          <w:sz w:val="24"/>
          <w:lang w:eastAsia="en-US"/>
        </w:rPr>
      </w:pPr>
      <w:r>
        <w:rPr>
          <w:rFonts w:ascii="Times New Roman" w:hAnsi="Times New Roman"/>
          <w:b/>
          <w:sz w:val="24"/>
          <w:highlight w:val="yellow"/>
        </w:rPr>
        <w:t xml:space="preserve">Lyons, D., &amp; Scull, J. (2024). Critiquing narrative inquiry’s epistemological pillars within a large-scale study into the teaching of phonics. </w:t>
      </w:r>
      <w:r>
        <w:rPr>
          <w:rFonts w:ascii="Times New Roman" w:hAnsi="Times New Roman"/>
          <w:b/>
          <w:i/>
          <w:sz w:val="24"/>
          <w:highlight w:val="yellow"/>
        </w:rPr>
        <w:t>International Journal of Research &amp; Method in Education, 47</w:t>
      </w:r>
      <w:r>
        <w:rPr>
          <w:rFonts w:ascii="Times New Roman" w:hAnsi="Times New Roman"/>
          <w:b/>
          <w:sz w:val="24"/>
          <w:highlight w:val="yellow"/>
        </w:rPr>
        <w:t>(2), 114–125. https://doi.org/10.1080/1743727X.2023.2196066</w:t>
      </w:r>
    </w:p>
    <w:p w14:paraId="06F6C8B4"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Mallon, S., &amp; Elliott, I. (2019). The emotional risks of turning stories into data: An exploration of the experiences of qualitative researchers working on sensitive topics. </w:t>
      </w:r>
      <w:r w:rsidRPr="00DC0FF3">
        <w:rPr>
          <w:rFonts w:ascii="Times New Roman" w:eastAsia="Times New Roman" w:hAnsi="Times New Roman" w:cs="Times New Roman"/>
          <w:i/>
          <w:iCs/>
          <w:kern w:val="0"/>
          <w:sz w:val="24"/>
          <w:lang w:eastAsia="en-US"/>
        </w:rPr>
        <w:t>Societies, 9</w:t>
      </w:r>
      <w:r w:rsidRPr="00DC0FF3">
        <w:rPr>
          <w:rFonts w:ascii="Times New Roman" w:eastAsia="Times New Roman" w:hAnsi="Times New Roman" w:cs="Times New Roman"/>
          <w:kern w:val="0"/>
          <w:sz w:val="24"/>
          <w:lang w:eastAsia="en-US"/>
        </w:rPr>
        <w:t xml:space="preserve">(3), Article 62. </w:t>
      </w:r>
      <w:hyperlink r:id="rId26" w:history="1">
        <w:r w:rsidRPr="00DC0FF3">
          <w:rPr>
            <w:rFonts w:ascii="Times New Roman" w:eastAsia="Times New Roman" w:hAnsi="Times New Roman" w:cs="Times New Roman"/>
            <w:color w:val="0000FF"/>
            <w:kern w:val="0"/>
            <w:sz w:val="24"/>
            <w:u w:val="single"/>
            <w:lang w:eastAsia="en-US"/>
          </w:rPr>
          <w:t>https://doi.org/10.3390/soc9030062</w:t>
        </w:r>
      </w:hyperlink>
    </w:p>
    <w:p w14:paraId="447E46C8"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Mertova</w:t>
      </w:r>
      <w:proofErr w:type="spellEnd"/>
      <w:r w:rsidRPr="00DC0FF3">
        <w:rPr>
          <w:rFonts w:ascii="Times New Roman" w:eastAsia="Times New Roman" w:hAnsi="Times New Roman" w:cs="Times New Roman"/>
          <w:kern w:val="0"/>
          <w:sz w:val="24"/>
          <w:lang w:eastAsia="en-US"/>
        </w:rPr>
        <w:t xml:space="preserve">, P., &amp; Webster, L. (2019). </w:t>
      </w:r>
      <w:r w:rsidRPr="00DC0FF3">
        <w:rPr>
          <w:rFonts w:ascii="Times New Roman" w:eastAsia="Times New Roman" w:hAnsi="Times New Roman" w:cs="Times New Roman"/>
          <w:i/>
          <w:iCs/>
          <w:kern w:val="0"/>
          <w:sz w:val="24"/>
          <w:lang w:eastAsia="en-US"/>
        </w:rPr>
        <w:t>Using narrative inquiry as a research method: An introduction to critical event narrative analysis in research, teaching and professional practice</w:t>
      </w:r>
      <w:r w:rsidRPr="00DC0FF3">
        <w:rPr>
          <w:rFonts w:ascii="Times New Roman" w:eastAsia="Times New Roman" w:hAnsi="Times New Roman" w:cs="Times New Roman"/>
          <w:kern w:val="0"/>
          <w:sz w:val="24"/>
          <w:lang w:eastAsia="en-US"/>
        </w:rPr>
        <w:t xml:space="preserve"> (2nd ed.). Routledge. </w:t>
      </w:r>
      <w:hyperlink r:id="rId27" w:history="1">
        <w:r w:rsidRPr="00DC0FF3">
          <w:rPr>
            <w:rFonts w:ascii="Times New Roman" w:eastAsia="Times New Roman" w:hAnsi="Times New Roman" w:cs="Times New Roman"/>
            <w:color w:val="0000FF"/>
            <w:kern w:val="0"/>
            <w:sz w:val="24"/>
            <w:u w:val="single"/>
            <w:lang w:eastAsia="en-US"/>
          </w:rPr>
          <w:t>https://doi.org/10.4324/9780429424533</w:t>
        </w:r>
      </w:hyperlink>
    </w:p>
    <w:p w14:paraId="3B6E32A2"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lastRenderedPageBreak/>
        <w:t xml:space="preserve">Morgan, M. S., Hajek, K. M., &amp; Berry, D. J. (Eds.). (2022). </w:t>
      </w:r>
      <w:r w:rsidRPr="00DC0FF3">
        <w:rPr>
          <w:rFonts w:ascii="Times New Roman" w:eastAsia="Times New Roman" w:hAnsi="Times New Roman" w:cs="Times New Roman"/>
          <w:i/>
          <w:iCs/>
          <w:kern w:val="0"/>
          <w:sz w:val="24"/>
          <w:lang w:eastAsia="en-US"/>
        </w:rPr>
        <w:t>Narrative science: Reasoning, representing and knowing since 1800</w:t>
      </w:r>
      <w:r w:rsidRPr="00DC0FF3">
        <w:rPr>
          <w:rFonts w:ascii="Times New Roman" w:eastAsia="Times New Roman" w:hAnsi="Times New Roman" w:cs="Times New Roman"/>
          <w:kern w:val="0"/>
          <w:sz w:val="24"/>
          <w:lang w:eastAsia="en-US"/>
        </w:rPr>
        <w:t xml:space="preserve">. Cambridge University Press. </w:t>
      </w:r>
      <w:hyperlink r:id="rId28" w:history="1">
        <w:r w:rsidRPr="00DC0FF3">
          <w:rPr>
            <w:rFonts w:ascii="Times New Roman" w:eastAsia="Times New Roman" w:hAnsi="Times New Roman" w:cs="Times New Roman"/>
            <w:color w:val="0000FF"/>
            <w:kern w:val="0"/>
            <w:sz w:val="24"/>
            <w:u w:val="single"/>
            <w:lang w:eastAsia="en-US"/>
          </w:rPr>
          <w:t>https://doi.org/10.1017/9781009004329</w:t>
        </w:r>
      </w:hyperlink>
    </w:p>
    <w:p w14:paraId="0D9951B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Ochs, E., &amp; Capps, L. (2001). </w:t>
      </w:r>
      <w:r w:rsidRPr="00DC0FF3">
        <w:rPr>
          <w:rFonts w:ascii="Times New Roman" w:eastAsia="Times New Roman" w:hAnsi="Times New Roman" w:cs="Times New Roman"/>
          <w:i/>
          <w:iCs/>
          <w:kern w:val="0"/>
          <w:sz w:val="24"/>
          <w:lang w:eastAsia="en-US"/>
        </w:rPr>
        <w:t>Living narrative: Creating lives in everyday storytelling</w:t>
      </w:r>
      <w:r w:rsidRPr="00DC0FF3">
        <w:rPr>
          <w:rFonts w:ascii="Times New Roman" w:eastAsia="Times New Roman" w:hAnsi="Times New Roman" w:cs="Times New Roman"/>
          <w:kern w:val="0"/>
          <w:sz w:val="24"/>
          <w:lang w:eastAsia="en-US"/>
        </w:rPr>
        <w:t xml:space="preserve">. Harvard University Press. </w:t>
      </w:r>
      <w:hyperlink r:id="rId29" w:history="1">
        <w:r w:rsidRPr="00DC0FF3">
          <w:rPr>
            <w:rFonts w:ascii="Times New Roman" w:eastAsia="Times New Roman" w:hAnsi="Times New Roman" w:cs="Times New Roman"/>
            <w:color w:val="0000FF"/>
            <w:kern w:val="0"/>
            <w:sz w:val="24"/>
            <w:u w:val="single"/>
            <w:lang w:eastAsia="en-US"/>
          </w:rPr>
          <w:t>https://doi.org/10.4159/9780674041592</w:t>
        </w:r>
      </w:hyperlink>
    </w:p>
    <w:p w14:paraId="4DE16DD1"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Osterhammel, J. (2024). Explanation: The limits of </w:t>
      </w:r>
      <w:proofErr w:type="spellStart"/>
      <w:r w:rsidRPr="00DC0FF3">
        <w:rPr>
          <w:rFonts w:ascii="Times New Roman" w:eastAsia="Times New Roman" w:hAnsi="Times New Roman" w:cs="Times New Roman"/>
          <w:kern w:val="0"/>
          <w:sz w:val="24"/>
          <w:lang w:eastAsia="en-US"/>
        </w:rPr>
        <w:t>narrativism</w:t>
      </w:r>
      <w:proofErr w:type="spellEnd"/>
      <w:r w:rsidRPr="00DC0FF3">
        <w:rPr>
          <w:rFonts w:ascii="Times New Roman" w:eastAsia="Times New Roman" w:hAnsi="Times New Roman" w:cs="Times New Roman"/>
          <w:kern w:val="0"/>
          <w:sz w:val="24"/>
          <w:lang w:eastAsia="en-US"/>
        </w:rPr>
        <w:t xml:space="preserve"> in global history. In S. </w:t>
      </w:r>
      <w:proofErr w:type="spellStart"/>
      <w:r w:rsidRPr="00DC0FF3">
        <w:rPr>
          <w:rFonts w:ascii="Times New Roman" w:eastAsia="Times New Roman" w:hAnsi="Times New Roman" w:cs="Times New Roman"/>
          <w:kern w:val="0"/>
          <w:sz w:val="24"/>
          <w:lang w:eastAsia="en-US"/>
        </w:rPr>
        <w:t>Gänger</w:t>
      </w:r>
      <w:proofErr w:type="spellEnd"/>
      <w:r w:rsidRPr="00DC0FF3">
        <w:rPr>
          <w:rFonts w:ascii="Times New Roman" w:eastAsia="Times New Roman" w:hAnsi="Times New Roman" w:cs="Times New Roman"/>
          <w:kern w:val="0"/>
          <w:sz w:val="24"/>
          <w:lang w:eastAsia="en-US"/>
        </w:rPr>
        <w:t xml:space="preserve"> &amp; J. Osterhammel (Eds.), </w:t>
      </w:r>
      <w:r w:rsidRPr="00DC0FF3">
        <w:rPr>
          <w:rFonts w:ascii="Times New Roman" w:eastAsia="Times New Roman" w:hAnsi="Times New Roman" w:cs="Times New Roman"/>
          <w:i/>
          <w:iCs/>
          <w:kern w:val="0"/>
          <w:sz w:val="24"/>
          <w:lang w:eastAsia="en-US"/>
        </w:rPr>
        <w:t>Rethinking global history</w:t>
      </w:r>
      <w:r w:rsidRPr="00DC0FF3">
        <w:rPr>
          <w:rFonts w:ascii="Times New Roman" w:eastAsia="Times New Roman" w:hAnsi="Times New Roman" w:cs="Times New Roman"/>
          <w:kern w:val="0"/>
          <w:sz w:val="24"/>
          <w:lang w:eastAsia="en-US"/>
        </w:rPr>
        <w:t xml:space="preserve"> (pp. 23–46). Cambridge University Press. </w:t>
      </w:r>
      <w:hyperlink r:id="rId30" w:history="1">
        <w:r w:rsidRPr="00DC0FF3">
          <w:rPr>
            <w:rFonts w:ascii="Times New Roman" w:eastAsia="Times New Roman" w:hAnsi="Times New Roman" w:cs="Times New Roman"/>
            <w:color w:val="0000FF"/>
            <w:kern w:val="0"/>
            <w:sz w:val="24"/>
            <w:u w:val="single"/>
            <w:lang w:eastAsia="en-US"/>
          </w:rPr>
          <w:t>https://doi.org/10.1017/9781009444002.002</w:t>
        </w:r>
      </w:hyperlink>
    </w:p>
    <w:p w14:paraId="5C3EC091"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Padian, K. (2018). Narrative and “anti-narrative” in science: How scientists tell stories, and don’t. </w:t>
      </w:r>
      <w:r w:rsidRPr="00DC0FF3">
        <w:rPr>
          <w:rFonts w:ascii="Times New Roman" w:eastAsia="Times New Roman" w:hAnsi="Times New Roman" w:cs="Times New Roman"/>
          <w:i/>
          <w:iCs/>
          <w:kern w:val="0"/>
          <w:sz w:val="24"/>
          <w:lang w:eastAsia="en-US"/>
        </w:rPr>
        <w:t>Integrative and Comparative Biology, 58</w:t>
      </w:r>
      <w:r w:rsidRPr="00DC0FF3">
        <w:rPr>
          <w:rFonts w:ascii="Times New Roman" w:eastAsia="Times New Roman" w:hAnsi="Times New Roman" w:cs="Times New Roman"/>
          <w:kern w:val="0"/>
          <w:sz w:val="24"/>
          <w:lang w:eastAsia="en-US"/>
        </w:rPr>
        <w:t xml:space="preserve">(6), 1224–1234. </w:t>
      </w:r>
      <w:hyperlink r:id="rId31" w:history="1">
        <w:r w:rsidRPr="00DC0FF3">
          <w:rPr>
            <w:rFonts w:ascii="Times New Roman" w:eastAsia="Times New Roman" w:hAnsi="Times New Roman" w:cs="Times New Roman"/>
            <w:color w:val="0000FF"/>
            <w:kern w:val="0"/>
            <w:sz w:val="24"/>
            <w:u w:val="single"/>
            <w:lang w:eastAsia="en-US"/>
          </w:rPr>
          <w:t>https://doi.org/10.1093/icb/icy038</w:t>
        </w:r>
      </w:hyperlink>
    </w:p>
    <w:p w14:paraId="6E6E6C1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Polkinghorne, D. E. (1988). </w:t>
      </w:r>
      <w:r w:rsidRPr="00DC0FF3">
        <w:rPr>
          <w:rFonts w:ascii="Times New Roman" w:eastAsia="Times New Roman" w:hAnsi="Times New Roman" w:cs="Times New Roman"/>
          <w:i/>
          <w:iCs/>
          <w:kern w:val="0"/>
          <w:sz w:val="24"/>
          <w:lang w:eastAsia="en-US"/>
        </w:rPr>
        <w:t>Narrative knowing and the human sciences</w:t>
      </w:r>
      <w:r w:rsidRPr="00DC0FF3">
        <w:rPr>
          <w:rFonts w:ascii="Times New Roman" w:eastAsia="Times New Roman" w:hAnsi="Times New Roman" w:cs="Times New Roman"/>
          <w:kern w:val="0"/>
          <w:sz w:val="24"/>
          <w:lang w:eastAsia="en-US"/>
        </w:rPr>
        <w:t xml:space="preserve">. State University of New York Press. </w:t>
      </w:r>
      <w:hyperlink r:id="rId32" w:history="1">
        <w:r w:rsidRPr="00DC0FF3">
          <w:rPr>
            <w:rFonts w:ascii="Times New Roman" w:eastAsia="Times New Roman" w:hAnsi="Times New Roman" w:cs="Times New Roman"/>
            <w:color w:val="0000FF"/>
            <w:kern w:val="0"/>
            <w:sz w:val="24"/>
            <w:u w:val="single"/>
            <w:lang w:eastAsia="en-US"/>
          </w:rPr>
          <w:t>https://doi.org/10.1515/9781438416281</w:t>
        </w:r>
      </w:hyperlink>
    </w:p>
    <w:p w14:paraId="1D3694E4"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Polkinghorne, D. E. (1995). Narrative configuration in qualitative analysis. </w:t>
      </w:r>
      <w:r w:rsidRPr="00DC0FF3">
        <w:rPr>
          <w:rFonts w:ascii="Times New Roman" w:eastAsia="Times New Roman" w:hAnsi="Times New Roman" w:cs="Times New Roman"/>
          <w:i/>
          <w:iCs/>
          <w:kern w:val="0"/>
          <w:sz w:val="24"/>
          <w:lang w:eastAsia="en-US"/>
        </w:rPr>
        <w:t>International Journal of Qualitative Studies in Education, 8</w:t>
      </w:r>
      <w:r w:rsidRPr="00DC0FF3">
        <w:rPr>
          <w:rFonts w:ascii="Times New Roman" w:eastAsia="Times New Roman" w:hAnsi="Times New Roman" w:cs="Times New Roman"/>
          <w:kern w:val="0"/>
          <w:sz w:val="24"/>
          <w:lang w:eastAsia="en-US"/>
        </w:rPr>
        <w:t xml:space="preserve">(1), 5–23. </w:t>
      </w:r>
      <w:hyperlink r:id="rId33" w:history="1">
        <w:r w:rsidRPr="00DC0FF3">
          <w:rPr>
            <w:rFonts w:ascii="Times New Roman" w:eastAsia="Times New Roman" w:hAnsi="Times New Roman" w:cs="Times New Roman"/>
            <w:color w:val="0000FF"/>
            <w:kern w:val="0"/>
            <w:sz w:val="24"/>
            <w:u w:val="single"/>
            <w:lang w:eastAsia="en-US"/>
          </w:rPr>
          <w:t>https://doi.org/10.1080/0951839950080103</w:t>
        </w:r>
      </w:hyperlink>
    </w:p>
    <w:p w14:paraId="51FAA826" w14:textId="77777777" w:rsidR="00714BE2" w:rsidRDefault="00000000">
      <w:pPr>
        <w:widowControl/>
        <w:spacing w:before="100" w:beforeAutospacing="1" w:after="100" w:afterAutospacing="1"/>
        <w:ind w:left="540" w:hanging="540"/>
        <w:rPr>
          <w:rFonts w:ascii="Times New Roman" w:eastAsia="Times New Roman" w:hAnsi="Times New Roman" w:cs="Times New Roman"/>
          <w:kern w:val="0"/>
          <w:sz w:val="24"/>
          <w:lang w:eastAsia="en-US"/>
        </w:rPr>
      </w:pPr>
      <w:r>
        <w:rPr>
          <w:rFonts w:ascii="Times New Roman" w:hAnsi="Times New Roman"/>
          <w:b/>
          <w:sz w:val="24"/>
          <w:highlight w:val="yellow"/>
        </w:rPr>
        <w:t xml:space="preserve">Relampago, C. Q., &amp; Garcia, M. P. (2025). Teacher agency in science instruction: Narratives from underserved indigenous communities in Elementary School of Malita South District. </w:t>
      </w:r>
      <w:r>
        <w:rPr>
          <w:rFonts w:ascii="Times New Roman" w:hAnsi="Times New Roman"/>
          <w:b/>
          <w:i/>
          <w:sz w:val="24"/>
          <w:highlight w:val="yellow"/>
        </w:rPr>
        <w:t>Asian Journal of Education and Social Studies, 51</w:t>
      </w:r>
      <w:r>
        <w:rPr>
          <w:rFonts w:ascii="Times New Roman" w:hAnsi="Times New Roman"/>
          <w:b/>
          <w:sz w:val="24"/>
          <w:highlight w:val="yellow"/>
        </w:rPr>
        <w:t>(11), 910–919. https://doi.org/10.9734/ajess/2025/v51i112662</w:t>
      </w:r>
    </w:p>
    <w:p w14:paraId="181191EC"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proofErr w:type="spellStart"/>
      <w:r w:rsidRPr="00DC0FF3">
        <w:rPr>
          <w:rFonts w:ascii="Times New Roman" w:eastAsia="Times New Roman" w:hAnsi="Times New Roman" w:cs="Times New Roman"/>
          <w:kern w:val="0"/>
          <w:sz w:val="24"/>
          <w:lang w:eastAsia="en-US"/>
        </w:rPr>
        <w:t>Ricoeur</w:t>
      </w:r>
      <w:proofErr w:type="spellEnd"/>
      <w:r w:rsidRPr="00DC0FF3">
        <w:rPr>
          <w:rFonts w:ascii="Times New Roman" w:eastAsia="Times New Roman" w:hAnsi="Times New Roman" w:cs="Times New Roman"/>
          <w:kern w:val="0"/>
          <w:sz w:val="24"/>
          <w:lang w:eastAsia="en-US"/>
        </w:rPr>
        <w:t xml:space="preserve">, P. (1984). </w:t>
      </w:r>
      <w:r w:rsidRPr="00DC0FF3">
        <w:rPr>
          <w:rFonts w:ascii="Times New Roman" w:eastAsia="Times New Roman" w:hAnsi="Times New Roman" w:cs="Times New Roman"/>
          <w:i/>
          <w:iCs/>
          <w:kern w:val="0"/>
          <w:sz w:val="24"/>
          <w:lang w:eastAsia="en-US"/>
        </w:rPr>
        <w:t>Time and narrative</w:t>
      </w:r>
      <w:r w:rsidRPr="00DC0FF3">
        <w:rPr>
          <w:rFonts w:ascii="Times New Roman" w:eastAsia="Times New Roman" w:hAnsi="Times New Roman" w:cs="Times New Roman"/>
          <w:kern w:val="0"/>
          <w:sz w:val="24"/>
          <w:lang w:eastAsia="en-US"/>
        </w:rPr>
        <w:t xml:space="preserve"> (Vol. 1; K. McLaughlin &amp; D. Pellauer, Trans.). University of Chicago Press. </w:t>
      </w:r>
      <w:hyperlink r:id="rId34" w:history="1">
        <w:r w:rsidRPr="00DC0FF3">
          <w:rPr>
            <w:rFonts w:ascii="Times New Roman" w:eastAsia="Times New Roman" w:hAnsi="Times New Roman" w:cs="Times New Roman"/>
            <w:color w:val="0000FF"/>
            <w:kern w:val="0"/>
            <w:sz w:val="24"/>
            <w:u w:val="single"/>
            <w:lang w:eastAsia="en-US"/>
          </w:rPr>
          <w:t>https://doi.org/10.7208/chicago/9780226713519.001.0001</w:t>
        </w:r>
      </w:hyperlink>
    </w:p>
    <w:p w14:paraId="7517D596"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Riessman, C. K. (2008). </w:t>
      </w:r>
      <w:r w:rsidRPr="00DC0FF3">
        <w:rPr>
          <w:rFonts w:ascii="Times New Roman" w:eastAsia="Times New Roman" w:hAnsi="Times New Roman" w:cs="Times New Roman"/>
          <w:i/>
          <w:iCs/>
          <w:kern w:val="0"/>
          <w:sz w:val="24"/>
          <w:lang w:eastAsia="en-US"/>
        </w:rPr>
        <w:t>Narrative methods for the human sciences</w:t>
      </w:r>
      <w:r w:rsidRPr="00DC0FF3">
        <w:rPr>
          <w:rFonts w:ascii="Times New Roman" w:eastAsia="Times New Roman" w:hAnsi="Times New Roman" w:cs="Times New Roman"/>
          <w:kern w:val="0"/>
          <w:sz w:val="24"/>
          <w:lang w:eastAsia="en-US"/>
        </w:rPr>
        <w:t xml:space="preserve">. Sage. </w:t>
      </w:r>
      <w:hyperlink r:id="rId35" w:history="1">
        <w:r w:rsidRPr="00DC0FF3">
          <w:rPr>
            <w:rFonts w:ascii="Times New Roman" w:eastAsia="Times New Roman" w:hAnsi="Times New Roman" w:cs="Times New Roman"/>
            <w:color w:val="0000FF"/>
            <w:kern w:val="0"/>
            <w:sz w:val="24"/>
            <w:u w:val="single"/>
            <w:lang w:eastAsia="en-US"/>
          </w:rPr>
          <w:t>https://www.researchgate.net/publication/267447389_Narrative_Method_for_the_Human_Sciences</w:t>
        </w:r>
      </w:hyperlink>
    </w:p>
    <w:p w14:paraId="2E69C6F1" w14:textId="77777777" w:rsidR="00714BE2" w:rsidRDefault="00000000">
      <w:pPr>
        <w:widowControl/>
        <w:spacing w:before="100" w:beforeAutospacing="1" w:after="100" w:afterAutospacing="1"/>
        <w:ind w:left="540" w:hanging="540"/>
        <w:rPr>
          <w:rFonts w:ascii="Times New Roman" w:eastAsia="Times New Roman" w:hAnsi="Times New Roman" w:cs="Times New Roman"/>
          <w:kern w:val="0"/>
          <w:sz w:val="24"/>
          <w:lang w:eastAsia="en-US"/>
        </w:rPr>
      </w:pPr>
      <w:r>
        <w:rPr>
          <w:rFonts w:ascii="Times New Roman" w:hAnsi="Times New Roman"/>
          <w:b/>
          <w:sz w:val="24"/>
          <w:highlight w:val="yellow"/>
        </w:rPr>
        <w:t xml:space="preserve">Rozario, S. Y., Lazarus, M. D., Sarkar, M., &amp; Farlie, M. K. (2026). Narrative inquiry for beginners: A practical guide for health professions education researchers. </w:t>
      </w:r>
      <w:r>
        <w:rPr>
          <w:rFonts w:ascii="Times New Roman" w:hAnsi="Times New Roman"/>
          <w:b/>
          <w:i/>
          <w:sz w:val="24"/>
          <w:highlight w:val="yellow"/>
        </w:rPr>
        <w:t>Anatomical Sciences Education, 19</w:t>
      </w:r>
      <w:r>
        <w:rPr>
          <w:rFonts w:ascii="Times New Roman" w:hAnsi="Times New Roman"/>
          <w:b/>
          <w:sz w:val="24"/>
          <w:highlight w:val="yellow"/>
        </w:rPr>
        <w:t>(2), 242–253. https://doi.org/10.1002/ase.70105</w:t>
      </w:r>
    </w:p>
    <w:p w14:paraId="2B01D150"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Strawson, G. (2004). Against narrativity. </w:t>
      </w:r>
      <w:r w:rsidRPr="00DC0FF3">
        <w:rPr>
          <w:rFonts w:ascii="Times New Roman" w:eastAsia="Times New Roman" w:hAnsi="Times New Roman" w:cs="Times New Roman"/>
          <w:i/>
          <w:iCs/>
          <w:kern w:val="0"/>
          <w:sz w:val="24"/>
          <w:lang w:eastAsia="en-US"/>
        </w:rPr>
        <w:t>Ratio, 17</w:t>
      </w:r>
      <w:r w:rsidRPr="00DC0FF3">
        <w:rPr>
          <w:rFonts w:ascii="Times New Roman" w:eastAsia="Times New Roman" w:hAnsi="Times New Roman" w:cs="Times New Roman"/>
          <w:kern w:val="0"/>
          <w:sz w:val="24"/>
          <w:lang w:eastAsia="en-US"/>
        </w:rPr>
        <w:t xml:space="preserve">(4), 428–452. </w:t>
      </w:r>
      <w:hyperlink r:id="rId36" w:history="1">
        <w:r w:rsidRPr="00DC0FF3">
          <w:rPr>
            <w:rFonts w:ascii="Times New Roman" w:eastAsia="Times New Roman" w:hAnsi="Times New Roman" w:cs="Times New Roman"/>
            <w:color w:val="0000FF"/>
            <w:kern w:val="0"/>
            <w:sz w:val="24"/>
            <w:u w:val="single"/>
            <w:lang w:eastAsia="en-US"/>
          </w:rPr>
          <w:t>https://doi.org/10.1111/j.1467-9329.2004.00264.x</w:t>
        </w:r>
      </w:hyperlink>
    </w:p>
    <w:p w14:paraId="7FC7A1A8"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Swales, J. M. (1990). </w:t>
      </w:r>
      <w:r w:rsidRPr="00DC0FF3">
        <w:rPr>
          <w:rFonts w:ascii="Times New Roman" w:eastAsia="Times New Roman" w:hAnsi="Times New Roman" w:cs="Times New Roman"/>
          <w:i/>
          <w:iCs/>
          <w:kern w:val="0"/>
          <w:sz w:val="24"/>
          <w:lang w:eastAsia="en-US"/>
        </w:rPr>
        <w:t>Genre analysis: English in academic and research settings</w:t>
      </w:r>
      <w:r w:rsidRPr="00DC0FF3">
        <w:rPr>
          <w:rFonts w:ascii="Times New Roman" w:eastAsia="Times New Roman" w:hAnsi="Times New Roman" w:cs="Times New Roman"/>
          <w:kern w:val="0"/>
          <w:sz w:val="24"/>
          <w:lang w:eastAsia="en-US"/>
        </w:rPr>
        <w:t xml:space="preserve">. Cambridge University Press. </w:t>
      </w:r>
    </w:p>
    <w:p w14:paraId="2891A1B2"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lastRenderedPageBreak/>
        <w:t xml:space="preserve">Smith, B., &amp; Sparkes, A. C. (2006). Narrative inquiry in psychology: Exploring the tensions within. </w:t>
      </w:r>
      <w:r w:rsidRPr="00DC0FF3">
        <w:rPr>
          <w:rFonts w:ascii="Times New Roman" w:eastAsia="Times New Roman" w:hAnsi="Times New Roman" w:cs="Times New Roman"/>
          <w:i/>
          <w:iCs/>
          <w:kern w:val="0"/>
          <w:sz w:val="24"/>
          <w:lang w:eastAsia="en-US"/>
        </w:rPr>
        <w:t>Qualitative Research in Psychology, 3</w:t>
      </w:r>
      <w:r w:rsidRPr="00DC0FF3">
        <w:rPr>
          <w:rFonts w:ascii="Times New Roman" w:eastAsia="Times New Roman" w:hAnsi="Times New Roman" w:cs="Times New Roman"/>
          <w:kern w:val="0"/>
          <w:sz w:val="24"/>
          <w:lang w:eastAsia="en-US"/>
        </w:rPr>
        <w:t xml:space="preserve">(3), 169–192. </w:t>
      </w:r>
      <w:hyperlink r:id="rId37" w:history="1">
        <w:r w:rsidRPr="00DC0FF3">
          <w:rPr>
            <w:rFonts w:ascii="Times New Roman" w:eastAsia="Times New Roman" w:hAnsi="Times New Roman" w:cs="Times New Roman"/>
            <w:color w:val="0000FF"/>
            <w:kern w:val="0"/>
            <w:sz w:val="24"/>
            <w:u w:val="single"/>
            <w:lang w:eastAsia="en-US"/>
          </w:rPr>
          <w:t>https://doi.org/10.1191/1478088706qrp068oa</w:t>
        </w:r>
      </w:hyperlink>
    </w:p>
    <w:p w14:paraId="75F4E049"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van Dijk, T. A. (1994). Discourse and cognition in society. In D. Crowley &amp; D. Mitchell (Eds.), </w:t>
      </w:r>
      <w:r w:rsidRPr="00DC0FF3">
        <w:rPr>
          <w:rFonts w:ascii="Times New Roman" w:eastAsia="Times New Roman" w:hAnsi="Times New Roman" w:cs="Times New Roman"/>
          <w:i/>
          <w:iCs/>
          <w:kern w:val="0"/>
          <w:sz w:val="24"/>
          <w:lang w:eastAsia="en-US"/>
        </w:rPr>
        <w:t>Communication theory today</w:t>
      </w:r>
      <w:r w:rsidRPr="00DC0FF3">
        <w:rPr>
          <w:rFonts w:ascii="Times New Roman" w:eastAsia="Times New Roman" w:hAnsi="Times New Roman" w:cs="Times New Roman"/>
          <w:kern w:val="0"/>
          <w:sz w:val="24"/>
          <w:lang w:eastAsia="en-US"/>
        </w:rPr>
        <w:t xml:space="preserve"> (pp. 107–126). Polity Press. </w:t>
      </w:r>
    </w:p>
    <w:p w14:paraId="4E4D3A51"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Wells, K. (2011). </w:t>
      </w:r>
      <w:r w:rsidRPr="00DC0FF3">
        <w:rPr>
          <w:rFonts w:ascii="Times New Roman" w:eastAsia="Times New Roman" w:hAnsi="Times New Roman" w:cs="Times New Roman"/>
          <w:i/>
          <w:iCs/>
          <w:kern w:val="0"/>
          <w:sz w:val="24"/>
          <w:lang w:eastAsia="en-US"/>
        </w:rPr>
        <w:t>Narrative inquiry</w:t>
      </w:r>
      <w:r w:rsidRPr="00DC0FF3">
        <w:rPr>
          <w:rFonts w:ascii="Times New Roman" w:eastAsia="Times New Roman" w:hAnsi="Times New Roman" w:cs="Times New Roman"/>
          <w:kern w:val="0"/>
          <w:sz w:val="24"/>
          <w:lang w:eastAsia="en-US"/>
        </w:rPr>
        <w:t xml:space="preserve">. Oxford University Press. </w:t>
      </w:r>
      <w:hyperlink r:id="rId38" w:history="1">
        <w:r w:rsidRPr="00DC0FF3">
          <w:rPr>
            <w:rFonts w:ascii="Times New Roman" w:eastAsia="Times New Roman" w:hAnsi="Times New Roman" w:cs="Times New Roman"/>
            <w:color w:val="0000FF"/>
            <w:kern w:val="0"/>
            <w:sz w:val="24"/>
            <w:u w:val="single"/>
            <w:lang w:eastAsia="en-US"/>
          </w:rPr>
          <w:t>https://doi.org/10.1093/acprof</w:t>
        </w:r>
      </w:hyperlink>
      <w:hyperlink r:id="rId39" w:history="1">
        <w:r w:rsidRPr="00DC0FF3">
          <w:rPr>
            <w:rFonts w:ascii="Times New Roman" w:eastAsia="Times New Roman" w:hAnsi="Times New Roman" w:cs="Times New Roman"/>
            <w:color w:val="0000FF"/>
            <w:kern w:val="0"/>
            <w:sz w:val="24"/>
            <w:u w:val="single"/>
            <w:lang w:eastAsia="en-US"/>
          </w:rPr>
          <w:t>/9780195385793.001.0001</w:t>
        </w:r>
      </w:hyperlink>
    </w:p>
    <w:p w14:paraId="03C3218D"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Zhao, H. Q. (2022). </w:t>
      </w:r>
      <w:r w:rsidRPr="00DC0FF3">
        <w:rPr>
          <w:rFonts w:ascii="Times New Roman" w:eastAsia="Times New Roman" w:hAnsi="Times New Roman" w:cs="Times New Roman"/>
          <w:i/>
          <w:iCs/>
          <w:kern w:val="0"/>
          <w:sz w:val="24"/>
          <w:lang w:eastAsia="en-US"/>
        </w:rPr>
        <w:t>Writing short story of nonfiction: A genre perspective</w:t>
      </w:r>
      <w:r w:rsidRPr="00DC0FF3">
        <w:rPr>
          <w:rFonts w:ascii="Times New Roman" w:eastAsia="Times New Roman" w:hAnsi="Times New Roman" w:cs="Times New Roman"/>
          <w:kern w:val="0"/>
          <w:sz w:val="24"/>
          <w:lang w:eastAsia="en-US"/>
        </w:rPr>
        <w:t xml:space="preserve">. KDP Imprint. </w:t>
      </w:r>
    </w:p>
    <w:p w14:paraId="6FEAD5D1"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Zhao, H. Q. (2023). Measure the story: Methodological considerations. </w:t>
      </w:r>
      <w:r w:rsidRPr="00DC0FF3">
        <w:rPr>
          <w:rFonts w:ascii="Times New Roman" w:eastAsia="Times New Roman" w:hAnsi="Times New Roman" w:cs="Times New Roman"/>
          <w:i/>
          <w:iCs/>
          <w:kern w:val="0"/>
          <w:sz w:val="24"/>
          <w:lang w:eastAsia="en-US"/>
        </w:rPr>
        <w:t>American Research Journal of English and Literature, 9</w:t>
      </w:r>
      <w:r w:rsidRPr="00DC0FF3">
        <w:rPr>
          <w:rFonts w:ascii="Times New Roman" w:eastAsia="Times New Roman" w:hAnsi="Times New Roman" w:cs="Times New Roman"/>
          <w:kern w:val="0"/>
          <w:sz w:val="24"/>
          <w:lang w:eastAsia="en-US"/>
        </w:rPr>
        <w:t xml:space="preserve">(1), 134–138. </w:t>
      </w:r>
      <w:hyperlink r:id="rId40" w:history="1">
        <w:r w:rsidRPr="00DC0FF3">
          <w:rPr>
            <w:rFonts w:ascii="Times New Roman" w:eastAsia="Times New Roman" w:hAnsi="Times New Roman" w:cs="Times New Roman"/>
            <w:color w:val="0000FF"/>
            <w:kern w:val="0"/>
            <w:sz w:val="24"/>
            <w:u w:val="single"/>
            <w:lang w:eastAsia="en-US"/>
          </w:rPr>
          <w:t>https://doi.org/10.21694/2378-9026.23021</w:t>
        </w:r>
      </w:hyperlink>
    </w:p>
    <w:p w14:paraId="1F19AA97"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Zhao, H. Q., &amp; Li, Y. Q. (2025). Critical citation and intertextuality in academic writing. </w:t>
      </w:r>
      <w:r w:rsidRPr="00DC0FF3">
        <w:rPr>
          <w:rFonts w:ascii="Times New Roman" w:eastAsia="Times New Roman" w:hAnsi="Times New Roman" w:cs="Times New Roman"/>
          <w:i/>
          <w:iCs/>
          <w:kern w:val="0"/>
          <w:sz w:val="24"/>
          <w:lang w:eastAsia="en-US"/>
        </w:rPr>
        <w:t>World Journal of Social Sciences and Humanities, 11</w:t>
      </w:r>
      <w:r w:rsidRPr="00DC0FF3">
        <w:rPr>
          <w:rFonts w:ascii="Times New Roman" w:eastAsia="Times New Roman" w:hAnsi="Times New Roman" w:cs="Times New Roman"/>
          <w:kern w:val="0"/>
          <w:sz w:val="24"/>
          <w:lang w:eastAsia="en-US"/>
        </w:rPr>
        <w:t xml:space="preserve">(2), 25–32. </w:t>
      </w:r>
      <w:hyperlink r:id="rId41" w:history="1">
        <w:r w:rsidRPr="00DC0FF3">
          <w:rPr>
            <w:rFonts w:ascii="Times New Roman" w:eastAsia="Times New Roman" w:hAnsi="Times New Roman" w:cs="Times New Roman"/>
            <w:color w:val="0000FF"/>
            <w:kern w:val="0"/>
            <w:sz w:val="24"/>
            <w:u w:val="single"/>
            <w:lang w:eastAsia="en-US"/>
          </w:rPr>
          <w:t>https://doi.org/10.12691/wjssh-11-2-2</w:t>
        </w:r>
      </w:hyperlink>
    </w:p>
    <w:p w14:paraId="36B2197B"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Zhao, H. Q., &amp; Li, Y. Q. (2026). A pedagogical model for commonsense and logical reasoning toward coherence in academic writing. </w:t>
      </w:r>
      <w:r w:rsidRPr="00DC0FF3">
        <w:rPr>
          <w:rFonts w:ascii="Times New Roman" w:eastAsia="Times New Roman" w:hAnsi="Times New Roman" w:cs="Times New Roman"/>
          <w:i/>
          <w:iCs/>
          <w:kern w:val="0"/>
          <w:sz w:val="24"/>
          <w:lang w:eastAsia="en-US"/>
        </w:rPr>
        <w:t>International Journal of Cognitive Sciences, 2</w:t>
      </w:r>
      <w:r w:rsidRPr="00DC0FF3">
        <w:rPr>
          <w:rFonts w:ascii="Times New Roman" w:eastAsia="Times New Roman" w:hAnsi="Times New Roman" w:cs="Times New Roman"/>
          <w:kern w:val="0"/>
          <w:sz w:val="24"/>
          <w:lang w:eastAsia="en-US"/>
        </w:rPr>
        <w:t xml:space="preserve">(1), Article 7. </w:t>
      </w:r>
      <w:hyperlink r:id="rId42" w:history="1">
        <w:r w:rsidRPr="00DC0FF3">
          <w:rPr>
            <w:rFonts w:ascii="Times New Roman" w:eastAsia="Times New Roman" w:hAnsi="Times New Roman" w:cs="Times New Roman"/>
            <w:color w:val="0000FF"/>
            <w:kern w:val="0"/>
            <w:sz w:val="24"/>
            <w:u w:val="single"/>
            <w:lang w:eastAsia="en-US"/>
          </w:rPr>
          <w:t>https://doi.org/10.3390/ijcs2010007</w:t>
        </w:r>
      </w:hyperlink>
    </w:p>
    <w:p w14:paraId="6988471E" w14:textId="77777777" w:rsidR="00DC0FF3" w:rsidRPr="00DC0FF3" w:rsidRDefault="00DC0FF3" w:rsidP="00DC0FF3">
      <w:pPr>
        <w:widowControl/>
        <w:spacing w:before="100" w:beforeAutospacing="1" w:after="100" w:afterAutospacing="1"/>
        <w:ind w:left="540" w:hanging="540"/>
        <w:rPr>
          <w:rFonts w:ascii="Times New Roman" w:eastAsia="Times New Roman" w:hAnsi="Times New Roman" w:cs="Times New Roman"/>
          <w:kern w:val="0"/>
          <w:sz w:val="24"/>
          <w:lang w:eastAsia="en-US"/>
        </w:rPr>
      </w:pPr>
      <w:r w:rsidRPr="00DC0FF3">
        <w:rPr>
          <w:rFonts w:ascii="Times New Roman" w:eastAsia="Times New Roman" w:hAnsi="Times New Roman" w:cs="Times New Roman"/>
          <w:kern w:val="0"/>
          <w:sz w:val="24"/>
          <w:lang w:eastAsia="en-US"/>
        </w:rPr>
        <w:t xml:space="preserve">Zhao, H. Q., &amp; Poulson, L. (2006). A biographical narrative inquiry into teachers’ knowledge: An intergenerational approach. </w:t>
      </w:r>
      <w:r w:rsidRPr="00DC0FF3">
        <w:rPr>
          <w:rFonts w:ascii="Times New Roman" w:eastAsia="Times New Roman" w:hAnsi="Times New Roman" w:cs="Times New Roman"/>
          <w:i/>
          <w:iCs/>
          <w:kern w:val="0"/>
          <w:sz w:val="24"/>
          <w:lang w:eastAsia="en-US"/>
        </w:rPr>
        <w:t>Asia Pacific Education Review, 7</w:t>
      </w:r>
      <w:r w:rsidRPr="00DC0FF3">
        <w:rPr>
          <w:rFonts w:ascii="Times New Roman" w:eastAsia="Times New Roman" w:hAnsi="Times New Roman" w:cs="Times New Roman"/>
          <w:kern w:val="0"/>
          <w:sz w:val="24"/>
          <w:lang w:eastAsia="en-US"/>
        </w:rPr>
        <w:t xml:space="preserve">(2), 123–132. </w:t>
      </w:r>
      <w:hyperlink r:id="rId43" w:history="1">
        <w:r w:rsidRPr="00DC0FF3">
          <w:rPr>
            <w:rFonts w:ascii="Times New Roman" w:eastAsia="Times New Roman" w:hAnsi="Times New Roman" w:cs="Times New Roman"/>
            <w:color w:val="0000FF"/>
            <w:kern w:val="0"/>
            <w:sz w:val="24"/>
            <w:u w:val="single"/>
            <w:lang w:eastAsia="en-US"/>
          </w:rPr>
          <w:t>https://doi.org/10.1007/BF03031536</w:t>
        </w:r>
      </w:hyperlink>
    </w:p>
    <w:p w14:paraId="2C1D3606" w14:textId="77777777" w:rsidR="00974622" w:rsidRPr="00974622" w:rsidRDefault="00974622" w:rsidP="004B4236">
      <w:pPr>
        <w:widowControl/>
        <w:spacing w:before="240" w:after="240"/>
        <w:rPr>
          <w:rFonts w:ascii="Times New Roman" w:eastAsia="SimSun" w:hAnsi="Times New Roman" w:cs="Times New Roman"/>
          <w:color w:val="0F1115"/>
          <w:kern w:val="0"/>
          <w:sz w:val="20"/>
          <w:szCs w:val="20"/>
        </w:rPr>
      </w:pPr>
    </w:p>
    <w:sectPr w:rsidR="00974622" w:rsidRPr="00974622" w:rsidSect="004169E8">
      <w:headerReference w:type="even" r:id="rId44"/>
      <w:headerReference w:type="default" r:id="rId45"/>
      <w:footerReference w:type="even" r:id="rId46"/>
      <w:footerReference w:type="default" r:id="rId47"/>
      <w:headerReference w:type="first" r:id="rId48"/>
      <w:footerReference w:type="first" r:id="rId49"/>
      <w:pgSz w:w="11900" w:h="16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71B8B" w14:textId="77777777" w:rsidR="00E06104" w:rsidRDefault="00E06104" w:rsidP="004E0DE4">
      <w:r>
        <w:separator/>
      </w:r>
    </w:p>
  </w:endnote>
  <w:endnote w:type="continuationSeparator" w:id="0">
    <w:p w14:paraId="786D6EC8" w14:textId="77777777" w:rsidR="00E06104" w:rsidRDefault="00E06104" w:rsidP="004E0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00935670"/>
      <w:docPartObj>
        <w:docPartGallery w:val="Page Numbers (Bottom of Page)"/>
        <w:docPartUnique/>
      </w:docPartObj>
    </w:sdtPr>
    <w:sdtContent>
      <w:p w14:paraId="635C93F5" w14:textId="77777777" w:rsidR="004E0DE4" w:rsidRDefault="004E0DE4" w:rsidP="006C32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A50B19" w14:textId="77777777" w:rsidR="004E0DE4" w:rsidRDefault="004E0DE4" w:rsidP="004E0D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1442885"/>
      <w:docPartObj>
        <w:docPartGallery w:val="Page Numbers (Bottom of Page)"/>
        <w:docPartUnique/>
      </w:docPartObj>
    </w:sdtPr>
    <w:sdtContent>
      <w:p w14:paraId="322DEB72" w14:textId="77777777" w:rsidR="004E0DE4" w:rsidRDefault="004E0DE4" w:rsidP="006C325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6AE36CD" w14:textId="77777777" w:rsidR="004E0DE4" w:rsidRDefault="004E0DE4" w:rsidP="004E0DE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70645" w14:textId="77777777" w:rsidR="00255800" w:rsidRDefault="00255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A823C" w14:textId="77777777" w:rsidR="00E06104" w:rsidRDefault="00E06104" w:rsidP="004E0DE4">
      <w:r>
        <w:separator/>
      </w:r>
    </w:p>
  </w:footnote>
  <w:footnote w:type="continuationSeparator" w:id="0">
    <w:p w14:paraId="4DFF6073" w14:textId="77777777" w:rsidR="00E06104" w:rsidRDefault="00E06104" w:rsidP="004E0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DFD6" w14:textId="77777777" w:rsidR="00255800" w:rsidRDefault="00000000">
    <w:pPr>
      <w:pStyle w:val="Header"/>
    </w:pPr>
    <w:r>
      <w:rPr>
        <w:noProof/>
      </w:rPr>
      <w:pict w14:anchorId="0E96B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1" o:spid="_x0000_s1027" type="#_x0000_t136" alt="" style="position:absolute;left:0;text-align:left;margin-left:0;margin-top:0;width:526.6pt;height:5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DengXi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26E46" w14:textId="77777777" w:rsidR="00255800" w:rsidRDefault="00000000">
    <w:pPr>
      <w:pStyle w:val="Header"/>
    </w:pPr>
    <w:r>
      <w:rPr>
        <w:noProof/>
      </w:rPr>
      <w:pict w14:anchorId="7EA50A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2" o:spid="_x0000_s1026" type="#_x0000_t136" alt="" style="position:absolute;left:0;text-align:left;margin-left:0;margin-top:0;width:526.6pt;height:5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DengXi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D8322" w14:textId="77777777" w:rsidR="00255800" w:rsidRDefault="00000000">
    <w:pPr>
      <w:pStyle w:val="Header"/>
    </w:pPr>
    <w:r>
      <w:rPr>
        <w:noProof/>
      </w:rPr>
      <w:pict w14:anchorId="0018E01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20750" o:spid="_x0000_s1025" type="#_x0000_t136" alt="" style="position:absolute;left:0;text-align:left;margin-left:0;margin-top:0;width:526.6pt;height:5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DengXian&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C7A"/>
    <w:rsid w:val="00092C7A"/>
    <w:rsid w:val="00096B12"/>
    <w:rsid w:val="000A0600"/>
    <w:rsid w:val="000E08AD"/>
    <w:rsid w:val="000F044B"/>
    <w:rsid w:val="00131D43"/>
    <w:rsid w:val="0014579A"/>
    <w:rsid w:val="001C3CC4"/>
    <w:rsid w:val="001C5D96"/>
    <w:rsid w:val="001F747F"/>
    <w:rsid w:val="00220240"/>
    <w:rsid w:val="00242272"/>
    <w:rsid w:val="00255800"/>
    <w:rsid w:val="00256BA7"/>
    <w:rsid w:val="002911A4"/>
    <w:rsid w:val="002C330C"/>
    <w:rsid w:val="002E6528"/>
    <w:rsid w:val="002F3C93"/>
    <w:rsid w:val="00300FF2"/>
    <w:rsid w:val="003A0163"/>
    <w:rsid w:val="003E698A"/>
    <w:rsid w:val="00403451"/>
    <w:rsid w:val="00415498"/>
    <w:rsid w:val="004169E8"/>
    <w:rsid w:val="00454FC6"/>
    <w:rsid w:val="00466EB2"/>
    <w:rsid w:val="00492D31"/>
    <w:rsid w:val="004A5CF3"/>
    <w:rsid w:val="004B1941"/>
    <w:rsid w:val="004B4236"/>
    <w:rsid w:val="004E0DE4"/>
    <w:rsid w:val="004E7023"/>
    <w:rsid w:val="00531541"/>
    <w:rsid w:val="0055591E"/>
    <w:rsid w:val="00570397"/>
    <w:rsid w:val="0057353D"/>
    <w:rsid w:val="00592248"/>
    <w:rsid w:val="00592A37"/>
    <w:rsid w:val="00620B13"/>
    <w:rsid w:val="00714BE2"/>
    <w:rsid w:val="007320A2"/>
    <w:rsid w:val="00741552"/>
    <w:rsid w:val="00756D01"/>
    <w:rsid w:val="00776459"/>
    <w:rsid w:val="00784D02"/>
    <w:rsid w:val="00786CA2"/>
    <w:rsid w:val="00795C2B"/>
    <w:rsid w:val="007E16AD"/>
    <w:rsid w:val="007E3B00"/>
    <w:rsid w:val="008158E3"/>
    <w:rsid w:val="00830CA5"/>
    <w:rsid w:val="008644D8"/>
    <w:rsid w:val="00881D17"/>
    <w:rsid w:val="0089611E"/>
    <w:rsid w:val="008C3B80"/>
    <w:rsid w:val="008C467D"/>
    <w:rsid w:val="008F770D"/>
    <w:rsid w:val="00974622"/>
    <w:rsid w:val="009B5A94"/>
    <w:rsid w:val="009C428F"/>
    <w:rsid w:val="009D0929"/>
    <w:rsid w:val="009D63FE"/>
    <w:rsid w:val="009E030B"/>
    <w:rsid w:val="00A127B0"/>
    <w:rsid w:val="00A31B13"/>
    <w:rsid w:val="00B02C5F"/>
    <w:rsid w:val="00B20BEF"/>
    <w:rsid w:val="00B44A5B"/>
    <w:rsid w:val="00B46ABE"/>
    <w:rsid w:val="00BA26F0"/>
    <w:rsid w:val="00BA7EBD"/>
    <w:rsid w:val="00BB2261"/>
    <w:rsid w:val="00BC7B8D"/>
    <w:rsid w:val="00C53DE9"/>
    <w:rsid w:val="00C75530"/>
    <w:rsid w:val="00C85C74"/>
    <w:rsid w:val="00C93C7E"/>
    <w:rsid w:val="00CA28F0"/>
    <w:rsid w:val="00CF54FA"/>
    <w:rsid w:val="00D025D0"/>
    <w:rsid w:val="00D07FF9"/>
    <w:rsid w:val="00D13DEA"/>
    <w:rsid w:val="00D57717"/>
    <w:rsid w:val="00D856FD"/>
    <w:rsid w:val="00DC0FF3"/>
    <w:rsid w:val="00DE787F"/>
    <w:rsid w:val="00E06104"/>
    <w:rsid w:val="00E53AF8"/>
    <w:rsid w:val="00E57499"/>
    <w:rsid w:val="00FC579A"/>
    <w:rsid w:val="00FD40ED"/>
    <w:rsid w:val="00FF5E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94393"/>
  <w15:chartTrackingRefBased/>
  <w15:docId w15:val="{9E3E626A-4E4F-2A40-BC70-8A28A4923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link w:val="Heading1Char"/>
    <w:uiPriority w:val="9"/>
    <w:qFormat/>
    <w:rsid w:val="00092C7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unhideWhenUsed/>
    <w:qFormat/>
    <w:rsid w:val="00092C7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unhideWhenUsed/>
    <w:qFormat/>
    <w:rsid w:val="00092C7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092C7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092C7A"/>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092C7A"/>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092C7A"/>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092C7A"/>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092C7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C7A"/>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rsid w:val="00092C7A"/>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rsid w:val="00092C7A"/>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092C7A"/>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092C7A"/>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092C7A"/>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092C7A"/>
    <w:rPr>
      <w:rFonts w:cstheme="majorBidi"/>
      <w:b/>
      <w:bCs/>
      <w:color w:val="595959" w:themeColor="text1" w:themeTint="A6"/>
    </w:rPr>
  </w:style>
  <w:style w:type="character" w:customStyle="1" w:styleId="Heading8Char">
    <w:name w:val="Heading 8 Char"/>
    <w:basedOn w:val="DefaultParagraphFont"/>
    <w:link w:val="Heading8"/>
    <w:uiPriority w:val="9"/>
    <w:semiHidden/>
    <w:rsid w:val="00092C7A"/>
    <w:rPr>
      <w:rFonts w:cstheme="majorBidi"/>
      <w:color w:val="595959" w:themeColor="text1" w:themeTint="A6"/>
    </w:rPr>
  </w:style>
  <w:style w:type="character" w:customStyle="1" w:styleId="Heading9Char">
    <w:name w:val="Heading 9 Char"/>
    <w:basedOn w:val="DefaultParagraphFont"/>
    <w:link w:val="Heading9"/>
    <w:uiPriority w:val="9"/>
    <w:semiHidden/>
    <w:rsid w:val="00092C7A"/>
    <w:rPr>
      <w:rFonts w:eastAsiaTheme="majorEastAsia" w:cstheme="majorBidi"/>
      <w:color w:val="595959" w:themeColor="text1" w:themeTint="A6"/>
    </w:rPr>
  </w:style>
  <w:style w:type="paragraph" w:styleId="Title">
    <w:name w:val="Title"/>
    <w:basedOn w:val="Normal"/>
    <w:next w:val="Normal"/>
    <w:link w:val="TitleChar"/>
    <w:uiPriority w:val="10"/>
    <w:qFormat/>
    <w:rsid w:val="00092C7A"/>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C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C7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C7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092C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2C7A"/>
    <w:rPr>
      <w:i/>
      <w:iCs/>
      <w:color w:val="404040" w:themeColor="text1" w:themeTint="BF"/>
    </w:rPr>
  </w:style>
  <w:style w:type="paragraph" w:styleId="ListParagraph">
    <w:name w:val="List Paragraph"/>
    <w:basedOn w:val="Normal"/>
    <w:uiPriority w:val="34"/>
    <w:qFormat/>
    <w:rsid w:val="00092C7A"/>
    <w:pPr>
      <w:ind w:left="720"/>
      <w:contextualSpacing/>
    </w:pPr>
  </w:style>
  <w:style w:type="character" w:styleId="IntenseEmphasis">
    <w:name w:val="Intense Emphasis"/>
    <w:basedOn w:val="DefaultParagraphFont"/>
    <w:uiPriority w:val="21"/>
    <w:qFormat/>
    <w:rsid w:val="00092C7A"/>
    <w:rPr>
      <w:i/>
      <w:iCs/>
      <w:color w:val="0F4761" w:themeColor="accent1" w:themeShade="BF"/>
    </w:rPr>
  </w:style>
  <w:style w:type="paragraph" w:styleId="IntenseQuote">
    <w:name w:val="Intense Quote"/>
    <w:basedOn w:val="Normal"/>
    <w:next w:val="Normal"/>
    <w:link w:val="IntenseQuoteChar"/>
    <w:uiPriority w:val="30"/>
    <w:qFormat/>
    <w:rsid w:val="00092C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C7A"/>
    <w:rPr>
      <w:i/>
      <w:iCs/>
      <w:color w:val="0F4761" w:themeColor="accent1" w:themeShade="BF"/>
    </w:rPr>
  </w:style>
  <w:style w:type="character" w:styleId="IntenseReference">
    <w:name w:val="Intense Reference"/>
    <w:basedOn w:val="DefaultParagraphFont"/>
    <w:uiPriority w:val="32"/>
    <w:qFormat/>
    <w:rsid w:val="00092C7A"/>
    <w:rPr>
      <w:b/>
      <w:bCs/>
      <w:smallCaps/>
      <w:color w:val="0F4761" w:themeColor="accent1" w:themeShade="BF"/>
      <w:spacing w:val="5"/>
    </w:rPr>
  </w:style>
  <w:style w:type="paragraph" w:customStyle="1" w:styleId="ds-markdown-paragraph">
    <w:name w:val="ds-markdown-paragraph"/>
    <w:basedOn w:val="Normal"/>
    <w:rsid w:val="00092C7A"/>
    <w:pPr>
      <w:widowControl/>
      <w:spacing w:before="100" w:beforeAutospacing="1" w:after="100" w:afterAutospacing="1"/>
      <w:jc w:val="left"/>
    </w:pPr>
    <w:rPr>
      <w:rFonts w:ascii="SimSun" w:eastAsia="SimSun" w:hAnsi="SimSun" w:cs="SimSun"/>
      <w:kern w:val="0"/>
      <w:sz w:val="24"/>
    </w:rPr>
  </w:style>
  <w:style w:type="character" w:styleId="Strong">
    <w:name w:val="Strong"/>
    <w:basedOn w:val="DefaultParagraphFont"/>
    <w:uiPriority w:val="22"/>
    <w:qFormat/>
    <w:rsid w:val="00092C7A"/>
    <w:rPr>
      <w:b/>
      <w:bCs/>
    </w:rPr>
  </w:style>
  <w:style w:type="character" w:customStyle="1" w:styleId="apple-converted-space">
    <w:name w:val="apple-converted-space"/>
    <w:basedOn w:val="DefaultParagraphFont"/>
    <w:rsid w:val="00092C7A"/>
  </w:style>
  <w:style w:type="paragraph" w:styleId="Footer">
    <w:name w:val="footer"/>
    <w:basedOn w:val="Normal"/>
    <w:link w:val="FooterChar"/>
    <w:uiPriority w:val="99"/>
    <w:unhideWhenUsed/>
    <w:rsid w:val="004E0DE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E0DE4"/>
    <w:rPr>
      <w:sz w:val="18"/>
      <w:szCs w:val="18"/>
    </w:rPr>
  </w:style>
  <w:style w:type="character" w:styleId="PageNumber">
    <w:name w:val="page number"/>
    <w:basedOn w:val="DefaultParagraphFont"/>
    <w:uiPriority w:val="99"/>
    <w:semiHidden/>
    <w:unhideWhenUsed/>
    <w:rsid w:val="004E0DE4"/>
  </w:style>
  <w:style w:type="character" w:styleId="Emphasis">
    <w:name w:val="Emphasis"/>
    <w:basedOn w:val="DefaultParagraphFont"/>
    <w:uiPriority w:val="20"/>
    <w:qFormat/>
    <w:rsid w:val="00974622"/>
    <w:rPr>
      <w:i/>
      <w:iCs/>
    </w:rPr>
  </w:style>
  <w:style w:type="character" w:styleId="Hyperlink">
    <w:name w:val="Hyperlink"/>
    <w:basedOn w:val="DefaultParagraphFont"/>
    <w:uiPriority w:val="99"/>
    <w:unhideWhenUsed/>
    <w:rsid w:val="00974622"/>
    <w:rPr>
      <w:color w:val="0000FF"/>
      <w:u w:val="single"/>
    </w:rPr>
  </w:style>
  <w:style w:type="paragraph" w:styleId="Header">
    <w:name w:val="header"/>
    <w:basedOn w:val="Normal"/>
    <w:link w:val="HeaderChar"/>
    <w:uiPriority w:val="99"/>
    <w:unhideWhenUsed/>
    <w:rsid w:val="00255800"/>
    <w:pPr>
      <w:tabs>
        <w:tab w:val="center" w:pos="4680"/>
        <w:tab w:val="right" w:pos="9360"/>
      </w:tabs>
    </w:pPr>
  </w:style>
  <w:style w:type="character" w:customStyle="1" w:styleId="HeaderChar">
    <w:name w:val="Header Char"/>
    <w:basedOn w:val="DefaultParagraphFont"/>
    <w:link w:val="Header"/>
    <w:uiPriority w:val="99"/>
    <w:rsid w:val="00255800"/>
  </w:style>
  <w:style w:type="paragraph" w:styleId="Revision">
    <w:name w:val="Revision"/>
    <w:hidden/>
    <w:uiPriority w:val="99"/>
    <w:semiHidden/>
    <w:rsid w:val="008C3B80"/>
  </w:style>
  <w:style w:type="paragraph" w:customStyle="1" w:styleId="p1">
    <w:name w:val="p1"/>
    <w:basedOn w:val="Normal"/>
    <w:rsid w:val="00592A37"/>
    <w:pPr>
      <w:widowControl/>
      <w:jc w:val="left"/>
    </w:pPr>
    <w:rPr>
      <w:rFonts w:ascii="Times New Roman" w:eastAsia="SimSun" w:hAnsi="Times New Roman" w:cs="Times New Roman"/>
      <w:color w:val="000000"/>
      <w:kern w:val="0"/>
      <w:sz w:val="18"/>
      <w:szCs w:val="18"/>
    </w:rPr>
  </w:style>
  <w:style w:type="character" w:styleId="UnresolvedMention">
    <w:name w:val="Unresolved Mention"/>
    <w:basedOn w:val="DefaultParagraphFont"/>
    <w:uiPriority w:val="99"/>
    <w:semiHidden/>
    <w:unhideWhenUsed/>
    <w:rsid w:val="00454FC6"/>
    <w:rPr>
      <w:color w:val="605E5C"/>
      <w:shd w:val="clear" w:color="auto" w:fill="E1DFDD"/>
    </w:rPr>
  </w:style>
  <w:style w:type="paragraph" w:styleId="NormalWeb">
    <w:name w:val="Normal (Web)"/>
    <w:basedOn w:val="Normal"/>
    <w:uiPriority w:val="99"/>
    <w:rsid w:val="003E698A"/>
    <w:pPr>
      <w:widowControl/>
      <w:spacing w:before="100" w:beforeAutospacing="1" w:after="100" w:afterAutospacing="1"/>
      <w:jc w:val="left"/>
    </w:pPr>
    <w:rPr>
      <w:rFonts w:ascii="Arial Unicode MS" w:eastAsia="Arial Unicode MS" w:hAnsi="Arial Unicode MS" w:cs="Arial Unicode MS"/>
      <w:kern w:val="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20183">
      <w:bodyDiv w:val="1"/>
      <w:marLeft w:val="0"/>
      <w:marRight w:val="0"/>
      <w:marTop w:val="0"/>
      <w:marBottom w:val="0"/>
      <w:divBdr>
        <w:top w:val="none" w:sz="0" w:space="0" w:color="auto"/>
        <w:left w:val="none" w:sz="0" w:space="0" w:color="auto"/>
        <w:bottom w:val="none" w:sz="0" w:space="0" w:color="auto"/>
        <w:right w:val="none" w:sz="0" w:space="0" w:color="auto"/>
      </w:divBdr>
    </w:div>
    <w:div w:id="191845186">
      <w:bodyDiv w:val="1"/>
      <w:marLeft w:val="0"/>
      <w:marRight w:val="0"/>
      <w:marTop w:val="0"/>
      <w:marBottom w:val="0"/>
      <w:divBdr>
        <w:top w:val="none" w:sz="0" w:space="0" w:color="auto"/>
        <w:left w:val="none" w:sz="0" w:space="0" w:color="auto"/>
        <w:bottom w:val="none" w:sz="0" w:space="0" w:color="auto"/>
        <w:right w:val="none" w:sz="0" w:space="0" w:color="auto"/>
      </w:divBdr>
    </w:div>
    <w:div w:id="241184368">
      <w:bodyDiv w:val="1"/>
      <w:marLeft w:val="0"/>
      <w:marRight w:val="0"/>
      <w:marTop w:val="0"/>
      <w:marBottom w:val="0"/>
      <w:divBdr>
        <w:top w:val="none" w:sz="0" w:space="0" w:color="auto"/>
        <w:left w:val="none" w:sz="0" w:space="0" w:color="auto"/>
        <w:bottom w:val="none" w:sz="0" w:space="0" w:color="auto"/>
        <w:right w:val="none" w:sz="0" w:space="0" w:color="auto"/>
      </w:divBdr>
    </w:div>
    <w:div w:id="388966371">
      <w:bodyDiv w:val="1"/>
      <w:marLeft w:val="0"/>
      <w:marRight w:val="0"/>
      <w:marTop w:val="0"/>
      <w:marBottom w:val="0"/>
      <w:divBdr>
        <w:top w:val="none" w:sz="0" w:space="0" w:color="auto"/>
        <w:left w:val="none" w:sz="0" w:space="0" w:color="auto"/>
        <w:bottom w:val="none" w:sz="0" w:space="0" w:color="auto"/>
        <w:right w:val="none" w:sz="0" w:space="0" w:color="auto"/>
      </w:divBdr>
      <w:divsChild>
        <w:div w:id="1768772227">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442848273">
      <w:bodyDiv w:val="1"/>
      <w:marLeft w:val="0"/>
      <w:marRight w:val="0"/>
      <w:marTop w:val="0"/>
      <w:marBottom w:val="0"/>
      <w:divBdr>
        <w:top w:val="none" w:sz="0" w:space="0" w:color="auto"/>
        <w:left w:val="none" w:sz="0" w:space="0" w:color="auto"/>
        <w:bottom w:val="none" w:sz="0" w:space="0" w:color="auto"/>
        <w:right w:val="none" w:sz="0" w:space="0" w:color="auto"/>
      </w:divBdr>
    </w:div>
    <w:div w:id="450589463">
      <w:bodyDiv w:val="1"/>
      <w:marLeft w:val="0"/>
      <w:marRight w:val="0"/>
      <w:marTop w:val="0"/>
      <w:marBottom w:val="0"/>
      <w:divBdr>
        <w:top w:val="none" w:sz="0" w:space="0" w:color="auto"/>
        <w:left w:val="none" w:sz="0" w:space="0" w:color="auto"/>
        <w:bottom w:val="none" w:sz="0" w:space="0" w:color="auto"/>
        <w:right w:val="none" w:sz="0" w:space="0" w:color="auto"/>
      </w:divBdr>
    </w:div>
    <w:div w:id="498541956">
      <w:bodyDiv w:val="1"/>
      <w:marLeft w:val="0"/>
      <w:marRight w:val="0"/>
      <w:marTop w:val="0"/>
      <w:marBottom w:val="0"/>
      <w:divBdr>
        <w:top w:val="none" w:sz="0" w:space="0" w:color="auto"/>
        <w:left w:val="none" w:sz="0" w:space="0" w:color="auto"/>
        <w:bottom w:val="none" w:sz="0" w:space="0" w:color="auto"/>
        <w:right w:val="none" w:sz="0" w:space="0" w:color="auto"/>
      </w:divBdr>
    </w:div>
    <w:div w:id="528419205">
      <w:bodyDiv w:val="1"/>
      <w:marLeft w:val="0"/>
      <w:marRight w:val="0"/>
      <w:marTop w:val="0"/>
      <w:marBottom w:val="0"/>
      <w:divBdr>
        <w:top w:val="none" w:sz="0" w:space="0" w:color="auto"/>
        <w:left w:val="none" w:sz="0" w:space="0" w:color="auto"/>
        <w:bottom w:val="none" w:sz="0" w:space="0" w:color="auto"/>
        <w:right w:val="none" w:sz="0" w:space="0" w:color="auto"/>
      </w:divBdr>
      <w:divsChild>
        <w:div w:id="19818274">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558443821">
      <w:bodyDiv w:val="1"/>
      <w:marLeft w:val="0"/>
      <w:marRight w:val="0"/>
      <w:marTop w:val="0"/>
      <w:marBottom w:val="0"/>
      <w:divBdr>
        <w:top w:val="none" w:sz="0" w:space="0" w:color="auto"/>
        <w:left w:val="none" w:sz="0" w:space="0" w:color="auto"/>
        <w:bottom w:val="none" w:sz="0" w:space="0" w:color="auto"/>
        <w:right w:val="none" w:sz="0" w:space="0" w:color="auto"/>
      </w:divBdr>
    </w:div>
    <w:div w:id="567959880">
      <w:bodyDiv w:val="1"/>
      <w:marLeft w:val="0"/>
      <w:marRight w:val="0"/>
      <w:marTop w:val="0"/>
      <w:marBottom w:val="0"/>
      <w:divBdr>
        <w:top w:val="none" w:sz="0" w:space="0" w:color="auto"/>
        <w:left w:val="none" w:sz="0" w:space="0" w:color="auto"/>
        <w:bottom w:val="none" w:sz="0" w:space="0" w:color="auto"/>
        <w:right w:val="none" w:sz="0" w:space="0" w:color="auto"/>
      </w:divBdr>
    </w:div>
    <w:div w:id="609776716">
      <w:bodyDiv w:val="1"/>
      <w:marLeft w:val="0"/>
      <w:marRight w:val="0"/>
      <w:marTop w:val="0"/>
      <w:marBottom w:val="0"/>
      <w:divBdr>
        <w:top w:val="none" w:sz="0" w:space="0" w:color="auto"/>
        <w:left w:val="none" w:sz="0" w:space="0" w:color="auto"/>
        <w:bottom w:val="none" w:sz="0" w:space="0" w:color="auto"/>
        <w:right w:val="none" w:sz="0" w:space="0" w:color="auto"/>
      </w:divBdr>
    </w:div>
    <w:div w:id="675502042">
      <w:bodyDiv w:val="1"/>
      <w:marLeft w:val="0"/>
      <w:marRight w:val="0"/>
      <w:marTop w:val="0"/>
      <w:marBottom w:val="0"/>
      <w:divBdr>
        <w:top w:val="none" w:sz="0" w:space="0" w:color="auto"/>
        <w:left w:val="none" w:sz="0" w:space="0" w:color="auto"/>
        <w:bottom w:val="none" w:sz="0" w:space="0" w:color="auto"/>
        <w:right w:val="none" w:sz="0" w:space="0" w:color="auto"/>
      </w:divBdr>
    </w:div>
    <w:div w:id="700133201">
      <w:bodyDiv w:val="1"/>
      <w:marLeft w:val="0"/>
      <w:marRight w:val="0"/>
      <w:marTop w:val="0"/>
      <w:marBottom w:val="0"/>
      <w:divBdr>
        <w:top w:val="none" w:sz="0" w:space="0" w:color="auto"/>
        <w:left w:val="none" w:sz="0" w:space="0" w:color="auto"/>
        <w:bottom w:val="none" w:sz="0" w:space="0" w:color="auto"/>
        <w:right w:val="none" w:sz="0" w:space="0" w:color="auto"/>
      </w:divBdr>
      <w:divsChild>
        <w:div w:id="55262446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708385443">
      <w:bodyDiv w:val="1"/>
      <w:marLeft w:val="0"/>
      <w:marRight w:val="0"/>
      <w:marTop w:val="0"/>
      <w:marBottom w:val="0"/>
      <w:divBdr>
        <w:top w:val="none" w:sz="0" w:space="0" w:color="auto"/>
        <w:left w:val="none" w:sz="0" w:space="0" w:color="auto"/>
        <w:bottom w:val="none" w:sz="0" w:space="0" w:color="auto"/>
        <w:right w:val="none" w:sz="0" w:space="0" w:color="auto"/>
      </w:divBdr>
    </w:div>
    <w:div w:id="727533839">
      <w:bodyDiv w:val="1"/>
      <w:marLeft w:val="0"/>
      <w:marRight w:val="0"/>
      <w:marTop w:val="0"/>
      <w:marBottom w:val="0"/>
      <w:divBdr>
        <w:top w:val="none" w:sz="0" w:space="0" w:color="auto"/>
        <w:left w:val="none" w:sz="0" w:space="0" w:color="auto"/>
        <w:bottom w:val="none" w:sz="0" w:space="0" w:color="auto"/>
        <w:right w:val="none" w:sz="0" w:space="0" w:color="auto"/>
      </w:divBdr>
    </w:div>
    <w:div w:id="1156796285">
      <w:bodyDiv w:val="1"/>
      <w:marLeft w:val="0"/>
      <w:marRight w:val="0"/>
      <w:marTop w:val="0"/>
      <w:marBottom w:val="0"/>
      <w:divBdr>
        <w:top w:val="none" w:sz="0" w:space="0" w:color="auto"/>
        <w:left w:val="none" w:sz="0" w:space="0" w:color="auto"/>
        <w:bottom w:val="none" w:sz="0" w:space="0" w:color="auto"/>
        <w:right w:val="none" w:sz="0" w:space="0" w:color="auto"/>
      </w:divBdr>
    </w:div>
    <w:div w:id="1157961953">
      <w:bodyDiv w:val="1"/>
      <w:marLeft w:val="0"/>
      <w:marRight w:val="0"/>
      <w:marTop w:val="0"/>
      <w:marBottom w:val="0"/>
      <w:divBdr>
        <w:top w:val="none" w:sz="0" w:space="0" w:color="auto"/>
        <w:left w:val="none" w:sz="0" w:space="0" w:color="auto"/>
        <w:bottom w:val="none" w:sz="0" w:space="0" w:color="auto"/>
        <w:right w:val="none" w:sz="0" w:space="0" w:color="auto"/>
      </w:divBdr>
    </w:div>
    <w:div w:id="1286306058">
      <w:bodyDiv w:val="1"/>
      <w:marLeft w:val="0"/>
      <w:marRight w:val="0"/>
      <w:marTop w:val="0"/>
      <w:marBottom w:val="0"/>
      <w:divBdr>
        <w:top w:val="none" w:sz="0" w:space="0" w:color="auto"/>
        <w:left w:val="none" w:sz="0" w:space="0" w:color="auto"/>
        <w:bottom w:val="none" w:sz="0" w:space="0" w:color="auto"/>
        <w:right w:val="none" w:sz="0" w:space="0" w:color="auto"/>
      </w:divBdr>
      <w:divsChild>
        <w:div w:id="54591533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1315450833">
      <w:bodyDiv w:val="1"/>
      <w:marLeft w:val="0"/>
      <w:marRight w:val="0"/>
      <w:marTop w:val="0"/>
      <w:marBottom w:val="0"/>
      <w:divBdr>
        <w:top w:val="none" w:sz="0" w:space="0" w:color="auto"/>
        <w:left w:val="none" w:sz="0" w:space="0" w:color="auto"/>
        <w:bottom w:val="none" w:sz="0" w:space="0" w:color="auto"/>
        <w:right w:val="none" w:sz="0" w:space="0" w:color="auto"/>
      </w:divBdr>
    </w:div>
    <w:div w:id="1378356449">
      <w:bodyDiv w:val="1"/>
      <w:marLeft w:val="0"/>
      <w:marRight w:val="0"/>
      <w:marTop w:val="0"/>
      <w:marBottom w:val="0"/>
      <w:divBdr>
        <w:top w:val="none" w:sz="0" w:space="0" w:color="auto"/>
        <w:left w:val="none" w:sz="0" w:space="0" w:color="auto"/>
        <w:bottom w:val="none" w:sz="0" w:space="0" w:color="auto"/>
        <w:right w:val="none" w:sz="0" w:space="0" w:color="auto"/>
      </w:divBdr>
    </w:div>
    <w:div w:id="1414547888">
      <w:bodyDiv w:val="1"/>
      <w:marLeft w:val="0"/>
      <w:marRight w:val="0"/>
      <w:marTop w:val="0"/>
      <w:marBottom w:val="0"/>
      <w:divBdr>
        <w:top w:val="none" w:sz="0" w:space="0" w:color="auto"/>
        <w:left w:val="none" w:sz="0" w:space="0" w:color="auto"/>
        <w:bottom w:val="none" w:sz="0" w:space="0" w:color="auto"/>
        <w:right w:val="none" w:sz="0" w:space="0" w:color="auto"/>
      </w:divBdr>
      <w:divsChild>
        <w:div w:id="941843532">
          <w:marLeft w:val="660"/>
          <w:marRight w:val="660"/>
          <w:marTop w:val="0"/>
          <w:marBottom w:val="0"/>
          <w:divBdr>
            <w:top w:val="none" w:sz="0" w:space="0" w:color="auto"/>
            <w:left w:val="none" w:sz="0" w:space="0" w:color="auto"/>
            <w:bottom w:val="none" w:sz="0" w:space="0" w:color="auto"/>
            <w:right w:val="none" w:sz="0" w:space="0" w:color="auto"/>
          </w:divBdr>
          <w:divsChild>
            <w:div w:id="115566724">
              <w:marLeft w:val="0"/>
              <w:marRight w:val="0"/>
              <w:marTop w:val="0"/>
              <w:marBottom w:val="0"/>
              <w:divBdr>
                <w:top w:val="none" w:sz="0" w:space="0" w:color="auto"/>
                <w:left w:val="none" w:sz="0" w:space="0" w:color="auto"/>
                <w:bottom w:val="none" w:sz="0" w:space="0" w:color="auto"/>
                <w:right w:val="none" w:sz="0" w:space="0" w:color="auto"/>
              </w:divBdr>
              <w:divsChild>
                <w:div w:id="1118530824">
                  <w:marLeft w:val="0"/>
                  <w:marRight w:val="0"/>
                  <w:marTop w:val="0"/>
                  <w:marBottom w:val="0"/>
                  <w:divBdr>
                    <w:top w:val="none" w:sz="0" w:space="0" w:color="auto"/>
                    <w:left w:val="none" w:sz="0" w:space="0" w:color="auto"/>
                    <w:bottom w:val="none" w:sz="0" w:space="0" w:color="auto"/>
                    <w:right w:val="none" w:sz="0" w:space="0" w:color="auto"/>
                  </w:divBdr>
                  <w:divsChild>
                    <w:div w:id="286474586">
                      <w:marLeft w:val="0"/>
                      <w:marRight w:val="0"/>
                      <w:marTop w:val="0"/>
                      <w:marBottom w:val="0"/>
                      <w:divBdr>
                        <w:top w:val="none" w:sz="0" w:space="0" w:color="auto"/>
                        <w:left w:val="none" w:sz="0" w:space="0" w:color="auto"/>
                        <w:bottom w:val="none" w:sz="0" w:space="0" w:color="auto"/>
                        <w:right w:val="none" w:sz="0" w:space="0" w:color="auto"/>
                      </w:divBdr>
                      <w:divsChild>
                        <w:div w:id="913204552">
                          <w:marLeft w:val="0"/>
                          <w:marRight w:val="0"/>
                          <w:marTop w:val="0"/>
                          <w:marBottom w:val="0"/>
                          <w:divBdr>
                            <w:top w:val="none" w:sz="0" w:space="0" w:color="auto"/>
                            <w:left w:val="none" w:sz="0" w:space="0" w:color="auto"/>
                            <w:bottom w:val="none" w:sz="0" w:space="0" w:color="auto"/>
                            <w:right w:val="none" w:sz="0" w:space="0" w:color="auto"/>
                          </w:divBdr>
                          <w:divsChild>
                            <w:div w:id="1874682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533392">
                  <w:marLeft w:val="0"/>
                  <w:marRight w:val="0"/>
                  <w:marTop w:val="0"/>
                  <w:marBottom w:val="0"/>
                  <w:divBdr>
                    <w:top w:val="none" w:sz="0" w:space="0" w:color="auto"/>
                    <w:left w:val="none" w:sz="0" w:space="0" w:color="auto"/>
                    <w:bottom w:val="none" w:sz="0" w:space="0" w:color="auto"/>
                    <w:right w:val="none" w:sz="0" w:space="0" w:color="auto"/>
                  </w:divBdr>
                  <w:divsChild>
                    <w:div w:id="1565290054">
                      <w:marLeft w:val="0"/>
                      <w:marRight w:val="0"/>
                      <w:marTop w:val="0"/>
                      <w:marBottom w:val="0"/>
                      <w:divBdr>
                        <w:top w:val="none" w:sz="0" w:space="0" w:color="auto"/>
                        <w:left w:val="none" w:sz="0" w:space="0" w:color="auto"/>
                        <w:bottom w:val="none" w:sz="0" w:space="0" w:color="auto"/>
                        <w:right w:val="none" w:sz="0" w:space="0" w:color="auto"/>
                      </w:divBdr>
                      <w:divsChild>
                        <w:div w:id="247352034">
                          <w:marLeft w:val="0"/>
                          <w:marRight w:val="0"/>
                          <w:marTop w:val="0"/>
                          <w:marBottom w:val="0"/>
                          <w:divBdr>
                            <w:top w:val="none" w:sz="0" w:space="0" w:color="auto"/>
                            <w:left w:val="none" w:sz="0" w:space="0" w:color="auto"/>
                            <w:bottom w:val="none" w:sz="0" w:space="0" w:color="auto"/>
                            <w:right w:val="none" w:sz="0" w:space="0" w:color="auto"/>
                          </w:divBdr>
                          <w:divsChild>
                            <w:div w:id="1800613087">
                              <w:marLeft w:val="0"/>
                              <w:marRight w:val="0"/>
                              <w:marTop w:val="0"/>
                              <w:marBottom w:val="0"/>
                              <w:divBdr>
                                <w:top w:val="none" w:sz="0" w:space="0" w:color="auto"/>
                                <w:left w:val="none" w:sz="0" w:space="0" w:color="auto"/>
                                <w:bottom w:val="none" w:sz="0" w:space="0" w:color="auto"/>
                                <w:right w:val="none" w:sz="0" w:space="0" w:color="auto"/>
                              </w:divBdr>
                              <w:divsChild>
                                <w:div w:id="214711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6361092">
                  <w:marLeft w:val="0"/>
                  <w:marRight w:val="0"/>
                  <w:marTop w:val="0"/>
                  <w:marBottom w:val="0"/>
                  <w:divBdr>
                    <w:top w:val="none" w:sz="0" w:space="0" w:color="auto"/>
                    <w:left w:val="none" w:sz="0" w:space="0" w:color="auto"/>
                    <w:bottom w:val="none" w:sz="0" w:space="0" w:color="auto"/>
                    <w:right w:val="none" w:sz="0" w:space="0" w:color="auto"/>
                  </w:divBdr>
                  <w:divsChild>
                    <w:div w:id="1365131651">
                      <w:marLeft w:val="0"/>
                      <w:marRight w:val="0"/>
                      <w:marTop w:val="0"/>
                      <w:marBottom w:val="0"/>
                      <w:divBdr>
                        <w:top w:val="none" w:sz="0" w:space="0" w:color="auto"/>
                        <w:left w:val="none" w:sz="0" w:space="0" w:color="auto"/>
                        <w:bottom w:val="none" w:sz="0" w:space="0" w:color="auto"/>
                        <w:right w:val="none" w:sz="0" w:space="0" w:color="auto"/>
                      </w:divBdr>
                      <w:divsChild>
                        <w:div w:id="199702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68892">
                  <w:marLeft w:val="0"/>
                  <w:marRight w:val="0"/>
                  <w:marTop w:val="0"/>
                  <w:marBottom w:val="0"/>
                  <w:divBdr>
                    <w:top w:val="none" w:sz="0" w:space="0" w:color="auto"/>
                    <w:left w:val="none" w:sz="0" w:space="0" w:color="auto"/>
                    <w:bottom w:val="none" w:sz="0" w:space="0" w:color="auto"/>
                    <w:right w:val="none" w:sz="0" w:space="0" w:color="auto"/>
                  </w:divBdr>
                  <w:divsChild>
                    <w:div w:id="1313484060">
                      <w:marLeft w:val="0"/>
                      <w:marRight w:val="0"/>
                      <w:marTop w:val="0"/>
                      <w:marBottom w:val="0"/>
                      <w:divBdr>
                        <w:top w:val="none" w:sz="0" w:space="0" w:color="auto"/>
                        <w:left w:val="none" w:sz="0" w:space="0" w:color="auto"/>
                        <w:bottom w:val="none" w:sz="0" w:space="0" w:color="auto"/>
                        <w:right w:val="none" w:sz="0" w:space="0" w:color="auto"/>
                      </w:divBdr>
                      <w:divsChild>
                        <w:div w:id="1861890747">
                          <w:marLeft w:val="0"/>
                          <w:marRight w:val="0"/>
                          <w:marTop w:val="0"/>
                          <w:marBottom w:val="0"/>
                          <w:divBdr>
                            <w:top w:val="none" w:sz="0" w:space="0" w:color="auto"/>
                            <w:left w:val="none" w:sz="0" w:space="0" w:color="auto"/>
                            <w:bottom w:val="none" w:sz="0" w:space="0" w:color="auto"/>
                            <w:right w:val="none" w:sz="0" w:space="0" w:color="auto"/>
                          </w:divBdr>
                          <w:divsChild>
                            <w:div w:id="2049067349">
                              <w:marLeft w:val="0"/>
                              <w:marRight w:val="0"/>
                              <w:marTop w:val="0"/>
                              <w:marBottom w:val="0"/>
                              <w:divBdr>
                                <w:top w:val="none" w:sz="0" w:space="0" w:color="auto"/>
                                <w:left w:val="none" w:sz="0" w:space="0" w:color="auto"/>
                                <w:bottom w:val="none" w:sz="0" w:space="0" w:color="auto"/>
                                <w:right w:val="none" w:sz="0" w:space="0" w:color="auto"/>
                              </w:divBdr>
                              <w:divsChild>
                                <w:div w:id="132646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303447">
                  <w:marLeft w:val="0"/>
                  <w:marRight w:val="0"/>
                  <w:marTop w:val="0"/>
                  <w:marBottom w:val="0"/>
                  <w:divBdr>
                    <w:top w:val="none" w:sz="0" w:space="0" w:color="auto"/>
                    <w:left w:val="none" w:sz="0" w:space="0" w:color="auto"/>
                    <w:bottom w:val="none" w:sz="0" w:space="0" w:color="auto"/>
                    <w:right w:val="none" w:sz="0" w:space="0" w:color="auto"/>
                  </w:divBdr>
                  <w:divsChild>
                    <w:div w:id="383068930">
                      <w:marLeft w:val="0"/>
                      <w:marRight w:val="0"/>
                      <w:marTop w:val="0"/>
                      <w:marBottom w:val="0"/>
                      <w:divBdr>
                        <w:top w:val="none" w:sz="0" w:space="0" w:color="auto"/>
                        <w:left w:val="none" w:sz="0" w:space="0" w:color="auto"/>
                        <w:bottom w:val="none" w:sz="0" w:space="0" w:color="auto"/>
                        <w:right w:val="none" w:sz="0" w:space="0" w:color="auto"/>
                      </w:divBdr>
                      <w:divsChild>
                        <w:div w:id="4670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9301734">
      <w:bodyDiv w:val="1"/>
      <w:marLeft w:val="0"/>
      <w:marRight w:val="0"/>
      <w:marTop w:val="0"/>
      <w:marBottom w:val="0"/>
      <w:divBdr>
        <w:top w:val="none" w:sz="0" w:space="0" w:color="auto"/>
        <w:left w:val="none" w:sz="0" w:space="0" w:color="auto"/>
        <w:bottom w:val="none" w:sz="0" w:space="0" w:color="auto"/>
        <w:right w:val="none" w:sz="0" w:space="0" w:color="auto"/>
      </w:divBdr>
    </w:div>
    <w:div w:id="1453555677">
      <w:bodyDiv w:val="1"/>
      <w:marLeft w:val="0"/>
      <w:marRight w:val="0"/>
      <w:marTop w:val="0"/>
      <w:marBottom w:val="0"/>
      <w:divBdr>
        <w:top w:val="none" w:sz="0" w:space="0" w:color="auto"/>
        <w:left w:val="none" w:sz="0" w:space="0" w:color="auto"/>
        <w:bottom w:val="none" w:sz="0" w:space="0" w:color="auto"/>
        <w:right w:val="none" w:sz="0" w:space="0" w:color="auto"/>
      </w:divBdr>
    </w:div>
    <w:div w:id="1507937027">
      <w:bodyDiv w:val="1"/>
      <w:marLeft w:val="0"/>
      <w:marRight w:val="0"/>
      <w:marTop w:val="0"/>
      <w:marBottom w:val="0"/>
      <w:divBdr>
        <w:top w:val="none" w:sz="0" w:space="0" w:color="auto"/>
        <w:left w:val="none" w:sz="0" w:space="0" w:color="auto"/>
        <w:bottom w:val="none" w:sz="0" w:space="0" w:color="auto"/>
        <w:right w:val="none" w:sz="0" w:space="0" w:color="auto"/>
      </w:divBdr>
    </w:div>
    <w:div w:id="1563247788">
      <w:bodyDiv w:val="1"/>
      <w:marLeft w:val="0"/>
      <w:marRight w:val="0"/>
      <w:marTop w:val="0"/>
      <w:marBottom w:val="0"/>
      <w:divBdr>
        <w:top w:val="none" w:sz="0" w:space="0" w:color="auto"/>
        <w:left w:val="none" w:sz="0" w:space="0" w:color="auto"/>
        <w:bottom w:val="none" w:sz="0" w:space="0" w:color="auto"/>
        <w:right w:val="none" w:sz="0" w:space="0" w:color="auto"/>
      </w:divBdr>
    </w:div>
    <w:div w:id="1608075253">
      <w:bodyDiv w:val="1"/>
      <w:marLeft w:val="0"/>
      <w:marRight w:val="0"/>
      <w:marTop w:val="0"/>
      <w:marBottom w:val="0"/>
      <w:divBdr>
        <w:top w:val="none" w:sz="0" w:space="0" w:color="auto"/>
        <w:left w:val="none" w:sz="0" w:space="0" w:color="auto"/>
        <w:bottom w:val="none" w:sz="0" w:space="0" w:color="auto"/>
        <w:right w:val="none" w:sz="0" w:space="0" w:color="auto"/>
      </w:divBdr>
    </w:div>
    <w:div w:id="1762214934">
      <w:bodyDiv w:val="1"/>
      <w:marLeft w:val="0"/>
      <w:marRight w:val="0"/>
      <w:marTop w:val="0"/>
      <w:marBottom w:val="0"/>
      <w:divBdr>
        <w:top w:val="none" w:sz="0" w:space="0" w:color="auto"/>
        <w:left w:val="none" w:sz="0" w:space="0" w:color="auto"/>
        <w:bottom w:val="none" w:sz="0" w:space="0" w:color="auto"/>
        <w:right w:val="none" w:sz="0" w:space="0" w:color="auto"/>
      </w:divBdr>
    </w:div>
    <w:div w:id="1880585976">
      <w:bodyDiv w:val="1"/>
      <w:marLeft w:val="0"/>
      <w:marRight w:val="0"/>
      <w:marTop w:val="0"/>
      <w:marBottom w:val="0"/>
      <w:divBdr>
        <w:top w:val="none" w:sz="0" w:space="0" w:color="auto"/>
        <w:left w:val="none" w:sz="0" w:space="0" w:color="auto"/>
        <w:bottom w:val="none" w:sz="0" w:space="0" w:color="auto"/>
        <w:right w:val="none" w:sz="0" w:space="0" w:color="auto"/>
      </w:divBdr>
    </w:div>
    <w:div w:id="1900168816">
      <w:bodyDiv w:val="1"/>
      <w:marLeft w:val="0"/>
      <w:marRight w:val="0"/>
      <w:marTop w:val="0"/>
      <w:marBottom w:val="0"/>
      <w:divBdr>
        <w:top w:val="none" w:sz="0" w:space="0" w:color="auto"/>
        <w:left w:val="none" w:sz="0" w:space="0" w:color="auto"/>
        <w:bottom w:val="none" w:sz="0" w:space="0" w:color="auto"/>
        <w:right w:val="none" w:sz="0" w:space="0" w:color="auto"/>
      </w:divBdr>
    </w:div>
    <w:div w:id="1944990949">
      <w:bodyDiv w:val="1"/>
      <w:marLeft w:val="0"/>
      <w:marRight w:val="0"/>
      <w:marTop w:val="0"/>
      <w:marBottom w:val="0"/>
      <w:divBdr>
        <w:top w:val="none" w:sz="0" w:space="0" w:color="auto"/>
        <w:left w:val="none" w:sz="0" w:space="0" w:color="auto"/>
        <w:bottom w:val="none" w:sz="0" w:space="0" w:color="auto"/>
        <w:right w:val="none" w:sz="0" w:space="0" w:color="auto"/>
      </w:divBdr>
    </w:div>
    <w:div w:id="1956716331">
      <w:bodyDiv w:val="1"/>
      <w:marLeft w:val="0"/>
      <w:marRight w:val="0"/>
      <w:marTop w:val="0"/>
      <w:marBottom w:val="0"/>
      <w:divBdr>
        <w:top w:val="none" w:sz="0" w:space="0" w:color="auto"/>
        <w:left w:val="none" w:sz="0" w:space="0" w:color="auto"/>
        <w:bottom w:val="none" w:sz="0" w:space="0" w:color="auto"/>
        <w:right w:val="none" w:sz="0" w:space="0" w:color="auto"/>
      </w:divBdr>
      <w:divsChild>
        <w:div w:id="2095931969">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 w:id="2101487671">
      <w:bodyDiv w:val="1"/>
      <w:marLeft w:val="0"/>
      <w:marRight w:val="0"/>
      <w:marTop w:val="0"/>
      <w:marBottom w:val="0"/>
      <w:divBdr>
        <w:top w:val="none" w:sz="0" w:space="0" w:color="auto"/>
        <w:left w:val="none" w:sz="0" w:space="0" w:color="auto"/>
        <w:bottom w:val="none" w:sz="0" w:space="0" w:color="auto"/>
        <w:right w:val="none" w:sz="0" w:space="0" w:color="auto"/>
      </w:divBdr>
    </w:div>
    <w:div w:id="2130128112">
      <w:bodyDiv w:val="1"/>
      <w:marLeft w:val="0"/>
      <w:marRight w:val="0"/>
      <w:marTop w:val="0"/>
      <w:marBottom w:val="0"/>
      <w:divBdr>
        <w:top w:val="none" w:sz="0" w:space="0" w:color="auto"/>
        <w:left w:val="none" w:sz="0" w:space="0" w:color="auto"/>
        <w:bottom w:val="none" w:sz="0" w:space="0" w:color="auto"/>
        <w:right w:val="none" w:sz="0" w:space="0" w:color="auto"/>
      </w:divBdr>
      <w:divsChild>
        <w:div w:id="52243466">
          <w:blockQuote w:val="1"/>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24/9781315429618" TargetMode="External"/><Relationship Id="rId18" Type="http://schemas.openxmlformats.org/officeDocument/2006/relationships/hyperlink" Target="https://doi.org/10.1075/celcr.12.04gal" TargetMode="External"/><Relationship Id="rId26" Type="http://schemas.openxmlformats.org/officeDocument/2006/relationships/hyperlink" Target="https://doi.org/10.3390/soc9030062" TargetMode="External"/><Relationship Id="rId39" Type="http://schemas.openxmlformats.org/officeDocument/2006/relationships/hyperlink" Target="https://doi.org/10.1093/acprof:oso/9780195385793.001.0001" TargetMode="External"/><Relationship Id="rId21" Type="http://schemas.openxmlformats.org/officeDocument/2006/relationships/hyperlink" Target="https://doi.org/10.5840/symposium202428217" TargetMode="External"/><Relationship Id="rId34" Type="http://schemas.openxmlformats.org/officeDocument/2006/relationships/hyperlink" Target="https://doi.org/10.7208/chicago/9780226713519.001.0001" TargetMode="External"/><Relationship Id="rId42" Type="http://schemas.openxmlformats.org/officeDocument/2006/relationships/hyperlink" Target="https://doi.org/10.3390/ijcs2010007"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hyperlink" Target="https://doi.org/10.1177/104973239700700302" TargetMode="External"/><Relationship Id="rId2" Type="http://schemas.openxmlformats.org/officeDocument/2006/relationships/settings" Target="settings.xml"/><Relationship Id="rId16" Type="http://schemas.openxmlformats.org/officeDocument/2006/relationships/hyperlink" Target="https://doi.org/10.1007/s11098-023-01978-8" TargetMode="External"/><Relationship Id="rId29" Type="http://schemas.openxmlformats.org/officeDocument/2006/relationships/hyperlink" Target="https://doi.org/10.4159/9780674041592" TargetMode="External"/><Relationship Id="rId11" Type="http://schemas.openxmlformats.org/officeDocument/2006/relationships/hyperlink" Target="https://doi.org/10.4159/9780674029019" TargetMode="External"/><Relationship Id="rId24" Type="http://schemas.openxmlformats.org/officeDocument/2006/relationships/hyperlink" Target="https://doi.org/10.1080/00131881.2025.2599788" TargetMode="External"/><Relationship Id="rId32" Type="http://schemas.openxmlformats.org/officeDocument/2006/relationships/hyperlink" Target="https://doi.org/10.1515/9781438416281" TargetMode="External"/><Relationship Id="rId37" Type="http://schemas.openxmlformats.org/officeDocument/2006/relationships/hyperlink" Target="https://doi.org/10.1191/1478088706qrp068oa" TargetMode="External"/><Relationship Id="rId40" Type="http://schemas.openxmlformats.org/officeDocument/2006/relationships/hyperlink" Target="https://doi.org/10.21694/2378-9026.23021" TargetMode="External"/><Relationship Id="rId45"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doi.org/10.1073/pnas.1914085117" TargetMode="External"/><Relationship Id="rId23" Type="http://schemas.openxmlformats.org/officeDocument/2006/relationships/hyperlink" Target="https://sociology.missouri.edu/people/gubrium" TargetMode="External"/><Relationship Id="rId28" Type="http://schemas.openxmlformats.org/officeDocument/2006/relationships/hyperlink" Target="https://doi.org/10.1017/9781009004329" TargetMode="External"/><Relationship Id="rId36" Type="http://schemas.openxmlformats.org/officeDocument/2006/relationships/hyperlink" Target="https://doi.org/10.1111/j.1467-9329.2004.00264.x" TargetMode="External"/><Relationship Id="rId49" Type="http://schemas.openxmlformats.org/officeDocument/2006/relationships/footer" Target="footer3.xml"/><Relationship Id="rId10" Type="http://schemas.openxmlformats.org/officeDocument/2006/relationships/hyperlink" Target="https://doi.org/10.5325/philrhet.55.2.0177" TargetMode="External"/><Relationship Id="rId19" Type="http://schemas.openxmlformats.org/officeDocument/2006/relationships/hyperlink" Target="https://doi.org/10.1017/S0261444826101207" TargetMode="External"/><Relationship Id="rId31" Type="http://schemas.openxmlformats.org/officeDocument/2006/relationships/hyperlink" Target="https://doi.org/10.1093/icb/icy038" TargetMode="External"/><Relationship Id="rId44"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51952/9781529208580.ch008" TargetMode="External"/><Relationship Id="rId14" Type="http://schemas.openxmlformats.org/officeDocument/2006/relationships/hyperlink" Target="https://doi.org/10.1073/pnas.1320645111" TargetMode="External"/><Relationship Id="rId22" Type="http://schemas.openxmlformats.org/officeDocument/2006/relationships/hyperlink" Target="https://doi.org/10.1002/tht3.155" TargetMode="External"/><Relationship Id="rId27" Type="http://schemas.openxmlformats.org/officeDocument/2006/relationships/hyperlink" Target="https://doi.org/10.4324/9780429424533" TargetMode="External"/><Relationship Id="rId30" Type="http://schemas.openxmlformats.org/officeDocument/2006/relationships/hyperlink" Target="https://doi.org/10.1017/9781009444002.002" TargetMode="External"/><Relationship Id="rId35" Type="http://schemas.openxmlformats.org/officeDocument/2006/relationships/hyperlink" Target="https://www.researchgate.net/publication/267447389_Narrative_Method_for_the_Human_Sciences" TargetMode="External"/><Relationship Id="rId43" Type="http://schemas.openxmlformats.org/officeDocument/2006/relationships/hyperlink" Target="https://doi.org/10.1007/BF03031536" TargetMode="External"/><Relationship Id="rId48" Type="http://schemas.openxmlformats.org/officeDocument/2006/relationships/header" Target="header3.xml"/><Relationship Id="rId8" Type="http://schemas.openxmlformats.org/officeDocument/2006/relationships/hyperlink" Target="https://doi.org/10.1515/9783110516678-036"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doi.org/10.1086/448619" TargetMode="External"/><Relationship Id="rId17" Type="http://schemas.openxmlformats.org/officeDocument/2006/relationships/hyperlink" Target="https://doi.org/10.1080/1743727X.2025.2543261" TargetMode="External"/><Relationship Id="rId25" Type="http://schemas.openxmlformats.org/officeDocument/2006/relationships/hyperlink" Target="https://www.pennpress.org/9780812210514/language-in-the-inner-city/" TargetMode="External"/><Relationship Id="rId33" Type="http://schemas.openxmlformats.org/officeDocument/2006/relationships/hyperlink" Target="https://doi.org/10.1080/0951839950080103" TargetMode="External"/><Relationship Id="rId38" Type="http://schemas.openxmlformats.org/officeDocument/2006/relationships/hyperlink" Target="https://doi.org/10.1093/acprof" TargetMode="External"/><Relationship Id="rId46" Type="http://schemas.openxmlformats.org/officeDocument/2006/relationships/footer" Target="footer1.xml"/><Relationship Id="rId20" Type="http://schemas.openxmlformats.org/officeDocument/2006/relationships/hyperlink" Target="https://doi.org/10.1258/jrsm.2011.110285" TargetMode="External"/><Relationship Id="rId41" Type="http://schemas.openxmlformats.org/officeDocument/2006/relationships/hyperlink" Target="https://doi.org/10.12691/wjssh-11-2-2" TargetMode="External"/><Relationship Id="rId1" Type="http://schemas.openxmlformats.org/officeDocument/2006/relationships/styles" Target="styles.xml"/><Relationship Id="rId6" Type="http://schemas.openxmlformats.org/officeDocument/2006/relationships/hyperlink" Target="https://doi.org/10.1146/annurev.soc.29.010202.10011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18</Pages>
  <Words>9116</Words>
  <Characters>51962</Characters>
  <Application>Microsoft Office Word</Application>
  <DocSecurity>0</DocSecurity>
  <Lines>433</Lines>
  <Paragraphs>121</Paragraphs>
  <ScaleCrop>false</ScaleCrop>
  <Company/>
  <LinksUpToDate>false</LinksUpToDate>
  <CharactersWithSpaces>60957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Hongqin Zhao</dc:creator>
  <cp:keywords/>
  <dc:description/>
  <cp:lastModifiedBy>Editor-1183</cp:lastModifiedBy>
  <cp:revision>8</cp:revision>
  <cp:lastPrinted>2026-09-08T08:53:00Z</cp:lastPrinted>
  <dcterms:created xsi:type="dcterms:W3CDTF">2026-09-14T09:41:00Z</dcterms:created>
  <dcterms:modified xsi:type="dcterms:W3CDTF">2026-09-17T13:31:00Z</dcterms:modified>
</cp:coreProperties>
</file>