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175B4" w14:textId="77777777" w:rsidR="001B75D7" w:rsidRDefault="000F028A" w:rsidP="00804AF0">
      <w:pPr>
        <w:spacing w:before="240" w:line="360" w:lineRule="auto"/>
        <w:jc w:val="center"/>
        <w:rPr>
          <w:rFonts w:eastAsia="Times New Roman" w:cs="Times New Roman"/>
          <w:b/>
          <w:bCs/>
        </w:rPr>
      </w:pPr>
      <w:r>
        <w:rPr>
          <w:rFonts w:cs="Times New Roman"/>
          <w:b/>
          <w:bCs/>
          <w:szCs w:val="24"/>
          <w:highlight w:val="yellow"/>
        </w:rPr>
        <w:t xml:space="preserve">A Study on the Occurrence, Pathogenicity, Antimicrobial Resistance and Biofilm Formation of </w:t>
      </w:r>
      <w:r>
        <w:rPr>
          <w:rFonts w:cs="Times New Roman"/>
          <w:b/>
          <w:bCs/>
          <w:i/>
          <w:iCs/>
          <w:szCs w:val="24"/>
          <w:highlight w:val="yellow"/>
        </w:rPr>
        <w:t>Yersinia enterocolitica</w:t>
      </w:r>
      <w:r>
        <w:rPr>
          <w:rFonts w:cs="Times New Roman"/>
          <w:b/>
          <w:bCs/>
          <w:szCs w:val="24"/>
          <w:highlight w:val="yellow"/>
        </w:rPr>
        <w:t xml:space="preserve"> associated with Pork and Pig Slaughterhouse Environments in Puducherry</w:t>
      </w:r>
    </w:p>
    <w:p w14:paraId="303D3210" w14:textId="77777777" w:rsidR="002D3AA2" w:rsidRPr="00804AF0" w:rsidRDefault="00804AF0" w:rsidP="00804AF0">
      <w:pPr>
        <w:spacing w:before="240" w:line="360" w:lineRule="auto"/>
        <w:jc w:val="center"/>
        <w:rPr>
          <w:rFonts w:eastAsia="Times New Roman" w:cs="Times New Roman"/>
          <w:b/>
          <w:bCs/>
        </w:rPr>
      </w:pPr>
      <w:r w:rsidRPr="00804AF0">
        <w:rPr>
          <w:rFonts w:eastAsia="Times New Roman" w:cs="Times New Roman"/>
          <w:b/>
          <w:bCs/>
        </w:rPr>
        <w:t>Abstract</w:t>
      </w:r>
    </w:p>
    <w:p w14:paraId="36B66814" w14:textId="77777777" w:rsidR="00997BF9" w:rsidRDefault="00DE65A8" w:rsidP="00DE65A8">
      <w:pPr>
        <w:spacing w:line="360" w:lineRule="auto"/>
        <w:jc w:val="both"/>
        <w:rPr>
          <w:rFonts w:cs="Times New Roman"/>
          <w:szCs w:val="24"/>
        </w:rPr>
      </w:pPr>
      <w:r>
        <w:rPr>
          <w:rFonts w:cs="Times New Roman"/>
          <w:i/>
          <w:iCs/>
          <w:szCs w:val="24"/>
        </w:rPr>
        <w:t>Yersinia enterocolitica</w:t>
      </w:r>
      <w:r>
        <w:rPr>
          <w:rFonts w:cs="Times New Roman"/>
          <w:szCs w:val="24"/>
        </w:rPr>
        <w:t xml:space="preserve"> is an important foodborne zoonotic pathogen commonly associated with pigs and pork products. The present study investigated the occurrence, pathogenicity, antimicrobial susceptibility and biofilm-forming ability of </w:t>
      </w:r>
      <w:r>
        <w:rPr>
          <w:rFonts w:cs="Times New Roman"/>
          <w:i/>
          <w:iCs/>
          <w:szCs w:val="24"/>
        </w:rPr>
        <w:t>Y. enterocolitica</w:t>
      </w:r>
      <w:r>
        <w:rPr>
          <w:rFonts w:cs="Times New Roman"/>
          <w:szCs w:val="24"/>
        </w:rPr>
        <w:t xml:space="preserve"> isolated from the pork production chain in Puducherry, India. A total of 250 samples comprising pork (n = 100), pig intestinal contents (n = 100) and slaughterhouse soil (n = 50) were analysed using cold enrichment followed by selective isolation on Yersinia Selective Agar. Presumptive isolates were confirmed by morphological and biochemical </w:t>
      </w:r>
      <w:r>
        <w:rPr>
          <w:rFonts w:cs="Times New Roman"/>
          <w:szCs w:val="24"/>
          <w:highlight w:val="yellow"/>
        </w:rPr>
        <w:t>characterisation</w:t>
      </w:r>
      <w:r>
        <w:rPr>
          <w:rFonts w:cs="Times New Roman"/>
          <w:szCs w:val="24"/>
        </w:rPr>
        <w:t xml:space="preserve">. Pathogenicity was evaluated by calcium dependency and Congo Red absorption tests and further confirmed by polymerase chain reaction targeting the </w:t>
      </w:r>
      <w:r>
        <w:rPr>
          <w:rFonts w:cs="Times New Roman"/>
          <w:i/>
          <w:iCs/>
          <w:szCs w:val="24"/>
        </w:rPr>
        <w:t>ail</w:t>
      </w:r>
      <w:r>
        <w:rPr>
          <w:rFonts w:cs="Times New Roman"/>
          <w:szCs w:val="24"/>
        </w:rPr>
        <w:t xml:space="preserve"> gene. Antimicrobial susceptibility was determined by the Kirby–Bauer disc diffusion method, while biofilm formation was assessed using Congo Red Agar. Eleven (4.4%) </w:t>
      </w:r>
      <w:r>
        <w:rPr>
          <w:rFonts w:cs="Times New Roman"/>
          <w:i/>
          <w:iCs/>
          <w:szCs w:val="24"/>
        </w:rPr>
        <w:t>Y. enterocolitica</w:t>
      </w:r>
      <w:r>
        <w:rPr>
          <w:rFonts w:cs="Times New Roman"/>
          <w:szCs w:val="24"/>
        </w:rPr>
        <w:t xml:space="preserve"> isolates were recovered, including seven from pork, two from pig intestinal contents and two from slaughterhouse soil. Nine (81.8%) isolates exhibited pathogenic phenotypes and were positive for the </w:t>
      </w:r>
      <w:r>
        <w:rPr>
          <w:rFonts w:cs="Times New Roman"/>
          <w:i/>
          <w:iCs/>
          <w:szCs w:val="24"/>
        </w:rPr>
        <w:t>ail</w:t>
      </w:r>
      <w:r>
        <w:rPr>
          <w:rFonts w:cs="Times New Roman"/>
          <w:szCs w:val="24"/>
        </w:rPr>
        <w:t xml:space="preserve"> gene, demonstrating complete agreement between conventional and molecular methods. </w:t>
      </w:r>
      <w:r>
        <w:rPr>
          <w:rFonts w:cs="Times New Roman"/>
          <w:szCs w:val="24"/>
          <w:highlight w:val="yellow"/>
        </w:rPr>
        <w:t>All nine phenotypically and molecularly confirmed pathogenic isolates were biofilm-positive, whereas the two non-pathogenic isolates were biofilm-negative.</w:t>
      </w:r>
      <w:r>
        <w:rPr>
          <w:rFonts w:cs="Times New Roman"/>
          <w:szCs w:val="24"/>
        </w:rPr>
        <w:t xml:space="preserve"> </w:t>
      </w:r>
      <w:r>
        <w:rPr>
          <w:rFonts w:cs="Times New Roman"/>
          <w:szCs w:val="24"/>
          <w:highlight w:val="yellow"/>
        </w:rPr>
        <w:t>The antibiogram</w:t>
      </w:r>
      <w:r>
        <w:rPr>
          <w:rFonts w:cs="Times New Roman"/>
          <w:szCs w:val="24"/>
        </w:rPr>
        <w:t xml:space="preserve"> revealed that all isolates were resistant to ampicillin and amoxicillin–clavulanic acid, </w:t>
      </w:r>
      <w:r>
        <w:rPr>
          <w:rFonts w:cs="Times New Roman"/>
          <w:szCs w:val="24"/>
          <w:highlight w:val="yellow"/>
        </w:rPr>
        <w:t>while all were</w:t>
      </w:r>
      <w:r>
        <w:rPr>
          <w:rFonts w:cs="Times New Roman"/>
          <w:szCs w:val="24"/>
        </w:rPr>
        <w:t xml:space="preserve"> susceptible to the other antimicrobials tested. The findings highlight pork and slaughterhouse environments as potential reservoirs of pathogenic </w:t>
      </w:r>
      <w:r>
        <w:rPr>
          <w:rFonts w:cs="Times New Roman"/>
          <w:i/>
          <w:iCs/>
          <w:szCs w:val="24"/>
        </w:rPr>
        <w:t>Y. enterocolitica</w:t>
      </w:r>
      <w:r>
        <w:rPr>
          <w:rFonts w:cs="Times New Roman"/>
          <w:szCs w:val="24"/>
        </w:rPr>
        <w:t xml:space="preserve"> and </w:t>
      </w:r>
      <w:r>
        <w:rPr>
          <w:rFonts w:cs="Times New Roman"/>
          <w:szCs w:val="24"/>
          <w:highlight w:val="yellow"/>
        </w:rPr>
        <w:t>emphasise</w:t>
      </w:r>
      <w:r>
        <w:rPr>
          <w:rFonts w:cs="Times New Roman"/>
          <w:szCs w:val="24"/>
        </w:rPr>
        <w:t xml:space="preserve"> the need for continuous surveillance, improved hygiene practices and prudent antimicrobial stewardship to </w:t>
      </w:r>
      <w:r>
        <w:rPr>
          <w:rFonts w:cs="Times New Roman"/>
          <w:szCs w:val="24"/>
          <w:highlight w:val="yellow"/>
        </w:rPr>
        <w:t>minimise</w:t>
      </w:r>
      <w:r>
        <w:rPr>
          <w:rFonts w:cs="Times New Roman"/>
          <w:szCs w:val="24"/>
        </w:rPr>
        <w:t xml:space="preserve"> foodborne public health risks.</w:t>
      </w:r>
    </w:p>
    <w:p w14:paraId="1F65D3AE" w14:textId="77777777" w:rsidR="00386D25" w:rsidRDefault="000A5A3E" w:rsidP="00F8510A">
      <w:pPr>
        <w:spacing w:line="360" w:lineRule="auto"/>
        <w:rPr>
          <w:rFonts w:cs="Times New Roman"/>
          <w:i/>
          <w:iCs/>
          <w:szCs w:val="24"/>
        </w:rPr>
      </w:pPr>
      <w:r w:rsidRPr="000A5A3E">
        <w:rPr>
          <w:rFonts w:cs="Times New Roman"/>
          <w:b/>
          <w:bCs/>
          <w:szCs w:val="24"/>
        </w:rPr>
        <w:t>Keywords:</w:t>
      </w:r>
      <w:r w:rsidRPr="000A5A3E">
        <w:rPr>
          <w:rFonts w:cs="Times New Roman"/>
          <w:szCs w:val="24"/>
        </w:rPr>
        <w:t xml:space="preserve"> </w:t>
      </w:r>
      <w:r w:rsidR="00386D25" w:rsidRPr="00386D25">
        <w:rPr>
          <w:rFonts w:cs="Times New Roman"/>
          <w:i/>
          <w:iCs/>
          <w:szCs w:val="24"/>
        </w:rPr>
        <w:t>Yersinia enterocolitica; pork; pig slaughterhouse; foodborne zoonosis; pathogenicity; ail gene; antimicrobial resistance; biofilm formation; food safety; Puducherry.</w:t>
      </w:r>
    </w:p>
    <w:p w14:paraId="01E01C4C" w14:textId="566C9A3C" w:rsidR="007F3AB4" w:rsidRPr="00CD2D44" w:rsidRDefault="001D3EA5" w:rsidP="00F8510A">
      <w:pPr>
        <w:spacing w:line="360" w:lineRule="auto"/>
        <w:rPr>
          <w:rFonts w:cs="Times New Roman"/>
          <w:b/>
          <w:bCs/>
          <w:szCs w:val="24"/>
        </w:rPr>
      </w:pPr>
      <w:r>
        <w:rPr>
          <w:rFonts w:cs="Times New Roman"/>
          <w:b/>
          <w:bCs/>
          <w:szCs w:val="24"/>
        </w:rPr>
        <w:t xml:space="preserve">1. </w:t>
      </w:r>
      <w:r w:rsidR="00471E54" w:rsidRPr="00CD2D44">
        <w:rPr>
          <w:rFonts w:cs="Times New Roman"/>
          <w:b/>
          <w:bCs/>
          <w:szCs w:val="24"/>
        </w:rPr>
        <w:t>Introduction</w:t>
      </w:r>
    </w:p>
    <w:p w14:paraId="0DAA2F9B" w14:textId="77777777" w:rsidR="00266E2F" w:rsidRPr="00CD2D44" w:rsidRDefault="00266E2F" w:rsidP="00B86AFF">
      <w:pPr>
        <w:spacing w:line="360" w:lineRule="auto"/>
        <w:ind w:firstLine="720"/>
        <w:jc w:val="both"/>
        <w:rPr>
          <w:rFonts w:cs="Times New Roman"/>
          <w:szCs w:val="24"/>
        </w:rPr>
      </w:pPr>
      <w:r>
        <w:rPr>
          <w:rFonts w:cs="Times New Roman"/>
          <w:szCs w:val="24"/>
        </w:rPr>
        <w:t>Pork is one of the most widely consumed animal protein sources globally and plays an important role in food security and nutrition. In India, pig farming is a significant livelihood activity, particularly among rural and tribal communities</w:t>
      </w:r>
      <w:r>
        <w:rPr>
          <w:rFonts w:cs="Times New Roman"/>
          <w:szCs w:val="24"/>
          <w:highlight w:val="yellow"/>
        </w:rPr>
        <w:t>,</w:t>
      </w:r>
      <w:r>
        <w:rPr>
          <w:rFonts w:cs="Times New Roman"/>
          <w:szCs w:val="24"/>
        </w:rPr>
        <w:t xml:space="preserve"> and is increasingly shifting towards </w:t>
      </w:r>
      <w:r>
        <w:rPr>
          <w:rFonts w:cs="Times New Roman"/>
          <w:szCs w:val="24"/>
        </w:rPr>
        <w:lastRenderedPageBreak/>
        <w:t xml:space="preserve">improved production systems (Drewnowski, 2024; Gupta </w:t>
      </w:r>
      <w:r>
        <w:rPr>
          <w:rFonts w:cs="Times New Roman"/>
          <w:i/>
          <w:iCs/>
          <w:szCs w:val="24"/>
        </w:rPr>
        <w:t>et al</w:t>
      </w:r>
      <w:r>
        <w:rPr>
          <w:rFonts w:cs="Times New Roman"/>
          <w:szCs w:val="24"/>
        </w:rPr>
        <w:t xml:space="preserve">., 2024). Foodborne diseases remain a major public health concern worldwide, with unsafe food causing millions of illnesses and deaths annually (WHO, 2026). Among foodborne bacterial pathogens, </w:t>
      </w:r>
      <w:r>
        <w:rPr>
          <w:rFonts w:cs="Times New Roman"/>
          <w:i/>
          <w:iCs/>
          <w:szCs w:val="24"/>
        </w:rPr>
        <w:t>Yersinia enterocolitica</w:t>
      </w:r>
      <w:r>
        <w:rPr>
          <w:rFonts w:cs="Times New Roman"/>
          <w:szCs w:val="24"/>
        </w:rPr>
        <w:t xml:space="preserve"> is an important zoonotic agent associated with contaminated foods of animal origin, particularly pork and pork products (Saraiva </w:t>
      </w:r>
      <w:r>
        <w:rPr>
          <w:rFonts w:cs="Times New Roman"/>
          <w:i/>
          <w:iCs/>
          <w:szCs w:val="24"/>
        </w:rPr>
        <w:t>et al</w:t>
      </w:r>
      <w:r>
        <w:rPr>
          <w:rFonts w:cs="Times New Roman"/>
          <w:szCs w:val="24"/>
        </w:rPr>
        <w:t>., 2025)</w:t>
      </w:r>
      <w:r>
        <w:rPr>
          <w:rFonts w:cs="Times New Roman"/>
          <w:szCs w:val="24"/>
          <w:highlight w:val="yellow"/>
        </w:rPr>
        <w:t>.</w:t>
      </w:r>
      <w:r>
        <w:rPr>
          <w:b/>
          <w:highlight w:val="yellow"/>
        </w:rPr>
        <w:t xml:space="preserve"> A food-chain risk assessment has similarly identified pigs as an important source of </w:t>
      </w:r>
      <w:r>
        <w:rPr>
          <w:b/>
          <w:i/>
          <w:highlight w:val="yellow"/>
        </w:rPr>
        <w:t>Y. enterocolitica</w:t>
      </w:r>
      <w:r>
        <w:rPr>
          <w:b/>
          <w:highlight w:val="yellow"/>
        </w:rPr>
        <w:t xml:space="preserve"> infection and highlighted slaughter hygiene as relevant to limiting carcass contamination (Kruse </w:t>
      </w:r>
      <w:r>
        <w:rPr>
          <w:b/>
          <w:i/>
          <w:highlight w:val="yellow"/>
        </w:rPr>
        <w:t>et al</w:t>
      </w:r>
      <w:r>
        <w:rPr>
          <w:b/>
          <w:highlight w:val="yellow"/>
        </w:rPr>
        <w:t>., 2021).</w:t>
      </w:r>
    </w:p>
    <w:p w14:paraId="54F1164A" w14:textId="77777777" w:rsidR="00BF75F8" w:rsidRPr="00CD2D44" w:rsidRDefault="00266E2F" w:rsidP="00B86AFF">
      <w:pPr>
        <w:spacing w:line="360" w:lineRule="auto"/>
        <w:ind w:firstLine="720"/>
        <w:jc w:val="both"/>
        <w:rPr>
          <w:rFonts w:cs="Times New Roman"/>
          <w:szCs w:val="24"/>
        </w:rPr>
      </w:pPr>
      <w:r>
        <w:rPr>
          <w:rFonts w:cs="Times New Roman"/>
          <w:i/>
          <w:iCs/>
          <w:szCs w:val="24"/>
        </w:rPr>
        <w:t>Y. enterocolitica</w:t>
      </w:r>
      <w:r>
        <w:rPr>
          <w:rFonts w:cs="Times New Roman"/>
          <w:szCs w:val="24"/>
        </w:rPr>
        <w:t xml:space="preserve"> is a Gram-negative, facultatively anaerobic bacterium belonging to the family Enterobacteriaceae. The organism can survive and multiply at refrigeration temperatures, facilitating its persistence in chilled foods. Pigs are considered the principal reservoir of pathogenic </w:t>
      </w:r>
      <w:r>
        <w:rPr>
          <w:rFonts w:cs="Times New Roman"/>
          <w:i/>
          <w:iCs/>
          <w:szCs w:val="24"/>
        </w:rPr>
        <w:t>Y. enterocolitica</w:t>
      </w:r>
      <w:r>
        <w:rPr>
          <w:rFonts w:cs="Times New Roman"/>
          <w:szCs w:val="24"/>
        </w:rPr>
        <w:t xml:space="preserve"> strains, with the bacterium commonly </w:t>
      </w:r>
      <w:r>
        <w:rPr>
          <w:rFonts w:cs="Times New Roman"/>
          <w:szCs w:val="24"/>
          <w:highlight w:val="yellow"/>
        </w:rPr>
        <w:t>colonising</w:t>
      </w:r>
      <w:r>
        <w:rPr>
          <w:rFonts w:cs="Times New Roman"/>
          <w:szCs w:val="24"/>
        </w:rPr>
        <w:t xml:space="preserve"> the tonsils and intestinal tract of healthy animals. Contamination of pork carcasses during slaughter and processing may result in transmission to humans through the food chain (Aziz </w:t>
      </w:r>
      <w:r>
        <w:rPr>
          <w:rFonts w:cs="Times New Roman"/>
          <w:szCs w:val="24"/>
          <w:highlight w:val="yellow"/>
        </w:rPr>
        <w:t>&amp;</w:t>
      </w:r>
      <w:r>
        <w:rPr>
          <w:rFonts w:cs="Times New Roman"/>
          <w:szCs w:val="24"/>
        </w:rPr>
        <w:t xml:space="preserve"> Rausch-Phung, 2026).</w:t>
      </w:r>
      <w:r>
        <w:rPr>
          <w:b/>
          <w:highlight w:val="yellow"/>
        </w:rPr>
        <w:t xml:space="preserve"> Evidence from a separate slaughter-associated meat setting also indicates that foodborne bacterial contamination can involve both meat and the immediate slaughter environment, supporting attention to hygiene and routine monitoring (Fayaz </w:t>
      </w:r>
      <w:r>
        <w:rPr>
          <w:b/>
          <w:i/>
          <w:highlight w:val="yellow"/>
        </w:rPr>
        <w:t>et al</w:t>
      </w:r>
      <w:r>
        <w:rPr>
          <w:b/>
          <w:highlight w:val="yellow"/>
        </w:rPr>
        <w:t>., 2026).</w:t>
      </w:r>
    </w:p>
    <w:p w14:paraId="3FF10294" w14:textId="77777777" w:rsidR="00BF75F8" w:rsidRPr="00CD2D44" w:rsidRDefault="00BF75F8" w:rsidP="00B86AFF">
      <w:pPr>
        <w:spacing w:line="360" w:lineRule="auto"/>
        <w:ind w:firstLine="720"/>
        <w:jc w:val="both"/>
        <w:rPr>
          <w:rFonts w:cs="Times New Roman"/>
          <w:szCs w:val="24"/>
        </w:rPr>
      </w:pPr>
      <w:r>
        <w:rPr>
          <w:rFonts w:cs="Times New Roman"/>
          <w:szCs w:val="24"/>
        </w:rPr>
        <w:t xml:space="preserve">Consumption of raw or undercooked pork and pork products remains one of the major risk factors associated with human yersiniosis. Children are particularly susceptible to infection, often presenting with fever, abdominal pain, </w:t>
      </w:r>
      <w:r>
        <w:rPr>
          <w:rFonts w:cs="Times New Roman"/>
          <w:szCs w:val="24"/>
          <w:highlight w:val="yellow"/>
        </w:rPr>
        <w:t>diarrhoea</w:t>
      </w:r>
      <w:r>
        <w:rPr>
          <w:rFonts w:cs="Times New Roman"/>
          <w:szCs w:val="24"/>
        </w:rPr>
        <w:t xml:space="preserve"> and symptoms resembling acute appendicitis. In adults, extra-intestinal manifestations such as reactive arthritis, erythema nodosum and glomerulonephritis may occur. Although infections are generally self-limiting, severe cases can result in </w:t>
      </w:r>
      <w:r>
        <w:rPr>
          <w:rFonts w:cs="Times New Roman"/>
          <w:szCs w:val="24"/>
          <w:highlight w:val="yellow"/>
        </w:rPr>
        <w:t>septicaemia</w:t>
      </w:r>
      <w:r>
        <w:rPr>
          <w:rFonts w:cs="Times New Roman"/>
          <w:szCs w:val="24"/>
        </w:rPr>
        <w:t xml:space="preserve">, particularly among immunocompromised individuals (Fredriksson-Ahomaa &amp; Korkeala, 2003; Bari </w:t>
      </w:r>
      <w:r>
        <w:rPr>
          <w:rFonts w:cs="Times New Roman"/>
          <w:i/>
          <w:iCs/>
          <w:szCs w:val="24"/>
        </w:rPr>
        <w:t>et al</w:t>
      </w:r>
      <w:r>
        <w:rPr>
          <w:rFonts w:cs="Times New Roman"/>
          <w:szCs w:val="24"/>
        </w:rPr>
        <w:t>., 2011).</w:t>
      </w:r>
    </w:p>
    <w:p w14:paraId="1BFCBE9C" w14:textId="77777777" w:rsidR="00BF75F8" w:rsidRPr="00CD2D44" w:rsidRDefault="00BF75F8" w:rsidP="00B86AFF">
      <w:pPr>
        <w:spacing w:line="360" w:lineRule="auto"/>
        <w:ind w:firstLine="720"/>
        <w:jc w:val="both"/>
        <w:rPr>
          <w:rFonts w:cs="Times New Roman"/>
          <w:szCs w:val="24"/>
        </w:rPr>
      </w:pPr>
      <w:r>
        <w:rPr>
          <w:rFonts w:cs="Times New Roman"/>
          <w:szCs w:val="24"/>
        </w:rPr>
        <w:t xml:space="preserve">The pathogenicity of </w:t>
      </w:r>
      <w:r>
        <w:rPr>
          <w:rFonts w:cs="Times New Roman"/>
          <w:i/>
          <w:iCs/>
          <w:szCs w:val="24"/>
        </w:rPr>
        <w:t>Y. enterocolitica</w:t>
      </w:r>
      <w:r>
        <w:rPr>
          <w:rFonts w:cs="Times New Roman"/>
          <w:szCs w:val="24"/>
        </w:rPr>
        <w:t xml:space="preserve"> is associated with several chromosomal and plasmid-borne virulence determinants, including the attachment-invasion locus (</w:t>
      </w:r>
      <w:r>
        <w:rPr>
          <w:rFonts w:cs="Times New Roman"/>
          <w:i/>
          <w:iCs/>
          <w:szCs w:val="24"/>
        </w:rPr>
        <w:t>ail</w:t>
      </w:r>
      <w:r>
        <w:rPr>
          <w:rFonts w:cs="Times New Roman"/>
          <w:szCs w:val="24"/>
        </w:rPr>
        <w:t>), invasion gene (</w:t>
      </w:r>
      <w:proofErr w:type="spellStart"/>
      <w:r>
        <w:rPr>
          <w:rFonts w:cs="Times New Roman"/>
          <w:i/>
          <w:iCs/>
          <w:szCs w:val="24"/>
        </w:rPr>
        <w:t>inv</w:t>
      </w:r>
      <w:proofErr w:type="spellEnd"/>
      <w:r>
        <w:rPr>
          <w:rFonts w:cs="Times New Roman"/>
          <w:szCs w:val="24"/>
        </w:rPr>
        <w:t>), heat-stable enterotoxin genes (</w:t>
      </w:r>
      <w:proofErr w:type="spellStart"/>
      <w:r>
        <w:rPr>
          <w:rFonts w:cs="Times New Roman"/>
          <w:i/>
          <w:iCs/>
          <w:szCs w:val="24"/>
        </w:rPr>
        <w:t>ystA</w:t>
      </w:r>
      <w:proofErr w:type="spellEnd"/>
      <w:r>
        <w:rPr>
          <w:rFonts w:cs="Times New Roman"/>
          <w:szCs w:val="24"/>
        </w:rPr>
        <w:t xml:space="preserve">, </w:t>
      </w:r>
      <w:proofErr w:type="spellStart"/>
      <w:r>
        <w:rPr>
          <w:rFonts w:cs="Times New Roman"/>
          <w:i/>
          <w:iCs/>
          <w:szCs w:val="24"/>
        </w:rPr>
        <w:t>ystB</w:t>
      </w:r>
      <w:proofErr w:type="spellEnd"/>
      <w:r>
        <w:rPr>
          <w:rFonts w:cs="Times New Roman"/>
          <w:i/>
          <w:iCs/>
          <w:szCs w:val="24"/>
        </w:rPr>
        <w:t xml:space="preserve"> </w:t>
      </w:r>
      <w:r>
        <w:rPr>
          <w:rFonts w:cs="Times New Roman"/>
          <w:szCs w:val="24"/>
        </w:rPr>
        <w:t>and</w:t>
      </w:r>
      <w:r>
        <w:rPr>
          <w:rFonts w:cs="Times New Roman"/>
          <w:i/>
          <w:iCs/>
          <w:color w:val="1B1B1B"/>
          <w:szCs w:val="24"/>
          <w:shd w:val="clear" w:color="auto" w:fill="FFFFFF"/>
        </w:rPr>
        <w:t xml:space="preserve"> </w:t>
      </w:r>
      <w:proofErr w:type="spellStart"/>
      <w:r>
        <w:rPr>
          <w:rFonts w:cs="Times New Roman"/>
          <w:i/>
          <w:iCs/>
          <w:szCs w:val="24"/>
        </w:rPr>
        <w:t>ystC</w:t>
      </w:r>
      <w:proofErr w:type="spellEnd"/>
      <w:r>
        <w:rPr>
          <w:rFonts w:cs="Times New Roman"/>
          <w:szCs w:val="24"/>
        </w:rPr>
        <w:t>) and the virulence plasmid (</w:t>
      </w:r>
      <w:proofErr w:type="spellStart"/>
      <w:r>
        <w:rPr>
          <w:rFonts w:cs="Times New Roman"/>
          <w:szCs w:val="24"/>
        </w:rPr>
        <w:t>pYV</w:t>
      </w:r>
      <w:proofErr w:type="spellEnd"/>
      <w:r>
        <w:rPr>
          <w:rFonts w:cs="Times New Roman"/>
          <w:szCs w:val="24"/>
        </w:rPr>
        <w:t>) (Platt-</w:t>
      </w:r>
      <w:proofErr w:type="spellStart"/>
      <w:r>
        <w:rPr>
          <w:rFonts w:cs="Times New Roman"/>
          <w:szCs w:val="24"/>
        </w:rPr>
        <w:t>Samoraj</w:t>
      </w:r>
      <w:proofErr w:type="spellEnd"/>
      <w:r>
        <w:rPr>
          <w:rFonts w:cs="Times New Roman"/>
          <w:szCs w:val="24"/>
        </w:rPr>
        <w:t>, 2022).</w:t>
      </w:r>
      <w:r>
        <w:rPr>
          <w:b/>
          <w:highlight w:val="yellow"/>
        </w:rPr>
        <w:t xml:space="preserve"> Recent studies of </w:t>
      </w:r>
      <w:r>
        <w:rPr>
          <w:b/>
          <w:i/>
          <w:highlight w:val="yellow"/>
        </w:rPr>
        <w:t>Y. enterocolitica</w:t>
      </w:r>
      <w:r>
        <w:rPr>
          <w:b/>
          <w:highlight w:val="yellow"/>
        </w:rPr>
        <w:t xml:space="preserve"> in pig and meat-related food chains have further examined antimicrobial resistance, biofilm formation and transmission across food-associated environments (Siddi </w:t>
      </w:r>
      <w:r>
        <w:rPr>
          <w:b/>
          <w:i/>
          <w:highlight w:val="yellow"/>
        </w:rPr>
        <w:t>et al</w:t>
      </w:r>
      <w:r>
        <w:rPr>
          <w:b/>
          <w:highlight w:val="yellow"/>
        </w:rPr>
        <w:t xml:space="preserve">., 2025; Lou </w:t>
      </w:r>
      <w:r>
        <w:rPr>
          <w:b/>
          <w:i/>
          <w:highlight w:val="yellow"/>
        </w:rPr>
        <w:t>et al</w:t>
      </w:r>
      <w:r>
        <w:rPr>
          <w:b/>
          <w:highlight w:val="yellow"/>
        </w:rPr>
        <w:t xml:space="preserve">., 2025; Fang </w:t>
      </w:r>
      <w:r>
        <w:rPr>
          <w:b/>
          <w:i/>
          <w:highlight w:val="yellow"/>
        </w:rPr>
        <w:t>et al</w:t>
      </w:r>
      <w:r>
        <w:rPr>
          <w:b/>
          <w:highlight w:val="yellow"/>
        </w:rPr>
        <w:t xml:space="preserve">., 2026). However, occurrence alone does not indicate whether recovered </w:t>
      </w:r>
      <w:r>
        <w:rPr>
          <w:b/>
          <w:i/>
          <w:highlight w:val="yellow"/>
        </w:rPr>
        <w:t xml:space="preserve">Y. </w:t>
      </w:r>
      <w:r>
        <w:rPr>
          <w:b/>
          <w:i/>
          <w:highlight w:val="yellow"/>
        </w:rPr>
        <w:lastRenderedPageBreak/>
        <w:t>enterocolitica</w:t>
      </w:r>
      <w:r>
        <w:rPr>
          <w:b/>
          <w:highlight w:val="yellow"/>
        </w:rPr>
        <w:t xml:space="preserve"> isolates are pathogenic, antimicrobial-resistant or capable of biofilm formation; an integrated assessment of these attributes is therefore needed within the study setting. </w:t>
      </w:r>
      <w:r>
        <w:rPr>
          <w:rFonts w:cs="Times New Roman"/>
          <w:szCs w:val="24"/>
        </w:rPr>
        <w:t xml:space="preserve">Given the importance of pork as a vehicle for foodborne pathogens and the continued global burden of yersiniosis, the present study was carried out to detect the presence of </w:t>
      </w:r>
      <w:r>
        <w:rPr>
          <w:rFonts w:cs="Times New Roman"/>
          <w:i/>
          <w:iCs/>
          <w:szCs w:val="24"/>
        </w:rPr>
        <w:t>Y. enterocolitica</w:t>
      </w:r>
      <w:r>
        <w:rPr>
          <w:rFonts w:cs="Times New Roman"/>
          <w:szCs w:val="24"/>
        </w:rPr>
        <w:t xml:space="preserve"> in pork, pig intestinal contents and pig slaughter premises in Puducherry.</w:t>
      </w:r>
    </w:p>
    <w:p w14:paraId="4A292E27" w14:textId="77777777" w:rsidR="002C441D" w:rsidRDefault="001D3EA5" w:rsidP="00F8510A">
      <w:pPr>
        <w:spacing w:line="360" w:lineRule="auto"/>
        <w:rPr>
          <w:rFonts w:cs="Times New Roman"/>
          <w:b/>
          <w:bCs/>
          <w:szCs w:val="24"/>
        </w:rPr>
      </w:pPr>
      <w:r>
        <w:rPr>
          <w:rFonts w:cs="Times New Roman"/>
          <w:b/>
          <w:bCs/>
          <w:szCs w:val="24"/>
        </w:rPr>
        <w:t xml:space="preserve">2. </w:t>
      </w:r>
      <w:r w:rsidR="00471E54" w:rsidRPr="00CD2D44">
        <w:rPr>
          <w:rFonts w:cs="Times New Roman"/>
          <w:b/>
          <w:bCs/>
          <w:szCs w:val="24"/>
        </w:rPr>
        <w:t xml:space="preserve">Materials and </w:t>
      </w:r>
      <w:r w:rsidR="00471E54">
        <w:rPr>
          <w:rFonts w:cs="Times New Roman"/>
          <w:b/>
          <w:bCs/>
          <w:szCs w:val="24"/>
        </w:rPr>
        <w:t>M</w:t>
      </w:r>
      <w:r w:rsidR="00471E54" w:rsidRPr="00CD2D44">
        <w:rPr>
          <w:rFonts w:cs="Times New Roman"/>
          <w:b/>
          <w:bCs/>
          <w:szCs w:val="24"/>
        </w:rPr>
        <w:t>ethods</w:t>
      </w:r>
    </w:p>
    <w:p w14:paraId="28DC72F3" w14:textId="77777777" w:rsidR="00B87EFF" w:rsidRPr="009B6D44" w:rsidRDefault="00B87EFF" w:rsidP="00F8510A">
      <w:pPr>
        <w:spacing w:line="360" w:lineRule="auto"/>
        <w:rPr>
          <w:rFonts w:cs="Times New Roman"/>
          <w:b/>
          <w:bCs/>
          <w:szCs w:val="24"/>
          <w:highlight w:val="yellow"/>
        </w:rPr>
      </w:pPr>
      <w:r w:rsidRPr="009B6D44">
        <w:rPr>
          <w:rFonts w:cs="Times New Roman"/>
          <w:b/>
          <w:bCs/>
          <w:szCs w:val="24"/>
          <w:highlight w:val="yellow"/>
        </w:rPr>
        <w:t>2.1 Sampling strategy and sample collection</w:t>
      </w:r>
    </w:p>
    <w:p w14:paraId="2C329385" w14:textId="77777777" w:rsidR="009B6D44" w:rsidRDefault="00B87EFF" w:rsidP="00B86AFF">
      <w:pPr>
        <w:spacing w:line="360" w:lineRule="auto"/>
        <w:ind w:firstLine="720"/>
        <w:jc w:val="both"/>
        <w:rPr>
          <w:rFonts w:cs="Times New Roman"/>
          <w:szCs w:val="24"/>
        </w:rPr>
      </w:pPr>
      <w:r>
        <w:rPr>
          <w:rFonts w:cs="Times New Roman"/>
          <w:szCs w:val="24"/>
          <w:highlight w:val="yellow"/>
        </w:rPr>
        <w:t xml:space="preserve">A total of 250 samples representing different points of the pork production chain were included in the study, comprising pork (n = 100), pig intestinal contents (n = 100) and soil from slaughterhouse premises (n = 50). Samples were collected from pig slaughter premises and associated pork sources in different locations of Puducherry during the study period. The sampling strategy was designed to include both animal-derived and environmental samples to assess the occurrence of </w:t>
      </w:r>
      <w:r>
        <w:rPr>
          <w:rFonts w:cs="Times New Roman"/>
          <w:i/>
          <w:iCs/>
          <w:szCs w:val="24"/>
          <w:highlight w:val="yellow"/>
        </w:rPr>
        <w:t>Y. enterocolitica</w:t>
      </w:r>
      <w:r>
        <w:rPr>
          <w:rFonts w:cs="Times New Roman"/>
          <w:szCs w:val="24"/>
          <w:highlight w:val="yellow"/>
        </w:rPr>
        <w:t xml:space="preserve"> at different points of the pork production chain.</w:t>
      </w:r>
    </w:p>
    <w:p w14:paraId="2B52147C" w14:textId="206238BD" w:rsidR="00B5192E" w:rsidRPr="00CD2D44" w:rsidRDefault="00F115F8" w:rsidP="00B86AFF">
      <w:pPr>
        <w:spacing w:line="360" w:lineRule="auto"/>
        <w:ind w:firstLine="720"/>
        <w:jc w:val="both"/>
        <w:rPr>
          <w:rFonts w:cs="Times New Roman"/>
          <w:szCs w:val="24"/>
        </w:rPr>
      </w:pPr>
      <w:r w:rsidRPr="00CD2D44">
        <w:rPr>
          <w:rFonts w:cs="Times New Roman"/>
          <w:szCs w:val="24"/>
        </w:rPr>
        <w:t xml:space="preserve">All the samples were collected in sterile polythene bags and immediately transported to laboratory in ice box for further analysis. The samples were processed in the Biosafety Level II laboratory in the Department of Veterinary Public Health and Epidemiology, RIVER, Puducherry.  </w:t>
      </w:r>
    </w:p>
    <w:p w14:paraId="06E8913F" w14:textId="77777777" w:rsidR="005A79C5" w:rsidRPr="00CD2D44" w:rsidRDefault="001D3EA5" w:rsidP="00B86AFF">
      <w:pPr>
        <w:spacing w:line="360" w:lineRule="auto"/>
        <w:jc w:val="both"/>
        <w:rPr>
          <w:rFonts w:cs="Times New Roman"/>
          <w:b/>
          <w:bCs/>
          <w:szCs w:val="24"/>
        </w:rPr>
      </w:pPr>
      <w:r>
        <w:rPr>
          <w:rFonts w:cs="Times New Roman"/>
          <w:b/>
          <w:bCs/>
          <w:szCs w:val="24"/>
        </w:rPr>
        <w:t>2.</w:t>
      </w:r>
      <w:r w:rsidR="00B87EFF">
        <w:rPr>
          <w:rFonts w:cs="Times New Roman"/>
          <w:b/>
          <w:bCs/>
          <w:szCs w:val="24"/>
        </w:rPr>
        <w:t>2</w:t>
      </w:r>
      <w:r>
        <w:rPr>
          <w:rFonts w:cs="Times New Roman"/>
          <w:b/>
          <w:bCs/>
          <w:szCs w:val="24"/>
        </w:rPr>
        <w:t xml:space="preserve"> </w:t>
      </w:r>
      <w:r w:rsidR="005A79C5" w:rsidRPr="00CD2D44">
        <w:rPr>
          <w:rFonts w:cs="Times New Roman"/>
          <w:b/>
          <w:bCs/>
          <w:szCs w:val="24"/>
        </w:rPr>
        <w:t xml:space="preserve">Isolation </w:t>
      </w:r>
      <w:r w:rsidR="00CD72B5" w:rsidRPr="00CD2D44">
        <w:rPr>
          <w:rFonts w:cs="Times New Roman"/>
          <w:b/>
          <w:bCs/>
          <w:szCs w:val="24"/>
        </w:rPr>
        <w:t xml:space="preserve">and identification </w:t>
      </w:r>
      <w:r w:rsidR="005A79C5" w:rsidRPr="00CD2D44">
        <w:rPr>
          <w:rFonts w:cs="Times New Roman"/>
          <w:b/>
          <w:bCs/>
          <w:szCs w:val="24"/>
        </w:rPr>
        <w:t xml:space="preserve">of </w:t>
      </w:r>
      <w:r w:rsidR="00480BC5" w:rsidRPr="00CD2D44">
        <w:rPr>
          <w:rFonts w:cs="Times New Roman"/>
          <w:b/>
          <w:bCs/>
          <w:i/>
          <w:iCs/>
          <w:szCs w:val="24"/>
        </w:rPr>
        <w:t>Y. enterocolitica</w:t>
      </w:r>
      <w:r w:rsidR="005A79C5" w:rsidRPr="00CD2D44">
        <w:rPr>
          <w:rFonts w:cs="Times New Roman"/>
          <w:b/>
          <w:bCs/>
          <w:szCs w:val="24"/>
        </w:rPr>
        <w:t>:</w:t>
      </w:r>
    </w:p>
    <w:p w14:paraId="2318DA35" w14:textId="77777777" w:rsidR="005A79C5" w:rsidRDefault="009D5BE4" w:rsidP="00B86AFF">
      <w:pPr>
        <w:spacing w:line="360" w:lineRule="auto"/>
        <w:ind w:firstLine="720"/>
        <w:jc w:val="both"/>
        <w:rPr>
          <w:rFonts w:cs="Times New Roman"/>
          <w:szCs w:val="24"/>
        </w:rPr>
      </w:pPr>
      <w:r>
        <w:rPr>
          <w:rFonts w:cs="Times New Roman"/>
          <w:szCs w:val="24"/>
        </w:rPr>
        <w:t xml:space="preserve">Isolation of </w:t>
      </w:r>
      <w:r>
        <w:rPr>
          <w:rFonts w:cs="Times New Roman"/>
          <w:i/>
          <w:iCs/>
          <w:szCs w:val="24"/>
        </w:rPr>
        <w:t>Y. enterocolitica</w:t>
      </w:r>
      <w:r>
        <w:rPr>
          <w:rFonts w:cs="Times New Roman"/>
          <w:szCs w:val="24"/>
        </w:rPr>
        <w:t xml:space="preserve"> was carried out using </w:t>
      </w:r>
      <w:r>
        <w:rPr>
          <w:rFonts w:cs="Times New Roman"/>
          <w:szCs w:val="24"/>
          <w:highlight w:val="yellow"/>
        </w:rPr>
        <w:t>a cold-enrichment</w:t>
      </w:r>
      <w:r>
        <w:rPr>
          <w:rFonts w:cs="Times New Roman"/>
          <w:szCs w:val="24"/>
        </w:rPr>
        <w:t xml:space="preserve"> method followed by selective plating as described by Lal </w:t>
      </w:r>
      <w:r>
        <w:rPr>
          <w:rFonts w:cs="Times New Roman"/>
          <w:i/>
          <w:iCs/>
          <w:szCs w:val="24"/>
        </w:rPr>
        <w:t>et al</w:t>
      </w:r>
      <w:r>
        <w:rPr>
          <w:rFonts w:cs="Times New Roman"/>
          <w:szCs w:val="24"/>
        </w:rPr>
        <w:t xml:space="preserve">. (2003). Briefly, 25 g of pork, 10 g of intestinal content and 10 g of soil </w:t>
      </w:r>
      <w:r>
        <w:rPr>
          <w:rFonts w:cs="Times New Roman"/>
          <w:szCs w:val="24"/>
          <w:highlight w:val="yellow"/>
        </w:rPr>
        <w:t>were</w:t>
      </w:r>
      <w:r>
        <w:rPr>
          <w:rFonts w:cs="Times New Roman"/>
          <w:szCs w:val="24"/>
        </w:rPr>
        <w:t xml:space="preserve"> </w:t>
      </w:r>
      <w:r>
        <w:rPr>
          <w:rFonts w:cs="Times New Roman"/>
          <w:szCs w:val="24"/>
          <w:highlight w:val="yellow"/>
        </w:rPr>
        <w:t>homogenised</w:t>
      </w:r>
      <w:r>
        <w:rPr>
          <w:rFonts w:cs="Times New Roman"/>
          <w:szCs w:val="24"/>
        </w:rPr>
        <w:t xml:space="preserve"> in phosphate-buffered saline at a 1:10 dilution and incubated at 4°C for 21 days. Following enrichment, a loopful of the culture was streaked onto Yersinia Selective Agar supplemented with </w:t>
      </w:r>
      <w:proofErr w:type="spellStart"/>
      <w:r>
        <w:rPr>
          <w:rFonts w:cs="Times New Roman"/>
          <w:szCs w:val="24"/>
        </w:rPr>
        <w:t>cefsulodin</w:t>
      </w:r>
      <w:proofErr w:type="spellEnd"/>
      <w:r>
        <w:rPr>
          <w:rFonts w:cs="Times New Roman"/>
          <w:szCs w:val="24"/>
        </w:rPr>
        <w:t>, triclosan (</w:t>
      </w:r>
      <w:proofErr w:type="spellStart"/>
      <w:r>
        <w:rPr>
          <w:rFonts w:cs="Times New Roman"/>
          <w:szCs w:val="24"/>
        </w:rPr>
        <w:t>irgasan</w:t>
      </w:r>
      <w:proofErr w:type="spellEnd"/>
      <w:r>
        <w:rPr>
          <w:rFonts w:cs="Times New Roman"/>
          <w:szCs w:val="24"/>
        </w:rPr>
        <w:t xml:space="preserve">) and novobiocin and incubated at 37°C for 24 h. Presumptive </w:t>
      </w:r>
      <w:r>
        <w:rPr>
          <w:rFonts w:cs="Times New Roman"/>
          <w:i/>
          <w:iCs/>
          <w:szCs w:val="24"/>
        </w:rPr>
        <w:t>Y. enterocolitica</w:t>
      </w:r>
      <w:r>
        <w:rPr>
          <w:rFonts w:cs="Times New Roman"/>
          <w:szCs w:val="24"/>
        </w:rPr>
        <w:t xml:space="preserve"> colonies exhibiting </w:t>
      </w:r>
      <w:r>
        <w:rPr>
          <w:rFonts w:cs="Times New Roman"/>
          <w:szCs w:val="24"/>
          <w:highlight w:val="yellow"/>
        </w:rPr>
        <w:t>a deep</w:t>
      </w:r>
      <w:r>
        <w:rPr>
          <w:rFonts w:cs="Times New Roman"/>
          <w:szCs w:val="24"/>
        </w:rPr>
        <w:t xml:space="preserve"> red </w:t>
      </w:r>
      <w:r>
        <w:rPr>
          <w:rFonts w:cs="Times New Roman"/>
          <w:szCs w:val="24"/>
          <w:highlight w:val="yellow"/>
        </w:rPr>
        <w:t>centre</w:t>
      </w:r>
      <w:r>
        <w:rPr>
          <w:rFonts w:cs="Times New Roman"/>
          <w:szCs w:val="24"/>
        </w:rPr>
        <w:t xml:space="preserve"> (bull’s eye) and a sharp border surrounded by a translucent zone were selected and subjected to biochemical </w:t>
      </w:r>
      <w:r>
        <w:rPr>
          <w:rFonts w:cs="Times New Roman"/>
          <w:szCs w:val="24"/>
          <w:highlight w:val="yellow"/>
        </w:rPr>
        <w:t>characterisation</w:t>
      </w:r>
      <w:r>
        <w:rPr>
          <w:rFonts w:cs="Times New Roman"/>
          <w:szCs w:val="24"/>
        </w:rPr>
        <w:t xml:space="preserve"> according to Bergey’s Manual of Systematic Bacteriology (Krieg &amp; Holt, 1984) (Table 1).</w:t>
      </w:r>
    </w:p>
    <w:p w14:paraId="0B77DF33" w14:textId="77777777" w:rsidR="00166DB8" w:rsidRPr="00CD2D44" w:rsidRDefault="00166DB8" w:rsidP="00B86AFF">
      <w:pPr>
        <w:spacing w:line="360" w:lineRule="auto"/>
        <w:jc w:val="center"/>
        <w:rPr>
          <w:rFonts w:cs="Times New Roman"/>
          <w:b/>
          <w:bCs/>
          <w:szCs w:val="24"/>
        </w:rPr>
      </w:pPr>
      <w:r w:rsidRPr="00CD2D44">
        <w:rPr>
          <w:rFonts w:cs="Times New Roman"/>
          <w:b/>
          <w:bCs/>
          <w:szCs w:val="24"/>
        </w:rPr>
        <w:t>Table 1</w:t>
      </w:r>
      <w:r w:rsidR="00424C7A" w:rsidRPr="00CD2D44">
        <w:rPr>
          <w:rFonts w:cs="Times New Roman"/>
          <w:b/>
          <w:bCs/>
          <w:szCs w:val="24"/>
        </w:rPr>
        <w:t xml:space="preserve">. </w:t>
      </w:r>
      <w:r w:rsidRPr="00CD2D44">
        <w:rPr>
          <w:rFonts w:cs="Times New Roman"/>
          <w:b/>
          <w:bCs/>
          <w:szCs w:val="24"/>
        </w:rPr>
        <w:t xml:space="preserve"> </w:t>
      </w:r>
      <w:r w:rsidR="00424C7A" w:rsidRPr="00CD2D44">
        <w:rPr>
          <w:rFonts w:cs="Times New Roman"/>
          <w:b/>
          <w:bCs/>
          <w:szCs w:val="24"/>
        </w:rPr>
        <w:t xml:space="preserve">Identification tests for </w:t>
      </w:r>
      <w:r w:rsidR="00424C7A" w:rsidRPr="00CD2D44">
        <w:rPr>
          <w:rFonts w:cs="Times New Roman"/>
          <w:b/>
          <w:bCs/>
          <w:i/>
          <w:iCs/>
          <w:szCs w:val="24"/>
        </w:rPr>
        <w:t>Y. enterocolitica</w:t>
      </w:r>
    </w:p>
    <w:tbl>
      <w:tblPr>
        <w:tblStyle w:val="TableGrid"/>
        <w:tblW w:w="0" w:type="auto"/>
        <w:jc w:val="center"/>
        <w:tblLook w:val="04A0" w:firstRow="1" w:lastRow="0" w:firstColumn="1" w:lastColumn="0" w:noHBand="0" w:noVBand="1"/>
      </w:tblPr>
      <w:tblGrid>
        <w:gridCol w:w="823"/>
        <w:gridCol w:w="2874"/>
        <w:gridCol w:w="3056"/>
      </w:tblGrid>
      <w:tr w:rsidR="00B9068C" w:rsidRPr="00CD2D44" w14:paraId="5E6EEB10" w14:textId="77777777" w:rsidTr="00424C7A">
        <w:trPr>
          <w:jc w:val="center"/>
        </w:trPr>
        <w:tc>
          <w:tcPr>
            <w:tcW w:w="0" w:type="auto"/>
            <w:hideMark/>
          </w:tcPr>
          <w:p w14:paraId="10BA66FF" w14:textId="77777777" w:rsidR="00B9068C" w:rsidRPr="00CD2D44" w:rsidRDefault="00B9068C" w:rsidP="003D70A8">
            <w:pPr>
              <w:spacing w:after="160"/>
              <w:jc w:val="both"/>
              <w:rPr>
                <w:rFonts w:cs="Times New Roman"/>
                <w:b/>
                <w:bCs/>
                <w:szCs w:val="24"/>
              </w:rPr>
            </w:pPr>
            <w:r w:rsidRPr="00CD2D44">
              <w:rPr>
                <w:rFonts w:cs="Times New Roman"/>
                <w:b/>
                <w:bCs/>
                <w:szCs w:val="24"/>
              </w:rPr>
              <w:t>S. No.</w:t>
            </w:r>
          </w:p>
        </w:tc>
        <w:tc>
          <w:tcPr>
            <w:tcW w:w="0" w:type="auto"/>
            <w:hideMark/>
          </w:tcPr>
          <w:p w14:paraId="5A0DF257" w14:textId="77777777" w:rsidR="00B9068C" w:rsidRPr="00CD2D44" w:rsidRDefault="00B9068C" w:rsidP="003D70A8">
            <w:pPr>
              <w:spacing w:after="160"/>
              <w:jc w:val="both"/>
              <w:rPr>
                <w:rFonts w:cs="Times New Roman"/>
                <w:b/>
                <w:bCs/>
                <w:szCs w:val="24"/>
              </w:rPr>
            </w:pPr>
            <w:r w:rsidRPr="00CD2D44">
              <w:rPr>
                <w:rFonts w:cs="Times New Roman"/>
                <w:b/>
                <w:bCs/>
                <w:szCs w:val="24"/>
              </w:rPr>
              <w:t>Identification Test</w:t>
            </w:r>
          </w:p>
        </w:tc>
        <w:tc>
          <w:tcPr>
            <w:tcW w:w="0" w:type="auto"/>
            <w:hideMark/>
          </w:tcPr>
          <w:p w14:paraId="6416EC2A" w14:textId="77777777" w:rsidR="00B9068C" w:rsidRPr="00CD2D44" w:rsidRDefault="00B9068C" w:rsidP="003D70A8">
            <w:pPr>
              <w:spacing w:after="160"/>
              <w:jc w:val="center"/>
              <w:rPr>
                <w:rFonts w:cs="Times New Roman"/>
                <w:b/>
                <w:bCs/>
                <w:szCs w:val="24"/>
              </w:rPr>
            </w:pPr>
            <w:r w:rsidRPr="00CD2D44">
              <w:rPr>
                <w:rFonts w:cs="Times New Roman"/>
                <w:b/>
                <w:bCs/>
                <w:szCs w:val="24"/>
              </w:rPr>
              <w:t>Characterization / Reaction</w:t>
            </w:r>
          </w:p>
        </w:tc>
      </w:tr>
      <w:tr w:rsidR="00B9068C" w:rsidRPr="00CD2D44" w14:paraId="4E9B072F" w14:textId="77777777" w:rsidTr="00424C7A">
        <w:trPr>
          <w:jc w:val="center"/>
        </w:trPr>
        <w:tc>
          <w:tcPr>
            <w:tcW w:w="0" w:type="auto"/>
            <w:hideMark/>
          </w:tcPr>
          <w:p w14:paraId="603C9C8D" w14:textId="77777777" w:rsidR="00B9068C" w:rsidRPr="00CD2D44" w:rsidRDefault="00B9068C" w:rsidP="003D70A8">
            <w:pPr>
              <w:spacing w:after="160"/>
              <w:jc w:val="center"/>
              <w:rPr>
                <w:rFonts w:cs="Times New Roman"/>
                <w:szCs w:val="24"/>
              </w:rPr>
            </w:pPr>
            <w:r w:rsidRPr="00CD2D44">
              <w:rPr>
                <w:rFonts w:cs="Times New Roman"/>
                <w:szCs w:val="24"/>
              </w:rPr>
              <w:t>1</w:t>
            </w:r>
          </w:p>
        </w:tc>
        <w:tc>
          <w:tcPr>
            <w:tcW w:w="0" w:type="auto"/>
            <w:hideMark/>
          </w:tcPr>
          <w:p w14:paraId="104EC1F7" w14:textId="77777777" w:rsidR="00B9068C" w:rsidRPr="00CD2D44" w:rsidRDefault="00B9068C" w:rsidP="003D70A8">
            <w:pPr>
              <w:spacing w:after="160"/>
              <w:jc w:val="both"/>
              <w:rPr>
                <w:rFonts w:cs="Times New Roman"/>
                <w:szCs w:val="24"/>
              </w:rPr>
            </w:pPr>
            <w:r w:rsidRPr="00CD2D44">
              <w:rPr>
                <w:rFonts w:cs="Times New Roman"/>
                <w:szCs w:val="24"/>
              </w:rPr>
              <w:t>Gram’s staining</w:t>
            </w:r>
          </w:p>
        </w:tc>
        <w:tc>
          <w:tcPr>
            <w:tcW w:w="0" w:type="auto"/>
            <w:hideMark/>
          </w:tcPr>
          <w:p w14:paraId="3873D40F" w14:textId="77777777" w:rsidR="00B9068C" w:rsidRPr="00CD2D44" w:rsidRDefault="00B9068C" w:rsidP="003D70A8">
            <w:pPr>
              <w:spacing w:after="160"/>
              <w:jc w:val="center"/>
              <w:rPr>
                <w:rFonts w:cs="Times New Roman"/>
                <w:szCs w:val="24"/>
              </w:rPr>
            </w:pPr>
            <w:r w:rsidRPr="00CD2D44">
              <w:rPr>
                <w:rFonts w:cs="Times New Roman"/>
                <w:szCs w:val="24"/>
              </w:rPr>
              <w:t>Gram-negative rods</w:t>
            </w:r>
          </w:p>
        </w:tc>
      </w:tr>
      <w:tr w:rsidR="00B9068C" w:rsidRPr="00CD2D44" w14:paraId="50A7D042" w14:textId="77777777" w:rsidTr="00424C7A">
        <w:trPr>
          <w:jc w:val="center"/>
        </w:trPr>
        <w:tc>
          <w:tcPr>
            <w:tcW w:w="0" w:type="auto"/>
            <w:hideMark/>
          </w:tcPr>
          <w:p w14:paraId="2C6F77B5" w14:textId="77777777" w:rsidR="00B9068C" w:rsidRPr="00CD2D44" w:rsidRDefault="00B9068C" w:rsidP="003D70A8">
            <w:pPr>
              <w:spacing w:after="160"/>
              <w:jc w:val="center"/>
              <w:rPr>
                <w:rFonts w:cs="Times New Roman"/>
                <w:szCs w:val="24"/>
              </w:rPr>
            </w:pPr>
            <w:r w:rsidRPr="00CD2D44">
              <w:rPr>
                <w:rFonts w:cs="Times New Roman"/>
                <w:szCs w:val="24"/>
              </w:rPr>
              <w:lastRenderedPageBreak/>
              <w:t>2</w:t>
            </w:r>
          </w:p>
        </w:tc>
        <w:tc>
          <w:tcPr>
            <w:tcW w:w="0" w:type="auto"/>
            <w:hideMark/>
          </w:tcPr>
          <w:p w14:paraId="4B50283B" w14:textId="77777777" w:rsidR="00B9068C" w:rsidRPr="00CD2D44" w:rsidRDefault="00B9068C" w:rsidP="003D70A8">
            <w:pPr>
              <w:spacing w:after="160"/>
              <w:jc w:val="both"/>
              <w:rPr>
                <w:rFonts w:cs="Times New Roman"/>
                <w:szCs w:val="24"/>
              </w:rPr>
            </w:pPr>
            <w:r w:rsidRPr="00CD2D44">
              <w:rPr>
                <w:rFonts w:cs="Times New Roman"/>
                <w:szCs w:val="24"/>
              </w:rPr>
              <w:t>Catalase</w:t>
            </w:r>
          </w:p>
        </w:tc>
        <w:tc>
          <w:tcPr>
            <w:tcW w:w="0" w:type="auto"/>
            <w:hideMark/>
          </w:tcPr>
          <w:p w14:paraId="5D24323A"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4FFBD19A" w14:textId="77777777" w:rsidTr="00424C7A">
        <w:trPr>
          <w:jc w:val="center"/>
        </w:trPr>
        <w:tc>
          <w:tcPr>
            <w:tcW w:w="0" w:type="auto"/>
            <w:hideMark/>
          </w:tcPr>
          <w:p w14:paraId="50ED511D" w14:textId="77777777" w:rsidR="00B9068C" w:rsidRPr="00CD2D44" w:rsidRDefault="00B9068C" w:rsidP="003D70A8">
            <w:pPr>
              <w:spacing w:after="160"/>
              <w:jc w:val="center"/>
              <w:rPr>
                <w:rFonts w:cs="Times New Roman"/>
                <w:szCs w:val="24"/>
              </w:rPr>
            </w:pPr>
            <w:r w:rsidRPr="00CD2D44">
              <w:rPr>
                <w:rFonts w:cs="Times New Roman"/>
                <w:szCs w:val="24"/>
              </w:rPr>
              <w:t>3</w:t>
            </w:r>
          </w:p>
        </w:tc>
        <w:tc>
          <w:tcPr>
            <w:tcW w:w="0" w:type="auto"/>
            <w:hideMark/>
          </w:tcPr>
          <w:p w14:paraId="3B4D96E8" w14:textId="77777777" w:rsidR="00B9068C" w:rsidRPr="00CD2D44" w:rsidRDefault="00B9068C" w:rsidP="003D70A8">
            <w:pPr>
              <w:spacing w:after="160"/>
              <w:jc w:val="both"/>
              <w:rPr>
                <w:rFonts w:cs="Times New Roman"/>
                <w:szCs w:val="24"/>
              </w:rPr>
            </w:pPr>
            <w:r w:rsidRPr="00CD2D44">
              <w:rPr>
                <w:rFonts w:cs="Times New Roman"/>
                <w:szCs w:val="24"/>
              </w:rPr>
              <w:t>Oxidase</w:t>
            </w:r>
          </w:p>
        </w:tc>
        <w:tc>
          <w:tcPr>
            <w:tcW w:w="0" w:type="auto"/>
            <w:hideMark/>
          </w:tcPr>
          <w:p w14:paraId="2AA3262A"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009CC73F" w14:textId="77777777" w:rsidTr="00424C7A">
        <w:trPr>
          <w:jc w:val="center"/>
        </w:trPr>
        <w:tc>
          <w:tcPr>
            <w:tcW w:w="0" w:type="auto"/>
            <w:hideMark/>
          </w:tcPr>
          <w:p w14:paraId="0AA4F191" w14:textId="77777777" w:rsidR="00B9068C" w:rsidRPr="00CD2D44" w:rsidRDefault="00B9068C" w:rsidP="003D70A8">
            <w:pPr>
              <w:spacing w:after="160"/>
              <w:jc w:val="center"/>
              <w:rPr>
                <w:rFonts w:cs="Times New Roman"/>
                <w:szCs w:val="24"/>
              </w:rPr>
            </w:pPr>
            <w:r w:rsidRPr="00CD2D44">
              <w:rPr>
                <w:rFonts w:cs="Times New Roman"/>
                <w:szCs w:val="24"/>
              </w:rPr>
              <w:t>4</w:t>
            </w:r>
          </w:p>
        </w:tc>
        <w:tc>
          <w:tcPr>
            <w:tcW w:w="0" w:type="auto"/>
            <w:hideMark/>
          </w:tcPr>
          <w:p w14:paraId="74D3FB60" w14:textId="77777777" w:rsidR="00B9068C" w:rsidRPr="00CD2D44" w:rsidRDefault="00B9068C" w:rsidP="003D70A8">
            <w:pPr>
              <w:spacing w:after="160"/>
              <w:jc w:val="both"/>
              <w:rPr>
                <w:rFonts w:cs="Times New Roman"/>
                <w:szCs w:val="24"/>
              </w:rPr>
            </w:pPr>
            <w:r w:rsidRPr="00CD2D44">
              <w:rPr>
                <w:rFonts w:cs="Times New Roman"/>
                <w:szCs w:val="24"/>
              </w:rPr>
              <w:t>Motility</w:t>
            </w:r>
          </w:p>
        </w:tc>
        <w:tc>
          <w:tcPr>
            <w:tcW w:w="0" w:type="auto"/>
            <w:hideMark/>
          </w:tcPr>
          <w:p w14:paraId="035F7875"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59719312" w14:textId="77777777" w:rsidTr="00424C7A">
        <w:trPr>
          <w:jc w:val="center"/>
        </w:trPr>
        <w:tc>
          <w:tcPr>
            <w:tcW w:w="0" w:type="auto"/>
            <w:hideMark/>
          </w:tcPr>
          <w:p w14:paraId="19946BD8" w14:textId="77777777" w:rsidR="00B9068C" w:rsidRPr="00CD2D44" w:rsidRDefault="00B9068C" w:rsidP="003D70A8">
            <w:pPr>
              <w:spacing w:after="160"/>
              <w:jc w:val="center"/>
              <w:rPr>
                <w:rFonts w:cs="Times New Roman"/>
                <w:szCs w:val="24"/>
              </w:rPr>
            </w:pPr>
            <w:r w:rsidRPr="00CD2D44">
              <w:rPr>
                <w:rFonts w:cs="Times New Roman"/>
                <w:szCs w:val="24"/>
              </w:rPr>
              <w:t>5</w:t>
            </w:r>
          </w:p>
        </w:tc>
        <w:tc>
          <w:tcPr>
            <w:tcW w:w="0" w:type="auto"/>
            <w:hideMark/>
          </w:tcPr>
          <w:p w14:paraId="6DF9FA89" w14:textId="77777777" w:rsidR="00B9068C" w:rsidRPr="00CD2D44" w:rsidRDefault="00B9068C" w:rsidP="003D70A8">
            <w:pPr>
              <w:spacing w:after="160"/>
              <w:jc w:val="both"/>
              <w:rPr>
                <w:rFonts w:cs="Times New Roman"/>
                <w:szCs w:val="24"/>
              </w:rPr>
            </w:pPr>
            <w:r w:rsidRPr="00CD2D44">
              <w:rPr>
                <w:rFonts w:cs="Times New Roman"/>
                <w:szCs w:val="24"/>
              </w:rPr>
              <w:t>Indole production</w:t>
            </w:r>
          </w:p>
        </w:tc>
        <w:tc>
          <w:tcPr>
            <w:tcW w:w="0" w:type="auto"/>
            <w:hideMark/>
          </w:tcPr>
          <w:p w14:paraId="2A0D4089"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79BEAD58" w14:textId="77777777" w:rsidTr="00424C7A">
        <w:trPr>
          <w:jc w:val="center"/>
        </w:trPr>
        <w:tc>
          <w:tcPr>
            <w:tcW w:w="0" w:type="auto"/>
            <w:hideMark/>
          </w:tcPr>
          <w:p w14:paraId="7524086E" w14:textId="77777777" w:rsidR="00B9068C" w:rsidRPr="00CD2D44" w:rsidRDefault="00B9068C" w:rsidP="003D70A8">
            <w:pPr>
              <w:spacing w:after="160"/>
              <w:jc w:val="center"/>
              <w:rPr>
                <w:rFonts w:cs="Times New Roman"/>
                <w:szCs w:val="24"/>
              </w:rPr>
            </w:pPr>
            <w:r w:rsidRPr="00CD2D44">
              <w:rPr>
                <w:rFonts w:cs="Times New Roman"/>
                <w:szCs w:val="24"/>
              </w:rPr>
              <w:t>6</w:t>
            </w:r>
          </w:p>
        </w:tc>
        <w:tc>
          <w:tcPr>
            <w:tcW w:w="0" w:type="auto"/>
            <w:hideMark/>
          </w:tcPr>
          <w:p w14:paraId="02645D93" w14:textId="77777777" w:rsidR="00B9068C" w:rsidRPr="00CD2D44" w:rsidRDefault="00B9068C" w:rsidP="003D70A8">
            <w:pPr>
              <w:spacing w:after="160"/>
              <w:jc w:val="both"/>
              <w:rPr>
                <w:rFonts w:cs="Times New Roman"/>
                <w:szCs w:val="24"/>
              </w:rPr>
            </w:pPr>
            <w:r w:rsidRPr="00CD2D44">
              <w:rPr>
                <w:rFonts w:cs="Times New Roman"/>
                <w:szCs w:val="24"/>
              </w:rPr>
              <w:t>Methyl red (MR)</w:t>
            </w:r>
          </w:p>
        </w:tc>
        <w:tc>
          <w:tcPr>
            <w:tcW w:w="0" w:type="auto"/>
            <w:hideMark/>
          </w:tcPr>
          <w:p w14:paraId="5F667C62"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689D53E9" w14:textId="77777777" w:rsidTr="00424C7A">
        <w:trPr>
          <w:jc w:val="center"/>
        </w:trPr>
        <w:tc>
          <w:tcPr>
            <w:tcW w:w="0" w:type="auto"/>
            <w:hideMark/>
          </w:tcPr>
          <w:p w14:paraId="230CEF79" w14:textId="77777777" w:rsidR="00B9068C" w:rsidRPr="00CD2D44" w:rsidRDefault="00B9068C" w:rsidP="003D70A8">
            <w:pPr>
              <w:spacing w:after="160"/>
              <w:jc w:val="center"/>
              <w:rPr>
                <w:rFonts w:cs="Times New Roman"/>
                <w:szCs w:val="24"/>
              </w:rPr>
            </w:pPr>
            <w:r w:rsidRPr="00CD2D44">
              <w:rPr>
                <w:rFonts w:cs="Times New Roman"/>
                <w:szCs w:val="24"/>
              </w:rPr>
              <w:t>7</w:t>
            </w:r>
          </w:p>
        </w:tc>
        <w:tc>
          <w:tcPr>
            <w:tcW w:w="0" w:type="auto"/>
            <w:hideMark/>
          </w:tcPr>
          <w:p w14:paraId="424BBB04" w14:textId="77777777" w:rsidR="00B9068C" w:rsidRPr="00CD2D44" w:rsidRDefault="00B9068C" w:rsidP="003D70A8">
            <w:pPr>
              <w:spacing w:after="160"/>
              <w:jc w:val="both"/>
              <w:rPr>
                <w:rFonts w:cs="Times New Roman"/>
                <w:szCs w:val="24"/>
              </w:rPr>
            </w:pPr>
            <w:r w:rsidRPr="00CD2D44">
              <w:rPr>
                <w:rFonts w:cs="Times New Roman"/>
                <w:szCs w:val="24"/>
              </w:rPr>
              <w:t>Voges–Proskauer (VP)</w:t>
            </w:r>
          </w:p>
        </w:tc>
        <w:tc>
          <w:tcPr>
            <w:tcW w:w="0" w:type="auto"/>
            <w:hideMark/>
          </w:tcPr>
          <w:p w14:paraId="6E525BEC"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53222198" w14:textId="77777777" w:rsidTr="00424C7A">
        <w:trPr>
          <w:jc w:val="center"/>
        </w:trPr>
        <w:tc>
          <w:tcPr>
            <w:tcW w:w="0" w:type="auto"/>
            <w:hideMark/>
          </w:tcPr>
          <w:p w14:paraId="76A8F020" w14:textId="77777777" w:rsidR="00B9068C" w:rsidRPr="00CD2D44" w:rsidRDefault="00B9068C" w:rsidP="003D70A8">
            <w:pPr>
              <w:spacing w:after="160"/>
              <w:jc w:val="center"/>
              <w:rPr>
                <w:rFonts w:cs="Times New Roman"/>
                <w:szCs w:val="24"/>
              </w:rPr>
            </w:pPr>
            <w:r w:rsidRPr="00CD2D44">
              <w:rPr>
                <w:rFonts w:cs="Times New Roman"/>
                <w:szCs w:val="24"/>
              </w:rPr>
              <w:t>8</w:t>
            </w:r>
          </w:p>
        </w:tc>
        <w:tc>
          <w:tcPr>
            <w:tcW w:w="0" w:type="auto"/>
            <w:hideMark/>
          </w:tcPr>
          <w:p w14:paraId="4A10FDB3" w14:textId="77777777" w:rsidR="00B9068C" w:rsidRPr="00CD2D44" w:rsidRDefault="00B9068C" w:rsidP="003D70A8">
            <w:pPr>
              <w:spacing w:after="160"/>
              <w:jc w:val="both"/>
              <w:rPr>
                <w:rFonts w:cs="Times New Roman"/>
                <w:szCs w:val="24"/>
              </w:rPr>
            </w:pPr>
            <w:r w:rsidRPr="00CD2D44">
              <w:rPr>
                <w:rFonts w:cs="Times New Roman"/>
                <w:szCs w:val="24"/>
              </w:rPr>
              <w:t>Citrate utilization</w:t>
            </w:r>
          </w:p>
        </w:tc>
        <w:tc>
          <w:tcPr>
            <w:tcW w:w="0" w:type="auto"/>
            <w:hideMark/>
          </w:tcPr>
          <w:p w14:paraId="08E1A275"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7E42A3CF" w14:textId="77777777" w:rsidTr="00424C7A">
        <w:trPr>
          <w:jc w:val="center"/>
        </w:trPr>
        <w:tc>
          <w:tcPr>
            <w:tcW w:w="0" w:type="auto"/>
            <w:hideMark/>
          </w:tcPr>
          <w:p w14:paraId="5F6F9BCF" w14:textId="77777777" w:rsidR="00B9068C" w:rsidRPr="00CD2D44" w:rsidRDefault="00B9068C" w:rsidP="003D70A8">
            <w:pPr>
              <w:spacing w:after="160"/>
              <w:jc w:val="center"/>
              <w:rPr>
                <w:rFonts w:cs="Times New Roman"/>
                <w:szCs w:val="24"/>
              </w:rPr>
            </w:pPr>
            <w:r w:rsidRPr="00CD2D44">
              <w:rPr>
                <w:rFonts w:cs="Times New Roman"/>
                <w:szCs w:val="24"/>
              </w:rPr>
              <w:t>9</w:t>
            </w:r>
          </w:p>
        </w:tc>
        <w:tc>
          <w:tcPr>
            <w:tcW w:w="0" w:type="auto"/>
            <w:hideMark/>
          </w:tcPr>
          <w:p w14:paraId="57B93B00" w14:textId="77777777" w:rsidR="00B9068C" w:rsidRPr="00CD2D44" w:rsidRDefault="00B9068C" w:rsidP="003D70A8">
            <w:pPr>
              <w:spacing w:after="160"/>
              <w:jc w:val="both"/>
              <w:rPr>
                <w:rFonts w:cs="Times New Roman"/>
                <w:szCs w:val="24"/>
              </w:rPr>
            </w:pPr>
            <w:r w:rsidRPr="00CD2D44">
              <w:rPr>
                <w:rFonts w:cs="Times New Roman"/>
                <w:szCs w:val="24"/>
              </w:rPr>
              <w:t>Triple sugar iron (TSI) agar</w:t>
            </w:r>
          </w:p>
        </w:tc>
        <w:tc>
          <w:tcPr>
            <w:tcW w:w="0" w:type="auto"/>
            <w:hideMark/>
          </w:tcPr>
          <w:p w14:paraId="781950EE"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37678C64" w14:textId="77777777" w:rsidTr="00424C7A">
        <w:trPr>
          <w:jc w:val="center"/>
        </w:trPr>
        <w:tc>
          <w:tcPr>
            <w:tcW w:w="0" w:type="auto"/>
            <w:hideMark/>
          </w:tcPr>
          <w:p w14:paraId="5D932506" w14:textId="77777777" w:rsidR="00B9068C" w:rsidRPr="00CD2D44" w:rsidRDefault="00B9068C" w:rsidP="003D70A8">
            <w:pPr>
              <w:spacing w:after="160"/>
              <w:jc w:val="center"/>
              <w:rPr>
                <w:rFonts w:cs="Times New Roman"/>
                <w:szCs w:val="24"/>
              </w:rPr>
            </w:pPr>
            <w:r w:rsidRPr="00CD2D44">
              <w:rPr>
                <w:rFonts w:cs="Times New Roman"/>
                <w:szCs w:val="24"/>
              </w:rPr>
              <w:t>10</w:t>
            </w:r>
          </w:p>
        </w:tc>
        <w:tc>
          <w:tcPr>
            <w:tcW w:w="0" w:type="auto"/>
            <w:hideMark/>
          </w:tcPr>
          <w:p w14:paraId="71003583" w14:textId="77777777" w:rsidR="00B9068C" w:rsidRPr="00CD2D44" w:rsidRDefault="00B9068C" w:rsidP="003D70A8">
            <w:pPr>
              <w:spacing w:after="160"/>
              <w:jc w:val="both"/>
              <w:rPr>
                <w:rFonts w:cs="Times New Roman"/>
                <w:szCs w:val="24"/>
              </w:rPr>
            </w:pPr>
            <w:r w:rsidRPr="00CD2D44">
              <w:rPr>
                <w:rFonts w:cs="Times New Roman"/>
                <w:szCs w:val="24"/>
              </w:rPr>
              <w:t>Urease</w:t>
            </w:r>
          </w:p>
        </w:tc>
        <w:tc>
          <w:tcPr>
            <w:tcW w:w="0" w:type="auto"/>
            <w:hideMark/>
          </w:tcPr>
          <w:p w14:paraId="3011D6BB" w14:textId="77777777" w:rsidR="00B9068C" w:rsidRPr="00CD2D44" w:rsidRDefault="00B9068C" w:rsidP="003D70A8">
            <w:pPr>
              <w:spacing w:after="160"/>
              <w:jc w:val="center"/>
              <w:rPr>
                <w:rFonts w:cs="Times New Roman"/>
                <w:szCs w:val="24"/>
              </w:rPr>
            </w:pPr>
            <w:r w:rsidRPr="00CD2D44">
              <w:rPr>
                <w:rFonts w:cs="Times New Roman"/>
                <w:szCs w:val="24"/>
              </w:rPr>
              <w:t>Negative</w:t>
            </w:r>
          </w:p>
        </w:tc>
      </w:tr>
      <w:tr w:rsidR="00B9068C" w:rsidRPr="00CD2D44" w14:paraId="366399BD" w14:textId="77777777" w:rsidTr="00424C7A">
        <w:trPr>
          <w:jc w:val="center"/>
        </w:trPr>
        <w:tc>
          <w:tcPr>
            <w:tcW w:w="0" w:type="auto"/>
            <w:hideMark/>
          </w:tcPr>
          <w:p w14:paraId="1A81A49C" w14:textId="77777777" w:rsidR="00B9068C" w:rsidRPr="00CD2D44" w:rsidRDefault="00B9068C" w:rsidP="003D70A8">
            <w:pPr>
              <w:spacing w:after="160"/>
              <w:jc w:val="center"/>
              <w:rPr>
                <w:rFonts w:cs="Times New Roman"/>
                <w:szCs w:val="24"/>
              </w:rPr>
            </w:pPr>
            <w:r w:rsidRPr="00CD2D44">
              <w:rPr>
                <w:rFonts w:cs="Times New Roman"/>
                <w:szCs w:val="24"/>
              </w:rPr>
              <w:t>11</w:t>
            </w:r>
          </w:p>
        </w:tc>
        <w:tc>
          <w:tcPr>
            <w:tcW w:w="0" w:type="auto"/>
            <w:hideMark/>
          </w:tcPr>
          <w:p w14:paraId="7A94A4B3" w14:textId="77777777" w:rsidR="00B9068C" w:rsidRPr="00CD2D44" w:rsidRDefault="00B9068C" w:rsidP="003D70A8">
            <w:pPr>
              <w:spacing w:after="160"/>
              <w:jc w:val="both"/>
              <w:rPr>
                <w:rFonts w:cs="Times New Roman"/>
                <w:szCs w:val="24"/>
              </w:rPr>
            </w:pPr>
            <w:r w:rsidRPr="00CD2D44">
              <w:rPr>
                <w:rFonts w:cs="Times New Roman"/>
                <w:szCs w:val="24"/>
              </w:rPr>
              <w:t>Lysine decarboxylase</w:t>
            </w:r>
          </w:p>
        </w:tc>
        <w:tc>
          <w:tcPr>
            <w:tcW w:w="0" w:type="auto"/>
            <w:hideMark/>
          </w:tcPr>
          <w:p w14:paraId="337F516D"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72F9CCD9" w14:textId="77777777" w:rsidTr="00424C7A">
        <w:trPr>
          <w:jc w:val="center"/>
        </w:trPr>
        <w:tc>
          <w:tcPr>
            <w:tcW w:w="0" w:type="auto"/>
            <w:hideMark/>
          </w:tcPr>
          <w:p w14:paraId="260DCB04" w14:textId="77777777" w:rsidR="00B9068C" w:rsidRPr="00CD2D44" w:rsidRDefault="00B9068C" w:rsidP="003D70A8">
            <w:pPr>
              <w:spacing w:after="160"/>
              <w:jc w:val="center"/>
              <w:rPr>
                <w:rFonts w:cs="Times New Roman"/>
                <w:szCs w:val="24"/>
              </w:rPr>
            </w:pPr>
            <w:r w:rsidRPr="00CD2D44">
              <w:rPr>
                <w:rFonts w:cs="Times New Roman"/>
                <w:szCs w:val="24"/>
              </w:rPr>
              <w:t>12</w:t>
            </w:r>
          </w:p>
        </w:tc>
        <w:tc>
          <w:tcPr>
            <w:tcW w:w="0" w:type="auto"/>
            <w:hideMark/>
          </w:tcPr>
          <w:p w14:paraId="7A322CBF" w14:textId="77777777" w:rsidR="00B9068C" w:rsidRPr="00CD2D44" w:rsidRDefault="00B9068C" w:rsidP="003D70A8">
            <w:pPr>
              <w:spacing w:after="160"/>
              <w:jc w:val="both"/>
              <w:rPr>
                <w:rFonts w:cs="Times New Roman"/>
                <w:szCs w:val="24"/>
              </w:rPr>
            </w:pPr>
            <w:r w:rsidRPr="00CD2D44">
              <w:rPr>
                <w:rFonts w:cs="Times New Roman"/>
                <w:szCs w:val="24"/>
              </w:rPr>
              <w:t>Glucose</w:t>
            </w:r>
            <w:r w:rsidR="00635944">
              <w:rPr>
                <w:rFonts w:cs="Times New Roman"/>
                <w:szCs w:val="24"/>
              </w:rPr>
              <w:t xml:space="preserve"> fermentation</w:t>
            </w:r>
          </w:p>
        </w:tc>
        <w:tc>
          <w:tcPr>
            <w:tcW w:w="0" w:type="auto"/>
            <w:hideMark/>
          </w:tcPr>
          <w:p w14:paraId="71EB827C"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2623F01B" w14:textId="77777777" w:rsidTr="00424C7A">
        <w:trPr>
          <w:jc w:val="center"/>
        </w:trPr>
        <w:tc>
          <w:tcPr>
            <w:tcW w:w="0" w:type="auto"/>
            <w:hideMark/>
          </w:tcPr>
          <w:p w14:paraId="7434A022" w14:textId="77777777" w:rsidR="00B9068C" w:rsidRPr="00CD2D44" w:rsidRDefault="00B9068C" w:rsidP="003D70A8">
            <w:pPr>
              <w:spacing w:after="160"/>
              <w:jc w:val="center"/>
              <w:rPr>
                <w:rFonts w:cs="Times New Roman"/>
                <w:szCs w:val="24"/>
              </w:rPr>
            </w:pPr>
            <w:r w:rsidRPr="00CD2D44">
              <w:rPr>
                <w:rFonts w:cs="Times New Roman"/>
                <w:szCs w:val="24"/>
              </w:rPr>
              <w:t>13</w:t>
            </w:r>
          </w:p>
        </w:tc>
        <w:tc>
          <w:tcPr>
            <w:tcW w:w="0" w:type="auto"/>
            <w:hideMark/>
          </w:tcPr>
          <w:p w14:paraId="21F02992" w14:textId="77777777" w:rsidR="00B9068C" w:rsidRPr="00CD2D44" w:rsidRDefault="00B9068C" w:rsidP="003D70A8">
            <w:pPr>
              <w:spacing w:after="160"/>
              <w:jc w:val="both"/>
              <w:rPr>
                <w:rFonts w:cs="Times New Roman"/>
                <w:szCs w:val="24"/>
              </w:rPr>
            </w:pPr>
            <w:r w:rsidRPr="00CD2D44">
              <w:rPr>
                <w:rFonts w:cs="Times New Roman"/>
                <w:szCs w:val="24"/>
              </w:rPr>
              <w:t>Arabinose</w:t>
            </w:r>
            <w:r w:rsidR="00635944">
              <w:rPr>
                <w:rFonts w:cs="Times New Roman"/>
                <w:szCs w:val="24"/>
              </w:rPr>
              <w:t xml:space="preserve"> fermentation</w:t>
            </w:r>
          </w:p>
        </w:tc>
        <w:tc>
          <w:tcPr>
            <w:tcW w:w="0" w:type="auto"/>
            <w:hideMark/>
          </w:tcPr>
          <w:p w14:paraId="15778B33"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54321234" w14:textId="77777777" w:rsidTr="00424C7A">
        <w:trPr>
          <w:jc w:val="center"/>
        </w:trPr>
        <w:tc>
          <w:tcPr>
            <w:tcW w:w="0" w:type="auto"/>
            <w:hideMark/>
          </w:tcPr>
          <w:p w14:paraId="4BBF07B6" w14:textId="77777777" w:rsidR="00B9068C" w:rsidRPr="00CD2D44" w:rsidRDefault="00B9068C" w:rsidP="003D70A8">
            <w:pPr>
              <w:spacing w:after="160"/>
              <w:jc w:val="center"/>
              <w:rPr>
                <w:rFonts w:cs="Times New Roman"/>
                <w:szCs w:val="24"/>
              </w:rPr>
            </w:pPr>
            <w:r w:rsidRPr="00CD2D44">
              <w:rPr>
                <w:rFonts w:cs="Times New Roman"/>
                <w:szCs w:val="24"/>
              </w:rPr>
              <w:t>14</w:t>
            </w:r>
          </w:p>
        </w:tc>
        <w:tc>
          <w:tcPr>
            <w:tcW w:w="0" w:type="auto"/>
            <w:hideMark/>
          </w:tcPr>
          <w:p w14:paraId="7A97AB07" w14:textId="77777777" w:rsidR="00B9068C" w:rsidRPr="00CD2D44" w:rsidRDefault="00B9068C" w:rsidP="003D70A8">
            <w:pPr>
              <w:spacing w:after="160"/>
              <w:jc w:val="both"/>
              <w:rPr>
                <w:rFonts w:cs="Times New Roman"/>
                <w:szCs w:val="24"/>
              </w:rPr>
            </w:pPr>
            <w:r w:rsidRPr="00CD2D44">
              <w:rPr>
                <w:rFonts w:cs="Times New Roman"/>
                <w:szCs w:val="24"/>
              </w:rPr>
              <w:t>Xylose</w:t>
            </w:r>
            <w:r w:rsidR="00635944">
              <w:rPr>
                <w:rFonts w:cs="Times New Roman"/>
                <w:szCs w:val="24"/>
              </w:rPr>
              <w:t xml:space="preserve"> fermentation</w:t>
            </w:r>
          </w:p>
        </w:tc>
        <w:tc>
          <w:tcPr>
            <w:tcW w:w="0" w:type="auto"/>
            <w:hideMark/>
          </w:tcPr>
          <w:p w14:paraId="27892A8C"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6E8861B2" w14:textId="77777777" w:rsidTr="00424C7A">
        <w:trPr>
          <w:jc w:val="center"/>
        </w:trPr>
        <w:tc>
          <w:tcPr>
            <w:tcW w:w="0" w:type="auto"/>
            <w:hideMark/>
          </w:tcPr>
          <w:p w14:paraId="1FF12A76" w14:textId="77777777" w:rsidR="00B9068C" w:rsidRPr="00CD2D44" w:rsidRDefault="00B9068C" w:rsidP="003D70A8">
            <w:pPr>
              <w:spacing w:after="160"/>
              <w:jc w:val="center"/>
              <w:rPr>
                <w:rFonts w:cs="Times New Roman"/>
                <w:szCs w:val="24"/>
              </w:rPr>
            </w:pPr>
            <w:r w:rsidRPr="00CD2D44">
              <w:rPr>
                <w:rFonts w:cs="Times New Roman"/>
                <w:szCs w:val="24"/>
              </w:rPr>
              <w:t>15</w:t>
            </w:r>
          </w:p>
        </w:tc>
        <w:tc>
          <w:tcPr>
            <w:tcW w:w="0" w:type="auto"/>
            <w:hideMark/>
          </w:tcPr>
          <w:p w14:paraId="01F6B4FB" w14:textId="77777777" w:rsidR="00B9068C" w:rsidRPr="00CD2D44" w:rsidRDefault="00B9068C" w:rsidP="003D70A8">
            <w:pPr>
              <w:spacing w:after="160"/>
              <w:jc w:val="both"/>
              <w:rPr>
                <w:rFonts w:cs="Times New Roman"/>
                <w:szCs w:val="24"/>
              </w:rPr>
            </w:pPr>
            <w:r w:rsidRPr="00CD2D44">
              <w:rPr>
                <w:rFonts w:cs="Times New Roman"/>
                <w:szCs w:val="24"/>
              </w:rPr>
              <w:t>Maltose</w:t>
            </w:r>
            <w:r w:rsidR="00635944">
              <w:rPr>
                <w:rFonts w:cs="Times New Roman"/>
                <w:szCs w:val="24"/>
              </w:rPr>
              <w:t xml:space="preserve"> fermentation</w:t>
            </w:r>
          </w:p>
        </w:tc>
        <w:tc>
          <w:tcPr>
            <w:tcW w:w="0" w:type="auto"/>
            <w:hideMark/>
          </w:tcPr>
          <w:p w14:paraId="7089B8ED"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r w:rsidR="00B9068C" w:rsidRPr="00CD2D44" w14:paraId="62F1DAC5" w14:textId="77777777" w:rsidTr="00424C7A">
        <w:trPr>
          <w:jc w:val="center"/>
        </w:trPr>
        <w:tc>
          <w:tcPr>
            <w:tcW w:w="0" w:type="auto"/>
            <w:hideMark/>
          </w:tcPr>
          <w:p w14:paraId="0118D557" w14:textId="77777777" w:rsidR="00B9068C" w:rsidRPr="00CD2D44" w:rsidRDefault="00B9068C" w:rsidP="003D70A8">
            <w:pPr>
              <w:spacing w:after="160"/>
              <w:jc w:val="center"/>
              <w:rPr>
                <w:rFonts w:cs="Times New Roman"/>
                <w:szCs w:val="24"/>
              </w:rPr>
            </w:pPr>
            <w:r w:rsidRPr="00CD2D44">
              <w:rPr>
                <w:rFonts w:cs="Times New Roman"/>
                <w:szCs w:val="24"/>
              </w:rPr>
              <w:t>16</w:t>
            </w:r>
          </w:p>
        </w:tc>
        <w:tc>
          <w:tcPr>
            <w:tcW w:w="0" w:type="auto"/>
            <w:hideMark/>
          </w:tcPr>
          <w:p w14:paraId="30BD1ED5" w14:textId="77777777" w:rsidR="00B9068C" w:rsidRPr="00CD2D44" w:rsidRDefault="00B9068C" w:rsidP="003D70A8">
            <w:pPr>
              <w:spacing w:after="160"/>
              <w:jc w:val="both"/>
              <w:rPr>
                <w:rFonts w:cs="Times New Roman"/>
                <w:szCs w:val="24"/>
              </w:rPr>
            </w:pPr>
            <w:r w:rsidRPr="00CD2D44">
              <w:rPr>
                <w:rFonts w:cs="Times New Roman"/>
                <w:szCs w:val="24"/>
              </w:rPr>
              <w:t>Dextrose</w:t>
            </w:r>
            <w:r w:rsidR="00635944">
              <w:rPr>
                <w:rFonts w:cs="Times New Roman"/>
                <w:szCs w:val="24"/>
              </w:rPr>
              <w:t xml:space="preserve"> fermentation</w:t>
            </w:r>
          </w:p>
        </w:tc>
        <w:tc>
          <w:tcPr>
            <w:tcW w:w="0" w:type="auto"/>
            <w:hideMark/>
          </w:tcPr>
          <w:p w14:paraId="62549C02" w14:textId="77777777" w:rsidR="00B9068C" w:rsidRPr="00CD2D44" w:rsidRDefault="00B9068C" w:rsidP="003D70A8">
            <w:pPr>
              <w:spacing w:after="160"/>
              <w:jc w:val="center"/>
              <w:rPr>
                <w:rFonts w:cs="Times New Roman"/>
                <w:szCs w:val="24"/>
              </w:rPr>
            </w:pPr>
            <w:r w:rsidRPr="00CD2D44">
              <w:rPr>
                <w:rFonts w:cs="Times New Roman"/>
                <w:szCs w:val="24"/>
              </w:rPr>
              <w:t>Positive</w:t>
            </w:r>
          </w:p>
        </w:tc>
      </w:tr>
    </w:tbl>
    <w:p w14:paraId="73629839" w14:textId="77777777" w:rsidR="009B6D44" w:rsidRPr="009B6D44" w:rsidRDefault="009B6D44" w:rsidP="009B6D44">
      <w:pPr>
        <w:spacing w:before="240" w:line="360" w:lineRule="auto"/>
        <w:ind w:firstLine="720"/>
        <w:jc w:val="both"/>
        <w:rPr>
          <w:rFonts w:cs="Times New Roman"/>
          <w:szCs w:val="24"/>
        </w:rPr>
      </w:pPr>
      <w:r w:rsidRPr="009B6D44">
        <w:rPr>
          <w:rFonts w:cs="Times New Roman"/>
          <w:szCs w:val="24"/>
          <w:highlight w:val="yellow"/>
        </w:rPr>
        <w:t xml:space="preserve">Isolates showing the characteristic morphological and biochemical profile described in Table 1 were considered presumptive </w:t>
      </w:r>
      <w:r w:rsidRPr="009B6D44">
        <w:rPr>
          <w:rFonts w:cs="Times New Roman"/>
          <w:i/>
          <w:iCs/>
          <w:szCs w:val="24"/>
          <w:highlight w:val="yellow"/>
        </w:rPr>
        <w:t>Y. enterocolitica</w:t>
      </w:r>
      <w:r w:rsidRPr="009B6D44">
        <w:rPr>
          <w:rFonts w:cs="Times New Roman"/>
          <w:szCs w:val="24"/>
          <w:highlight w:val="yellow"/>
        </w:rPr>
        <w:t xml:space="preserve"> and were subsequently subjected to phenotypic pathogenicity testing and molecular confirmation targeting the </w:t>
      </w:r>
      <w:r w:rsidRPr="009B6D44">
        <w:rPr>
          <w:rFonts w:cs="Times New Roman"/>
          <w:i/>
          <w:iCs/>
          <w:szCs w:val="24"/>
          <w:highlight w:val="yellow"/>
        </w:rPr>
        <w:t>ail</w:t>
      </w:r>
      <w:r w:rsidRPr="009B6D44">
        <w:rPr>
          <w:rFonts w:cs="Times New Roman"/>
          <w:szCs w:val="24"/>
          <w:highlight w:val="yellow"/>
        </w:rPr>
        <w:t xml:space="preserve"> gene.</w:t>
      </w:r>
    </w:p>
    <w:p w14:paraId="2876A8B0" w14:textId="77777777" w:rsidR="009E3C3D" w:rsidRPr="00CD2D44" w:rsidRDefault="001D3EA5" w:rsidP="00B86AFF">
      <w:pPr>
        <w:spacing w:line="360" w:lineRule="auto"/>
        <w:jc w:val="both"/>
        <w:rPr>
          <w:rFonts w:cs="Times New Roman"/>
          <w:b/>
          <w:bCs/>
          <w:szCs w:val="24"/>
        </w:rPr>
      </w:pPr>
      <w:r>
        <w:rPr>
          <w:rFonts w:cs="Times New Roman"/>
          <w:b/>
          <w:bCs/>
          <w:szCs w:val="24"/>
        </w:rPr>
        <w:t>2.</w:t>
      </w:r>
      <w:r w:rsidR="00B87EFF">
        <w:rPr>
          <w:rFonts w:cs="Times New Roman"/>
          <w:b/>
          <w:bCs/>
          <w:szCs w:val="24"/>
        </w:rPr>
        <w:t>3</w:t>
      </w:r>
      <w:r>
        <w:rPr>
          <w:rFonts w:cs="Times New Roman"/>
          <w:b/>
          <w:bCs/>
          <w:szCs w:val="24"/>
        </w:rPr>
        <w:t xml:space="preserve"> </w:t>
      </w:r>
      <w:r w:rsidR="00155362">
        <w:rPr>
          <w:rFonts w:cs="Times New Roman"/>
          <w:b/>
          <w:bCs/>
          <w:szCs w:val="24"/>
        </w:rPr>
        <w:t>T</w:t>
      </w:r>
      <w:r w:rsidR="009E3C3D" w:rsidRPr="00CD2D44">
        <w:rPr>
          <w:rFonts w:cs="Times New Roman"/>
          <w:b/>
          <w:bCs/>
          <w:szCs w:val="24"/>
        </w:rPr>
        <w:t xml:space="preserve">ests for pathogenicity </w:t>
      </w:r>
    </w:p>
    <w:p w14:paraId="6B3223A7" w14:textId="77777777" w:rsidR="009E3C3D" w:rsidRPr="00CD2D44" w:rsidRDefault="007C4B57" w:rsidP="00B86AFF">
      <w:pPr>
        <w:spacing w:line="360" w:lineRule="auto"/>
        <w:ind w:firstLine="720"/>
        <w:jc w:val="both"/>
        <w:rPr>
          <w:rFonts w:cs="Times New Roman"/>
          <w:szCs w:val="24"/>
        </w:rPr>
      </w:pPr>
      <w:r>
        <w:rPr>
          <w:rFonts w:cs="Times New Roman"/>
          <w:szCs w:val="24"/>
          <w:highlight w:val="yellow"/>
        </w:rPr>
        <w:t>The pathogenicity</w:t>
      </w:r>
      <w:r>
        <w:rPr>
          <w:rFonts w:cs="Times New Roman"/>
          <w:szCs w:val="24"/>
        </w:rPr>
        <w:t xml:space="preserve"> of </w:t>
      </w:r>
      <w:r>
        <w:rPr>
          <w:rFonts w:cs="Times New Roman"/>
          <w:i/>
          <w:iCs/>
          <w:szCs w:val="24"/>
        </w:rPr>
        <w:t>Y. enterocolitica</w:t>
      </w:r>
      <w:r>
        <w:rPr>
          <w:rFonts w:cs="Times New Roman"/>
          <w:szCs w:val="24"/>
        </w:rPr>
        <w:t xml:space="preserve"> isolates </w:t>
      </w:r>
      <w:r>
        <w:rPr>
          <w:rFonts w:cs="Times New Roman"/>
          <w:szCs w:val="24"/>
          <w:highlight w:val="yellow"/>
        </w:rPr>
        <w:t>was</w:t>
      </w:r>
      <w:r>
        <w:rPr>
          <w:rFonts w:cs="Times New Roman"/>
          <w:szCs w:val="24"/>
        </w:rPr>
        <w:t xml:space="preserve"> determined </w:t>
      </w:r>
      <w:r>
        <w:rPr>
          <w:rFonts w:cs="Times New Roman"/>
          <w:szCs w:val="24"/>
          <w:highlight w:val="yellow"/>
        </w:rPr>
        <w:t>using</w:t>
      </w:r>
      <w:r>
        <w:rPr>
          <w:rFonts w:cs="Times New Roman"/>
          <w:szCs w:val="24"/>
        </w:rPr>
        <w:t xml:space="preserve"> </w:t>
      </w:r>
      <w:r>
        <w:rPr>
          <w:rFonts w:cs="Times New Roman"/>
          <w:szCs w:val="24"/>
          <w:highlight w:val="yellow"/>
        </w:rPr>
        <w:t>calcium</w:t>
      </w:r>
      <w:r>
        <w:rPr>
          <w:rFonts w:cs="Times New Roman"/>
          <w:szCs w:val="24"/>
        </w:rPr>
        <w:t xml:space="preserve"> dependency and Congo red absorption </w:t>
      </w:r>
      <w:r>
        <w:rPr>
          <w:rFonts w:cs="Times New Roman"/>
          <w:szCs w:val="24"/>
          <w:highlight w:val="yellow"/>
        </w:rPr>
        <w:t>tests</w:t>
      </w:r>
      <w:r>
        <w:rPr>
          <w:rFonts w:cs="Times New Roman"/>
          <w:szCs w:val="24"/>
        </w:rPr>
        <w:t xml:space="preserve"> as </w:t>
      </w:r>
      <w:r>
        <w:rPr>
          <w:rFonts w:cs="Times New Roman"/>
          <w:szCs w:val="24"/>
          <w:highlight w:val="yellow"/>
        </w:rPr>
        <w:t>described by</w:t>
      </w:r>
      <w:r>
        <w:rPr>
          <w:rFonts w:cs="Times New Roman"/>
          <w:szCs w:val="24"/>
        </w:rPr>
        <w:t xml:space="preserve"> Bhaduri </w:t>
      </w:r>
      <w:r>
        <w:rPr>
          <w:rFonts w:cs="Times New Roman"/>
          <w:i/>
          <w:iCs/>
          <w:szCs w:val="24"/>
        </w:rPr>
        <w:t xml:space="preserve">et al. </w:t>
      </w:r>
      <w:r>
        <w:rPr>
          <w:rFonts w:cs="Times New Roman"/>
          <w:szCs w:val="24"/>
        </w:rPr>
        <w:t xml:space="preserve">(1987) and Farmer </w:t>
      </w:r>
      <w:r>
        <w:rPr>
          <w:rFonts w:cs="Times New Roman"/>
          <w:i/>
          <w:iCs/>
          <w:szCs w:val="24"/>
        </w:rPr>
        <w:t>et al</w:t>
      </w:r>
      <w:r>
        <w:rPr>
          <w:rFonts w:cs="Times New Roman"/>
          <w:szCs w:val="24"/>
        </w:rPr>
        <w:t>. (1992).</w:t>
      </w:r>
    </w:p>
    <w:p w14:paraId="7D8EB4F3" w14:textId="77777777" w:rsidR="009E3C3D" w:rsidRPr="00CD2D44" w:rsidRDefault="001D3EA5" w:rsidP="00B86AFF">
      <w:pPr>
        <w:spacing w:line="360" w:lineRule="auto"/>
        <w:jc w:val="both"/>
        <w:rPr>
          <w:rFonts w:cs="Times New Roman"/>
          <w:b/>
          <w:bCs/>
          <w:szCs w:val="24"/>
        </w:rPr>
      </w:pPr>
      <w:r>
        <w:rPr>
          <w:rFonts w:cs="Times New Roman"/>
          <w:b/>
          <w:bCs/>
          <w:szCs w:val="24"/>
        </w:rPr>
        <w:t>2.</w:t>
      </w:r>
      <w:r w:rsidR="00B87EFF">
        <w:rPr>
          <w:rFonts w:cs="Times New Roman"/>
          <w:b/>
          <w:bCs/>
          <w:szCs w:val="24"/>
        </w:rPr>
        <w:t>3</w:t>
      </w:r>
      <w:r>
        <w:rPr>
          <w:rFonts w:cs="Times New Roman"/>
          <w:b/>
          <w:bCs/>
          <w:szCs w:val="24"/>
        </w:rPr>
        <w:t xml:space="preserve">.1 </w:t>
      </w:r>
      <w:r w:rsidR="009E3C3D" w:rsidRPr="00CD2D44">
        <w:rPr>
          <w:rFonts w:cs="Times New Roman"/>
          <w:b/>
          <w:bCs/>
          <w:szCs w:val="24"/>
        </w:rPr>
        <w:t xml:space="preserve">Calcium dependency test </w:t>
      </w:r>
    </w:p>
    <w:p w14:paraId="66C0D512" w14:textId="77777777" w:rsidR="00964AE5" w:rsidRPr="00CD2D44" w:rsidRDefault="00964AE5" w:rsidP="00937CDC">
      <w:pPr>
        <w:spacing w:line="360" w:lineRule="auto"/>
        <w:ind w:firstLine="720"/>
        <w:jc w:val="both"/>
        <w:rPr>
          <w:rFonts w:cs="Times New Roman"/>
          <w:szCs w:val="24"/>
        </w:rPr>
      </w:pPr>
      <w:r w:rsidRPr="00CD2D44">
        <w:rPr>
          <w:rFonts w:cs="Times New Roman"/>
          <w:szCs w:val="24"/>
        </w:rPr>
        <w:t xml:space="preserve">The isolates were inoculated onto </w:t>
      </w:r>
      <w:r w:rsidR="00937CDC" w:rsidRPr="00937CDC">
        <w:rPr>
          <w:rFonts w:cs="Times New Roman"/>
          <w:szCs w:val="24"/>
        </w:rPr>
        <w:t xml:space="preserve">magnesium oxalate (MOX) agar, a calcium-deficient medium </w:t>
      </w:r>
      <w:r w:rsidRPr="00CD2D44">
        <w:rPr>
          <w:rFonts w:cs="Times New Roman"/>
          <w:szCs w:val="24"/>
        </w:rPr>
        <w:t>and incubated at 37°C overnight. Pathogenic strains exhibited restricted growth, producing characteristic pinpoint colonies, whereas non-pathogenic isolates formed larger colonies measuring approximately 0.5–1.0 mm in diameter.</w:t>
      </w:r>
    </w:p>
    <w:p w14:paraId="0EBB0B0E" w14:textId="77777777" w:rsidR="00E87B1E" w:rsidRPr="00CD2D44" w:rsidRDefault="001D3EA5" w:rsidP="00B86AFF">
      <w:pPr>
        <w:spacing w:line="360" w:lineRule="auto"/>
        <w:jc w:val="both"/>
        <w:rPr>
          <w:rFonts w:cs="Times New Roman"/>
          <w:b/>
          <w:bCs/>
          <w:szCs w:val="24"/>
        </w:rPr>
      </w:pPr>
      <w:r>
        <w:rPr>
          <w:rFonts w:cs="Times New Roman"/>
          <w:b/>
          <w:bCs/>
          <w:szCs w:val="24"/>
        </w:rPr>
        <w:t>2.</w:t>
      </w:r>
      <w:r w:rsidR="00B87EFF">
        <w:rPr>
          <w:rFonts w:cs="Times New Roman"/>
          <w:b/>
          <w:bCs/>
          <w:szCs w:val="24"/>
        </w:rPr>
        <w:t>3</w:t>
      </w:r>
      <w:r>
        <w:rPr>
          <w:rFonts w:cs="Times New Roman"/>
          <w:b/>
          <w:bCs/>
          <w:szCs w:val="24"/>
        </w:rPr>
        <w:t xml:space="preserve">.2 </w:t>
      </w:r>
      <w:r w:rsidR="009E3C3D" w:rsidRPr="00CD2D44">
        <w:rPr>
          <w:rFonts w:cs="Times New Roman"/>
          <w:b/>
          <w:bCs/>
          <w:szCs w:val="24"/>
        </w:rPr>
        <w:t xml:space="preserve">Congo red absorption test </w:t>
      </w:r>
    </w:p>
    <w:p w14:paraId="38A3C0B3" w14:textId="77777777" w:rsidR="009A29DB" w:rsidRPr="00CD2D44" w:rsidRDefault="00F50EDE" w:rsidP="009B6D44">
      <w:pPr>
        <w:spacing w:line="360" w:lineRule="auto"/>
        <w:ind w:firstLine="720"/>
        <w:jc w:val="both"/>
        <w:rPr>
          <w:rFonts w:cs="Times New Roman"/>
          <w:szCs w:val="24"/>
        </w:rPr>
      </w:pPr>
      <w:r w:rsidRPr="00CD2D44">
        <w:rPr>
          <w:rFonts w:cs="Times New Roman"/>
          <w:szCs w:val="24"/>
        </w:rPr>
        <w:lastRenderedPageBreak/>
        <w:t xml:space="preserve">The isolates were streaked onto </w:t>
      </w:r>
      <w:r w:rsidR="00FE6F99" w:rsidRPr="00CD2D44">
        <w:rPr>
          <w:rFonts w:cs="Times New Roman"/>
          <w:szCs w:val="24"/>
        </w:rPr>
        <w:t>Congo Red–Morpholine Propane Sulphonic Acid (</w:t>
      </w:r>
      <w:r w:rsidR="001A4A6E">
        <w:rPr>
          <w:rFonts w:cs="Times New Roman"/>
          <w:szCs w:val="24"/>
        </w:rPr>
        <w:t>CRAMP</w:t>
      </w:r>
      <w:r w:rsidR="00FE6F99" w:rsidRPr="00CD2D44">
        <w:rPr>
          <w:rFonts w:cs="Times New Roman"/>
          <w:szCs w:val="24"/>
        </w:rPr>
        <w:t xml:space="preserve">) </w:t>
      </w:r>
      <w:r w:rsidRPr="00CD2D44">
        <w:rPr>
          <w:rFonts w:cs="Times New Roman"/>
          <w:szCs w:val="24"/>
        </w:rPr>
        <w:t>medium and incubated at 25°C for 72 h. Virulent isolates absorbed the Congo red dye and produced characteristic red colonies, whereas non-pathogenic isolates formed colourless to pale pink colonies.</w:t>
      </w:r>
    </w:p>
    <w:p w14:paraId="7D2457BC" w14:textId="77777777" w:rsidR="00EB5BEF" w:rsidRPr="00CD2D44" w:rsidRDefault="001D3EA5" w:rsidP="00B86AFF">
      <w:pPr>
        <w:spacing w:line="360" w:lineRule="auto"/>
        <w:jc w:val="both"/>
        <w:rPr>
          <w:rFonts w:cs="Times New Roman"/>
          <w:b/>
          <w:bCs/>
          <w:szCs w:val="24"/>
        </w:rPr>
      </w:pPr>
      <w:r>
        <w:rPr>
          <w:rFonts w:cs="Times New Roman"/>
          <w:b/>
          <w:bCs/>
          <w:szCs w:val="24"/>
        </w:rPr>
        <w:t>2.</w:t>
      </w:r>
      <w:r w:rsidR="00B87EFF">
        <w:rPr>
          <w:rFonts w:cs="Times New Roman"/>
          <w:b/>
          <w:bCs/>
          <w:szCs w:val="24"/>
        </w:rPr>
        <w:t>4</w:t>
      </w:r>
      <w:r>
        <w:rPr>
          <w:rFonts w:cs="Times New Roman"/>
          <w:b/>
          <w:bCs/>
          <w:szCs w:val="24"/>
        </w:rPr>
        <w:t xml:space="preserve"> </w:t>
      </w:r>
      <w:r w:rsidR="00EB5BEF" w:rsidRPr="00CD2D44">
        <w:rPr>
          <w:rFonts w:cs="Times New Roman"/>
          <w:b/>
          <w:bCs/>
          <w:szCs w:val="24"/>
        </w:rPr>
        <w:t xml:space="preserve">Molecular Confirmation of Pathogenic </w:t>
      </w:r>
      <w:r w:rsidR="00EB5BEF" w:rsidRPr="00CD2D44">
        <w:rPr>
          <w:rFonts w:cs="Times New Roman"/>
          <w:b/>
          <w:bCs/>
          <w:i/>
          <w:iCs/>
          <w:szCs w:val="24"/>
        </w:rPr>
        <w:t>Y</w:t>
      </w:r>
      <w:r w:rsidR="00996A70" w:rsidRPr="00CD2D44">
        <w:rPr>
          <w:rFonts w:cs="Times New Roman"/>
          <w:b/>
          <w:bCs/>
          <w:i/>
          <w:iCs/>
          <w:szCs w:val="24"/>
        </w:rPr>
        <w:t>.</w:t>
      </w:r>
      <w:r w:rsidR="00EB5BEF" w:rsidRPr="00CD2D44">
        <w:rPr>
          <w:rFonts w:cs="Times New Roman"/>
          <w:b/>
          <w:bCs/>
          <w:i/>
          <w:iCs/>
          <w:szCs w:val="24"/>
        </w:rPr>
        <w:t xml:space="preserve"> enterocolitica</w:t>
      </w:r>
    </w:p>
    <w:p w14:paraId="7646B6CA" w14:textId="77777777" w:rsidR="00EB5BEF" w:rsidRDefault="00916EDD" w:rsidP="00CA2C82">
      <w:pPr>
        <w:spacing w:after="0" w:line="360" w:lineRule="auto"/>
        <w:ind w:firstLine="720"/>
        <w:jc w:val="both"/>
        <w:rPr>
          <w:rFonts w:cs="Times New Roman"/>
          <w:szCs w:val="24"/>
        </w:rPr>
      </w:pPr>
      <w:r>
        <w:rPr>
          <w:rFonts w:cs="Times New Roman"/>
          <w:szCs w:val="24"/>
        </w:rPr>
        <w:t xml:space="preserve">Molecular </w:t>
      </w:r>
      <w:r>
        <w:rPr>
          <w:rFonts w:cs="Times New Roman"/>
          <w:szCs w:val="24"/>
          <w:highlight w:val="yellow"/>
        </w:rPr>
        <w:t>confirmation</w:t>
      </w:r>
      <w:r>
        <w:rPr>
          <w:rFonts w:cs="Times New Roman"/>
          <w:szCs w:val="24"/>
        </w:rPr>
        <w:t xml:space="preserve"> of </w:t>
      </w:r>
      <w:r>
        <w:rPr>
          <w:rFonts w:cs="Times New Roman"/>
          <w:szCs w:val="24"/>
          <w:highlight w:val="yellow"/>
        </w:rPr>
        <w:t>pathogenic</w:t>
      </w:r>
      <w:r>
        <w:rPr>
          <w:rFonts w:cs="Times New Roman"/>
          <w:szCs w:val="24"/>
        </w:rPr>
        <w:t xml:space="preserve"> </w:t>
      </w:r>
      <w:r>
        <w:rPr>
          <w:rFonts w:cs="Times New Roman"/>
          <w:i/>
          <w:iCs/>
          <w:szCs w:val="24"/>
        </w:rPr>
        <w:t>Y. enterocolitica</w:t>
      </w:r>
      <w:r>
        <w:rPr>
          <w:rFonts w:cs="Times New Roman"/>
          <w:szCs w:val="24"/>
        </w:rPr>
        <w:t xml:space="preserve"> was carried out by </w:t>
      </w:r>
      <w:r>
        <w:rPr>
          <w:rFonts w:cs="Times New Roman"/>
          <w:szCs w:val="24"/>
          <w:highlight w:val="yellow"/>
        </w:rPr>
        <w:t>detecting</w:t>
      </w:r>
      <w:r>
        <w:rPr>
          <w:rFonts w:cs="Times New Roman"/>
          <w:szCs w:val="24"/>
        </w:rPr>
        <w:t xml:space="preserve"> the attachment-invasion locus (</w:t>
      </w:r>
      <w:r>
        <w:rPr>
          <w:rFonts w:cs="Times New Roman"/>
          <w:i/>
          <w:iCs/>
          <w:szCs w:val="24"/>
        </w:rPr>
        <w:t>ail</w:t>
      </w:r>
      <w:r>
        <w:rPr>
          <w:rFonts w:cs="Times New Roman"/>
          <w:szCs w:val="24"/>
        </w:rPr>
        <w:t xml:space="preserve">) gene using polymerase chain reaction (PCR). Genomic DNA was extracted by the boiling and snap-chilling method as described by Lee </w:t>
      </w:r>
      <w:r>
        <w:rPr>
          <w:rFonts w:cs="Times New Roman"/>
          <w:i/>
          <w:iCs/>
          <w:szCs w:val="24"/>
        </w:rPr>
        <w:t>et al</w:t>
      </w:r>
      <w:r>
        <w:rPr>
          <w:rFonts w:cs="Times New Roman"/>
          <w:szCs w:val="24"/>
        </w:rPr>
        <w:t xml:space="preserve">. (2009). PCR amplification of the </w:t>
      </w:r>
      <w:r>
        <w:rPr>
          <w:rFonts w:cs="Times New Roman"/>
          <w:i/>
          <w:iCs/>
          <w:szCs w:val="24"/>
        </w:rPr>
        <w:t>ail</w:t>
      </w:r>
      <w:r>
        <w:rPr>
          <w:rFonts w:cs="Times New Roman"/>
          <w:szCs w:val="24"/>
        </w:rPr>
        <w:t xml:space="preserve"> gene was carried out using specific primers described by Anju </w:t>
      </w:r>
      <w:r>
        <w:rPr>
          <w:rFonts w:cs="Times New Roman"/>
          <w:i/>
          <w:iCs/>
          <w:szCs w:val="24"/>
        </w:rPr>
        <w:t>et al</w:t>
      </w:r>
      <w:r>
        <w:rPr>
          <w:rFonts w:cs="Times New Roman"/>
          <w:szCs w:val="24"/>
        </w:rPr>
        <w:t xml:space="preserve">. (2014) (Table 2). The PCR assay was performed in </w:t>
      </w:r>
      <w:r>
        <w:rPr>
          <w:rFonts w:cs="Times New Roman"/>
          <w:szCs w:val="24"/>
          <w:highlight w:val="yellow"/>
        </w:rPr>
        <w:t>a 25</w:t>
      </w:r>
      <w:r>
        <w:rPr>
          <w:rFonts w:cs="Times New Roman"/>
          <w:szCs w:val="24"/>
        </w:rPr>
        <w:t xml:space="preserve"> </w:t>
      </w:r>
      <w:proofErr w:type="spellStart"/>
      <w:r>
        <w:rPr>
          <w:rFonts w:cs="Times New Roman"/>
          <w:szCs w:val="24"/>
        </w:rPr>
        <w:t>μl</w:t>
      </w:r>
      <w:proofErr w:type="spellEnd"/>
      <w:r>
        <w:rPr>
          <w:rFonts w:cs="Times New Roman"/>
          <w:szCs w:val="24"/>
        </w:rPr>
        <w:t xml:space="preserve"> reaction volume containing 12.5 </w:t>
      </w:r>
      <w:proofErr w:type="spellStart"/>
      <w:r>
        <w:rPr>
          <w:rFonts w:cs="Times New Roman"/>
          <w:szCs w:val="24"/>
        </w:rPr>
        <w:t>μl</w:t>
      </w:r>
      <w:proofErr w:type="spellEnd"/>
      <w:r>
        <w:rPr>
          <w:rFonts w:cs="Times New Roman"/>
          <w:szCs w:val="24"/>
        </w:rPr>
        <w:t xml:space="preserve"> of master mix, 1 </w:t>
      </w:r>
      <w:proofErr w:type="spellStart"/>
      <w:r>
        <w:rPr>
          <w:rFonts w:cs="Times New Roman"/>
          <w:szCs w:val="24"/>
        </w:rPr>
        <w:t>μl</w:t>
      </w:r>
      <w:proofErr w:type="spellEnd"/>
      <w:r>
        <w:rPr>
          <w:rFonts w:cs="Times New Roman"/>
          <w:szCs w:val="24"/>
        </w:rPr>
        <w:t xml:space="preserve"> </w:t>
      </w:r>
      <w:r>
        <w:rPr>
          <w:rFonts w:cs="Times New Roman"/>
          <w:szCs w:val="24"/>
          <w:highlight w:val="yellow"/>
        </w:rPr>
        <w:t>each of</w:t>
      </w:r>
      <w:r>
        <w:rPr>
          <w:rFonts w:cs="Times New Roman"/>
          <w:szCs w:val="24"/>
        </w:rPr>
        <w:t xml:space="preserve"> forward and reverse primers (10 </w:t>
      </w:r>
      <w:proofErr w:type="spellStart"/>
      <w:r>
        <w:rPr>
          <w:rFonts w:cs="Times New Roman"/>
          <w:szCs w:val="24"/>
        </w:rPr>
        <w:t>pmol</w:t>
      </w:r>
      <w:proofErr w:type="spellEnd"/>
      <w:r>
        <w:rPr>
          <w:rFonts w:cs="Times New Roman"/>
          <w:szCs w:val="24"/>
        </w:rPr>
        <w:t xml:space="preserve">), 5 </w:t>
      </w:r>
      <w:proofErr w:type="spellStart"/>
      <w:r>
        <w:rPr>
          <w:rFonts w:cs="Times New Roman"/>
          <w:szCs w:val="24"/>
        </w:rPr>
        <w:t>μl</w:t>
      </w:r>
      <w:proofErr w:type="spellEnd"/>
      <w:r>
        <w:rPr>
          <w:rFonts w:cs="Times New Roman"/>
          <w:szCs w:val="24"/>
        </w:rPr>
        <w:t xml:space="preserve"> of DNA template and 5.5 </w:t>
      </w:r>
      <w:proofErr w:type="spellStart"/>
      <w:r>
        <w:rPr>
          <w:rFonts w:cs="Times New Roman"/>
          <w:szCs w:val="24"/>
        </w:rPr>
        <w:t>μl</w:t>
      </w:r>
      <w:proofErr w:type="spellEnd"/>
      <w:r>
        <w:rPr>
          <w:rFonts w:cs="Times New Roman"/>
          <w:szCs w:val="24"/>
        </w:rPr>
        <w:t xml:space="preserve"> of nuclease</w:t>
      </w:r>
      <w:r>
        <w:rPr>
          <w:rFonts w:cs="Times New Roman"/>
          <w:szCs w:val="24"/>
          <w:highlight w:val="yellow"/>
        </w:rPr>
        <w:t>-</w:t>
      </w:r>
      <w:r>
        <w:rPr>
          <w:rFonts w:cs="Times New Roman"/>
          <w:szCs w:val="24"/>
        </w:rPr>
        <w:t xml:space="preserve">free water. The </w:t>
      </w:r>
      <w:r>
        <w:rPr>
          <w:rFonts w:cs="Times New Roman"/>
          <w:szCs w:val="24"/>
          <w:highlight w:val="yellow"/>
        </w:rPr>
        <w:t>PCR cycling</w:t>
      </w:r>
      <w:r>
        <w:rPr>
          <w:rFonts w:cs="Times New Roman"/>
          <w:szCs w:val="24"/>
        </w:rPr>
        <w:t xml:space="preserve"> </w:t>
      </w:r>
      <w:r>
        <w:rPr>
          <w:rFonts w:cs="Times New Roman"/>
          <w:szCs w:val="24"/>
          <w:highlight w:val="yellow"/>
        </w:rPr>
        <w:t>conditions</w:t>
      </w:r>
      <w:r>
        <w:rPr>
          <w:rFonts w:cs="Times New Roman"/>
          <w:szCs w:val="24"/>
        </w:rPr>
        <w:t xml:space="preserve"> included initial denaturation at 95</w:t>
      </w:r>
      <w:r>
        <w:rPr>
          <w:rFonts w:cs="Times New Roman"/>
          <w:szCs w:val="24"/>
          <w:vertAlign w:val="superscript"/>
        </w:rPr>
        <w:t>o</w:t>
      </w:r>
      <w:r>
        <w:rPr>
          <w:rFonts w:cs="Times New Roman"/>
          <w:szCs w:val="24"/>
        </w:rPr>
        <w:t>C for 7 min followed by 35 cycles of denaturation at 95</w:t>
      </w:r>
      <w:r>
        <w:rPr>
          <w:rFonts w:cs="Times New Roman"/>
          <w:szCs w:val="24"/>
          <w:vertAlign w:val="superscript"/>
        </w:rPr>
        <w:t>o</w:t>
      </w:r>
      <w:r>
        <w:rPr>
          <w:rFonts w:cs="Times New Roman"/>
          <w:szCs w:val="24"/>
        </w:rPr>
        <w:t>C for 1 min, annealing at 60</w:t>
      </w:r>
      <w:r>
        <w:rPr>
          <w:rFonts w:cs="Times New Roman"/>
          <w:szCs w:val="24"/>
          <w:vertAlign w:val="superscript"/>
        </w:rPr>
        <w:t>o</w:t>
      </w:r>
      <w:r>
        <w:rPr>
          <w:rFonts w:cs="Times New Roman"/>
          <w:szCs w:val="24"/>
        </w:rPr>
        <w:t>C for 40 sec and extension at 72</w:t>
      </w:r>
      <w:r>
        <w:rPr>
          <w:rFonts w:cs="Times New Roman"/>
          <w:szCs w:val="24"/>
          <w:vertAlign w:val="superscript"/>
        </w:rPr>
        <w:t>o</w:t>
      </w:r>
      <w:r>
        <w:rPr>
          <w:rFonts w:cs="Times New Roman"/>
          <w:szCs w:val="24"/>
        </w:rPr>
        <w:t>C for 2 min. Final extension was carried out at 72</w:t>
      </w:r>
      <w:r>
        <w:rPr>
          <w:rFonts w:cs="Times New Roman"/>
          <w:szCs w:val="24"/>
          <w:vertAlign w:val="superscript"/>
        </w:rPr>
        <w:t>o</w:t>
      </w:r>
      <w:r>
        <w:rPr>
          <w:rFonts w:cs="Times New Roman"/>
          <w:szCs w:val="24"/>
        </w:rPr>
        <w:t xml:space="preserve">C for 10 min. DNA extracted from a reference pathogenic </w:t>
      </w:r>
      <w:r>
        <w:rPr>
          <w:rFonts w:cs="Times New Roman"/>
          <w:i/>
          <w:iCs/>
          <w:szCs w:val="24"/>
        </w:rPr>
        <w:t>Y. enterocolitica</w:t>
      </w:r>
      <w:r>
        <w:rPr>
          <w:rFonts w:cs="Times New Roman"/>
          <w:szCs w:val="24"/>
        </w:rPr>
        <w:t xml:space="preserve"> strain (MTCC 859) was used as a positive control, while nuclease-free water served as the negative control. Amplified products were </w:t>
      </w:r>
      <w:r>
        <w:rPr>
          <w:rFonts w:cs="Times New Roman"/>
          <w:szCs w:val="24"/>
          <w:highlight w:val="yellow"/>
        </w:rPr>
        <w:t>analysed</w:t>
      </w:r>
      <w:r>
        <w:rPr>
          <w:rFonts w:cs="Times New Roman"/>
          <w:szCs w:val="24"/>
        </w:rPr>
        <w:t xml:space="preserve"> by agarose gel electrophoresis and </w:t>
      </w:r>
      <w:r>
        <w:rPr>
          <w:rFonts w:cs="Times New Roman"/>
          <w:szCs w:val="24"/>
          <w:highlight w:val="yellow"/>
        </w:rPr>
        <w:t>visualised</w:t>
      </w:r>
      <w:r>
        <w:rPr>
          <w:rFonts w:cs="Times New Roman"/>
          <w:szCs w:val="24"/>
        </w:rPr>
        <w:t xml:space="preserve"> </w:t>
      </w:r>
      <w:r>
        <w:rPr>
          <w:rFonts w:cs="Times New Roman"/>
          <w:szCs w:val="24"/>
          <w:highlight w:val="yellow"/>
        </w:rPr>
        <w:t>using a</w:t>
      </w:r>
      <w:r>
        <w:rPr>
          <w:rFonts w:cs="Times New Roman"/>
          <w:szCs w:val="24"/>
        </w:rPr>
        <w:t xml:space="preserve"> gel documentation system.</w:t>
      </w:r>
    </w:p>
    <w:p w14:paraId="11DF4804" w14:textId="77777777" w:rsidR="00514039" w:rsidRPr="00514039" w:rsidRDefault="00514039" w:rsidP="00514039">
      <w:pPr>
        <w:spacing w:line="360" w:lineRule="auto"/>
        <w:jc w:val="center"/>
        <w:rPr>
          <w:rFonts w:cs="Times New Roman"/>
          <w:b/>
          <w:bCs/>
          <w:szCs w:val="24"/>
        </w:rPr>
      </w:pPr>
      <w:r w:rsidRPr="00514039">
        <w:rPr>
          <w:rFonts w:cs="Times New Roman"/>
          <w:b/>
          <w:bCs/>
          <w:szCs w:val="24"/>
        </w:rPr>
        <w:t>Table 2. Details of primers used</w:t>
      </w:r>
    </w:p>
    <w:tbl>
      <w:tblPr>
        <w:tblStyle w:val="TableGrid"/>
        <w:tblW w:w="0" w:type="auto"/>
        <w:jc w:val="center"/>
        <w:tblLook w:val="04A0" w:firstRow="1" w:lastRow="0" w:firstColumn="1" w:lastColumn="0" w:noHBand="0" w:noVBand="1"/>
      </w:tblPr>
      <w:tblGrid>
        <w:gridCol w:w="1803"/>
        <w:gridCol w:w="1432"/>
        <w:gridCol w:w="3098"/>
        <w:gridCol w:w="1803"/>
      </w:tblGrid>
      <w:tr w:rsidR="00973FD8" w14:paraId="2FE2042C" w14:textId="77777777" w:rsidTr="00514039">
        <w:trPr>
          <w:jc w:val="center"/>
        </w:trPr>
        <w:tc>
          <w:tcPr>
            <w:tcW w:w="1803" w:type="dxa"/>
            <w:vAlign w:val="center"/>
          </w:tcPr>
          <w:p w14:paraId="3DDA72D5" w14:textId="77777777" w:rsidR="00973FD8" w:rsidRPr="00514039" w:rsidRDefault="00973FD8" w:rsidP="00514039">
            <w:pPr>
              <w:spacing w:line="360" w:lineRule="auto"/>
              <w:jc w:val="center"/>
              <w:rPr>
                <w:rFonts w:cs="Times New Roman"/>
                <w:b/>
                <w:bCs/>
                <w:szCs w:val="24"/>
              </w:rPr>
            </w:pPr>
            <w:r w:rsidRPr="00514039">
              <w:rPr>
                <w:rFonts w:cs="Times New Roman"/>
                <w:b/>
                <w:bCs/>
                <w:szCs w:val="24"/>
              </w:rPr>
              <w:t>Target gene</w:t>
            </w:r>
          </w:p>
        </w:tc>
        <w:tc>
          <w:tcPr>
            <w:tcW w:w="1432" w:type="dxa"/>
            <w:vAlign w:val="center"/>
          </w:tcPr>
          <w:p w14:paraId="007423C2" w14:textId="77777777" w:rsidR="00973FD8" w:rsidRPr="00514039" w:rsidRDefault="00973FD8" w:rsidP="00514039">
            <w:pPr>
              <w:spacing w:line="360" w:lineRule="auto"/>
              <w:jc w:val="center"/>
              <w:rPr>
                <w:rFonts w:cs="Times New Roman"/>
                <w:b/>
                <w:bCs/>
                <w:szCs w:val="24"/>
              </w:rPr>
            </w:pPr>
            <w:r w:rsidRPr="00514039">
              <w:rPr>
                <w:rFonts w:cs="Times New Roman"/>
                <w:b/>
                <w:bCs/>
                <w:szCs w:val="24"/>
              </w:rPr>
              <w:t>Primer</w:t>
            </w:r>
          </w:p>
        </w:tc>
        <w:tc>
          <w:tcPr>
            <w:tcW w:w="3098" w:type="dxa"/>
            <w:vAlign w:val="center"/>
          </w:tcPr>
          <w:p w14:paraId="028C7CCE" w14:textId="77777777" w:rsidR="00973FD8" w:rsidRPr="00514039" w:rsidRDefault="00973FD8" w:rsidP="00514039">
            <w:pPr>
              <w:spacing w:line="360" w:lineRule="auto"/>
              <w:jc w:val="center"/>
              <w:rPr>
                <w:rFonts w:cs="Times New Roman"/>
                <w:b/>
                <w:bCs/>
                <w:szCs w:val="24"/>
              </w:rPr>
            </w:pPr>
            <w:r w:rsidRPr="00514039">
              <w:rPr>
                <w:rFonts w:cs="Times New Roman"/>
                <w:b/>
                <w:bCs/>
                <w:szCs w:val="24"/>
              </w:rPr>
              <w:t xml:space="preserve">Sequence (5' </w:t>
            </w:r>
            <w:r w:rsidR="00930020" w:rsidRPr="00514039">
              <w:rPr>
                <w:rFonts w:cs="Times New Roman"/>
                <w:b/>
                <w:bCs/>
                <w:szCs w:val="24"/>
              </w:rPr>
              <w:sym w:font="Wingdings" w:char="F0E0"/>
            </w:r>
            <w:r w:rsidR="00930020" w:rsidRPr="00514039">
              <w:rPr>
                <w:rFonts w:cs="Times New Roman"/>
                <w:b/>
                <w:bCs/>
                <w:szCs w:val="24"/>
              </w:rPr>
              <w:t xml:space="preserve"> 3'</w:t>
            </w:r>
            <w:r w:rsidR="00514039">
              <w:rPr>
                <w:rFonts w:cs="Times New Roman"/>
                <w:b/>
                <w:bCs/>
                <w:szCs w:val="24"/>
              </w:rPr>
              <w:t>)</w:t>
            </w:r>
          </w:p>
        </w:tc>
        <w:tc>
          <w:tcPr>
            <w:tcW w:w="1803" w:type="dxa"/>
            <w:vAlign w:val="center"/>
          </w:tcPr>
          <w:p w14:paraId="629CAE92" w14:textId="77777777" w:rsidR="00973FD8" w:rsidRPr="00514039" w:rsidRDefault="00973FD8" w:rsidP="00514039">
            <w:pPr>
              <w:spacing w:line="360" w:lineRule="auto"/>
              <w:jc w:val="center"/>
              <w:rPr>
                <w:rFonts w:cs="Times New Roman"/>
                <w:b/>
                <w:bCs/>
                <w:szCs w:val="24"/>
              </w:rPr>
            </w:pPr>
            <w:r w:rsidRPr="00514039">
              <w:rPr>
                <w:rFonts w:cs="Times New Roman"/>
                <w:b/>
                <w:bCs/>
                <w:szCs w:val="24"/>
              </w:rPr>
              <w:t>Product size (bp)</w:t>
            </w:r>
          </w:p>
        </w:tc>
      </w:tr>
      <w:tr w:rsidR="00514039" w14:paraId="5BA5A31E" w14:textId="77777777" w:rsidTr="00514039">
        <w:trPr>
          <w:trHeight w:val="169"/>
          <w:jc w:val="center"/>
        </w:trPr>
        <w:tc>
          <w:tcPr>
            <w:tcW w:w="1803" w:type="dxa"/>
            <w:vMerge w:val="restart"/>
            <w:vAlign w:val="center"/>
          </w:tcPr>
          <w:p w14:paraId="0CC6D126" w14:textId="77777777" w:rsidR="00514039" w:rsidRPr="00930020" w:rsidRDefault="00514039" w:rsidP="00514039">
            <w:pPr>
              <w:spacing w:line="360" w:lineRule="auto"/>
              <w:jc w:val="center"/>
              <w:rPr>
                <w:rFonts w:cs="Times New Roman"/>
                <w:i/>
                <w:iCs/>
                <w:szCs w:val="24"/>
              </w:rPr>
            </w:pPr>
            <w:r w:rsidRPr="00930020">
              <w:rPr>
                <w:rFonts w:cs="Times New Roman"/>
                <w:i/>
                <w:iCs/>
                <w:szCs w:val="24"/>
              </w:rPr>
              <w:t>ail</w:t>
            </w:r>
          </w:p>
        </w:tc>
        <w:tc>
          <w:tcPr>
            <w:tcW w:w="1432" w:type="dxa"/>
            <w:vAlign w:val="center"/>
          </w:tcPr>
          <w:p w14:paraId="42524505" w14:textId="77777777" w:rsidR="00514039" w:rsidRDefault="00514039" w:rsidP="00514039">
            <w:pPr>
              <w:spacing w:line="360" w:lineRule="auto"/>
              <w:jc w:val="center"/>
              <w:rPr>
                <w:rFonts w:cs="Times New Roman"/>
                <w:szCs w:val="24"/>
              </w:rPr>
            </w:pPr>
            <w:r>
              <w:rPr>
                <w:rFonts w:cs="Times New Roman"/>
                <w:szCs w:val="24"/>
              </w:rPr>
              <w:t>Forward</w:t>
            </w:r>
          </w:p>
        </w:tc>
        <w:tc>
          <w:tcPr>
            <w:tcW w:w="3098" w:type="dxa"/>
            <w:vAlign w:val="center"/>
          </w:tcPr>
          <w:p w14:paraId="692E9CB7" w14:textId="77777777" w:rsidR="00514039" w:rsidRDefault="00514039" w:rsidP="00514039">
            <w:pPr>
              <w:spacing w:line="360" w:lineRule="auto"/>
              <w:jc w:val="center"/>
              <w:rPr>
                <w:rFonts w:cs="Times New Roman"/>
                <w:szCs w:val="24"/>
              </w:rPr>
            </w:pPr>
            <w:r w:rsidRPr="00514039">
              <w:rPr>
                <w:rFonts w:cs="Times New Roman"/>
                <w:szCs w:val="24"/>
              </w:rPr>
              <w:t>TAATGTGTACGCTGCGAG</w:t>
            </w:r>
          </w:p>
        </w:tc>
        <w:tc>
          <w:tcPr>
            <w:tcW w:w="1803" w:type="dxa"/>
            <w:vMerge w:val="restart"/>
            <w:vAlign w:val="center"/>
          </w:tcPr>
          <w:p w14:paraId="3C3F18C2" w14:textId="77777777" w:rsidR="00514039" w:rsidRDefault="00514039" w:rsidP="00514039">
            <w:pPr>
              <w:spacing w:line="360" w:lineRule="auto"/>
              <w:jc w:val="center"/>
              <w:rPr>
                <w:rFonts w:cs="Times New Roman"/>
                <w:szCs w:val="24"/>
              </w:rPr>
            </w:pPr>
            <w:r>
              <w:rPr>
                <w:rFonts w:cs="Times New Roman"/>
                <w:szCs w:val="24"/>
              </w:rPr>
              <w:t>351</w:t>
            </w:r>
          </w:p>
        </w:tc>
      </w:tr>
      <w:tr w:rsidR="00514039" w14:paraId="0250CB62" w14:textId="77777777" w:rsidTr="00514039">
        <w:trPr>
          <w:trHeight w:val="168"/>
          <w:jc w:val="center"/>
        </w:trPr>
        <w:tc>
          <w:tcPr>
            <w:tcW w:w="1803" w:type="dxa"/>
            <w:vMerge/>
            <w:vAlign w:val="center"/>
          </w:tcPr>
          <w:p w14:paraId="7C6F8B2A" w14:textId="77777777" w:rsidR="00514039" w:rsidRPr="00930020" w:rsidRDefault="00514039" w:rsidP="00930020">
            <w:pPr>
              <w:spacing w:line="360" w:lineRule="auto"/>
              <w:jc w:val="center"/>
              <w:rPr>
                <w:rFonts w:cs="Times New Roman"/>
                <w:i/>
                <w:iCs/>
                <w:szCs w:val="24"/>
              </w:rPr>
            </w:pPr>
          </w:p>
        </w:tc>
        <w:tc>
          <w:tcPr>
            <w:tcW w:w="1432" w:type="dxa"/>
            <w:vAlign w:val="center"/>
          </w:tcPr>
          <w:p w14:paraId="5E3ABF38" w14:textId="77777777" w:rsidR="00514039" w:rsidRDefault="00514039" w:rsidP="00514039">
            <w:pPr>
              <w:spacing w:line="360" w:lineRule="auto"/>
              <w:jc w:val="center"/>
              <w:rPr>
                <w:rFonts w:cs="Times New Roman"/>
                <w:szCs w:val="24"/>
              </w:rPr>
            </w:pPr>
            <w:r>
              <w:rPr>
                <w:rFonts w:cs="Times New Roman"/>
                <w:szCs w:val="24"/>
              </w:rPr>
              <w:t>Reverse</w:t>
            </w:r>
          </w:p>
        </w:tc>
        <w:tc>
          <w:tcPr>
            <w:tcW w:w="3098" w:type="dxa"/>
            <w:vAlign w:val="center"/>
          </w:tcPr>
          <w:p w14:paraId="0EC6B604" w14:textId="77777777" w:rsidR="00514039" w:rsidRDefault="00514039" w:rsidP="00514039">
            <w:pPr>
              <w:spacing w:line="360" w:lineRule="auto"/>
              <w:jc w:val="center"/>
              <w:rPr>
                <w:rFonts w:cs="Times New Roman"/>
                <w:szCs w:val="24"/>
              </w:rPr>
            </w:pPr>
            <w:r w:rsidRPr="00514039">
              <w:rPr>
                <w:rFonts w:cs="Times New Roman"/>
                <w:szCs w:val="24"/>
              </w:rPr>
              <w:t>GACGTCTTACTTGCACTG</w:t>
            </w:r>
          </w:p>
        </w:tc>
        <w:tc>
          <w:tcPr>
            <w:tcW w:w="1803" w:type="dxa"/>
            <w:vMerge/>
            <w:vAlign w:val="center"/>
          </w:tcPr>
          <w:p w14:paraId="784175CA" w14:textId="77777777" w:rsidR="00514039" w:rsidRDefault="00514039" w:rsidP="00B86AFF">
            <w:pPr>
              <w:spacing w:line="360" w:lineRule="auto"/>
              <w:jc w:val="both"/>
              <w:rPr>
                <w:rFonts w:cs="Times New Roman"/>
                <w:szCs w:val="24"/>
              </w:rPr>
            </w:pPr>
          </w:p>
        </w:tc>
      </w:tr>
    </w:tbl>
    <w:p w14:paraId="709731F6" w14:textId="77777777" w:rsidR="004D4CD4" w:rsidRPr="00CD2D44" w:rsidRDefault="001D3EA5" w:rsidP="00CA2C82">
      <w:pPr>
        <w:spacing w:before="240" w:line="360" w:lineRule="auto"/>
        <w:jc w:val="both"/>
        <w:rPr>
          <w:rFonts w:cs="Times New Roman"/>
          <w:b/>
          <w:bCs/>
          <w:szCs w:val="24"/>
        </w:rPr>
      </w:pPr>
      <w:r>
        <w:rPr>
          <w:rFonts w:cs="Times New Roman"/>
          <w:b/>
          <w:bCs/>
          <w:szCs w:val="24"/>
        </w:rPr>
        <w:t>2.</w:t>
      </w:r>
      <w:r w:rsidR="00B87EFF">
        <w:rPr>
          <w:rFonts w:cs="Times New Roman"/>
          <w:b/>
          <w:bCs/>
          <w:szCs w:val="24"/>
        </w:rPr>
        <w:t>5</w:t>
      </w:r>
      <w:r>
        <w:rPr>
          <w:rFonts w:cs="Times New Roman"/>
          <w:b/>
          <w:bCs/>
          <w:szCs w:val="24"/>
        </w:rPr>
        <w:t xml:space="preserve"> </w:t>
      </w:r>
      <w:r w:rsidR="004D4CD4" w:rsidRPr="00CD2D44">
        <w:rPr>
          <w:rFonts w:cs="Times New Roman"/>
          <w:b/>
          <w:bCs/>
          <w:szCs w:val="24"/>
        </w:rPr>
        <w:t xml:space="preserve">Antibiogram: </w:t>
      </w:r>
    </w:p>
    <w:p w14:paraId="73648F85" w14:textId="77777777" w:rsidR="004D4CD4" w:rsidRPr="00CD2D44" w:rsidRDefault="004D4CD4" w:rsidP="00B86AFF">
      <w:pPr>
        <w:spacing w:line="360" w:lineRule="auto"/>
        <w:ind w:firstLine="720"/>
        <w:jc w:val="both"/>
        <w:rPr>
          <w:rFonts w:cs="Times New Roman"/>
          <w:szCs w:val="24"/>
        </w:rPr>
      </w:pPr>
      <w:r>
        <w:rPr>
          <w:rFonts w:cs="Times New Roman"/>
          <w:szCs w:val="24"/>
        </w:rPr>
        <w:t xml:space="preserve">Antibiotic susceptibility tests for </w:t>
      </w:r>
      <w:r>
        <w:rPr>
          <w:rFonts w:cs="Times New Roman"/>
          <w:i/>
          <w:iCs/>
          <w:szCs w:val="24"/>
        </w:rPr>
        <w:t xml:space="preserve">Y. enterocolitica </w:t>
      </w:r>
      <w:r>
        <w:rPr>
          <w:rFonts w:cs="Times New Roman"/>
          <w:szCs w:val="24"/>
          <w:highlight w:val="yellow"/>
        </w:rPr>
        <w:t>were performed using the</w:t>
      </w:r>
      <w:r>
        <w:rPr>
          <w:rFonts w:cs="Times New Roman"/>
          <w:szCs w:val="24"/>
        </w:rPr>
        <w:t xml:space="preserve"> Kirby-Bauer disc diffusion method (Bauer </w:t>
      </w:r>
      <w:r>
        <w:rPr>
          <w:rFonts w:cs="Times New Roman"/>
          <w:i/>
          <w:iCs/>
          <w:szCs w:val="24"/>
        </w:rPr>
        <w:t>et al</w:t>
      </w:r>
      <w:r>
        <w:rPr>
          <w:rFonts w:cs="Times New Roman"/>
          <w:szCs w:val="24"/>
        </w:rPr>
        <w:t xml:space="preserve">., 1966) </w:t>
      </w:r>
      <w:r>
        <w:rPr>
          <w:rFonts w:cs="Times New Roman"/>
          <w:szCs w:val="24"/>
          <w:highlight w:val="yellow"/>
        </w:rPr>
        <w:t>with</w:t>
      </w:r>
      <w:r>
        <w:rPr>
          <w:rFonts w:cs="Times New Roman"/>
          <w:szCs w:val="24"/>
        </w:rPr>
        <w:t xml:space="preserve"> commonly used antibiotics. Briefly</w:t>
      </w:r>
      <w:r>
        <w:rPr>
          <w:rFonts w:cs="Times New Roman"/>
          <w:szCs w:val="24"/>
          <w:highlight w:val="yellow"/>
        </w:rPr>
        <w:t>,</w:t>
      </w:r>
      <w:r>
        <w:rPr>
          <w:rFonts w:cs="Times New Roman"/>
          <w:szCs w:val="24"/>
        </w:rPr>
        <w:t xml:space="preserve"> the isolates were grown in nutrient broth at 37</w:t>
      </w:r>
      <w:r>
        <w:rPr>
          <w:rFonts w:cs="Times New Roman"/>
          <w:szCs w:val="24"/>
          <w:vertAlign w:val="superscript"/>
        </w:rPr>
        <w:t>o</w:t>
      </w:r>
      <w:r>
        <w:rPr>
          <w:rFonts w:cs="Times New Roman"/>
          <w:szCs w:val="24"/>
        </w:rPr>
        <w:t>C for 24 h</w:t>
      </w:r>
      <w:r>
        <w:rPr>
          <w:rFonts w:cs="Times New Roman"/>
          <w:szCs w:val="24"/>
          <w:highlight w:val="yellow"/>
        </w:rPr>
        <w:t>,</w:t>
      </w:r>
      <w:r>
        <w:rPr>
          <w:rFonts w:cs="Times New Roman"/>
          <w:szCs w:val="24"/>
        </w:rPr>
        <w:t xml:space="preserve"> and the turbidity of each culture was adjusted to </w:t>
      </w:r>
      <w:r>
        <w:rPr>
          <w:rFonts w:cs="Times New Roman"/>
          <w:szCs w:val="24"/>
          <w:highlight w:val="yellow"/>
        </w:rPr>
        <w:t>a 0</w:t>
      </w:r>
      <w:r>
        <w:rPr>
          <w:rFonts w:cs="Times New Roman"/>
          <w:szCs w:val="24"/>
        </w:rPr>
        <w:t xml:space="preserve">.5 McFarland standard. The </w:t>
      </w:r>
      <w:r>
        <w:rPr>
          <w:rFonts w:cs="Times New Roman"/>
          <w:szCs w:val="24"/>
          <w:highlight w:val="yellow"/>
        </w:rPr>
        <w:t>standardised</w:t>
      </w:r>
      <w:r>
        <w:rPr>
          <w:rFonts w:cs="Times New Roman"/>
          <w:szCs w:val="24"/>
        </w:rPr>
        <w:t xml:space="preserve"> inoculum was swabbed uniformly </w:t>
      </w:r>
      <w:r>
        <w:rPr>
          <w:rFonts w:cs="Times New Roman"/>
          <w:szCs w:val="24"/>
          <w:highlight w:val="yellow"/>
        </w:rPr>
        <w:t>onto</w:t>
      </w:r>
      <w:r>
        <w:rPr>
          <w:rFonts w:cs="Times New Roman"/>
          <w:szCs w:val="24"/>
        </w:rPr>
        <w:t xml:space="preserve"> Mueller-Hinton (MH) agar plates </w:t>
      </w:r>
      <w:r>
        <w:rPr>
          <w:rFonts w:cs="Times New Roman"/>
          <w:szCs w:val="24"/>
          <w:highlight w:val="yellow"/>
        </w:rPr>
        <w:t>using</w:t>
      </w:r>
      <w:r>
        <w:rPr>
          <w:rFonts w:cs="Times New Roman"/>
          <w:szCs w:val="24"/>
        </w:rPr>
        <w:t xml:space="preserve"> sterile cotton swabs. The plates were allowed to dry </w:t>
      </w:r>
      <w:r>
        <w:rPr>
          <w:rFonts w:cs="Times New Roman"/>
          <w:szCs w:val="24"/>
          <w:highlight w:val="yellow"/>
        </w:rPr>
        <w:t>for a</w:t>
      </w:r>
      <w:r>
        <w:rPr>
          <w:rFonts w:cs="Times New Roman"/>
          <w:szCs w:val="24"/>
        </w:rPr>
        <w:t xml:space="preserve"> few minutes. The antibiotic discs were placed on the agar surface within 15 minutes of </w:t>
      </w:r>
      <w:r>
        <w:rPr>
          <w:rFonts w:cs="Times New Roman"/>
          <w:szCs w:val="24"/>
          <w:highlight w:val="yellow"/>
        </w:rPr>
        <w:t>plate inoculation,</w:t>
      </w:r>
      <w:r>
        <w:rPr>
          <w:rFonts w:cs="Times New Roman"/>
          <w:szCs w:val="24"/>
        </w:rPr>
        <w:t xml:space="preserve"> </w:t>
      </w:r>
      <w:r>
        <w:rPr>
          <w:rFonts w:cs="Times New Roman"/>
          <w:szCs w:val="24"/>
          <w:highlight w:val="yellow"/>
        </w:rPr>
        <w:t>and the</w:t>
      </w:r>
      <w:r>
        <w:rPr>
          <w:rFonts w:cs="Times New Roman"/>
          <w:szCs w:val="24"/>
        </w:rPr>
        <w:t xml:space="preserve"> plates </w:t>
      </w:r>
      <w:r>
        <w:rPr>
          <w:rFonts w:cs="Times New Roman"/>
          <w:szCs w:val="24"/>
          <w:highlight w:val="yellow"/>
        </w:rPr>
        <w:t>were</w:t>
      </w:r>
      <w:r>
        <w:rPr>
          <w:rFonts w:cs="Times New Roman"/>
          <w:szCs w:val="24"/>
        </w:rPr>
        <w:t xml:space="preserve"> incubated overnight at 37</w:t>
      </w:r>
      <w:r>
        <w:rPr>
          <w:rFonts w:cs="Times New Roman"/>
          <w:szCs w:val="24"/>
          <w:vertAlign w:val="superscript"/>
        </w:rPr>
        <w:t>o</w:t>
      </w:r>
      <w:r>
        <w:rPr>
          <w:rFonts w:cs="Times New Roman"/>
          <w:szCs w:val="24"/>
        </w:rPr>
        <w:t xml:space="preserve">C. The isolates were tested against ampicillin (10 µg), amoxicillin–clavulanic acid (30 µg), amikacin (30 µg), cefotaxime </w:t>
      </w:r>
      <w:r>
        <w:rPr>
          <w:rFonts w:cs="Times New Roman"/>
          <w:szCs w:val="24"/>
        </w:rPr>
        <w:lastRenderedPageBreak/>
        <w:t xml:space="preserve">(10 µg), ceftriaxone (30 µg), chloramphenicol (10 µg), ciprofloxacin (1 µg), co-trimoxazole (25 µg), gentamicin (10 µg), nalidixic acid (30 µg), norfloxacin (30 µg) and tetracycline (30 µg). Based on the zone of inhibition, the isolates were graded as sensitive, intermediate and resistant </w:t>
      </w:r>
      <w:r>
        <w:rPr>
          <w:rFonts w:cs="Times New Roman"/>
          <w:szCs w:val="24"/>
          <w:highlight w:val="yellow"/>
        </w:rPr>
        <w:t>according</w:t>
      </w:r>
      <w:r>
        <w:rPr>
          <w:rFonts w:cs="Times New Roman"/>
          <w:szCs w:val="24"/>
        </w:rPr>
        <w:t xml:space="preserve"> </w:t>
      </w:r>
      <w:r>
        <w:rPr>
          <w:rFonts w:cs="Times New Roman"/>
          <w:szCs w:val="24"/>
          <w:highlight w:val="yellow"/>
        </w:rPr>
        <w:t>to</w:t>
      </w:r>
      <w:r>
        <w:rPr>
          <w:rFonts w:cs="Times New Roman"/>
          <w:szCs w:val="24"/>
        </w:rPr>
        <w:t xml:space="preserve"> </w:t>
      </w:r>
      <w:r>
        <w:rPr>
          <w:rFonts w:cs="Times New Roman"/>
          <w:szCs w:val="24"/>
          <w:highlight w:val="yellow"/>
        </w:rPr>
        <w:t>the 2025</w:t>
      </w:r>
      <w:r>
        <w:rPr>
          <w:rFonts w:cs="Times New Roman"/>
          <w:szCs w:val="24"/>
        </w:rPr>
        <w:t xml:space="preserve"> CLSI guidelines (CLSI, 2025).</w:t>
      </w:r>
    </w:p>
    <w:p w14:paraId="73E2DA79" w14:textId="77777777" w:rsidR="00E57E44" w:rsidRPr="00CD2D44" w:rsidRDefault="001D3EA5" w:rsidP="00B86AFF">
      <w:pPr>
        <w:spacing w:line="360" w:lineRule="auto"/>
        <w:jc w:val="both"/>
        <w:rPr>
          <w:rFonts w:cs="Times New Roman"/>
          <w:b/>
          <w:bCs/>
          <w:szCs w:val="24"/>
        </w:rPr>
      </w:pPr>
      <w:r>
        <w:rPr>
          <w:rFonts w:cs="Times New Roman"/>
          <w:b/>
          <w:bCs/>
          <w:szCs w:val="24"/>
        </w:rPr>
        <w:t>2.</w:t>
      </w:r>
      <w:r w:rsidR="00B87EFF">
        <w:rPr>
          <w:rFonts w:cs="Times New Roman"/>
          <w:b/>
          <w:bCs/>
          <w:szCs w:val="24"/>
        </w:rPr>
        <w:t>6</w:t>
      </w:r>
      <w:r>
        <w:rPr>
          <w:rFonts w:cs="Times New Roman"/>
          <w:b/>
          <w:bCs/>
          <w:szCs w:val="24"/>
        </w:rPr>
        <w:t xml:space="preserve"> </w:t>
      </w:r>
      <w:r w:rsidR="005212A2" w:rsidRPr="00CD2D44">
        <w:rPr>
          <w:rFonts w:cs="Times New Roman"/>
          <w:b/>
          <w:bCs/>
          <w:szCs w:val="24"/>
        </w:rPr>
        <w:t>Biofilm</w:t>
      </w:r>
      <w:r w:rsidR="00E57E44" w:rsidRPr="00CD2D44">
        <w:rPr>
          <w:rFonts w:cs="Times New Roman"/>
          <w:b/>
          <w:bCs/>
          <w:szCs w:val="24"/>
        </w:rPr>
        <w:t xml:space="preserve"> production assay </w:t>
      </w:r>
    </w:p>
    <w:p w14:paraId="60E44938" w14:textId="77777777" w:rsidR="00EB5BEF" w:rsidRDefault="00E57E44" w:rsidP="00B86AFF">
      <w:pPr>
        <w:spacing w:line="360" w:lineRule="auto"/>
        <w:ind w:firstLine="720"/>
        <w:jc w:val="both"/>
        <w:rPr>
          <w:rFonts w:cs="Times New Roman"/>
          <w:szCs w:val="24"/>
        </w:rPr>
      </w:pPr>
      <w:r>
        <w:rPr>
          <w:rFonts w:cs="Times New Roman"/>
          <w:szCs w:val="24"/>
          <w:highlight w:val="yellow"/>
        </w:rPr>
        <w:t>The biofilm-producing</w:t>
      </w:r>
      <w:r>
        <w:rPr>
          <w:rFonts w:cs="Times New Roman"/>
          <w:szCs w:val="24"/>
        </w:rPr>
        <w:t xml:space="preserve"> ability of the isolates was determined </w:t>
      </w:r>
      <w:r>
        <w:rPr>
          <w:rFonts w:cs="Times New Roman"/>
          <w:szCs w:val="24"/>
          <w:highlight w:val="yellow"/>
        </w:rPr>
        <w:t>qualitatively</w:t>
      </w:r>
      <w:r>
        <w:rPr>
          <w:rFonts w:cs="Times New Roman"/>
          <w:szCs w:val="24"/>
        </w:rPr>
        <w:t xml:space="preserve"> by cultivation on Congo Red Agar (CRA) plates (Dhanalakshmi </w:t>
      </w:r>
      <w:r>
        <w:rPr>
          <w:rFonts w:cs="Times New Roman"/>
          <w:i/>
          <w:iCs/>
          <w:szCs w:val="24"/>
        </w:rPr>
        <w:t>et al</w:t>
      </w:r>
      <w:r>
        <w:rPr>
          <w:rFonts w:cs="Times New Roman"/>
          <w:szCs w:val="24"/>
        </w:rPr>
        <w:t>., 2015</w:t>
      </w:r>
      <w:r>
        <w:rPr>
          <w:rFonts w:cs="Times New Roman"/>
          <w:szCs w:val="24"/>
          <w:highlight w:val="yellow"/>
        </w:rPr>
        <w:t>;</w:t>
      </w:r>
      <w:r>
        <w:rPr>
          <w:rFonts w:cs="Times New Roman"/>
          <w:szCs w:val="24"/>
        </w:rPr>
        <w:t xml:space="preserve"> Freeman </w:t>
      </w:r>
      <w:r>
        <w:rPr>
          <w:rFonts w:cs="Times New Roman"/>
          <w:i/>
          <w:iCs/>
          <w:szCs w:val="24"/>
        </w:rPr>
        <w:t>et al</w:t>
      </w:r>
      <w:r>
        <w:rPr>
          <w:rFonts w:cs="Times New Roman"/>
          <w:szCs w:val="24"/>
        </w:rPr>
        <w:t xml:space="preserve">., 1989). A loopful of </w:t>
      </w:r>
      <w:r>
        <w:rPr>
          <w:rFonts w:cs="Times New Roman"/>
          <w:szCs w:val="24"/>
          <w:highlight w:val="yellow"/>
        </w:rPr>
        <w:t>each isolate</w:t>
      </w:r>
      <w:r>
        <w:rPr>
          <w:rFonts w:cs="Times New Roman"/>
          <w:szCs w:val="24"/>
        </w:rPr>
        <w:t xml:space="preserve"> was streaked onto CRA plates</w:t>
      </w:r>
      <w:r>
        <w:rPr>
          <w:rFonts w:cs="Times New Roman"/>
          <w:szCs w:val="24"/>
          <w:highlight w:val="yellow"/>
        </w:rPr>
        <w:t>,</w:t>
      </w:r>
      <w:r>
        <w:rPr>
          <w:rFonts w:cs="Times New Roman"/>
          <w:szCs w:val="24"/>
        </w:rPr>
        <w:t xml:space="preserve"> </w:t>
      </w:r>
      <w:r>
        <w:rPr>
          <w:rFonts w:cs="Times New Roman"/>
          <w:szCs w:val="24"/>
          <w:highlight w:val="yellow"/>
        </w:rPr>
        <w:t>which</w:t>
      </w:r>
      <w:r>
        <w:rPr>
          <w:rFonts w:cs="Times New Roman"/>
          <w:szCs w:val="24"/>
        </w:rPr>
        <w:t xml:space="preserve"> were incubated at 37°C for 24 h followed by storage at room temperature for 48 h. The production of rough black colonies by bacterial cultures indicated the ability of the isolates </w:t>
      </w:r>
      <w:r>
        <w:rPr>
          <w:rFonts w:cs="Times New Roman"/>
          <w:szCs w:val="24"/>
          <w:highlight w:val="yellow"/>
        </w:rPr>
        <w:t>to produce</w:t>
      </w:r>
      <w:r>
        <w:rPr>
          <w:rFonts w:cs="Times New Roman"/>
          <w:szCs w:val="24"/>
        </w:rPr>
        <w:t xml:space="preserve"> biofilm, whereas isolates incapable of biofilm production produced pink colonies.</w:t>
      </w:r>
    </w:p>
    <w:p w14:paraId="30D9CD86" w14:textId="77777777" w:rsidR="009A1071" w:rsidRDefault="001D3EA5" w:rsidP="00F8510A">
      <w:pPr>
        <w:spacing w:line="360" w:lineRule="auto"/>
        <w:rPr>
          <w:rFonts w:cs="Times New Roman"/>
          <w:b/>
          <w:bCs/>
          <w:szCs w:val="24"/>
        </w:rPr>
      </w:pPr>
      <w:r>
        <w:rPr>
          <w:rFonts w:cs="Times New Roman"/>
          <w:b/>
          <w:bCs/>
          <w:szCs w:val="24"/>
        </w:rPr>
        <w:t xml:space="preserve">3. </w:t>
      </w:r>
      <w:r w:rsidR="00471E54" w:rsidRPr="009A1071">
        <w:rPr>
          <w:rFonts w:cs="Times New Roman"/>
          <w:b/>
          <w:bCs/>
          <w:szCs w:val="24"/>
        </w:rPr>
        <w:t xml:space="preserve">Results and </w:t>
      </w:r>
      <w:r w:rsidR="00471E54">
        <w:rPr>
          <w:rFonts w:cs="Times New Roman"/>
          <w:b/>
          <w:bCs/>
          <w:szCs w:val="24"/>
        </w:rPr>
        <w:t>D</w:t>
      </w:r>
      <w:r w:rsidR="00471E54" w:rsidRPr="009A1071">
        <w:rPr>
          <w:rFonts w:cs="Times New Roman"/>
          <w:b/>
          <w:bCs/>
          <w:szCs w:val="24"/>
        </w:rPr>
        <w:t>iscussion</w:t>
      </w:r>
    </w:p>
    <w:p w14:paraId="2EAE61E7" w14:textId="77777777" w:rsidR="00B86AFF" w:rsidRPr="00B86AFF" w:rsidRDefault="001D3EA5" w:rsidP="00B86AFF">
      <w:pPr>
        <w:spacing w:line="360" w:lineRule="auto"/>
        <w:jc w:val="both"/>
        <w:rPr>
          <w:rFonts w:cs="Times New Roman"/>
          <w:b/>
          <w:bCs/>
          <w:szCs w:val="24"/>
        </w:rPr>
      </w:pPr>
      <w:r>
        <w:rPr>
          <w:rFonts w:cs="Times New Roman"/>
          <w:b/>
          <w:bCs/>
          <w:szCs w:val="24"/>
        </w:rPr>
        <w:t xml:space="preserve">3.1 </w:t>
      </w:r>
      <w:r w:rsidR="00B86AFF" w:rsidRPr="00B86AFF">
        <w:rPr>
          <w:rFonts w:cs="Times New Roman"/>
          <w:b/>
          <w:bCs/>
          <w:szCs w:val="24"/>
        </w:rPr>
        <w:t xml:space="preserve">Isolation of </w:t>
      </w:r>
      <w:r w:rsidR="00B86AFF" w:rsidRPr="00A545AF">
        <w:rPr>
          <w:rFonts w:cs="Times New Roman"/>
          <w:b/>
          <w:bCs/>
          <w:i/>
          <w:iCs/>
          <w:szCs w:val="24"/>
        </w:rPr>
        <w:t>Y</w:t>
      </w:r>
      <w:r w:rsidR="002B0E30">
        <w:rPr>
          <w:rFonts w:cs="Times New Roman"/>
          <w:b/>
          <w:bCs/>
          <w:i/>
          <w:iCs/>
          <w:szCs w:val="24"/>
        </w:rPr>
        <w:t>.</w:t>
      </w:r>
      <w:r w:rsidR="00B86AFF" w:rsidRPr="00A545AF">
        <w:rPr>
          <w:rFonts w:cs="Times New Roman"/>
          <w:b/>
          <w:bCs/>
          <w:i/>
          <w:iCs/>
          <w:szCs w:val="24"/>
        </w:rPr>
        <w:t xml:space="preserve"> enterocolitica</w:t>
      </w:r>
    </w:p>
    <w:p w14:paraId="72EE94AF" w14:textId="77777777" w:rsidR="004742A1" w:rsidRDefault="00FD5373" w:rsidP="002D4980">
      <w:pPr>
        <w:spacing w:line="360" w:lineRule="auto"/>
        <w:ind w:firstLine="720"/>
        <w:jc w:val="both"/>
        <w:rPr>
          <w:rFonts w:cs="Times New Roman"/>
          <w:szCs w:val="24"/>
        </w:rPr>
      </w:pPr>
      <w:r>
        <w:rPr>
          <w:rFonts w:cs="Times New Roman"/>
          <w:szCs w:val="24"/>
        </w:rPr>
        <w:t xml:space="preserve">In the present study, of 250 samples screened, seven samples from pork (7 %), two samples from slaughterhouse soil (4 %) and two samples from pig intestinal contents (2 %) produced characteristic bull's-eye morphology with deep </w:t>
      </w:r>
      <w:r>
        <w:rPr>
          <w:rFonts w:cs="Times New Roman"/>
          <w:szCs w:val="24"/>
          <w:highlight w:val="yellow"/>
        </w:rPr>
        <w:t>red-centred</w:t>
      </w:r>
      <w:r>
        <w:rPr>
          <w:rFonts w:cs="Times New Roman"/>
          <w:szCs w:val="24"/>
        </w:rPr>
        <w:t xml:space="preserve"> colonies surrounded by a transparent peripheral zone (Fig. 1)</w:t>
      </w:r>
      <w:r>
        <w:rPr>
          <w:rFonts w:cs="Times New Roman"/>
          <w:szCs w:val="24"/>
          <w:highlight w:val="yellow"/>
        </w:rPr>
        <w:t>,</w:t>
      </w:r>
      <w:r>
        <w:rPr>
          <w:rFonts w:cs="Times New Roman"/>
          <w:szCs w:val="24"/>
        </w:rPr>
        <w:t xml:space="preserve"> </w:t>
      </w:r>
      <w:r>
        <w:rPr>
          <w:rFonts w:cs="Times New Roman"/>
          <w:szCs w:val="24"/>
          <w:highlight w:val="yellow"/>
        </w:rPr>
        <w:t>giving</w:t>
      </w:r>
      <w:r>
        <w:rPr>
          <w:rFonts w:cs="Times New Roman"/>
          <w:szCs w:val="24"/>
        </w:rPr>
        <w:t xml:space="preserve"> an overall occurrence of 4.4 %. </w:t>
      </w:r>
      <w:r>
        <w:rPr>
          <w:rFonts w:cs="Times New Roman"/>
          <w:szCs w:val="24"/>
          <w:highlight w:val="yellow"/>
        </w:rPr>
        <w:t>Morphological</w:t>
      </w:r>
      <w:r>
        <w:rPr>
          <w:rFonts w:cs="Times New Roman"/>
          <w:szCs w:val="24"/>
        </w:rPr>
        <w:t xml:space="preserve"> and biochemical </w:t>
      </w:r>
      <w:r>
        <w:rPr>
          <w:rFonts w:cs="Times New Roman"/>
          <w:szCs w:val="24"/>
          <w:highlight w:val="yellow"/>
        </w:rPr>
        <w:t>characterisation</w:t>
      </w:r>
      <w:r>
        <w:rPr>
          <w:rFonts w:cs="Times New Roman"/>
          <w:szCs w:val="24"/>
        </w:rPr>
        <w:t xml:space="preserve"> </w:t>
      </w:r>
      <w:r>
        <w:rPr>
          <w:rFonts w:cs="Times New Roman"/>
          <w:szCs w:val="24"/>
          <w:highlight w:val="yellow"/>
        </w:rPr>
        <w:t>showed</w:t>
      </w:r>
      <w:r>
        <w:rPr>
          <w:rFonts w:cs="Times New Roman"/>
          <w:szCs w:val="24"/>
        </w:rPr>
        <w:t xml:space="preserve"> that all isolates were Gram-negative rods and uniformly positive for catalase, motility, methyl red, lysine decarboxylase, Triple Sugar Iron (TSI) reaction and fermentation of D-glucose, dextrose, arabinose, xylose and maltose with acid production. </w:t>
      </w:r>
      <w:r>
        <w:rPr>
          <w:rFonts w:cs="Times New Roman"/>
          <w:szCs w:val="24"/>
          <w:highlight w:val="yellow"/>
        </w:rPr>
        <w:t>In</w:t>
      </w:r>
      <w:r>
        <w:rPr>
          <w:rFonts w:cs="Times New Roman"/>
          <w:szCs w:val="24"/>
        </w:rPr>
        <w:t xml:space="preserve"> </w:t>
      </w:r>
      <w:r>
        <w:rPr>
          <w:rFonts w:cs="Times New Roman"/>
          <w:szCs w:val="24"/>
          <w:highlight w:val="yellow"/>
        </w:rPr>
        <w:t>contrast</w:t>
      </w:r>
      <w:r>
        <w:rPr>
          <w:rFonts w:cs="Times New Roman"/>
          <w:szCs w:val="24"/>
        </w:rPr>
        <w:t xml:space="preserve">, all isolates were negative for oxidase, indole production, Voges–Proskauer, citrate </w:t>
      </w:r>
      <w:r>
        <w:rPr>
          <w:rFonts w:cs="Times New Roman"/>
          <w:szCs w:val="24"/>
          <w:highlight w:val="yellow"/>
        </w:rPr>
        <w:t>utilisation</w:t>
      </w:r>
      <w:r>
        <w:rPr>
          <w:rFonts w:cs="Times New Roman"/>
          <w:szCs w:val="24"/>
        </w:rPr>
        <w:t xml:space="preserve"> and urease tests, confirming their identity as </w:t>
      </w:r>
      <w:r>
        <w:rPr>
          <w:rFonts w:cs="Times New Roman"/>
          <w:i/>
          <w:iCs/>
          <w:szCs w:val="24"/>
        </w:rPr>
        <w:t>Y. enterocolitica</w:t>
      </w:r>
      <w:r>
        <w:rPr>
          <w:rFonts w:cs="Times New Roman"/>
          <w:szCs w:val="24"/>
        </w:rPr>
        <w:t>.</w:t>
      </w:r>
    </w:p>
    <w:p w14:paraId="45CAFF80" w14:textId="77777777" w:rsidR="00084B40" w:rsidRDefault="00084B40" w:rsidP="009A0401">
      <w:pPr>
        <w:spacing w:line="360" w:lineRule="auto"/>
        <w:ind w:firstLine="720"/>
        <w:jc w:val="center"/>
        <w:rPr>
          <w:rFonts w:cs="Times New Roman"/>
          <w:szCs w:val="24"/>
        </w:rPr>
      </w:pPr>
      <w:r w:rsidRPr="00084B40">
        <w:rPr>
          <w:rFonts w:cs="Times New Roman"/>
          <w:noProof/>
          <w:szCs w:val="24"/>
        </w:rPr>
        <w:drawing>
          <wp:inline distT="0" distB="0" distL="0" distR="0" wp14:anchorId="0C78A7A6" wp14:editId="257FD55A">
            <wp:extent cx="2820112" cy="2363962"/>
            <wp:effectExtent l="0" t="0" r="0" b="0"/>
            <wp:docPr id="967815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1927" cy="2382249"/>
                    </a:xfrm>
                    <a:prstGeom prst="rect">
                      <a:avLst/>
                    </a:prstGeom>
                    <a:noFill/>
                    <a:ln>
                      <a:noFill/>
                    </a:ln>
                  </pic:spPr>
                </pic:pic>
              </a:graphicData>
            </a:graphic>
          </wp:inline>
        </w:drawing>
      </w:r>
    </w:p>
    <w:p w14:paraId="17B8AA25" w14:textId="77777777" w:rsidR="00084B40" w:rsidRPr="009A0401" w:rsidRDefault="00084B40" w:rsidP="009A0401">
      <w:pPr>
        <w:spacing w:line="360" w:lineRule="auto"/>
        <w:ind w:firstLine="720"/>
        <w:jc w:val="center"/>
        <w:rPr>
          <w:rFonts w:cs="Times New Roman"/>
          <w:b/>
          <w:bCs/>
          <w:szCs w:val="24"/>
        </w:rPr>
      </w:pPr>
      <w:r w:rsidRPr="009A0401">
        <w:rPr>
          <w:rFonts w:cs="Times New Roman"/>
          <w:b/>
          <w:bCs/>
          <w:szCs w:val="24"/>
        </w:rPr>
        <w:lastRenderedPageBreak/>
        <w:t>Fig. 1</w:t>
      </w:r>
      <w:r w:rsidR="009A0401" w:rsidRPr="009A0401">
        <w:rPr>
          <w:rFonts w:cs="Times New Roman"/>
          <w:b/>
          <w:bCs/>
          <w:szCs w:val="24"/>
        </w:rPr>
        <w:t xml:space="preserve"> </w:t>
      </w:r>
      <w:r w:rsidR="009A0401" w:rsidRPr="009A0401">
        <w:rPr>
          <w:rFonts w:cs="Times New Roman"/>
          <w:b/>
          <w:bCs/>
          <w:i/>
          <w:iCs/>
          <w:szCs w:val="24"/>
        </w:rPr>
        <w:t xml:space="preserve">Y. enterocolitica </w:t>
      </w:r>
      <w:r w:rsidR="009A0401" w:rsidRPr="009A0401">
        <w:rPr>
          <w:rFonts w:cs="Times New Roman"/>
          <w:b/>
          <w:bCs/>
          <w:szCs w:val="24"/>
        </w:rPr>
        <w:t>on Yersinia Selective agar</w:t>
      </w:r>
    </w:p>
    <w:p w14:paraId="2263FC59" w14:textId="77777777" w:rsidR="002875B2" w:rsidRPr="004927F9" w:rsidRDefault="002875B2" w:rsidP="002875B2">
      <w:pPr>
        <w:spacing w:line="360" w:lineRule="auto"/>
        <w:ind w:firstLine="720"/>
        <w:jc w:val="both"/>
        <w:rPr>
          <w:rFonts w:cs="Times New Roman"/>
          <w:szCs w:val="24"/>
        </w:rPr>
      </w:pPr>
      <w:r>
        <w:rPr>
          <w:rFonts w:cs="Times New Roman"/>
          <w:szCs w:val="24"/>
        </w:rPr>
        <w:t xml:space="preserve">The occurrence of </w:t>
      </w:r>
      <w:r>
        <w:rPr>
          <w:rFonts w:cs="Times New Roman"/>
          <w:i/>
          <w:iCs/>
          <w:szCs w:val="24"/>
        </w:rPr>
        <w:t>Y. enterocolitica</w:t>
      </w:r>
      <w:r>
        <w:rPr>
          <w:rFonts w:cs="Times New Roman"/>
          <w:szCs w:val="24"/>
        </w:rPr>
        <w:t xml:space="preserve"> in pork samples in the present study was 7.0%, which was </w:t>
      </w:r>
      <w:r>
        <w:rPr>
          <w:rFonts w:cs="Times New Roman"/>
          <w:szCs w:val="24"/>
          <w:highlight w:val="yellow"/>
        </w:rPr>
        <w:t>closely consistent</w:t>
      </w:r>
      <w:r>
        <w:rPr>
          <w:rFonts w:cs="Times New Roman"/>
          <w:szCs w:val="24"/>
        </w:rPr>
        <w:t xml:space="preserve"> </w:t>
      </w:r>
      <w:r>
        <w:rPr>
          <w:rFonts w:cs="Times New Roman"/>
          <w:szCs w:val="24"/>
          <w:highlight w:val="yellow"/>
        </w:rPr>
        <w:t>with the 7.6% occurrence reported by</w:t>
      </w:r>
      <w:r>
        <w:rPr>
          <w:rFonts w:cs="Times New Roman"/>
          <w:szCs w:val="24"/>
        </w:rPr>
        <w:t xml:space="preserve"> Venkata Lakshmi </w:t>
      </w:r>
      <w:r>
        <w:rPr>
          <w:rFonts w:cs="Times New Roman"/>
          <w:i/>
          <w:iCs/>
          <w:szCs w:val="24"/>
        </w:rPr>
        <w:t>et al.</w:t>
      </w:r>
      <w:r>
        <w:rPr>
          <w:rFonts w:cs="Times New Roman"/>
          <w:szCs w:val="24"/>
        </w:rPr>
        <w:t xml:space="preserve"> (2025) in retail pork samples from Tirupati, India, but slightly higher than </w:t>
      </w:r>
      <w:r>
        <w:rPr>
          <w:rFonts w:cs="Times New Roman"/>
          <w:szCs w:val="24"/>
          <w:highlight w:val="yellow"/>
        </w:rPr>
        <w:t xml:space="preserve">the 6.7% reported by </w:t>
      </w:r>
      <w:proofErr w:type="spellStart"/>
      <w:r>
        <w:rPr>
          <w:rFonts w:cs="Times New Roman"/>
          <w:szCs w:val="24"/>
          <w:highlight w:val="yellow"/>
        </w:rPr>
        <w:t>Angelovska</w:t>
      </w:r>
      <w:proofErr w:type="spellEnd"/>
      <w:r>
        <w:rPr>
          <w:rFonts w:cs="Times New Roman"/>
          <w:szCs w:val="24"/>
        </w:rPr>
        <w:t xml:space="preserve"> </w:t>
      </w:r>
      <w:r>
        <w:rPr>
          <w:rFonts w:cs="Times New Roman"/>
          <w:i/>
          <w:iCs/>
          <w:szCs w:val="24"/>
        </w:rPr>
        <w:t>et al.</w:t>
      </w:r>
      <w:r>
        <w:rPr>
          <w:rFonts w:cs="Times New Roman"/>
          <w:szCs w:val="24"/>
        </w:rPr>
        <w:t xml:space="preserve"> (2023) among slaughter pigs in Bulgaria. In contrast, </w:t>
      </w:r>
      <w:proofErr w:type="spellStart"/>
      <w:r>
        <w:rPr>
          <w:rFonts w:cs="Times New Roman"/>
          <w:szCs w:val="24"/>
        </w:rPr>
        <w:t>Hadziabdic</w:t>
      </w:r>
      <w:proofErr w:type="spellEnd"/>
      <w:r>
        <w:rPr>
          <w:rFonts w:cs="Times New Roman"/>
          <w:szCs w:val="24"/>
        </w:rPr>
        <w:t xml:space="preserve"> </w:t>
      </w:r>
      <w:r>
        <w:rPr>
          <w:rFonts w:cs="Times New Roman"/>
          <w:i/>
          <w:iCs/>
          <w:szCs w:val="24"/>
        </w:rPr>
        <w:t>et al.</w:t>
      </w:r>
      <w:r>
        <w:rPr>
          <w:rFonts w:cs="Times New Roman"/>
          <w:szCs w:val="24"/>
        </w:rPr>
        <w:t xml:space="preserve"> (2023) reported a higher occurrence of 16.3% in pre-packed fresh minced pork from Southern Berlin and Brandenburg. Differences in prevalence among studies may be attributed to variations in geographical location, sample type, slaughterhouse hygiene, enrichment procedures and detection methods.</w:t>
      </w:r>
    </w:p>
    <w:p w14:paraId="70D4B0EE" w14:textId="77777777" w:rsidR="002875B2" w:rsidRDefault="002875B2" w:rsidP="002875B2">
      <w:pPr>
        <w:spacing w:line="360" w:lineRule="auto"/>
        <w:ind w:firstLine="720"/>
        <w:jc w:val="both"/>
        <w:rPr>
          <w:rFonts w:cs="Times New Roman"/>
          <w:szCs w:val="24"/>
        </w:rPr>
      </w:pPr>
      <w:r>
        <w:rPr>
          <w:rFonts w:cs="Times New Roman"/>
          <w:szCs w:val="24"/>
        </w:rPr>
        <w:t xml:space="preserve">Pork showed the highest recovery rate among all sample types, supporting the role of pigs as the principal reservoir of pathogenic </w:t>
      </w:r>
      <w:r>
        <w:rPr>
          <w:rFonts w:cs="Times New Roman"/>
          <w:i/>
          <w:iCs/>
          <w:szCs w:val="24"/>
        </w:rPr>
        <w:t>Y. enterocolitica</w:t>
      </w:r>
      <w:r>
        <w:rPr>
          <w:rFonts w:cs="Times New Roman"/>
          <w:szCs w:val="24"/>
        </w:rPr>
        <w:t xml:space="preserve">. Similarly, Yue </w:t>
      </w:r>
      <w:r>
        <w:rPr>
          <w:rFonts w:cs="Times New Roman"/>
          <w:i/>
          <w:iCs/>
          <w:szCs w:val="24"/>
        </w:rPr>
        <w:t>et al.</w:t>
      </w:r>
      <w:r>
        <w:rPr>
          <w:rFonts w:cs="Times New Roman"/>
          <w:szCs w:val="24"/>
        </w:rPr>
        <w:t xml:space="preserve"> (2023) identified pigs as the primary reservoir and highlighted the pork production chain as the major source of human infection. Furthermore, the isolation of </w:t>
      </w:r>
      <w:r>
        <w:rPr>
          <w:rFonts w:cs="Times New Roman"/>
          <w:i/>
          <w:iCs/>
          <w:szCs w:val="24"/>
        </w:rPr>
        <w:t>Y. enterocolitica</w:t>
      </w:r>
      <w:r>
        <w:rPr>
          <w:rFonts w:cs="Times New Roman"/>
          <w:szCs w:val="24"/>
        </w:rPr>
        <w:t xml:space="preserve"> from slaughterhouse soil (4.0%) indicates environmental persistence and the potential for cross-contamination during carcass processing. This observation is in agreement with Arsić </w:t>
      </w:r>
      <w:r>
        <w:rPr>
          <w:rFonts w:cs="Times New Roman"/>
          <w:i/>
          <w:iCs/>
          <w:szCs w:val="24"/>
        </w:rPr>
        <w:t>et al.</w:t>
      </w:r>
      <w:r>
        <w:rPr>
          <w:rFonts w:cs="Times New Roman"/>
          <w:szCs w:val="24"/>
        </w:rPr>
        <w:t xml:space="preserve"> (2023), who </w:t>
      </w:r>
      <w:r>
        <w:rPr>
          <w:rFonts w:cs="Times New Roman"/>
          <w:szCs w:val="24"/>
          <w:highlight w:val="yellow"/>
        </w:rPr>
        <w:t>emphasised</w:t>
      </w:r>
      <w:r>
        <w:rPr>
          <w:rFonts w:cs="Times New Roman"/>
          <w:szCs w:val="24"/>
        </w:rPr>
        <w:t xml:space="preserve"> the importance of slaughterhouse hygiene and contaminated processing environments in the dissemination of </w:t>
      </w:r>
      <w:r>
        <w:rPr>
          <w:rFonts w:cs="Times New Roman"/>
          <w:i/>
          <w:iCs/>
          <w:szCs w:val="24"/>
        </w:rPr>
        <w:t>Y. enterocolitica</w:t>
      </w:r>
      <w:r>
        <w:rPr>
          <w:rFonts w:cs="Times New Roman"/>
          <w:szCs w:val="24"/>
        </w:rPr>
        <w:t xml:space="preserve"> throughout the pork production chain.</w:t>
      </w:r>
    </w:p>
    <w:p w14:paraId="2A94890F" w14:textId="77777777" w:rsidR="004253D6" w:rsidRDefault="001D3EA5" w:rsidP="004253D6">
      <w:pPr>
        <w:spacing w:line="360" w:lineRule="auto"/>
        <w:jc w:val="both"/>
        <w:rPr>
          <w:rFonts w:cs="Times New Roman"/>
          <w:szCs w:val="24"/>
        </w:rPr>
      </w:pPr>
      <w:r>
        <w:rPr>
          <w:rFonts w:cs="Times New Roman"/>
          <w:b/>
          <w:bCs/>
          <w:szCs w:val="24"/>
        </w:rPr>
        <w:t xml:space="preserve">3.2 </w:t>
      </w:r>
      <w:r w:rsidR="004253D6">
        <w:rPr>
          <w:rFonts w:cs="Times New Roman"/>
          <w:b/>
          <w:bCs/>
          <w:szCs w:val="24"/>
        </w:rPr>
        <w:t>T</w:t>
      </w:r>
      <w:r w:rsidR="004253D6" w:rsidRPr="00CD2D44">
        <w:rPr>
          <w:rFonts w:cs="Times New Roman"/>
          <w:b/>
          <w:bCs/>
          <w:szCs w:val="24"/>
        </w:rPr>
        <w:t>ests for pathogenicity</w:t>
      </w:r>
    </w:p>
    <w:p w14:paraId="1F5ABBD3" w14:textId="77777777" w:rsidR="00A45D96" w:rsidRDefault="00BE6DF3" w:rsidP="001E3007">
      <w:pPr>
        <w:spacing w:line="360" w:lineRule="auto"/>
        <w:ind w:firstLine="720"/>
        <w:jc w:val="both"/>
        <w:rPr>
          <w:rFonts w:cs="Times New Roman"/>
          <w:szCs w:val="24"/>
        </w:rPr>
      </w:pPr>
      <w:r>
        <w:rPr>
          <w:rFonts w:cs="Times New Roman"/>
          <w:szCs w:val="24"/>
        </w:rPr>
        <w:t>The pathogenic potential of the isolates was evaluated using calcium dependency on MOX agar and Congo Red absorption on CRAMP agar (</w:t>
      </w:r>
      <w:r>
        <w:rPr>
          <w:rFonts w:cs="Times New Roman"/>
          <w:szCs w:val="24"/>
          <w:highlight w:val="yellow"/>
        </w:rPr>
        <w:t>Figs</w:t>
      </w:r>
      <w:r>
        <w:rPr>
          <w:rFonts w:cs="Times New Roman"/>
          <w:szCs w:val="24"/>
        </w:rPr>
        <w:t xml:space="preserve">. 2 </w:t>
      </w:r>
      <w:r>
        <w:rPr>
          <w:rFonts w:cs="Times New Roman"/>
          <w:szCs w:val="24"/>
          <w:highlight w:val="yellow"/>
        </w:rPr>
        <w:t>and</w:t>
      </w:r>
      <w:r>
        <w:rPr>
          <w:rFonts w:cs="Times New Roman"/>
          <w:szCs w:val="24"/>
        </w:rPr>
        <w:t xml:space="preserve"> 3). Nine (81.8%) isolates exhibited calcium dependency and Congo Red uptake, while two isolates were negative in both assays. Among the pathogenic isolates, six originated from pork, two from pig intestinal contents and one from slaughterhouse soil. All nine isolates were confirmed by PCR targeting the </w:t>
      </w:r>
      <w:r>
        <w:rPr>
          <w:rFonts w:cs="Times New Roman"/>
          <w:i/>
          <w:iCs/>
          <w:szCs w:val="24"/>
        </w:rPr>
        <w:t>ail</w:t>
      </w:r>
      <w:r>
        <w:rPr>
          <w:rFonts w:cs="Times New Roman"/>
          <w:szCs w:val="24"/>
        </w:rPr>
        <w:t xml:space="preserve"> gene (Fig. 4), indicating complete agreement between conventional and molecular methods. Similarly, Venkata Lakshmi </w:t>
      </w:r>
      <w:r>
        <w:rPr>
          <w:rFonts w:cs="Times New Roman"/>
          <w:i/>
          <w:iCs/>
          <w:szCs w:val="24"/>
        </w:rPr>
        <w:t>et al.</w:t>
      </w:r>
      <w:r>
        <w:rPr>
          <w:rFonts w:cs="Times New Roman"/>
          <w:szCs w:val="24"/>
        </w:rPr>
        <w:t xml:space="preserve"> (2025) detected the </w:t>
      </w:r>
      <w:r>
        <w:rPr>
          <w:rFonts w:cs="Times New Roman"/>
          <w:i/>
          <w:iCs/>
          <w:szCs w:val="24"/>
        </w:rPr>
        <w:t>ail</w:t>
      </w:r>
      <w:r>
        <w:rPr>
          <w:rFonts w:cs="Times New Roman"/>
          <w:szCs w:val="24"/>
        </w:rPr>
        <w:t xml:space="preserve"> gene in pathogenic </w:t>
      </w:r>
      <w:r>
        <w:rPr>
          <w:rFonts w:cs="Times New Roman"/>
          <w:i/>
          <w:iCs/>
          <w:szCs w:val="24"/>
        </w:rPr>
        <w:t>Y. enterocolitica</w:t>
      </w:r>
      <w:r>
        <w:rPr>
          <w:rFonts w:cs="Times New Roman"/>
          <w:szCs w:val="24"/>
        </w:rPr>
        <w:t xml:space="preserve"> isolates recovered from pig carcasses (7.8%), thereby supporting the use of </w:t>
      </w:r>
      <w:r>
        <w:rPr>
          <w:rFonts w:cs="Times New Roman"/>
          <w:i/>
          <w:iCs/>
          <w:szCs w:val="24"/>
          <w:highlight w:val="yellow"/>
        </w:rPr>
        <w:t>the ail</w:t>
      </w:r>
      <w:r>
        <w:rPr>
          <w:rFonts w:cs="Times New Roman"/>
          <w:szCs w:val="24"/>
        </w:rPr>
        <w:t xml:space="preserve"> gene as a reliable molecular marker for pathogenic strains. Furthermore, Al-Rawe </w:t>
      </w:r>
      <w:r>
        <w:rPr>
          <w:rFonts w:cs="Times New Roman"/>
          <w:i/>
          <w:iCs/>
          <w:szCs w:val="24"/>
        </w:rPr>
        <w:t>et al</w:t>
      </w:r>
      <w:r>
        <w:rPr>
          <w:rFonts w:cs="Times New Roman"/>
          <w:szCs w:val="24"/>
        </w:rPr>
        <w:t xml:space="preserve">. (2023) demonstrated through comparative genomic analysis that virulence genes involved in adhesion and invasion are highly conserved among pathogenic </w:t>
      </w:r>
      <w:r>
        <w:rPr>
          <w:rFonts w:cs="Times New Roman"/>
          <w:i/>
          <w:iCs/>
          <w:szCs w:val="24"/>
        </w:rPr>
        <w:t>Y. enterocolitica</w:t>
      </w:r>
      <w:r>
        <w:rPr>
          <w:rFonts w:cs="Times New Roman"/>
          <w:szCs w:val="24"/>
        </w:rPr>
        <w:t>.</w:t>
      </w:r>
    </w:p>
    <w:p w14:paraId="76E44A0B" w14:textId="77777777" w:rsidR="00F67F15" w:rsidRDefault="00F67F15" w:rsidP="00611446">
      <w:pPr>
        <w:spacing w:line="360" w:lineRule="auto"/>
        <w:jc w:val="center"/>
        <w:rPr>
          <w:rFonts w:cs="Times New Roman"/>
          <w:szCs w:val="24"/>
        </w:rPr>
      </w:pPr>
      <w:r w:rsidRPr="00F67F15">
        <w:rPr>
          <w:rFonts w:cs="Times New Roman"/>
          <w:noProof/>
          <w:szCs w:val="24"/>
        </w:rPr>
        <w:lastRenderedPageBreak/>
        <w:drawing>
          <wp:inline distT="0" distB="0" distL="0" distR="0" wp14:anchorId="39678D3A" wp14:editId="55DED76B">
            <wp:extent cx="2934119" cy="2800918"/>
            <wp:effectExtent l="0" t="0" r="0" b="0"/>
            <wp:docPr id="1895503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3169" cy="2828650"/>
                    </a:xfrm>
                    <a:prstGeom prst="rect">
                      <a:avLst/>
                    </a:prstGeom>
                    <a:noFill/>
                    <a:ln>
                      <a:noFill/>
                    </a:ln>
                  </pic:spPr>
                </pic:pic>
              </a:graphicData>
            </a:graphic>
          </wp:inline>
        </w:drawing>
      </w:r>
    </w:p>
    <w:p w14:paraId="2EF97146" w14:textId="77777777" w:rsidR="00611446" w:rsidRPr="00611446" w:rsidRDefault="00611446" w:rsidP="00611446">
      <w:pPr>
        <w:spacing w:line="240" w:lineRule="auto"/>
        <w:jc w:val="center"/>
        <w:rPr>
          <w:rFonts w:cs="Times New Roman"/>
          <w:b/>
          <w:bCs/>
          <w:szCs w:val="24"/>
        </w:rPr>
      </w:pPr>
      <w:r w:rsidRPr="00611446">
        <w:rPr>
          <w:rFonts w:cs="Times New Roman"/>
          <w:b/>
          <w:bCs/>
          <w:szCs w:val="24"/>
        </w:rPr>
        <w:t xml:space="preserve">Fig. 2 Pathogenic </w:t>
      </w:r>
      <w:r w:rsidRPr="00611446">
        <w:rPr>
          <w:rFonts w:cs="Times New Roman"/>
          <w:b/>
          <w:bCs/>
          <w:i/>
          <w:iCs/>
          <w:szCs w:val="24"/>
        </w:rPr>
        <w:t xml:space="preserve">Y. enterocolitica </w:t>
      </w:r>
      <w:r w:rsidRPr="00611446">
        <w:rPr>
          <w:rFonts w:cs="Times New Roman"/>
          <w:b/>
          <w:bCs/>
          <w:szCs w:val="24"/>
        </w:rPr>
        <w:t>on MOX agar</w:t>
      </w:r>
    </w:p>
    <w:p w14:paraId="327B45D9" w14:textId="77777777" w:rsidR="002875B2" w:rsidRDefault="002875B2" w:rsidP="002D4980">
      <w:pPr>
        <w:spacing w:line="360" w:lineRule="auto"/>
        <w:ind w:firstLine="720"/>
        <w:jc w:val="both"/>
        <w:rPr>
          <w:rFonts w:cs="Times New Roman"/>
          <w:szCs w:val="24"/>
        </w:rPr>
      </w:pPr>
    </w:p>
    <w:p w14:paraId="3E33713F" w14:textId="77777777" w:rsidR="00611446" w:rsidRDefault="00611446" w:rsidP="00611446">
      <w:pPr>
        <w:spacing w:line="360" w:lineRule="auto"/>
        <w:jc w:val="center"/>
        <w:rPr>
          <w:rFonts w:cs="Times New Roman"/>
          <w:szCs w:val="24"/>
        </w:rPr>
      </w:pPr>
      <w:r w:rsidRPr="00C21954">
        <w:rPr>
          <w:rFonts w:cs="Times New Roman"/>
          <w:noProof/>
          <w:szCs w:val="24"/>
        </w:rPr>
        <w:drawing>
          <wp:inline distT="0" distB="0" distL="0" distR="0" wp14:anchorId="028A1BF9" wp14:editId="4B2D0B83">
            <wp:extent cx="2873828" cy="2575570"/>
            <wp:effectExtent l="0" t="0" r="3175" b="0"/>
            <wp:docPr id="52397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3556" cy="2611175"/>
                    </a:xfrm>
                    <a:prstGeom prst="rect">
                      <a:avLst/>
                    </a:prstGeom>
                    <a:noFill/>
                    <a:ln>
                      <a:noFill/>
                    </a:ln>
                  </pic:spPr>
                </pic:pic>
              </a:graphicData>
            </a:graphic>
          </wp:inline>
        </w:drawing>
      </w:r>
    </w:p>
    <w:p w14:paraId="568C4870" w14:textId="77777777" w:rsidR="00611446" w:rsidRPr="00611446" w:rsidRDefault="00611446" w:rsidP="00611446">
      <w:pPr>
        <w:spacing w:line="240" w:lineRule="auto"/>
        <w:jc w:val="center"/>
        <w:rPr>
          <w:rFonts w:cs="Times New Roman"/>
          <w:b/>
          <w:bCs/>
          <w:szCs w:val="24"/>
        </w:rPr>
      </w:pPr>
      <w:r w:rsidRPr="002303BE">
        <w:rPr>
          <w:rFonts w:cs="Times New Roman"/>
          <w:b/>
          <w:bCs/>
          <w:szCs w:val="24"/>
        </w:rPr>
        <w:t xml:space="preserve">Fig. </w:t>
      </w:r>
      <w:r>
        <w:rPr>
          <w:rFonts w:cs="Times New Roman"/>
          <w:b/>
          <w:bCs/>
          <w:szCs w:val="24"/>
        </w:rPr>
        <w:t>3</w:t>
      </w:r>
      <w:r w:rsidRPr="002303BE">
        <w:rPr>
          <w:rFonts w:cs="Times New Roman"/>
          <w:b/>
          <w:bCs/>
          <w:szCs w:val="24"/>
        </w:rPr>
        <w:t xml:space="preserve"> Pathogenic </w:t>
      </w:r>
      <w:r w:rsidRPr="002303BE">
        <w:rPr>
          <w:rFonts w:cs="Times New Roman"/>
          <w:b/>
          <w:bCs/>
          <w:i/>
          <w:iCs/>
          <w:szCs w:val="24"/>
        </w:rPr>
        <w:t xml:space="preserve">Y. enterocolitica </w:t>
      </w:r>
      <w:r w:rsidRPr="002303BE">
        <w:rPr>
          <w:rFonts w:cs="Times New Roman"/>
          <w:b/>
          <w:bCs/>
          <w:szCs w:val="24"/>
        </w:rPr>
        <w:t>on CRAMP agar</w:t>
      </w:r>
    </w:p>
    <w:p w14:paraId="5EC3E6A0" w14:textId="77777777" w:rsidR="00611446" w:rsidRPr="009A58A6" w:rsidRDefault="00611446" w:rsidP="002D4980">
      <w:pPr>
        <w:spacing w:line="360" w:lineRule="auto"/>
        <w:ind w:firstLine="720"/>
        <w:jc w:val="both"/>
        <w:rPr>
          <w:rFonts w:cs="Times New Roman"/>
          <w:szCs w:val="24"/>
        </w:rPr>
      </w:pPr>
    </w:p>
    <w:p w14:paraId="1C735E38" w14:textId="77777777" w:rsidR="004745E5" w:rsidRPr="009A58A6" w:rsidRDefault="004979F8" w:rsidP="00C41D2B">
      <w:pPr>
        <w:spacing w:before="240" w:line="360" w:lineRule="auto"/>
        <w:jc w:val="center"/>
        <w:rPr>
          <w:rFonts w:cs="Times New Roman"/>
          <w:b/>
          <w:bCs/>
          <w:szCs w:val="24"/>
        </w:rPr>
      </w:pPr>
      <w:r w:rsidRPr="004745E5">
        <w:rPr>
          <w:rFonts w:cs="Times New Roman"/>
          <w:b/>
          <w:bCs/>
          <w:noProof/>
          <w:szCs w:val="24"/>
          <w:lang w:val="it-IT"/>
        </w:rPr>
        <w:lastRenderedPageBreak/>
        <w:drawing>
          <wp:inline distT="0" distB="0" distL="0" distR="0" wp14:anchorId="35B45388" wp14:editId="36B5D395">
            <wp:extent cx="4406900" cy="3136900"/>
            <wp:effectExtent l="0" t="0" r="0" b="6350"/>
            <wp:docPr id="1844468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68642" name=""/>
                    <pic:cNvPicPr/>
                  </pic:nvPicPr>
                  <pic:blipFill>
                    <a:blip r:embed="rId11">
                      <a:extLst>
                        <a:ext uri="{28A0092B-C50C-407E-A947-70E740481C1C}">
                          <a14:useLocalDpi xmlns:a14="http://schemas.microsoft.com/office/drawing/2010/main" val="0"/>
                        </a:ext>
                      </a:extLst>
                    </a:blip>
                    <a:stretch>
                      <a:fillRect/>
                    </a:stretch>
                  </pic:blipFill>
                  <pic:spPr>
                    <a:xfrm>
                      <a:off x="0" y="0"/>
                      <a:ext cx="4406900" cy="3136900"/>
                    </a:xfrm>
                    <a:prstGeom prst="rect">
                      <a:avLst/>
                    </a:prstGeom>
                  </pic:spPr>
                </pic:pic>
              </a:graphicData>
            </a:graphic>
          </wp:inline>
        </w:drawing>
      </w:r>
    </w:p>
    <w:p w14:paraId="10F258DF" w14:textId="77777777" w:rsidR="00C41D2B" w:rsidRPr="009A58A6" w:rsidRDefault="00C41D2B" w:rsidP="00471E54">
      <w:pPr>
        <w:spacing w:line="360" w:lineRule="auto"/>
        <w:jc w:val="center"/>
        <w:rPr>
          <w:rFonts w:cs="Times New Roman"/>
          <w:b/>
          <w:bCs/>
          <w:szCs w:val="24"/>
        </w:rPr>
      </w:pPr>
      <w:r w:rsidRPr="002303BE">
        <w:rPr>
          <w:rFonts w:cs="Times New Roman"/>
          <w:b/>
          <w:bCs/>
          <w:szCs w:val="24"/>
        </w:rPr>
        <w:t xml:space="preserve">Fig. </w:t>
      </w:r>
      <w:r>
        <w:rPr>
          <w:rFonts w:cs="Times New Roman"/>
          <w:b/>
          <w:bCs/>
          <w:szCs w:val="24"/>
        </w:rPr>
        <w:t>4</w:t>
      </w:r>
      <w:r w:rsidRPr="002303BE">
        <w:rPr>
          <w:rFonts w:cs="Times New Roman"/>
          <w:b/>
          <w:bCs/>
          <w:szCs w:val="24"/>
        </w:rPr>
        <w:t xml:space="preserve"> </w:t>
      </w:r>
      <w:r>
        <w:rPr>
          <w:rFonts w:cs="Times New Roman"/>
          <w:b/>
          <w:bCs/>
          <w:szCs w:val="24"/>
        </w:rPr>
        <w:t xml:space="preserve">Molecular confirmation of Pathogenic </w:t>
      </w:r>
      <w:r w:rsidRPr="00966EC9">
        <w:rPr>
          <w:rFonts w:cs="Times New Roman"/>
          <w:b/>
          <w:bCs/>
          <w:i/>
          <w:iCs/>
          <w:szCs w:val="24"/>
        </w:rPr>
        <w:t xml:space="preserve">Y. enterocolitica </w:t>
      </w:r>
      <w:r>
        <w:rPr>
          <w:rFonts w:cs="Times New Roman"/>
          <w:b/>
          <w:bCs/>
          <w:szCs w:val="24"/>
        </w:rPr>
        <w:t xml:space="preserve">targeting </w:t>
      </w:r>
      <w:r w:rsidRPr="00966EC9">
        <w:rPr>
          <w:rFonts w:cs="Times New Roman"/>
          <w:b/>
          <w:bCs/>
          <w:i/>
          <w:iCs/>
          <w:szCs w:val="24"/>
        </w:rPr>
        <w:t>ail</w:t>
      </w:r>
      <w:r>
        <w:rPr>
          <w:rFonts w:cs="Times New Roman"/>
          <w:b/>
          <w:bCs/>
          <w:szCs w:val="24"/>
        </w:rPr>
        <w:t xml:space="preserve"> gene</w:t>
      </w:r>
    </w:p>
    <w:p w14:paraId="3C482446" w14:textId="77777777" w:rsidR="00003D5B" w:rsidRPr="00904351" w:rsidRDefault="001D3EA5" w:rsidP="00824B2E">
      <w:pPr>
        <w:spacing w:before="240" w:line="360" w:lineRule="auto"/>
        <w:jc w:val="both"/>
        <w:rPr>
          <w:rFonts w:cs="Times New Roman"/>
          <w:b/>
          <w:bCs/>
          <w:szCs w:val="24"/>
        </w:rPr>
      </w:pPr>
      <w:r>
        <w:rPr>
          <w:rFonts w:cs="Times New Roman"/>
          <w:b/>
          <w:bCs/>
          <w:szCs w:val="24"/>
        </w:rPr>
        <w:t xml:space="preserve">3.3 </w:t>
      </w:r>
      <w:r w:rsidR="00003D5B" w:rsidRPr="00904351">
        <w:rPr>
          <w:rFonts w:cs="Times New Roman"/>
          <w:b/>
          <w:bCs/>
          <w:szCs w:val="24"/>
        </w:rPr>
        <w:t>Antibiogram</w:t>
      </w:r>
    </w:p>
    <w:p w14:paraId="36A47349" w14:textId="77777777" w:rsidR="00B86AFF" w:rsidRDefault="00B86AFF" w:rsidP="00725F35">
      <w:pPr>
        <w:spacing w:line="360" w:lineRule="auto"/>
        <w:ind w:firstLine="720"/>
        <w:jc w:val="both"/>
        <w:rPr>
          <w:rFonts w:cs="Times New Roman"/>
          <w:szCs w:val="24"/>
        </w:rPr>
      </w:pPr>
      <w:r w:rsidRPr="00112047">
        <w:rPr>
          <w:rFonts w:cs="Times New Roman"/>
          <w:szCs w:val="24"/>
        </w:rPr>
        <w:t xml:space="preserve">The </w:t>
      </w:r>
      <w:r w:rsidR="008C255D">
        <w:rPr>
          <w:rFonts w:cs="Times New Roman"/>
          <w:szCs w:val="24"/>
        </w:rPr>
        <w:t>antibiotic</w:t>
      </w:r>
      <w:r w:rsidRPr="00112047">
        <w:rPr>
          <w:rFonts w:cs="Times New Roman"/>
          <w:szCs w:val="24"/>
        </w:rPr>
        <w:t xml:space="preserve"> susceptibility pattern of all eleven </w:t>
      </w:r>
      <w:r w:rsidRPr="006507F4">
        <w:rPr>
          <w:rFonts w:cs="Times New Roman"/>
          <w:i/>
          <w:iCs/>
          <w:szCs w:val="24"/>
        </w:rPr>
        <w:t>Y. enterocolitica</w:t>
      </w:r>
      <w:r w:rsidRPr="00112047">
        <w:rPr>
          <w:rFonts w:cs="Times New Roman"/>
          <w:szCs w:val="24"/>
        </w:rPr>
        <w:t xml:space="preserve"> isolates was determined using the disc diffusion method</w:t>
      </w:r>
      <w:r w:rsidR="00904351">
        <w:rPr>
          <w:rFonts w:cs="Times New Roman"/>
          <w:szCs w:val="24"/>
        </w:rPr>
        <w:t xml:space="preserve"> (Fig. 5)</w:t>
      </w:r>
      <w:r w:rsidRPr="00112047">
        <w:rPr>
          <w:rFonts w:cs="Times New Roman"/>
          <w:szCs w:val="24"/>
        </w:rPr>
        <w:t>. All isolates (100%) were resistant to ampicillin and amoxicillin–clavulanic acid. Conversely, all isolates were susceptible to tetracycline, gentamicin, nalidixic acid, co-trimoxazole, ciprofloxacin, chloramphenicol and norfloxacin, indicating a uniform susceptibility profile to these antimicrobial agents.</w:t>
      </w:r>
    </w:p>
    <w:p w14:paraId="5DE799E6" w14:textId="77777777" w:rsidR="00C41D2B" w:rsidRDefault="00C41D2B" w:rsidP="00725F35">
      <w:pPr>
        <w:spacing w:line="360" w:lineRule="auto"/>
        <w:ind w:firstLine="720"/>
        <w:jc w:val="both"/>
        <w:rPr>
          <w:rFonts w:cs="Times New Roman"/>
          <w:szCs w:val="24"/>
        </w:rPr>
      </w:pPr>
    </w:p>
    <w:p w14:paraId="1907F95A" w14:textId="77777777" w:rsidR="00904351" w:rsidRDefault="00904351" w:rsidP="00471659">
      <w:pPr>
        <w:spacing w:line="360" w:lineRule="auto"/>
        <w:jc w:val="center"/>
        <w:rPr>
          <w:rFonts w:cs="Times New Roman"/>
          <w:szCs w:val="24"/>
        </w:rPr>
      </w:pPr>
      <w:r w:rsidRPr="00904351">
        <w:rPr>
          <w:rFonts w:cs="Times New Roman"/>
          <w:noProof/>
          <w:szCs w:val="24"/>
        </w:rPr>
        <w:drawing>
          <wp:inline distT="0" distB="0" distL="0" distR="0" wp14:anchorId="584086A2" wp14:editId="0AA67532">
            <wp:extent cx="2870200" cy="2395756"/>
            <wp:effectExtent l="0" t="0" r="6350" b="5080"/>
            <wp:docPr id="14259913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82333" cy="2405883"/>
                    </a:xfrm>
                    <a:prstGeom prst="rect">
                      <a:avLst/>
                    </a:prstGeom>
                    <a:noFill/>
                    <a:ln>
                      <a:noFill/>
                    </a:ln>
                  </pic:spPr>
                </pic:pic>
              </a:graphicData>
            </a:graphic>
          </wp:inline>
        </w:drawing>
      </w:r>
    </w:p>
    <w:p w14:paraId="61F5C1A4" w14:textId="77777777" w:rsidR="00904351" w:rsidRPr="00AE5919" w:rsidRDefault="00AE5919" w:rsidP="00471659">
      <w:pPr>
        <w:spacing w:before="240" w:line="360" w:lineRule="auto"/>
        <w:jc w:val="center"/>
        <w:rPr>
          <w:rFonts w:cs="Times New Roman"/>
          <w:b/>
          <w:bCs/>
          <w:szCs w:val="24"/>
        </w:rPr>
      </w:pPr>
      <w:r w:rsidRPr="00AE5919">
        <w:rPr>
          <w:rFonts w:cs="Times New Roman"/>
          <w:b/>
          <w:bCs/>
          <w:szCs w:val="24"/>
        </w:rPr>
        <w:t xml:space="preserve">Fig. 5 </w:t>
      </w:r>
      <w:r w:rsidR="00471659" w:rsidRPr="00904351">
        <w:rPr>
          <w:rFonts w:cs="Times New Roman"/>
          <w:b/>
          <w:bCs/>
          <w:szCs w:val="24"/>
        </w:rPr>
        <w:t>Antibiogram</w:t>
      </w:r>
      <w:r w:rsidR="00471659">
        <w:rPr>
          <w:rFonts w:cs="Times New Roman"/>
          <w:b/>
          <w:bCs/>
          <w:szCs w:val="24"/>
        </w:rPr>
        <w:t xml:space="preserve"> </w:t>
      </w:r>
      <w:r w:rsidRPr="00AE5919">
        <w:rPr>
          <w:rFonts w:cs="Times New Roman"/>
          <w:b/>
          <w:bCs/>
          <w:szCs w:val="24"/>
        </w:rPr>
        <w:t xml:space="preserve">of </w:t>
      </w:r>
      <w:r w:rsidRPr="00AE5919">
        <w:rPr>
          <w:rFonts w:cs="Times New Roman"/>
          <w:b/>
          <w:bCs/>
          <w:i/>
          <w:iCs/>
          <w:szCs w:val="24"/>
        </w:rPr>
        <w:t>Y. enterocolitica</w:t>
      </w:r>
    </w:p>
    <w:p w14:paraId="2C12A984" w14:textId="77777777" w:rsidR="00B86AFF" w:rsidRDefault="00262C9A" w:rsidP="00824B2E">
      <w:pPr>
        <w:spacing w:line="360" w:lineRule="auto"/>
        <w:ind w:firstLine="720"/>
        <w:jc w:val="both"/>
        <w:rPr>
          <w:rFonts w:cs="Times New Roman"/>
          <w:szCs w:val="24"/>
        </w:rPr>
      </w:pPr>
      <w:r>
        <w:rPr>
          <w:rFonts w:cs="Times New Roman"/>
          <w:szCs w:val="24"/>
          <w:highlight w:val="yellow"/>
        </w:rPr>
        <w:lastRenderedPageBreak/>
        <w:t>The complete</w:t>
      </w:r>
      <w:r>
        <w:rPr>
          <w:rFonts w:cs="Times New Roman"/>
          <w:szCs w:val="24"/>
        </w:rPr>
        <w:t xml:space="preserve"> resistance to ampicillin observed in the present study was comparable to the high level of ampicillin resistance (94%) reported by </w:t>
      </w:r>
      <w:proofErr w:type="spellStart"/>
      <w:r>
        <w:rPr>
          <w:rFonts w:cs="Times New Roman"/>
          <w:szCs w:val="24"/>
        </w:rPr>
        <w:t>Seakamela</w:t>
      </w:r>
      <w:proofErr w:type="spellEnd"/>
      <w:r>
        <w:rPr>
          <w:rFonts w:cs="Times New Roman"/>
          <w:szCs w:val="24"/>
        </w:rPr>
        <w:t xml:space="preserve"> </w:t>
      </w:r>
      <w:r>
        <w:rPr>
          <w:rFonts w:cs="Times New Roman"/>
          <w:i/>
          <w:iCs/>
          <w:szCs w:val="24"/>
        </w:rPr>
        <w:t>et al.</w:t>
      </w:r>
      <w:r>
        <w:rPr>
          <w:rFonts w:cs="Times New Roman"/>
          <w:szCs w:val="24"/>
        </w:rPr>
        <w:t xml:space="preserve"> (2022) among </w:t>
      </w:r>
      <w:r>
        <w:rPr>
          <w:rFonts w:cs="Times New Roman"/>
          <w:i/>
          <w:iCs/>
          <w:szCs w:val="24"/>
        </w:rPr>
        <w:t>Y. enterocolitica</w:t>
      </w:r>
      <w:r>
        <w:rPr>
          <w:rFonts w:cs="Times New Roman"/>
          <w:szCs w:val="24"/>
        </w:rPr>
        <w:t xml:space="preserve"> isolates recovered from meat samples in South Africa. Similarly, Lou </w:t>
      </w:r>
      <w:r>
        <w:rPr>
          <w:rFonts w:cs="Times New Roman"/>
          <w:i/>
          <w:iCs/>
          <w:szCs w:val="24"/>
        </w:rPr>
        <w:t>et al</w:t>
      </w:r>
      <w:r>
        <w:rPr>
          <w:rFonts w:cs="Times New Roman"/>
          <w:szCs w:val="24"/>
        </w:rPr>
        <w:t xml:space="preserve">. (2026) reported resistance to ampicillin, amoxicillin-clavulanic acid and nalidixic acid in foodborne </w:t>
      </w:r>
      <w:r>
        <w:rPr>
          <w:rFonts w:cs="Times New Roman"/>
          <w:i/>
          <w:iCs/>
          <w:szCs w:val="24"/>
        </w:rPr>
        <w:t>Y. enterocolitica</w:t>
      </w:r>
      <w:r>
        <w:rPr>
          <w:rFonts w:cs="Times New Roman"/>
          <w:szCs w:val="24"/>
        </w:rPr>
        <w:t xml:space="preserve"> isolates at rates of 26.0%, 30.0% and 24.0%, respectively. In contrast, all isolates in the present study were susceptible to nalidixic acid despite exhibiting complete resistance to ampicillin and amoxicillin-clavulanic acid. Furthermore, Modesto </w:t>
      </w:r>
      <w:r>
        <w:rPr>
          <w:rFonts w:cs="Times New Roman"/>
          <w:i/>
          <w:iCs/>
          <w:szCs w:val="24"/>
        </w:rPr>
        <w:t>et al</w:t>
      </w:r>
      <w:r>
        <w:rPr>
          <w:rFonts w:cs="Times New Roman"/>
          <w:szCs w:val="24"/>
        </w:rPr>
        <w:t xml:space="preserve">. (2021) reported β-lactam resistance among </w:t>
      </w:r>
      <w:r>
        <w:rPr>
          <w:rFonts w:cs="Times New Roman"/>
          <w:i/>
          <w:iCs/>
          <w:szCs w:val="24"/>
        </w:rPr>
        <w:t>Y. enterocolitica</w:t>
      </w:r>
      <w:r>
        <w:rPr>
          <w:rFonts w:cs="Times New Roman"/>
          <w:szCs w:val="24"/>
        </w:rPr>
        <w:t xml:space="preserve"> isolates from wild boars, while Karlsson </w:t>
      </w:r>
      <w:r>
        <w:rPr>
          <w:rFonts w:cs="Times New Roman"/>
          <w:i/>
          <w:iCs/>
          <w:szCs w:val="24"/>
        </w:rPr>
        <w:t>et al</w:t>
      </w:r>
      <w:r>
        <w:rPr>
          <w:rFonts w:cs="Times New Roman"/>
          <w:szCs w:val="24"/>
        </w:rPr>
        <w:t xml:space="preserve">. (2021) characterised multidrug-resistant outbreak strains carrying multiple antimicrobial resistance determinants. These findings highlight geographical variation in antimicrobial resistance profiles and emphasise the importance of continuous surveillance of antimicrobial-resistant </w:t>
      </w:r>
      <w:r>
        <w:rPr>
          <w:rFonts w:cs="Times New Roman"/>
          <w:i/>
          <w:iCs/>
          <w:szCs w:val="24"/>
        </w:rPr>
        <w:t>Y. enterocolitica</w:t>
      </w:r>
      <w:r>
        <w:rPr>
          <w:rFonts w:cs="Times New Roman"/>
          <w:szCs w:val="24"/>
        </w:rPr>
        <w:t xml:space="preserve"> within the pork production chain.</w:t>
      </w:r>
    </w:p>
    <w:p w14:paraId="62FDE6DF" w14:textId="77777777" w:rsidR="0021446B" w:rsidRPr="00B86AFF" w:rsidRDefault="001D3EA5" w:rsidP="00B86AFF">
      <w:pPr>
        <w:spacing w:line="360" w:lineRule="auto"/>
        <w:jc w:val="both"/>
        <w:rPr>
          <w:rFonts w:cs="Times New Roman"/>
          <w:b/>
          <w:bCs/>
          <w:szCs w:val="24"/>
        </w:rPr>
      </w:pPr>
      <w:r>
        <w:rPr>
          <w:rFonts w:cs="Times New Roman"/>
          <w:b/>
          <w:bCs/>
          <w:szCs w:val="24"/>
        </w:rPr>
        <w:t xml:space="preserve">3.4 </w:t>
      </w:r>
      <w:r w:rsidR="0021446B" w:rsidRPr="00CD2D44">
        <w:rPr>
          <w:rFonts w:cs="Times New Roman"/>
          <w:b/>
          <w:bCs/>
          <w:szCs w:val="24"/>
        </w:rPr>
        <w:t xml:space="preserve">Biofilm production assay </w:t>
      </w:r>
    </w:p>
    <w:p w14:paraId="418EE283" w14:textId="77777777" w:rsidR="00994AA1" w:rsidRDefault="00B86AFF" w:rsidP="00994AA1">
      <w:pPr>
        <w:spacing w:line="360" w:lineRule="auto"/>
        <w:ind w:firstLine="720"/>
        <w:jc w:val="both"/>
        <w:rPr>
          <w:rFonts w:eastAsia="Times New Roman" w:cs="Times New Roman"/>
          <w:kern w:val="0"/>
          <w:szCs w:val="24"/>
          <w:lang w:eastAsia="en-IN"/>
          <w14:ligatures w14:val="none"/>
        </w:rPr>
      </w:pPr>
      <w:r w:rsidRPr="0012035D">
        <w:rPr>
          <w:rFonts w:cs="Times New Roman"/>
          <w:szCs w:val="24"/>
        </w:rPr>
        <w:t xml:space="preserve">The ability of </w:t>
      </w:r>
      <w:r w:rsidRPr="00817089">
        <w:rPr>
          <w:rFonts w:cs="Times New Roman"/>
          <w:i/>
          <w:iCs/>
          <w:szCs w:val="24"/>
        </w:rPr>
        <w:t>Y. enterocolitica</w:t>
      </w:r>
      <w:r w:rsidRPr="0012035D">
        <w:rPr>
          <w:rFonts w:cs="Times New Roman"/>
          <w:szCs w:val="24"/>
        </w:rPr>
        <w:t xml:space="preserve"> isolates to produce biofilm was assessed using Congo Red Agar</w:t>
      </w:r>
      <w:r w:rsidR="00CE7769">
        <w:rPr>
          <w:rFonts w:cs="Times New Roman"/>
          <w:szCs w:val="24"/>
        </w:rPr>
        <w:t xml:space="preserve"> (Fig. 6)</w:t>
      </w:r>
      <w:r w:rsidRPr="0012035D">
        <w:rPr>
          <w:rFonts w:cs="Times New Roman"/>
          <w:szCs w:val="24"/>
        </w:rPr>
        <w:t xml:space="preserve">. Of the eleven isolates, nine (81.8%) demonstrated biofilm production, whereas two isolates were biofilm-negative. </w:t>
      </w:r>
    </w:p>
    <w:p w14:paraId="21948BD7" w14:textId="77777777" w:rsidR="00D01148" w:rsidRDefault="00D01148" w:rsidP="00D01148">
      <w:pPr>
        <w:spacing w:line="360" w:lineRule="auto"/>
        <w:jc w:val="center"/>
        <w:rPr>
          <w:rFonts w:cs="Times New Roman"/>
          <w:szCs w:val="24"/>
        </w:rPr>
      </w:pPr>
      <w:r w:rsidRPr="00D01148">
        <w:rPr>
          <w:rFonts w:cs="Times New Roman"/>
          <w:noProof/>
          <w:szCs w:val="24"/>
        </w:rPr>
        <w:drawing>
          <wp:inline distT="0" distB="0" distL="0" distR="0" wp14:anchorId="3C5DF9B3" wp14:editId="5B322EE6">
            <wp:extent cx="3162300" cy="2713848"/>
            <wp:effectExtent l="0" t="0" r="0" b="0"/>
            <wp:docPr id="22353895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78026" cy="2727343"/>
                    </a:xfrm>
                    <a:prstGeom prst="rect">
                      <a:avLst/>
                    </a:prstGeom>
                    <a:noFill/>
                    <a:ln>
                      <a:noFill/>
                    </a:ln>
                  </pic:spPr>
                </pic:pic>
              </a:graphicData>
            </a:graphic>
          </wp:inline>
        </w:drawing>
      </w:r>
    </w:p>
    <w:p w14:paraId="5AC57F2F" w14:textId="77777777" w:rsidR="00D01148" w:rsidRPr="00D01148" w:rsidRDefault="00D01148" w:rsidP="00D01148">
      <w:pPr>
        <w:spacing w:line="360" w:lineRule="auto"/>
        <w:jc w:val="center"/>
        <w:rPr>
          <w:rFonts w:cs="Times New Roman"/>
          <w:b/>
          <w:bCs/>
          <w:szCs w:val="24"/>
        </w:rPr>
      </w:pPr>
      <w:r w:rsidRPr="00D01148">
        <w:rPr>
          <w:rFonts w:cs="Times New Roman"/>
          <w:b/>
          <w:bCs/>
          <w:szCs w:val="24"/>
        </w:rPr>
        <w:t xml:space="preserve">Fig. 6 Biofilm producing </w:t>
      </w:r>
      <w:r w:rsidRPr="00D01148">
        <w:rPr>
          <w:rFonts w:cs="Times New Roman"/>
          <w:b/>
          <w:bCs/>
          <w:i/>
          <w:iCs/>
          <w:szCs w:val="24"/>
        </w:rPr>
        <w:t>Y. enterocolitica</w:t>
      </w:r>
    </w:p>
    <w:p w14:paraId="65AD243C" w14:textId="2007763C" w:rsidR="00994AA1" w:rsidRPr="0012035D" w:rsidRDefault="00470089" w:rsidP="00CE7769">
      <w:pPr>
        <w:spacing w:line="360" w:lineRule="auto"/>
        <w:ind w:firstLine="720"/>
        <w:jc w:val="both"/>
        <w:rPr>
          <w:rFonts w:cs="Times New Roman"/>
          <w:szCs w:val="24"/>
        </w:rPr>
      </w:pPr>
      <w:r w:rsidRPr="00470089">
        <w:rPr>
          <w:rFonts w:cs="Times New Roman"/>
          <w:szCs w:val="24"/>
        </w:rPr>
        <w:t xml:space="preserve">Although the proportion of biofilm-producing isolates observed in the present study was lower than that reported by </w:t>
      </w:r>
      <w:proofErr w:type="spellStart"/>
      <w:r w:rsidR="00136007" w:rsidRPr="00136007">
        <w:rPr>
          <w:rFonts w:cs="Times New Roman"/>
          <w:szCs w:val="24"/>
        </w:rPr>
        <w:t>Novoslavskij</w:t>
      </w:r>
      <w:proofErr w:type="spellEnd"/>
      <w:r w:rsidRPr="00470089">
        <w:rPr>
          <w:rFonts w:cs="Times New Roman"/>
          <w:szCs w:val="24"/>
        </w:rPr>
        <w:t xml:space="preserve"> </w:t>
      </w:r>
      <w:r w:rsidRPr="00376E13">
        <w:rPr>
          <w:rFonts w:cs="Times New Roman"/>
          <w:i/>
          <w:iCs/>
          <w:szCs w:val="24"/>
        </w:rPr>
        <w:t>et al.</w:t>
      </w:r>
      <w:r w:rsidRPr="00470089">
        <w:rPr>
          <w:rFonts w:cs="Times New Roman"/>
          <w:szCs w:val="24"/>
        </w:rPr>
        <w:t xml:space="preserve"> (2013), who found 100% biofilm production among </w:t>
      </w:r>
      <w:r w:rsidRPr="00376E13">
        <w:rPr>
          <w:rFonts w:cs="Times New Roman"/>
          <w:i/>
          <w:iCs/>
          <w:szCs w:val="24"/>
        </w:rPr>
        <w:t>Y. enterocolitica</w:t>
      </w:r>
      <w:r w:rsidRPr="00470089">
        <w:rPr>
          <w:rFonts w:cs="Times New Roman"/>
          <w:szCs w:val="24"/>
        </w:rPr>
        <w:t xml:space="preserve"> 4/O:3 isolates recovered from the pig production chain, the strong association between pathogenicity and biofilm formation observed in the present </w:t>
      </w:r>
      <w:r w:rsidRPr="00470089">
        <w:rPr>
          <w:rFonts w:cs="Times New Roman"/>
          <w:szCs w:val="24"/>
        </w:rPr>
        <w:lastRenderedPageBreak/>
        <w:t xml:space="preserve">investigation supports previous evidence that virulent </w:t>
      </w:r>
      <w:r w:rsidRPr="0018107A">
        <w:rPr>
          <w:rFonts w:cs="Times New Roman"/>
          <w:i/>
          <w:iCs/>
          <w:szCs w:val="24"/>
        </w:rPr>
        <w:t>Y. enterocolitica</w:t>
      </w:r>
      <w:r w:rsidRPr="00470089">
        <w:rPr>
          <w:rFonts w:cs="Times New Roman"/>
          <w:szCs w:val="24"/>
        </w:rPr>
        <w:t xml:space="preserve"> strains possess enhanced persistence within food-processing environments.</w:t>
      </w:r>
      <w:r w:rsidR="00376E13">
        <w:rPr>
          <w:rFonts w:cs="Times New Roman"/>
          <w:szCs w:val="24"/>
        </w:rPr>
        <w:t xml:space="preserve"> </w:t>
      </w:r>
      <w:r w:rsidR="00994AA1" w:rsidRPr="0012035D">
        <w:rPr>
          <w:rFonts w:cs="Times New Roman"/>
          <w:szCs w:val="24"/>
        </w:rPr>
        <w:t>Ban-</w:t>
      </w:r>
      <w:proofErr w:type="spellStart"/>
      <w:r w:rsidR="00994AA1" w:rsidRPr="0012035D">
        <w:rPr>
          <w:rFonts w:cs="Times New Roman"/>
          <w:szCs w:val="24"/>
        </w:rPr>
        <w:t>Cucerzan</w:t>
      </w:r>
      <w:proofErr w:type="spellEnd"/>
      <w:r w:rsidR="00994AA1" w:rsidRPr="0012035D">
        <w:rPr>
          <w:rFonts w:cs="Times New Roman"/>
          <w:szCs w:val="24"/>
        </w:rPr>
        <w:t xml:space="preserve"> </w:t>
      </w:r>
      <w:r w:rsidR="00994AA1" w:rsidRPr="00D01148">
        <w:rPr>
          <w:rFonts w:cs="Times New Roman"/>
          <w:i/>
          <w:iCs/>
          <w:szCs w:val="24"/>
        </w:rPr>
        <w:t>et al</w:t>
      </w:r>
      <w:r w:rsidR="00994AA1" w:rsidRPr="0012035D">
        <w:rPr>
          <w:rFonts w:cs="Times New Roman"/>
          <w:szCs w:val="24"/>
        </w:rPr>
        <w:t>. (2025) concluded that biofilm formation is one of the principal mechanisms responsible for long-term persistence of foodborne pathogens on food-contact surfaces, contributing substantially to contamination within processing facilities.</w:t>
      </w:r>
      <w:r w:rsidR="00CE7769">
        <w:rPr>
          <w:rFonts w:cs="Times New Roman"/>
          <w:szCs w:val="24"/>
        </w:rPr>
        <w:t xml:space="preserve"> </w:t>
      </w:r>
      <w:r w:rsidR="00994AA1" w:rsidRPr="0012035D">
        <w:rPr>
          <w:rFonts w:cs="Times New Roman"/>
          <w:szCs w:val="24"/>
        </w:rPr>
        <w:t xml:space="preserve">Similarly, Buder </w:t>
      </w:r>
      <w:r w:rsidR="00994AA1" w:rsidRPr="00756B80">
        <w:rPr>
          <w:rFonts w:cs="Times New Roman"/>
          <w:i/>
          <w:iCs/>
          <w:szCs w:val="24"/>
        </w:rPr>
        <w:t>et al.</w:t>
      </w:r>
      <w:r w:rsidR="00994AA1" w:rsidRPr="0012035D">
        <w:rPr>
          <w:rFonts w:cs="Times New Roman"/>
          <w:szCs w:val="24"/>
        </w:rPr>
        <w:t xml:space="preserve"> (2023) identified drinking systems and lairage equipment in pig abattoirs as important reservoirs of zoonotic bacteria because of persistent biofilm formation. </w:t>
      </w:r>
      <w:r w:rsidR="00CA6469" w:rsidRPr="0012035D">
        <w:rPr>
          <w:rFonts w:cs="Times New Roman"/>
          <w:szCs w:val="24"/>
        </w:rPr>
        <w:t xml:space="preserve">Collectively, these findings reinforce the importance of implementing effective biofilm control strategies to minimise the persistence and transmission of pathogenic </w:t>
      </w:r>
      <w:r w:rsidR="00CA6469" w:rsidRPr="0012035D">
        <w:rPr>
          <w:rFonts w:cs="Times New Roman"/>
          <w:i/>
          <w:iCs/>
          <w:szCs w:val="24"/>
        </w:rPr>
        <w:t>Y. enterocolitica</w:t>
      </w:r>
      <w:r w:rsidR="00CA6469" w:rsidRPr="0012035D">
        <w:rPr>
          <w:rFonts w:cs="Times New Roman"/>
          <w:szCs w:val="24"/>
        </w:rPr>
        <w:t xml:space="preserve"> in pork-processing environments.</w:t>
      </w:r>
    </w:p>
    <w:p w14:paraId="3E53FCCB" w14:textId="77777777" w:rsidR="00CA6469" w:rsidRDefault="001D3EA5" w:rsidP="00F8510A">
      <w:pPr>
        <w:spacing w:line="360" w:lineRule="auto"/>
        <w:rPr>
          <w:rFonts w:cs="Times New Roman"/>
          <w:b/>
          <w:bCs/>
          <w:szCs w:val="24"/>
        </w:rPr>
      </w:pPr>
      <w:r>
        <w:rPr>
          <w:rFonts w:cs="Times New Roman"/>
          <w:b/>
          <w:bCs/>
          <w:szCs w:val="24"/>
        </w:rPr>
        <w:t xml:space="preserve">4. </w:t>
      </w:r>
      <w:r w:rsidRPr="00CA6469">
        <w:rPr>
          <w:rFonts w:cs="Times New Roman"/>
          <w:b/>
          <w:bCs/>
          <w:szCs w:val="24"/>
        </w:rPr>
        <w:t>Conclusion</w:t>
      </w:r>
    </w:p>
    <w:p w14:paraId="272482BB" w14:textId="77777777" w:rsidR="00386D25" w:rsidRDefault="00AC6FF2" w:rsidP="00386D25">
      <w:pPr>
        <w:spacing w:line="360" w:lineRule="auto"/>
        <w:ind w:firstLine="720"/>
        <w:jc w:val="both"/>
        <w:rPr>
          <w:rFonts w:cs="Times New Roman"/>
          <w:szCs w:val="24"/>
        </w:rPr>
      </w:pPr>
      <w:r>
        <w:rPr>
          <w:rFonts w:cs="Times New Roman"/>
          <w:szCs w:val="24"/>
        </w:rPr>
        <w:t xml:space="preserve">Overall, </w:t>
      </w:r>
      <w:r w:rsidR="00386D25" w:rsidRPr="00386D25">
        <w:rPr>
          <w:rFonts w:cs="Times New Roman"/>
          <w:szCs w:val="24"/>
        </w:rPr>
        <w:t xml:space="preserve">The study demonstrated the occurrence of </w:t>
      </w:r>
      <w:r w:rsidR="00386D25" w:rsidRPr="00386D25">
        <w:rPr>
          <w:rFonts w:cs="Times New Roman"/>
          <w:i/>
          <w:iCs/>
          <w:szCs w:val="24"/>
        </w:rPr>
        <w:t>Yersinia enterocolitica</w:t>
      </w:r>
      <w:r w:rsidR="00386D25" w:rsidRPr="00386D25">
        <w:rPr>
          <w:rFonts w:cs="Times New Roman"/>
          <w:szCs w:val="24"/>
        </w:rPr>
        <w:t xml:space="preserve"> in pork, pig intestinal contents and slaughterhouse soil collected from the pork production chain in Puducherry. Eleven isolates were recovered from 250 samples, and nine showed pathogenic phenotypes that agreed with polymerase chain reaction detection of the </w:t>
      </w:r>
      <w:r w:rsidR="00386D25" w:rsidRPr="00386D25">
        <w:rPr>
          <w:rFonts w:cs="Times New Roman"/>
          <w:i/>
          <w:iCs/>
          <w:szCs w:val="24"/>
        </w:rPr>
        <w:t>ail</w:t>
      </w:r>
      <w:r w:rsidR="00386D25" w:rsidRPr="00386D25">
        <w:rPr>
          <w:rFonts w:cs="Times New Roman"/>
          <w:szCs w:val="24"/>
        </w:rPr>
        <w:t xml:space="preserve"> gene. The same nine pathogenic isolates were biofilm-positive, while the two non-pathogenic isolates were biofilm-negative, indicating concordance between pathogenicity and qualitative biofilm findings within the isolates examined. All isolates were resistant to ampicillin and amoxicillin–clavulanic acid, whereas all were susceptible to tetracycline, gentamicin, nalidixic acid, co-trimoxazole, ciprofloxacin, chloramphenicol and norfloxacin. Taken together, the findings show that both pork and the slaughterhouse environment can contain </w:t>
      </w:r>
      <w:r w:rsidR="00386D25" w:rsidRPr="00386D25">
        <w:rPr>
          <w:rFonts w:cs="Times New Roman"/>
          <w:i/>
          <w:iCs/>
          <w:szCs w:val="24"/>
        </w:rPr>
        <w:t>Y. enterocolitica</w:t>
      </w:r>
      <w:r w:rsidR="00386D25" w:rsidRPr="00386D25">
        <w:rPr>
          <w:rFonts w:cs="Times New Roman"/>
          <w:szCs w:val="24"/>
        </w:rPr>
        <w:t xml:space="preserve"> with pathogenic and biofilm-forming characteristics. The results therefore support attention to slaughter hygiene, routine microbiological surveillance and prudent antimicrobial use across the pork production chain. Broader studies are required before these findings can be generalised beyond the sampled settings in Puducherry.</w:t>
      </w:r>
    </w:p>
    <w:p w14:paraId="5D499FD1" w14:textId="10444C01" w:rsidR="00B87EFF" w:rsidRPr="009B6D44" w:rsidRDefault="00B87EFF" w:rsidP="00386D25">
      <w:pPr>
        <w:spacing w:line="360" w:lineRule="auto"/>
        <w:ind w:firstLine="720"/>
        <w:jc w:val="both"/>
        <w:rPr>
          <w:rFonts w:cs="Times New Roman"/>
          <w:b/>
          <w:bCs/>
          <w:szCs w:val="24"/>
          <w:highlight w:val="yellow"/>
        </w:rPr>
      </w:pPr>
      <w:r w:rsidRPr="009B6D44">
        <w:rPr>
          <w:rFonts w:cs="Times New Roman"/>
          <w:b/>
          <w:bCs/>
          <w:szCs w:val="24"/>
          <w:highlight w:val="yellow"/>
        </w:rPr>
        <w:t>5. Limitations</w:t>
      </w:r>
    </w:p>
    <w:p w14:paraId="6C84EC37" w14:textId="77777777" w:rsidR="00B87EFF" w:rsidRDefault="00B87EFF" w:rsidP="00B87EFF">
      <w:pPr>
        <w:spacing w:line="360" w:lineRule="auto"/>
        <w:jc w:val="both"/>
        <w:rPr>
          <w:rFonts w:cs="Times New Roman"/>
          <w:szCs w:val="24"/>
        </w:rPr>
      </w:pPr>
      <w:r>
        <w:rPr>
          <w:rFonts w:cs="Times New Roman"/>
          <w:szCs w:val="24"/>
          <w:highlight w:val="yellow"/>
        </w:rPr>
        <w:t xml:space="preserve">The present study has certain limitations that should be considered when interpreting the findings. First, the study was conducted using a relatively limited number of samples collected from the pork production chain in Puducherry and therefore the findings may not be directly generalisable to other geographical regions or production systems. Second, the assessment of biofilm formation was performed using Congo Red Agar, which provides a qualitative indication of biofilm production and does not quantify biofilm biomass or provide information on the strength of biofilm formation. Third, molecular confirmation of pathogenicity was based </w:t>
      </w:r>
      <w:r>
        <w:rPr>
          <w:rFonts w:cs="Times New Roman"/>
          <w:szCs w:val="24"/>
          <w:highlight w:val="yellow"/>
        </w:rPr>
        <w:lastRenderedPageBreak/>
        <w:t xml:space="preserve">on detection of the </w:t>
      </w:r>
      <w:r>
        <w:rPr>
          <w:rFonts w:cs="Times New Roman"/>
          <w:i/>
          <w:iCs/>
          <w:szCs w:val="24"/>
          <w:highlight w:val="yellow"/>
        </w:rPr>
        <w:t>ail</w:t>
      </w:r>
      <w:r>
        <w:rPr>
          <w:rFonts w:cs="Times New Roman"/>
          <w:szCs w:val="24"/>
          <w:highlight w:val="yellow"/>
        </w:rPr>
        <w:t xml:space="preserve"> gene; although this provided molecular support for the pathogenic phenotype, assessment of additional virulence-associated genes and/or plasmid-associated virulence determinants would provide a more comprehensive characterisation of pathogenic strains. Fourth, antimicrobial susceptibility was evaluated by the disc diffusion method and interpreted according to applicable CLSI criteria; further studies incorporating minimum inhibitory concentration determination and molecular characterisation of antimicrobial resistance determinants would provide a more detailed understanding of resistance patterns. Future investigations involving larger sample sizes, longitudinal and multisite sampling, quantitative biofilm assays and comprehensive molecular characterisation would strengthen the epidemiological and public health significance of these findings.</w:t>
      </w:r>
    </w:p>
    <w:p w14:paraId="48FCCEC2" w14:textId="77777777" w:rsidR="000C4E61" w:rsidRDefault="000C4E61" w:rsidP="00B87EFF">
      <w:pPr>
        <w:spacing w:line="360" w:lineRule="auto"/>
        <w:jc w:val="both"/>
        <w:rPr>
          <w:rFonts w:cs="Times New Roman"/>
          <w:szCs w:val="24"/>
        </w:rPr>
      </w:pPr>
    </w:p>
    <w:p w14:paraId="54EFC61E" w14:textId="76AFC7E9" w:rsidR="000C4E61" w:rsidRDefault="000C4E61" w:rsidP="00B87EFF">
      <w:pPr>
        <w:spacing w:line="360" w:lineRule="auto"/>
        <w:jc w:val="both"/>
        <w:rPr>
          <w:rFonts w:cs="Times New Roman"/>
          <w:szCs w:val="24"/>
        </w:rPr>
      </w:pPr>
      <w:r w:rsidRPr="000C4E61">
        <w:rPr>
          <w:rFonts w:cs="Times New Roman"/>
          <w:szCs w:val="24"/>
        </w:rPr>
        <w:t>Consent</w:t>
      </w:r>
    </w:p>
    <w:p w14:paraId="73978B16" w14:textId="1513738E" w:rsidR="000C4E61" w:rsidRPr="00B87EFF" w:rsidRDefault="000C4E61" w:rsidP="00B87EFF">
      <w:pPr>
        <w:spacing w:line="360" w:lineRule="auto"/>
        <w:jc w:val="both"/>
        <w:rPr>
          <w:rFonts w:cs="Times New Roman"/>
          <w:szCs w:val="24"/>
        </w:rPr>
      </w:pPr>
      <w:r w:rsidRPr="000C4E61">
        <w:rPr>
          <w:rFonts w:cs="Times New Roman"/>
          <w:szCs w:val="24"/>
        </w:rPr>
        <w:t>Informal consent was obtained from the concerned slaughterhouse authorities for sample collection prior to commencement of the study. The study did not involve experimental infection, intervention or invasive procedures on live animals.</w:t>
      </w:r>
    </w:p>
    <w:p w14:paraId="4266EB46" w14:textId="77777777" w:rsidR="004251A3" w:rsidRDefault="004251A3" w:rsidP="00D427DA">
      <w:pPr>
        <w:spacing w:after="0" w:line="240" w:lineRule="auto"/>
        <w:rPr>
          <w:rFonts w:cs="Times New Roman"/>
          <w:b/>
        </w:rPr>
      </w:pPr>
    </w:p>
    <w:p w14:paraId="015CA87C" w14:textId="77777777" w:rsidR="00D427DA" w:rsidRDefault="00D427DA" w:rsidP="00D427DA">
      <w:pPr>
        <w:spacing w:after="0" w:line="240" w:lineRule="auto"/>
        <w:rPr>
          <w:rFonts w:cs="Times New Roman"/>
          <w:b/>
        </w:rPr>
      </w:pPr>
      <w:r w:rsidRPr="000839CE">
        <w:rPr>
          <w:rFonts w:cs="Times New Roman"/>
          <w:b/>
        </w:rPr>
        <w:t>Declaration of AI Use</w:t>
      </w:r>
    </w:p>
    <w:p w14:paraId="5AB85E88" w14:textId="77777777" w:rsidR="00D427DA" w:rsidRDefault="00D427DA" w:rsidP="00D427DA">
      <w:pPr>
        <w:spacing w:after="0" w:line="240" w:lineRule="auto"/>
        <w:rPr>
          <w:rFonts w:cs="Times New Roman"/>
          <w:b/>
        </w:rPr>
      </w:pPr>
    </w:p>
    <w:p w14:paraId="6E0F7E2B" w14:textId="77777777" w:rsidR="00D427DA" w:rsidRDefault="00D427DA" w:rsidP="00D427DA">
      <w:pPr>
        <w:spacing w:after="0" w:line="240" w:lineRule="auto"/>
        <w:rPr>
          <w:rFonts w:cs="Times New Roman"/>
          <w:b/>
        </w:rPr>
      </w:pPr>
    </w:p>
    <w:p w14:paraId="6368191A" w14:textId="77777777" w:rsidR="00D427DA" w:rsidRDefault="00D427DA" w:rsidP="00D427DA">
      <w:pPr>
        <w:spacing w:after="0" w:line="240" w:lineRule="auto"/>
        <w:rPr>
          <w:rFonts w:cs="Times New Roman"/>
          <w:b/>
        </w:rPr>
      </w:pPr>
    </w:p>
    <w:p w14:paraId="2B97E06D" w14:textId="77777777" w:rsidR="00D427DA" w:rsidRPr="002D08AC" w:rsidRDefault="00D427DA" w:rsidP="00D427DA">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C89713D" w14:textId="77777777" w:rsidR="001D3EA5" w:rsidRPr="001D3EA5" w:rsidRDefault="001D3EA5" w:rsidP="001D3EA5">
      <w:pPr>
        <w:spacing w:line="360" w:lineRule="auto"/>
        <w:jc w:val="both"/>
        <w:rPr>
          <w:rFonts w:cs="Times New Roman"/>
          <w:b/>
          <w:bCs/>
          <w:szCs w:val="24"/>
        </w:rPr>
      </w:pPr>
      <w:r w:rsidRPr="001D3EA5">
        <w:rPr>
          <w:rFonts w:cs="Times New Roman"/>
          <w:b/>
          <w:bCs/>
          <w:szCs w:val="24"/>
        </w:rPr>
        <w:t>Competing Interests</w:t>
      </w:r>
    </w:p>
    <w:p w14:paraId="3FCA217A" w14:textId="77777777" w:rsidR="001D3EA5" w:rsidRDefault="001D3EA5" w:rsidP="001D3EA5">
      <w:pPr>
        <w:spacing w:line="360" w:lineRule="auto"/>
        <w:ind w:firstLine="720"/>
        <w:jc w:val="both"/>
        <w:rPr>
          <w:rFonts w:cs="Times New Roman"/>
          <w:szCs w:val="24"/>
        </w:rPr>
      </w:pPr>
      <w:r w:rsidRPr="001D3EA5">
        <w:rPr>
          <w:rFonts w:cs="Times New Roman"/>
          <w:szCs w:val="24"/>
        </w:rPr>
        <w:t>Authors have declared that no competing interests exist</w:t>
      </w:r>
      <w:r>
        <w:rPr>
          <w:rFonts w:cs="Times New Roman"/>
          <w:szCs w:val="24"/>
        </w:rPr>
        <w:t>.</w:t>
      </w:r>
    </w:p>
    <w:p w14:paraId="487329F3" w14:textId="77777777" w:rsidR="00D5328D" w:rsidRDefault="00D5328D" w:rsidP="00D5328D">
      <w:pPr>
        <w:spacing w:line="360" w:lineRule="auto"/>
        <w:jc w:val="both"/>
        <w:rPr>
          <w:rFonts w:cs="Times New Roman"/>
          <w:b/>
          <w:bCs/>
          <w:szCs w:val="24"/>
        </w:rPr>
      </w:pPr>
    </w:p>
    <w:p w14:paraId="051D26F3" w14:textId="77777777" w:rsidR="00D5328D" w:rsidRDefault="00D5328D" w:rsidP="00D5328D">
      <w:pPr>
        <w:spacing w:line="360" w:lineRule="auto"/>
        <w:jc w:val="both"/>
        <w:rPr>
          <w:rFonts w:cs="Times New Roman"/>
          <w:b/>
          <w:bCs/>
          <w:szCs w:val="24"/>
        </w:rPr>
      </w:pPr>
    </w:p>
    <w:p w14:paraId="4A6BD952" w14:textId="77777777" w:rsidR="00D5328D" w:rsidRPr="00471E54" w:rsidRDefault="00D5328D" w:rsidP="00D5328D">
      <w:pPr>
        <w:spacing w:line="360" w:lineRule="auto"/>
        <w:jc w:val="both"/>
        <w:rPr>
          <w:rFonts w:cs="Times New Roman"/>
          <w:b/>
          <w:bCs/>
          <w:szCs w:val="24"/>
          <w:lang w:val="it-IT"/>
        </w:rPr>
      </w:pPr>
      <w:r w:rsidRPr="00471E54">
        <w:rPr>
          <w:rFonts w:cs="Times New Roman"/>
          <w:b/>
          <w:bCs/>
          <w:szCs w:val="24"/>
          <w:lang w:val="it-IT"/>
        </w:rPr>
        <w:t>References</w:t>
      </w:r>
    </w:p>
    <w:p w14:paraId="64F22002" w14:textId="594FA873" w:rsidR="00136007" w:rsidRPr="00154D4D" w:rsidRDefault="00136007" w:rsidP="00136007">
      <w:pPr>
        <w:spacing w:after="0" w:line="240" w:lineRule="auto"/>
        <w:ind w:left="720" w:hanging="720"/>
        <w:rPr>
          <w:rFonts w:eastAsia="Times New Roman" w:cs="Times New Roman"/>
          <w:kern w:val="0"/>
          <w:szCs w:val="24"/>
          <w:lang w:val="nl-BE"/>
          <w14:ligatures w14:val="none"/>
        </w:rPr>
      </w:pPr>
      <w:r w:rsidRPr="00136007">
        <w:rPr>
          <w:rFonts w:eastAsia="Times New Roman" w:cs="Times New Roman"/>
          <w:kern w:val="0"/>
          <w:szCs w:val="24"/>
          <w:lang w:val="it-IT"/>
          <w14:ligatures w14:val="none"/>
        </w:rPr>
        <w:t xml:space="preserve">Novoslavskij, A., Šernienė, L., Ramonaitė, S., Zakarienė, G., &amp; Malakauskas, M. (2013). </w:t>
      </w:r>
      <w:r w:rsidRPr="00136007">
        <w:rPr>
          <w:rFonts w:eastAsia="Times New Roman" w:cs="Times New Roman"/>
          <w:kern w:val="0"/>
          <w:szCs w:val="24"/>
          <w:lang w:val="en-US"/>
          <w14:ligatures w14:val="none"/>
        </w:rPr>
        <w:t xml:space="preserve">Comparison of antimicrobial resistance and biofilm formation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4/O:3 strains isolated from pig production chain and patients’ clinical specimens. </w:t>
      </w:r>
      <w:r w:rsidRPr="00154D4D">
        <w:rPr>
          <w:rFonts w:eastAsia="Times New Roman" w:cs="Times New Roman"/>
          <w:i/>
          <w:iCs/>
          <w:kern w:val="0"/>
          <w:szCs w:val="24"/>
          <w:lang w:val="nl-BE"/>
          <w14:ligatures w14:val="none"/>
        </w:rPr>
        <w:t>Veterinarija ir Zootechnika, 62</w:t>
      </w:r>
      <w:r w:rsidRPr="00154D4D">
        <w:rPr>
          <w:rFonts w:eastAsia="Times New Roman" w:cs="Times New Roman"/>
          <w:kern w:val="0"/>
          <w:szCs w:val="24"/>
          <w:lang w:val="nl-BE"/>
          <w14:ligatures w14:val="none"/>
        </w:rPr>
        <w:t xml:space="preserve">(84), 62–67. </w:t>
      </w:r>
      <w:r w:rsidRPr="00154D4D">
        <w:rPr>
          <w:lang w:val="nl-BE"/>
        </w:rPr>
        <w:t xml:space="preserve"> </w:t>
      </w:r>
      <w:hyperlink r:id="rId14" w:history="1">
        <w:r w:rsidRPr="00154D4D">
          <w:rPr>
            <w:rFonts w:eastAsia="Times New Roman"/>
            <w:color w:val="0000FF"/>
            <w:szCs w:val="24"/>
            <w:u w:val="single"/>
            <w:lang w:val="nl-BE"/>
          </w:rPr>
          <w:t>https://vetzoo.lsmuni.lt/data/vols/2013/62/en/novoslavskij.pdf</w:t>
        </w:r>
      </w:hyperlink>
    </w:p>
    <w:p w14:paraId="37C2DF98" w14:textId="5A93BEAD"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lastRenderedPageBreak/>
        <w:t>Al-Rawe, A. M., Al-</w:t>
      </w:r>
      <w:proofErr w:type="spellStart"/>
      <w:r w:rsidRPr="00136007">
        <w:rPr>
          <w:rFonts w:eastAsia="Times New Roman" w:cs="Times New Roman"/>
          <w:kern w:val="0"/>
          <w:szCs w:val="24"/>
          <w:lang w:val="en-US"/>
          <w14:ligatures w14:val="none"/>
        </w:rPr>
        <w:t>Jomaily</w:t>
      </w:r>
      <w:proofErr w:type="spellEnd"/>
      <w:r w:rsidRPr="00136007">
        <w:rPr>
          <w:rFonts w:eastAsia="Times New Roman" w:cs="Times New Roman"/>
          <w:kern w:val="0"/>
          <w:szCs w:val="24"/>
          <w:lang w:val="en-US"/>
          <w14:ligatures w14:val="none"/>
        </w:rPr>
        <w:t xml:space="preserve">, O. K. G., Yousif, Y. I., Shaban, S. A., &amp; Suleiman, A. A. (2023). Comparative genomics, phylogenetic, and functional analyses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a gastrointestinal pathogen, with other soil-borne bacteria causing diseases. </w:t>
      </w:r>
      <w:proofErr w:type="spellStart"/>
      <w:r w:rsidRPr="00136007">
        <w:rPr>
          <w:rFonts w:eastAsia="Times New Roman" w:cs="Times New Roman"/>
          <w:i/>
          <w:iCs/>
          <w:kern w:val="0"/>
          <w:szCs w:val="24"/>
          <w:lang w:val="en-US"/>
          <w14:ligatures w14:val="none"/>
        </w:rPr>
        <w:t>Mikrobiolohichnyi</w:t>
      </w:r>
      <w:proofErr w:type="spellEnd"/>
      <w:r w:rsidRPr="00136007">
        <w:rPr>
          <w:rFonts w:eastAsia="Times New Roman" w:cs="Times New Roman"/>
          <w:i/>
          <w:iCs/>
          <w:kern w:val="0"/>
          <w:szCs w:val="24"/>
          <w:lang w:val="en-US"/>
          <w14:ligatures w14:val="none"/>
        </w:rPr>
        <w:t xml:space="preserve"> </w:t>
      </w:r>
      <w:proofErr w:type="spellStart"/>
      <w:r w:rsidRPr="00136007">
        <w:rPr>
          <w:rFonts w:eastAsia="Times New Roman" w:cs="Times New Roman"/>
          <w:i/>
          <w:iCs/>
          <w:kern w:val="0"/>
          <w:szCs w:val="24"/>
          <w:lang w:val="en-US"/>
          <w14:ligatures w14:val="none"/>
        </w:rPr>
        <w:t>Zhurnal</w:t>
      </w:r>
      <w:proofErr w:type="spellEnd"/>
      <w:r w:rsidRPr="00136007">
        <w:rPr>
          <w:rFonts w:eastAsia="Times New Roman" w:cs="Times New Roman"/>
          <w:i/>
          <w:iCs/>
          <w:kern w:val="0"/>
          <w:szCs w:val="24"/>
          <w:lang w:val="en-US"/>
          <w14:ligatures w14:val="none"/>
        </w:rPr>
        <w:t>, 85</w:t>
      </w:r>
      <w:r w:rsidRPr="00136007">
        <w:rPr>
          <w:rFonts w:eastAsia="Times New Roman" w:cs="Times New Roman"/>
          <w:kern w:val="0"/>
          <w:szCs w:val="24"/>
          <w:lang w:val="en-US"/>
          <w14:ligatures w14:val="none"/>
        </w:rPr>
        <w:t xml:space="preserve">(5), 31–41. </w:t>
      </w:r>
      <w:hyperlink r:id="rId15" w:history="1">
        <w:r>
          <w:rPr>
            <w:rFonts w:eastAsia="Times New Roman"/>
            <w:color w:val="0000FF"/>
            <w:szCs w:val="24"/>
            <w:u w:val="single"/>
          </w:rPr>
          <w:t>https://doi.org/10.15407/microbiolj85.05.031</w:t>
        </w:r>
      </w:hyperlink>
    </w:p>
    <w:p w14:paraId="4A088F27" w14:textId="5EC425EB" w:rsidR="00136007" w:rsidRPr="00136007" w:rsidRDefault="00136007" w:rsidP="00136007">
      <w:pPr>
        <w:spacing w:after="0" w:line="240" w:lineRule="auto"/>
        <w:ind w:left="720" w:hanging="720"/>
        <w:rPr>
          <w:rFonts w:eastAsia="Times New Roman" w:cs="Times New Roman"/>
          <w:kern w:val="0"/>
          <w:szCs w:val="24"/>
          <w:lang w:val="en-US"/>
          <w14:ligatures w14:val="none"/>
        </w:rPr>
      </w:pPr>
      <w:proofErr w:type="spellStart"/>
      <w:r w:rsidRPr="00154D4D">
        <w:rPr>
          <w:rFonts w:eastAsia="Times New Roman" w:cs="Times New Roman"/>
          <w:kern w:val="0"/>
          <w:szCs w:val="24"/>
          <w:lang w:val="en-US"/>
          <w14:ligatures w14:val="none"/>
        </w:rPr>
        <w:t>Angelovska</w:t>
      </w:r>
      <w:proofErr w:type="spellEnd"/>
      <w:r w:rsidRPr="00154D4D">
        <w:rPr>
          <w:rFonts w:eastAsia="Times New Roman" w:cs="Times New Roman"/>
          <w:kern w:val="0"/>
          <w:szCs w:val="24"/>
          <w:lang w:val="en-US"/>
          <w14:ligatures w14:val="none"/>
        </w:rPr>
        <w:t xml:space="preserve">, M., Zaharieva, M. M., &amp; Najdenski, H. (2023).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—Isolation, pathogenicity, and prevalence in farms for slaughtered pigs. </w:t>
      </w:r>
      <w:r w:rsidRPr="00136007">
        <w:rPr>
          <w:rFonts w:eastAsia="Times New Roman" w:cs="Times New Roman"/>
          <w:i/>
          <w:iCs/>
          <w:kern w:val="0"/>
          <w:szCs w:val="24"/>
          <w:lang w:val="en-US"/>
          <w14:ligatures w14:val="none"/>
        </w:rPr>
        <w:t xml:space="preserve">Acta </w:t>
      </w:r>
      <w:proofErr w:type="spellStart"/>
      <w:r w:rsidRPr="00136007">
        <w:rPr>
          <w:rFonts w:eastAsia="Times New Roman" w:cs="Times New Roman"/>
          <w:i/>
          <w:iCs/>
          <w:kern w:val="0"/>
          <w:szCs w:val="24"/>
          <w:lang w:val="en-US"/>
          <w14:ligatures w14:val="none"/>
        </w:rPr>
        <w:t>Microbiologica</w:t>
      </w:r>
      <w:proofErr w:type="spellEnd"/>
      <w:r w:rsidRPr="00136007">
        <w:rPr>
          <w:rFonts w:eastAsia="Times New Roman" w:cs="Times New Roman"/>
          <w:i/>
          <w:iCs/>
          <w:kern w:val="0"/>
          <w:szCs w:val="24"/>
          <w:lang w:val="en-US"/>
          <w14:ligatures w14:val="none"/>
        </w:rPr>
        <w:t xml:space="preserve"> </w:t>
      </w:r>
      <w:proofErr w:type="spellStart"/>
      <w:r w:rsidRPr="00136007">
        <w:rPr>
          <w:rFonts w:eastAsia="Times New Roman" w:cs="Times New Roman"/>
          <w:i/>
          <w:iCs/>
          <w:kern w:val="0"/>
          <w:szCs w:val="24"/>
          <w:lang w:val="en-US"/>
          <w14:ligatures w14:val="none"/>
        </w:rPr>
        <w:t>Bulgarica</w:t>
      </w:r>
      <w:proofErr w:type="spellEnd"/>
      <w:r w:rsidRPr="00136007">
        <w:rPr>
          <w:rFonts w:eastAsia="Times New Roman" w:cs="Times New Roman"/>
          <w:i/>
          <w:iCs/>
          <w:kern w:val="0"/>
          <w:szCs w:val="24"/>
          <w:lang w:val="en-US"/>
          <w14:ligatures w14:val="none"/>
        </w:rPr>
        <w:t>, 39</w:t>
      </w:r>
      <w:r w:rsidRPr="00136007">
        <w:rPr>
          <w:rFonts w:eastAsia="Times New Roman" w:cs="Times New Roman"/>
          <w:kern w:val="0"/>
          <w:szCs w:val="24"/>
          <w:lang w:val="en-US"/>
          <w14:ligatures w14:val="none"/>
        </w:rPr>
        <w:t xml:space="preserve">(2), 118–129. </w:t>
      </w:r>
      <w:hyperlink r:id="rId16" w:history="1">
        <w:r>
          <w:rPr>
            <w:rFonts w:eastAsia="Times New Roman"/>
            <w:color w:val="0000FF"/>
            <w:szCs w:val="24"/>
            <w:u w:val="single"/>
          </w:rPr>
          <w:t>https://doi.org/10.59393/amb23390204</w:t>
        </w:r>
      </w:hyperlink>
    </w:p>
    <w:p w14:paraId="4568A934" w14:textId="5FFE16A5"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Anju, P., Latha, C., Sunil, B., &amp; </w:t>
      </w:r>
      <w:proofErr w:type="spellStart"/>
      <w:r w:rsidRPr="00136007">
        <w:rPr>
          <w:rFonts w:eastAsia="Times New Roman" w:cs="Times New Roman"/>
          <w:kern w:val="0"/>
          <w:szCs w:val="24"/>
          <w:lang w:val="en-US"/>
          <w14:ligatures w14:val="none"/>
        </w:rPr>
        <w:t>Sethulekshmi</w:t>
      </w:r>
      <w:proofErr w:type="spellEnd"/>
      <w:r w:rsidRPr="00136007">
        <w:rPr>
          <w:rFonts w:eastAsia="Times New Roman" w:cs="Times New Roman"/>
          <w:kern w:val="0"/>
          <w:szCs w:val="24"/>
          <w:lang w:val="en-US"/>
          <w14:ligatures w14:val="none"/>
        </w:rPr>
        <w:t xml:space="preserve">, C. (2014). Detection of </w:t>
      </w:r>
      <w:r w:rsidRPr="00136007">
        <w:rPr>
          <w:rFonts w:eastAsia="Times New Roman" w:cs="Times New Roman"/>
          <w:i/>
          <w:iCs/>
          <w:kern w:val="0"/>
          <w:szCs w:val="24"/>
          <w:lang w:val="en-US"/>
          <w14:ligatures w14:val="none"/>
        </w:rPr>
        <w:t>Salmonella</w:t>
      </w:r>
      <w:r w:rsidRPr="00136007">
        <w:rPr>
          <w:rFonts w:eastAsia="Times New Roman" w:cs="Times New Roman"/>
          <w:kern w:val="0"/>
          <w:szCs w:val="24"/>
          <w:lang w:val="en-US"/>
          <w14:ligatures w14:val="none"/>
        </w:rPr>
        <w:t xml:space="preserve"> and </w:t>
      </w:r>
      <w:r w:rsidRPr="00136007">
        <w:rPr>
          <w:rFonts w:eastAsia="Times New Roman" w:cs="Times New Roman"/>
          <w:i/>
          <w:iCs/>
          <w:kern w:val="0"/>
          <w:szCs w:val="24"/>
          <w:lang w:val="en-US"/>
          <w14:ligatures w14:val="none"/>
        </w:rPr>
        <w:t>Yersinia</w:t>
      </w:r>
      <w:r w:rsidRPr="00136007">
        <w:rPr>
          <w:rFonts w:eastAsia="Times New Roman" w:cs="Times New Roman"/>
          <w:kern w:val="0"/>
          <w:szCs w:val="24"/>
          <w:lang w:val="en-US"/>
          <w14:ligatures w14:val="none"/>
        </w:rPr>
        <w:t xml:space="preserve"> spp. in uncooked retail chicken meat in Kerala by multiplex PCR. </w:t>
      </w:r>
      <w:r w:rsidRPr="00136007">
        <w:rPr>
          <w:rFonts w:eastAsia="Times New Roman" w:cs="Times New Roman"/>
          <w:i/>
          <w:iCs/>
          <w:kern w:val="0"/>
          <w:szCs w:val="24"/>
          <w:lang w:val="en-US"/>
          <w14:ligatures w14:val="none"/>
        </w:rPr>
        <w:t>International Journal of Current Microbiology and Applied Sciences, 3</w:t>
      </w:r>
      <w:r w:rsidRPr="00136007">
        <w:rPr>
          <w:rFonts w:eastAsia="Times New Roman" w:cs="Times New Roman"/>
          <w:kern w:val="0"/>
          <w:szCs w:val="24"/>
          <w:lang w:val="en-US"/>
          <w14:ligatures w14:val="none"/>
        </w:rPr>
        <w:t xml:space="preserve">(6), 1028–1034. </w:t>
      </w:r>
      <w:r>
        <w:t xml:space="preserve"> </w:t>
      </w:r>
      <w:hyperlink r:id="rId17" w:history="1">
        <w:r>
          <w:rPr>
            <w:rFonts w:eastAsia="Times New Roman"/>
            <w:color w:val="0000FF"/>
            <w:szCs w:val="24"/>
            <w:u w:val="single"/>
          </w:rPr>
          <w:t>https://www.ijcmas.com/vol-3-6/P.Anju%2C%20et%20al.pdf</w:t>
        </w:r>
      </w:hyperlink>
    </w:p>
    <w:p w14:paraId="5B300828" w14:textId="33BE0814"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Arsić, M., </w:t>
      </w:r>
      <w:proofErr w:type="spellStart"/>
      <w:r w:rsidRPr="00136007">
        <w:rPr>
          <w:rFonts w:eastAsia="Times New Roman" w:cs="Times New Roman"/>
          <w:kern w:val="0"/>
          <w:szCs w:val="24"/>
          <w:lang w:val="en-US"/>
          <w14:ligatures w14:val="none"/>
        </w:rPr>
        <w:t>Vićić</w:t>
      </w:r>
      <w:proofErr w:type="spellEnd"/>
      <w:r w:rsidRPr="00136007">
        <w:rPr>
          <w:rFonts w:eastAsia="Times New Roman" w:cs="Times New Roman"/>
          <w:kern w:val="0"/>
          <w:szCs w:val="24"/>
          <w:lang w:val="en-US"/>
          <w14:ligatures w14:val="none"/>
        </w:rPr>
        <w:t xml:space="preserve">, I., Petrović, M., Dmitrić, M., &amp; </w:t>
      </w:r>
      <w:proofErr w:type="spellStart"/>
      <w:r w:rsidRPr="00136007">
        <w:rPr>
          <w:rFonts w:eastAsia="Times New Roman" w:cs="Times New Roman"/>
          <w:kern w:val="0"/>
          <w:szCs w:val="24"/>
          <w:lang w:val="en-US"/>
          <w14:ligatures w14:val="none"/>
        </w:rPr>
        <w:t>Karabasil</w:t>
      </w:r>
      <w:proofErr w:type="spellEnd"/>
      <w:r w:rsidRPr="00136007">
        <w:rPr>
          <w:rFonts w:eastAsia="Times New Roman" w:cs="Times New Roman"/>
          <w:kern w:val="0"/>
          <w:szCs w:val="24"/>
          <w:lang w:val="en-US"/>
          <w14:ligatures w14:val="none"/>
        </w:rPr>
        <w:t xml:space="preserve">, N. (2023).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and control measures for reducing risks in the pork production chain. </w:t>
      </w:r>
      <w:r w:rsidRPr="00136007">
        <w:rPr>
          <w:rFonts w:eastAsia="Times New Roman" w:cs="Times New Roman"/>
          <w:i/>
          <w:iCs/>
          <w:kern w:val="0"/>
          <w:szCs w:val="24"/>
          <w:lang w:val="en-US"/>
          <w14:ligatures w14:val="none"/>
        </w:rPr>
        <w:t>Meat Technology, 64</w:t>
      </w:r>
      <w:r w:rsidRPr="00136007">
        <w:rPr>
          <w:rFonts w:eastAsia="Times New Roman" w:cs="Times New Roman"/>
          <w:kern w:val="0"/>
          <w:szCs w:val="24"/>
          <w:lang w:val="en-US"/>
          <w14:ligatures w14:val="none"/>
        </w:rPr>
        <w:t xml:space="preserve">(2), 237–241. </w:t>
      </w:r>
      <w:hyperlink r:id="rId18" w:history="1">
        <w:r>
          <w:rPr>
            <w:rFonts w:eastAsia="Times New Roman"/>
            <w:color w:val="0000FF"/>
            <w:szCs w:val="24"/>
            <w:u w:val="single"/>
          </w:rPr>
          <w:t>https://doi.org/10.18485/meattech.2023.64.2.43</w:t>
        </w:r>
      </w:hyperlink>
    </w:p>
    <w:p w14:paraId="5CB5BF52" w14:textId="31B7B419"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Aziz, M., &amp; Rausch-Phung, E. A. (2026).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infection. In </w:t>
      </w:r>
      <w:proofErr w:type="spellStart"/>
      <w:r w:rsidRPr="00136007">
        <w:rPr>
          <w:rFonts w:eastAsia="Times New Roman" w:cs="Times New Roman"/>
          <w:i/>
          <w:iCs/>
          <w:kern w:val="0"/>
          <w:szCs w:val="24"/>
          <w:lang w:val="en-US"/>
          <w14:ligatures w14:val="none"/>
        </w:rPr>
        <w:t>StatPearls</w:t>
      </w:r>
      <w:proofErr w:type="spellEnd"/>
      <w:r w:rsidRPr="00136007">
        <w:rPr>
          <w:rFonts w:eastAsia="Times New Roman" w:cs="Times New Roman"/>
          <w:kern w:val="0"/>
          <w:szCs w:val="24"/>
          <w:lang w:val="en-US"/>
          <w14:ligatures w14:val="none"/>
        </w:rPr>
        <w:t xml:space="preserve">. </w:t>
      </w:r>
      <w:proofErr w:type="spellStart"/>
      <w:r w:rsidRPr="00136007">
        <w:rPr>
          <w:rFonts w:eastAsia="Times New Roman" w:cs="Times New Roman"/>
          <w:kern w:val="0"/>
          <w:szCs w:val="24"/>
          <w:lang w:val="en-US"/>
          <w14:ligatures w14:val="none"/>
        </w:rPr>
        <w:t>StatPearls</w:t>
      </w:r>
      <w:proofErr w:type="spellEnd"/>
      <w:r w:rsidRPr="00136007">
        <w:rPr>
          <w:rFonts w:eastAsia="Times New Roman" w:cs="Times New Roman"/>
          <w:kern w:val="0"/>
          <w:szCs w:val="24"/>
          <w:lang w:val="en-US"/>
          <w14:ligatures w14:val="none"/>
        </w:rPr>
        <w:t xml:space="preserve"> Publishing. </w:t>
      </w:r>
      <w:r>
        <w:t xml:space="preserve"> </w:t>
      </w:r>
      <w:hyperlink r:id="rId19" w:history="1">
        <w:r>
          <w:rPr>
            <w:rFonts w:eastAsia="Times New Roman"/>
            <w:color w:val="0000FF"/>
            <w:szCs w:val="24"/>
            <w:u w:val="single"/>
          </w:rPr>
          <w:t>https://www.ncbi.nlm.nih.gov/books/NBK499837/</w:t>
        </w:r>
      </w:hyperlink>
    </w:p>
    <w:p w14:paraId="43798FFF" w14:textId="6DE484EA" w:rsidR="00136007" w:rsidRPr="00154D4D"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Ban-</w:t>
      </w:r>
      <w:proofErr w:type="spellStart"/>
      <w:r w:rsidRPr="00136007">
        <w:rPr>
          <w:rFonts w:eastAsia="Times New Roman" w:cs="Times New Roman"/>
          <w:kern w:val="0"/>
          <w:szCs w:val="24"/>
          <w:lang w:val="en-US"/>
          <w14:ligatures w14:val="none"/>
        </w:rPr>
        <w:t>Cucerzan</w:t>
      </w:r>
      <w:proofErr w:type="spellEnd"/>
      <w:r w:rsidRPr="00136007">
        <w:rPr>
          <w:rFonts w:eastAsia="Times New Roman" w:cs="Times New Roman"/>
          <w:kern w:val="0"/>
          <w:szCs w:val="24"/>
          <w:lang w:val="en-US"/>
          <w14:ligatures w14:val="none"/>
        </w:rPr>
        <w:t xml:space="preserve">, A., Imre, K., Morar, A., Marcu, A., Hotea, I., Popa, S.-A., </w:t>
      </w:r>
      <w:proofErr w:type="spellStart"/>
      <w:r w:rsidRPr="00136007">
        <w:rPr>
          <w:rFonts w:eastAsia="Times New Roman" w:cs="Times New Roman"/>
          <w:kern w:val="0"/>
          <w:szCs w:val="24"/>
          <w:lang w:val="en-US"/>
          <w14:ligatures w14:val="none"/>
        </w:rPr>
        <w:t>Pătrînjan</w:t>
      </w:r>
      <w:proofErr w:type="spellEnd"/>
      <w:r w:rsidRPr="00136007">
        <w:rPr>
          <w:rFonts w:eastAsia="Times New Roman" w:cs="Times New Roman"/>
          <w:kern w:val="0"/>
          <w:szCs w:val="24"/>
          <w:lang w:val="en-US"/>
          <w14:ligatures w14:val="none"/>
        </w:rPr>
        <w:t xml:space="preserve">, R.-T., Bucur, I.-M., </w:t>
      </w:r>
      <w:proofErr w:type="spellStart"/>
      <w:r w:rsidRPr="00136007">
        <w:rPr>
          <w:rFonts w:eastAsia="Times New Roman" w:cs="Times New Roman"/>
          <w:kern w:val="0"/>
          <w:szCs w:val="24"/>
          <w:lang w:val="en-US"/>
          <w14:ligatures w14:val="none"/>
        </w:rPr>
        <w:t>Gașpar</w:t>
      </w:r>
      <w:proofErr w:type="spellEnd"/>
      <w:r w:rsidRPr="00136007">
        <w:rPr>
          <w:rFonts w:eastAsia="Times New Roman" w:cs="Times New Roman"/>
          <w:kern w:val="0"/>
          <w:szCs w:val="24"/>
          <w:lang w:val="en-US"/>
          <w14:ligatures w14:val="none"/>
        </w:rPr>
        <w:t xml:space="preserve">, C., </w:t>
      </w:r>
      <w:proofErr w:type="spellStart"/>
      <w:r w:rsidRPr="00136007">
        <w:rPr>
          <w:rFonts w:eastAsia="Times New Roman" w:cs="Times New Roman"/>
          <w:kern w:val="0"/>
          <w:szCs w:val="24"/>
          <w:lang w:val="en-US"/>
          <w14:ligatures w14:val="none"/>
        </w:rPr>
        <w:t>Plotuna</w:t>
      </w:r>
      <w:proofErr w:type="spellEnd"/>
      <w:r w:rsidRPr="00136007">
        <w:rPr>
          <w:rFonts w:eastAsia="Times New Roman" w:cs="Times New Roman"/>
          <w:kern w:val="0"/>
          <w:szCs w:val="24"/>
          <w:lang w:val="en-US"/>
          <w14:ligatures w14:val="none"/>
        </w:rPr>
        <w:t xml:space="preserve">, A.-M., &amp; Ban, S.-C. (2025). Persistent threats: A comprehensive review of biofilm formation, control, and economic implications in food processing environments. </w:t>
      </w:r>
      <w:r w:rsidRPr="00154D4D">
        <w:rPr>
          <w:rFonts w:eastAsia="Times New Roman" w:cs="Times New Roman"/>
          <w:i/>
          <w:iCs/>
          <w:kern w:val="0"/>
          <w:szCs w:val="24"/>
          <w:lang w:val="en-US"/>
          <w14:ligatures w14:val="none"/>
        </w:rPr>
        <w:t>Microorganisms, 13</w:t>
      </w:r>
      <w:r w:rsidRPr="00154D4D">
        <w:rPr>
          <w:rFonts w:eastAsia="Times New Roman" w:cs="Times New Roman"/>
          <w:kern w:val="0"/>
          <w:szCs w:val="24"/>
          <w:lang w:val="en-US"/>
          <w14:ligatures w14:val="none"/>
        </w:rPr>
        <w:t xml:space="preserve">(8), 1805. </w:t>
      </w:r>
      <w:hyperlink r:id="rId20" w:history="1">
        <w:r>
          <w:rPr>
            <w:rFonts w:eastAsia="Times New Roman"/>
            <w:color w:val="0000FF"/>
            <w:szCs w:val="24"/>
            <w:u w:val="single"/>
          </w:rPr>
          <w:t>https://doi.org/10.3390/microorganisms13081805</w:t>
        </w:r>
      </w:hyperlink>
    </w:p>
    <w:p w14:paraId="2995EFFF" w14:textId="44D3F3A0"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Bari, M. L., Hossain, M. A., Isshiki, K., &amp; </w:t>
      </w:r>
      <w:proofErr w:type="spellStart"/>
      <w:r w:rsidRPr="00136007">
        <w:rPr>
          <w:rFonts w:eastAsia="Times New Roman" w:cs="Times New Roman"/>
          <w:kern w:val="0"/>
          <w:szCs w:val="24"/>
          <w:lang w:val="en-US"/>
          <w14:ligatures w14:val="none"/>
        </w:rPr>
        <w:t>Ukuku</w:t>
      </w:r>
      <w:proofErr w:type="spellEnd"/>
      <w:r w:rsidRPr="00136007">
        <w:rPr>
          <w:rFonts w:eastAsia="Times New Roman" w:cs="Times New Roman"/>
          <w:kern w:val="0"/>
          <w:szCs w:val="24"/>
          <w:lang w:val="en-US"/>
          <w14:ligatures w14:val="none"/>
        </w:rPr>
        <w:t xml:space="preserve">, D. (2011). Behavior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in foods. </w:t>
      </w:r>
      <w:r w:rsidRPr="00136007">
        <w:rPr>
          <w:rFonts w:eastAsia="Times New Roman" w:cs="Times New Roman"/>
          <w:i/>
          <w:iCs/>
          <w:kern w:val="0"/>
          <w:szCs w:val="24"/>
          <w:lang w:val="en-US"/>
          <w14:ligatures w14:val="none"/>
        </w:rPr>
        <w:t>Journal of Pathogens, 2011</w:t>
      </w:r>
      <w:r w:rsidRPr="00136007">
        <w:rPr>
          <w:rFonts w:eastAsia="Times New Roman" w:cs="Times New Roman"/>
          <w:kern w:val="0"/>
          <w:szCs w:val="24"/>
          <w:lang w:val="en-US"/>
          <w14:ligatures w14:val="none"/>
        </w:rPr>
        <w:t xml:space="preserve">, 420732. </w:t>
      </w:r>
      <w:hyperlink r:id="rId21" w:history="1">
        <w:r>
          <w:rPr>
            <w:rFonts w:eastAsia="Times New Roman"/>
            <w:color w:val="0000FF"/>
            <w:szCs w:val="24"/>
            <w:u w:val="single"/>
          </w:rPr>
          <w:t>https://doi.org/10.4061/2011/420732</w:t>
        </w:r>
      </w:hyperlink>
    </w:p>
    <w:p w14:paraId="7824D29D" w14:textId="6F84FC18"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Bauer, A. W., Kirby, W. M. M., Sherris, J. C., &amp; Turck, M. (1966). Antibiotic susceptibility testing by a standardized single disk method. </w:t>
      </w:r>
      <w:r w:rsidRPr="00136007">
        <w:rPr>
          <w:rFonts w:eastAsia="Times New Roman" w:cs="Times New Roman"/>
          <w:i/>
          <w:iCs/>
          <w:kern w:val="0"/>
          <w:szCs w:val="24"/>
          <w:lang w:val="en-US"/>
          <w14:ligatures w14:val="none"/>
        </w:rPr>
        <w:t>American Journal of Clinical Pathology, 45</w:t>
      </w:r>
      <w:r w:rsidRPr="00136007">
        <w:rPr>
          <w:rFonts w:eastAsia="Times New Roman" w:cs="Times New Roman"/>
          <w:kern w:val="0"/>
          <w:szCs w:val="24"/>
          <w:lang w:val="en-US"/>
          <w14:ligatures w14:val="none"/>
        </w:rPr>
        <w:t xml:space="preserve">(4_ts), 493–496. </w:t>
      </w:r>
      <w:r>
        <w:t xml:space="preserve"> </w:t>
      </w:r>
      <w:hyperlink r:id="rId22" w:history="1">
        <w:r>
          <w:rPr>
            <w:rFonts w:eastAsia="Times New Roman"/>
            <w:color w:val="0000FF"/>
            <w:szCs w:val="24"/>
            <w:u w:val="single"/>
          </w:rPr>
          <w:t>https://doi.org/10.1093/ajcp/45.4_ts.493</w:t>
        </w:r>
      </w:hyperlink>
    </w:p>
    <w:p w14:paraId="37B0CE17" w14:textId="7E3E7F7A" w:rsidR="00136007" w:rsidRPr="00136007" w:rsidRDefault="00136007" w:rsidP="00136007">
      <w:pPr>
        <w:spacing w:after="0" w:line="240" w:lineRule="auto"/>
        <w:ind w:left="720" w:hanging="720"/>
        <w:rPr>
          <w:rFonts w:eastAsia="Times New Roman" w:cs="Times New Roman"/>
          <w:kern w:val="0"/>
          <w:szCs w:val="24"/>
          <w:lang w:val="en-US"/>
          <w14:ligatures w14:val="none"/>
        </w:rPr>
      </w:pPr>
      <w:r>
        <w:t xml:space="preserve">Krieg, N. R., &amp; Holt, J. G. (Eds.). (1984). </w:t>
      </w:r>
      <w:r>
        <w:rPr>
          <w:i/>
        </w:rPr>
        <w:t>Bergey’s manual of systematic bacteriology</w:t>
      </w:r>
      <w:r>
        <w:t xml:space="preserve"> (Vol. 1). Williams &amp; Wilkins. </w:t>
      </w:r>
      <w:hyperlink r:id="rId23" w:history="1">
        <w:r>
          <w:rPr>
            <w:rFonts w:eastAsia="Times New Roman"/>
            <w:color w:val="0000FF"/>
            <w:szCs w:val="24"/>
            <w:u w:val="single"/>
          </w:rPr>
          <w:t>https://www.bergeys.org/publications/</w:t>
        </w:r>
      </w:hyperlink>
    </w:p>
    <w:p w14:paraId="14DF2857" w14:textId="4385C36E"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Bhaduri, S., Conway, L. K., &amp; Lachica, R. V. F. (1987). Assay of crystal violet binding for rapid identification of virulent plasmid-bearing clones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w:t>
      </w:r>
      <w:r w:rsidRPr="00136007">
        <w:rPr>
          <w:rFonts w:eastAsia="Times New Roman" w:cs="Times New Roman"/>
          <w:i/>
          <w:iCs/>
          <w:kern w:val="0"/>
          <w:szCs w:val="24"/>
          <w:lang w:val="en-US"/>
          <w14:ligatures w14:val="none"/>
        </w:rPr>
        <w:t>Journal of Clinical Microbiology, 25</w:t>
      </w:r>
      <w:r w:rsidRPr="00136007">
        <w:rPr>
          <w:rFonts w:eastAsia="Times New Roman" w:cs="Times New Roman"/>
          <w:kern w:val="0"/>
          <w:szCs w:val="24"/>
          <w:lang w:val="en-US"/>
          <w14:ligatures w14:val="none"/>
        </w:rPr>
        <w:t xml:space="preserve">(6), 1039–1042. </w:t>
      </w:r>
      <w:hyperlink r:id="rId24" w:history="1">
        <w:r>
          <w:rPr>
            <w:rFonts w:eastAsia="Times New Roman"/>
            <w:color w:val="0000FF"/>
            <w:szCs w:val="24"/>
            <w:u w:val="single"/>
          </w:rPr>
          <w:t>https://doi.org/10.1128/jcm.25.6.1039-1042.1987</w:t>
        </w:r>
      </w:hyperlink>
    </w:p>
    <w:p w14:paraId="501B5F3B" w14:textId="027B0071"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54D4D">
        <w:rPr>
          <w:rFonts w:eastAsia="Times New Roman" w:cs="Times New Roman"/>
          <w:kern w:val="0"/>
          <w:szCs w:val="24"/>
          <w:lang w:val="en-US"/>
          <w14:ligatures w14:val="none"/>
        </w:rPr>
        <w:t xml:space="preserve">Buder, C., Meemken, D., Fürstenberg, R., </w:t>
      </w:r>
      <w:proofErr w:type="spellStart"/>
      <w:r w:rsidRPr="00154D4D">
        <w:rPr>
          <w:rFonts w:eastAsia="Times New Roman" w:cs="Times New Roman"/>
          <w:kern w:val="0"/>
          <w:szCs w:val="24"/>
          <w:lang w:val="en-US"/>
          <w14:ligatures w14:val="none"/>
        </w:rPr>
        <w:t>Langforth</w:t>
      </w:r>
      <w:proofErr w:type="spellEnd"/>
      <w:r w:rsidRPr="00154D4D">
        <w:rPr>
          <w:rFonts w:eastAsia="Times New Roman" w:cs="Times New Roman"/>
          <w:kern w:val="0"/>
          <w:szCs w:val="24"/>
          <w:lang w:val="en-US"/>
          <w14:ligatures w14:val="none"/>
        </w:rPr>
        <w:t xml:space="preserve">, S., Kirse, A., &amp; Langkabel, N. (2023). </w:t>
      </w:r>
      <w:r w:rsidRPr="00136007">
        <w:rPr>
          <w:rFonts w:eastAsia="Times New Roman" w:cs="Times New Roman"/>
          <w:kern w:val="0"/>
          <w:szCs w:val="24"/>
          <w:lang w:val="en-US"/>
          <w14:ligatures w14:val="none"/>
        </w:rPr>
        <w:t xml:space="preserve">Drinking pipes and nipple drinkers in pig abattoir lairage pens—A source of zoonotic pathogens as a hazard to meat safety. </w:t>
      </w:r>
      <w:r w:rsidRPr="00136007">
        <w:rPr>
          <w:rFonts w:eastAsia="Times New Roman" w:cs="Times New Roman"/>
          <w:i/>
          <w:iCs/>
          <w:kern w:val="0"/>
          <w:szCs w:val="24"/>
          <w:lang w:val="en-US"/>
          <w14:ligatures w14:val="none"/>
        </w:rPr>
        <w:t>Microorganisms, 11</w:t>
      </w:r>
      <w:r w:rsidRPr="00136007">
        <w:rPr>
          <w:rFonts w:eastAsia="Times New Roman" w:cs="Times New Roman"/>
          <w:kern w:val="0"/>
          <w:szCs w:val="24"/>
          <w:lang w:val="en-US"/>
          <w14:ligatures w14:val="none"/>
        </w:rPr>
        <w:t xml:space="preserve">(10), 2554. </w:t>
      </w:r>
      <w:hyperlink r:id="rId25" w:history="1">
        <w:r>
          <w:rPr>
            <w:rFonts w:eastAsia="Times New Roman"/>
            <w:color w:val="0000FF"/>
            <w:szCs w:val="24"/>
            <w:u w:val="single"/>
          </w:rPr>
          <w:t>https://doi.org/10.3390/microorganisms11102554</w:t>
        </w:r>
      </w:hyperlink>
    </w:p>
    <w:p w14:paraId="45213B2B" w14:textId="0086DBBA" w:rsidR="00136007" w:rsidRPr="00154D4D" w:rsidRDefault="00136007" w:rsidP="00136007">
      <w:pPr>
        <w:spacing w:after="0" w:line="240" w:lineRule="auto"/>
        <w:ind w:left="720" w:hanging="720"/>
        <w:rPr>
          <w:rFonts w:eastAsia="Times New Roman" w:cs="Times New Roman"/>
          <w:kern w:val="0"/>
          <w:szCs w:val="24"/>
          <w:lang w:val="nl-BE"/>
          <w14:ligatures w14:val="none"/>
        </w:rPr>
      </w:pPr>
      <w:r w:rsidRPr="00136007">
        <w:rPr>
          <w:rFonts w:eastAsia="Times New Roman" w:cs="Times New Roman"/>
          <w:kern w:val="0"/>
          <w:szCs w:val="24"/>
          <w:lang w:val="en-US"/>
          <w14:ligatures w14:val="none"/>
        </w:rPr>
        <w:t xml:space="preserve">Clinical and Laboratory Standards Institute. (2025). </w:t>
      </w:r>
      <w:r w:rsidRPr="00136007">
        <w:rPr>
          <w:rFonts w:eastAsia="Times New Roman" w:cs="Times New Roman"/>
          <w:i/>
          <w:iCs/>
          <w:kern w:val="0"/>
          <w:szCs w:val="24"/>
          <w:lang w:val="en-US"/>
          <w14:ligatures w14:val="none"/>
        </w:rPr>
        <w:t>Performance standards for antimicrobial susceptibility testing</w:t>
      </w:r>
      <w:r w:rsidRPr="00136007">
        <w:rPr>
          <w:rFonts w:eastAsia="Times New Roman" w:cs="Times New Roman"/>
          <w:kern w:val="0"/>
          <w:szCs w:val="24"/>
          <w:lang w:val="en-US"/>
          <w14:ligatures w14:val="none"/>
        </w:rPr>
        <w:t xml:space="preserve"> (35th ed.; CLSI supplement M100). </w:t>
      </w:r>
      <w:r>
        <w:t xml:space="preserve"> </w:t>
      </w:r>
      <w:hyperlink r:id="rId26" w:history="1">
        <w:r w:rsidRPr="00154D4D">
          <w:rPr>
            <w:rFonts w:eastAsia="Times New Roman"/>
            <w:color w:val="0000FF"/>
            <w:szCs w:val="24"/>
            <w:u w:val="single"/>
            <w:lang w:val="nl-BE"/>
          </w:rPr>
          <w:t>https://clsi.org/standards/products/microbiology/documents/m100/</w:t>
        </w:r>
      </w:hyperlink>
    </w:p>
    <w:p w14:paraId="26E7A735" w14:textId="76C562CA"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54D4D">
        <w:rPr>
          <w:rFonts w:eastAsia="Times New Roman" w:cs="Times New Roman"/>
          <w:kern w:val="0"/>
          <w:szCs w:val="24"/>
          <w:lang w:val="nl-BE"/>
          <w14:ligatures w14:val="none"/>
        </w:rPr>
        <w:t xml:space="preserve">Dhanalakshmi, G., Prabha, R., &amp; Jagadheesh Kumar, D. (2015). </w:t>
      </w:r>
      <w:r w:rsidRPr="00136007">
        <w:rPr>
          <w:rFonts w:eastAsia="Times New Roman" w:cs="Times New Roman"/>
          <w:kern w:val="0"/>
          <w:szCs w:val="24"/>
          <w:lang w:val="en-US"/>
          <w14:ligatures w14:val="none"/>
        </w:rPr>
        <w:t xml:space="preserve">Prevalence, antibiotic resistance and biofilm producing meat isolates in and around Namakkal, Tamil Nadu, India. </w:t>
      </w:r>
      <w:r w:rsidRPr="00136007">
        <w:rPr>
          <w:rFonts w:eastAsia="Times New Roman" w:cs="Times New Roman"/>
          <w:i/>
          <w:iCs/>
          <w:kern w:val="0"/>
          <w:szCs w:val="24"/>
          <w:lang w:val="en-US"/>
          <w14:ligatures w14:val="none"/>
        </w:rPr>
        <w:t>International Journal of Advances in Interdisciplinary Research, 2</w:t>
      </w:r>
      <w:r w:rsidRPr="00136007">
        <w:rPr>
          <w:rFonts w:eastAsia="Times New Roman" w:cs="Times New Roman"/>
          <w:kern w:val="0"/>
          <w:szCs w:val="24"/>
          <w:lang w:val="en-US"/>
          <w14:ligatures w14:val="none"/>
        </w:rPr>
        <w:t xml:space="preserve">(2), 6–10. </w:t>
      </w:r>
      <w:r>
        <w:t xml:space="preserve"> </w:t>
      </w:r>
    </w:p>
    <w:p w14:paraId="200653C7" w14:textId="257C1A6D"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Drewnowski, A. (2024). Perspective: The place of pork meat in sustainable healthy diets. </w:t>
      </w:r>
      <w:r w:rsidRPr="00136007">
        <w:rPr>
          <w:rFonts w:eastAsia="Times New Roman" w:cs="Times New Roman"/>
          <w:i/>
          <w:iCs/>
          <w:kern w:val="0"/>
          <w:szCs w:val="24"/>
          <w:lang w:val="en-US"/>
          <w14:ligatures w14:val="none"/>
        </w:rPr>
        <w:t>Advances in Nutrition, 15</w:t>
      </w:r>
      <w:r w:rsidRPr="00136007">
        <w:rPr>
          <w:rFonts w:eastAsia="Times New Roman" w:cs="Times New Roman"/>
          <w:kern w:val="0"/>
          <w:szCs w:val="24"/>
          <w:lang w:val="en-US"/>
          <w14:ligatures w14:val="none"/>
        </w:rPr>
        <w:t xml:space="preserve">(5), 100213. </w:t>
      </w:r>
      <w:hyperlink r:id="rId27" w:history="1">
        <w:r>
          <w:rPr>
            <w:rFonts w:eastAsia="Times New Roman"/>
            <w:color w:val="0000FF"/>
            <w:szCs w:val="24"/>
            <w:u w:val="single"/>
          </w:rPr>
          <w:t>https://doi.org/10.1016/j.advnut.2024.100213</w:t>
        </w:r>
      </w:hyperlink>
    </w:p>
    <w:p w14:paraId="2DC8C3A0" w14:textId="229C4BEE"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Fang, Z., Mao, J., Chen, Z., Wu, Y., Zhao, X., Tian, R., </w:t>
      </w:r>
      <w:proofErr w:type="spellStart"/>
      <w:r w:rsidRPr="00136007">
        <w:rPr>
          <w:rFonts w:eastAsia="Times New Roman" w:cs="Times New Roman"/>
          <w:kern w:val="0"/>
          <w:szCs w:val="24"/>
          <w:lang w:val="en-US"/>
          <w14:ligatures w14:val="none"/>
        </w:rPr>
        <w:t>Lv</w:t>
      </w:r>
      <w:proofErr w:type="spellEnd"/>
      <w:r w:rsidRPr="00136007">
        <w:rPr>
          <w:rFonts w:eastAsia="Times New Roman" w:cs="Times New Roman"/>
          <w:kern w:val="0"/>
          <w:szCs w:val="24"/>
          <w:lang w:val="en-US"/>
          <w14:ligatures w14:val="none"/>
        </w:rPr>
        <w:t xml:space="preserve">, Y., Xiao, X., Yan, J., Lou, X., &amp; Li, J. (2026). Deciphering the potential risks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across multi-points in food chain: Prevalence, biofilm, and cross-stage transmission routes. </w:t>
      </w:r>
      <w:r w:rsidRPr="00136007">
        <w:rPr>
          <w:rFonts w:eastAsia="Times New Roman" w:cs="Times New Roman"/>
          <w:i/>
          <w:iCs/>
          <w:kern w:val="0"/>
          <w:szCs w:val="24"/>
          <w:lang w:val="en-US"/>
          <w14:ligatures w14:val="none"/>
        </w:rPr>
        <w:t>Food Research International, 226</w:t>
      </w:r>
      <w:r w:rsidRPr="00136007">
        <w:rPr>
          <w:rFonts w:eastAsia="Times New Roman" w:cs="Times New Roman"/>
          <w:kern w:val="0"/>
          <w:szCs w:val="24"/>
          <w:lang w:val="en-US"/>
          <w14:ligatures w14:val="none"/>
        </w:rPr>
        <w:t xml:space="preserve">, 118107. </w:t>
      </w:r>
      <w:hyperlink r:id="rId28" w:tgtFrame="_blank" w:history="1">
        <w:r w:rsidRPr="00136007">
          <w:rPr>
            <w:rFonts w:eastAsia="Times New Roman" w:cs="Times New Roman"/>
            <w:color w:val="0000FF"/>
            <w:kern w:val="0"/>
            <w:szCs w:val="24"/>
            <w:u w:val="single"/>
            <w:lang w:val="en-US"/>
            <w14:ligatures w14:val="none"/>
          </w:rPr>
          <w:t>https://doi.org/10.1016/j.foodres.2025.118107</w:t>
        </w:r>
      </w:hyperlink>
      <w:r w:rsidRPr="00136007">
        <w:rPr>
          <w:rFonts w:eastAsia="Times New Roman" w:cs="Times New Roman"/>
          <w:kern w:val="0"/>
          <w:szCs w:val="24"/>
          <w:lang w:val="en-US"/>
          <w14:ligatures w14:val="none"/>
        </w:rPr>
        <w:t xml:space="preserve"> </w:t>
      </w:r>
    </w:p>
    <w:p w14:paraId="0A058BCC" w14:textId="676F4FE6"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lastRenderedPageBreak/>
        <w:t xml:space="preserve">Farmer, J. J., III, Carter, G. P., Miller, V. L., Falkow, S., &amp; Wachsmuth, I. K. (1992). </w:t>
      </w:r>
      <w:proofErr w:type="spellStart"/>
      <w:r w:rsidRPr="00136007">
        <w:rPr>
          <w:rFonts w:eastAsia="Times New Roman" w:cs="Times New Roman"/>
          <w:kern w:val="0"/>
          <w:szCs w:val="24"/>
          <w:lang w:val="en-US"/>
          <w14:ligatures w14:val="none"/>
        </w:rPr>
        <w:t>Pyrazinamidase</w:t>
      </w:r>
      <w:proofErr w:type="spellEnd"/>
      <w:r w:rsidRPr="00136007">
        <w:rPr>
          <w:rFonts w:eastAsia="Times New Roman" w:cs="Times New Roman"/>
          <w:kern w:val="0"/>
          <w:szCs w:val="24"/>
          <w:lang w:val="en-US"/>
          <w14:ligatures w14:val="none"/>
        </w:rPr>
        <w:t xml:space="preserve">, CR-MOX agar, salicin fermentation-esculin hydrolysis, and D-xylose fermentation for identifying pathogenic serotypes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w:t>
      </w:r>
      <w:r w:rsidRPr="00136007">
        <w:rPr>
          <w:rFonts w:eastAsia="Times New Roman" w:cs="Times New Roman"/>
          <w:i/>
          <w:iCs/>
          <w:kern w:val="0"/>
          <w:szCs w:val="24"/>
          <w:lang w:val="en-US"/>
          <w14:ligatures w14:val="none"/>
        </w:rPr>
        <w:t>Journal of Clinical Microbiology, 30</w:t>
      </w:r>
      <w:r w:rsidRPr="00136007">
        <w:rPr>
          <w:rFonts w:eastAsia="Times New Roman" w:cs="Times New Roman"/>
          <w:kern w:val="0"/>
          <w:szCs w:val="24"/>
          <w:lang w:val="en-US"/>
          <w14:ligatures w14:val="none"/>
        </w:rPr>
        <w:t xml:space="preserve">(10), 2589–2594. </w:t>
      </w:r>
      <w:hyperlink r:id="rId29" w:history="1">
        <w:r>
          <w:rPr>
            <w:rFonts w:eastAsia="Times New Roman"/>
            <w:color w:val="0000FF"/>
            <w:szCs w:val="24"/>
            <w:u w:val="single"/>
          </w:rPr>
          <w:t>https://doi.org/10.1128/jcm.30.10.2589-2594.1992</w:t>
        </w:r>
      </w:hyperlink>
    </w:p>
    <w:p w14:paraId="11D0CD34" w14:textId="57E1FD1D"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Fayaz, I. B., </w:t>
      </w:r>
      <w:proofErr w:type="spellStart"/>
      <w:r w:rsidRPr="00136007">
        <w:rPr>
          <w:rFonts w:eastAsia="Times New Roman" w:cs="Times New Roman"/>
          <w:kern w:val="0"/>
          <w:szCs w:val="24"/>
          <w:lang w:val="en-US"/>
          <w14:ligatures w14:val="none"/>
        </w:rPr>
        <w:t>Zehgeer</w:t>
      </w:r>
      <w:proofErr w:type="spellEnd"/>
      <w:r w:rsidRPr="00136007">
        <w:rPr>
          <w:rFonts w:eastAsia="Times New Roman" w:cs="Times New Roman"/>
          <w:kern w:val="0"/>
          <w:szCs w:val="24"/>
          <w:lang w:val="en-US"/>
          <w14:ligatures w14:val="none"/>
        </w:rPr>
        <w:t xml:space="preserve">, M. M., Hussain, S. A., &amp; Sahib, Q. S. (2026). Occurrence of </w:t>
      </w:r>
      <w:r w:rsidRPr="00136007">
        <w:rPr>
          <w:rFonts w:eastAsia="Times New Roman" w:cs="Times New Roman"/>
          <w:i/>
          <w:iCs/>
          <w:kern w:val="0"/>
          <w:szCs w:val="24"/>
          <w:lang w:val="en-US"/>
          <w14:ligatures w14:val="none"/>
        </w:rPr>
        <w:t>Salmonella</w:t>
      </w:r>
      <w:r w:rsidRPr="00136007">
        <w:rPr>
          <w:rFonts w:eastAsia="Times New Roman" w:cs="Times New Roman"/>
          <w:kern w:val="0"/>
          <w:szCs w:val="24"/>
          <w:lang w:val="en-US"/>
          <w14:ligatures w14:val="none"/>
        </w:rPr>
        <w:t xml:space="preserve"> spp. in raw chicken and immediate slaughter environments from </w:t>
      </w:r>
      <w:proofErr w:type="spellStart"/>
      <w:r w:rsidRPr="00136007">
        <w:rPr>
          <w:rFonts w:eastAsia="Times New Roman" w:cs="Times New Roman"/>
          <w:kern w:val="0"/>
          <w:szCs w:val="24"/>
          <w:lang w:val="en-US"/>
          <w14:ligatures w14:val="none"/>
        </w:rPr>
        <w:t>unorganised</w:t>
      </w:r>
      <w:proofErr w:type="spellEnd"/>
      <w:r w:rsidRPr="00136007">
        <w:rPr>
          <w:rFonts w:eastAsia="Times New Roman" w:cs="Times New Roman"/>
          <w:kern w:val="0"/>
          <w:szCs w:val="24"/>
          <w:lang w:val="en-US"/>
          <w14:ligatures w14:val="none"/>
        </w:rPr>
        <w:t xml:space="preserve"> poultry houses in Kashmir, India. </w:t>
      </w:r>
      <w:r w:rsidRPr="00136007">
        <w:rPr>
          <w:rFonts w:eastAsia="Times New Roman" w:cs="Times New Roman"/>
          <w:i/>
          <w:iCs/>
          <w:kern w:val="0"/>
          <w:szCs w:val="24"/>
          <w:lang w:val="en-US"/>
          <w14:ligatures w14:val="none"/>
        </w:rPr>
        <w:t>Uttar Pradesh Journal of Zoology, 47</w:t>
      </w:r>
      <w:r w:rsidRPr="00136007">
        <w:rPr>
          <w:rFonts w:eastAsia="Times New Roman" w:cs="Times New Roman"/>
          <w:kern w:val="0"/>
          <w:szCs w:val="24"/>
          <w:lang w:val="en-US"/>
          <w14:ligatures w14:val="none"/>
        </w:rPr>
        <w:t xml:space="preserve">(12), 83–92. </w:t>
      </w:r>
      <w:hyperlink r:id="rId30" w:tgtFrame="_blank" w:history="1">
        <w:r w:rsidRPr="00136007">
          <w:rPr>
            <w:rFonts w:eastAsia="Times New Roman" w:cs="Times New Roman"/>
            <w:color w:val="0000FF"/>
            <w:kern w:val="0"/>
            <w:szCs w:val="24"/>
            <w:u w:val="single"/>
            <w:lang w:val="en-US"/>
            <w14:ligatures w14:val="none"/>
          </w:rPr>
          <w:t>https://doi.org/10.56557/upjoz/2026/v47i125709</w:t>
        </w:r>
      </w:hyperlink>
      <w:r w:rsidRPr="00136007">
        <w:rPr>
          <w:rFonts w:eastAsia="Times New Roman" w:cs="Times New Roman"/>
          <w:kern w:val="0"/>
          <w:szCs w:val="24"/>
          <w:lang w:val="en-US"/>
          <w14:ligatures w14:val="none"/>
        </w:rPr>
        <w:t xml:space="preserve"> </w:t>
      </w:r>
    </w:p>
    <w:p w14:paraId="125D114B" w14:textId="1F60D24B"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Fredriksson-</w:t>
      </w:r>
      <w:proofErr w:type="spellStart"/>
      <w:r w:rsidRPr="00136007">
        <w:rPr>
          <w:rFonts w:eastAsia="Times New Roman" w:cs="Times New Roman"/>
          <w:kern w:val="0"/>
          <w:szCs w:val="24"/>
          <w:lang w:val="en-US"/>
          <w14:ligatures w14:val="none"/>
        </w:rPr>
        <w:t>Ahomaa</w:t>
      </w:r>
      <w:proofErr w:type="spellEnd"/>
      <w:r w:rsidRPr="00136007">
        <w:rPr>
          <w:rFonts w:eastAsia="Times New Roman" w:cs="Times New Roman"/>
          <w:kern w:val="0"/>
          <w:szCs w:val="24"/>
          <w:lang w:val="en-US"/>
          <w14:ligatures w14:val="none"/>
        </w:rPr>
        <w:t xml:space="preserve">, M., &amp; Korkeala, H. (2003). Low occurrence of pathogenic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in clinical, food, and environmental samples: A methodological problem. </w:t>
      </w:r>
      <w:r w:rsidRPr="00136007">
        <w:rPr>
          <w:rFonts w:eastAsia="Times New Roman" w:cs="Times New Roman"/>
          <w:i/>
          <w:iCs/>
          <w:kern w:val="0"/>
          <w:szCs w:val="24"/>
          <w:lang w:val="en-US"/>
          <w14:ligatures w14:val="none"/>
        </w:rPr>
        <w:t>Clinical Microbiology Reviews, 16</w:t>
      </w:r>
      <w:r w:rsidRPr="00136007">
        <w:rPr>
          <w:rFonts w:eastAsia="Times New Roman" w:cs="Times New Roman"/>
          <w:kern w:val="0"/>
          <w:szCs w:val="24"/>
          <w:lang w:val="en-US"/>
          <w14:ligatures w14:val="none"/>
        </w:rPr>
        <w:t xml:space="preserve">(2), 220–229. </w:t>
      </w:r>
      <w:hyperlink r:id="rId31" w:history="1">
        <w:r>
          <w:rPr>
            <w:rFonts w:eastAsia="Times New Roman"/>
            <w:color w:val="0000FF"/>
            <w:szCs w:val="24"/>
            <w:u w:val="single"/>
          </w:rPr>
          <w:t>https://doi.org/10.1128/CMR.16.2.220-229.2003</w:t>
        </w:r>
      </w:hyperlink>
    </w:p>
    <w:p w14:paraId="176D3614" w14:textId="15C451ED"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Freeman, D. J., Falkiner, F. R., &amp; Keane, C. T. (1989). New method for detecting slime production by coagulase-negative staphylococci. </w:t>
      </w:r>
      <w:r w:rsidRPr="00136007">
        <w:rPr>
          <w:rFonts w:eastAsia="Times New Roman" w:cs="Times New Roman"/>
          <w:i/>
          <w:iCs/>
          <w:kern w:val="0"/>
          <w:szCs w:val="24"/>
          <w:lang w:val="en-US"/>
          <w14:ligatures w14:val="none"/>
        </w:rPr>
        <w:t>Journal of Clinical Pathology, 42</w:t>
      </w:r>
      <w:r w:rsidRPr="00136007">
        <w:rPr>
          <w:rFonts w:eastAsia="Times New Roman" w:cs="Times New Roman"/>
          <w:kern w:val="0"/>
          <w:szCs w:val="24"/>
          <w:lang w:val="en-US"/>
          <w14:ligatures w14:val="none"/>
        </w:rPr>
        <w:t xml:space="preserve">(8), 872–874. </w:t>
      </w:r>
      <w:hyperlink r:id="rId32" w:history="1">
        <w:r>
          <w:rPr>
            <w:rFonts w:eastAsia="Times New Roman"/>
            <w:color w:val="0000FF"/>
            <w:szCs w:val="24"/>
            <w:u w:val="single"/>
          </w:rPr>
          <w:t>https://doi.org/10.1136/jcp.42.8.872</w:t>
        </w:r>
      </w:hyperlink>
    </w:p>
    <w:p w14:paraId="53C049D9" w14:textId="5A9F9584"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Gupta, V. K., </w:t>
      </w:r>
      <w:proofErr w:type="spellStart"/>
      <w:r w:rsidRPr="00136007">
        <w:rPr>
          <w:rFonts w:eastAsia="Times New Roman" w:cs="Times New Roman"/>
          <w:kern w:val="0"/>
          <w:szCs w:val="24"/>
          <w:lang w:val="en-US"/>
          <w14:ligatures w14:val="none"/>
        </w:rPr>
        <w:t>Phand</w:t>
      </w:r>
      <w:proofErr w:type="spellEnd"/>
      <w:r w:rsidRPr="00136007">
        <w:rPr>
          <w:rFonts w:eastAsia="Times New Roman" w:cs="Times New Roman"/>
          <w:kern w:val="0"/>
          <w:szCs w:val="24"/>
          <w:lang w:val="en-US"/>
          <w14:ligatures w14:val="none"/>
        </w:rPr>
        <w:t xml:space="preserve">, S., Kar, P., </w:t>
      </w:r>
      <w:proofErr w:type="spellStart"/>
      <w:r w:rsidRPr="00136007">
        <w:rPr>
          <w:rFonts w:eastAsia="Times New Roman" w:cs="Times New Roman"/>
          <w:kern w:val="0"/>
          <w:szCs w:val="24"/>
          <w:lang w:val="en-US"/>
          <w14:ligatures w14:val="none"/>
        </w:rPr>
        <w:t>Attupuram</w:t>
      </w:r>
      <w:proofErr w:type="spellEnd"/>
      <w:r w:rsidRPr="00136007">
        <w:rPr>
          <w:rFonts w:eastAsia="Times New Roman" w:cs="Times New Roman"/>
          <w:kern w:val="0"/>
          <w:szCs w:val="24"/>
          <w:lang w:val="en-US"/>
          <w14:ligatures w14:val="none"/>
        </w:rPr>
        <w:t xml:space="preserve">, N. M., Islam, R., &amp; Das, S. (Eds.). (2024). </w:t>
      </w:r>
      <w:r w:rsidRPr="00136007">
        <w:rPr>
          <w:rFonts w:eastAsia="Times New Roman" w:cs="Times New Roman"/>
          <w:i/>
          <w:iCs/>
          <w:kern w:val="0"/>
          <w:szCs w:val="24"/>
          <w:lang w:val="en-US"/>
          <w14:ligatures w14:val="none"/>
        </w:rPr>
        <w:t>Better livelihoods through scientific pig husbandry</w:t>
      </w:r>
      <w:r w:rsidRPr="00136007">
        <w:rPr>
          <w:rFonts w:eastAsia="Times New Roman" w:cs="Times New Roman"/>
          <w:kern w:val="0"/>
          <w:szCs w:val="24"/>
          <w:lang w:val="en-US"/>
          <w14:ligatures w14:val="none"/>
        </w:rPr>
        <w:t xml:space="preserve">. ICAR-NRC on Pig &amp; National Institute of Agricultural Extension Management. </w:t>
      </w:r>
      <w:r>
        <w:t xml:space="preserve"> </w:t>
      </w:r>
      <w:hyperlink r:id="rId33" w:history="1">
        <w:r>
          <w:rPr>
            <w:rFonts w:eastAsia="Times New Roman"/>
            <w:color w:val="0000FF"/>
            <w:szCs w:val="24"/>
            <w:u w:val="single"/>
          </w:rPr>
          <w:t>https://www.manage.gov.in/publications/eBooks/Better%20Livelihoods%20through%20Scientific%20Pig%20Husbandry.pdf</w:t>
        </w:r>
      </w:hyperlink>
    </w:p>
    <w:p w14:paraId="12DDE699" w14:textId="0A9C9A68"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nl-BE"/>
          <w14:ligatures w14:val="none"/>
        </w:rPr>
        <w:t xml:space="preserve">Hadziabdic, S., Haase, D., Barac, A., Hertwig, S., &amp; Buschulte, A. (2023). </w:t>
      </w:r>
      <w:r w:rsidRPr="00136007">
        <w:rPr>
          <w:rFonts w:eastAsia="Times New Roman" w:cs="Times New Roman"/>
          <w:kern w:val="0"/>
          <w:szCs w:val="24"/>
          <w:lang w:val="en-US"/>
          <w14:ligatures w14:val="none"/>
        </w:rPr>
        <w:t xml:space="preserve">Detection of pathogenic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strains in pre-packed fresh pork minced meat—Preliminary data. </w:t>
      </w:r>
      <w:r w:rsidRPr="00136007">
        <w:rPr>
          <w:rFonts w:eastAsia="Times New Roman" w:cs="Times New Roman"/>
          <w:i/>
          <w:iCs/>
          <w:kern w:val="0"/>
          <w:szCs w:val="24"/>
          <w:lang w:val="en-US"/>
          <w14:ligatures w14:val="none"/>
        </w:rPr>
        <w:t>Meat Technology, 64</w:t>
      </w:r>
      <w:r w:rsidRPr="00136007">
        <w:rPr>
          <w:rFonts w:eastAsia="Times New Roman" w:cs="Times New Roman"/>
          <w:kern w:val="0"/>
          <w:szCs w:val="24"/>
          <w:lang w:val="en-US"/>
          <w14:ligatures w14:val="none"/>
        </w:rPr>
        <w:t xml:space="preserve">(2), 89–92. </w:t>
      </w:r>
      <w:hyperlink r:id="rId34" w:history="1">
        <w:r>
          <w:rPr>
            <w:rFonts w:eastAsia="Times New Roman"/>
            <w:color w:val="0000FF"/>
            <w:szCs w:val="24"/>
            <w:u w:val="single"/>
          </w:rPr>
          <w:t>https://doi.org/10.18485/meattech.2023.64.2.15</w:t>
        </w:r>
      </w:hyperlink>
    </w:p>
    <w:p w14:paraId="65E42A1C" w14:textId="6A7AE7A9"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Karlsson, P. A., Tano, E., Jernberg, C., Hickman, R. A., Guy, L., </w:t>
      </w:r>
      <w:proofErr w:type="spellStart"/>
      <w:r w:rsidRPr="00136007">
        <w:rPr>
          <w:rFonts w:eastAsia="Times New Roman" w:cs="Times New Roman"/>
          <w:kern w:val="0"/>
          <w:szCs w:val="24"/>
          <w:lang w:val="en-US"/>
          <w14:ligatures w14:val="none"/>
        </w:rPr>
        <w:t>Järhult</w:t>
      </w:r>
      <w:proofErr w:type="spellEnd"/>
      <w:r w:rsidRPr="00136007">
        <w:rPr>
          <w:rFonts w:eastAsia="Times New Roman" w:cs="Times New Roman"/>
          <w:kern w:val="0"/>
          <w:szCs w:val="24"/>
          <w:lang w:val="en-US"/>
          <w14:ligatures w14:val="none"/>
        </w:rPr>
        <w:t xml:space="preserve">, J. D., &amp; Wang, H. (2021). Molecular characterization of multidrug-resistant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from foodborne outbreaks in Sweden. </w:t>
      </w:r>
      <w:r w:rsidRPr="00136007">
        <w:rPr>
          <w:rFonts w:eastAsia="Times New Roman" w:cs="Times New Roman"/>
          <w:i/>
          <w:iCs/>
          <w:kern w:val="0"/>
          <w:szCs w:val="24"/>
          <w:lang w:val="en-US"/>
          <w14:ligatures w14:val="none"/>
        </w:rPr>
        <w:t>Frontiers in Microbiology, 12</w:t>
      </w:r>
      <w:r w:rsidRPr="00136007">
        <w:rPr>
          <w:rFonts w:eastAsia="Times New Roman" w:cs="Times New Roman"/>
          <w:kern w:val="0"/>
          <w:szCs w:val="24"/>
          <w:lang w:val="en-US"/>
          <w14:ligatures w14:val="none"/>
        </w:rPr>
        <w:t xml:space="preserve">, 664665. </w:t>
      </w:r>
      <w:hyperlink r:id="rId35" w:history="1">
        <w:r>
          <w:rPr>
            <w:rFonts w:eastAsia="Times New Roman"/>
            <w:color w:val="0000FF"/>
            <w:szCs w:val="24"/>
            <w:u w:val="single"/>
          </w:rPr>
          <w:t>https://doi.org/10.3389/fmicb.2021.664665</w:t>
        </w:r>
      </w:hyperlink>
    </w:p>
    <w:p w14:paraId="7D306CA7" w14:textId="6EEEEA9E"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Kruse, H., </w:t>
      </w:r>
      <w:proofErr w:type="spellStart"/>
      <w:r w:rsidRPr="00136007">
        <w:rPr>
          <w:rFonts w:eastAsia="Times New Roman" w:cs="Times New Roman"/>
          <w:kern w:val="0"/>
          <w:szCs w:val="24"/>
          <w:lang w:val="en-US"/>
          <w14:ligatures w14:val="none"/>
        </w:rPr>
        <w:t>Kapperud</w:t>
      </w:r>
      <w:proofErr w:type="spellEnd"/>
      <w:r w:rsidRPr="00136007">
        <w:rPr>
          <w:rFonts w:eastAsia="Times New Roman" w:cs="Times New Roman"/>
          <w:kern w:val="0"/>
          <w:szCs w:val="24"/>
          <w:lang w:val="en-US"/>
          <w14:ligatures w14:val="none"/>
        </w:rPr>
        <w:t xml:space="preserve">, G., Lassen, J., </w:t>
      </w:r>
      <w:proofErr w:type="spellStart"/>
      <w:r w:rsidRPr="00136007">
        <w:rPr>
          <w:rFonts w:eastAsia="Times New Roman" w:cs="Times New Roman"/>
          <w:kern w:val="0"/>
          <w:szCs w:val="24"/>
          <w:lang w:val="en-US"/>
          <w14:ligatures w14:val="none"/>
        </w:rPr>
        <w:t>Lunestad</w:t>
      </w:r>
      <w:proofErr w:type="spellEnd"/>
      <w:r w:rsidRPr="00136007">
        <w:rPr>
          <w:rFonts w:eastAsia="Times New Roman" w:cs="Times New Roman"/>
          <w:kern w:val="0"/>
          <w:szCs w:val="24"/>
          <w:lang w:val="en-US"/>
          <w14:ligatures w14:val="none"/>
        </w:rPr>
        <w:t xml:space="preserve">, B. T., </w:t>
      </w:r>
      <w:proofErr w:type="spellStart"/>
      <w:r w:rsidRPr="00136007">
        <w:rPr>
          <w:rFonts w:eastAsia="Times New Roman" w:cs="Times New Roman"/>
          <w:kern w:val="0"/>
          <w:szCs w:val="24"/>
          <w:lang w:val="en-US"/>
          <w14:ligatures w14:val="none"/>
        </w:rPr>
        <w:t>Nesbakken</w:t>
      </w:r>
      <w:proofErr w:type="spellEnd"/>
      <w:r w:rsidRPr="00136007">
        <w:rPr>
          <w:rFonts w:eastAsia="Times New Roman" w:cs="Times New Roman"/>
          <w:kern w:val="0"/>
          <w:szCs w:val="24"/>
          <w:lang w:val="en-US"/>
          <w14:ligatures w14:val="none"/>
        </w:rPr>
        <w:t xml:space="preserve">, T., Rimstad, E., Robertson, L., Skjerve, E., &amp; </w:t>
      </w:r>
      <w:proofErr w:type="spellStart"/>
      <w:r w:rsidRPr="00136007">
        <w:rPr>
          <w:rFonts w:eastAsia="Times New Roman" w:cs="Times New Roman"/>
          <w:kern w:val="0"/>
          <w:szCs w:val="24"/>
          <w:lang w:val="en-US"/>
          <w14:ligatures w14:val="none"/>
        </w:rPr>
        <w:t>Wasteson</w:t>
      </w:r>
      <w:proofErr w:type="spellEnd"/>
      <w:r w:rsidRPr="00136007">
        <w:rPr>
          <w:rFonts w:eastAsia="Times New Roman" w:cs="Times New Roman"/>
          <w:kern w:val="0"/>
          <w:szCs w:val="24"/>
          <w:lang w:val="en-US"/>
          <w14:ligatures w14:val="none"/>
        </w:rPr>
        <w:t xml:space="preserve">, Y. (2021). A preliminary risk assessment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in the food chain: Some aspects related to human health in Norway. </w:t>
      </w:r>
      <w:r w:rsidRPr="00136007">
        <w:rPr>
          <w:rFonts w:eastAsia="Times New Roman" w:cs="Times New Roman"/>
          <w:i/>
          <w:iCs/>
          <w:kern w:val="0"/>
          <w:szCs w:val="24"/>
          <w:lang w:val="en-US"/>
          <w14:ligatures w14:val="none"/>
        </w:rPr>
        <w:t>European Journal of Nutrition &amp; Food Safety, 13</w:t>
      </w:r>
      <w:r w:rsidRPr="00136007">
        <w:rPr>
          <w:rFonts w:eastAsia="Times New Roman" w:cs="Times New Roman"/>
          <w:kern w:val="0"/>
          <w:szCs w:val="24"/>
          <w:lang w:val="en-US"/>
          <w14:ligatures w14:val="none"/>
        </w:rPr>
        <w:t xml:space="preserve">(5), 1–2. </w:t>
      </w:r>
      <w:hyperlink r:id="rId36" w:tgtFrame="_blank" w:history="1">
        <w:r w:rsidRPr="00136007">
          <w:rPr>
            <w:rFonts w:eastAsia="Times New Roman" w:cs="Times New Roman"/>
            <w:color w:val="0000FF"/>
            <w:kern w:val="0"/>
            <w:szCs w:val="24"/>
            <w:u w:val="single"/>
            <w:lang w:val="en-US"/>
            <w14:ligatures w14:val="none"/>
          </w:rPr>
          <w:t>https://doi.org/10.9734/ejnfs/2021/v13i530412</w:t>
        </w:r>
      </w:hyperlink>
      <w:r w:rsidRPr="00136007">
        <w:rPr>
          <w:rFonts w:eastAsia="Times New Roman" w:cs="Times New Roman"/>
          <w:kern w:val="0"/>
          <w:szCs w:val="24"/>
          <w:lang w:val="en-US"/>
          <w14:ligatures w14:val="none"/>
        </w:rPr>
        <w:t xml:space="preserve"> </w:t>
      </w:r>
    </w:p>
    <w:p w14:paraId="45C545DE" w14:textId="4859967F"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nl-BE"/>
          <w14:ligatures w14:val="none"/>
        </w:rPr>
        <w:t xml:space="preserve">Lal, M., Kaur, H., &amp; Gupta, L. K. (2003).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gastroenteritis—A prospective study. </w:t>
      </w:r>
      <w:r w:rsidRPr="00136007">
        <w:rPr>
          <w:rFonts w:eastAsia="Times New Roman" w:cs="Times New Roman"/>
          <w:i/>
          <w:iCs/>
          <w:kern w:val="0"/>
          <w:szCs w:val="24"/>
          <w:lang w:val="en-US"/>
          <w14:ligatures w14:val="none"/>
        </w:rPr>
        <w:t>Indian Journal of Medical Microbiology, 21</w:t>
      </w:r>
      <w:r w:rsidRPr="00136007">
        <w:rPr>
          <w:rFonts w:eastAsia="Times New Roman" w:cs="Times New Roman"/>
          <w:kern w:val="0"/>
          <w:szCs w:val="24"/>
          <w:lang w:val="en-US"/>
          <w14:ligatures w14:val="none"/>
        </w:rPr>
        <w:t xml:space="preserve">(3), 186–188. </w:t>
      </w:r>
      <w:hyperlink r:id="rId37" w:history="1">
        <w:r>
          <w:rPr>
            <w:rFonts w:eastAsia="Times New Roman"/>
            <w:color w:val="0000FF"/>
            <w:szCs w:val="24"/>
            <w:u w:val="single"/>
          </w:rPr>
          <w:t>https://doi.org/10.1016/S0255-0857(21)03070-X</w:t>
        </w:r>
      </w:hyperlink>
    </w:p>
    <w:p w14:paraId="3C163196" w14:textId="3E52E85C"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Lee, S. H., Jung, B. Y., </w:t>
      </w:r>
      <w:proofErr w:type="spellStart"/>
      <w:r w:rsidRPr="00136007">
        <w:rPr>
          <w:rFonts w:eastAsia="Times New Roman" w:cs="Times New Roman"/>
          <w:kern w:val="0"/>
          <w:szCs w:val="24"/>
          <w:lang w:val="en-US"/>
          <w14:ligatures w14:val="none"/>
        </w:rPr>
        <w:t>Rayamahji</w:t>
      </w:r>
      <w:proofErr w:type="spellEnd"/>
      <w:r w:rsidRPr="00136007">
        <w:rPr>
          <w:rFonts w:eastAsia="Times New Roman" w:cs="Times New Roman"/>
          <w:kern w:val="0"/>
          <w:szCs w:val="24"/>
          <w:lang w:val="en-US"/>
          <w14:ligatures w14:val="none"/>
        </w:rPr>
        <w:t xml:space="preserve">, N., Lee, H. S., Jeon, W. J., Choi, K. S., Kweon, C. H., &amp; Yoo, H. S. (2009). A multiplex real-time PCR for differential detection and quantification of </w:t>
      </w:r>
      <w:r w:rsidRPr="00136007">
        <w:rPr>
          <w:rFonts w:eastAsia="Times New Roman" w:cs="Times New Roman"/>
          <w:i/>
          <w:iCs/>
          <w:kern w:val="0"/>
          <w:szCs w:val="24"/>
          <w:lang w:val="en-US"/>
          <w14:ligatures w14:val="none"/>
        </w:rPr>
        <w:t>Salmonella</w:t>
      </w:r>
      <w:r w:rsidRPr="00136007">
        <w:rPr>
          <w:rFonts w:eastAsia="Times New Roman" w:cs="Times New Roman"/>
          <w:kern w:val="0"/>
          <w:szCs w:val="24"/>
          <w:lang w:val="en-US"/>
          <w14:ligatures w14:val="none"/>
        </w:rPr>
        <w:t xml:space="preserve"> spp., </w:t>
      </w:r>
      <w:r w:rsidRPr="00136007">
        <w:rPr>
          <w:rFonts w:eastAsia="Times New Roman" w:cs="Times New Roman"/>
          <w:i/>
          <w:iCs/>
          <w:kern w:val="0"/>
          <w:szCs w:val="24"/>
          <w:lang w:val="en-US"/>
          <w14:ligatures w14:val="none"/>
        </w:rPr>
        <w:t>Salmonella enterica</w:t>
      </w:r>
      <w:r w:rsidRPr="00136007">
        <w:rPr>
          <w:rFonts w:eastAsia="Times New Roman" w:cs="Times New Roman"/>
          <w:kern w:val="0"/>
          <w:szCs w:val="24"/>
          <w:lang w:val="en-US"/>
          <w14:ligatures w14:val="none"/>
        </w:rPr>
        <w:t xml:space="preserve"> serovar Typhimurium and Enteritidis in meats. </w:t>
      </w:r>
      <w:r w:rsidRPr="00136007">
        <w:rPr>
          <w:rFonts w:eastAsia="Times New Roman" w:cs="Times New Roman"/>
          <w:i/>
          <w:iCs/>
          <w:kern w:val="0"/>
          <w:szCs w:val="24"/>
          <w:lang w:val="en-US"/>
          <w14:ligatures w14:val="none"/>
        </w:rPr>
        <w:t>Journal of Veterinary Science, 10</w:t>
      </w:r>
      <w:r w:rsidRPr="00136007">
        <w:rPr>
          <w:rFonts w:eastAsia="Times New Roman" w:cs="Times New Roman"/>
          <w:kern w:val="0"/>
          <w:szCs w:val="24"/>
          <w:lang w:val="en-US"/>
          <w14:ligatures w14:val="none"/>
        </w:rPr>
        <w:t xml:space="preserve">(1), 43–51. </w:t>
      </w:r>
      <w:hyperlink r:id="rId38" w:history="1">
        <w:r>
          <w:rPr>
            <w:rFonts w:eastAsia="Times New Roman"/>
            <w:color w:val="0000FF"/>
            <w:szCs w:val="24"/>
            <w:u w:val="single"/>
          </w:rPr>
          <w:t>https://doi.org/10.4142/jvs.2009.10.1.43</w:t>
        </w:r>
      </w:hyperlink>
    </w:p>
    <w:p w14:paraId="3A791C76" w14:textId="774565BD"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54D4D">
        <w:rPr>
          <w:rFonts w:eastAsia="Times New Roman" w:cs="Times New Roman"/>
          <w:kern w:val="0"/>
          <w:szCs w:val="24"/>
          <w:lang w:val="en-US"/>
          <w14:ligatures w14:val="none"/>
        </w:rPr>
        <w:t xml:space="preserve">Lou, X., Wu, Y., Chen, Z., Zhang, Q., Xiao, X., &amp; Fang, Z. (2025). </w:t>
      </w:r>
      <w:r w:rsidRPr="00136007">
        <w:rPr>
          <w:rFonts w:eastAsia="Times New Roman" w:cs="Times New Roman"/>
          <w:kern w:val="0"/>
          <w:szCs w:val="24"/>
          <w:lang w:val="en-US"/>
          <w14:ligatures w14:val="none"/>
        </w:rPr>
        <w:t xml:space="preserve">Novel insights into biofilm formation and the key differentially expressed genes in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from meat: Implications for food safety and disease prevention. </w:t>
      </w:r>
      <w:r w:rsidRPr="00136007">
        <w:rPr>
          <w:rFonts w:eastAsia="Times New Roman" w:cs="Times New Roman"/>
          <w:i/>
          <w:iCs/>
          <w:kern w:val="0"/>
          <w:szCs w:val="24"/>
          <w:lang w:val="en-US"/>
          <w14:ligatures w14:val="none"/>
        </w:rPr>
        <w:t>International Journal of Food Microbiology, 426</w:t>
      </w:r>
      <w:r w:rsidRPr="00136007">
        <w:rPr>
          <w:rFonts w:eastAsia="Times New Roman" w:cs="Times New Roman"/>
          <w:kern w:val="0"/>
          <w:szCs w:val="24"/>
          <w:lang w:val="en-US"/>
          <w14:ligatures w14:val="none"/>
        </w:rPr>
        <w:t xml:space="preserve">, 110914. </w:t>
      </w:r>
      <w:hyperlink r:id="rId39" w:tgtFrame="_blank" w:history="1">
        <w:r w:rsidRPr="00136007">
          <w:rPr>
            <w:rFonts w:eastAsia="Times New Roman" w:cs="Times New Roman"/>
            <w:color w:val="0000FF"/>
            <w:kern w:val="0"/>
            <w:szCs w:val="24"/>
            <w:u w:val="single"/>
            <w:lang w:val="en-US"/>
            <w14:ligatures w14:val="none"/>
          </w:rPr>
          <w:t>https://doi.org/10.1016/j.ijfoodmicro.2024.110914</w:t>
        </w:r>
      </w:hyperlink>
      <w:r w:rsidRPr="00136007">
        <w:rPr>
          <w:rFonts w:eastAsia="Times New Roman" w:cs="Times New Roman"/>
          <w:kern w:val="0"/>
          <w:szCs w:val="24"/>
          <w:lang w:val="en-US"/>
          <w14:ligatures w14:val="none"/>
        </w:rPr>
        <w:t xml:space="preserve"> </w:t>
      </w:r>
    </w:p>
    <w:p w14:paraId="5345B3F5" w14:textId="7C4FCF38"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Lou, X., Mao, J., Wu, Y., Xia, Y., Zhang, W., Gao, J., Wang, Y., Yan, J., Xiao, X., Li, J., &amp; Fang, Z. (2026). From foodborne to environmental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w:t>
      </w:r>
      <w:r w:rsidRPr="00136007">
        <w:rPr>
          <w:rFonts w:eastAsia="Times New Roman" w:cs="Times New Roman"/>
          <w:kern w:val="0"/>
          <w:szCs w:val="24"/>
          <w:lang w:val="en-US"/>
          <w14:ligatures w14:val="none"/>
        </w:rPr>
        <w:lastRenderedPageBreak/>
        <w:t xml:space="preserve">Comparative insights into antimicrobial resistance and virulence for food safety. </w:t>
      </w:r>
      <w:r w:rsidRPr="00136007">
        <w:rPr>
          <w:rFonts w:eastAsia="Times New Roman" w:cs="Times New Roman"/>
          <w:i/>
          <w:iCs/>
          <w:kern w:val="0"/>
          <w:szCs w:val="24"/>
          <w:lang w:val="en-US"/>
          <w14:ligatures w14:val="none"/>
        </w:rPr>
        <w:t>Food Research International, 238</w:t>
      </w:r>
      <w:r w:rsidRPr="00136007">
        <w:rPr>
          <w:rFonts w:eastAsia="Times New Roman" w:cs="Times New Roman"/>
          <w:kern w:val="0"/>
          <w:szCs w:val="24"/>
          <w:lang w:val="en-US"/>
          <w14:ligatures w14:val="none"/>
        </w:rPr>
        <w:t xml:space="preserve">, 119442. </w:t>
      </w:r>
      <w:hyperlink r:id="rId40" w:history="1">
        <w:r>
          <w:rPr>
            <w:rFonts w:eastAsia="Times New Roman"/>
            <w:color w:val="0000FF"/>
            <w:szCs w:val="24"/>
            <w:u w:val="single"/>
          </w:rPr>
          <w:t>https://doi.org/10.1016/j.foodres.2026.119442</w:t>
        </w:r>
      </w:hyperlink>
    </w:p>
    <w:p w14:paraId="341596B8" w14:textId="65E4EA2F"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Modesto, P., De </w:t>
      </w:r>
      <w:proofErr w:type="spellStart"/>
      <w:r w:rsidRPr="00136007">
        <w:rPr>
          <w:rFonts w:eastAsia="Times New Roman" w:cs="Times New Roman"/>
          <w:kern w:val="0"/>
          <w:szCs w:val="24"/>
          <w:lang w:val="en-US"/>
          <w14:ligatures w14:val="none"/>
        </w:rPr>
        <w:t>Ciucis</w:t>
      </w:r>
      <w:proofErr w:type="spellEnd"/>
      <w:r w:rsidRPr="00136007">
        <w:rPr>
          <w:rFonts w:eastAsia="Times New Roman" w:cs="Times New Roman"/>
          <w:kern w:val="0"/>
          <w:szCs w:val="24"/>
          <w:lang w:val="en-US"/>
          <w14:ligatures w14:val="none"/>
        </w:rPr>
        <w:t xml:space="preserve">, C. G., </w:t>
      </w:r>
      <w:proofErr w:type="spellStart"/>
      <w:r w:rsidRPr="00136007">
        <w:rPr>
          <w:rFonts w:eastAsia="Times New Roman" w:cs="Times New Roman"/>
          <w:kern w:val="0"/>
          <w:szCs w:val="24"/>
          <w:lang w:val="en-US"/>
          <w14:ligatures w14:val="none"/>
        </w:rPr>
        <w:t>Vencia</w:t>
      </w:r>
      <w:proofErr w:type="spellEnd"/>
      <w:r w:rsidRPr="00136007">
        <w:rPr>
          <w:rFonts w:eastAsia="Times New Roman" w:cs="Times New Roman"/>
          <w:kern w:val="0"/>
          <w:szCs w:val="24"/>
          <w:lang w:val="en-US"/>
          <w14:ligatures w14:val="none"/>
        </w:rPr>
        <w:t xml:space="preserve">, W., Pugliano, M. C., Mignone, W., Berio, E., Masotti, C., Ercolini, C., </w:t>
      </w:r>
      <w:proofErr w:type="spellStart"/>
      <w:r w:rsidRPr="00136007">
        <w:rPr>
          <w:rFonts w:eastAsia="Times New Roman" w:cs="Times New Roman"/>
          <w:kern w:val="0"/>
          <w:szCs w:val="24"/>
          <w:lang w:val="en-US"/>
          <w14:ligatures w14:val="none"/>
        </w:rPr>
        <w:t>Serracca</w:t>
      </w:r>
      <w:proofErr w:type="spellEnd"/>
      <w:r w:rsidRPr="00136007">
        <w:rPr>
          <w:rFonts w:eastAsia="Times New Roman" w:cs="Times New Roman"/>
          <w:kern w:val="0"/>
          <w:szCs w:val="24"/>
          <w:lang w:val="en-US"/>
          <w14:ligatures w14:val="none"/>
        </w:rPr>
        <w:t xml:space="preserve">, L., Andreoli, T., </w:t>
      </w:r>
      <w:proofErr w:type="spellStart"/>
      <w:r w:rsidRPr="00136007">
        <w:rPr>
          <w:rFonts w:eastAsia="Times New Roman" w:cs="Times New Roman"/>
          <w:kern w:val="0"/>
          <w:szCs w:val="24"/>
          <w:lang w:val="en-US"/>
          <w14:ligatures w14:val="none"/>
        </w:rPr>
        <w:t>Dellepiane</w:t>
      </w:r>
      <w:proofErr w:type="spellEnd"/>
      <w:r w:rsidRPr="00136007">
        <w:rPr>
          <w:rFonts w:eastAsia="Times New Roman" w:cs="Times New Roman"/>
          <w:kern w:val="0"/>
          <w:szCs w:val="24"/>
          <w:lang w:val="en-US"/>
          <w14:ligatures w14:val="none"/>
        </w:rPr>
        <w:t xml:space="preserve">, M., Adriano, D., Zoppi, S., Meloni, D., &amp; </w:t>
      </w:r>
      <w:proofErr w:type="spellStart"/>
      <w:r w:rsidRPr="00136007">
        <w:rPr>
          <w:rFonts w:eastAsia="Times New Roman" w:cs="Times New Roman"/>
          <w:kern w:val="0"/>
          <w:szCs w:val="24"/>
          <w:lang w:val="en-US"/>
          <w14:ligatures w14:val="none"/>
        </w:rPr>
        <w:t>Razzuoli</w:t>
      </w:r>
      <w:proofErr w:type="spellEnd"/>
      <w:r w:rsidRPr="00136007">
        <w:rPr>
          <w:rFonts w:eastAsia="Times New Roman" w:cs="Times New Roman"/>
          <w:kern w:val="0"/>
          <w:szCs w:val="24"/>
          <w:lang w:val="en-US"/>
          <w14:ligatures w14:val="none"/>
        </w:rPr>
        <w:t xml:space="preserve">, E. (2021). Evidence of antimicrobial resistance and presence of pathogenicity genes in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isolate from wild boars. </w:t>
      </w:r>
      <w:r w:rsidRPr="00136007">
        <w:rPr>
          <w:rFonts w:eastAsia="Times New Roman" w:cs="Times New Roman"/>
          <w:i/>
          <w:iCs/>
          <w:kern w:val="0"/>
          <w:szCs w:val="24"/>
          <w:lang w:val="en-US"/>
          <w14:ligatures w14:val="none"/>
        </w:rPr>
        <w:t>Pathogens, 10</w:t>
      </w:r>
      <w:r w:rsidRPr="00136007">
        <w:rPr>
          <w:rFonts w:eastAsia="Times New Roman" w:cs="Times New Roman"/>
          <w:kern w:val="0"/>
          <w:szCs w:val="24"/>
          <w:lang w:val="en-US"/>
          <w14:ligatures w14:val="none"/>
        </w:rPr>
        <w:t xml:space="preserve">(4), 398. </w:t>
      </w:r>
      <w:hyperlink r:id="rId41" w:history="1">
        <w:r>
          <w:rPr>
            <w:rFonts w:eastAsia="Times New Roman"/>
            <w:color w:val="0000FF"/>
            <w:szCs w:val="24"/>
            <w:u w:val="single"/>
          </w:rPr>
          <w:t>https://doi.org/10.3390/pathogens10040398</w:t>
        </w:r>
      </w:hyperlink>
    </w:p>
    <w:p w14:paraId="3B43ED15" w14:textId="77D9E764"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Platt-</w:t>
      </w:r>
      <w:proofErr w:type="spellStart"/>
      <w:r w:rsidRPr="00136007">
        <w:rPr>
          <w:rFonts w:eastAsia="Times New Roman" w:cs="Times New Roman"/>
          <w:kern w:val="0"/>
          <w:szCs w:val="24"/>
          <w:lang w:val="en-US"/>
          <w14:ligatures w14:val="none"/>
        </w:rPr>
        <w:t>Samoraj</w:t>
      </w:r>
      <w:proofErr w:type="spellEnd"/>
      <w:r w:rsidRPr="00136007">
        <w:rPr>
          <w:rFonts w:eastAsia="Times New Roman" w:cs="Times New Roman"/>
          <w:kern w:val="0"/>
          <w:szCs w:val="24"/>
          <w:lang w:val="en-US"/>
          <w14:ligatures w14:val="none"/>
        </w:rPr>
        <w:t xml:space="preserve">, A. (2022). Toxigenic properties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biotype 1A. </w:t>
      </w:r>
      <w:r w:rsidRPr="00136007">
        <w:rPr>
          <w:rFonts w:eastAsia="Times New Roman" w:cs="Times New Roman"/>
          <w:i/>
          <w:iCs/>
          <w:kern w:val="0"/>
          <w:szCs w:val="24"/>
          <w:lang w:val="en-US"/>
          <w14:ligatures w14:val="none"/>
        </w:rPr>
        <w:t>Toxins, 14</w:t>
      </w:r>
      <w:r w:rsidRPr="00136007">
        <w:rPr>
          <w:rFonts w:eastAsia="Times New Roman" w:cs="Times New Roman"/>
          <w:kern w:val="0"/>
          <w:szCs w:val="24"/>
          <w:lang w:val="en-US"/>
          <w14:ligatures w14:val="none"/>
        </w:rPr>
        <w:t xml:space="preserve">(2), 118. </w:t>
      </w:r>
      <w:hyperlink r:id="rId42" w:history="1">
        <w:r>
          <w:rPr>
            <w:rFonts w:eastAsia="Times New Roman"/>
            <w:color w:val="0000FF"/>
            <w:szCs w:val="24"/>
            <w:u w:val="single"/>
          </w:rPr>
          <w:t>https://doi.org/10.3390/toxins14020118</w:t>
        </w:r>
      </w:hyperlink>
    </w:p>
    <w:p w14:paraId="37EB091C" w14:textId="46888021"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Saraiva, S., García-Díez, J., de Sousa, T., Calouro, R., Fernandes, D., Mourão, A. V., Saraiva, C., Mesquita, J. R., Coelho, A. C., &amp; Poeta, P. (2025). Zoonotic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in swine: One Health implications for food safety and public health. </w:t>
      </w:r>
      <w:r w:rsidRPr="00136007">
        <w:rPr>
          <w:rFonts w:eastAsia="Times New Roman" w:cs="Times New Roman"/>
          <w:i/>
          <w:iCs/>
          <w:kern w:val="0"/>
          <w:szCs w:val="24"/>
          <w:lang w:val="en-US"/>
          <w14:ligatures w14:val="none"/>
        </w:rPr>
        <w:t>Veterinary Sciences, 12</w:t>
      </w:r>
      <w:r w:rsidRPr="00136007">
        <w:rPr>
          <w:rFonts w:eastAsia="Times New Roman" w:cs="Times New Roman"/>
          <w:kern w:val="0"/>
          <w:szCs w:val="24"/>
          <w:lang w:val="en-US"/>
          <w14:ligatures w14:val="none"/>
        </w:rPr>
        <w:t xml:space="preserve">(9), 795. </w:t>
      </w:r>
      <w:hyperlink r:id="rId43" w:history="1">
        <w:r>
          <w:rPr>
            <w:rFonts w:eastAsia="Times New Roman"/>
            <w:color w:val="0000FF"/>
            <w:szCs w:val="24"/>
            <w:u w:val="single"/>
          </w:rPr>
          <w:t>https://doi.org/10.3390/vetsci12090795</w:t>
        </w:r>
      </w:hyperlink>
    </w:p>
    <w:p w14:paraId="4EC93FC7" w14:textId="7D55F3A0" w:rsidR="00136007" w:rsidRPr="00136007" w:rsidRDefault="00136007" w:rsidP="00136007">
      <w:pPr>
        <w:spacing w:after="0" w:line="240" w:lineRule="auto"/>
        <w:ind w:left="720" w:hanging="720"/>
        <w:rPr>
          <w:rFonts w:eastAsia="Times New Roman" w:cs="Times New Roman"/>
          <w:kern w:val="0"/>
          <w:szCs w:val="24"/>
          <w:lang w:val="en-US"/>
          <w14:ligatures w14:val="none"/>
        </w:rPr>
      </w:pPr>
      <w:proofErr w:type="spellStart"/>
      <w:r w:rsidRPr="00136007">
        <w:rPr>
          <w:rFonts w:eastAsia="Times New Roman" w:cs="Times New Roman"/>
          <w:kern w:val="0"/>
          <w:szCs w:val="24"/>
          <w:lang w:val="en-US"/>
          <w14:ligatures w14:val="none"/>
        </w:rPr>
        <w:t>Seakamela</w:t>
      </w:r>
      <w:proofErr w:type="spellEnd"/>
      <w:r w:rsidRPr="00136007">
        <w:rPr>
          <w:rFonts w:eastAsia="Times New Roman" w:cs="Times New Roman"/>
          <w:kern w:val="0"/>
          <w:szCs w:val="24"/>
          <w:lang w:val="en-US"/>
          <w14:ligatures w14:val="none"/>
        </w:rPr>
        <w:t xml:space="preserve">, E. M., </w:t>
      </w:r>
      <w:proofErr w:type="spellStart"/>
      <w:r w:rsidRPr="00136007">
        <w:rPr>
          <w:rFonts w:eastAsia="Times New Roman" w:cs="Times New Roman"/>
          <w:kern w:val="0"/>
          <w:szCs w:val="24"/>
          <w:lang w:val="en-US"/>
          <w14:ligatures w14:val="none"/>
        </w:rPr>
        <w:t>Diseko</w:t>
      </w:r>
      <w:proofErr w:type="spellEnd"/>
      <w:r w:rsidRPr="00136007">
        <w:rPr>
          <w:rFonts w:eastAsia="Times New Roman" w:cs="Times New Roman"/>
          <w:kern w:val="0"/>
          <w:szCs w:val="24"/>
          <w:lang w:val="en-US"/>
          <w14:ligatures w14:val="none"/>
        </w:rPr>
        <w:t xml:space="preserve">, L., Malatji, D., Makhado, L., Motau, M., </w:t>
      </w:r>
      <w:proofErr w:type="spellStart"/>
      <w:r w:rsidRPr="00136007">
        <w:rPr>
          <w:rFonts w:eastAsia="Times New Roman" w:cs="Times New Roman"/>
          <w:kern w:val="0"/>
          <w:szCs w:val="24"/>
          <w:lang w:val="en-US"/>
          <w14:ligatures w14:val="none"/>
        </w:rPr>
        <w:t>Jambwa</w:t>
      </w:r>
      <w:proofErr w:type="spellEnd"/>
      <w:r w:rsidRPr="00136007">
        <w:rPr>
          <w:rFonts w:eastAsia="Times New Roman" w:cs="Times New Roman"/>
          <w:kern w:val="0"/>
          <w:szCs w:val="24"/>
          <w:lang w:val="en-US"/>
          <w14:ligatures w14:val="none"/>
        </w:rPr>
        <w:t xml:space="preserve">, K., </w:t>
      </w:r>
      <w:proofErr w:type="spellStart"/>
      <w:r w:rsidRPr="00136007">
        <w:rPr>
          <w:rFonts w:eastAsia="Times New Roman" w:cs="Times New Roman"/>
          <w:kern w:val="0"/>
          <w:szCs w:val="24"/>
          <w:lang w:val="en-US"/>
          <w14:ligatures w14:val="none"/>
        </w:rPr>
        <w:t>Magwedere</w:t>
      </w:r>
      <w:proofErr w:type="spellEnd"/>
      <w:r w:rsidRPr="00136007">
        <w:rPr>
          <w:rFonts w:eastAsia="Times New Roman" w:cs="Times New Roman"/>
          <w:kern w:val="0"/>
          <w:szCs w:val="24"/>
          <w:lang w:val="en-US"/>
          <w14:ligatures w14:val="none"/>
        </w:rPr>
        <w:t xml:space="preserve">, K., </w:t>
      </w:r>
      <w:proofErr w:type="spellStart"/>
      <w:r w:rsidRPr="00136007">
        <w:rPr>
          <w:rFonts w:eastAsia="Times New Roman" w:cs="Times New Roman"/>
          <w:kern w:val="0"/>
          <w:szCs w:val="24"/>
          <w:lang w:val="en-US"/>
          <w14:ligatures w14:val="none"/>
        </w:rPr>
        <w:t>Ntushelo</w:t>
      </w:r>
      <w:proofErr w:type="spellEnd"/>
      <w:r w:rsidRPr="00136007">
        <w:rPr>
          <w:rFonts w:eastAsia="Times New Roman" w:cs="Times New Roman"/>
          <w:kern w:val="0"/>
          <w:szCs w:val="24"/>
          <w:lang w:val="en-US"/>
          <w14:ligatures w14:val="none"/>
        </w:rPr>
        <w:t xml:space="preserve">, N., &amp; </w:t>
      </w:r>
      <w:proofErr w:type="spellStart"/>
      <w:r w:rsidRPr="00136007">
        <w:rPr>
          <w:rFonts w:eastAsia="Times New Roman" w:cs="Times New Roman"/>
          <w:kern w:val="0"/>
          <w:szCs w:val="24"/>
          <w:lang w:val="en-US"/>
          <w14:ligatures w14:val="none"/>
        </w:rPr>
        <w:t>Matle</w:t>
      </w:r>
      <w:proofErr w:type="spellEnd"/>
      <w:r w:rsidRPr="00136007">
        <w:rPr>
          <w:rFonts w:eastAsia="Times New Roman" w:cs="Times New Roman"/>
          <w:kern w:val="0"/>
          <w:szCs w:val="24"/>
          <w:lang w:val="en-US"/>
          <w14:ligatures w14:val="none"/>
        </w:rPr>
        <w:t xml:space="preserve">, I. (2022). </w:t>
      </w:r>
      <w:proofErr w:type="spellStart"/>
      <w:r w:rsidRPr="00136007">
        <w:rPr>
          <w:rFonts w:eastAsia="Times New Roman" w:cs="Times New Roman"/>
          <w:kern w:val="0"/>
          <w:szCs w:val="24"/>
          <w:lang w:val="en-US"/>
          <w14:ligatures w14:val="none"/>
        </w:rPr>
        <w:t>Characterisation</w:t>
      </w:r>
      <w:proofErr w:type="spellEnd"/>
      <w:r w:rsidRPr="00136007">
        <w:rPr>
          <w:rFonts w:eastAsia="Times New Roman" w:cs="Times New Roman"/>
          <w:kern w:val="0"/>
          <w:szCs w:val="24"/>
          <w:lang w:val="en-US"/>
          <w14:ligatures w14:val="none"/>
        </w:rPr>
        <w:t xml:space="preserve"> and antibiotic resistance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from various meat categories, South Africa. </w:t>
      </w:r>
      <w:proofErr w:type="spellStart"/>
      <w:r w:rsidRPr="00136007">
        <w:rPr>
          <w:rFonts w:eastAsia="Times New Roman" w:cs="Times New Roman"/>
          <w:i/>
          <w:iCs/>
          <w:kern w:val="0"/>
          <w:szCs w:val="24"/>
          <w:lang w:val="en-US"/>
          <w14:ligatures w14:val="none"/>
        </w:rPr>
        <w:t>Onderstepoort</w:t>
      </w:r>
      <w:proofErr w:type="spellEnd"/>
      <w:r w:rsidRPr="00136007">
        <w:rPr>
          <w:rFonts w:eastAsia="Times New Roman" w:cs="Times New Roman"/>
          <w:i/>
          <w:iCs/>
          <w:kern w:val="0"/>
          <w:szCs w:val="24"/>
          <w:lang w:val="en-US"/>
          <w14:ligatures w14:val="none"/>
        </w:rPr>
        <w:t xml:space="preserve"> Journal of Veterinary Research, 89</w:t>
      </w:r>
      <w:r w:rsidRPr="00136007">
        <w:rPr>
          <w:rFonts w:eastAsia="Times New Roman" w:cs="Times New Roman"/>
          <w:kern w:val="0"/>
          <w:szCs w:val="24"/>
          <w:lang w:val="en-US"/>
          <w14:ligatures w14:val="none"/>
        </w:rPr>
        <w:t xml:space="preserve">(1), a2006. </w:t>
      </w:r>
      <w:hyperlink r:id="rId44" w:history="1">
        <w:r>
          <w:rPr>
            <w:rFonts w:eastAsia="Times New Roman"/>
            <w:color w:val="0000FF"/>
            <w:szCs w:val="24"/>
            <w:u w:val="single"/>
          </w:rPr>
          <w:t>https://doi.org/10.4102/ojvr.v89i1.2006</w:t>
        </w:r>
      </w:hyperlink>
    </w:p>
    <w:p w14:paraId="19A08F82" w14:textId="176487CF"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Siddi, G., </w:t>
      </w:r>
      <w:proofErr w:type="spellStart"/>
      <w:r w:rsidRPr="00136007">
        <w:rPr>
          <w:rFonts w:eastAsia="Times New Roman" w:cs="Times New Roman"/>
          <w:kern w:val="0"/>
          <w:szCs w:val="24"/>
          <w:lang w:val="en-US"/>
          <w14:ligatures w14:val="none"/>
        </w:rPr>
        <w:t>Piras</w:t>
      </w:r>
      <w:proofErr w:type="spellEnd"/>
      <w:r w:rsidRPr="00136007">
        <w:rPr>
          <w:rFonts w:eastAsia="Times New Roman" w:cs="Times New Roman"/>
          <w:kern w:val="0"/>
          <w:szCs w:val="24"/>
          <w:lang w:val="en-US"/>
          <w14:ligatures w14:val="none"/>
        </w:rPr>
        <w:t xml:space="preserve">, F., Meloni, M. P., Migoni, M., Cuccu, M., </w:t>
      </w:r>
      <w:proofErr w:type="spellStart"/>
      <w:r w:rsidRPr="00136007">
        <w:rPr>
          <w:rFonts w:eastAsia="Times New Roman" w:cs="Times New Roman"/>
          <w:kern w:val="0"/>
          <w:szCs w:val="24"/>
          <w:lang w:val="en-US"/>
          <w14:ligatures w14:val="none"/>
        </w:rPr>
        <w:t>Simbula</w:t>
      </w:r>
      <w:proofErr w:type="spellEnd"/>
      <w:r w:rsidRPr="00136007">
        <w:rPr>
          <w:rFonts w:eastAsia="Times New Roman" w:cs="Times New Roman"/>
          <w:kern w:val="0"/>
          <w:szCs w:val="24"/>
          <w:lang w:val="en-US"/>
          <w14:ligatures w14:val="none"/>
        </w:rPr>
        <w:t xml:space="preserve">, F., Serra, E., </w:t>
      </w:r>
      <w:proofErr w:type="spellStart"/>
      <w:r w:rsidRPr="00136007">
        <w:rPr>
          <w:rFonts w:eastAsia="Times New Roman" w:cs="Times New Roman"/>
          <w:kern w:val="0"/>
          <w:szCs w:val="24"/>
          <w:lang w:val="en-US"/>
          <w14:ligatures w14:val="none"/>
        </w:rPr>
        <w:t>Crobu</w:t>
      </w:r>
      <w:proofErr w:type="spellEnd"/>
      <w:r w:rsidRPr="00136007">
        <w:rPr>
          <w:rFonts w:eastAsia="Times New Roman" w:cs="Times New Roman"/>
          <w:kern w:val="0"/>
          <w:szCs w:val="24"/>
          <w:lang w:val="en-US"/>
          <w14:ligatures w14:val="none"/>
        </w:rPr>
        <w:t>, L., Casula, M., Manca, F., Sau, A., Gymoese, P., Fredriksson-</w:t>
      </w:r>
      <w:proofErr w:type="spellStart"/>
      <w:r w:rsidRPr="00136007">
        <w:rPr>
          <w:rFonts w:eastAsia="Times New Roman" w:cs="Times New Roman"/>
          <w:kern w:val="0"/>
          <w:szCs w:val="24"/>
          <w:lang w:val="en-US"/>
          <w14:ligatures w14:val="none"/>
        </w:rPr>
        <w:t>Ahomaa</w:t>
      </w:r>
      <w:proofErr w:type="spellEnd"/>
      <w:r w:rsidRPr="00136007">
        <w:rPr>
          <w:rFonts w:eastAsia="Times New Roman" w:cs="Times New Roman"/>
          <w:kern w:val="0"/>
          <w:szCs w:val="24"/>
          <w:lang w:val="en-US"/>
          <w14:ligatures w14:val="none"/>
        </w:rPr>
        <w:t xml:space="preserve">, M., De Santis, E. P. L., &amp; Scarano, C. (2025). </w:t>
      </w:r>
      <w:r w:rsidRPr="00136007">
        <w:rPr>
          <w:rFonts w:eastAsia="Times New Roman" w:cs="Times New Roman"/>
          <w:i/>
          <w:iCs/>
          <w:kern w:val="0"/>
          <w:szCs w:val="24"/>
          <w:lang w:val="en-US"/>
          <w14:ligatures w14:val="none"/>
        </w:rPr>
        <w:t>Salmonella</w:t>
      </w:r>
      <w:r w:rsidRPr="00136007">
        <w:rPr>
          <w:rFonts w:eastAsia="Times New Roman" w:cs="Times New Roman"/>
          <w:kern w:val="0"/>
          <w:szCs w:val="24"/>
          <w:lang w:val="en-US"/>
          <w14:ligatures w14:val="none"/>
        </w:rPr>
        <w:t xml:space="preserve"> and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through the pig meat chain in Sardinia: Occurrence, antimicrobial resistance and genetic insight. </w:t>
      </w:r>
      <w:r w:rsidRPr="00136007">
        <w:rPr>
          <w:rFonts w:eastAsia="Times New Roman" w:cs="Times New Roman"/>
          <w:i/>
          <w:iCs/>
          <w:kern w:val="0"/>
          <w:szCs w:val="24"/>
          <w:lang w:val="en-US"/>
          <w14:ligatures w14:val="none"/>
        </w:rPr>
        <w:t>Italian Journal of Food Safety, 14</w:t>
      </w:r>
      <w:r w:rsidRPr="00136007">
        <w:rPr>
          <w:rFonts w:eastAsia="Times New Roman" w:cs="Times New Roman"/>
          <w:kern w:val="0"/>
          <w:szCs w:val="24"/>
          <w:lang w:val="en-US"/>
          <w14:ligatures w14:val="none"/>
        </w:rPr>
        <w:t xml:space="preserve">(1), 13199. </w:t>
      </w:r>
      <w:hyperlink r:id="rId45" w:tgtFrame="_blank" w:history="1">
        <w:r w:rsidRPr="00136007">
          <w:rPr>
            <w:rFonts w:eastAsia="Times New Roman" w:cs="Times New Roman"/>
            <w:color w:val="0000FF"/>
            <w:kern w:val="0"/>
            <w:szCs w:val="24"/>
            <w:u w:val="single"/>
            <w:lang w:val="en-US"/>
            <w14:ligatures w14:val="none"/>
          </w:rPr>
          <w:t>https://doi.org/10.4081/ijfs.2024.13199</w:t>
        </w:r>
      </w:hyperlink>
      <w:r w:rsidRPr="00136007">
        <w:rPr>
          <w:rFonts w:eastAsia="Times New Roman" w:cs="Times New Roman"/>
          <w:kern w:val="0"/>
          <w:szCs w:val="24"/>
          <w:lang w:val="en-US"/>
          <w14:ligatures w14:val="none"/>
        </w:rPr>
        <w:t xml:space="preserve"> </w:t>
      </w:r>
    </w:p>
    <w:p w14:paraId="3FAE3C61" w14:textId="223E3003"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Venkata Lakshmi, M., Annie Supriya, R., Ramya, P., Sreedevi, B. A., Siva Swetha, C., Ahmed, S., Vinayaka Siddartha, P., &amp; Praharshini, N. (2025). Molecular characterization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isolated from different parts of pig carcasses. </w:t>
      </w:r>
      <w:r w:rsidRPr="00136007">
        <w:rPr>
          <w:rFonts w:eastAsia="Times New Roman" w:cs="Times New Roman"/>
          <w:i/>
          <w:iCs/>
          <w:kern w:val="0"/>
          <w:szCs w:val="24"/>
          <w:lang w:val="en-US"/>
          <w14:ligatures w14:val="none"/>
        </w:rPr>
        <w:t>International Journal of Advanced Biochemistry Research, 9</w:t>
      </w:r>
      <w:r w:rsidRPr="00136007">
        <w:rPr>
          <w:rFonts w:eastAsia="Times New Roman" w:cs="Times New Roman"/>
          <w:kern w:val="0"/>
          <w:szCs w:val="24"/>
          <w:lang w:val="en-US"/>
          <w14:ligatures w14:val="none"/>
        </w:rPr>
        <w:t xml:space="preserve">(11), 129–137. </w:t>
      </w:r>
      <w:hyperlink r:id="rId46" w:history="1">
        <w:r>
          <w:rPr>
            <w:rFonts w:eastAsia="Times New Roman"/>
            <w:color w:val="0000FF"/>
            <w:szCs w:val="24"/>
            <w:u w:val="single"/>
          </w:rPr>
          <w:t>https://doi.org/10.33545/26174693.2025.v9.i11b.6186</w:t>
        </w:r>
      </w:hyperlink>
    </w:p>
    <w:p w14:paraId="1A4F1A06" w14:textId="3737E0B0" w:rsidR="00136007" w:rsidRPr="00136007" w:rsidRDefault="00136007" w:rsidP="00136007">
      <w:pPr>
        <w:spacing w:after="0" w:line="240" w:lineRule="auto"/>
        <w:ind w:left="720" w:hanging="720"/>
        <w:rPr>
          <w:rFonts w:eastAsia="Times New Roman" w:cs="Times New Roman"/>
          <w:kern w:val="0"/>
          <w:szCs w:val="24"/>
          <w:lang w:val="en-US"/>
          <w14:ligatures w14:val="none"/>
        </w:rPr>
      </w:pPr>
      <w:r w:rsidRPr="00136007">
        <w:rPr>
          <w:rFonts w:eastAsia="Times New Roman" w:cs="Times New Roman"/>
          <w:kern w:val="0"/>
          <w:szCs w:val="24"/>
          <w:lang w:val="en-US"/>
          <w14:ligatures w14:val="none"/>
        </w:rPr>
        <w:t xml:space="preserve">World Health Organization. (2026, June 4). </w:t>
      </w:r>
      <w:r w:rsidRPr="00136007">
        <w:rPr>
          <w:rFonts w:eastAsia="Times New Roman" w:cs="Times New Roman"/>
          <w:i/>
          <w:iCs/>
          <w:kern w:val="0"/>
          <w:szCs w:val="24"/>
          <w:lang w:val="en-US"/>
          <w14:ligatures w14:val="none"/>
        </w:rPr>
        <w:t>Unsafe food causes 866 million illnesses and 1.5 million deaths annually—Young children at highest risk</w:t>
      </w:r>
      <w:r w:rsidRPr="00136007">
        <w:rPr>
          <w:rFonts w:eastAsia="Times New Roman" w:cs="Times New Roman"/>
          <w:kern w:val="0"/>
          <w:szCs w:val="24"/>
          <w:lang w:val="en-US"/>
          <w14:ligatures w14:val="none"/>
        </w:rPr>
        <w:t xml:space="preserve">. </w:t>
      </w:r>
      <w:r>
        <w:t xml:space="preserve"> </w:t>
      </w:r>
      <w:hyperlink r:id="rId47" w:history="1">
        <w:r>
          <w:rPr>
            <w:rFonts w:eastAsia="Times New Roman"/>
            <w:color w:val="0000FF"/>
            <w:szCs w:val="24"/>
            <w:u w:val="single"/>
          </w:rPr>
          <w:t>https://www.who.int/news/item/04-06-2026-unsafe-food-causes-866-million-illnesses-and-1.5-million-deaths-annually--young-children-at-highest-risk</w:t>
        </w:r>
      </w:hyperlink>
    </w:p>
    <w:p w14:paraId="1D3376E7" w14:textId="2B5ACAC1" w:rsidR="00B86AFF" w:rsidRPr="00136007" w:rsidRDefault="00136007" w:rsidP="00136007">
      <w:pPr>
        <w:spacing w:after="0" w:line="240" w:lineRule="auto"/>
        <w:ind w:left="720" w:hanging="720"/>
        <w:rPr>
          <w:rFonts w:cs="Times New Roman"/>
          <w:b/>
          <w:bCs/>
          <w:szCs w:val="24"/>
        </w:rPr>
      </w:pPr>
      <w:r w:rsidRPr="00136007">
        <w:rPr>
          <w:rFonts w:eastAsia="Times New Roman" w:cs="Times New Roman"/>
          <w:kern w:val="0"/>
          <w:szCs w:val="24"/>
          <w:lang w:val="en-US"/>
          <w14:ligatures w14:val="none"/>
        </w:rPr>
        <w:t xml:space="preserve">Yue, Y., Zheng, J., Sheng, M., Liu, X., Hao, Q., Zhang, S., Xu, S., Liu, Z., Hou, X., Jing, H., Liu, Y., Zhou, X., &amp; Li, Z. (2023). Public health implications of </w:t>
      </w:r>
      <w:r w:rsidRPr="00136007">
        <w:rPr>
          <w:rFonts w:eastAsia="Times New Roman" w:cs="Times New Roman"/>
          <w:i/>
          <w:iCs/>
          <w:kern w:val="0"/>
          <w:szCs w:val="24"/>
          <w:lang w:val="en-US"/>
          <w14:ligatures w14:val="none"/>
        </w:rPr>
        <w:t>Yersinia enterocolitica</w:t>
      </w:r>
      <w:r w:rsidRPr="00136007">
        <w:rPr>
          <w:rFonts w:eastAsia="Times New Roman" w:cs="Times New Roman"/>
          <w:kern w:val="0"/>
          <w:szCs w:val="24"/>
          <w:lang w:val="en-US"/>
          <w14:ligatures w14:val="none"/>
        </w:rPr>
        <w:t xml:space="preserve"> investigation: An ecological modeling and molecular epidemiology study. </w:t>
      </w:r>
      <w:r w:rsidRPr="00136007">
        <w:rPr>
          <w:rFonts w:eastAsia="Times New Roman" w:cs="Times New Roman"/>
          <w:i/>
          <w:iCs/>
          <w:kern w:val="0"/>
          <w:szCs w:val="24"/>
          <w:lang w:val="en-US"/>
          <w14:ligatures w14:val="none"/>
        </w:rPr>
        <w:t>Infectious Diseases of Poverty, 12</w:t>
      </w:r>
      <w:r w:rsidRPr="00136007">
        <w:rPr>
          <w:rFonts w:eastAsia="Times New Roman" w:cs="Times New Roman"/>
          <w:kern w:val="0"/>
          <w:szCs w:val="24"/>
          <w:lang w:val="en-US"/>
          <w14:ligatures w14:val="none"/>
        </w:rPr>
        <w:t xml:space="preserve">, 41. </w:t>
      </w:r>
      <w:hyperlink r:id="rId48" w:history="1">
        <w:r>
          <w:rPr>
            <w:rFonts w:eastAsia="Times New Roman"/>
            <w:color w:val="0000FF"/>
            <w:szCs w:val="24"/>
            <w:u w:val="single"/>
          </w:rPr>
          <w:t>https://doi.org/10.1186/s40249-023-01063-6</w:t>
        </w:r>
      </w:hyperlink>
    </w:p>
    <w:sectPr w:rsidR="00B86AFF" w:rsidRPr="00136007">
      <w:headerReference w:type="even" r:id="rId49"/>
      <w:headerReference w:type="default" r:id="rId50"/>
      <w:footerReference w:type="even" r:id="rId51"/>
      <w:footerReference w:type="default" r:id="rId52"/>
      <w:headerReference w:type="first" r:id="rId53"/>
      <w:footerReference w:type="first" r:id="rId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9FF8F" w14:textId="77777777" w:rsidR="00283D26" w:rsidRDefault="00283D26" w:rsidP="004251A3">
      <w:pPr>
        <w:spacing w:after="0" w:line="240" w:lineRule="auto"/>
      </w:pPr>
      <w:r>
        <w:separator/>
      </w:r>
    </w:p>
  </w:endnote>
  <w:endnote w:type="continuationSeparator" w:id="0">
    <w:p w14:paraId="026ED289" w14:textId="77777777" w:rsidR="00283D26" w:rsidRDefault="00283D26" w:rsidP="00425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189E" w14:textId="77777777" w:rsidR="004251A3" w:rsidRDefault="004251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51313" w14:textId="77777777" w:rsidR="004251A3" w:rsidRDefault="004251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4553" w14:textId="77777777" w:rsidR="004251A3" w:rsidRDefault="00425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C4153" w14:textId="77777777" w:rsidR="00283D26" w:rsidRDefault="00283D26" w:rsidP="004251A3">
      <w:pPr>
        <w:spacing w:after="0" w:line="240" w:lineRule="auto"/>
      </w:pPr>
      <w:r>
        <w:separator/>
      </w:r>
    </w:p>
  </w:footnote>
  <w:footnote w:type="continuationSeparator" w:id="0">
    <w:p w14:paraId="73A36261" w14:textId="77777777" w:rsidR="00283D26" w:rsidRDefault="00283D26" w:rsidP="00425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3373" w14:textId="77777777" w:rsidR="004251A3" w:rsidRDefault="00000000">
    <w:pPr>
      <w:pStyle w:val="Header"/>
    </w:pPr>
    <w:r>
      <w:rPr>
        <w:noProof/>
      </w:rPr>
      <w:pict w14:anchorId="0F3909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505657"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40CC" w14:textId="77777777" w:rsidR="004251A3" w:rsidRDefault="00000000">
    <w:pPr>
      <w:pStyle w:val="Header"/>
    </w:pPr>
    <w:r>
      <w:rPr>
        <w:noProof/>
      </w:rPr>
      <w:pict w14:anchorId="19371F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505658"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B72C" w14:textId="77777777" w:rsidR="004251A3" w:rsidRDefault="00000000">
    <w:pPr>
      <w:pStyle w:val="Header"/>
    </w:pPr>
    <w:r>
      <w:rPr>
        <w:noProof/>
      </w:rPr>
      <w:pict w14:anchorId="6998F1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4505656"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357D7"/>
    <w:multiLevelType w:val="multilevel"/>
    <w:tmpl w:val="4CC45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4F5321"/>
    <w:multiLevelType w:val="hybridMultilevel"/>
    <w:tmpl w:val="DCB6D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E60225"/>
    <w:multiLevelType w:val="hybridMultilevel"/>
    <w:tmpl w:val="2F1C9A7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6832CF5"/>
    <w:multiLevelType w:val="hybridMultilevel"/>
    <w:tmpl w:val="A4AE2DB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5281173">
    <w:abstractNumId w:val="2"/>
  </w:num>
  <w:num w:numId="2" w16cid:durableId="1684745163">
    <w:abstractNumId w:val="0"/>
  </w:num>
  <w:num w:numId="3" w16cid:durableId="1239707219">
    <w:abstractNumId w:val="1"/>
  </w:num>
  <w:num w:numId="4" w16cid:durableId="855464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1D"/>
    <w:rsid w:val="000007D8"/>
    <w:rsid w:val="00003D5B"/>
    <w:rsid w:val="00004EA9"/>
    <w:rsid w:val="00014076"/>
    <w:rsid w:val="00031969"/>
    <w:rsid w:val="00057DA5"/>
    <w:rsid w:val="00065718"/>
    <w:rsid w:val="00071BF9"/>
    <w:rsid w:val="00084B40"/>
    <w:rsid w:val="000A5A3E"/>
    <w:rsid w:val="000C4E61"/>
    <w:rsid w:val="000C5E9E"/>
    <w:rsid w:val="000F028A"/>
    <w:rsid w:val="000F0D8D"/>
    <w:rsid w:val="00105C76"/>
    <w:rsid w:val="00112047"/>
    <w:rsid w:val="00117203"/>
    <w:rsid w:val="0012035D"/>
    <w:rsid w:val="00136007"/>
    <w:rsid w:val="00150C27"/>
    <w:rsid w:val="001523F4"/>
    <w:rsid w:val="00154D4D"/>
    <w:rsid w:val="00155362"/>
    <w:rsid w:val="001602BF"/>
    <w:rsid w:val="00166DB8"/>
    <w:rsid w:val="0018107A"/>
    <w:rsid w:val="0018685A"/>
    <w:rsid w:val="001A2033"/>
    <w:rsid w:val="001A28A5"/>
    <w:rsid w:val="001A4A6E"/>
    <w:rsid w:val="001B75D7"/>
    <w:rsid w:val="001B7CA0"/>
    <w:rsid w:val="001D3EA5"/>
    <w:rsid w:val="001D5A5E"/>
    <w:rsid w:val="001E3007"/>
    <w:rsid w:val="001F194A"/>
    <w:rsid w:val="00203292"/>
    <w:rsid w:val="002106B0"/>
    <w:rsid w:val="0021446B"/>
    <w:rsid w:val="00216B00"/>
    <w:rsid w:val="002206D3"/>
    <w:rsid w:val="00224912"/>
    <w:rsid w:val="002303BE"/>
    <w:rsid w:val="0025348C"/>
    <w:rsid w:val="00262C9A"/>
    <w:rsid w:val="002658A0"/>
    <w:rsid w:val="00266E2F"/>
    <w:rsid w:val="002802C7"/>
    <w:rsid w:val="00283D26"/>
    <w:rsid w:val="002875B2"/>
    <w:rsid w:val="0029589E"/>
    <w:rsid w:val="00296A03"/>
    <w:rsid w:val="002B0E30"/>
    <w:rsid w:val="002B23AE"/>
    <w:rsid w:val="002C441D"/>
    <w:rsid w:val="002D3AA2"/>
    <w:rsid w:val="002D4980"/>
    <w:rsid w:val="00301988"/>
    <w:rsid w:val="0033460A"/>
    <w:rsid w:val="0034301F"/>
    <w:rsid w:val="00346AFE"/>
    <w:rsid w:val="00355AE3"/>
    <w:rsid w:val="00366970"/>
    <w:rsid w:val="003743C5"/>
    <w:rsid w:val="00376E13"/>
    <w:rsid w:val="00386D25"/>
    <w:rsid w:val="0039491A"/>
    <w:rsid w:val="00395A7C"/>
    <w:rsid w:val="003C2CC1"/>
    <w:rsid w:val="003D70A8"/>
    <w:rsid w:val="004047A8"/>
    <w:rsid w:val="0040769A"/>
    <w:rsid w:val="00424C7A"/>
    <w:rsid w:val="004251A3"/>
    <w:rsid w:val="004253D6"/>
    <w:rsid w:val="00425D51"/>
    <w:rsid w:val="00425E91"/>
    <w:rsid w:val="004304E2"/>
    <w:rsid w:val="004310D3"/>
    <w:rsid w:val="00434627"/>
    <w:rsid w:val="0046492D"/>
    <w:rsid w:val="004679B0"/>
    <w:rsid w:val="00470089"/>
    <w:rsid w:val="00471659"/>
    <w:rsid w:val="00471E54"/>
    <w:rsid w:val="004742A1"/>
    <w:rsid w:val="004742F5"/>
    <w:rsid w:val="004745E5"/>
    <w:rsid w:val="00480BC5"/>
    <w:rsid w:val="00482C41"/>
    <w:rsid w:val="004845DC"/>
    <w:rsid w:val="004927F9"/>
    <w:rsid w:val="004979F8"/>
    <w:rsid w:val="004B3B5A"/>
    <w:rsid w:val="004D389E"/>
    <w:rsid w:val="004D3FF6"/>
    <w:rsid w:val="004D4CD4"/>
    <w:rsid w:val="004D7E3A"/>
    <w:rsid w:val="005007FF"/>
    <w:rsid w:val="00500C40"/>
    <w:rsid w:val="0051181C"/>
    <w:rsid w:val="00514039"/>
    <w:rsid w:val="005212A2"/>
    <w:rsid w:val="0055024E"/>
    <w:rsid w:val="005649FF"/>
    <w:rsid w:val="005672FB"/>
    <w:rsid w:val="00576581"/>
    <w:rsid w:val="00581FF5"/>
    <w:rsid w:val="005A14CE"/>
    <w:rsid w:val="005A79C5"/>
    <w:rsid w:val="005B0227"/>
    <w:rsid w:val="005B34DF"/>
    <w:rsid w:val="005C52AC"/>
    <w:rsid w:val="005D04D4"/>
    <w:rsid w:val="005E0DE9"/>
    <w:rsid w:val="005E15A3"/>
    <w:rsid w:val="005E563B"/>
    <w:rsid w:val="00611446"/>
    <w:rsid w:val="00631EDD"/>
    <w:rsid w:val="00634FD9"/>
    <w:rsid w:val="00635944"/>
    <w:rsid w:val="006444EC"/>
    <w:rsid w:val="006507F4"/>
    <w:rsid w:val="00665A9D"/>
    <w:rsid w:val="00671FE3"/>
    <w:rsid w:val="00680C6F"/>
    <w:rsid w:val="00681C53"/>
    <w:rsid w:val="00685AC8"/>
    <w:rsid w:val="006900F3"/>
    <w:rsid w:val="006911E2"/>
    <w:rsid w:val="0069533C"/>
    <w:rsid w:val="006C3D4C"/>
    <w:rsid w:val="006D0B32"/>
    <w:rsid w:val="006F0D1C"/>
    <w:rsid w:val="006F7CF5"/>
    <w:rsid w:val="006F7DE1"/>
    <w:rsid w:val="00700F6C"/>
    <w:rsid w:val="007179A6"/>
    <w:rsid w:val="00725F35"/>
    <w:rsid w:val="00727F8E"/>
    <w:rsid w:val="00742ADF"/>
    <w:rsid w:val="00744B6B"/>
    <w:rsid w:val="00756B80"/>
    <w:rsid w:val="00760D5C"/>
    <w:rsid w:val="00762947"/>
    <w:rsid w:val="007629DF"/>
    <w:rsid w:val="00772073"/>
    <w:rsid w:val="00774DCC"/>
    <w:rsid w:val="00782929"/>
    <w:rsid w:val="007A22B6"/>
    <w:rsid w:val="007B035B"/>
    <w:rsid w:val="007C4B57"/>
    <w:rsid w:val="007C6E7B"/>
    <w:rsid w:val="007F3AB4"/>
    <w:rsid w:val="007F7B97"/>
    <w:rsid w:val="00804AF0"/>
    <w:rsid w:val="00817089"/>
    <w:rsid w:val="00822D4F"/>
    <w:rsid w:val="00824B2E"/>
    <w:rsid w:val="00833A0F"/>
    <w:rsid w:val="008506F1"/>
    <w:rsid w:val="008620C2"/>
    <w:rsid w:val="008646F5"/>
    <w:rsid w:val="0086535E"/>
    <w:rsid w:val="008669BB"/>
    <w:rsid w:val="0086731F"/>
    <w:rsid w:val="0088413B"/>
    <w:rsid w:val="00895E8D"/>
    <w:rsid w:val="008A2E6A"/>
    <w:rsid w:val="008B408F"/>
    <w:rsid w:val="008C255D"/>
    <w:rsid w:val="008D67C9"/>
    <w:rsid w:val="008E77DD"/>
    <w:rsid w:val="00902F3B"/>
    <w:rsid w:val="00904351"/>
    <w:rsid w:val="0090608E"/>
    <w:rsid w:val="0091553B"/>
    <w:rsid w:val="00916EDD"/>
    <w:rsid w:val="00920991"/>
    <w:rsid w:val="00924A00"/>
    <w:rsid w:val="00930020"/>
    <w:rsid w:val="00931764"/>
    <w:rsid w:val="00937CDC"/>
    <w:rsid w:val="00964AE5"/>
    <w:rsid w:val="00966EC9"/>
    <w:rsid w:val="00973FD8"/>
    <w:rsid w:val="00980273"/>
    <w:rsid w:val="00984AA9"/>
    <w:rsid w:val="0098511B"/>
    <w:rsid w:val="00994AA1"/>
    <w:rsid w:val="00996A70"/>
    <w:rsid w:val="00997BF9"/>
    <w:rsid w:val="009A0401"/>
    <w:rsid w:val="009A0C63"/>
    <w:rsid w:val="009A1071"/>
    <w:rsid w:val="009A29DB"/>
    <w:rsid w:val="009A58A6"/>
    <w:rsid w:val="009B6D44"/>
    <w:rsid w:val="009B6DFC"/>
    <w:rsid w:val="009C47A3"/>
    <w:rsid w:val="009C6506"/>
    <w:rsid w:val="009D5BE4"/>
    <w:rsid w:val="009E3C3D"/>
    <w:rsid w:val="009E5DE8"/>
    <w:rsid w:val="009E640E"/>
    <w:rsid w:val="009E79AB"/>
    <w:rsid w:val="009F7F94"/>
    <w:rsid w:val="00A10F9A"/>
    <w:rsid w:val="00A16169"/>
    <w:rsid w:val="00A33B10"/>
    <w:rsid w:val="00A34A4C"/>
    <w:rsid w:val="00A45D96"/>
    <w:rsid w:val="00A46394"/>
    <w:rsid w:val="00A545AF"/>
    <w:rsid w:val="00A5653C"/>
    <w:rsid w:val="00A679B1"/>
    <w:rsid w:val="00A82241"/>
    <w:rsid w:val="00A90458"/>
    <w:rsid w:val="00AC2E86"/>
    <w:rsid w:val="00AC6FF2"/>
    <w:rsid w:val="00AE5919"/>
    <w:rsid w:val="00AF11F2"/>
    <w:rsid w:val="00AF235B"/>
    <w:rsid w:val="00B03942"/>
    <w:rsid w:val="00B05A2E"/>
    <w:rsid w:val="00B06804"/>
    <w:rsid w:val="00B10E4A"/>
    <w:rsid w:val="00B26CA4"/>
    <w:rsid w:val="00B5192E"/>
    <w:rsid w:val="00B618C1"/>
    <w:rsid w:val="00B67ADD"/>
    <w:rsid w:val="00B73A90"/>
    <w:rsid w:val="00B808FE"/>
    <w:rsid w:val="00B82CAA"/>
    <w:rsid w:val="00B86AFF"/>
    <w:rsid w:val="00B87EFF"/>
    <w:rsid w:val="00B9068C"/>
    <w:rsid w:val="00BA40A8"/>
    <w:rsid w:val="00BA659D"/>
    <w:rsid w:val="00BB2B6C"/>
    <w:rsid w:val="00BD46E6"/>
    <w:rsid w:val="00BE1666"/>
    <w:rsid w:val="00BE6DF3"/>
    <w:rsid w:val="00BF52DA"/>
    <w:rsid w:val="00BF75F8"/>
    <w:rsid w:val="00C010FF"/>
    <w:rsid w:val="00C21954"/>
    <w:rsid w:val="00C22867"/>
    <w:rsid w:val="00C371C7"/>
    <w:rsid w:val="00C41D2B"/>
    <w:rsid w:val="00C50A5D"/>
    <w:rsid w:val="00C5163F"/>
    <w:rsid w:val="00C52D65"/>
    <w:rsid w:val="00C537EB"/>
    <w:rsid w:val="00C5380B"/>
    <w:rsid w:val="00C56BAA"/>
    <w:rsid w:val="00C6678E"/>
    <w:rsid w:val="00C851DD"/>
    <w:rsid w:val="00CA2C82"/>
    <w:rsid w:val="00CA5BB3"/>
    <w:rsid w:val="00CA6469"/>
    <w:rsid w:val="00CD248E"/>
    <w:rsid w:val="00CD2D44"/>
    <w:rsid w:val="00CD72B5"/>
    <w:rsid w:val="00CE7769"/>
    <w:rsid w:val="00D01148"/>
    <w:rsid w:val="00D1345E"/>
    <w:rsid w:val="00D16916"/>
    <w:rsid w:val="00D427DA"/>
    <w:rsid w:val="00D5328D"/>
    <w:rsid w:val="00D605BB"/>
    <w:rsid w:val="00D63AC2"/>
    <w:rsid w:val="00DB1699"/>
    <w:rsid w:val="00DC037E"/>
    <w:rsid w:val="00DC2E50"/>
    <w:rsid w:val="00DC30E2"/>
    <w:rsid w:val="00DD3B67"/>
    <w:rsid w:val="00DE65A8"/>
    <w:rsid w:val="00DF5BC9"/>
    <w:rsid w:val="00E0059F"/>
    <w:rsid w:val="00E0146E"/>
    <w:rsid w:val="00E06222"/>
    <w:rsid w:val="00E34F56"/>
    <w:rsid w:val="00E44D4F"/>
    <w:rsid w:val="00E465B0"/>
    <w:rsid w:val="00E46DD6"/>
    <w:rsid w:val="00E5100E"/>
    <w:rsid w:val="00E57798"/>
    <w:rsid w:val="00E57E44"/>
    <w:rsid w:val="00E657C4"/>
    <w:rsid w:val="00E80648"/>
    <w:rsid w:val="00E87B1E"/>
    <w:rsid w:val="00EB5BEF"/>
    <w:rsid w:val="00EC0D32"/>
    <w:rsid w:val="00EC124F"/>
    <w:rsid w:val="00EC7486"/>
    <w:rsid w:val="00ED79EA"/>
    <w:rsid w:val="00EE3B0E"/>
    <w:rsid w:val="00EE7DA1"/>
    <w:rsid w:val="00EF799F"/>
    <w:rsid w:val="00F07528"/>
    <w:rsid w:val="00F115F8"/>
    <w:rsid w:val="00F21B5D"/>
    <w:rsid w:val="00F43536"/>
    <w:rsid w:val="00F50EDE"/>
    <w:rsid w:val="00F670A5"/>
    <w:rsid w:val="00F67F15"/>
    <w:rsid w:val="00F8510A"/>
    <w:rsid w:val="00F879CA"/>
    <w:rsid w:val="00FA436E"/>
    <w:rsid w:val="00FB0088"/>
    <w:rsid w:val="00FB7BDC"/>
    <w:rsid w:val="00FC3BD2"/>
    <w:rsid w:val="00FD5373"/>
    <w:rsid w:val="00FD746C"/>
    <w:rsid w:val="00FE6F9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B8E81"/>
  <w15:chartTrackingRefBased/>
  <w15:docId w15:val="{EC47DEF9-E249-477B-8513-0011A0D9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4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44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441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441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C441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C441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441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441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441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44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441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441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C441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C441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C441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C441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C441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C4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1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1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C441D"/>
    <w:pPr>
      <w:spacing w:before="160"/>
      <w:jc w:val="center"/>
    </w:pPr>
    <w:rPr>
      <w:i/>
      <w:iCs/>
      <w:color w:val="404040" w:themeColor="text1" w:themeTint="BF"/>
    </w:rPr>
  </w:style>
  <w:style w:type="character" w:customStyle="1" w:styleId="QuoteChar">
    <w:name w:val="Quote Char"/>
    <w:basedOn w:val="DefaultParagraphFont"/>
    <w:link w:val="Quote"/>
    <w:uiPriority w:val="29"/>
    <w:rsid w:val="002C441D"/>
    <w:rPr>
      <w:i/>
      <w:iCs/>
      <w:color w:val="404040" w:themeColor="text1" w:themeTint="BF"/>
    </w:rPr>
  </w:style>
  <w:style w:type="paragraph" w:styleId="ListParagraph">
    <w:name w:val="List Paragraph"/>
    <w:basedOn w:val="Normal"/>
    <w:uiPriority w:val="34"/>
    <w:qFormat/>
    <w:rsid w:val="002C441D"/>
    <w:pPr>
      <w:ind w:left="720"/>
      <w:contextualSpacing/>
    </w:pPr>
  </w:style>
  <w:style w:type="character" w:styleId="IntenseEmphasis">
    <w:name w:val="Intense Emphasis"/>
    <w:basedOn w:val="DefaultParagraphFont"/>
    <w:uiPriority w:val="21"/>
    <w:qFormat/>
    <w:rsid w:val="002C441D"/>
    <w:rPr>
      <w:i/>
      <w:iCs/>
      <w:color w:val="2F5496" w:themeColor="accent1" w:themeShade="BF"/>
    </w:rPr>
  </w:style>
  <w:style w:type="paragraph" w:styleId="IntenseQuote">
    <w:name w:val="Intense Quote"/>
    <w:basedOn w:val="Normal"/>
    <w:next w:val="Normal"/>
    <w:link w:val="IntenseQuoteChar"/>
    <w:uiPriority w:val="30"/>
    <w:qFormat/>
    <w:rsid w:val="002C44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441D"/>
    <w:rPr>
      <w:i/>
      <w:iCs/>
      <w:color w:val="2F5496" w:themeColor="accent1" w:themeShade="BF"/>
    </w:rPr>
  </w:style>
  <w:style w:type="character" w:styleId="IntenseReference">
    <w:name w:val="Intense Reference"/>
    <w:basedOn w:val="DefaultParagraphFont"/>
    <w:uiPriority w:val="32"/>
    <w:qFormat/>
    <w:rsid w:val="002C441D"/>
    <w:rPr>
      <w:b/>
      <w:bCs/>
      <w:smallCaps/>
      <w:color w:val="2F5496" w:themeColor="accent1" w:themeShade="BF"/>
      <w:spacing w:val="5"/>
    </w:rPr>
  </w:style>
  <w:style w:type="table" w:styleId="TableGrid">
    <w:name w:val="Table Grid"/>
    <w:basedOn w:val="TableNormal"/>
    <w:uiPriority w:val="39"/>
    <w:rsid w:val="00B90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107A"/>
    <w:rPr>
      <w:color w:val="0563C1" w:themeColor="hyperlink"/>
      <w:u w:val="single"/>
    </w:rPr>
  </w:style>
  <w:style w:type="character" w:styleId="Emphasis">
    <w:name w:val="Emphasis"/>
    <w:basedOn w:val="DefaultParagraphFont"/>
    <w:uiPriority w:val="20"/>
    <w:qFormat/>
    <w:rsid w:val="0018107A"/>
    <w:rPr>
      <w:i/>
      <w:iCs/>
    </w:rPr>
  </w:style>
  <w:style w:type="character" w:styleId="UnresolvedMention">
    <w:name w:val="Unresolved Mention"/>
    <w:basedOn w:val="DefaultParagraphFont"/>
    <w:uiPriority w:val="99"/>
    <w:semiHidden/>
    <w:unhideWhenUsed/>
    <w:rsid w:val="00D5328D"/>
    <w:rPr>
      <w:color w:val="605E5C"/>
      <w:shd w:val="clear" w:color="auto" w:fill="E1DFDD"/>
    </w:rPr>
  </w:style>
  <w:style w:type="paragraph" w:styleId="Header">
    <w:name w:val="header"/>
    <w:basedOn w:val="Normal"/>
    <w:link w:val="HeaderChar"/>
    <w:uiPriority w:val="99"/>
    <w:unhideWhenUsed/>
    <w:rsid w:val="00425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1A3"/>
  </w:style>
  <w:style w:type="paragraph" w:styleId="Footer">
    <w:name w:val="footer"/>
    <w:basedOn w:val="Normal"/>
    <w:link w:val="FooterChar"/>
    <w:uiPriority w:val="99"/>
    <w:unhideWhenUsed/>
    <w:rsid w:val="00425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hyperlink" Target="https://doi.org/10.18485/meattech.2023.64.2.43" TargetMode="External"/><Relationship Id="rId26" Type="http://schemas.openxmlformats.org/officeDocument/2006/relationships/hyperlink" Target="https://clsi.org/standards/products/microbiology/documents/m100/" TargetMode="External"/><Relationship Id="rId39" Type="http://schemas.openxmlformats.org/officeDocument/2006/relationships/hyperlink" Target="https://doi.org/10.1016/j.ijfoodmicro.2024.110914?utm_source=chatgpt.com" TargetMode="External"/><Relationship Id="rId21" Type="http://schemas.openxmlformats.org/officeDocument/2006/relationships/hyperlink" Target="https://doi.org/10.4061/2011/420732" TargetMode="External"/><Relationship Id="rId34" Type="http://schemas.openxmlformats.org/officeDocument/2006/relationships/hyperlink" Target="https://doi.org/10.18485/meattech.2023.64.2.15" TargetMode="External"/><Relationship Id="rId42" Type="http://schemas.openxmlformats.org/officeDocument/2006/relationships/hyperlink" Target="https://doi.org/10.3390/toxins14020118" TargetMode="External"/><Relationship Id="rId47" Type="http://schemas.openxmlformats.org/officeDocument/2006/relationships/hyperlink" Target="https://www.who.int/news/item/04-06-2026-unsafe-food-causes-866-million-illnesses-and-1.5-million-deaths-annually--young-children-at-highest-risk"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59393/amb23390204" TargetMode="External"/><Relationship Id="rId29" Type="http://schemas.openxmlformats.org/officeDocument/2006/relationships/hyperlink" Target="https://doi.org/10.1128/jcm.30.10.2589-2594.1992" TargetMode="External"/><Relationship Id="rId11" Type="http://schemas.openxmlformats.org/officeDocument/2006/relationships/image" Target="media/image4.png"/><Relationship Id="rId24" Type="http://schemas.openxmlformats.org/officeDocument/2006/relationships/hyperlink" Target="https://doi.org/10.1128/jcm.25.6.1039-1042.1987" TargetMode="External"/><Relationship Id="rId32" Type="http://schemas.openxmlformats.org/officeDocument/2006/relationships/hyperlink" Target="https://doi.org/10.1136/jcp.42.8.872" TargetMode="External"/><Relationship Id="rId37" Type="http://schemas.openxmlformats.org/officeDocument/2006/relationships/hyperlink" Target="https://doi.org/10.1016/S0255-0857(21)03070-X" TargetMode="External"/><Relationship Id="rId40" Type="http://schemas.openxmlformats.org/officeDocument/2006/relationships/hyperlink" Target="https://doi.org/10.1016/j.foodres.2026.119442" TargetMode="External"/><Relationship Id="rId45" Type="http://schemas.openxmlformats.org/officeDocument/2006/relationships/hyperlink" Target="https://doi.org/10.4081/ijfs.2024.13199?utm_source=chatgpt.com" TargetMode="Externa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3.emf"/><Relationship Id="rId19" Type="http://schemas.openxmlformats.org/officeDocument/2006/relationships/hyperlink" Target="https://www.ncbi.nlm.nih.gov/books/NBK499837/" TargetMode="External"/><Relationship Id="rId31" Type="http://schemas.openxmlformats.org/officeDocument/2006/relationships/hyperlink" Target="https://doi.org/10.1128/CMR.16.2.220-229.2003" TargetMode="External"/><Relationship Id="rId44" Type="http://schemas.openxmlformats.org/officeDocument/2006/relationships/hyperlink" Target="https://doi.org/10.4102/ojvr.v89i1.2006"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vetzoo.lsmuni.lt/data/vols/2013/62/en/novoslavskij.pdf" TargetMode="External"/><Relationship Id="rId22" Type="http://schemas.openxmlformats.org/officeDocument/2006/relationships/hyperlink" Target="https://doi.org/10.1093/ajcp/45.4_ts.493" TargetMode="External"/><Relationship Id="rId27" Type="http://schemas.openxmlformats.org/officeDocument/2006/relationships/hyperlink" Target="https://doi.org/10.1016/j.advnut.2024.100213" TargetMode="External"/><Relationship Id="rId30" Type="http://schemas.openxmlformats.org/officeDocument/2006/relationships/hyperlink" Target="https://doi.org/10.56557/upjoz/2026/v47i125709?utm_source=chatgpt.com" TargetMode="External"/><Relationship Id="rId35" Type="http://schemas.openxmlformats.org/officeDocument/2006/relationships/hyperlink" Target="https://doi.org/10.3389/fmicb.2021.664665" TargetMode="External"/><Relationship Id="rId43" Type="http://schemas.openxmlformats.org/officeDocument/2006/relationships/hyperlink" Target="https://doi.org/10.3390/vetsci12090795" TargetMode="External"/><Relationship Id="rId48" Type="http://schemas.openxmlformats.org/officeDocument/2006/relationships/hyperlink" Target="https://doi.org/10.1186/s40249-023-01063-6" TargetMode="External"/><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hyperlink" Target="https://www.ijcmas.com/vol-3-6/P.Anju%2C%20et%20al.pdf" TargetMode="External"/><Relationship Id="rId25" Type="http://schemas.openxmlformats.org/officeDocument/2006/relationships/hyperlink" Target="https://doi.org/10.3390/microorganisms11102554" TargetMode="External"/><Relationship Id="rId33" Type="http://schemas.openxmlformats.org/officeDocument/2006/relationships/hyperlink" Target="https://www.manage.gov.in/publications/eBooks/Better%20Livelihoods%20through%20Scientific%20Pig%20Husbandry.pdf" TargetMode="External"/><Relationship Id="rId38" Type="http://schemas.openxmlformats.org/officeDocument/2006/relationships/hyperlink" Target="https://doi.org/10.4142/jvs.2009.10.1.43" TargetMode="External"/><Relationship Id="rId46" Type="http://schemas.openxmlformats.org/officeDocument/2006/relationships/hyperlink" Target="https://doi.org/10.33545/26174693.2025.v9.i11b.6186" TargetMode="External"/><Relationship Id="rId20" Type="http://schemas.openxmlformats.org/officeDocument/2006/relationships/hyperlink" Target="https://doi.org/10.3390/microorganisms13081805" TargetMode="External"/><Relationship Id="rId41" Type="http://schemas.openxmlformats.org/officeDocument/2006/relationships/hyperlink" Target="https://doi.org/10.3390/pathogens10040398"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5407/microbiolj85.05.031" TargetMode="External"/><Relationship Id="rId23" Type="http://schemas.openxmlformats.org/officeDocument/2006/relationships/hyperlink" Target="https://www.bergeys.org/publications/" TargetMode="External"/><Relationship Id="rId28" Type="http://schemas.openxmlformats.org/officeDocument/2006/relationships/hyperlink" Target="https://doi.org/10.1016/j.foodres.2025.118107?utm_source=chatgpt.com" TargetMode="External"/><Relationship Id="rId36" Type="http://schemas.openxmlformats.org/officeDocument/2006/relationships/hyperlink" Target="https://doi.org/10.9734/ejnfs/2021/v13i530412?utm_source=chatgpt.com"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B4610-E6F0-4875-A61B-F3879ED55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5227</Words>
  <Characters>29799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Sivachandiran R</dc:creator>
  <cp:keywords/>
  <dc:description/>
  <cp:lastModifiedBy>Editor-90</cp:lastModifiedBy>
  <cp:revision>18</cp:revision>
  <cp:lastPrinted>2026-09-02T06:17:00Z</cp:lastPrinted>
  <dcterms:created xsi:type="dcterms:W3CDTF">2026-09-02T07:28:00Z</dcterms:created>
  <dcterms:modified xsi:type="dcterms:W3CDTF">2026-09-14T07:40:00Z</dcterms:modified>
</cp:coreProperties>
</file>